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b/>
          <w:bCs/>
          <w:color w:val="000000" w:themeColor="text1"/>
          <w:spacing w:val="40"/>
          <w:sz w:val="44"/>
          <w:szCs w:val="44"/>
          <w14:textFill>
            <w14:solidFill>
              <w14:schemeClr w14:val="tx1"/>
            </w14:solidFill>
          </w14:textFill>
        </w:rPr>
      </w:pPr>
    </w:p>
    <w:p>
      <w:pPr>
        <w:spacing w:line="360" w:lineRule="auto"/>
        <w:rPr>
          <w:rFonts w:ascii="宋体"/>
          <w:b/>
          <w:bCs/>
          <w:color w:val="000000" w:themeColor="text1"/>
          <w:spacing w:val="40"/>
          <w:sz w:val="44"/>
          <w:szCs w:val="44"/>
          <w14:textFill>
            <w14:solidFill>
              <w14:schemeClr w14:val="tx1"/>
            </w14:solidFill>
          </w14:textFill>
        </w:rPr>
      </w:pPr>
    </w:p>
    <w:p>
      <w:pPr>
        <w:spacing w:line="360" w:lineRule="auto"/>
        <w:jc w:val="center"/>
        <w:rPr>
          <w:rFonts w:ascii="宋体"/>
          <w:b/>
          <w:bCs/>
          <w:color w:val="auto"/>
          <w:spacing w:val="40"/>
          <w:sz w:val="44"/>
          <w:szCs w:val="44"/>
          <w:highlight w:val="none"/>
        </w:rPr>
      </w:pPr>
      <w:r>
        <w:rPr>
          <w:rFonts w:hint="eastAsia"/>
          <w:b/>
          <w:color w:val="auto"/>
          <w:sz w:val="44"/>
          <w:szCs w:val="44"/>
          <w:highlight w:val="none"/>
        </w:rPr>
        <w:t>粤港澳大湾区（广州）科技金融中心项目二期空调工程施工</w:t>
      </w:r>
    </w:p>
    <w:p>
      <w:pPr>
        <w:spacing w:line="360" w:lineRule="auto"/>
        <w:jc w:val="center"/>
        <w:rPr>
          <w:color w:val="auto"/>
          <w:sz w:val="36"/>
          <w:highlight w:val="none"/>
          <w:u w:val="singl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center"/>
        <w:rPr>
          <w:rFonts w:eastAsia="楷体_GB2312"/>
          <w:b/>
          <w:bCs/>
          <w:color w:val="auto"/>
          <w:spacing w:val="26"/>
          <w:sz w:val="110"/>
          <w:szCs w:val="110"/>
          <w:highlight w:val="none"/>
        </w:rPr>
      </w:pPr>
      <w:r>
        <w:rPr>
          <w:rFonts w:hint="eastAsia" w:eastAsia="楷体_GB2312"/>
          <w:b/>
          <w:bCs/>
          <w:color w:val="auto"/>
          <w:spacing w:val="26"/>
          <w:sz w:val="110"/>
          <w:szCs w:val="110"/>
          <w:highlight w:val="none"/>
        </w:rPr>
        <w:t>招标文件</w:t>
      </w:r>
    </w:p>
    <w:p>
      <w:pPr>
        <w:spacing w:line="360" w:lineRule="auto"/>
        <w:jc w:val="center"/>
        <w:rPr>
          <w:color w:val="auto"/>
          <w:sz w:val="32"/>
          <w:highlight w:val="none"/>
        </w:rPr>
      </w:pPr>
    </w:p>
    <w:p>
      <w:pPr>
        <w:spacing w:line="360" w:lineRule="auto"/>
        <w:ind w:firstLine="2560" w:firstLineChars="800"/>
        <w:rPr>
          <w:color w:val="auto"/>
          <w:sz w:val="32"/>
          <w:highlight w:val="none"/>
        </w:rPr>
      </w:pPr>
    </w:p>
    <w:p>
      <w:pPr>
        <w:spacing w:line="360" w:lineRule="auto"/>
        <w:rPr>
          <w:color w:val="auto"/>
          <w:sz w:val="52"/>
          <w:highlight w:val="none"/>
        </w:rPr>
      </w:pPr>
    </w:p>
    <w:p>
      <w:pPr>
        <w:spacing w:line="360" w:lineRule="auto"/>
        <w:rPr>
          <w:color w:val="auto"/>
          <w:sz w:val="52"/>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ind w:firstLine="1500" w:firstLineChars="500"/>
        <w:rPr>
          <w:color w:val="auto"/>
          <w:sz w:val="30"/>
          <w:szCs w:val="30"/>
          <w:highlight w:val="none"/>
          <w:u w:val="single"/>
        </w:rPr>
      </w:pPr>
      <w:r>
        <w:rPr>
          <w:rFonts w:hint="eastAsia"/>
          <w:color w:val="auto"/>
          <w:sz w:val="30"/>
          <w:szCs w:val="30"/>
          <w:highlight w:val="none"/>
        </w:rPr>
        <w:t>招标单位：</w:t>
      </w:r>
      <w:r>
        <w:rPr>
          <w:rFonts w:hint="eastAsia"/>
          <w:color w:val="auto"/>
          <w:sz w:val="30"/>
          <w:szCs w:val="30"/>
          <w:highlight w:val="none"/>
          <w:u w:val="single"/>
        </w:rPr>
        <w:t>广州尚龙置业有限公司</w:t>
      </w:r>
    </w:p>
    <w:p>
      <w:pPr>
        <w:spacing w:line="360" w:lineRule="auto"/>
        <w:ind w:firstLine="1500" w:firstLineChars="500"/>
        <w:rPr>
          <w:color w:val="auto"/>
          <w:sz w:val="30"/>
          <w:szCs w:val="30"/>
          <w:highlight w:val="none"/>
          <w:u w:val="single"/>
        </w:rPr>
      </w:pPr>
      <w:r>
        <w:rPr>
          <w:rFonts w:hint="eastAsia"/>
          <w:color w:val="auto"/>
          <w:sz w:val="30"/>
          <w:szCs w:val="30"/>
          <w:highlight w:val="none"/>
        </w:rPr>
        <w:t>招标代理单位：</w:t>
      </w:r>
      <w:r>
        <w:rPr>
          <w:rFonts w:hint="eastAsia"/>
          <w:color w:val="auto"/>
          <w:sz w:val="30"/>
          <w:szCs w:val="30"/>
          <w:highlight w:val="none"/>
          <w:u w:val="single"/>
        </w:rPr>
        <w:t>广州永安工程管理有限公司</w:t>
      </w:r>
    </w:p>
    <w:p>
      <w:pPr>
        <w:spacing w:line="360" w:lineRule="auto"/>
        <w:ind w:firstLine="1500" w:firstLineChars="500"/>
        <w:rPr>
          <w:color w:val="auto"/>
          <w:sz w:val="30"/>
          <w:szCs w:val="30"/>
          <w:highlight w:val="none"/>
        </w:rPr>
      </w:pPr>
      <w:r>
        <w:rPr>
          <w:rFonts w:hint="eastAsia"/>
          <w:color w:val="auto"/>
          <w:sz w:val="30"/>
          <w:szCs w:val="30"/>
          <w:highlight w:val="none"/>
        </w:rPr>
        <w:t>日       期： 2023 年 01 月</w:t>
      </w:r>
    </w:p>
    <w:p>
      <w:pPr>
        <w:jc w:val="center"/>
        <w:rPr>
          <w:rFonts w:ascii="宋体" w:hAnsi="宋体"/>
          <w:b/>
          <w:caps/>
          <w:color w:val="auto"/>
          <w:kern w:val="0"/>
          <w:highlight w:val="none"/>
        </w:rPr>
      </w:pPr>
      <w:r>
        <w:rPr>
          <w:rStyle w:val="40"/>
          <w:b/>
          <w:bCs/>
          <w:color w:val="auto"/>
          <w:highlight w:val="none"/>
        </w:rPr>
        <w:br w:type="page"/>
      </w:r>
      <w:r>
        <w:rPr>
          <w:rStyle w:val="40"/>
          <w:rFonts w:hint="eastAsia"/>
          <w:b/>
          <w:bCs/>
          <w:color w:val="auto"/>
          <w:sz w:val="28"/>
          <w:szCs w:val="28"/>
          <w:highlight w:val="none"/>
        </w:rPr>
        <w:t>目录</w:t>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"_Toc101453727" </w:instrText>
      </w:r>
      <w:r>
        <w:rPr>
          <w:color w:val="auto"/>
          <w:highlight w:val="none"/>
        </w:rPr>
        <w:fldChar w:fldCharType="separate"/>
      </w:r>
      <w:r>
        <w:rPr>
          <w:rStyle w:val="40"/>
          <w:rFonts w:hint="eastAsia"/>
          <w:color w:val="auto"/>
          <w:highlight w:val="none"/>
        </w:rPr>
        <w:t>第一章投标须知</w:t>
      </w:r>
      <w:r>
        <w:rPr>
          <w:color w:val="auto"/>
          <w:highlight w:val="none"/>
        </w:rPr>
        <w:tab/>
      </w:r>
      <w:r>
        <w:rPr>
          <w:color w:val="auto"/>
          <w:highlight w:val="none"/>
        </w:rPr>
        <w:fldChar w:fldCharType="begin"/>
      </w:r>
      <w:r>
        <w:rPr>
          <w:color w:val="auto"/>
          <w:highlight w:val="none"/>
        </w:rPr>
        <w:instrText xml:space="preserve"> PAGEREF _Toc101453727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"_Toc101453728" </w:instrText>
      </w:r>
      <w:r>
        <w:rPr>
          <w:color w:val="auto"/>
          <w:highlight w:val="none"/>
        </w:rPr>
        <w:fldChar w:fldCharType="separate"/>
      </w:r>
      <w:r>
        <w:rPr>
          <w:rStyle w:val="40"/>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_Toc101453728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"_Toc101453729" </w:instrText>
      </w:r>
      <w:r>
        <w:rPr>
          <w:color w:val="auto"/>
          <w:highlight w:val="none"/>
        </w:rPr>
        <w:fldChar w:fldCharType="separate"/>
      </w:r>
      <w:r>
        <w:rPr>
          <w:rStyle w:val="40"/>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_Toc101453729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"_Toc101453730" </w:instrText>
      </w:r>
      <w:r>
        <w:rPr>
          <w:color w:val="auto"/>
          <w:highlight w:val="none"/>
        </w:rPr>
        <w:fldChar w:fldCharType="separate"/>
      </w:r>
      <w:r>
        <w:rPr>
          <w:rStyle w:val="40"/>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_Toc101453730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"_Toc101453731" </w:instrText>
      </w:r>
      <w:r>
        <w:rPr>
          <w:color w:val="auto"/>
          <w:highlight w:val="none"/>
        </w:rPr>
        <w:fldChar w:fldCharType="separate"/>
      </w:r>
      <w:r>
        <w:rPr>
          <w:rStyle w:val="40"/>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_Toc101453731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"_Toc101453732" </w:instrText>
      </w:r>
      <w:r>
        <w:rPr>
          <w:color w:val="auto"/>
          <w:highlight w:val="none"/>
        </w:rPr>
        <w:fldChar w:fldCharType="separate"/>
      </w:r>
      <w:r>
        <w:rPr>
          <w:rStyle w:val="40"/>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_Toc101453732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"_Toc101453733" </w:instrText>
      </w:r>
      <w:r>
        <w:rPr>
          <w:color w:val="auto"/>
          <w:highlight w:val="none"/>
        </w:rPr>
        <w:fldChar w:fldCharType="separate"/>
      </w:r>
      <w:r>
        <w:rPr>
          <w:rStyle w:val="40"/>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_Toc101453733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"_Toc101453734" </w:instrText>
      </w:r>
      <w:r>
        <w:rPr>
          <w:color w:val="auto"/>
          <w:highlight w:val="none"/>
        </w:rPr>
        <w:fldChar w:fldCharType="separate"/>
      </w:r>
      <w:r>
        <w:rPr>
          <w:rStyle w:val="40"/>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_Toc101453734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"_Toc101453735" </w:instrText>
      </w:r>
      <w:r>
        <w:rPr>
          <w:color w:val="auto"/>
          <w:highlight w:val="none"/>
        </w:rPr>
        <w:fldChar w:fldCharType="separate"/>
      </w:r>
      <w:r>
        <w:rPr>
          <w:rStyle w:val="40"/>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_Toc101453735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"_Toc101453736" </w:instrText>
      </w:r>
      <w:r>
        <w:rPr>
          <w:color w:val="auto"/>
          <w:highlight w:val="none"/>
        </w:rPr>
        <w:fldChar w:fldCharType="separate"/>
      </w:r>
      <w:r>
        <w:rPr>
          <w:rStyle w:val="40"/>
          <w:rFonts w:hint="eastAsia"/>
          <w:color w:val="auto"/>
          <w:highlight w:val="none"/>
        </w:rPr>
        <w:t>第二章开标、评标及定标办法</w:t>
      </w:r>
      <w:r>
        <w:rPr>
          <w:color w:val="auto"/>
          <w:highlight w:val="none"/>
        </w:rPr>
        <w:tab/>
      </w:r>
      <w:r>
        <w:rPr>
          <w:color w:val="auto"/>
          <w:highlight w:val="none"/>
        </w:rPr>
        <w:fldChar w:fldCharType="begin"/>
      </w:r>
      <w:r>
        <w:rPr>
          <w:color w:val="auto"/>
          <w:highlight w:val="none"/>
        </w:rPr>
        <w:instrText xml:space="preserve"> PAGEREF _Toc101453736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"_Toc101453737" </w:instrText>
      </w:r>
      <w:r>
        <w:rPr>
          <w:color w:val="auto"/>
          <w:highlight w:val="none"/>
        </w:rPr>
        <w:fldChar w:fldCharType="separate"/>
      </w:r>
      <w:r>
        <w:rPr>
          <w:rStyle w:val="40"/>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_Toc101453737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"_Toc101453738" </w:instrText>
      </w:r>
      <w:r>
        <w:rPr>
          <w:color w:val="auto"/>
          <w:highlight w:val="none"/>
        </w:rPr>
        <w:fldChar w:fldCharType="separate"/>
      </w:r>
      <w:r>
        <w:rPr>
          <w:rStyle w:val="40"/>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_Toc101453738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"_Toc101453739" </w:instrText>
      </w:r>
      <w:r>
        <w:rPr>
          <w:color w:val="auto"/>
          <w:highlight w:val="none"/>
        </w:rPr>
        <w:fldChar w:fldCharType="separate"/>
      </w:r>
      <w:r>
        <w:rPr>
          <w:rStyle w:val="40"/>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_Toc101453739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"_Toc101453740" </w:instrText>
      </w:r>
      <w:r>
        <w:rPr>
          <w:color w:val="auto"/>
          <w:highlight w:val="none"/>
        </w:rPr>
        <w:fldChar w:fldCharType="separate"/>
      </w:r>
      <w:r>
        <w:rPr>
          <w:rStyle w:val="40"/>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_Toc101453740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19"/>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"_Toc101453741" </w:instrText>
      </w:r>
      <w:r>
        <w:rPr>
          <w:color w:val="auto"/>
          <w:highlight w:val="none"/>
        </w:rPr>
        <w:fldChar w:fldCharType="separate"/>
      </w:r>
      <w:r>
        <w:rPr>
          <w:rStyle w:val="40"/>
          <w:rFonts w:hint="eastAsia"/>
          <w:color w:val="auto"/>
          <w:highlight w:val="none"/>
        </w:rPr>
        <w:t>可选办法六（适合综合评分法三，技术标与经济标同时开启）</w:t>
      </w:r>
      <w:r>
        <w:rPr>
          <w:color w:val="auto"/>
          <w:highlight w:val="none"/>
        </w:rPr>
        <w:tab/>
      </w:r>
      <w:r>
        <w:rPr>
          <w:color w:val="auto"/>
          <w:highlight w:val="none"/>
        </w:rPr>
        <w:fldChar w:fldCharType="begin"/>
      </w:r>
      <w:r>
        <w:rPr>
          <w:color w:val="auto"/>
          <w:highlight w:val="none"/>
        </w:rPr>
        <w:instrText xml:space="preserve"> PAGEREF _Toc101453741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"_Toc101453742" </w:instrText>
      </w:r>
      <w:r>
        <w:rPr>
          <w:color w:val="auto"/>
          <w:highlight w:val="none"/>
        </w:rPr>
        <w:fldChar w:fldCharType="separate"/>
      </w:r>
      <w:r>
        <w:rPr>
          <w:rStyle w:val="40"/>
          <w:rFonts w:hint="eastAsia"/>
          <w:color w:val="auto"/>
          <w:highlight w:val="none"/>
        </w:rPr>
        <w:t>第三章合同条款</w:t>
      </w:r>
      <w:r>
        <w:rPr>
          <w:color w:val="auto"/>
          <w:highlight w:val="none"/>
        </w:rPr>
        <w:tab/>
      </w:r>
      <w:r>
        <w:rPr>
          <w:color w:val="auto"/>
          <w:highlight w:val="none"/>
        </w:rPr>
        <w:fldChar w:fldCharType="begin"/>
      </w:r>
      <w:r>
        <w:rPr>
          <w:color w:val="auto"/>
          <w:highlight w:val="none"/>
        </w:rPr>
        <w:instrText xml:space="preserve"> PAGEREF _Toc101453742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"_Toc101453743" </w:instrText>
      </w:r>
      <w:r>
        <w:rPr>
          <w:color w:val="auto"/>
          <w:highlight w:val="none"/>
        </w:rPr>
        <w:fldChar w:fldCharType="separate"/>
      </w:r>
      <w:r>
        <w:rPr>
          <w:rStyle w:val="40"/>
          <w:rFonts w:hint="eastAsia"/>
          <w:color w:val="auto"/>
          <w:highlight w:val="none"/>
        </w:rPr>
        <w:t>第四章投标文件格式</w:t>
      </w:r>
      <w:r>
        <w:rPr>
          <w:color w:val="auto"/>
          <w:highlight w:val="none"/>
        </w:rPr>
        <w:tab/>
      </w:r>
      <w:r>
        <w:rPr>
          <w:color w:val="auto"/>
          <w:highlight w:val="none"/>
        </w:rPr>
        <w:fldChar w:fldCharType="begin"/>
      </w:r>
      <w:r>
        <w:rPr>
          <w:color w:val="auto"/>
          <w:highlight w:val="none"/>
        </w:rPr>
        <w:instrText xml:space="preserve"> PAGEREF _Toc101453743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"_Toc101453744" </w:instrText>
      </w:r>
      <w:r>
        <w:rPr>
          <w:color w:val="auto"/>
          <w:highlight w:val="none"/>
        </w:rPr>
        <w:fldChar w:fldCharType="separate"/>
      </w:r>
      <w:r>
        <w:rPr>
          <w:rStyle w:val="40"/>
          <w:rFonts w:hint="eastAsia"/>
          <w:color w:val="auto"/>
          <w:highlight w:val="none"/>
        </w:rPr>
        <w:t>一、投标文件技术标部分格式</w:t>
      </w:r>
      <w:r>
        <w:rPr>
          <w:color w:val="auto"/>
          <w:highlight w:val="none"/>
        </w:rPr>
        <w:tab/>
      </w:r>
      <w:r>
        <w:rPr>
          <w:color w:val="auto"/>
          <w:highlight w:val="none"/>
        </w:rPr>
        <w:fldChar w:fldCharType="begin"/>
      </w:r>
      <w:r>
        <w:rPr>
          <w:color w:val="auto"/>
          <w:highlight w:val="none"/>
        </w:rPr>
        <w:instrText xml:space="preserve"> PAGEREF _Toc101453744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pPr>
        <w:pStyle w:val="29"/>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"_Toc101453754" </w:instrText>
      </w:r>
      <w:r>
        <w:rPr>
          <w:color w:val="auto"/>
          <w:highlight w:val="none"/>
        </w:rPr>
        <w:fldChar w:fldCharType="separate"/>
      </w:r>
      <w:r>
        <w:rPr>
          <w:rStyle w:val="40"/>
          <w:rFonts w:hint="eastAsia"/>
          <w:color w:val="auto"/>
          <w:highlight w:val="none"/>
        </w:rPr>
        <w:t>二、经济标投标文件格式</w:t>
      </w:r>
      <w:r>
        <w:rPr>
          <w:color w:val="auto"/>
          <w:highlight w:val="none"/>
        </w:rPr>
        <w:tab/>
      </w:r>
      <w:r>
        <w:rPr>
          <w:color w:val="auto"/>
          <w:highlight w:val="none"/>
        </w:rPr>
        <w:fldChar w:fldCharType="begin"/>
      </w:r>
      <w:r>
        <w:rPr>
          <w:color w:val="auto"/>
          <w:highlight w:val="none"/>
        </w:rPr>
        <w:instrText xml:space="preserve"> PAGEREF _Toc101453754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"_Toc101453758" </w:instrText>
      </w:r>
      <w:r>
        <w:rPr>
          <w:color w:val="auto"/>
          <w:highlight w:val="none"/>
        </w:rPr>
        <w:fldChar w:fldCharType="separate"/>
      </w:r>
      <w:r>
        <w:rPr>
          <w:rStyle w:val="40"/>
          <w:rFonts w:hint="eastAsia"/>
          <w:color w:val="auto"/>
          <w:highlight w:val="none"/>
        </w:rPr>
        <w:t>第五章技术条件（工程建设标准）</w:t>
      </w:r>
      <w:r>
        <w:rPr>
          <w:color w:val="auto"/>
          <w:highlight w:val="none"/>
        </w:rPr>
        <w:tab/>
      </w:r>
      <w:r>
        <w:rPr>
          <w:color w:val="auto"/>
          <w:highlight w:val="none"/>
        </w:rPr>
        <w:fldChar w:fldCharType="begin"/>
      </w:r>
      <w:r>
        <w:rPr>
          <w:color w:val="auto"/>
          <w:highlight w:val="none"/>
        </w:rPr>
        <w:instrText xml:space="preserve"> PAGEREF _Toc101453758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"_Toc101453759" </w:instrText>
      </w:r>
      <w:r>
        <w:rPr>
          <w:color w:val="auto"/>
          <w:highlight w:val="none"/>
        </w:rPr>
        <w:fldChar w:fldCharType="separate"/>
      </w:r>
      <w:r>
        <w:rPr>
          <w:rStyle w:val="40"/>
          <w:rFonts w:hint="eastAsia"/>
          <w:color w:val="auto"/>
          <w:highlight w:val="none"/>
        </w:rPr>
        <w:t>第六章图纸及勘察资料</w:t>
      </w:r>
      <w:r>
        <w:rPr>
          <w:color w:val="auto"/>
          <w:highlight w:val="none"/>
        </w:rPr>
        <w:tab/>
      </w:r>
      <w:r>
        <w:rPr>
          <w:color w:val="auto"/>
          <w:highlight w:val="none"/>
        </w:rPr>
        <w:fldChar w:fldCharType="begin"/>
      </w:r>
      <w:r>
        <w:rPr>
          <w:color w:val="auto"/>
          <w:highlight w:val="none"/>
        </w:rPr>
        <w:instrText xml:space="preserve"> PAGEREF _Toc101453759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"_Toc101453760" </w:instrText>
      </w:r>
      <w:r>
        <w:rPr>
          <w:color w:val="auto"/>
          <w:highlight w:val="none"/>
        </w:rPr>
        <w:fldChar w:fldCharType="separate"/>
      </w:r>
      <w:r>
        <w:rPr>
          <w:rStyle w:val="40"/>
          <w:rFonts w:hint="eastAsia"/>
          <w:color w:val="auto"/>
          <w:highlight w:val="none"/>
        </w:rPr>
        <w:t>第七章工程量清单</w:t>
      </w:r>
      <w:r>
        <w:rPr>
          <w:color w:val="auto"/>
          <w:highlight w:val="none"/>
        </w:rPr>
        <w:tab/>
      </w:r>
      <w:r>
        <w:rPr>
          <w:color w:val="auto"/>
          <w:highlight w:val="none"/>
        </w:rPr>
        <w:fldChar w:fldCharType="begin"/>
      </w:r>
      <w:r>
        <w:rPr>
          <w:color w:val="auto"/>
          <w:highlight w:val="none"/>
        </w:rPr>
        <w:instrText xml:space="preserve"> PAGEREF _Toc101453760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pPr>
        <w:pStyle w:val="26"/>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"_Toc101453761" </w:instrText>
      </w:r>
      <w:r>
        <w:rPr>
          <w:color w:val="auto"/>
          <w:highlight w:val="none"/>
        </w:rPr>
        <w:fldChar w:fldCharType="separate"/>
      </w:r>
      <w:r>
        <w:rPr>
          <w:rStyle w:val="40"/>
          <w:rFonts w:hint="eastAsia"/>
          <w:color w:val="auto"/>
          <w:highlight w:val="none"/>
        </w:rPr>
        <w:t>第八章最高投标限价</w:t>
      </w:r>
      <w:r>
        <w:rPr>
          <w:color w:val="auto"/>
          <w:highlight w:val="none"/>
        </w:rPr>
        <w:tab/>
      </w:r>
      <w:r>
        <w:rPr>
          <w:color w:val="auto"/>
          <w:highlight w:val="none"/>
        </w:rPr>
        <w:fldChar w:fldCharType="begin"/>
      </w:r>
      <w:r>
        <w:rPr>
          <w:color w:val="auto"/>
          <w:highlight w:val="none"/>
        </w:rPr>
        <w:instrText xml:space="preserve"> PAGEREF _Toc101453761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pPr>
        <w:pStyle w:val="3"/>
        <w:rPr>
          <w:color w:val="auto"/>
          <w:highlight w:val="none"/>
        </w:rPr>
      </w:pPr>
      <w:r>
        <w:rPr>
          <w:color w:val="auto"/>
          <w:highlight w:val="none"/>
        </w:rPr>
        <w:fldChar w:fldCharType="end"/>
      </w:r>
      <w:bookmarkStart w:id="0" w:name="_Toc101453727"/>
      <w:bookmarkStart w:id="1" w:name="_Toc2272545"/>
    </w:p>
    <w:p>
      <w:pPr>
        <w:pStyle w:val="2"/>
        <w:rPr>
          <w:rFonts w:ascii="Arial" w:hAnsi="Arial"/>
          <w:color w:val="auto"/>
          <w:kern w:val="44"/>
          <w:sz w:val="28"/>
          <w:szCs w:val="28"/>
          <w:highlight w:val="none"/>
        </w:rPr>
      </w:pPr>
      <w:r>
        <w:rPr>
          <w:color w:val="auto"/>
          <w:highlight w:val="none"/>
        </w:rPr>
        <w:br w:type="page"/>
      </w:r>
    </w:p>
    <w:p>
      <w:pPr>
        <w:pStyle w:val="3"/>
        <w:rPr>
          <w:color w:val="auto"/>
          <w:highlight w:val="none"/>
        </w:rPr>
      </w:pPr>
      <w:r>
        <w:rPr>
          <w:rFonts w:hint="eastAsia"/>
          <w:color w:val="auto"/>
          <w:highlight w:val="none"/>
        </w:rPr>
        <w:t>第一章投标须知</w:t>
      </w:r>
      <w:bookmarkEnd w:id="0"/>
      <w:bookmarkEnd w:id="1"/>
    </w:p>
    <w:p>
      <w:pPr>
        <w:pStyle w:val="7"/>
        <w:rPr>
          <w:color w:val="auto"/>
          <w:highlight w:val="none"/>
        </w:rPr>
      </w:pPr>
      <w:bookmarkStart w:id="2" w:name="_Toc2272546"/>
      <w:bookmarkStart w:id="3" w:name="_Toc101453728"/>
      <w:r>
        <w:rPr>
          <w:rFonts w:hint="eastAsia"/>
          <w:color w:val="auto"/>
          <w:highlight w:val="none"/>
        </w:rPr>
        <w:t>一、投</w:t>
      </w:r>
      <w:bookmarkStart w:id="102" w:name="_GoBack"/>
      <w:bookmarkEnd w:id="102"/>
      <w:r>
        <w:rPr>
          <w:rFonts w:hint="eastAsia"/>
          <w:color w:val="auto"/>
          <w:highlight w:val="none"/>
        </w:rPr>
        <w:t>标须知前附表</w:t>
      </w:r>
      <w:bookmarkEnd w:id="2"/>
      <w:bookmarkEnd w:id="3"/>
    </w:p>
    <w:p>
      <w:pPr>
        <w:pStyle w:val="8"/>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851"/>
        <w:gridCol w:w="1755"/>
        <w:gridCol w:w="60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851" w:type="dxa"/>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1755"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6042" w:type="dxa"/>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广州尚龙置业有限公司</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广州永安工程管理有限公司</w:t>
            </w:r>
          </w:p>
          <w:p>
            <w:pPr>
              <w:rPr>
                <w:rFonts w:ascii="宋体" w:hAnsi="宋体"/>
                <w:color w:val="auto"/>
                <w:szCs w:val="21"/>
                <w:highlight w:val="none"/>
              </w:rPr>
            </w:pPr>
            <w:r>
              <w:rPr>
                <w:rFonts w:hint="eastAsia" w:ascii="宋体" w:hAnsi="宋体"/>
                <w:color w:val="auto"/>
                <w:szCs w:val="21"/>
                <w:highlight w:val="none"/>
              </w:rPr>
              <w:t>设计单位：</w:t>
            </w:r>
            <w:r>
              <w:rPr>
                <w:rFonts w:hint="eastAsia" w:ascii="宋体" w:hAnsi="宋体"/>
                <w:color w:val="auto"/>
                <w:szCs w:val="21"/>
                <w:highlight w:val="none"/>
                <w:u w:val="single"/>
              </w:rPr>
              <w:t>华南理工大学建筑设计研究院有限公司</w:t>
            </w:r>
          </w:p>
          <w:p>
            <w:pPr>
              <w:rPr>
                <w:rFonts w:ascii="宋体" w:hAnsi="宋体"/>
                <w:color w:val="auto"/>
                <w:szCs w:val="21"/>
                <w:highlight w:val="none"/>
              </w:rPr>
            </w:pPr>
            <w:r>
              <w:rPr>
                <w:rFonts w:hint="eastAsia" w:ascii="宋体" w:hAnsi="宋体"/>
                <w:color w:val="auto"/>
                <w:szCs w:val="21"/>
                <w:highlight w:val="none"/>
              </w:rPr>
              <w:t>监理单位：</w:t>
            </w:r>
            <w:r>
              <w:rPr>
                <w:rFonts w:hint="eastAsia" w:ascii="宋体" w:hAnsi="宋体"/>
                <w:color w:val="auto"/>
                <w:szCs w:val="21"/>
                <w:highlight w:val="none"/>
                <w:u w:val="single"/>
              </w:rPr>
              <w:t>广州珠江工程建设监理有限公司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粤港澳大湾区（广州）科技金融中心项目二期空调工程施工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6042"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包工、包料、包质量、包安全生产、包文明施工、包工期、包承包范围内工程验收通过、包移交、包结算和资料整理归档、包承包人应当购买的保险、包竣工图编制（须满足规划等各专项验收要求）、包总承包管理和现场整体组织、包专业协调及配合等、</w:t>
            </w:r>
            <w:bookmarkStart w:id="4" w:name="_Hlk72400745"/>
            <w:r>
              <w:rPr>
                <w:rFonts w:hint="eastAsia" w:ascii="宋体" w:hAnsi="宋体" w:cs="宋体"/>
                <w:color w:val="auto"/>
                <w:szCs w:val="21"/>
                <w:highlight w:val="none"/>
                <w:u w:val="single"/>
              </w:rPr>
              <w:t>协助</w:t>
            </w:r>
            <w:bookmarkEnd w:id="4"/>
            <w:r>
              <w:rPr>
                <w:rFonts w:hint="eastAsia" w:ascii="宋体" w:hAnsi="宋体" w:cs="宋体"/>
                <w:color w:val="auto"/>
                <w:szCs w:val="21"/>
                <w:highlight w:val="none"/>
                <w:u w:val="single"/>
              </w:rPr>
              <w:t>报批报建等。合同价款根据招标文件和本合同约定的计价方式进行计价和结算。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6042" w:type="dxa"/>
            <w:tcBorders>
              <w:top w:val="single" w:color="auto" w:sz="4" w:space="0"/>
              <w:left w:val="single" w:color="auto" w:sz="4" w:space="0"/>
              <w:bottom w:val="single" w:color="auto" w:sz="4" w:space="0"/>
              <w:right w:val="double" w:color="auto" w:sz="4" w:space="0"/>
            </w:tcBorders>
            <w:vAlign w:val="center"/>
          </w:tcPr>
          <w:p>
            <w:pPr>
              <w:pStyle w:val="2"/>
              <w:rPr>
                <w:color w:val="auto"/>
                <w:highlight w:val="none"/>
              </w:rPr>
            </w:pPr>
            <w:r>
              <w:rPr>
                <w:rFonts w:hint="eastAsia" w:hAnsi="宋体" w:cs="宋体"/>
                <w:color w:val="auto"/>
                <w:szCs w:val="21"/>
                <w:highlight w:val="none"/>
                <w:u w:val="single"/>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本工程工期暂定为300日历天，具体开工日期以招标人或者监理工程师发出开工指令为准。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85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6042"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olor w:val="auto"/>
                <w:highlight w:val="none"/>
                <w:u w:val="single"/>
              </w:rPr>
            </w:pPr>
            <w:r>
              <w:rPr>
                <w:rFonts w:hint="eastAsia" w:ascii="宋体" w:hAnsi="宋体"/>
                <w:color w:val="auto"/>
                <w:highlight w:val="none"/>
                <w:u w:val="single"/>
              </w:rPr>
              <w:t>是否要求投标人递交投标保证金：</w:t>
            </w:r>
          </w:p>
          <w:p>
            <w:pPr>
              <w:spacing w:line="276" w:lineRule="auto"/>
              <w:rPr>
                <w:rFonts w:ascii="宋体" w:hAnsi="宋体"/>
                <w:color w:val="auto"/>
                <w:highlight w:val="none"/>
                <w:u w:val="single"/>
              </w:rPr>
            </w:pPr>
            <w:r>
              <w:rPr>
                <w:rFonts w:hint="eastAsia" w:ascii="宋体" w:hAnsi="宋体"/>
                <w:color w:val="auto"/>
                <w:highlight w:val="none"/>
                <w:u w:val="single"/>
              </w:rPr>
              <w:t>□不要求递交投标保证金。</w:t>
            </w:r>
          </w:p>
          <w:p>
            <w:pPr>
              <w:spacing w:line="276" w:lineRule="auto"/>
              <w:rPr>
                <w:rFonts w:ascii="宋体" w:hAnsi="宋体"/>
                <w:color w:val="auto"/>
                <w:highlight w:val="none"/>
              </w:rPr>
            </w:pPr>
            <w:r>
              <w:rPr>
                <w:rFonts w:hint="eastAsia" w:ascii="宋体" w:hAnsi="宋体"/>
                <w:color w:val="auto"/>
                <w:highlight w:val="none"/>
                <w:u w:val="single"/>
              </w:rPr>
              <w:t>■要求递交投标保证金。投标保证金的金额：10万元；</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投标保证金有效期：与投标有效期一致。</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1、投标保证金的形式：投标保证金可采用现金、支票、投标保证保险、投标保函（银行或专业工程担保公司出具）的形式，须在递交投标文件截止时间前完成缴纳。</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如采用现金或者支票方式提交的，由广州公共资源交易中心代收。保证金从投标人基本账户转账至广州公共资源交易中心。其缴纳情况以广州公共资源交易中心数据库记录的信息为准。缴纳时间：递交投标文件开始时至递交投标文件截止时间前。具体操作步骤参见广州公共资源交易中心最新的投标保证金缴纳操作流程。</w:t>
            </w:r>
          </w:p>
          <w:p>
            <w:pPr>
              <w:rPr>
                <w:color w:val="auto"/>
                <w:highlight w:val="none"/>
              </w:rPr>
            </w:pPr>
            <w:r>
              <w:rPr>
                <w:rFonts w:hint="eastAsia" w:ascii="宋体" w:hAnsi="宋体" w:cs="宋体"/>
                <w:color w:val="auto"/>
                <w:szCs w:val="21"/>
                <w:highlight w:val="none"/>
                <w:u w:val="single"/>
              </w:rPr>
              <w:t>3、如采用投标保函或投标保证保险的方式提交的，投标保函需开具给招标人；保证保险需开具给招标人（受益人也必须是招标人）。在开标前不需要提交纸质原件，投标人应在投标文件中提交投标保函或投标保险等的扫描件并加盖投标人电子印章。完成评标后，由中标候选人在中标候选人公示前提交纸质原件给招标代理单位，将在网上公示。若以交易系统支持的电子保函或电子投标保证保险递交的，到账情况以开标时广州公共资源交易中心数据库查询信息为准。</w:t>
            </w:r>
          </w:p>
          <w:p>
            <w:pPr>
              <w:ind w:firstLine="420" w:firstLineChars="200"/>
              <w:rPr>
                <w:color w:val="auto"/>
                <w:highlight w:val="none"/>
              </w:rPr>
            </w:pPr>
            <w:r>
              <w:rPr>
                <w:rFonts w:hint="eastAsia"/>
                <w:color w:val="auto"/>
                <w:highlight w:val="non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ind w:firstLine="420" w:firstLineChars="200"/>
              <w:rPr>
                <w:strike/>
                <w:color w:val="auto"/>
                <w:highlight w:val="none"/>
              </w:rPr>
            </w:pPr>
            <w:r>
              <w:rPr>
                <w:rFonts w:hint="eastAsia"/>
                <w:strike/>
                <w:color w:val="auto"/>
                <w:highlight w:val="none"/>
              </w:rPr>
              <w:t>2、鼓励招标人对简单小额项目不要求提供投标担保，对中小企业投标人免除投标担保。</w:t>
            </w:r>
          </w:p>
          <w:p>
            <w:pPr>
              <w:ind w:firstLine="420" w:firstLineChars="200"/>
              <w:rPr>
                <w:color w:val="auto"/>
                <w:highlight w:val="none"/>
              </w:rPr>
            </w:pPr>
            <w:r>
              <w:rPr>
                <w:rFonts w:hint="eastAsia"/>
                <w:strike/>
                <w:color w:val="auto"/>
                <w:highlight w:val="none"/>
              </w:rPr>
              <w:t>3、招标人在免收投标保证金的同时，应约定免交投标保证金的投标人存在16.4条款所列情形的后续处理措施。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6042" w:type="dxa"/>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auto"/>
                <w:szCs w:val="21"/>
                <w:highlight w:val="none"/>
              </w:rPr>
            </w:pPr>
            <w:r>
              <w:rPr>
                <w:rFonts w:hint="eastAsia" w:ascii="宋体" w:hAnsi="宋体" w:cs="宋体"/>
                <w:color w:val="auto"/>
                <w:szCs w:val="21"/>
                <w:highlight w:val="none"/>
                <w:u w:val="single"/>
              </w:rPr>
              <w:t>自行踏勘，投标人不进行踏勘的，视为已熟知现场条件，自行承担相关风险。</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p>
          <w:p>
            <w:pPr>
              <w:rPr>
                <w:rFonts w:ascii="宋体" w:hAnsi="宋体"/>
                <w:color w:val="auto"/>
                <w:szCs w:val="21"/>
                <w:highlight w:val="none"/>
              </w:rPr>
            </w:pPr>
            <w:r>
              <w:rPr>
                <w:rFonts w:hint="eastAsia" w:ascii="宋体" w:hAnsi="宋体"/>
                <w:color w:val="auto"/>
                <w:szCs w:val="21"/>
                <w:highlight w:val="none"/>
              </w:rPr>
              <w:t>形式：投标人的疑问通过</w:t>
            </w:r>
            <w:r>
              <w:rPr>
                <w:rFonts w:hint="eastAsia" w:ascii="宋体" w:hAnsi="宋体"/>
                <w:color w:val="auto"/>
                <w:szCs w:val="21"/>
                <w:highlight w:val="none"/>
                <w:u w:val="single"/>
              </w:rPr>
              <w:t>广州公共资源交易中心</w:t>
            </w:r>
            <w:r>
              <w:rPr>
                <w:rFonts w:hint="eastAsia" w:ascii="宋体" w:hAnsi="宋体"/>
                <w:color w:val="auto"/>
                <w:sz w:val="24"/>
                <w:szCs w:val="24"/>
                <w:highlight w:val="none"/>
              </w:rPr>
              <w:t>交易平台</w:t>
            </w:r>
            <w:r>
              <w:rPr>
                <w:rFonts w:hint="eastAsia" w:ascii="宋体" w:hAnsi="宋体"/>
                <w:color w:val="auto"/>
                <w:szCs w:val="21"/>
                <w:highlight w:val="none"/>
              </w:rPr>
              <w:t>提交。</w:t>
            </w:r>
          </w:p>
          <w:p>
            <w:pPr>
              <w:rPr>
                <w:rFonts w:ascii="宋体" w:hAnsi="宋体"/>
                <w:color w:val="auto"/>
                <w:szCs w:val="21"/>
                <w:highlight w:val="none"/>
              </w:rPr>
            </w:pPr>
            <w:r>
              <w:rPr>
                <w:rFonts w:hint="eastAsia" w:ascii="宋体" w:hAnsi="宋体"/>
                <w:color w:val="auto"/>
                <w:szCs w:val="21"/>
                <w:highlight w:val="none"/>
              </w:rPr>
              <w:t>具体要求：按照</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交易平台关于全流程电子化项目的相关指南进行操作，详见：</w:t>
            </w:r>
            <w:r>
              <w:rPr>
                <w:rFonts w:hint="eastAsia" w:ascii="宋体" w:hAnsi="宋体"/>
                <w:color w:val="auto"/>
                <w:szCs w:val="21"/>
                <w:highlight w:val="none"/>
                <w:u w:val="single"/>
              </w:rPr>
              <w:t>广州公共资源交易中心网站(http://www.gzggzy.cn/)服务指南栏目</w:t>
            </w:r>
            <w:r>
              <w:rPr>
                <w:rFonts w:hint="eastAsia" w:ascii="宋体" w:hAnsi="宋体"/>
                <w:color w:val="auto"/>
                <w:szCs w:val="21"/>
                <w:highlight w:val="none"/>
              </w:rPr>
              <w:t>。</w:t>
            </w:r>
          </w:p>
          <w:p>
            <w:pPr>
              <w:rPr>
                <w:rFonts w:ascii="宋体" w:hAnsi="宋体"/>
                <w:color w:val="auto"/>
                <w:szCs w:val="21"/>
                <w:highlight w:val="none"/>
              </w:rPr>
            </w:pPr>
            <w:r>
              <w:rPr>
                <w:rFonts w:hint="eastAsia" w:ascii="宋体" w:hAnsi="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6042" w:type="dxa"/>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color w:val="auto"/>
                <w:highlight w:val="none"/>
              </w:rPr>
              <w:t>（技术标和经济标同时开标）</w:t>
            </w:r>
          </w:p>
          <w:p>
            <w:pPr>
              <w:rPr>
                <w:color w:val="auto"/>
                <w:highlight w:val="none"/>
              </w:rPr>
            </w:pPr>
            <w:r>
              <w:rPr>
                <w:rFonts w:hint="eastAsia"/>
                <w:color w:val="auto"/>
                <w:highlight w:val="none"/>
              </w:rPr>
              <w:t>1、开标开始时间：</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color w:val="auto"/>
                <w:highlight w:val="none"/>
              </w:rPr>
              <w:t>分（与</w:t>
            </w:r>
            <w:r>
              <w:rPr>
                <w:color w:val="auto"/>
                <w:highlight w:val="none"/>
              </w:rPr>
              <w:t>投标截止时间</w:t>
            </w:r>
            <w:r>
              <w:rPr>
                <w:rFonts w:hint="eastAsia"/>
                <w:color w:val="auto"/>
                <w:highlight w:val="none"/>
              </w:rPr>
              <w:t>为</w:t>
            </w:r>
            <w:r>
              <w:rPr>
                <w:color w:val="auto"/>
                <w:highlight w:val="none"/>
              </w:rPr>
              <w:t>同一时间</w:t>
            </w:r>
            <w:r>
              <w:rPr>
                <w:rFonts w:hint="eastAsia"/>
                <w:color w:val="auto"/>
                <w:highlight w:val="none"/>
              </w:rPr>
              <w:t>），地点：广州公共资源交易中心黄埔交易部   开标室。</w:t>
            </w:r>
          </w:p>
          <w:p>
            <w:pPr>
              <w:rPr>
                <w:color w:val="auto"/>
                <w:highlight w:val="none"/>
              </w:rPr>
            </w:pPr>
            <w:r>
              <w:rPr>
                <w:rFonts w:hint="eastAsia"/>
                <w:color w:val="auto"/>
                <w:highlight w:val="none"/>
              </w:rPr>
              <w:t>注：投标文件解密问题。投标人只用执行一次解密，招标人执行解密次数根据招标文件开标次数确定。</w:t>
            </w:r>
          </w:p>
          <w:p>
            <w:pPr>
              <w:numPr>
                <w:ilvl w:val="255"/>
                <w:numId w:val="0"/>
              </w:numPr>
              <w:rPr>
                <w:color w:val="auto"/>
                <w:highlight w:val="none"/>
              </w:rPr>
            </w:pPr>
            <w:r>
              <w:rPr>
                <w:rFonts w:hint="eastAsia" w:ascii="宋体" w:hAnsi="宋体"/>
                <w:color w:val="auto"/>
                <w:szCs w:val="21"/>
                <w:highlight w:val="none"/>
              </w:rPr>
              <w:t>（选择性条款）2、</w:t>
            </w:r>
            <w:r>
              <w:rPr>
                <w:rFonts w:hint="eastAsia"/>
                <w:color w:val="auto"/>
                <w:highlight w:val="none"/>
              </w:rPr>
              <w:t>递交投标文件备用光盘时间：</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color w:val="auto"/>
                <w:highlight w:val="none"/>
              </w:rPr>
              <w:t>分至</w:t>
            </w:r>
            <w:r>
              <w:rPr>
                <w:color w:val="auto"/>
                <w:highlight w:val="none"/>
                <w:u w:val="single"/>
              </w:rPr>
              <w:t xml:space="preserve">     </w:t>
            </w:r>
            <w:r>
              <w:rPr>
                <w:rFonts w:hint="eastAsia"/>
                <w:color w:val="auto"/>
                <w:highlight w:val="none"/>
              </w:rPr>
              <w:t>年</w:t>
            </w:r>
            <w:r>
              <w:rPr>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rPr>
              <w:t>日</w:t>
            </w:r>
            <w:r>
              <w:rPr>
                <w:color w:val="auto"/>
                <w:highlight w:val="none"/>
                <w:u w:val="single"/>
              </w:rPr>
              <w:t xml:space="preserve">   </w:t>
            </w:r>
            <w:r>
              <w:rPr>
                <w:rFonts w:hint="eastAsia"/>
                <w:color w:val="auto"/>
                <w:highlight w:val="none"/>
              </w:rPr>
              <w:t>时</w:t>
            </w:r>
            <w:r>
              <w:rPr>
                <w:color w:val="auto"/>
                <w:highlight w:val="none"/>
                <w:u w:val="single"/>
              </w:rPr>
              <w:t xml:space="preserve">   </w:t>
            </w:r>
            <w:r>
              <w:rPr>
                <w:rFonts w:hint="eastAsia"/>
                <w:color w:val="auto"/>
                <w:highlight w:val="none"/>
              </w:rPr>
              <w:t>分；递交地点：广州公共资源交易中心黄埔交易部   开标室。(建议安排在投标文件截止时间前15分钟至投标文件截止时间）</w:t>
            </w:r>
          </w:p>
          <w:p>
            <w:pPr>
              <w:pStyle w:val="2"/>
              <w:numPr>
                <w:ilvl w:val="255"/>
                <w:numId w:val="0"/>
              </w:numPr>
              <w:rPr>
                <w:color w:val="auto"/>
                <w:highlight w:val="none"/>
              </w:rPr>
            </w:pPr>
            <w:r>
              <w:rPr>
                <w:rFonts w:hint="eastAsia" w:hAnsi="宋体" w:cs="仿宋_GB2312"/>
                <w:color w:val="auto"/>
                <w:highlight w:val="none"/>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开标评标办法</w:t>
            </w:r>
          </w:p>
        </w:tc>
        <w:tc>
          <w:tcPr>
            <w:tcW w:w="6042"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办法六（适合综合评分法三，技术标与经济标同时开启）</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6042" w:type="dxa"/>
            <w:tcBorders>
              <w:top w:val="single" w:color="auto" w:sz="4" w:space="0"/>
              <w:left w:val="single" w:color="auto" w:sz="4" w:space="0"/>
              <w:bottom w:val="single" w:color="auto" w:sz="4" w:space="0"/>
              <w:right w:val="double" w:color="auto" w:sz="4" w:space="0"/>
            </w:tcBorders>
            <w:vAlign w:val="center"/>
          </w:tcPr>
          <w:p>
            <w:pPr>
              <w:pStyle w:val="5"/>
              <w:spacing w:after="0"/>
              <w:ind w:firstLine="0"/>
              <w:rPr>
                <w:rFonts w:ascii="宋体" w:hAnsi="宋体"/>
                <w:color w:val="auto"/>
                <w:highlight w:val="none"/>
              </w:rPr>
            </w:pPr>
            <w:r>
              <w:rPr>
                <w:rFonts w:hint="eastAsia" w:ascii="宋体" w:hAnsi="宋体"/>
                <w:color w:val="auto"/>
                <w:highlight w:val="none"/>
              </w:rPr>
              <w:t>方式一：中标人提供的履约保证金为中标价款的</w:t>
            </w:r>
            <w:r>
              <w:rPr>
                <w:rFonts w:hint="eastAsia" w:ascii="宋体" w:hAnsi="宋体"/>
                <w:color w:val="auto"/>
                <w:highlight w:val="none"/>
                <w:u w:val="single"/>
              </w:rPr>
              <w:t>10%</w:t>
            </w:r>
            <w:r>
              <w:rPr>
                <w:rFonts w:hint="eastAsia" w:ascii="宋体" w:hAnsi="宋体"/>
                <w:color w:val="auto"/>
                <w:highlight w:val="none"/>
              </w:rPr>
              <w:t>。</w:t>
            </w:r>
            <w:r>
              <w:rPr>
                <w:rFonts w:hint="eastAsia" w:ascii="宋体" w:hAnsi="宋体"/>
                <w:color w:val="auto"/>
                <w:szCs w:val="22"/>
                <w:highlight w:val="none"/>
                <w:u w:val="single"/>
              </w:rPr>
              <w:t>中标人须提供由银行或国有担保公司开具的无条件不可撤销的履约担保。如果中标人的履约担保是以银行保函的形式提供，则该银行保函应由在中国注册且营业的分行级别或以上的银行开具。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ascii="宋体" w:hAnsi="宋体"/>
                <w:color w:val="auto"/>
                <w:szCs w:val="21"/>
                <w:highlight w:val="none"/>
                <w:u w:val="single"/>
              </w:rPr>
              <w:t xml:space="preserve"> </w:t>
            </w:r>
            <w:r>
              <w:rPr>
                <w:rFonts w:hint="eastAsia" w:ascii="宋体" w:hAnsi="宋体"/>
                <w:color w:val="auto"/>
                <w:szCs w:val="21"/>
                <w:highlight w:val="none"/>
                <w:u w:val="single"/>
              </w:rPr>
              <w:t>56054008.89</w:t>
            </w:r>
            <w:r>
              <w:rPr>
                <w:rFonts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本项目绿色施工安全防护措施费为</w:t>
            </w:r>
            <w:r>
              <w:rPr>
                <w:rFonts w:ascii="宋体" w:hAnsi="宋体"/>
                <w:color w:val="auto"/>
                <w:szCs w:val="21"/>
                <w:highlight w:val="none"/>
                <w:u w:val="single"/>
              </w:rPr>
              <w:t xml:space="preserve"> </w:t>
            </w:r>
            <w:r>
              <w:rPr>
                <w:rFonts w:hint="eastAsia" w:ascii="宋体" w:hAnsi="宋体"/>
                <w:color w:val="auto"/>
                <w:szCs w:val="21"/>
                <w:highlight w:val="none"/>
                <w:u w:val="single"/>
              </w:rPr>
              <w:t>1866396.62</w:t>
            </w:r>
            <w:r>
              <w:rPr>
                <w:rFonts w:ascii="宋体" w:hAnsi="宋体"/>
                <w:color w:val="auto"/>
                <w:szCs w:val="21"/>
                <w:highlight w:val="none"/>
                <w:u w:val="single"/>
              </w:rPr>
              <w:t xml:space="preserve"> </w:t>
            </w:r>
            <w:r>
              <w:rPr>
                <w:rFonts w:hint="eastAsia" w:ascii="宋体" w:hAnsi="宋体"/>
                <w:color w:val="auto"/>
                <w:szCs w:val="21"/>
                <w:highlight w:val="none"/>
              </w:rPr>
              <w:t>元。暂列金额为</w:t>
            </w:r>
            <w:r>
              <w:rPr>
                <w:rFonts w:ascii="宋体" w:hAnsi="宋体"/>
                <w:color w:val="auto"/>
                <w:szCs w:val="21"/>
                <w:highlight w:val="none"/>
                <w:u w:val="single"/>
              </w:rPr>
              <w:t xml:space="preserve"> </w:t>
            </w:r>
            <w:r>
              <w:rPr>
                <w:rFonts w:hint="eastAsia" w:ascii="宋体" w:hAnsi="宋体"/>
                <w:color w:val="auto"/>
                <w:szCs w:val="21"/>
                <w:highlight w:val="none"/>
                <w:u w:val="single"/>
              </w:rPr>
              <w:t>2322735.1</w:t>
            </w:r>
            <w:r>
              <w:rPr>
                <w:rFonts w:ascii="宋体" w:hAnsi="宋体"/>
                <w:color w:val="auto"/>
                <w:szCs w:val="21"/>
                <w:highlight w:val="none"/>
                <w:u w:val="single"/>
              </w:rPr>
              <w:t xml:space="preserve"> </w:t>
            </w:r>
            <w:r>
              <w:rPr>
                <w:rFonts w:hint="eastAsia" w:ascii="宋体" w:hAnsi="宋体"/>
                <w:color w:val="auto"/>
                <w:szCs w:val="21"/>
                <w:highlight w:val="none"/>
              </w:rPr>
              <w:t>元，暂估价为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85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进入第二阶段评审的家数</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1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①</w:t>
            </w:r>
            <w:r>
              <w:rPr>
                <w:rFonts w:ascii="宋体" w:hAnsi="宋体"/>
                <w:color w:val="auto"/>
                <w:szCs w:val="21"/>
                <w:highlight w:val="none"/>
              </w:rPr>
              <w:fldChar w:fldCharType="end"/>
            </w:r>
            <w:r>
              <w:rPr>
                <w:rFonts w:hint="eastAsia" w:ascii="宋体" w:hAnsi="宋体"/>
                <w:color w:val="auto"/>
                <w:szCs w:val="21"/>
                <w:highlight w:val="none"/>
              </w:rPr>
              <w:t>通过技术有效性审查的投标人均进入第二阶段（适用于通过技术有效性审查家数在[3,</w:t>
            </w:r>
            <w:r>
              <w:rPr>
                <w:rFonts w:hint="eastAsia" w:ascii="宋体" w:hAnsi="宋体"/>
                <w:color w:val="auto"/>
                <w:szCs w:val="21"/>
                <w:highlight w:val="none"/>
                <w:u w:val="single"/>
              </w:rPr>
              <w:t xml:space="preserve"> 7 </w:t>
            </w:r>
            <w:r>
              <w:rPr>
                <w:rFonts w:hint="eastAsia" w:ascii="宋体" w:hAnsi="宋体"/>
                <w:color w:val="auto"/>
                <w:szCs w:val="21"/>
                <w:highlight w:val="none"/>
              </w:rPr>
              <w:t>]中的）。</w:t>
            </w:r>
          </w:p>
          <w:p>
            <w:pPr>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 2 \* GB3</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Fonts w:hint="eastAsia" w:ascii="宋体" w:hAnsi="宋体"/>
                <w:color w:val="auto"/>
                <w:szCs w:val="21"/>
                <w:highlight w:val="none"/>
              </w:rPr>
              <w:t>②</w:t>
            </w:r>
            <w:r>
              <w:rPr>
                <w:rFonts w:ascii="宋体" w:hAnsi="宋体"/>
                <w:color w:val="auto"/>
                <w:szCs w:val="21"/>
                <w:highlight w:val="none"/>
              </w:rPr>
              <w:fldChar w:fldCharType="end"/>
            </w:r>
            <w:r>
              <w:rPr>
                <w:rFonts w:hint="eastAsia" w:ascii="宋体" w:hAnsi="宋体"/>
                <w:color w:val="auto"/>
                <w:szCs w:val="21"/>
                <w:highlight w:val="none"/>
              </w:rPr>
              <w:t>将第一阶段得分由高至低排序，前</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名投标人进入第二阶段评审（适用于通过技术有效性审查家数大于</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家的，招标人可根据工程具体情况，确定不少于</w:t>
            </w:r>
            <w:r>
              <w:rPr>
                <w:rFonts w:hint="eastAsia" w:ascii="宋体" w:hAnsi="宋体"/>
                <w:color w:val="auto"/>
                <w:szCs w:val="21"/>
                <w:highlight w:val="none"/>
                <w:u w:val="single"/>
              </w:rPr>
              <w:t xml:space="preserve"> </w:t>
            </w:r>
            <w:r>
              <w:rPr>
                <w:rFonts w:ascii="宋体" w:hAnsi="宋体"/>
                <w:color w:val="auto"/>
                <w:szCs w:val="21"/>
                <w:highlight w:val="none"/>
                <w:u w:val="single"/>
              </w:rPr>
              <w:t>7</w:t>
            </w:r>
            <w:r>
              <w:rPr>
                <w:rFonts w:hint="eastAsia" w:ascii="宋体" w:hAnsi="宋体"/>
                <w:color w:val="auto"/>
                <w:szCs w:val="21"/>
                <w:highlight w:val="none"/>
                <w:u w:val="single"/>
              </w:rPr>
              <w:t xml:space="preserve"> </w:t>
            </w:r>
            <w:r>
              <w:rPr>
                <w:rFonts w:hint="eastAsia" w:ascii="宋体" w:hAnsi="宋体"/>
                <w:color w:val="auto"/>
                <w:szCs w:val="21"/>
                <w:highlight w:val="none"/>
              </w:rPr>
              <w:t>家进入第二阶段）。</w:t>
            </w:r>
          </w:p>
          <w:p>
            <w:pPr>
              <w:rPr>
                <w:rFonts w:ascii="宋体" w:hAnsi="宋体"/>
                <w:color w:val="auto"/>
                <w:szCs w:val="21"/>
                <w:highlight w:val="none"/>
              </w:rPr>
            </w:pPr>
            <w:r>
              <w:rPr>
                <w:rFonts w:hint="eastAsia" w:ascii="宋体" w:hAnsi="宋体"/>
                <w:color w:val="auto"/>
                <w:szCs w:val="21"/>
                <w:highlight w:val="none"/>
              </w:rPr>
              <w:t>注：本款适用于选择评标办法一至评标办法六。进入第二阶段的投标人家数应符合</w:t>
            </w:r>
            <w:r>
              <w:rPr>
                <w:rFonts w:hint="eastAsia" w:ascii="宋体" w:hAnsi="宋体" w:cs="仿宋_GB2312"/>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r>
              <w:rPr>
                <w:rFonts w:hint="eastAsia" w:ascii="宋体" w:hAnsi="宋体" w:cs="宋体"/>
                <w:color w:val="auto"/>
                <w:szCs w:val="21"/>
                <w:highlight w:val="none"/>
                <w:u w:val="single"/>
              </w:rPr>
              <w:t>按最高投标限价的90%设置</w:t>
            </w:r>
            <w:r>
              <w:rPr>
                <w:rFonts w:hint="eastAsia" w:ascii="宋体" w:hAnsi="宋体"/>
                <w:color w:val="auto"/>
                <w:szCs w:val="21"/>
                <w:highlight w:val="none"/>
              </w:rPr>
              <w:t>为</w:t>
            </w:r>
            <w:r>
              <w:rPr>
                <w:rFonts w:hint="eastAsia" w:ascii="宋体" w:hAnsi="宋体"/>
                <w:color w:val="auto"/>
                <w:szCs w:val="21"/>
                <w:highlight w:val="none"/>
                <w:u w:val="single"/>
              </w:rPr>
              <w:t xml:space="preserve"> 50448608.00</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第一阶段各分值的权重</w:t>
            </w:r>
          </w:p>
        </w:tc>
        <w:tc>
          <w:tcPr>
            <w:tcW w:w="6042"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bCs/>
                <w:color w:val="auto"/>
                <w:szCs w:val="21"/>
                <w:highlight w:val="none"/>
              </w:rPr>
            </w:pPr>
            <w:r>
              <w:rPr>
                <w:rFonts w:hint="eastAsia" w:ascii="宋体" w:hAnsi="宋体" w:cs="宋体"/>
                <w:bCs/>
                <w:color w:val="auto"/>
                <w:szCs w:val="21"/>
                <w:highlight w:val="none"/>
                <w:u w:val="single"/>
              </w:rPr>
              <w:t>技术分权重为100%。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评标委员会人数</w:t>
            </w:r>
          </w:p>
        </w:tc>
        <w:tc>
          <w:tcPr>
            <w:tcW w:w="6042"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企业综合诚信评价分数</w:t>
            </w:r>
          </w:p>
        </w:tc>
        <w:tc>
          <w:tcPr>
            <w:tcW w:w="6042"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85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58"/>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6042"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85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6042"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olor w:val="auto"/>
                <w:szCs w:val="21"/>
                <w:highlight w:val="none"/>
              </w:rPr>
            </w:pPr>
            <w:r>
              <w:rPr>
                <w:rFonts w:hint="eastAsia" w:ascii="宋体" w:hAnsi="宋体" w:cs="宋体"/>
                <w:color w:val="auto"/>
                <w:szCs w:val="21"/>
                <w:highlight w:val="none"/>
                <w:u w:val="singl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85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选取方法</w:t>
            </w:r>
            <w:r>
              <w:rPr>
                <w:rFonts w:hint="eastAsia" w:ascii="宋体" w:hAnsi="宋体"/>
                <w:color w:val="auto"/>
                <w:szCs w:val="21"/>
                <w:highlight w:val="none"/>
                <w:u w:val="single"/>
              </w:rPr>
              <w:t xml:space="preserve">  二  </w:t>
            </w:r>
          </w:p>
          <w:p>
            <w:pPr>
              <w:rPr>
                <w:rFonts w:ascii="宋体" w:hAnsi="宋体"/>
                <w:color w:val="auto"/>
                <w:szCs w:val="21"/>
                <w:highlight w:val="none"/>
                <w:u w:val="single"/>
              </w:rPr>
            </w:pPr>
            <w:r>
              <w:rPr>
                <w:rFonts w:hint="eastAsia" w:ascii="宋体" w:hAnsi="宋体"/>
                <w:color w:val="auto"/>
                <w:szCs w:val="21"/>
                <w:highlight w:val="none"/>
              </w:rPr>
              <w:t>方法二：</w:t>
            </w:r>
            <w:r>
              <w:rPr>
                <w:rFonts w:hint="eastAsia" w:ascii="宋体" w:hAnsi="宋体" w:cs="宋体"/>
                <w:color w:val="auto"/>
                <w:szCs w:val="21"/>
                <w:highlight w:val="none"/>
                <w:u w:val="single"/>
              </w:rPr>
              <w:t>按照“</w:t>
            </w:r>
            <w:r>
              <w:rPr>
                <w:rFonts w:hint="eastAsia" w:ascii="宋体" w:hAnsi="宋体" w:cs="宋体"/>
                <w:b/>
                <w:color w:val="auto"/>
                <w:szCs w:val="21"/>
                <w:highlight w:val="none"/>
                <w:u w:val="single"/>
              </w:rPr>
              <w:t>总分=技术分×技术分权重（40%）+经济分×经济分权重（60%）</w:t>
            </w:r>
            <w:r>
              <w:rPr>
                <w:rFonts w:ascii="宋体" w:hAnsi="宋体" w:cs="宋体"/>
                <w:color w:val="auto"/>
                <w:szCs w:val="21"/>
                <w:highlight w:val="none"/>
                <w:u w:val="single"/>
              </w:rPr>
              <w:t>”</w:t>
            </w:r>
            <w:r>
              <w:rPr>
                <w:rFonts w:hint="eastAsia" w:ascii="宋体" w:hAnsi="宋体"/>
                <w:color w:val="auto"/>
                <w:szCs w:val="21"/>
                <w:highlight w:val="none"/>
                <w:u w:val="single"/>
              </w:rPr>
              <w:t>的公式，计算各有效投标文件的总分，并按照总分从高到低排列先后次序。若投标人得分相同的，则以投标总报价较低的排前；投标总报价仍相同的，则以技术分较高的排前；如仍存在相同情况，则对具有相同情况的投标人，按中标候选人数量规定，由评标委员会采用记名投票方式，确定中标候选人的排序。</w:t>
            </w:r>
          </w:p>
          <w:p>
            <w:pPr>
              <w:rPr>
                <w:rFonts w:ascii="宋体" w:hAnsi="宋体"/>
                <w:color w:val="auto"/>
                <w:szCs w:val="21"/>
                <w:highlight w:val="none"/>
                <w:u w:val="single"/>
              </w:rPr>
            </w:pPr>
            <w:r>
              <w:rPr>
                <w:rFonts w:hint="eastAsia" w:ascii="宋体" w:hAnsi="宋体"/>
                <w:color w:val="auto"/>
                <w:szCs w:val="21"/>
                <w:highlight w:val="none"/>
                <w:u w:val="single"/>
              </w:rPr>
              <w:t xml:space="preserve">注：记名投票方式确定排序的具体操作步骤为：由评标委员会对出现该情况的投标人进行编号，然后通过记名投票的方式依次确定，按得票数从高到低排列先后次序，以得票数高的排前，根据得票数高低确定中标候选人排序。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s="宋体"/>
                <w:color w:val="auto"/>
                <w:szCs w:val="21"/>
                <w:highlight w:val="none"/>
                <w:u w:val="single"/>
              </w:rPr>
              <w:t>详见招标文件及相关合同条款。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建设工程质量检测管理办法</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根据《建设工程质量检测管理办法》（建设部令第</w:t>
            </w:r>
            <w:r>
              <w:rPr>
                <w:rFonts w:ascii="宋体" w:hAnsi="宋体"/>
                <w:color w:val="auto"/>
                <w:kern w:val="0"/>
                <w:szCs w:val="21"/>
                <w:highlight w:val="none"/>
                <w:lang w:val="zh-CN"/>
              </w:rPr>
              <w:t>141</w:t>
            </w:r>
            <w:r>
              <w:rPr>
                <w:rFonts w:hint="eastAsia" w:ascii="宋体" w:hAnsi="宋体"/>
                <w:color w:val="auto"/>
                <w:kern w:val="0"/>
                <w:szCs w:val="21"/>
                <w:highlight w:val="none"/>
                <w:lang w:val="zh-CN"/>
              </w:rPr>
              <w:t>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6042" w:type="dxa"/>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olor w:val="auto"/>
                <w:kern w:val="0"/>
                <w:szCs w:val="21"/>
                <w:highlight w:val="none"/>
                <w:lang w:val="zh-CN"/>
              </w:rPr>
            </w:pPr>
            <w:r>
              <w:rPr>
                <w:rFonts w:hint="eastAsia" w:ascii="宋体" w:hAnsi="宋体" w:eastAsia="MS Mincho" w:cs="MS Mincho"/>
                <w:color w:val="auto"/>
                <w:kern w:val="0"/>
                <w:szCs w:val="21"/>
                <w:highlight w:val="none"/>
                <w:lang w:val="zh-CN"/>
              </w:rPr>
              <w:t>☑</w:t>
            </w:r>
            <w:r>
              <w:rPr>
                <w:rFonts w:hint="eastAsia" w:ascii="宋体" w:hAnsi="宋体" w:cs="宋体"/>
                <w:color w:val="auto"/>
                <w:kern w:val="0"/>
                <w:szCs w:val="21"/>
                <w:highlight w:val="none"/>
                <w:lang w:val="zh-CN"/>
              </w:rPr>
              <w:t>不允许；</w:t>
            </w:r>
          </w:p>
          <w:p>
            <w:pPr>
              <w:adjustRightInd w:val="0"/>
              <w:snapToGrid w:val="0"/>
              <w:rPr>
                <w:rFonts w:ascii="宋体" w:hAnsi="宋体"/>
                <w:color w:val="auto"/>
                <w:kern w:val="0"/>
                <w:szCs w:val="21"/>
                <w:highlight w:val="none"/>
              </w:rPr>
            </w:pPr>
            <w:r>
              <w:rPr>
                <w:rFonts w:hint="eastAsia" w:ascii="宋体" w:hAnsi="宋体"/>
                <w:color w:val="auto"/>
                <w:kern w:val="0"/>
                <w:szCs w:val="21"/>
                <w:highlight w:val="none"/>
                <w:lang w:val="zh-CN"/>
              </w:rPr>
              <w:t>□允许：分包内容要要求：</w:t>
            </w:r>
            <w:r>
              <w:rPr>
                <w:rFonts w:hint="eastAsia" w:ascii="宋体" w:hAnsi="宋体"/>
                <w:color w:val="auto"/>
                <w:kern w:val="0"/>
                <w:szCs w:val="21"/>
                <w:highlight w:val="none"/>
              </w:rPr>
              <w:t>/</w:t>
            </w:r>
          </w:p>
          <w:p>
            <w:pPr>
              <w:adjustRightInd w:val="0"/>
              <w:snapToGrid w:val="0"/>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olor w:val="auto"/>
                <w:kern w:val="0"/>
                <w:szCs w:val="21"/>
                <w:highlight w:val="none"/>
              </w:rPr>
              <w:t>/</w:t>
            </w:r>
          </w:p>
          <w:p>
            <w:pPr>
              <w:adjustRightInd w:val="0"/>
              <w:snapToGrid w:val="0"/>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olor w:val="auto"/>
                <w:kern w:val="0"/>
                <w:szCs w:val="21"/>
                <w:highlight w:val="none"/>
              </w:rPr>
              <w:t>/</w:t>
            </w:r>
          </w:p>
          <w:p>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6042"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w:t>
            </w:r>
            <w:r>
              <w:rPr>
                <w:rFonts w:hint="eastAsia" w:ascii="宋体" w:hAnsi="宋体" w:cs="Courier New"/>
                <w:color w:val="auto"/>
                <w:szCs w:val="21"/>
                <w:highlight w:val="none"/>
                <w:u w:val="single"/>
              </w:rPr>
              <w:t>广州公共资源交易中心</w:t>
            </w:r>
            <w:r>
              <w:rPr>
                <w:rFonts w:hint="eastAsia" w:ascii="宋体" w:hAnsi="宋体" w:cs="Courier New"/>
                <w:color w:val="auto"/>
                <w:szCs w:val="21"/>
                <w:highlight w:val="none"/>
              </w:rPr>
              <w:t>交易平台关于全流程电子化项目的相关指南进行操作。详见：</w:t>
            </w:r>
            <w:r>
              <w:rPr>
                <w:rFonts w:hint="eastAsia" w:ascii="宋体" w:hAnsi="宋体" w:cs="Courier New"/>
                <w:color w:val="auto"/>
                <w:szCs w:val="21"/>
                <w:highlight w:val="none"/>
                <w:u w:val="single"/>
              </w:rPr>
              <w:t>广州公共资源交易中心网站(http://www.gzggzy.cn/)服务指南栏目</w:t>
            </w:r>
            <w:r>
              <w:rPr>
                <w:rFonts w:hint="eastAsia" w:ascii="宋体" w:hAnsi="宋体" w:cs="Courier New"/>
                <w:color w:val="auto"/>
                <w:szCs w:val="21"/>
                <w:highlight w:val="none"/>
              </w:rPr>
              <w:t>。</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37</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1755"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招标人拒绝接收投标文件备用光盘的情况</w:t>
            </w:r>
          </w:p>
        </w:tc>
        <w:tc>
          <w:tcPr>
            <w:tcW w:w="6042" w:type="dxa"/>
            <w:tcBorders>
              <w:top w:val="single" w:color="auto" w:sz="4" w:space="0"/>
              <w:left w:val="single" w:color="auto" w:sz="4" w:space="0"/>
              <w:bottom w:val="sing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1、在投标截止期后逾期或未在指定地点递交投标文件备用光盘的；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2、投标文件备用光盘未按招标文件要求密封或未在密封处盖章的；</w:t>
            </w:r>
          </w:p>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38</w:t>
            </w:r>
          </w:p>
        </w:tc>
        <w:tc>
          <w:tcPr>
            <w:tcW w:w="85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p>
        </w:tc>
        <w:tc>
          <w:tcPr>
            <w:tcW w:w="1755" w:type="dxa"/>
            <w:tcBorders>
              <w:top w:val="single" w:color="auto" w:sz="4" w:space="0"/>
              <w:left w:val="single" w:color="auto" w:sz="4" w:space="0"/>
              <w:bottom w:val="double" w:color="auto" w:sz="4" w:space="0"/>
              <w:right w:val="sing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6042" w:type="dxa"/>
            <w:tcBorders>
              <w:top w:val="single" w:color="auto" w:sz="4" w:space="0"/>
              <w:left w:val="single" w:color="auto" w:sz="4" w:space="0"/>
              <w:bottom w:val="double" w:color="auto" w:sz="4" w:space="0"/>
              <w:right w:val="double" w:color="auto" w:sz="4" w:space="0"/>
            </w:tcBorders>
            <w:vAlign w:val="center"/>
          </w:tcPr>
          <w:p>
            <w:pPr>
              <w:spacing w:line="276" w:lineRule="auto"/>
              <w:rPr>
                <w:rFonts w:ascii="宋体" w:hAnsi="宋体" w:cs="宋体"/>
                <w:color w:val="auto"/>
                <w:szCs w:val="21"/>
                <w:highlight w:val="none"/>
                <w:u w:val="single"/>
              </w:rPr>
            </w:pPr>
            <w:r>
              <w:rPr>
                <w:rFonts w:hint="eastAsia" w:ascii="宋体" w:hAnsi="宋体" w:cs="宋体"/>
                <w:color w:val="auto"/>
                <w:szCs w:val="21"/>
                <w:highlight w:val="none"/>
                <w:u w:val="single"/>
              </w:rPr>
              <w:t>中标单位在中标公示结束后三个工作日内分别提交4套与电子投标文件内容完全一致的纸质版投标文件（含经济标单价分析）及经济标报价套价软件版和Microsoft Excel版电子文件光盘。</w:t>
            </w:r>
          </w:p>
        </w:tc>
      </w:tr>
    </w:tbl>
    <w:p>
      <w:pPr>
        <w:spacing w:line="480" w:lineRule="auto"/>
        <w:rPr>
          <w:rFonts w:ascii="宋体"/>
          <w:strike/>
          <w:color w:val="auto"/>
          <w:sz w:val="24"/>
          <w:highlight w:val="none"/>
        </w:rPr>
      </w:pPr>
      <w:r>
        <w:rPr>
          <w:rFonts w:hint="eastAsia" w:ascii="宋体" w:hAnsi="宋体"/>
          <w:strike/>
          <w:color w:val="auto"/>
          <w:sz w:val="24"/>
          <w:highlight w:val="none"/>
        </w:rPr>
        <w:t>注：企业</w:t>
      </w:r>
      <w:r>
        <w:rPr>
          <w:rFonts w:hint="eastAsia" w:ascii="宋体" w:hAnsi="宋体" w:cs="宋体"/>
          <w:strike/>
          <w:color w:val="auto"/>
          <w:kern w:val="0"/>
          <w:sz w:val="24"/>
          <w:highlight w:val="none"/>
        </w:rPr>
        <w:t>综合诚信评价得分即</w:t>
      </w:r>
      <w:r>
        <w:rPr>
          <w:rFonts w:hint="eastAsia" w:ascii="宋体" w:hAnsi="宋体"/>
          <w:strike/>
          <w:color w:val="auto"/>
          <w:sz w:val="24"/>
          <w:highlight w:val="none"/>
        </w:rPr>
        <w:t>企业</w:t>
      </w:r>
      <w:r>
        <w:rPr>
          <w:rFonts w:hint="eastAsia" w:ascii="宋体" w:hAnsi="宋体" w:cs="宋体"/>
          <w:strike/>
          <w:color w:val="auto"/>
          <w:kern w:val="0"/>
          <w:sz w:val="24"/>
          <w:highlight w:val="none"/>
        </w:rPr>
        <w:t>综合诚信评价</w:t>
      </w:r>
      <w:r>
        <w:rPr>
          <w:rFonts w:ascii="宋体" w:hAnsi="宋体" w:cs="宋体"/>
          <w:strike/>
          <w:color w:val="auto"/>
          <w:kern w:val="0"/>
          <w:sz w:val="24"/>
          <w:highlight w:val="none"/>
        </w:rPr>
        <w:t>60</w:t>
      </w:r>
      <w:r>
        <w:rPr>
          <w:rFonts w:hint="eastAsia" w:ascii="宋体" w:hAnsi="宋体" w:cs="宋体"/>
          <w:strike/>
          <w:color w:val="auto"/>
          <w:kern w:val="0"/>
          <w:sz w:val="24"/>
          <w:highlight w:val="none"/>
        </w:rPr>
        <w:t>日诚信分，以下同。</w:t>
      </w:r>
    </w:p>
    <w:p>
      <w:pPr>
        <w:pStyle w:val="7"/>
        <w:rPr>
          <w:color w:val="auto"/>
          <w:highlight w:val="none"/>
        </w:rPr>
      </w:pPr>
      <w:r>
        <w:rPr>
          <w:color w:val="auto"/>
          <w:highlight w:val="none"/>
        </w:rPr>
        <w:br w:type="page"/>
      </w:r>
      <w:bookmarkStart w:id="5" w:name="_Toc2272547"/>
      <w:bookmarkStart w:id="6" w:name="_Toc101453729"/>
      <w:r>
        <w:rPr>
          <w:rFonts w:hint="eastAsia"/>
          <w:color w:val="auto"/>
          <w:highlight w:val="none"/>
        </w:rPr>
        <w:t>二、投标须知修改表</w:t>
      </w:r>
      <w:bookmarkEnd w:id="5"/>
      <w:bookmarkEnd w:id="6"/>
    </w:p>
    <w:p>
      <w:pPr>
        <w:pStyle w:val="5"/>
        <w:spacing w:line="360" w:lineRule="auto"/>
        <w:rPr>
          <w:b/>
          <w:color w:val="auto"/>
          <w:szCs w:val="21"/>
          <w:highlight w:val="none"/>
        </w:rPr>
      </w:pPr>
      <w:r>
        <w:rPr>
          <w:rFonts w:hint="eastAsia"/>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：5.1</w:t>
      </w:r>
      <w:r>
        <w:rPr>
          <w:rFonts w:hint="eastAsia" w:ascii="宋体" w:hAnsi="宋体" w:cs="宋体"/>
          <w:bCs/>
          <w:color w:val="auto"/>
          <w:szCs w:val="21"/>
          <w:highlight w:val="none"/>
        </w:rPr>
        <w:t>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480" w:lineRule="auto"/>
        <w:ind w:firstLine="470" w:firstLineChars="224"/>
        <w:rPr>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条款号：8.1                          修改类型：修改</w:t>
      </w:r>
    </w:p>
    <w:p>
      <w:pPr>
        <w:pStyle w:val="5"/>
        <w:pBdr>
          <w:bottom w:val="single" w:color="auto" w:sz="6" w:space="1"/>
        </w:pBdr>
        <w:spacing w:after="0"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8.1投标人若对招标文件（包括招标图纸）中有疑问，可以书面形式通过</w:t>
      </w:r>
      <w:r>
        <w:rPr>
          <w:color w:val="auto"/>
          <w:sz w:val="24"/>
          <w:szCs w:val="24"/>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480" w:lineRule="auto"/>
        <w:ind w:firstLine="470" w:firstLineChars="224"/>
        <w:rPr>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bCs/>
          <w:color w:val="auto"/>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5"/>
        <w:spacing w:after="0"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color w:val="auto"/>
          <w:sz w:val="24"/>
          <w:szCs w:val="24"/>
          <w:highlight w:val="none"/>
          <w:u w:val="single"/>
        </w:rPr>
        <w:t xml:space="preserve">        </w:t>
      </w:r>
      <w:r>
        <w:rPr>
          <w:rFonts w:hint="eastAsia" w:ascii="宋体" w:hAnsi="宋体" w:cs="宋体"/>
          <w:color w:val="auto"/>
          <w:szCs w:val="21"/>
          <w:highlight w:val="none"/>
        </w:rPr>
        <w:t>交易平台 “项目答疑纪要”专区公开发布。答疑纪要一经在</w:t>
      </w:r>
      <w:r>
        <w:rPr>
          <w:color w:val="auto"/>
          <w:sz w:val="24"/>
          <w:szCs w:val="24"/>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条款号：9.2                         修改类型：修改</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color w:val="auto"/>
          <w:sz w:val="24"/>
          <w:szCs w:val="24"/>
          <w:highlight w:val="none"/>
          <w:u w:val="single"/>
        </w:rPr>
        <w:t xml:space="preserve">        </w:t>
      </w:r>
      <w:r>
        <w:rPr>
          <w:rFonts w:hint="eastAsia" w:ascii="宋体" w:hAnsi="宋体" w:cs="宋体"/>
          <w:color w:val="auto"/>
          <w:szCs w:val="21"/>
          <w:highlight w:val="none"/>
        </w:rPr>
        <w:t>交易平台“项目答疑纪要”专区公开发布。答疑纪要一经在</w:t>
      </w:r>
      <w:r>
        <w:rPr>
          <w:color w:val="auto"/>
          <w:sz w:val="24"/>
          <w:szCs w:val="24"/>
          <w:highlight w:val="none"/>
          <w:u w:val="single"/>
        </w:rPr>
        <w:t xml:space="preserve">        </w:t>
      </w:r>
      <w:r>
        <w:rPr>
          <w:rFonts w:hint="eastAsia" w:ascii="宋体" w:hAnsi="宋体" w:cs="宋体"/>
          <w:color w:val="auto"/>
          <w:szCs w:val="21"/>
          <w:highlight w:val="none"/>
        </w:rPr>
        <w:t>交易平台发布，视作已发放给所有投标人，以</w:t>
      </w:r>
      <w:r>
        <w:rPr>
          <w:color w:val="auto"/>
          <w:sz w:val="24"/>
          <w:szCs w:val="24"/>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Cs w:val="21"/>
          <w:highlight w:val="none"/>
          <w:u w:val="single"/>
        </w:rPr>
        <w:t>项目查询(日程安排、答疑纪要)</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rPr>
        <w:t>”专区公开发布。答疑纪要一经在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交易平台上网发布时间作为送达时间。</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9.4招标文件的澄清或修改均以</w:t>
      </w:r>
      <w:r>
        <w:rPr>
          <w:rFonts w:hint="eastAsia" w:ascii="宋体" w:hAnsi="宋体" w:cs="宋体"/>
          <w:color w:val="auto"/>
          <w:szCs w:val="21"/>
          <w:highlight w:val="none"/>
          <w:u w:val="single"/>
        </w:rPr>
        <w:t>网上答疑公布</w:t>
      </w:r>
      <w:r>
        <w:rPr>
          <w:rFonts w:hint="eastAsia" w:ascii="宋体" w:hAnsi="宋体" w:cs="宋体"/>
          <w:color w:val="auto"/>
          <w:szCs w:val="21"/>
          <w:highlight w:val="none"/>
        </w:rPr>
        <w:t>的内容为准。当招标文件的澄清、修改、补充等在同一内容的表述不一致时，以最后发出的</w:t>
      </w:r>
      <w:r>
        <w:rPr>
          <w:rFonts w:hint="eastAsia" w:ascii="宋体" w:hAnsi="宋体" w:cs="宋体"/>
          <w:color w:val="auto"/>
          <w:szCs w:val="21"/>
          <w:highlight w:val="none"/>
          <w:u w:val="single"/>
        </w:rPr>
        <w:t>文件</w:t>
      </w:r>
      <w:r>
        <w:rPr>
          <w:rFonts w:hint="eastAsia" w:ascii="宋体" w:hAnsi="宋体" w:cs="宋体"/>
          <w:color w:val="auto"/>
          <w:szCs w:val="21"/>
          <w:highlight w:val="none"/>
        </w:rPr>
        <w:t>为准。</w:t>
      </w:r>
    </w:p>
    <w:p>
      <w:pPr>
        <w:spacing w:line="480" w:lineRule="auto"/>
        <w:ind w:firstLine="470" w:firstLineChars="224"/>
        <w:rPr>
          <w:b/>
          <w:color w:val="auto"/>
          <w:szCs w:val="21"/>
          <w:highlight w:val="none"/>
        </w:rPr>
      </w:pPr>
      <w:r>
        <w:rPr>
          <w:rFonts w:hint="eastAsia" w:ascii="宋体" w:hAnsi="宋体" w:cs="宋体"/>
          <w:b/>
          <w:color w:val="auto"/>
          <w:szCs w:val="21"/>
          <w:highlight w:val="none"/>
        </w:rPr>
        <w:t>条款号：11.2                       修改类型：修改</w:t>
      </w:r>
    </w:p>
    <w:p>
      <w:pPr>
        <w:spacing w:line="360" w:lineRule="auto"/>
        <w:ind w:firstLine="409" w:firstLineChars="195"/>
        <w:rPr>
          <w:rFonts w:ascii="宋体" w:hAnsi="宋体" w:cs="宋体"/>
          <w:color w:val="auto"/>
          <w:szCs w:val="21"/>
          <w:highlight w:val="none"/>
        </w:rPr>
      </w:pPr>
      <w:r>
        <w:rPr>
          <w:rFonts w:hint="eastAsia"/>
          <w:b/>
          <w:color w:val="auto"/>
          <w:szCs w:val="21"/>
          <w:highlight w:val="none"/>
        </w:rPr>
        <w:t>原文：</w:t>
      </w:r>
      <w:r>
        <w:rPr>
          <w:rFonts w:ascii="宋体" w:hAnsi="宋体" w:cs="宋体"/>
          <w:color w:val="auto"/>
          <w:szCs w:val="21"/>
          <w:highlight w:val="none"/>
        </w:rPr>
        <w:t>11.2</w:t>
      </w:r>
      <w:r>
        <w:rPr>
          <w:rFonts w:hint="eastAsia" w:ascii="宋体" w:hAnsi="宋体" w:cs="宋体"/>
          <w:color w:val="auto"/>
          <w:szCs w:val="21"/>
          <w:highlight w:val="none"/>
        </w:rPr>
        <w:t>投标文件技术标部分主要包括下列内容</w:t>
      </w:r>
      <w:r>
        <w:rPr>
          <w:rFonts w:ascii="宋体" w:hAnsi="宋体" w:cs="宋体"/>
          <w:color w:val="auto"/>
          <w:szCs w:val="21"/>
          <w:highlight w:val="none"/>
        </w:rPr>
        <w:t>:</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11.2.1 技术投标文件</w:t>
      </w:r>
      <w:r>
        <w:rPr>
          <w:rFonts w:ascii="宋体" w:hAnsi="宋体" w:cs="宋体"/>
          <w:color w:val="auto"/>
          <w:szCs w:val="21"/>
          <w:highlight w:val="none"/>
        </w:rPr>
        <w:t>(</w:t>
      </w:r>
      <w:r>
        <w:rPr>
          <w:rFonts w:hint="eastAsia" w:ascii="宋体" w:hAnsi="宋体" w:cs="宋体"/>
          <w:color w:val="auto"/>
          <w:szCs w:val="21"/>
          <w:highlight w:val="none"/>
        </w:rPr>
        <w:t>按招标文件的要求填写</w:t>
      </w:r>
      <w:r>
        <w:rPr>
          <w:rFonts w:ascii="宋体" w:hAnsi="宋体" w:cs="宋体"/>
          <w:color w:val="auto"/>
          <w:szCs w:val="21"/>
          <w:highlight w:val="none"/>
        </w:rPr>
        <w:t>)</w:t>
      </w:r>
      <w:r>
        <w:rPr>
          <w:rFonts w:hint="eastAsia" w:ascii="宋体" w:hAnsi="宋体" w:cs="宋体"/>
          <w:color w:val="auto"/>
          <w:szCs w:val="21"/>
          <w:highlight w:val="none"/>
        </w:rPr>
        <w:t>；</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 xml:space="preserve">（1）投标人声明； </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（8）拟委托技术负责人的相关证书、资料（具体要求由招标人明确）</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 xml:space="preserve">（9）拟委派项目负责人的建造师注册证书或小型项目负责人相关证明（取自平台内上传件）； </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（12）用于资格审查的业绩（设置业绩要求时选择此项，投标人须提供类似工程业绩的项目名称及项目编号，具体格式由招标人自定）；</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09" w:firstLineChars="195"/>
        <w:rPr>
          <w:rFonts w:ascii="宋体" w:hAnsi="宋体" w:cs="宋体"/>
          <w:color w:val="auto"/>
          <w:szCs w:val="21"/>
          <w:highlight w:val="none"/>
        </w:rPr>
      </w:pPr>
      <w:r>
        <w:rPr>
          <w:rFonts w:ascii="宋体" w:hAnsi="宋体" w:cs="宋体"/>
          <w:color w:val="auto"/>
          <w:szCs w:val="21"/>
          <w:highlight w:val="none"/>
        </w:rPr>
        <w:t>11.2.3</w:t>
      </w:r>
      <w:r>
        <w:rPr>
          <w:rFonts w:hint="eastAsia" w:ascii="宋体" w:hAnsi="宋体" w:cs="宋体"/>
          <w:color w:val="auto"/>
          <w:szCs w:val="21"/>
          <w:highlight w:val="none"/>
        </w:rPr>
        <w:t>项目管理机构配备。</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）投标人应列出该项目工程的施工组织机构构成和画出机构框架图及其负责人；</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）其他辅助说明资料。</w:t>
      </w:r>
    </w:p>
    <w:p>
      <w:pPr>
        <w:spacing w:line="360" w:lineRule="auto"/>
        <w:ind w:firstLine="409" w:firstLineChars="195"/>
        <w:rPr>
          <w:rFonts w:ascii="宋体" w:hAnsi="宋体" w:cs="宋体"/>
          <w:color w:val="auto"/>
          <w:szCs w:val="21"/>
          <w:highlight w:val="none"/>
        </w:rPr>
      </w:pPr>
      <w:r>
        <w:rPr>
          <w:rFonts w:ascii="宋体" w:hAnsi="宋体" w:cs="宋体"/>
          <w:color w:val="auto"/>
          <w:szCs w:val="21"/>
          <w:highlight w:val="none"/>
        </w:rPr>
        <w:t>11.2.4</w:t>
      </w:r>
      <w:r>
        <w:rPr>
          <w:rFonts w:hint="eastAsia" w:ascii="宋体" w:hAnsi="宋体" w:cs="宋体"/>
          <w:color w:val="auto"/>
          <w:szCs w:val="21"/>
          <w:highlight w:val="none"/>
        </w:rPr>
        <w:t>投标人在广州市可使用适合本工程的机械设备（附：机械设备为自有或租赁的说明；及承诺机械设备如属于租赁的，其租赁是不属于重复租赁）。</w:t>
      </w:r>
    </w:p>
    <w:p>
      <w:pPr>
        <w:spacing w:line="360" w:lineRule="auto"/>
        <w:ind w:firstLine="409" w:firstLineChars="195"/>
        <w:rPr>
          <w:rFonts w:ascii="宋体" w:hAnsi="宋体" w:cs="宋体"/>
          <w:color w:val="auto"/>
          <w:szCs w:val="21"/>
          <w:highlight w:val="none"/>
        </w:rPr>
      </w:pPr>
      <w:r>
        <w:rPr>
          <w:rFonts w:ascii="宋体" w:hAnsi="宋体" w:cs="宋体"/>
          <w:color w:val="auto"/>
          <w:szCs w:val="21"/>
          <w:highlight w:val="none"/>
        </w:rPr>
        <w:t>11.2.5</w:t>
      </w:r>
      <w:r>
        <w:rPr>
          <w:rFonts w:hint="eastAsia" w:ascii="宋体" w:hAnsi="宋体" w:cs="宋体"/>
          <w:color w:val="auto"/>
          <w:szCs w:val="21"/>
          <w:highlight w:val="none"/>
        </w:rPr>
        <w:t>施工组织设计或施工方案。</w:t>
      </w:r>
    </w:p>
    <w:p>
      <w:pPr>
        <w:spacing w:line="360" w:lineRule="auto"/>
        <w:ind w:firstLine="409" w:firstLineChars="195"/>
        <w:rPr>
          <w:b/>
          <w:color w:val="auto"/>
          <w:szCs w:val="21"/>
          <w:highlight w:val="none"/>
        </w:rPr>
      </w:pPr>
      <w:r>
        <w:rPr>
          <w:rFonts w:ascii="宋体" w:hAnsi="宋体" w:cs="宋体"/>
          <w:color w:val="auto"/>
          <w:szCs w:val="21"/>
          <w:highlight w:val="none"/>
        </w:rPr>
        <w:t>11.2.</w:t>
      </w:r>
      <w:r>
        <w:rPr>
          <w:rFonts w:hint="eastAsia" w:ascii="宋体" w:hAnsi="宋体" w:cs="宋体"/>
          <w:color w:val="auto"/>
          <w:szCs w:val="21"/>
          <w:highlight w:val="none"/>
        </w:rPr>
        <w:t>6按照招标文件要求填写的《参与编制技术标投标文件人员名单》。</w:t>
      </w:r>
    </w:p>
    <w:p>
      <w:pPr>
        <w:spacing w:line="360" w:lineRule="auto"/>
        <w:ind w:firstLine="409" w:firstLineChars="195"/>
        <w:rPr>
          <w:rFonts w:ascii="宋体" w:hAnsi="宋体" w:cs="宋体"/>
          <w:color w:val="auto"/>
          <w:szCs w:val="21"/>
          <w:highlight w:val="none"/>
        </w:rPr>
      </w:pPr>
      <w:r>
        <w:rPr>
          <w:rFonts w:hint="eastAsia"/>
          <w:b/>
          <w:color w:val="auto"/>
          <w:szCs w:val="21"/>
          <w:highlight w:val="none"/>
        </w:rPr>
        <w:t>现文：</w:t>
      </w:r>
      <w:r>
        <w:rPr>
          <w:rFonts w:ascii="宋体" w:hAnsi="宋体" w:cs="宋体"/>
          <w:color w:val="auto"/>
          <w:szCs w:val="21"/>
          <w:highlight w:val="none"/>
        </w:rPr>
        <w:t>11.2</w:t>
      </w:r>
      <w:r>
        <w:rPr>
          <w:rFonts w:hint="eastAsia" w:ascii="宋体" w:hAnsi="宋体" w:cs="宋体"/>
          <w:color w:val="auto"/>
          <w:szCs w:val="21"/>
          <w:highlight w:val="none"/>
        </w:rPr>
        <w:t>投标文件技术标部分主要包括下列内容</w:t>
      </w:r>
      <w:r>
        <w:rPr>
          <w:rFonts w:hint="eastAsia" w:ascii="宋体" w:hAnsi="宋体" w:cs="宋体"/>
          <w:color w:val="auto"/>
          <w:szCs w:val="21"/>
          <w:highlight w:val="none"/>
          <w:u w:val="single"/>
        </w:rPr>
        <w:t>（除注明原件外，均为清晰扫描件即可）</w:t>
      </w:r>
      <w:r>
        <w:rPr>
          <w:rFonts w:ascii="宋体" w:hAnsi="宋体" w:cs="宋体"/>
          <w:color w:val="auto"/>
          <w:szCs w:val="21"/>
          <w:highlight w:val="none"/>
        </w:rPr>
        <w:t>:</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11.2.1 技术投标文件</w:t>
      </w:r>
      <w:r>
        <w:rPr>
          <w:rFonts w:ascii="宋体" w:hAnsi="宋体" w:cs="宋体"/>
          <w:color w:val="auto"/>
          <w:szCs w:val="21"/>
          <w:highlight w:val="none"/>
        </w:rPr>
        <w:t>(</w:t>
      </w:r>
      <w:r>
        <w:rPr>
          <w:rFonts w:hint="eastAsia" w:ascii="宋体" w:hAnsi="宋体" w:cs="宋体"/>
          <w:color w:val="auto"/>
          <w:szCs w:val="21"/>
          <w:highlight w:val="none"/>
        </w:rPr>
        <w:t>按招标文件的要求填写</w:t>
      </w:r>
      <w:r>
        <w:rPr>
          <w:rFonts w:ascii="宋体" w:hAnsi="宋体" w:cs="宋体"/>
          <w:color w:val="auto"/>
          <w:szCs w:val="21"/>
          <w:highlight w:val="none"/>
        </w:rPr>
        <w:t>)</w:t>
      </w:r>
      <w:r>
        <w:rPr>
          <w:rFonts w:hint="eastAsia" w:ascii="宋体" w:hAnsi="宋体" w:cs="宋体"/>
          <w:color w:val="auto"/>
          <w:szCs w:val="21"/>
          <w:highlight w:val="none"/>
        </w:rPr>
        <w:t>；</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11.2.2 资格审查文件：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（1）投标人声明</w:t>
      </w:r>
      <w:r>
        <w:rPr>
          <w:rFonts w:hint="eastAsia" w:ascii="宋体" w:hAnsi="宋体" w:cs="宋体"/>
          <w:color w:val="auto"/>
          <w:szCs w:val="21"/>
          <w:highlight w:val="none"/>
          <w:u w:val="single"/>
        </w:rPr>
        <w:t>（须按招标公告附件内容及格式要求编制）</w:t>
      </w:r>
      <w:r>
        <w:rPr>
          <w:rFonts w:hint="eastAsia" w:ascii="宋体" w:hAnsi="宋体" w:cs="宋体"/>
          <w:color w:val="auto"/>
          <w:szCs w:val="21"/>
          <w:highlight w:val="none"/>
        </w:rPr>
        <w:t>；</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（2）法定代表人证明书、法定代表人签字或盖章的本投标文件授权委托证明书；</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（3）企业营业执照（取自平台内上传件）；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（4）企业资质证书（取自平台内上传件）；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（5）建筑施工企业安全生产许可证（取自平台内上传件）；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（6）项目负责人（按网上投标登记时选择拟投标的项目负责人）；</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（7）专职安全员（按网上投标登记时选择拟投标的专职安全员）；</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（8）拟委托技术负责人的</w:t>
      </w:r>
      <w:r>
        <w:rPr>
          <w:rFonts w:hint="eastAsia" w:ascii="宋体" w:hAnsi="宋体"/>
          <w:color w:val="auto"/>
          <w:highlight w:val="none"/>
          <w:u w:val="single"/>
        </w:rPr>
        <w:t>职称证书（提供清晰扫描件或平台内上传件）；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（9）拟委派项目负责人的</w:t>
      </w:r>
      <w:r>
        <w:rPr>
          <w:rFonts w:hint="eastAsia" w:ascii="宋体" w:hAnsi="宋体" w:cs="宋体"/>
          <w:color w:val="auto"/>
          <w:szCs w:val="21"/>
          <w:highlight w:val="none"/>
          <w:u w:val="single"/>
        </w:rPr>
        <w:t>建造师注册证书</w:t>
      </w:r>
      <w:r>
        <w:rPr>
          <w:rFonts w:hint="eastAsia" w:ascii="宋体" w:hAnsi="宋体" w:cs="宋体"/>
          <w:color w:val="auto"/>
          <w:szCs w:val="21"/>
          <w:highlight w:val="none"/>
        </w:rPr>
        <w:t>（取自平台内上传件）；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（11）专职安全员须具有在有效期内的安全考核合格证书（C类）或建筑施工企业专职安全生产管理人员安全生产考核合格证书（C3）（取自平台内上传件）；</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（12）用于资格审查的业绩（投标人须提供类似工程业绩的项目名称及项目编号）；</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cs="宋体"/>
          <w:color w:val="auto"/>
          <w:szCs w:val="21"/>
          <w:highlight w:val="none"/>
          <w:u w:val="single"/>
        </w:rPr>
        <w:t>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 ）公布名单为准。若资格审查时网址有变化，以最新网址为准；</w:t>
      </w:r>
    </w:p>
    <w:p>
      <w:pP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rPr>
        <w:t>（15）</w:t>
      </w:r>
      <w:r>
        <w:rPr>
          <w:rFonts w:hint="eastAsia" w:ascii="宋体" w:hAnsi="宋体" w:cs="宋体"/>
          <w:color w:val="auto"/>
          <w:szCs w:val="21"/>
          <w:highlight w:val="none"/>
          <w:u w:val="single"/>
        </w:rPr>
        <w:t>投标人认为应提供的其他资料。</w:t>
      </w:r>
    </w:p>
    <w:p>
      <w:pP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注：1、上述第</w:t>
      </w:r>
      <w:r>
        <w:rPr>
          <w:rFonts w:hint="eastAsia" w:ascii="宋体" w:hAnsi="宋体" w:cs="宋体"/>
          <w:bCs/>
          <w:color w:val="auto"/>
          <w:szCs w:val="21"/>
          <w:highlight w:val="none"/>
          <w:u w:val="single"/>
        </w:rPr>
        <w:t>11.2.2（1）—（13）条没有要求提交的资料，不作为资格审查不合格的依据。</w:t>
      </w:r>
    </w:p>
    <w:p>
      <w:pPr>
        <w:spacing w:line="360" w:lineRule="auto"/>
        <w:ind w:firstLine="409" w:firstLineChars="195"/>
        <w:rPr>
          <w:rFonts w:ascii="宋体" w:hAnsi="宋体" w:cs="宋体"/>
          <w:color w:val="auto"/>
          <w:szCs w:val="21"/>
          <w:highlight w:val="none"/>
        </w:rPr>
      </w:pPr>
      <w:r>
        <w:rPr>
          <w:rFonts w:hint="eastAsia" w:ascii="宋体" w:hAnsi="宋体" w:cs="宋体"/>
          <w:bCs/>
          <w:color w:val="auto"/>
          <w:szCs w:val="21"/>
          <w:highlight w:val="none"/>
          <w:u w:val="single"/>
        </w:rPr>
        <w:t>2</w:t>
      </w:r>
      <w:r>
        <w:rPr>
          <w:rFonts w:hint="eastAsia" w:ascii="宋体" w:hAnsi="宋体" w:cs="宋体"/>
          <w:color w:val="auto"/>
          <w:szCs w:val="21"/>
          <w:highlight w:val="none"/>
          <w:u w:val="single"/>
        </w:rPr>
        <w:t>、上述第</w:t>
      </w:r>
      <w:r>
        <w:rPr>
          <w:rFonts w:hint="eastAsia" w:ascii="宋体" w:hAnsi="宋体" w:cs="宋体"/>
          <w:bCs/>
          <w:color w:val="auto"/>
          <w:szCs w:val="21"/>
          <w:highlight w:val="none"/>
          <w:u w:val="single"/>
        </w:rPr>
        <w:t>11.2.2</w:t>
      </w:r>
      <w:r>
        <w:rPr>
          <w:rFonts w:hint="eastAsia" w:ascii="宋体" w:hAnsi="宋体" w:cs="宋体"/>
          <w:color w:val="auto"/>
          <w:szCs w:val="21"/>
          <w:highlight w:val="none"/>
          <w:u w:val="single"/>
        </w:rPr>
        <w:t>（14）条的不良记录具体名单以资格审查时</w:t>
      </w:r>
      <w:r>
        <w:rPr>
          <w:rFonts w:hint="eastAsia" w:ascii="宋体" w:hAnsi="宋体" w:cs="宋体"/>
          <w:bCs/>
          <w:color w:val="auto"/>
          <w:szCs w:val="21"/>
          <w:highlight w:val="none"/>
          <w:u w:val="single"/>
        </w:rPr>
        <w:t>广州市黄埔区人民政府、广州开发区管委会网站的区住房和城乡建设局网页“建筑活动不良行为记录”栏目（网址： http://www.hp.gov.cn/gzjg/qzfgwhgzbm/qzfhcxjsj10/jzhdblxwjl/）公布名单为准。若资格审查时网址有变化，以最新网址为准。</w:t>
      </w:r>
    </w:p>
    <w:p>
      <w:pPr>
        <w:pBdr>
          <w:bottom w:val="single" w:color="auto" w:sz="6" w:space="1"/>
        </w:pBdr>
        <w:spacing w:line="360" w:lineRule="auto"/>
        <w:ind w:firstLine="409" w:firstLineChars="195"/>
        <w:rPr>
          <w:rFonts w:ascii="宋体" w:hAnsi="宋体"/>
          <w:bCs/>
          <w:color w:val="auto"/>
          <w:szCs w:val="21"/>
          <w:highlight w:val="none"/>
          <w:u w:val="single"/>
        </w:rPr>
      </w:pPr>
      <w:r>
        <w:rPr>
          <w:rFonts w:hint="eastAsia" w:ascii="宋体" w:hAnsi="宋体" w:cs="宋体"/>
          <w:color w:val="auto"/>
          <w:szCs w:val="21"/>
          <w:highlight w:val="none"/>
          <w:u w:val="single"/>
        </w:rPr>
        <w:t>11.2.3《投标函》、《标函承诺书》、《项目负责人驻场承诺书》（格式见第四章）。</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11.2.4《施工项目管理团队人员信息表》、《主要人员简历表》（投标人需按相应表格备注要求提供相关资料）（格式见第四章）。</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11.2.5企业资信的证明材料（按附表四要求提交，招标文件有规定格式的，需按招标文件格式提供，无格式要求的，格式自拟）。</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11.2.6施工组织设计。</w:t>
      </w:r>
    </w:p>
    <w:p>
      <w:pPr>
        <w:pBdr>
          <w:bottom w:val="single" w:color="auto" w:sz="6" w:space="1"/>
        </w:pBdr>
        <w:spacing w:line="360" w:lineRule="auto"/>
        <w:ind w:firstLine="409" w:firstLineChars="195"/>
        <w:rPr>
          <w:rFonts w:ascii="宋体" w:hAnsi="宋体"/>
          <w:color w:val="auto"/>
          <w:szCs w:val="21"/>
          <w:highlight w:val="none"/>
        </w:rPr>
      </w:pPr>
      <w:r>
        <w:rPr>
          <w:rFonts w:hint="eastAsia" w:ascii="宋体" w:hAnsi="宋体" w:cs="宋体"/>
          <w:color w:val="auto"/>
          <w:szCs w:val="21"/>
          <w:highlight w:val="none"/>
          <w:u w:val="single"/>
        </w:rPr>
        <w:t>11.2.7《危险性较大的分部分项工程安全管理措施》（格式见第四章）。</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u w:val="single"/>
        </w:rPr>
        <w:t>11.2.8《参与编制技术标投标文件人员名单》（格式见第四章）</w:t>
      </w:r>
      <w:r>
        <w:rPr>
          <w:rFonts w:hint="eastAsia" w:ascii="宋体" w:hAnsi="宋体" w:cs="宋体"/>
          <w:color w:val="auto"/>
          <w:szCs w:val="21"/>
          <w:highlight w:val="none"/>
        </w:rPr>
        <w:t>。</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u w:val="single"/>
        </w:rPr>
        <w:t>11.2.9投标保证金缴纳证明资料（如采用投标保函或投标保证保险形式须提供该项资料）</w:t>
      </w:r>
    </w:p>
    <w:p>
      <w:pPr>
        <w:pBdr>
          <w:bottom w:val="single" w:color="auto" w:sz="6" w:space="1"/>
        </w:pBdr>
        <w:spacing w:line="360" w:lineRule="auto"/>
        <w:ind w:firstLine="409" w:firstLineChars="195"/>
        <w:rPr>
          <w:color w:val="auto"/>
          <w:highlight w:val="none"/>
        </w:rPr>
      </w:pPr>
      <w:r>
        <w:rPr>
          <w:rFonts w:hint="eastAsia" w:ascii="宋体" w:hAnsi="宋体" w:cs="宋体"/>
          <w:color w:val="auto"/>
          <w:szCs w:val="21"/>
          <w:highlight w:val="none"/>
          <w:u w:val="single"/>
        </w:rPr>
        <w:t>11.2.10</w:t>
      </w:r>
      <w:r>
        <w:rPr>
          <w:rFonts w:hint="eastAsia" w:ascii="宋体" w:hAnsi="宋体" w:cs="宋体"/>
          <w:bCs/>
          <w:color w:val="auto"/>
          <w:szCs w:val="21"/>
          <w:highlight w:val="none"/>
          <w:u w:val="single"/>
        </w:rPr>
        <w:t>投标人认为应提供的其他资料。</w:t>
      </w:r>
    </w:p>
    <w:p>
      <w:pPr>
        <w:spacing w:line="480" w:lineRule="auto"/>
        <w:ind w:firstLine="470" w:firstLineChars="224"/>
        <w:rPr>
          <w:b/>
          <w:color w:val="auto"/>
          <w:szCs w:val="21"/>
          <w:highlight w:val="none"/>
        </w:rPr>
      </w:pPr>
      <w:r>
        <w:rPr>
          <w:rFonts w:hint="eastAsia"/>
          <w:b/>
          <w:color w:val="auto"/>
          <w:szCs w:val="21"/>
          <w:highlight w:val="none"/>
        </w:rPr>
        <w:t>条款号：</w:t>
      </w:r>
      <w:r>
        <w:rPr>
          <w:rFonts w:ascii="宋体" w:hAnsi="宋体" w:cs="宋体"/>
          <w:b/>
          <w:color w:val="auto"/>
          <w:szCs w:val="21"/>
          <w:highlight w:val="none"/>
        </w:rPr>
        <w:t>11.3</w:t>
      </w:r>
      <w:r>
        <w:rPr>
          <w:rFonts w:hint="eastAsia"/>
          <w:b/>
          <w:color w:val="auto"/>
          <w:szCs w:val="21"/>
          <w:highlight w:val="none"/>
        </w:rPr>
        <w:t>修改类型：修改</w:t>
      </w:r>
    </w:p>
    <w:p>
      <w:pPr>
        <w:spacing w:line="360" w:lineRule="auto"/>
        <w:ind w:firstLine="409" w:firstLineChars="195"/>
        <w:rPr>
          <w:rFonts w:ascii="宋体" w:hAnsi="宋体" w:cs="宋体"/>
          <w:color w:val="auto"/>
          <w:szCs w:val="21"/>
          <w:highlight w:val="none"/>
        </w:rPr>
      </w:pPr>
      <w:r>
        <w:rPr>
          <w:rFonts w:hint="eastAsia"/>
          <w:b/>
          <w:color w:val="auto"/>
          <w:szCs w:val="21"/>
          <w:highlight w:val="none"/>
        </w:rPr>
        <w:t>原文：</w:t>
      </w:r>
      <w:r>
        <w:rPr>
          <w:rFonts w:ascii="宋体" w:hAnsi="宋体" w:cs="宋体"/>
          <w:color w:val="auto"/>
          <w:szCs w:val="21"/>
          <w:highlight w:val="none"/>
        </w:rPr>
        <w:t xml:space="preserve">11.3 </w:t>
      </w:r>
      <w:r>
        <w:rPr>
          <w:rFonts w:hint="eastAsia" w:ascii="宋体" w:hAnsi="宋体" w:cs="宋体"/>
          <w:color w:val="auto"/>
          <w:szCs w:val="21"/>
          <w:highlight w:val="none"/>
        </w:rPr>
        <w:t>经济部分投标文件主要包括下列内容：</w:t>
      </w:r>
    </w:p>
    <w:p>
      <w:pPr>
        <w:spacing w:line="360" w:lineRule="auto"/>
        <w:ind w:firstLine="409" w:firstLineChars="195"/>
        <w:rPr>
          <w:rFonts w:ascii="宋体" w:hAnsi="宋体" w:cs="宋体"/>
          <w:color w:val="auto"/>
          <w:szCs w:val="21"/>
          <w:highlight w:val="none"/>
        </w:rPr>
      </w:pPr>
      <w:r>
        <w:rPr>
          <w:rFonts w:ascii="宋体" w:hAnsi="宋体" w:cs="宋体"/>
          <w:color w:val="auto"/>
          <w:szCs w:val="21"/>
          <w:highlight w:val="none"/>
        </w:rPr>
        <w:t xml:space="preserve">11.3.1 </w:t>
      </w:r>
      <w:r>
        <w:rPr>
          <w:rFonts w:hint="eastAsia" w:ascii="宋体" w:hAnsi="宋体" w:cs="宋体"/>
          <w:color w:val="auto"/>
          <w:szCs w:val="21"/>
          <w:highlight w:val="none"/>
        </w:rPr>
        <w:t>经济投标文件</w:t>
      </w:r>
      <w:r>
        <w:rPr>
          <w:rFonts w:ascii="宋体" w:hAnsi="宋体" w:cs="宋体"/>
          <w:color w:val="auto"/>
          <w:szCs w:val="21"/>
          <w:highlight w:val="none"/>
        </w:rPr>
        <w:t>(</w:t>
      </w:r>
      <w:r>
        <w:rPr>
          <w:rFonts w:hint="eastAsia" w:ascii="宋体" w:hAnsi="宋体" w:cs="宋体"/>
          <w:color w:val="auto"/>
          <w:szCs w:val="21"/>
          <w:highlight w:val="none"/>
        </w:rPr>
        <w:t>按招标文件的要求填写</w:t>
      </w:r>
      <w:r>
        <w:rPr>
          <w:rFonts w:ascii="宋体" w:hAnsi="宋体" w:cs="宋体"/>
          <w:color w:val="auto"/>
          <w:szCs w:val="21"/>
          <w:highlight w:val="none"/>
        </w:rPr>
        <w:t>)</w:t>
      </w:r>
      <w:r>
        <w:rPr>
          <w:rFonts w:hint="eastAsia" w:ascii="宋体" w:hAnsi="宋体" w:cs="宋体"/>
          <w:color w:val="auto"/>
          <w:szCs w:val="21"/>
          <w:highlight w:val="none"/>
        </w:rPr>
        <w:t>。</w:t>
      </w:r>
    </w:p>
    <w:p>
      <w:pPr>
        <w:spacing w:line="360" w:lineRule="auto"/>
        <w:ind w:firstLine="409" w:firstLineChars="195"/>
        <w:rPr>
          <w:rFonts w:ascii="宋体" w:hAnsi="宋体" w:cs="宋体"/>
          <w:color w:val="auto"/>
          <w:szCs w:val="21"/>
          <w:highlight w:val="none"/>
        </w:rPr>
      </w:pPr>
      <w:r>
        <w:rPr>
          <w:rFonts w:ascii="宋体" w:hAnsi="宋体" w:cs="宋体"/>
          <w:color w:val="auto"/>
          <w:szCs w:val="21"/>
          <w:highlight w:val="none"/>
        </w:rPr>
        <w:t>11.3.2</w:t>
      </w:r>
      <w:r>
        <w:rPr>
          <w:rFonts w:hint="eastAsia" w:ascii="宋体" w:hAnsi="宋体" w:cs="宋体"/>
          <w:color w:val="auto"/>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）投标总价封面、扉页；</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）总说明</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（17）人工、主要材料和设备一览表</w:t>
      </w:r>
    </w:p>
    <w:p>
      <w:pPr>
        <w:spacing w:line="360" w:lineRule="auto"/>
        <w:ind w:firstLine="409" w:firstLineChars="195"/>
        <w:rPr>
          <w:rFonts w:ascii="宋体" w:hAnsi="宋体" w:cs="宋体"/>
          <w:color w:val="auto"/>
          <w:szCs w:val="21"/>
          <w:highlight w:val="none"/>
        </w:rPr>
      </w:pPr>
      <w:r>
        <w:rPr>
          <w:rFonts w:ascii="宋体" w:hAnsi="宋体" w:cs="宋体"/>
          <w:color w:val="auto"/>
          <w:szCs w:val="21"/>
          <w:highlight w:val="none"/>
        </w:rPr>
        <w:t>11.3.</w:t>
      </w:r>
      <w:r>
        <w:rPr>
          <w:rFonts w:hint="eastAsia" w:ascii="宋体" w:hAnsi="宋体" w:cs="宋体"/>
          <w:color w:val="auto"/>
          <w:szCs w:val="21"/>
          <w:highlight w:val="none"/>
        </w:rPr>
        <w:t>3按照招标文件要求填写的《参与编制经济标投标文件人员名单》。</w:t>
      </w:r>
    </w:p>
    <w:p>
      <w:pPr>
        <w:spacing w:line="360" w:lineRule="auto"/>
        <w:ind w:firstLine="409" w:firstLineChars="195"/>
        <w:rPr>
          <w:b/>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b/>
          <w:color w:val="auto"/>
          <w:szCs w:val="21"/>
          <w:highlight w:val="none"/>
        </w:rPr>
        <w:t>现文：</w:t>
      </w:r>
      <w:r>
        <w:rPr>
          <w:rFonts w:hint="eastAsia" w:ascii="宋体" w:hAnsi="宋体" w:cs="宋体"/>
          <w:bCs/>
          <w:color w:val="auto"/>
          <w:szCs w:val="21"/>
          <w:highlight w:val="none"/>
        </w:rPr>
        <w:t>11.3 经济标投标文件主要包括下列内容：</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11.3.1</w:t>
      </w:r>
      <w:r>
        <w:rPr>
          <w:rFonts w:hint="eastAsia" w:ascii="宋体" w:hAnsi="宋体"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（1）投标总价封面、扉页；</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（2）总说明；</w:t>
      </w:r>
    </w:p>
    <w:p>
      <w:pPr>
        <w:pBdr>
          <w:bottom w:val="single" w:color="auto" w:sz="6" w:space="1"/>
        </w:pBd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color w:val="auto"/>
          <w:szCs w:val="21"/>
          <w:highlight w:val="none"/>
          <w:u w:val="single"/>
        </w:rPr>
        <w:t>（3）工程量清单报价表及综合单价分析表（相关表格的内容及格式要求以招标人发出的最新版电子招标文件中的相应内容及格式为准）；</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u w:val="single"/>
        </w:rPr>
        <w:t>（4）其它辅助说明资料（包括但不限于招标文件要求填写的《对投标文件编制的承诺》《设备系列表》（格式见第四章））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r>
        <w:rPr>
          <w:rFonts w:hint="eastAsia" w:ascii="宋体" w:hAnsi="宋体" w:cs="宋体"/>
          <w:color w:val="auto"/>
          <w:szCs w:val="21"/>
          <w:highlight w:val="none"/>
          <w:u w:val="single"/>
        </w:rPr>
        <w:t>（格式见第四章）</w:t>
      </w:r>
      <w:r>
        <w:rPr>
          <w:rFonts w:hint="eastAsia" w:ascii="宋体" w:hAnsi="宋体" w:cs="宋体"/>
          <w:color w:val="auto"/>
          <w:szCs w:val="21"/>
          <w:highlight w:val="none"/>
        </w:rPr>
        <w:t>。</w:t>
      </w:r>
    </w:p>
    <w:p>
      <w:pPr>
        <w:pBdr>
          <w:bottom w:val="single" w:color="auto" w:sz="6" w:space="1"/>
        </w:pBdr>
        <w:adjustRightInd w:val="0"/>
        <w:spacing w:line="360" w:lineRule="auto"/>
        <w:ind w:firstLine="409" w:firstLineChars="195"/>
        <w:textAlignment w:val="baseline"/>
        <w:rPr>
          <w:rFonts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spacing w:line="360" w:lineRule="auto"/>
        <w:ind w:firstLine="525" w:firstLineChars="250"/>
        <w:rPr>
          <w:color w:val="auto"/>
          <w:highlight w:val="none"/>
        </w:rPr>
      </w:pPr>
      <w:r>
        <w:rPr>
          <w:rFonts w:hint="eastAsia" w:ascii="宋体" w:hAnsi="宋体" w:cs="宋体"/>
          <w:color w:val="auto"/>
          <w:szCs w:val="21"/>
          <w:highlight w:val="none"/>
          <w:u w:val="single"/>
        </w:rPr>
        <w:t>11.3.5投标人认为应提供的其他资料。</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条款号：12.2                        修改类型：修改</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广州公共资源交易中心网站(http://www.gzggzy.cn/)服务指南栏目</w:t>
      </w:r>
      <w:r>
        <w:rPr>
          <w:rFonts w:hint="eastAsia" w:ascii="宋体" w:hAnsi="宋体" w:cs="宋体"/>
          <w:color w:val="auto"/>
          <w:szCs w:val="21"/>
          <w:highlight w:val="none"/>
        </w:rPr>
        <w:t>。</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条款号：12.3                        修改类型：修改</w:t>
      </w:r>
    </w:p>
    <w:p>
      <w:pPr>
        <w:spacing w:line="360" w:lineRule="auto"/>
        <w:ind w:firstLine="409"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12.3投标文件应按照交易平台关于全流程电子化项目的相关指南进行编制，详见：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Cs/>
          <w:color w:val="auto"/>
          <w:szCs w:val="21"/>
          <w:highlight w:val="none"/>
        </w:rPr>
        <w:t>如不按上述要求编制引起系统无法检索、读取相关信息的，其后果由投标人承担。</w:t>
      </w:r>
    </w:p>
    <w:p>
      <w:pPr>
        <w:pBdr>
          <w:bottom w:val="single" w:color="auto" w:sz="6" w:space="1"/>
        </w:pBdr>
        <w:spacing w:line="360" w:lineRule="auto"/>
        <w:ind w:firstLine="409" w:firstLineChars="195"/>
        <w:textAlignment w:val="baseline"/>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12.3</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交易平台关于全流程电子化项目的相关指南进行编制，详见：</w:t>
      </w:r>
      <w:r>
        <w:rPr>
          <w:rFonts w:hint="eastAsia" w:ascii="宋体" w:hAnsi="宋体" w:cs="宋体"/>
          <w:color w:val="auto"/>
          <w:szCs w:val="21"/>
          <w:highlight w:val="none"/>
          <w:u w:val="single"/>
        </w:rPr>
        <w:t>广州公共资源交易中心网站(http://www.gzggzy.cn/)服务指南栏目</w:t>
      </w:r>
      <w:r>
        <w:rPr>
          <w:rFonts w:hint="eastAsia" w:ascii="宋体" w:hAnsi="宋体" w:cs="宋体"/>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ascii="宋体" w:hAnsi="宋体" w:cs="宋体"/>
          <w:bCs/>
          <w:color w:val="auto"/>
          <w:szCs w:val="21"/>
          <w:highlight w:val="none"/>
        </w:rPr>
        <w:t>如不按上述要求编制引起系统无法检索、读取相关信息的，其后果由投标人承担。</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w:t>
      </w:r>
      <w:r>
        <w:rPr>
          <w:rFonts w:hint="eastAsia" w:ascii="宋体" w:hAnsi="宋体" w:cs="宋体"/>
          <w:color w:val="auto"/>
          <w:szCs w:val="21"/>
          <w:highlight w:val="none"/>
          <w:u w:val="single"/>
        </w:rPr>
        <w:t>投标文件中的大写金额和小写金额不一致的，以大写金额为准。</w:t>
      </w:r>
      <w:r>
        <w:rPr>
          <w:rFonts w:hint="eastAsia" w:ascii="宋体" w:hAnsi="宋体" w:cs="宋体"/>
          <w:color w:val="auto"/>
          <w:szCs w:val="21"/>
          <w:highlight w:val="none"/>
        </w:rPr>
        <w:t>投标报价（含单价及总价）精确到“分”。</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条款号：13.3                        修改类型：修改</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ascii="宋体" w:hAnsi="宋体" w:cs="宋体"/>
          <w:color w:val="auto"/>
          <w:szCs w:val="21"/>
          <w:highlight w:val="none"/>
          <w:u w:val="single"/>
        </w:rPr>
        <w:t>（含招标的相关资料）</w:t>
      </w:r>
      <w:r>
        <w:rPr>
          <w:rFonts w:hint="eastAsia" w:ascii="宋体" w:hAnsi="宋体"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条款号：13.4                         修改类型：修改</w:t>
      </w:r>
    </w:p>
    <w:p>
      <w:pPr>
        <w:pStyle w:val="5"/>
        <w:spacing w:after="0"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13.4投标人一旦中标，投标人对招标人提供的招标工程量清单中列出的工程项目所报出的综合单价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和措施项目费在工程结算时，按招标文件第三章合同条款相关约定调整。</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条款号：13.5                        修改类型：修改</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13.5.1中标的投标文件工程量清单中已有相同项目的适用综合单价，则沿用；</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Bdr>
          <w:bottom w:val="single" w:color="auto" w:sz="6" w:space="1"/>
        </w:pBdr>
        <w:spacing w:line="360" w:lineRule="auto"/>
        <w:ind w:firstLine="409" w:firstLineChars="195"/>
        <w:rPr>
          <w:rFonts w:ascii="宋体" w:hAnsi="宋体" w:cs="宋体"/>
          <w:color w:val="auto"/>
          <w:szCs w:val="21"/>
          <w:highlight w:val="none"/>
          <w:u w:val="single"/>
        </w:rPr>
      </w:pPr>
      <w:r>
        <w:rPr>
          <w:rFonts w:hint="eastAsia" w:ascii="宋体" w:hAnsi="宋体" w:cs="宋体"/>
          <w:color w:val="auto"/>
          <w:szCs w:val="21"/>
          <w:highlight w:val="none"/>
        </w:rPr>
        <w:t>13.5.4 如相关定额没有相应子目的，其计价方式由招标人在本招标文件第三章中另行规定。未规定的，中标后双方协商约定。</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13.5</w:t>
      </w:r>
      <w:r>
        <w:rPr>
          <w:rFonts w:hint="eastAsia" w:ascii="宋体" w:hAnsi="宋体" w:cs="宋体"/>
          <w:color w:val="auto"/>
          <w:szCs w:val="21"/>
          <w:highlight w:val="none"/>
          <w:u w:val="single"/>
        </w:rPr>
        <w:t>工程项目实施期间和结算时，根据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由招标人同中标人联合招标，确定承包人和承包价格。</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条款号：13.8                         修改类型：修改</w:t>
      </w:r>
    </w:p>
    <w:p>
      <w:pPr>
        <w:pStyle w:val="5"/>
        <w:spacing w:after="0"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13.8</w:t>
      </w:r>
      <w:r>
        <w:rPr>
          <w:rFonts w:hint="eastAsia" w:ascii="宋体" w:hAnsi="宋体" w:cs="宋体"/>
          <w:color w:val="auto"/>
          <w:szCs w:val="21"/>
          <w:highlight w:val="none"/>
          <w:u w:val="single"/>
        </w:rPr>
        <w:t>本工程采用的主要材料推荐选用《粤港澳大湾区（广州）科技金融中心项目二期空调工程施工品牌推荐表》品牌或选用相当于该档次（或以上）的产品。投标期间，投标人不需在投标文件中明确所选用主要材料、设备的品牌、厂家以及质量等级。实施期间，所有材料品牌选择均须报发包人、监理工程师确认，如有意见不一致，发包人有权要求更换同档次品牌材料，承包人应更换，所有材料及成品质量必须满足设计与规范要求，且经检验合格后方可使用。</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条款号：16.1-16.5                        修改类型：修改</w:t>
      </w:r>
    </w:p>
    <w:p>
      <w:pPr>
        <w:spacing w:line="360" w:lineRule="auto"/>
        <w:ind w:firstLine="420"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spacing w:line="360" w:lineRule="auto"/>
        <w:ind w:firstLine="420"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16.1</w:t>
      </w:r>
      <w:r>
        <w:rPr>
          <w:rFonts w:hint="eastAsia" w:ascii="宋体" w:hAnsi="宋体"/>
          <w:color w:val="auto"/>
          <w:szCs w:val="21"/>
          <w:highlight w:val="none"/>
          <w:u w:val="single"/>
        </w:rPr>
        <w:t>投标人应按投标须知前附表第</w:t>
      </w:r>
      <w:r>
        <w:rPr>
          <w:rFonts w:ascii="宋体" w:hAnsi="宋体"/>
          <w:color w:val="auto"/>
          <w:szCs w:val="21"/>
          <w:highlight w:val="none"/>
          <w:u w:val="single"/>
        </w:rPr>
        <w:t>14</w:t>
      </w:r>
      <w:r>
        <w:rPr>
          <w:rFonts w:hint="eastAsia" w:ascii="宋体" w:hAnsi="宋体"/>
          <w:color w:val="auto"/>
          <w:szCs w:val="21"/>
          <w:highlight w:val="none"/>
          <w:u w:val="single"/>
        </w:rPr>
        <w:t>项所述金额和时间递交</w:t>
      </w:r>
      <w:r>
        <w:rPr>
          <w:rFonts w:hint="eastAsia" w:ascii="宋体" w:hAnsi="宋体"/>
          <w:bCs/>
          <w:color w:val="auto"/>
          <w:szCs w:val="21"/>
          <w:highlight w:val="none"/>
          <w:u w:val="single"/>
        </w:rPr>
        <w:t>投标保证金</w:t>
      </w:r>
      <w:r>
        <w:rPr>
          <w:rFonts w:hint="eastAsia" w:ascii="宋体" w:hAnsi="宋体"/>
          <w:color w:val="auto"/>
          <w:szCs w:val="21"/>
          <w:highlight w:val="none"/>
          <w:u w:val="single"/>
        </w:rPr>
        <w:t>。</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16.1.1缴纳方式：投标保证金的形式：投标保证金可采用现金、支票、投标保证保险、投标保函（银行或专业担保公司出具）的形式，须在递交投标文件截止时间前完成缴纳。</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16.1.2如采用现金或者支票方式提交的，由广州公共资源交易中心代收。保证金从投标人基本账户转账至广州公共资源交易中心。其缴纳情况以广州公共资源交易中心数据库记录的信息为准。缴纳时间：递交投标文件开始时至</w:t>
      </w:r>
      <w:r>
        <w:rPr>
          <w:rFonts w:ascii="宋体" w:hAnsi="宋体" w:cs="宋体"/>
          <w:color w:val="auto"/>
          <w:szCs w:val="21"/>
          <w:highlight w:val="none"/>
          <w:u w:val="single"/>
        </w:rPr>
        <w:t>递交投标文件截止时间前</w:t>
      </w:r>
      <w:r>
        <w:rPr>
          <w:rFonts w:hint="eastAsia" w:ascii="宋体" w:hAnsi="宋体" w:cs="宋体"/>
          <w:color w:val="auto"/>
          <w:szCs w:val="21"/>
          <w:highlight w:val="none"/>
          <w:u w:val="single"/>
        </w:rPr>
        <w:t>。具体操作步骤参见广州公共资源交易中心最新的投标保证金缴纳操作流程。</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16.1.3</w:t>
      </w:r>
      <w:r>
        <w:rPr>
          <w:rFonts w:ascii="宋体" w:hAnsi="宋体" w:cs="宋体"/>
          <w:color w:val="auto"/>
          <w:szCs w:val="21"/>
          <w:highlight w:val="none"/>
          <w:u w:val="single"/>
        </w:rPr>
        <w:t>如采用投标保函或投标保证保险的</w:t>
      </w:r>
      <w:r>
        <w:rPr>
          <w:rFonts w:hint="eastAsia" w:ascii="宋体" w:hAnsi="宋体" w:cs="宋体"/>
          <w:color w:val="auto"/>
          <w:szCs w:val="21"/>
          <w:highlight w:val="none"/>
          <w:u w:val="single"/>
        </w:rPr>
        <w:t>方</w:t>
      </w:r>
      <w:r>
        <w:rPr>
          <w:rFonts w:ascii="宋体" w:hAnsi="宋体" w:cs="宋体"/>
          <w:color w:val="auto"/>
          <w:szCs w:val="21"/>
          <w:highlight w:val="none"/>
          <w:u w:val="single"/>
        </w:rPr>
        <w:t>式提交的，</w:t>
      </w:r>
      <w:r>
        <w:rPr>
          <w:rFonts w:hint="eastAsia" w:ascii="宋体" w:hAnsi="宋体" w:cs="宋体"/>
          <w:color w:val="auto"/>
          <w:szCs w:val="21"/>
          <w:highlight w:val="none"/>
          <w:u w:val="single"/>
        </w:rPr>
        <w:t>投标保函需开具给招标人；保证保险需开具给招标人（受益人也必须是招标人）。在开标前不需要提交纸质原件，投标人应在投标文件中提交投标保函或投标保险等的清晰扫描件并加盖投标人电子印章。完成评标后，由中标候选人在中标候选人公示前提交纸质原件给招标代理单位，纸质原件将在网上公示。若以交易系统支持的电子保函或电子投标保证保险递交的，到账情况以开标时广州公共资源交易中心数据库查询信息为准。具体操作步骤参见广州公共资源交易中心发布的《广州公共资源交易中心关于开通电子保函服务功能的通知》及新的操作流程。</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16.2开标时投标人没有按要求提供投标保证金的，其投标文件将被否决。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16.4</w:t>
      </w:r>
      <w:r>
        <w:rPr>
          <w:rFonts w:hint="eastAsia" w:ascii="宋体" w:hAnsi="宋体" w:cs="宋体"/>
          <w:color w:val="auto"/>
          <w:szCs w:val="21"/>
          <w:highlight w:val="none"/>
          <w:u w:val="single"/>
        </w:rPr>
        <w:t>如有下列情况之一的，招标人可以不予退还投标保证金：</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16.4.1因投标人原因造成投标文件未解密的；</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16.4.2投标人在投标有效期内撤销投标文件或放弃中标资格；</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16.4.3中标人未能在规定期限内按要求提交履约担保；</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16.4.4中标人未能在规定期限内签署合同协议；</w:t>
      </w:r>
    </w:p>
    <w:p>
      <w:pPr>
        <w:spacing w:line="360" w:lineRule="auto"/>
        <w:ind w:firstLine="420" w:firstLineChars="200"/>
        <w:rPr>
          <w:rFonts w:ascii="宋体" w:hAnsi="宋体"/>
          <w:color w:val="auto"/>
          <w:highlight w:val="none"/>
          <w:u w:val="single"/>
        </w:rPr>
      </w:pPr>
      <w:r>
        <w:rPr>
          <w:rFonts w:hint="eastAsia" w:ascii="宋体" w:hAnsi="宋体"/>
          <w:color w:val="auto"/>
          <w:highlight w:val="none"/>
          <w:u w:val="single"/>
        </w:rPr>
        <w:t>1</w:t>
      </w:r>
      <w:r>
        <w:rPr>
          <w:rFonts w:ascii="宋体" w:hAnsi="宋体"/>
          <w:color w:val="auto"/>
          <w:highlight w:val="none"/>
          <w:u w:val="single"/>
        </w:rPr>
        <w:t>6</w:t>
      </w:r>
      <w:r>
        <w:rPr>
          <w:rFonts w:hint="eastAsia" w:ascii="宋体" w:hAnsi="宋体"/>
          <w:color w:val="auto"/>
          <w:highlight w:val="none"/>
          <w:u w:val="single"/>
        </w:rPr>
        <w:t>.4.5</w:t>
      </w:r>
      <w:r>
        <w:rPr>
          <w:rFonts w:hint="eastAsia" w:ascii="宋体" w:hAnsi="宋体" w:cs="宋体"/>
          <w:color w:val="auto"/>
          <w:szCs w:val="21"/>
          <w:highlight w:val="none"/>
          <w:u w:val="single"/>
        </w:rPr>
        <w:t>标人弄虚作假骗取中标的</w:t>
      </w:r>
      <w:r>
        <w:rPr>
          <w:rFonts w:hint="eastAsia" w:ascii="宋体" w:hAnsi="宋体"/>
          <w:color w:val="auto"/>
          <w:highlight w:val="none"/>
          <w:u w:val="singl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16.5投标人如存在下列情况之一的，将被拒绝</w:t>
      </w:r>
      <w:r>
        <w:rPr>
          <w:rFonts w:hint="eastAsia" w:ascii="宋体" w:hAnsi="宋体" w:cs="宋体"/>
          <w:color w:val="auto"/>
          <w:szCs w:val="21"/>
          <w:highlight w:val="none"/>
          <w:u w:val="single"/>
        </w:rPr>
        <w:t>六个月</w:t>
      </w:r>
      <w:r>
        <w:rPr>
          <w:rFonts w:hint="eastAsia" w:ascii="宋体" w:hAnsi="宋体" w:cs="宋体"/>
          <w:color w:val="auto"/>
          <w:szCs w:val="21"/>
          <w:highlight w:val="none"/>
        </w:rPr>
        <w:t>内参与招标人后续工程投标：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color w:val="auto"/>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pBdr>
          <w:top w:val="single" w:color="auto" w:sz="4" w:space="1"/>
        </w:pBdr>
        <w:spacing w:line="480" w:lineRule="auto"/>
        <w:ind w:firstLine="470"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rPr>
        <w:t>17.1                       修改类型：修改</w:t>
      </w:r>
    </w:p>
    <w:p>
      <w:pPr>
        <w:pBdr>
          <w:top w:val="single" w:color="auto" w:sz="4" w:space="1"/>
        </w:pBdr>
        <w:spacing w:line="480" w:lineRule="auto"/>
        <w:ind w:firstLine="470" w:firstLineChars="224"/>
        <w:rPr>
          <w:b/>
          <w:color w:val="auto"/>
          <w:szCs w:val="21"/>
          <w:highlight w:val="none"/>
        </w:rPr>
      </w:pPr>
      <w:r>
        <w:rPr>
          <w:rFonts w:hint="eastAsia"/>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17.1投标人应采用单位数字证书，按招标文件要求在相应位置加盖电子印章。投标文件中需个人签字或盖章的，应在线下完成后扫描上传。按照</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广州公共资源交易中心网站(http://www.gzggzy.cn/)服务指南栏目</w:t>
      </w:r>
      <w:r>
        <w:rPr>
          <w:rFonts w:hint="eastAsia" w:ascii="宋体" w:hAnsi="宋体" w:cs="宋体"/>
          <w:color w:val="auto"/>
          <w:szCs w:val="21"/>
          <w:highlight w:val="none"/>
        </w:rPr>
        <w:t>。</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条款号：18.1                        修改类型：修改</w:t>
      </w:r>
    </w:p>
    <w:p>
      <w:pPr>
        <w:spacing w:line="360" w:lineRule="auto"/>
        <w:ind w:firstLine="409"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 xml:space="preserve"> 。</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18.1</w:t>
      </w:r>
      <w:r>
        <w:rPr>
          <w:rFonts w:hint="eastAsia" w:ascii="宋体" w:hAnsi="宋体" w:cs="宋体"/>
          <w:bCs/>
          <w:color w:val="auto"/>
          <w:szCs w:val="21"/>
          <w:highlight w:val="none"/>
        </w:rPr>
        <w:t>递交的电子投标文件（不含备用光盘）必须进行加密。按照</w:t>
      </w:r>
      <w:r>
        <w:rPr>
          <w:rFonts w:hint="eastAsia" w:ascii="宋体" w:hAnsi="宋体" w:cs="宋体"/>
          <w:color w:val="auto"/>
          <w:szCs w:val="21"/>
          <w:highlight w:val="none"/>
          <w:u w:val="single"/>
        </w:rPr>
        <w:t>广州公共资源交易中心</w:t>
      </w:r>
      <w:r>
        <w:rPr>
          <w:rFonts w:hint="eastAsia" w:ascii="宋体" w:hAnsi="宋体" w:cs="宋体"/>
          <w:bCs/>
          <w:color w:val="auto"/>
          <w:szCs w:val="21"/>
          <w:highlight w:val="none"/>
        </w:rPr>
        <w:t>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广州公共资源交易中心网站(http://www.gzggzy.cn/)服务指南栏目</w:t>
      </w:r>
      <w:r>
        <w:rPr>
          <w:rFonts w:hint="eastAsia" w:ascii="宋体" w:hAnsi="宋体" w:cs="宋体"/>
          <w:color w:val="auto"/>
          <w:szCs w:val="21"/>
          <w:highlight w:val="none"/>
        </w:rPr>
        <w:t>。</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条款号：18.2                        修改类型：修改</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18.2</w:t>
      </w:r>
      <w:r>
        <w:rPr>
          <w:rFonts w:hint="eastAsia" w:ascii="宋体" w:hAnsi="宋体" w:cs="宋体"/>
          <w:bCs/>
          <w:color w:val="auto"/>
          <w:szCs w:val="21"/>
          <w:highlight w:val="none"/>
        </w:rPr>
        <w:t>未按要求加密的投标文件，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条款号：19                          修改类型：修改</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原文：19.投标文件的递交和接收</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现文：19.</w:t>
      </w:r>
      <w:r>
        <w:rPr>
          <w:rFonts w:hint="eastAsia" w:ascii="宋体" w:hAnsi="宋体" w:cs="宋体"/>
          <w:b/>
          <w:color w:val="auto"/>
          <w:szCs w:val="21"/>
          <w:highlight w:val="none"/>
          <w:u w:val="single"/>
        </w:rPr>
        <w:t>投标登记和</w:t>
      </w:r>
      <w:r>
        <w:rPr>
          <w:rFonts w:hint="eastAsia" w:ascii="宋体" w:hAnsi="宋体" w:cs="宋体"/>
          <w:b/>
          <w:color w:val="auto"/>
          <w:szCs w:val="21"/>
          <w:highlight w:val="none"/>
        </w:rPr>
        <w:t>投标文件的递交和接收</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条款号：19.1                        修改类型：修改</w:t>
      </w:r>
    </w:p>
    <w:p>
      <w:pPr>
        <w:spacing w:line="360" w:lineRule="auto"/>
        <w:ind w:firstLine="409" w:firstLineChars="195"/>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交易平台递交电子投标文件。</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19.1</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交易平台递交电子投标文件。</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条款号：19.2                       修改类型：修改</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19.2</w:t>
      </w:r>
      <w:r>
        <w:rPr>
          <w:rFonts w:hint="eastAsia" w:ascii="宋体" w:hAnsi="宋体" w:cs="宋体"/>
          <w:bCs/>
          <w:color w:val="auto"/>
          <w:szCs w:val="21"/>
          <w:highlight w:val="none"/>
        </w:rPr>
        <w:t>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条款号：19.3                        修改类型：修改</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19.3</w:t>
      </w:r>
      <w:r>
        <w:rPr>
          <w:rFonts w:hint="eastAsia" w:ascii="宋体" w:hAnsi="宋体" w:cs="宋体"/>
          <w:bCs/>
          <w:color w:val="auto"/>
          <w:szCs w:val="21"/>
          <w:highlight w:val="none"/>
        </w:rPr>
        <w:t>逾期送达的电子投标文件，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条款号：19.5                       修改类型：修改</w:t>
      </w:r>
    </w:p>
    <w:p>
      <w:pPr>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19.5如技术标和经济标先后分别开启，</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19.5</w:t>
      </w:r>
      <w:r>
        <w:rPr>
          <w:rFonts w:hint="eastAsia" w:ascii="宋体" w:hAnsi="宋体" w:cs="宋体"/>
          <w:color w:val="auto"/>
          <w:szCs w:val="21"/>
          <w:highlight w:val="none"/>
          <w:u w:val="single"/>
        </w:rPr>
        <w:t>广州公共资源交易中心交易平台将按招标文件规定的时间同时开启技术标（含资格审查文件）和经济标。</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条款号：19.6                       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条款号：20.3                       修改类型：修改</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20.3</w:t>
      </w:r>
      <w:r>
        <w:rPr>
          <w:rFonts w:hint="eastAsia" w:ascii="宋体" w:hAnsi="宋体" w:cs="宋体"/>
          <w:color w:val="auto"/>
          <w:szCs w:val="21"/>
          <w:highlight w:val="none"/>
          <w:u w:val="single"/>
        </w:rPr>
        <w:t>到投标截止时间止，招标人收到的投标文件少于3家的，招标人将重新组织招标。</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adjustRightInd w:val="0"/>
        <w:spacing w:line="360" w:lineRule="auto"/>
        <w:ind w:firstLine="409" w:firstLineChars="195"/>
        <w:textAlignment w:val="baseline"/>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color w:val="auto"/>
          <w:sz w:val="24"/>
          <w:szCs w:val="24"/>
          <w:highlight w:val="none"/>
          <w:u w:val="single"/>
        </w:rPr>
        <w:t xml:space="preserve">       </w:t>
      </w:r>
      <w:r>
        <w:rPr>
          <w:rFonts w:hint="eastAsia" w:ascii="宋体" w:hAnsi="宋体" w:cs="宋体"/>
          <w:color w:val="auto"/>
          <w:szCs w:val="21"/>
          <w:highlight w:val="none"/>
        </w:rPr>
        <w:t>交易平台将予以拒收。</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交易平台将予以拒收。</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color w:val="auto"/>
          <w:sz w:val="24"/>
          <w:szCs w:val="24"/>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交易平台、广东省招标投标监管网和中国招标投标公共服务平台公示中标候选人，公示期为三天。</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条款号：27.4                        修改类型：修改</w:t>
      </w:r>
    </w:p>
    <w:p>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27.4在产生中标候选人后，招标人将中标候选人的投标文件商务部分文件的所有内容（包括报价清单、人员、业绩、奖项等资料）在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交易平台和广东省招标投标监管网公开。</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27.4在产生中标候选人后，招标人将中标候选人的投标文件商务部分文件的所有内容（</w:t>
      </w:r>
      <w:r>
        <w:rPr>
          <w:rFonts w:hint="eastAsia" w:ascii="宋体" w:hAnsi="宋体" w:cs="宋体"/>
          <w:color w:val="auto"/>
          <w:szCs w:val="21"/>
          <w:highlight w:val="none"/>
          <w:u w:val="single"/>
        </w:rPr>
        <w:t>包括人员、业绩、奖项等资料</w:t>
      </w:r>
      <w:r>
        <w:rPr>
          <w:rFonts w:hint="eastAsia" w:ascii="宋体" w:hAnsi="宋体" w:cs="宋体"/>
          <w:color w:val="auto"/>
          <w:szCs w:val="21"/>
          <w:highlight w:val="none"/>
        </w:rPr>
        <w:t>）在</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交易平台和广东省招标投标监管网公开。</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条款号：28.3                        修改类型：修改</w:t>
      </w:r>
    </w:p>
    <w:p>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28.3非经招标人同意，中标人在投标过程中使用的银行名称及帐号至完成竣工结算不得变更，否则招标人有权停止工程款项的</w:t>
      </w:r>
      <w:r>
        <w:rPr>
          <w:rFonts w:hint="eastAsia" w:ascii="宋体" w:hAnsi="宋体" w:cs="宋体"/>
          <w:color w:val="auto"/>
          <w:szCs w:val="21"/>
          <w:highlight w:val="none"/>
          <w:u w:val="single"/>
        </w:rPr>
        <w:t>拨付</w:t>
      </w:r>
      <w:r>
        <w:rPr>
          <w:rFonts w:hint="eastAsia" w:ascii="宋体" w:hAnsi="宋体" w:cs="宋体"/>
          <w:color w:val="auto"/>
          <w:szCs w:val="21"/>
          <w:highlight w:val="none"/>
        </w:rPr>
        <w:t>及至解除合同，由此造成的一切责任由中标人承担。</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条款号：29.</w:t>
      </w:r>
      <w:r>
        <w:rPr>
          <w:rFonts w:ascii="宋体" w:hAnsi="宋体" w:cs="宋体"/>
          <w:b/>
          <w:color w:val="auto"/>
          <w:szCs w:val="21"/>
          <w:highlight w:val="none"/>
        </w:rPr>
        <w:t>1</w:t>
      </w:r>
      <w:r>
        <w:rPr>
          <w:rFonts w:hint="eastAsia" w:ascii="宋体" w:hAnsi="宋体" w:cs="宋体"/>
          <w:b/>
          <w:color w:val="auto"/>
          <w:szCs w:val="21"/>
          <w:highlight w:val="none"/>
        </w:rPr>
        <w:t xml:space="preserve">                        修改类型：修改</w:t>
      </w:r>
    </w:p>
    <w:p>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w:t>
      </w:r>
      <w:r>
        <w:rPr>
          <w:rFonts w:ascii="宋体" w:hAnsi="宋体" w:cs="宋体"/>
          <w:color w:val="auto"/>
          <w:szCs w:val="21"/>
          <w:highlight w:val="none"/>
        </w:rPr>
        <w:t>1</w:t>
      </w:r>
      <w:r>
        <w:rPr>
          <w:rFonts w:hint="eastAsia" w:ascii="宋体" w:hAnsi="宋体" w:cs="宋体"/>
          <w:color w:val="auto"/>
          <w:szCs w:val="21"/>
          <w:highlight w:val="none"/>
        </w:rPr>
        <w:t>在收到中标通知书后的15日内，中标人应按本须知前附表第20项的规定向招标人提交履约担保。</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w:t>
      </w:r>
      <w:r>
        <w:rPr>
          <w:rFonts w:ascii="宋体" w:hAnsi="宋体" w:cs="宋体"/>
          <w:color w:val="auto"/>
          <w:szCs w:val="21"/>
          <w:highlight w:val="none"/>
        </w:rPr>
        <w:t>1</w:t>
      </w:r>
      <w:r>
        <w:rPr>
          <w:rFonts w:hint="eastAsia" w:ascii="宋体" w:hAnsi="宋体" w:cs="宋体"/>
          <w:color w:val="auto"/>
          <w:szCs w:val="21"/>
          <w:highlight w:val="none"/>
          <w:u w:val="single"/>
        </w:rPr>
        <w:t>合同正式签订之日起</w:t>
      </w:r>
      <w:r>
        <w:rPr>
          <w:rFonts w:ascii="宋体" w:hAnsi="宋体" w:cs="宋体"/>
          <w:color w:val="auto"/>
          <w:szCs w:val="21"/>
          <w:highlight w:val="none"/>
          <w:u w:val="single"/>
        </w:rPr>
        <w:t>15</w:t>
      </w:r>
      <w:r>
        <w:rPr>
          <w:rFonts w:hint="eastAsia" w:ascii="宋体" w:hAnsi="宋体" w:cs="宋体"/>
          <w:color w:val="auto"/>
          <w:szCs w:val="21"/>
          <w:highlight w:val="none"/>
          <w:u w:val="single"/>
        </w:rPr>
        <w:t>日内</w:t>
      </w:r>
      <w:r>
        <w:rPr>
          <w:rFonts w:hint="eastAsia" w:ascii="宋体" w:hAnsi="宋体" w:cs="宋体"/>
          <w:color w:val="auto"/>
          <w:szCs w:val="21"/>
          <w:highlight w:val="none"/>
        </w:rPr>
        <w:t>，中标人应按本须知前附表第</w:t>
      </w:r>
      <w:r>
        <w:rPr>
          <w:rFonts w:ascii="宋体" w:hAnsi="宋体" w:cs="宋体"/>
          <w:color w:val="auto"/>
          <w:szCs w:val="21"/>
          <w:highlight w:val="none"/>
        </w:rPr>
        <w:t>2</w:t>
      </w:r>
      <w:r>
        <w:rPr>
          <w:rFonts w:hint="eastAsia" w:ascii="宋体" w:hAnsi="宋体" w:cs="宋体"/>
          <w:color w:val="auto"/>
          <w:szCs w:val="21"/>
          <w:highlight w:val="none"/>
        </w:rPr>
        <w:t>0项的规定向招标人提交</w:t>
      </w:r>
      <w:r>
        <w:rPr>
          <w:rFonts w:hint="eastAsia" w:ascii="宋体" w:hAnsi="宋体" w:cs="宋体"/>
          <w:color w:val="auto"/>
          <w:szCs w:val="21"/>
          <w:highlight w:val="none"/>
          <w:u w:val="single"/>
        </w:rPr>
        <w:t>由银行或国有担保公司开具的无条件不可撤销的</w:t>
      </w:r>
      <w:r>
        <w:rPr>
          <w:rFonts w:hint="eastAsia" w:ascii="宋体" w:hAnsi="宋体" w:cs="宋体"/>
          <w:color w:val="auto"/>
          <w:szCs w:val="21"/>
          <w:highlight w:val="none"/>
        </w:rPr>
        <w:t>履约担保；如果中标人的履约担保是以银行保函的形式提供，则该银行保函应由在中国注册且营业的</w:t>
      </w:r>
      <w:r>
        <w:rPr>
          <w:rFonts w:hint="eastAsia" w:ascii="宋体" w:hAnsi="宋体" w:cs="宋体"/>
          <w:color w:val="auto"/>
          <w:szCs w:val="21"/>
          <w:highlight w:val="none"/>
          <w:u w:val="single"/>
        </w:rPr>
        <w:t>分行级别或以上</w:t>
      </w:r>
      <w:r>
        <w:rPr>
          <w:rFonts w:hint="eastAsia" w:ascii="宋体" w:hAnsi="宋体" w:cs="宋体"/>
          <w:color w:val="auto"/>
          <w:szCs w:val="21"/>
          <w:highlight w:val="none"/>
        </w:rPr>
        <w:t>的银行开具。</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合同正式签订之日起</w:t>
      </w:r>
      <w:r>
        <w:rPr>
          <w:rFonts w:ascii="宋体" w:hAnsi="宋体" w:cs="宋体"/>
          <w:color w:val="auto"/>
          <w:szCs w:val="21"/>
          <w:highlight w:val="none"/>
          <w:u w:val="single"/>
        </w:rPr>
        <w:t>15</w:t>
      </w:r>
      <w:r>
        <w:rPr>
          <w:rFonts w:hint="eastAsia" w:ascii="宋体" w:hAnsi="宋体" w:cs="宋体"/>
          <w:color w:val="auto"/>
          <w:szCs w:val="21"/>
          <w:highlight w:val="none"/>
          <w:u w:val="single"/>
        </w:rPr>
        <w:t>日内</w:t>
      </w:r>
      <w:r>
        <w:rPr>
          <w:rFonts w:hint="eastAsia" w:ascii="宋体" w:hAnsi="宋体"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09" w:firstLineChars="195"/>
        <w:rPr>
          <w:rFonts w:ascii="宋体" w:hAnsi="宋体" w:cs="宋体"/>
          <w:b/>
          <w:bCs/>
          <w:color w:val="auto"/>
          <w:szCs w:val="21"/>
          <w:highlight w:val="none"/>
        </w:rPr>
      </w:pPr>
      <w:r>
        <w:rPr>
          <w:rFonts w:hint="eastAsia" w:ascii="宋体" w:hAnsi="宋体" w:cs="宋体"/>
          <w:b/>
          <w:bCs/>
          <w:color w:val="auto"/>
          <w:szCs w:val="21"/>
          <w:highlight w:val="none"/>
        </w:rPr>
        <w:t>条款号：31                          修改类型：修改</w:t>
      </w:r>
    </w:p>
    <w:p>
      <w:pPr>
        <w:pBdr>
          <w:bottom w:val="single" w:color="auto" w:sz="6" w:space="1"/>
        </w:pBdr>
        <w:spacing w:line="360" w:lineRule="auto"/>
        <w:ind w:firstLine="409" w:firstLineChars="195"/>
        <w:rPr>
          <w:rFonts w:ascii="宋体" w:hAnsi="宋体" w:cs="宋体"/>
          <w:b/>
          <w:bCs/>
          <w:color w:val="auto"/>
          <w:szCs w:val="21"/>
          <w:highlight w:val="none"/>
        </w:rPr>
      </w:pPr>
      <w:r>
        <w:rPr>
          <w:rFonts w:hint="eastAsia" w:ascii="宋体" w:hAnsi="宋体" w:cs="宋体"/>
          <w:b/>
          <w:bCs/>
          <w:color w:val="auto"/>
          <w:szCs w:val="21"/>
          <w:highlight w:val="none"/>
        </w:rPr>
        <w:t>原文：31.其它费用</w:t>
      </w:r>
    </w:p>
    <w:p>
      <w:pPr>
        <w:pBdr>
          <w:bottom w:val="single" w:color="auto" w:sz="6" w:space="1"/>
        </w:pBdr>
        <w:spacing w:line="360" w:lineRule="auto"/>
        <w:ind w:firstLine="409"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b/>
          <w:color w:val="auto"/>
          <w:szCs w:val="21"/>
          <w:highlight w:val="none"/>
        </w:rPr>
        <w:t>31.</w:t>
      </w:r>
      <w:r>
        <w:rPr>
          <w:rFonts w:hint="eastAsia" w:ascii="宋体" w:hAnsi="宋体" w:cs="宋体"/>
          <w:b/>
          <w:bCs/>
          <w:color w:val="auto"/>
          <w:szCs w:val="21"/>
          <w:highlight w:val="none"/>
        </w:rPr>
        <w:t>其它费用</w:t>
      </w:r>
    </w:p>
    <w:p>
      <w:pPr>
        <w:pBdr>
          <w:bottom w:val="single" w:color="auto" w:sz="6" w:space="1"/>
        </w:pBdr>
        <w:spacing w:line="360" w:lineRule="auto"/>
        <w:ind w:firstLine="525" w:firstLineChars="250"/>
        <w:rPr>
          <w:rFonts w:ascii="宋体" w:hAnsi="宋体" w:cs="宋体"/>
          <w:color w:val="auto"/>
          <w:szCs w:val="21"/>
          <w:highlight w:val="none"/>
          <w:u w:val="single"/>
        </w:rPr>
      </w:pPr>
      <w:r>
        <w:rPr>
          <w:rFonts w:hint="eastAsia" w:ascii="宋体" w:hAnsi="宋体" w:cs="宋体"/>
          <w:color w:val="auto"/>
          <w:szCs w:val="21"/>
          <w:highlight w:val="none"/>
          <w:u w:val="single"/>
        </w:rPr>
        <w:t>中标人应交纳交易服务费，该费用包含在投标价中。</w:t>
      </w:r>
    </w:p>
    <w:p>
      <w:pPr>
        <w:spacing w:line="360" w:lineRule="auto"/>
        <w:ind w:firstLine="409" w:firstLineChars="195"/>
        <w:rPr>
          <w:rFonts w:ascii="宋体" w:hAnsi="宋体" w:cs="宋体"/>
          <w:b/>
          <w:color w:val="auto"/>
          <w:szCs w:val="21"/>
          <w:highlight w:val="none"/>
        </w:rPr>
      </w:pPr>
      <w:r>
        <w:rPr>
          <w:rFonts w:hint="eastAsia" w:ascii="宋体" w:hAnsi="宋体" w:cs="宋体"/>
          <w:b/>
          <w:color w:val="auto"/>
          <w:szCs w:val="21"/>
          <w:highlight w:val="none"/>
        </w:rPr>
        <w:t>条款号：33                          修改类型：修改</w:t>
      </w:r>
    </w:p>
    <w:p>
      <w:pPr>
        <w:spacing w:line="360" w:lineRule="auto"/>
        <w:ind w:firstLine="409" w:firstLineChars="195"/>
        <w:rPr>
          <w:rFonts w:ascii="宋体" w:hAnsi="宋体"/>
          <w:b/>
          <w:color w:val="auto"/>
          <w:sz w:val="24"/>
          <w:highlight w:val="none"/>
        </w:rPr>
      </w:pPr>
      <w:r>
        <w:rPr>
          <w:rFonts w:hint="eastAsia" w:ascii="宋体" w:hAnsi="宋体" w:cs="宋体"/>
          <w:b/>
          <w:bCs/>
          <w:color w:val="auto"/>
          <w:szCs w:val="21"/>
          <w:highlight w:val="none"/>
        </w:rPr>
        <w:t>原文：</w:t>
      </w:r>
      <w:r>
        <w:rPr>
          <w:rFonts w:hint="eastAsia" w:ascii="宋体" w:hAnsi="宋体" w:cs="宋体"/>
          <w:b/>
          <w:color w:val="auto"/>
          <w:szCs w:val="21"/>
          <w:highlight w:val="none"/>
        </w:rPr>
        <w:t>33.</w:t>
      </w:r>
      <w:r>
        <w:rPr>
          <w:rFonts w:hint="eastAsia" w:ascii="宋体" w:hAnsi="宋体"/>
          <w:b/>
          <w:color w:val="auto"/>
          <w:sz w:val="24"/>
          <w:highlight w:val="none"/>
        </w:rPr>
        <w:t>投标人信誉的要求</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存在下列情形之一的，招标人可以限制其投标（需在招标文件中明确评定方法）</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409" w:firstLineChars="195"/>
        <w:rPr>
          <w:rFonts w:ascii="宋体" w:hAnsi="宋体"/>
          <w:b/>
          <w:color w:val="auto"/>
          <w:sz w:val="24"/>
          <w:highlight w:val="none"/>
        </w:rPr>
      </w:pPr>
      <w:r>
        <w:rPr>
          <w:rFonts w:hint="eastAsia" w:hAnsi="宋体" w:cs="宋体"/>
          <w:b/>
          <w:bCs/>
          <w:color w:val="auto"/>
          <w:szCs w:val="21"/>
          <w:highlight w:val="none"/>
        </w:rPr>
        <w:t xml:space="preserve"> 现文：</w:t>
      </w:r>
      <w:r>
        <w:rPr>
          <w:rFonts w:hint="eastAsia" w:ascii="宋体" w:hAnsi="宋体" w:cs="宋体"/>
          <w:b/>
          <w:color w:val="auto"/>
          <w:szCs w:val="21"/>
          <w:highlight w:val="none"/>
        </w:rPr>
        <w:t>33.</w:t>
      </w:r>
      <w:r>
        <w:rPr>
          <w:rFonts w:hint="eastAsia" w:ascii="宋体" w:hAnsi="宋体"/>
          <w:b/>
          <w:color w:val="auto"/>
          <w:sz w:val="24"/>
          <w:highlight w:val="none"/>
        </w:rPr>
        <w:t>投标人信誉的要求</w:t>
      </w:r>
    </w:p>
    <w:p>
      <w:pPr>
        <w:pBdr>
          <w:bottom w:val="single" w:color="auto" w:sz="4"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存在下列情形之一的，招标人可以限制其投标（按投标人声明评审）</w:t>
      </w:r>
    </w:p>
    <w:p>
      <w:pPr>
        <w:pBdr>
          <w:bottom w:val="single" w:color="auto" w:sz="4"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（1）被住房城乡建设行政主管部门在全国建筑市场监管一体化工作平台列入建筑市场主体“黑名单”；</w:t>
      </w:r>
    </w:p>
    <w:p>
      <w:pPr>
        <w:pBdr>
          <w:bottom w:val="single" w:color="auto" w:sz="4" w:space="1"/>
        </w:pBd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（2）被发改委、人力资源社会保障、质检总局等有关部门、单位在“信用中国”网站中列入联合惩戒失信黑名单。</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7"/>
        <w:rPr>
          <w:color w:val="auto"/>
          <w:highlight w:val="none"/>
        </w:rPr>
      </w:pPr>
      <w:r>
        <w:rPr>
          <w:color w:val="auto"/>
          <w:highlight w:val="none"/>
        </w:rPr>
        <w:br w:type="page"/>
      </w:r>
      <w:bookmarkStart w:id="7" w:name="_Toc101453730"/>
      <w:bookmarkStart w:id="8" w:name="_Toc2272548"/>
      <w:r>
        <w:rPr>
          <w:rFonts w:hint="eastAsia"/>
          <w:color w:val="auto"/>
          <w:highlight w:val="none"/>
        </w:rPr>
        <w:t>三、投标须知通用条款</w:t>
      </w:r>
      <w:bookmarkEnd w:id="7"/>
      <w:bookmarkEnd w:id="8"/>
    </w:p>
    <w:p>
      <w:pPr>
        <w:pStyle w:val="9"/>
        <w:spacing w:before="156" w:after="156"/>
        <w:rPr>
          <w:color w:val="auto"/>
          <w:highlight w:val="none"/>
        </w:rPr>
      </w:pPr>
      <w:bookmarkStart w:id="9" w:name="_Toc2272549"/>
      <w:bookmarkStart w:id="10" w:name="_Toc101453731"/>
      <w:r>
        <w:rPr>
          <w:rFonts w:hint="eastAsia"/>
          <w:color w:val="auto"/>
          <w:highlight w:val="none"/>
        </w:rPr>
        <w:t>（一）总则</w:t>
      </w:r>
      <w:bookmarkEnd w:id="9"/>
      <w:bookmarkEnd w:id="10"/>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0"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9"/>
        <w:spacing w:before="156" w:after="156"/>
        <w:rPr>
          <w:color w:val="auto"/>
          <w:highlight w:val="none"/>
        </w:rPr>
      </w:pPr>
      <w:bookmarkStart w:id="11" w:name="_Toc2272550"/>
      <w:bookmarkStart w:id="12" w:name="_Toc101453732"/>
      <w:r>
        <w:rPr>
          <w:rFonts w:hint="eastAsia"/>
          <w:color w:val="auto"/>
          <w:highlight w:val="none"/>
        </w:rPr>
        <w:t>（二）招标文件</w:t>
      </w:r>
      <w:bookmarkEnd w:id="11"/>
      <w:bookmarkEnd w:id="12"/>
    </w:p>
    <w:p>
      <w:pPr>
        <w:tabs>
          <w:tab w:val="left" w:pos="105"/>
        </w:tabs>
        <w:spacing w:line="360" w:lineRule="auto"/>
        <w:ind w:firstLine="480"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5"/>
        <w:spacing w:after="0"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pStyle w:val="5"/>
        <w:spacing w:after="0"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pStyle w:val="5"/>
        <w:spacing w:after="0" w:line="360" w:lineRule="auto"/>
        <w:ind w:left="-2" w:firstLine="480" w:firstLineChars="200"/>
        <w:rPr>
          <w:rFonts w:asci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最高投标限价（另册）</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rPr>
          <w:color w:val="auto"/>
          <w:highlight w:val="none"/>
        </w:rPr>
      </w:pPr>
      <w:bookmarkStart w:id="13" w:name="_Toc2272551"/>
      <w:bookmarkStart w:id="14" w:name="_Toc101453733"/>
      <w:r>
        <w:rPr>
          <w:rFonts w:hint="eastAsia"/>
          <w:color w:val="auto"/>
          <w:highlight w:val="none"/>
        </w:rPr>
        <w:t>（三）投标文件的编制</w:t>
      </w:r>
      <w:bookmarkEnd w:id="13"/>
      <w:bookmarkEnd w:id="14"/>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5"/>
        <w:spacing w:after="0"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bCs/>
          <w:color w:val="auto"/>
          <w:sz w:val="24"/>
          <w:szCs w:val="24"/>
          <w:highlight w:val="none"/>
        </w:rPr>
        <w:t>；</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5"/>
        <w:spacing w:after="0"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pPr>
        <w:pStyle w:val="5"/>
        <w:spacing w:after="0"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5"/>
        <w:spacing w:after="0" w:line="360" w:lineRule="auto"/>
        <w:ind w:firstLine="480"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9"/>
        <w:spacing w:before="156" w:after="156"/>
        <w:rPr>
          <w:color w:val="auto"/>
          <w:highlight w:val="none"/>
        </w:rPr>
      </w:pPr>
      <w:bookmarkStart w:id="15" w:name="_Toc101453734"/>
      <w:bookmarkStart w:id="16" w:name="_Toc2272552"/>
      <w:r>
        <w:rPr>
          <w:rFonts w:hint="eastAsia"/>
          <w:color w:val="auto"/>
          <w:highlight w:val="none"/>
        </w:rPr>
        <w:t>（四）投标文件的提交</w:t>
      </w:r>
      <w:bookmarkEnd w:id="15"/>
      <w:bookmarkEnd w:id="16"/>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0" w:firstLineChars="200"/>
        <w:rPr>
          <w:rFonts w:ascii="宋体"/>
          <w:color w:val="auto"/>
          <w:sz w:val="24"/>
          <w:highlight w:val="none"/>
        </w:rPr>
      </w:pPr>
      <w:r>
        <w:rPr>
          <w:rFonts w:ascii="宋体" w:hAnsi="宋体"/>
          <w:color w:val="auto"/>
          <w:sz w:val="24"/>
          <w:szCs w:val="24"/>
          <w:highlight w:val="none"/>
        </w:rPr>
        <w:t>19.6</w:t>
      </w:r>
      <w:r>
        <w:rPr>
          <w:rFonts w:hint="eastAsia" w:ascii="宋体" w:hAnsi="宋体"/>
          <w:color w:val="auto"/>
          <w:sz w:val="24"/>
          <w:szCs w:val="24"/>
          <w:highlight w:val="none"/>
        </w:rPr>
        <w:t>在规定的时间内，项目负责人须到自助签到。按照交易平台有关项目负责人自助签到流程进行操作。项目负责人凡未凭身份证按时到达指定地点签到的，</w:t>
      </w:r>
      <w:r>
        <w:rPr>
          <w:rFonts w:hint="eastAsia" w:ascii="宋体" w:hAnsi="宋体"/>
          <w:color w:val="auto"/>
          <w:sz w:val="24"/>
          <w:highlight w:val="none"/>
        </w:rPr>
        <w:t>该投标文件将不能参与资格审查和评标</w:t>
      </w:r>
      <w:r>
        <w:rPr>
          <w:rFonts w:hint="eastAsia" w:ascii="宋体" w:hAnsi="宋体"/>
          <w:color w:val="auto"/>
          <w:sz w:val="24"/>
          <w:szCs w:val="24"/>
          <w:highlight w:val="none"/>
        </w:rPr>
        <w:t>（选择性条款）。</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9"/>
        <w:spacing w:before="156" w:after="156"/>
        <w:rPr>
          <w:color w:val="auto"/>
          <w:highlight w:val="none"/>
        </w:rPr>
      </w:pPr>
      <w:bookmarkStart w:id="17" w:name="_Toc101453735"/>
      <w:bookmarkStart w:id="18" w:name="_Toc2272553"/>
      <w:r>
        <w:rPr>
          <w:rFonts w:hint="eastAsia"/>
          <w:color w:val="auto"/>
          <w:highlight w:val="none"/>
        </w:rPr>
        <w:t>（五）开标、评标、定标及合同签定</w:t>
      </w:r>
      <w:bookmarkEnd w:id="17"/>
      <w:bookmarkEnd w:id="18"/>
    </w:p>
    <w:p>
      <w:pPr>
        <w:spacing w:line="360" w:lineRule="auto"/>
        <w:ind w:firstLine="480"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宋体"/>
          <w:color w:val="auto"/>
          <w:sz w:val="24"/>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27.4在产生中标候选人后，招标人将中标候选人的投标文件商务部分文件的所有内容（包括报价清单、人员、业绩、奖项等资料）在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0"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5"/>
        <w:spacing w:after="0" w:line="360" w:lineRule="auto"/>
        <w:ind w:firstLine="480"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5"/>
        <w:spacing w:after="0"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37" w:firstLineChars="224"/>
        <w:rPr>
          <w:rFonts w:ascii="宋体" w:hAnsi="宋体"/>
          <w:b/>
          <w:color w:val="auto"/>
          <w:sz w:val="24"/>
          <w:highlight w:val="none"/>
        </w:rPr>
      </w:pPr>
      <w:r>
        <w:rPr>
          <w:rFonts w:hint="eastAsia" w:ascii="宋体"/>
          <w:b/>
          <w:color w:val="auto"/>
          <w:sz w:val="24"/>
          <w:highlight w:val="none"/>
        </w:rPr>
        <w:t>33.</w:t>
      </w:r>
      <w:r>
        <w:rPr>
          <w:rFonts w:hint="eastAsia" w:ascii="宋体" w:hAnsi="宋体"/>
          <w:b/>
          <w:color w:val="auto"/>
          <w:sz w:val="24"/>
          <w:highlight w:val="none"/>
        </w:rPr>
        <w:t xml:space="preserve"> 投标人信誉的要求</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存在下列情形之一的，招标人可以限制其投标（需在招标文件中明确评定方法）</w:t>
      </w:r>
    </w:p>
    <w:p>
      <w:pPr>
        <w:spacing w:line="480" w:lineRule="auto"/>
        <w:ind w:firstLine="537" w:firstLineChars="224"/>
        <w:rPr>
          <w:rFonts w:ascii="宋体" w:hAnsi="宋体"/>
          <w:color w:val="auto"/>
          <w:sz w:val="24"/>
          <w:highlight w:val="none"/>
        </w:rPr>
      </w:pPr>
      <w:r>
        <w:rPr>
          <w:rFonts w:hint="eastAsia" w:ascii="宋体" w:hAnsi="宋体"/>
          <w:color w:val="auto"/>
          <w:sz w:val="24"/>
          <w:highlight w:val="none"/>
        </w:rPr>
        <w:t>（1）被住房城乡建设行政主管部门在全国建筑市场监管一体化工作平台列入建筑市场主体“黑名单”；</w:t>
      </w:r>
    </w:p>
    <w:p>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（2）被发改委、人力资源社会保障、质检总局等有关部门、单位在“信用中国”网站中列入联合惩戒失信黑名单。</w:t>
      </w:r>
    </w:p>
    <w:p>
      <w:pPr>
        <w:pStyle w:val="3"/>
        <w:rPr>
          <w:color w:val="auto"/>
          <w:highlight w:val="none"/>
        </w:rPr>
      </w:pPr>
      <w:r>
        <w:rPr>
          <w:rFonts w:ascii="宋体"/>
          <w:color w:val="auto"/>
          <w:sz w:val="24"/>
          <w:highlight w:val="none"/>
        </w:rPr>
        <w:br w:type="page"/>
      </w:r>
      <w:bookmarkStart w:id="19" w:name="_Toc2272554"/>
      <w:bookmarkStart w:id="20" w:name="_Toc101453736"/>
      <w:r>
        <w:rPr>
          <w:rFonts w:hint="eastAsia"/>
          <w:color w:val="auto"/>
          <w:highlight w:val="none"/>
        </w:rPr>
        <w:t>第二章开标、评标及定标办法</w:t>
      </w:r>
      <w:bookmarkEnd w:id="19"/>
      <w:bookmarkEnd w:id="20"/>
    </w:p>
    <w:p>
      <w:pPr>
        <w:pStyle w:val="7"/>
        <w:rPr>
          <w:color w:val="auto"/>
          <w:highlight w:val="none"/>
        </w:rPr>
      </w:pPr>
      <w:bookmarkStart w:id="21" w:name="_Toc101453737"/>
      <w:bookmarkStart w:id="22" w:name="_Toc2272555"/>
      <w:r>
        <w:rPr>
          <w:rFonts w:hint="eastAsia"/>
          <w:color w:val="auto"/>
          <w:sz w:val="28"/>
          <w:szCs w:val="28"/>
          <w:highlight w:val="none"/>
        </w:rPr>
        <w:t>一、</w:t>
      </w:r>
      <w:r>
        <w:rPr>
          <w:rFonts w:hint="eastAsia"/>
          <w:color w:val="auto"/>
          <w:highlight w:val="none"/>
        </w:rPr>
        <w:t>开标、评标及定标办法修改表</w:t>
      </w:r>
      <w:bookmarkEnd w:id="21"/>
      <w:bookmarkEnd w:id="22"/>
    </w:p>
    <w:p>
      <w:pPr>
        <w:pStyle w:val="5"/>
        <w:spacing w:after="0" w:line="360" w:lineRule="auto"/>
        <w:rPr>
          <w:b/>
          <w:color w:val="auto"/>
          <w:szCs w:val="21"/>
          <w:highlight w:val="none"/>
        </w:rPr>
      </w:pPr>
      <w:r>
        <w:rPr>
          <w:rFonts w:hint="eastAsia"/>
          <w:b/>
          <w:color w:val="auto"/>
          <w:szCs w:val="21"/>
          <w:highlight w:val="none"/>
        </w:rPr>
        <w:t>声明：本</w:t>
      </w:r>
      <w:r>
        <w:rPr>
          <w:rFonts w:hint="eastAsia"/>
          <w:b/>
          <w:color w:val="auto"/>
          <w:highlight w:val="none"/>
        </w:rPr>
        <w:t>开标、评标及定标办法使用GZZB2018-3招标文件范本的开标、评标及定标办法通用条款，与该通用条款不同之处，均在本表中列明，并以现文为准，原</w:t>
      </w:r>
      <w:r>
        <w:rPr>
          <w:rFonts w:hint="eastAsia"/>
          <w:b/>
          <w:color w:val="auto"/>
          <w:szCs w:val="21"/>
          <w:highlight w:val="none"/>
        </w:rPr>
        <w:t>文不再有效。本招标文件中不再转录</w:t>
      </w:r>
      <w:r>
        <w:rPr>
          <w:rFonts w:hint="eastAsia"/>
          <w:b/>
          <w:color w:val="auto"/>
          <w:highlight w:val="none"/>
        </w:rPr>
        <w:t>开标、评标及定标办法</w:t>
      </w:r>
      <w:r>
        <w:rPr>
          <w:rFonts w:hint="eastAsia"/>
          <w:b/>
          <w:color w:val="auto"/>
          <w:szCs w:val="21"/>
          <w:highlight w:val="none"/>
        </w:rPr>
        <w:t>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Style w:val="40"/>
          <w:rFonts w:hint="eastAsia"/>
          <w:b/>
          <w:color w:val="auto"/>
          <w:szCs w:val="21"/>
          <w:highlight w:val="none"/>
        </w:rPr>
        <w:t>http://zfcj.gz.gov.cn/）下载GZZB2018-3</w:t>
      </w:r>
      <w:r>
        <w:rPr>
          <w:rStyle w:val="40"/>
          <w:rFonts w:hint="eastAsia"/>
          <w:b/>
          <w:color w:val="auto"/>
          <w:szCs w:val="21"/>
          <w:highlight w:val="none"/>
        </w:rPr>
        <w:fldChar w:fldCharType="end"/>
      </w:r>
      <w:r>
        <w:rPr>
          <w:rFonts w:hint="eastAsia"/>
          <w:b/>
          <w:color w:val="auto"/>
          <w:szCs w:val="21"/>
          <w:highlight w:val="none"/>
        </w:rPr>
        <w:t>范本查阅。</w:t>
      </w:r>
    </w:p>
    <w:p>
      <w:pPr>
        <w:spacing w:line="360" w:lineRule="auto"/>
        <w:ind w:firstLine="470" w:firstLineChars="224"/>
        <w:rPr>
          <w:b/>
          <w:color w:val="auto"/>
          <w:szCs w:val="21"/>
          <w:highlight w:val="none"/>
        </w:rPr>
      </w:pPr>
      <w:r>
        <w:rPr>
          <w:rFonts w:hint="eastAsia"/>
          <w:b/>
          <w:color w:val="auto"/>
          <w:szCs w:val="21"/>
          <w:highlight w:val="none"/>
        </w:rPr>
        <w:t>条款号：</w:t>
      </w:r>
      <w:r>
        <w:rPr>
          <w:rFonts w:hint="eastAsia" w:ascii="宋体" w:hAnsi="宋体"/>
          <w:b/>
          <w:bCs/>
          <w:color w:val="auto"/>
          <w:szCs w:val="21"/>
          <w:highlight w:val="none"/>
        </w:rPr>
        <w:t xml:space="preserve">36.1                       </w:t>
      </w:r>
      <w:r>
        <w:rPr>
          <w:rFonts w:hint="eastAsia"/>
          <w:b/>
          <w:color w:val="auto"/>
          <w:szCs w:val="21"/>
          <w:highlight w:val="none"/>
        </w:rPr>
        <w:t>修改类型：修改</w:t>
      </w:r>
    </w:p>
    <w:p>
      <w:pPr>
        <w:spacing w:line="360" w:lineRule="auto"/>
        <w:ind w:firstLine="470" w:firstLineChars="224"/>
        <w:rPr>
          <w:b/>
          <w:color w:val="auto"/>
          <w:szCs w:val="21"/>
          <w:highlight w:val="none"/>
        </w:rPr>
      </w:pPr>
      <w:r>
        <w:rPr>
          <w:rFonts w:hint="eastAsia"/>
          <w:b/>
          <w:color w:val="auto"/>
          <w:szCs w:val="21"/>
          <w:highlight w:val="none"/>
        </w:rPr>
        <w:t>原文：</w:t>
      </w:r>
      <w:r>
        <w:rPr>
          <w:rFonts w:ascii="宋体" w:hAnsi="宋体"/>
          <w:color w:val="auto"/>
          <w:szCs w:val="21"/>
          <w:highlight w:val="none"/>
        </w:rPr>
        <w:t>36.1</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480" w:lineRule="auto"/>
        <w:ind w:firstLine="470" w:firstLineChars="224"/>
        <w:rPr>
          <w:b/>
          <w:color w:val="auto"/>
          <w:szCs w:val="21"/>
          <w:highlight w:val="none"/>
        </w:rPr>
      </w:pPr>
      <w:r>
        <w:rPr>
          <w:rFonts w:hint="eastAsia"/>
          <w:b/>
          <w:color w:val="auto"/>
          <w:szCs w:val="21"/>
          <w:highlight w:val="none"/>
        </w:rPr>
        <w:t>现文：</w:t>
      </w:r>
      <w:r>
        <w:rPr>
          <w:rFonts w:ascii="宋体" w:hAnsi="宋体"/>
          <w:color w:val="auto"/>
          <w:szCs w:val="21"/>
          <w:highlight w:val="none"/>
        </w:rPr>
        <w:t xml:space="preserve">36.1 </w:t>
      </w:r>
      <w:r>
        <w:rPr>
          <w:rFonts w:hint="eastAsia" w:ascii="宋体" w:hAnsi="宋体"/>
          <w:color w:val="auto"/>
          <w:szCs w:val="21"/>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条款号：36.3                        修改类型：删除</w:t>
      </w:r>
    </w:p>
    <w:p>
      <w:pPr>
        <w:pBdr>
          <w:bottom w:val="single" w:color="auto" w:sz="6" w:space="1"/>
        </w:pBdr>
        <w:spacing w:line="480" w:lineRule="auto"/>
        <w:ind w:firstLine="470" w:firstLineChars="224"/>
        <w:rPr>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8"/>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条款号：36.4                        修改类型：修改</w:t>
      </w:r>
    </w:p>
    <w:p>
      <w:pP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36.4若递交投标文件的投标人不足3家，则重新组织招标。</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条款号：36.5.1                      修改类型：修改</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交易平台对已递交的电子投标文件进行解密。投标人完成解密后，再由招标人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条款号：38.1                       修改类型：修改</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w:t>
      </w:r>
      <w:r>
        <w:rPr>
          <w:rFonts w:hint="eastAsia" w:ascii="宋体" w:hAnsi="宋体" w:cs="宋体"/>
          <w:color w:val="auto"/>
          <w:szCs w:val="21"/>
          <w:highlight w:val="none"/>
          <w:u w:val="single"/>
        </w:rPr>
        <w:t>的成员</w:t>
      </w:r>
      <w:r>
        <w:rPr>
          <w:rFonts w:hint="eastAsia" w:ascii="宋体" w:hAnsi="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cs="宋体"/>
          <w:color w:val="auto"/>
          <w:szCs w:val="21"/>
          <w:highlight w:val="none"/>
          <w:u w:val="single"/>
        </w:rPr>
        <w:t>、对同类问题表述不一致、有明显文字和计算错误的内容以及细微偏差</w:t>
      </w:r>
      <w:r>
        <w:rPr>
          <w:rFonts w:hint="eastAsia" w:ascii="宋体" w:hAnsi="宋体" w:cs="宋体"/>
          <w:color w:val="auto"/>
          <w:szCs w:val="21"/>
          <w:highlight w:val="none"/>
        </w:rPr>
        <w:t>的内容作出澄清。</w:t>
      </w:r>
    </w:p>
    <w:p>
      <w:pPr>
        <w:spacing w:line="360" w:lineRule="auto"/>
        <w:ind w:firstLine="422" w:firstLineChars="201"/>
        <w:rPr>
          <w:rFonts w:ascii="宋体" w:hAnsi="宋体" w:cs="宋体"/>
          <w:color w:val="auto"/>
          <w:sz w:val="24"/>
          <w:szCs w:val="24"/>
          <w:highlight w:val="none"/>
        </w:rPr>
      </w:pPr>
      <w:r>
        <w:rPr>
          <w:rFonts w:hint="eastAsia" w:ascii="宋体" w:hAnsi="宋体" w:cs="宋体"/>
          <w:b/>
          <w:color w:val="auto"/>
          <w:szCs w:val="21"/>
          <w:highlight w:val="none"/>
        </w:rPr>
        <w:t>条款号：39.3                        修改类型：修改</w:t>
      </w:r>
    </w:p>
    <w:p>
      <w:pPr>
        <w:spacing w:line="360" w:lineRule="auto"/>
        <w:ind w:firstLine="422" w:firstLineChars="201"/>
        <w:rPr>
          <w:rFonts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39.3</w:t>
      </w:r>
      <w:r>
        <w:rPr>
          <w:rFonts w:hint="eastAsia" w:ascii="宋体" w:hAnsi="宋体" w:cs="宋体"/>
          <w:bCs/>
          <w:color w:val="auto"/>
          <w:szCs w:val="21"/>
          <w:highlight w:val="none"/>
        </w:rPr>
        <w:t>排名第一的中标候选人放弃中标、</w:t>
      </w:r>
      <w:r>
        <w:rPr>
          <w:rFonts w:hint="eastAsia" w:ascii="宋体" w:hAnsi="宋体" w:cs="宋体"/>
          <w:bCs/>
          <w:color w:val="auto"/>
          <w:szCs w:val="21"/>
          <w:highlight w:val="none"/>
          <w:u w:val="single"/>
        </w:rPr>
        <w:t>或因不可抗力不能履行合同，或不按照招标文件要求提交履约担保，或经核查发现委派的项目负责人已在其他在建项目中任本职的，或者被查实存在影响中标结果的违法行为等情形，不符合中标条件的，招标人可以确定排名第二的中标候选人为中标人。</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开标评标办法程序和细则-注  </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注：以下八种评标办法所述企业综合诚信评价分数即投标截止当日广州市住房和城乡建设局网站上公布的企业综合诚信评价60日诚信分。</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可选办法一（适合综合评分法一，技术标与经济标先后分别开启）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可选办法二（适合综合评分法一，技术标与经济标同时开启）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可选办法三（适合综合评分法二，技术标与经济标先后分别开启）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可选办法四（适合综合评分法二，技术标与经济标同时开启）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可选办法五（适合综合评分法三，技术标与经济标先后分别开启）</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可选办法六（适合综合评分法三，技术标与经济标同时开启）   </w:t>
      </w:r>
      <w:r>
        <w:rPr>
          <w:rFonts w:hint="eastAsia" w:ascii="宋体" w:hAnsi="宋体" w:cs="宋体"/>
          <w:b/>
          <w:color w:val="auto"/>
          <w:szCs w:val="21"/>
          <w:highlight w:val="none"/>
        </w:rPr>
        <w:t>修改类型：修改</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综合评分法</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可选办法七（适合综合评分法四，技术标与经济标同时开启）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 w:val="18"/>
          <w:szCs w:val="18"/>
          <w:highlight w:val="none"/>
        </w:rPr>
        <w:t xml:space="preserve">可选办法八（适合经评审的最低投标价法，技术标与经济标同时开启）     </w:t>
      </w:r>
      <w:r>
        <w:rPr>
          <w:rFonts w:hint="eastAsia" w:ascii="宋体" w:hAnsi="宋体" w:cs="宋体"/>
          <w:b/>
          <w:color w:val="auto"/>
          <w:szCs w:val="21"/>
          <w:highlight w:val="none"/>
        </w:rPr>
        <w:t>修改类型：删除</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w:t>
      </w:r>
      <w:r>
        <w:rPr>
          <w:rFonts w:hint="eastAsia" w:ascii="宋体" w:hAnsi="宋体" w:cs="宋体"/>
          <w:bCs/>
          <w:color w:val="auto"/>
          <w:szCs w:val="21"/>
          <w:highlight w:val="none"/>
        </w:rPr>
        <w:t>最新版广州市建设工程施工公开招标项目招标文件范本（适用于资格后审综合评分法、经评审的最低投标价法的施工电子招标项目）GZZB2018-3</w:t>
      </w:r>
      <w:r>
        <w:rPr>
          <w:rFonts w:hint="eastAsia" w:ascii="宋体" w:hAnsi="宋体" w:cs="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条款号：40.3                       修改类型：修改</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40.3</w:t>
      </w:r>
      <w:r>
        <w:rPr>
          <w:rFonts w:hint="eastAsia" w:ascii="宋体" w:hAnsi="宋体" w:cs="宋体"/>
          <w:color w:val="auto"/>
          <w:szCs w:val="21"/>
          <w:highlight w:val="none"/>
        </w:rPr>
        <w:t>由评标委员会对所有已公开开标的投标人进行资格审查；</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ascii="宋体" w:hAnsi="宋体" w:cs="宋体"/>
          <w:color w:val="auto"/>
          <w:szCs w:val="21"/>
          <w:highlight w:val="none"/>
        </w:rPr>
        <w:t>40.3</w:t>
      </w:r>
      <w:r>
        <w:rPr>
          <w:rFonts w:hint="eastAsia" w:ascii="宋体" w:hAnsi="宋体" w:cs="宋体"/>
          <w:color w:val="auto"/>
          <w:szCs w:val="21"/>
          <w:highlight w:val="none"/>
        </w:rPr>
        <w:t>由评标委员会对所有已公开开标的投标人进行资格审查，</w:t>
      </w:r>
      <w:r>
        <w:rPr>
          <w:rFonts w:hint="eastAsia" w:ascii="宋体" w:hAnsi="宋体" w:cs="宋体"/>
          <w:color w:val="auto"/>
          <w:szCs w:val="21"/>
          <w:highlight w:val="none"/>
          <w:u w:val="single"/>
        </w:rPr>
        <w:t>并编写资格审查报告；</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条款号：40.8                       修改类型：修改</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ascii="宋体" w:hAnsi="宋体" w:cs="宋体"/>
          <w:color w:val="auto"/>
          <w:szCs w:val="21"/>
          <w:highlight w:val="none"/>
        </w:rPr>
        <w:t>40.</w:t>
      </w:r>
      <w:r>
        <w:rPr>
          <w:rFonts w:hint="eastAsia" w:ascii="宋体" w:hAnsi="宋体" w:cs="宋体"/>
          <w:color w:val="auto"/>
          <w:szCs w:val="21"/>
          <w:highlight w:val="none"/>
        </w:rPr>
        <w:t>8将进入第二阶段评审的投标人进行排序；</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ascii="宋体" w:hAnsi="宋体" w:cs="宋体"/>
          <w:color w:val="auto"/>
          <w:szCs w:val="21"/>
          <w:highlight w:val="none"/>
        </w:rPr>
        <w:t>40.</w:t>
      </w:r>
      <w:r>
        <w:rPr>
          <w:rFonts w:hint="eastAsia" w:ascii="宋体" w:hAnsi="宋体" w:cs="宋体"/>
          <w:color w:val="auto"/>
          <w:szCs w:val="21"/>
          <w:highlight w:val="none"/>
        </w:rPr>
        <w:t>8</w:t>
      </w:r>
      <w:r>
        <w:rPr>
          <w:rFonts w:hint="eastAsia" w:ascii="宋体" w:hAnsi="宋体" w:cs="宋体"/>
          <w:color w:val="auto"/>
          <w:szCs w:val="21"/>
          <w:highlight w:val="none"/>
          <w:u w:val="single"/>
        </w:rPr>
        <w:t>将进入第二阶段评审的投标人的经济标进行评分，并汇总技术、经济评分，按总分排序；</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条款号：41.1                        修改类型：修改</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条款号：41.2.1                      修改类型：修改</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广州公共资源交易中心</w:t>
      </w:r>
      <w:r>
        <w:rPr>
          <w:rFonts w:hint="eastAsia" w:ascii="宋体" w:hAnsi="宋体" w:cs="宋体"/>
          <w:color w:val="auto"/>
          <w:szCs w:val="21"/>
          <w:highlight w:val="none"/>
        </w:rPr>
        <w:t>交易平台。有关投标文件提交的事项详见第一章投标须知。</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条款号：42.1                        修改类型：修改</w:t>
      </w:r>
    </w:p>
    <w:p>
      <w:pP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s="宋体"/>
          <w:color w:val="auto"/>
          <w:szCs w:val="21"/>
          <w:highlight w:val="none"/>
        </w:rPr>
        <w:t>。</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方式一：评标委员会为综合评标委员会，负责评标工作。</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方式二：评标委员会由技术评审组和经济评审组组成。其中：资格审查、技术评审由技术评标组负责，经济评审由经济评审组负责。</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42.1评标委员会的组成：方式</w:t>
      </w:r>
      <w:r>
        <w:rPr>
          <w:rFonts w:hint="eastAsia" w:ascii="宋体" w:hAnsi="宋体" w:cs="宋体"/>
          <w:color w:val="auto"/>
          <w:szCs w:val="21"/>
          <w:highlight w:val="none"/>
          <w:u w:val="single"/>
        </w:rPr>
        <w:t>一：评标委员会为综合评标委员会，负责资格审查及评标工作。评标委员会</w:t>
      </w:r>
      <w:r>
        <w:rPr>
          <w:rFonts w:hint="eastAsia" w:ascii="宋体" w:hAnsi="宋体"/>
          <w:color w:val="auto"/>
          <w:szCs w:val="21"/>
          <w:highlight w:val="none"/>
          <w:u w:val="single"/>
        </w:rPr>
        <w:t>由招标人依法组建。</w:t>
      </w:r>
    </w:p>
    <w:p>
      <w:pPr>
        <w:pBdr>
          <w:bottom w:val="single" w:color="auto" w:sz="4" w:space="1"/>
        </w:pBd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条款号：42.3.2                      修改类型：修改</w:t>
      </w:r>
    </w:p>
    <w:p>
      <w:pPr>
        <w:pStyle w:val="2"/>
        <w:pBdr>
          <w:bottom w:val="single" w:color="auto" w:sz="4" w:space="1"/>
        </w:pBdr>
        <w:spacing w:line="360" w:lineRule="auto"/>
        <w:ind w:firstLine="420" w:firstLineChars="200"/>
        <w:rPr>
          <w:rFonts w:hAnsi="宋体" w:cs="宋体"/>
          <w:b/>
          <w:color w:val="auto"/>
          <w:szCs w:val="21"/>
          <w:highlight w:val="none"/>
        </w:rPr>
      </w:pPr>
      <w:r>
        <w:rPr>
          <w:rFonts w:hint="eastAsia" w:hAnsi="宋体" w:cs="宋体"/>
          <w:b/>
          <w:color w:val="auto"/>
          <w:szCs w:val="21"/>
          <w:highlight w:val="none"/>
        </w:rPr>
        <w:t>原文：</w:t>
      </w:r>
      <w:r>
        <w:rPr>
          <w:rFonts w:hint="eastAsia" w:hAnsi="宋体"/>
          <w:color w:val="auto"/>
          <w:szCs w:val="21"/>
          <w:highlight w:val="none"/>
          <w:u w:val="single"/>
        </w:rPr>
        <w:t xml:space="preserve">     </w:t>
      </w:r>
      <w:r>
        <w:rPr>
          <w:rFonts w:hint="eastAsia" w:hAnsi="宋体"/>
          <w:color w:val="auto"/>
          <w:szCs w:val="21"/>
          <w:highlight w:val="none"/>
        </w:rPr>
        <w:t>详细审查评分：评标委员会按照本办法附表</w:t>
      </w:r>
      <w:r>
        <w:rPr>
          <w:rFonts w:hint="eastAsia" w:hAnsi="宋体"/>
          <w:color w:val="auto"/>
          <w:szCs w:val="21"/>
          <w:highlight w:val="none"/>
          <w:u w:val="single"/>
        </w:rPr>
        <w:t xml:space="preserve">    </w:t>
      </w:r>
      <w:r>
        <w:rPr>
          <w:rFonts w:hint="eastAsia" w:hAnsi="宋体"/>
          <w:color w:val="auto"/>
          <w:szCs w:val="21"/>
          <w:highlight w:val="none"/>
        </w:rPr>
        <w:t>《</w:t>
      </w:r>
      <w:r>
        <w:rPr>
          <w:rFonts w:hint="eastAsia" w:hAnsi="宋体"/>
          <w:color w:val="auto"/>
          <w:szCs w:val="21"/>
          <w:highlight w:val="none"/>
          <w:u w:val="single"/>
        </w:rPr>
        <w:t xml:space="preserve">      </w:t>
      </w:r>
      <w:r>
        <w:rPr>
          <w:rFonts w:hint="eastAsia" w:hAnsi="宋体"/>
          <w:color w:val="auto"/>
          <w:szCs w:val="21"/>
          <w:highlight w:val="none"/>
        </w:rPr>
        <w:t>详细审查评分表》对通过技术标有效性审查的投标文件进行详细审查，评出</w:t>
      </w:r>
      <w:r>
        <w:rPr>
          <w:rFonts w:hint="eastAsia" w:hAnsi="宋体"/>
          <w:color w:val="auto"/>
          <w:szCs w:val="21"/>
          <w:highlight w:val="none"/>
          <w:u w:val="single"/>
        </w:rPr>
        <w:t xml:space="preserve">     </w:t>
      </w:r>
      <w:r>
        <w:rPr>
          <w:rFonts w:hint="eastAsia" w:hAnsi="宋体"/>
          <w:color w:val="auto"/>
          <w:szCs w:val="21"/>
          <w:highlight w:val="none"/>
        </w:rPr>
        <w:t>得分。</w:t>
      </w:r>
    </w:p>
    <w:p>
      <w:pPr>
        <w:pStyle w:val="2"/>
        <w:pBdr>
          <w:bottom w:val="single" w:color="auto" w:sz="4" w:space="1"/>
        </w:pBdr>
        <w:spacing w:line="360" w:lineRule="auto"/>
        <w:ind w:firstLine="420" w:firstLineChars="200"/>
        <w:rPr>
          <w:color w:val="auto"/>
          <w:szCs w:val="21"/>
          <w:highlight w:val="none"/>
        </w:rPr>
      </w:pPr>
      <w:r>
        <w:rPr>
          <w:rFonts w:hint="eastAsia" w:hAnsi="宋体" w:cs="宋体"/>
          <w:b/>
          <w:color w:val="auto"/>
          <w:szCs w:val="21"/>
          <w:highlight w:val="none"/>
        </w:rPr>
        <w:t>现文：</w:t>
      </w:r>
      <w:r>
        <w:rPr>
          <w:rFonts w:hint="eastAsia" w:hAnsi="宋体"/>
          <w:color w:val="auto"/>
          <w:szCs w:val="21"/>
          <w:highlight w:val="none"/>
          <w:u w:val="single"/>
        </w:rPr>
        <w:t>技术标</w:t>
      </w:r>
      <w:r>
        <w:rPr>
          <w:rFonts w:hint="eastAsia" w:hAnsi="宋体"/>
          <w:color w:val="auto"/>
          <w:szCs w:val="21"/>
          <w:highlight w:val="none"/>
        </w:rPr>
        <w:t>详细审查评分：评标委员会按照本办法附表</w:t>
      </w:r>
      <w:r>
        <w:rPr>
          <w:rFonts w:hint="eastAsia" w:hAnsi="宋体"/>
          <w:color w:val="auto"/>
          <w:szCs w:val="21"/>
          <w:highlight w:val="none"/>
          <w:u w:val="single"/>
        </w:rPr>
        <w:t>四</w:t>
      </w:r>
      <w:r>
        <w:rPr>
          <w:rFonts w:hint="eastAsia" w:hAnsi="宋体"/>
          <w:color w:val="auto"/>
          <w:szCs w:val="21"/>
          <w:highlight w:val="none"/>
        </w:rPr>
        <w:t>《</w:t>
      </w:r>
      <w:r>
        <w:rPr>
          <w:rFonts w:hint="eastAsia" w:hAnsi="宋体"/>
          <w:color w:val="auto"/>
          <w:szCs w:val="21"/>
          <w:highlight w:val="none"/>
          <w:u w:val="single"/>
        </w:rPr>
        <w:t>技术标</w:t>
      </w:r>
      <w:r>
        <w:rPr>
          <w:rFonts w:hint="eastAsia" w:hAnsi="宋体"/>
          <w:color w:val="auto"/>
          <w:szCs w:val="21"/>
          <w:highlight w:val="none"/>
        </w:rPr>
        <w:t>详细审查评分表》对通过技术标有效性审查的投标文件进行详细审查，评出</w:t>
      </w:r>
      <w:r>
        <w:rPr>
          <w:rFonts w:hint="eastAsia" w:hAnsi="宋体"/>
          <w:color w:val="auto"/>
          <w:szCs w:val="21"/>
          <w:highlight w:val="none"/>
          <w:u w:val="single"/>
        </w:rPr>
        <w:t>技术标</w:t>
      </w:r>
      <w:r>
        <w:rPr>
          <w:rFonts w:hint="eastAsia" w:hAnsi="宋体"/>
          <w:color w:val="auto"/>
          <w:szCs w:val="21"/>
          <w:highlight w:val="none"/>
        </w:rPr>
        <w:t>得分</w:t>
      </w:r>
      <w:r>
        <w:rPr>
          <w:rFonts w:hint="eastAsia" w:hAnsi="宋体" w:cs="宋体"/>
          <w:color w:val="auto"/>
          <w:szCs w:val="21"/>
          <w:highlight w:val="none"/>
          <w:u w:val="single"/>
        </w:rPr>
        <w:t>（即技术分），投标人的技术标得分为各评委评分汇总后去掉一个最高分和一个最低分的算术平均值（若分数出现小数点时，保留小数点后二位，第三位小数四舍五入）</w:t>
      </w:r>
      <w:r>
        <w:rPr>
          <w:rFonts w:hint="eastAsia" w:hAnsi="宋体"/>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条款号：42.3.4                      修改类型：修改</w:t>
      </w:r>
    </w:p>
    <w:p>
      <w:pP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42.3.4评标委员会按照“第一阶段得分=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0"/>
        </w:pBdr>
        <w:spacing w:line="360" w:lineRule="auto"/>
        <w:ind w:firstLine="525"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42.3.4评标委员会按照</w:t>
      </w:r>
      <w:r>
        <w:rPr>
          <w:rFonts w:hint="eastAsia" w:ascii="宋体" w:hAnsi="宋体" w:cs="宋体"/>
          <w:color w:val="auto"/>
          <w:szCs w:val="21"/>
          <w:highlight w:val="none"/>
          <w:u w:val="single"/>
        </w:rPr>
        <w:t>“第一阶段得分=</w:t>
      </w:r>
      <w:r>
        <w:rPr>
          <w:rFonts w:hint="eastAsia"/>
          <w:color w:val="auto"/>
          <w:szCs w:val="21"/>
          <w:highlight w:val="none"/>
          <w:u w:val="single"/>
        </w:rPr>
        <w:t>技术分</w:t>
      </w:r>
      <w:r>
        <w:rPr>
          <w:rFonts w:hint="eastAsia" w:ascii="宋体" w:hAnsi="宋体" w:cs="宋体"/>
          <w:color w:val="auto"/>
          <w:szCs w:val="21"/>
          <w:highlight w:val="none"/>
          <w:u w:val="single"/>
        </w:rPr>
        <w:t>（满分为100分）×技术标分权重（100%）”</w:t>
      </w:r>
      <w:r>
        <w:rPr>
          <w:rFonts w:hint="eastAsia" w:ascii="宋体" w:hAnsi="宋体" w:cs="宋体"/>
          <w:color w:val="auto"/>
          <w:szCs w:val="21"/>
          <w:highlight w:val="none"/>
        </w:rPr>
        <w:t>的公式及投标须知前附表第27项的规定，计算各投标人第一阶段得分(按四舍五入的原则保留两位小数)，并按照得分从高到低排列先后次序，若投标人得分相同的，</w:t>
      </w:r>
      <w:r>
        <w:rPr>
          <w:rFonts w:hint="eastAsia" w:ascii="宋体" w:hAnsi="宋体" w:cs="宋体"/>
          <w:color w:val="auto"/>
          <w:szCs w:val="21"/>
          <w:highlight w:val="none"/>
          <w:u w:val="single"/>
        </w:rPr>
        <w:t>则以投标总报价较低的排前；如仍存在相同情况，则对具有相同情况的投标人，由评标委员会采用记名投票方式，确定投标人第一阶段名次的排序。编写第一阶段评审报告。</w:t>
      </w:r>
    </w:p>
    <w:p>
      <w:pPr>
        <w:pBdr>
          <w:bottom w:val="single" w:color="auto" w:sz="6" w:space="0"/>
        </w:pBdr>
        <w:spacing w:line="360" w:lineRule="auto"/>
        <w:ind w:firstLine="525" w:firstLineChars="250"/>
        <w:rPr>
          <w:rFonts w:ascii="宋体" w:hAnsi="宋体" w:cs="Calibri"/>
          <w:color w:val="auto"/>
          <w:szCs w:val="21"/>
          <w:highlight w:val="none"/>
          <w:u w:val="single"/>
        </w:rPr>
      </w:pPr>
      <w:r>
        <w:rPr>
          <w:rFonts w:hint="eastAsia" w:ascii="宋体" w:hAnsi="宋体" w:cs="宋体"/>
          <w:color w:val="auto"/>
          <w:szCs w:val="21"/>
          <w:highlight w:val="none"/>
          <w:u w:val="single"/>
        </w:rPr>
        <w:t>注：投票方式确定排序的具体操作步骤</w:t>
      </w:r>
      <w:r>
        <w:rPr>
          <w:rFonts w:hint="eastAsia" w:ascii="宋体" w:hAnsi="宋体" w:cs="Calibri"/>
          <w:color w:val="auto"/>
          <w:szCs w:val="21"/>
          <w:highlight w:val="none"/>
          <w:u w:val="single"/>
        </w:rPr>
        <w:t>为：由评标委员会对出现该情况的投标人进行编号，然后通过记名投票方式依次确定投标人的排序。</w:t>
      </w:r>
    </w:p>
    <w:p>
      <w:pP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42.4.2若进入第二阶段投标人中所有投标报价均大于等于最高投标限价*D%（D的取值范围为[94,100],由招标人自主确定）的（具体金额为：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元），则本项目招标失败，由招标人依法重新招标。</w:t>
      </w:r>
    </w:p>
    <w:p>
      <w:pPr>
        <w:pBdr>
          <w:bottom w:val="single" w:color="auto" w:sz="6" w:space="1"/>
        </w:pBdr>
        <w:spacing w:line="360" w:lineRule="auto"/>
        <w:ind w:firstLine="525" w:firstLineChars="250"/>
        <w:rPr>
          <w:color w:val="auto"/>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：42.4.2若进入第二阶段投标人中所有投标报价均大于等于最高投标限价*94%</w:t>
      </w:r>
      <w:r>
        <w:rPr>
          <w:rFonts w:ascii="宋体" w:hAnsi="宋体" w:cs="宋体"/>
          <w:color w:val="auto"/>
          <w:szCs w:val="21"/>
          <w:highlight w:val="none"/>
        </w:rPr>
        <w:t>的（具体金额为：</w:t>
      </w:r>
      <w:r>
        <w:rPr>
          <w:rFonts w:hint="eastAsia" w:ascii="宋体" w:hAnsi="宋体" w:cs="宋体"/>
          <w:color w:val="auto"/>
          <w:szCs w:val="21"/>
          <w:highlight w:val="none"/>
        </w:rPr>
        <w:t>52690768.36</w:t>
      </w:r>
      <w:r>
        <w:rPr>
          <w:rFonts w:ascii="宋体" w:hAnsi="宋体" w:cs="宋体"/>
          <w:color w:val="auto"/>
          <w:szCs w:val="21"/>
          <w:highlight w:val="none"/>
        </w:rPr>
        <w:t>元），则本项目招标失败，由招标人依法重新招标。</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条款号：42.4.3.1                    修改类型：修改</w:t>
      </w:r>
    </w:p>
    <w:p>
      <w:pP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42.4.3.1按方法</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计算评标参考价：</w:t>
      </w:r>
    </w:p>
    <w:p>
      <w:pPr>
        <w:widowControl/>
        <w:spacing w:line="360" w:lineRule="auto"/>
        <w:ind w:firstLine="422" w:firstLineChars="201"/>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2" w:firstLineChars="201"/>
        <w:rPr>
          <w:rFonts w:ascii="宋体" w:hAnsi="宋体" w:cs="宋体"/>
          <w:color w:val="auto"/>
          <w:szCs w:val="21"/>
          <w:highlight w:val="none"/>
        </w:rPr>
      </w:pPr>
      <w:r>
        <w:rPr>
          <w:rFonts w:hint="eastAsia" w:ascii="宋体" w:hAnsi="宋体" w:cs="仿宋"/>
          <w:color w:val="auto"/>
          <w:szCs w:val="21"/>
          <w:highlight w:val="none"/>
        </w:rPr>
        <w:t>技术标或技术标加诚信得分或第一阶段入围得分</w:t>
      </w:r>
      <w:r>
        <w:rPr>
          <w:rFonts w:hint="eastAsia" w:ascii="宋体" w:hAnsi="宋体" w:cs="宋体"/>
          <w:color w:val="auto"/>
          <w:szCs w:val="21"/>
          <w:highlight w:val="none"/>
        </w:rPr>
        <w:t>（具体由招标人自定）前N名（N≥5，具体由招标人自定）的经济报价加权平均，计算评标参考价。公式如下：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952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olor w:val="auto"/>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szCs w:val="21"/>
          <w:highlight w:val="none"/>
        </w:rPr>
        <w:drawing>
          <wp:inline distT="0" distB="0" distL="0" distR="0">
            <wp:extent cx="381000" cy="447675"/>
            <wp:effectExtent l="0" t="0" r="0" b="952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宋体"/>
          <w:color w:val="auto"/>
          <w:szCs w:val="21"/>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position w:val="-23"/>
          <w:szCs w:val="21"/>
          <w:highlight w:val="none"/>
        </w:rPr>
        <w:drawing>
          <wp:inline distT="0" distB="0" distL="0" distR="0">
            <wp:extent cx="323850" cy="4000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宋体"/>
          <w:color w:val="auto"/>
          <w:szCs w:val="21"/>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olor w:val="auto"/>
          <w:position w:val="-23"/>
          <w:sz w:val="24"/>
          <w:szCs w:val="24"/>
          <w:highlight w:val="none"/>
        </w:rPr>
        <w:instrText xml:space="preserve"> \* MERGEFORMAT </w:instrText>
      </w:r>
      <w:r>
        <w:rPr>
          <w:rFonts w:ascii="宋体" w:hAnsi="宋体" w:cs="仿宋"/>
          <w:color w:val="auto"/>
          <w:sz w:val="24"/>
          <w:szCs w:val="24"/>
          <w:highlight w:val="none"/>
        </w:rPr>
        <w:fldChar w:fldCharType="separate"/>
      </w:r>
      <w:r>
        <w:rPr>
          <w:rFonts w:ascii="宋体" w:hAnsi="宋体"/>
          <w:color w:val="auto"/>
          <w:position w:val="-23"/>
          <w:szCs w:val="21"/>
          <w:highlight w:val="none"/>
        </w:rPr>
        <w:drawing>
          <wp:inline distT="0" distB="0" distL="0" distR="0">
            <wp:extent cx="323850" cy="4000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宋体"/>
          <w:color w:val="auto"/>
          <w:szCs w:val="21"/>
          <w:highlight w:val="none"/>
        </w:rPr>
        <w:t>）。</w:t>
      </w:r>
    </w:p>
    <w:p>
      <w:pPr>
        <w:widowControl/>
        <w:spacing w:line="360" w:lineRule="auto"/>
        <w:ind w:firstLine="422" w:firstLineChars="201"/>
        <w:rPr>
          <w:rFonts w:ascii="宋体" w:hAnsi="宋体" w:cs="宋体"/>
          <w:color w:val="auto"/>
          <w:szCs w:val="21"/>
          <w:highlight w:val="none"/>
        </w:rPr>
      </w:pPr>
      <w:r>
        <w:rPr>
          <w:rFonts w:hint="eastAsia" w:ascii="宋体" w:hAnsi="宋体" w:cs="宋体"/>
          <w:b/>
          <w:bCs/>
          <w:color w:val="auto"/>
          <w:kern w:val="0"/>
          <w:szCs w:val="21"/>
          <w:highlight w:val="none"/>
        </w:rPr>
        <w:t>方法二：区间抽取法</w:t>
      </w:r>
    </w:p>
    <w:p>
      <w:pPr>
        <w:widowControl/>
        <w:spacing w:line="360" w:lineRule="auto"/>
        <w:ind w:firstLine="422" w:firstLineChars="201"/>
        <w:rPr>
          <w:rFonts w:ascii="宋体" w:hAnsi="宋体" w:cs="宋体"/>
          <w:color w:val="auto"/>
          <w:kern w:val="0"/>
          <w:szCs w:val="21"/>
          <w:highlight w:val="none"/>
        </w:rPr>
      </w:pPr>
      <w:r>
        <w:rPr>
          <w:rFonts w:hint="eastAsia" w:ascii="宋体" w:hAnsi="宋体" w:cs="宋体"/>
          <w:color w:val="auto"/>
          <w:szCs w:val="21"/>
          <w:highlight w:val="none"/>
        </w:rPr>
        <w:t>设立入围合格分数线（</w:t>
      </w:r>
      <w:r>
        <w:rPr>
          <w:rFonts w:hint="eastAsia" w:ascii="宋体" w:hAnsi="宋体" w:cs="仿宋"/>
          <w:color w:val="auto"/>
          <w:szCs w:val="21"/>
          <w:highlight w:val="none"/>
        </w:rPr>
        <w:t>技术标或技术标加诚信得分或第一阶段入围得分</w:t>
      </w:r>
      <w:r>
        <w:rPr>
          <w:rFonts w:hint="eastAsia" w:ascii="宋体" w:hAnsi="宋体" w:cs="宋体"/>
          <w:color w:val="auto"/>
          <w:szCs w:val="21"/>
          <w:highlight w:val="none"/>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2" w:firstLineChars="201"/>
        <w:rPr>
          <w:rFonts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napToGrid w:val="0"/>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2" w:firstLineChars="201"/>
        <w:rPr>
          <w:rFonts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：为（最高投标限价*D%）（D的取值范围为[94,100],由招标人自定）</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2" w:firstLineChars="201"/>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42.4.3.1按方法</w:t>
      </w:r>
      <w:r>
        <w:rPr>
          <w:rFonts w:hint="eastAsia" w:ascii="宋体" w:hAnsi="宋体" w:cs="宋体"/>
          <w:color w:val="auto"/>
          <w:szCs w:val="21"/>
          <w:highlight w:val="none"/>
          <w:u w:val="single"/>
        </w:rPr>
        <w:t>一</w:t>
      </w:r>
      <w:r>
        <w:rPr>
          <w:rFonts w:hint="eastAsia" w:ascii="宋体" w:hAnsi="宋体" w:cs="宋体"/>
          <w:color w:val="auto"/>
          <w:szCs w:val="21"/>
          <w:highlight w:val="none"/>
        </w:rPr>
        <w:t>计算评标参考价：</w:t>
      </w:r>
    </w:p>
    <w:p>
      <w:pPr>
        <w:spacing w:line="360" w:lineRule="auto"/>
        <w:ind w:firstLine="422" w:firstLineChars="201"/>
        <w:rPr>
          <w:rFonts w:ascii="宋体" w:hAnsi="宋体" w:cs="宋体"/>
          <w:b/>
          <w:bCs/>
          <w:color w:val="auto"/>
          <w:kern w:val="0"/>
          <w:szCs w:val="21"/>
          <w:highlight w:val="none"/>
        </w:rPr>
      </w:pPr>
      <w:r>
        <w:rPr>
          <w:rFonts w:hint="eastAsia" w:ascii="宋体" w:hAnsi="宋体" w:cs="宋体"/>
          <w:b/>
          <w:bCs/>
          <w:color w:val="auto"/>
          <w:kern w:val="0"/>
          <w:szCs w:val="21"/>
          <w:highlight w:val="none"/>
        </w:rPr>
        <w:t>方法一：加权平均法</w:t>
      </w:r>
    </w:p>
    <w:p>
      <w:pPr>
        <w:spacing w:line="360" w:lineRule="auto"/>
        <w:ind w:firstLine="422" w:firstLineChars="201"/>
        <w:rPr>
          <w:rFonts w:ascii="宋体" w:hAnsi="宋体" w:cs="宋体"/>
          <w:color w:val="auto"/>
          <w:szCs w:val="21"/>
          <w:highlight w:val="none"/>
        </w:rPr>
      </w:pPr>
      <w:r>
        <w:rPr>
          <w:rFonts w:hint="eastAsia" w:ascii="宋体" w:hAnsi="宋体"/>
          <w:color w:val="auto"/>
          <w:szCs w:val="21"/>
          <w:highlight w:val="none"/>
          <w:u w:val="single"/>
        </w:rPr>
        <w:t>将第一阶段入围得分前5</w:t>
      </w:r>
      <w:r>
        <w:rPr>
          <w:rFonts w:ascii="宋体" w:hAnsi="宋体"/>
          <w:color w:val="auto"/>
          <w:szCs w:val="21"/>
          <w:highlight w:val="none"/>
          <w:u w:val="single"/>
        </w:rPr>
        <w:t>名（当通过技术标有效性审查的</w:t>
      </w:r>
      <w:r>
        <w:rPr>
          <w:rFonts w:hint="eastAsia" w:ascii="宋体" w:hAnsi="宋体"/>
          <w:color w:val="auto"/>
          <w:szCs w:val="21"/>
          <w:highlight w:val="none"/>
          <w:u w:val="single"/>
        </w:rPr>
        <w:t>投标人</w:t>
      </w:r>
      <w:r>
        <w:rPr>
          <w:rFonts w:ascii="宋体" w:hAnsi="宋体"/>
          <w:color w:val="auto"/>
          <w:szCs w:val="21"/>
          <w:highlight w:val="none"/>
          <w:u w:val="single"/>
        </w:rPr>
        <w:t>家数大于等于3家且小于</w:t>
      </w:r>
      <w:r>
        <w:rPr>
          <w:rFonts w:hint="eastAsia" w:ascii="宋体" w:hAnsi="宋体"/>
          <w:color w:val="auto"/>
          <w:szCs w:val="21"/>
          <w:highlight w:val="none"/>
          <w:u w:val="single"/>
        </w:rPr>
        <w:t>5</w:t>
      </w:r>
      <w:r>
        <w:rPr>
          <w:rFonts w:ascii="宋体" w:hAnsi="宋体"/>
          <w:color w:val="auto"/>
          <w:szCs w:val="21"/>
          <w:highlight w:val="none"/>
          <w:u w:val="single"/>
        </w:rPr>
        <w:t>家的，N取通过技术标有效性审查的全部家数；当通过技术标有效性审查的</w:t>
      </w:r>
      <w:r>
        <w:rPr>
          <w:rFonts w:hint="eastAsia" w:ascii="宋体" w:hAnsi="宋体"/>
          <w:color w:val="auto"/>
          <w:szCs w:val="21"/>
          <w:highlight w:val="none"/>
          <w:u w:val="single"/>
        </w:rPr>
        <w:t>投标人</w:t>
      </w:r>
      <w:r>
        <w:rPr>
          <w:rFonts w:ascii="宋体" w:hAnsi="宋体"/>
          <w:color w:val="auto"/>
          <w:szCs w:val="21"/>
          <w:highlight w:val="none"/>
          <w:u w:val="single"/>
        </w:rPr>
        <w:t>家数大于或等于</w:t>
      </w:r>
      <w:r>
        <w:rPr>
          <w:rFonts w:hint="eastAsia" w:ascii="宋体" w:hAnsi="宋体"/>
          <w:color w:val="auto"/>
          <w:szCs w:val="21"/>
          <w:highlight w:val="none"/>
          <w:u w:val="single"/>
        </w:rPr>
        <w:t>5</w:t>
      </w:r>
      <w:r>
        <w:rPr>
          <w:rFonts w:ascii="宋体" w:hAnsi="宋体"/>
          <w:color w:val="auto"/>
          <w:szCs w:val="21"/>
          <w:highlight w:val="none"/>
          <w:u w:val="single"/>
        </w:rPr>
        <w:t>家的，N=</w:t>
      </w:r>
      <w:r>
        <w:rPr>
          <w:rFonts w:hint="eastAsia" w:ascii="宋体" w:hAnsi="宋体"/>
          <w:color w:val="auto"/>
          <w:szCs w:val="21"/>
          <w:highlight w:val="none"/>
          <w:u w:val="single"/>
        </w:rPr>
        <w:t>5</w:t>
      </w:r>
      <w:r>
        <w:rPr>
          <w:rFonts w:ascii="宋体" w:hAnsi="宋体"/>
          <w:color w:val="auto"/>
          <w:szCs w:val="21"/>
          <w:highlight w:val="none"/>
          <w:u w:val="single"/>
        </w:rPr>
        <w:t>）</w:t>
      </w:r>
      <w:r>
        <w:rPr>
          <w:rFonts w:hint="eastAsia" w:ascii="宋体" w:hAnsi="宋体" w:cs="宋体"/>
          <w:color w:val="auto"/>
          <w:szCs w:val="21"/>
          <w:highlight w:val="none"/>
        </w:rPr>
        <w:t>的经济报价加权平均，计算评标参考价。公式如下：</w:t>
      </w:r>
    </w:p>
    <w:p>
      <w:pPr>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评标参考价=Σ（投标人的投标报价*报价权重）。</w:t>
      </w:r>
    </w:p>
    <w:p>
      <w:pPr>
        <w:widowControl/>
        <w:spacing w:line="360" w:lineRule="auto"/>
        <w:ind w:firstLine="422" w:firstLineChars="201"/>
        <w:rPr>
          <w:rFonts w:ascii="宋体" w:hAnsi="宋体" w:cs="宋体"/>
          <w:color w:val="auto"/>
          <w:szCs w:val="21"/>
          <w:highlight w:val="none"/>
        </w:rPr>
      </w:pPr>
      <w:r>
        <w:rPr>
          <w:rFonts w:hint="eastAsia" w:ascii="宋体" w:hAnsi="宋体" w:cs="宋体"/>
          <w:color w:val="auto"/>
          <w:szCs w:val="21"/>
          <w:highlight w:val="none"/>
        </w:rPr>
        <w:t>其中：报价权重的计算方法为：将N名投标人按第一阶段入围得分由高至低进行排序，第一名投标人的权重为（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宋体"/>
          <w:color w:val="auto"/>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），第二名投标人的权重为（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），以此类推，最后一名投标人的权重为（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QUOTE </w:instrText>
      </w:r>
      <w:r>
        <w:rPr>
          <w:rFonts w:hint="eastAsia" w:ascii="宋体" w:hAnsi="宋体" w:cs="宋体"/>
          <w:color w:val="auto"/>
          <w:position w:val="-23"/>
          <w:szCs w:val="21"/>
          <w:highlight w:val="none"/>
        </w:rPr>
        <w:drawing>
          <wp:inline distT="0" distB="0" distL="0" distR="0">
            <wp:extent cx="323850" cy="4000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宋体"/>
          <w:color w:val="auto"/>
          <w:position w:val="-23"/>
          <w:szCs w:val="21"/>
          <w:highlight w:val="none"/>
        </w:rPr>
        <w:instrText xml:space="preserve"> \* MERGEFORMAT </w:instrText>
      </w:r>
      <w:r>
        <w:rPr>
          <w:rFonts w:hint="eastAsia" w:ascii="宋体" w:hAnsi="宋体" w:cs="宋体"/>
          <w:color w:val="auto"/>
          <w:szCs w:val="21"/>
          <w:highlight w:val="none"/>
        </w:rPr>
        <w:fldChar w:fldCharType="separate"/>
      </w:r>
      <w:r>
        <w:rPr>
          <w:rFonts w:hint="eastAsia" w:ascii="宋体" w:hAnsi="宋体" w:cs="宋体"/>
          <w:color w:val="auto"/>
          <w:position w:val="-23"/>
          <w:szCs w:val="21"/>
          <w:highlight w:val="none"/>
        </w:rPr>
        <w:drawing>
          <wp:inline distT="0" distB="0" distL="0" distR="0">
            <wp:extent cx="323850" cy="4000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cs="宋体"/>
          <w:color w:val="auto"/>
          <w:szCs w:val="21"/>
          <w:highlight w:val="none"/>
        </w:rPr>
        <w:fldChar w:fldCharType="end"/>
      </w:r>
      <w:r>
        <w:rPr>
          <w:rFonts w:hint="eastAsia" w:ascii="宋体" w:hAnsi="宋体" w:cs="宋体"/>
          <w:color w:val="auto"/>
          <w:szCs w:val="21"/>
          <w:highlight w:val="none"/>
        </w:rPr>
        <w:t>）。</w:t>
      </w:r>
    </w:p>
    <w:p>
      <w:pPr>
        <w:pBdr>
          <w:bottom w:val="single" w:color="auto" w:sz="4" w:space="1"/>
        </w:pBdr>
        <w:spacing w:line="360" w:lineRule="auto"/>
        <w:ind w:firstLine="422" w:firstLineChars="201"/>
        <w:rPr>
          <w:rFonts w:ascii="宋体" w:hAnsi="宋体" w:cs="宋体"/>
          <w:color w:val="auto"/>
          <w:szCs w:val="21"/>
          <w:highlight w:val="none"/>
          <w:u w:val="single"/>
        </w:rPr>
      </w:pPr>
      <w:r>
        <w:rPr>
          <w:rFonts w:hint="eastAsia" w:ascii="宋体" w:hAnsi="宋体" w:cs="宋体"/>
          <w:color w:val="auto"/>
          <w:szCs w:val="21"/>
          <w:highlight w:val="none"/>
          <w:u w:val="single"/>
        </w:rPr>
        <w:t>若投标人第一阶段入围得分相同的，则以投标总报价较低的排前；如仍存在相同情况，则对具有相同情况的投标人，</w:t>
      </w:r>
      <w:r>
        <w:rPr>
          <w:rFonts w:hint="eastAsia" w:ascii="宋体" w:hAnsi="宋体"/>
          <w:color w:val="auto"/>
          <w:szCs w:val="21"/>
          <w:highlight w:val="none"/>
          <w:u w:val="single"/>
        </w:rPr>
        <w:t>由评标委员会采用记名投票方式，确定投标人的排</w:t>
      </w:r>
      <w:r>
        <w:rPr>
          <w:rFonts w:hint="eastAsia" w:ascii="宋体" w:hAnsi="宋体" w:cs="宋体"/>
          <w:color w:val="auto"/>
          <w:szCs w:val="21"/>
          <w:highlight w:val="none"/>
          <w:u w:val="single"/>
        </w:rPr>
        <w:t>序。</w:t>
      </w:r>
    </w:p>
    <w:p>
      <w:pPr>
        <w:pBdr>
          <w:bottom w:val="single" w:color="auto" w:sz="4" w:space="1"/>
        </w:pBdr>
        <w:spacing w:line="360" w:lineRule="auto"/>
        <w:ind w:firstLine="525" w:firstLineChars="250"/>
        <w:rPr>
          <w:color w:val="auto"/>
          <w:highlight w:val="none"/>
        </w:rPr>
      </w:pPr>
      <w:r>
        <w:rPr>
          <w:rFonts w:hint="eastAsia" w:ascii="宋体" w:hAnsi="宋体" w:cs="宋体"/>
          <w:color w:val="auto"/>
          <w:szCs w:val="21"/>
          <w:highlight w:val="none"/>
          <w:u w:val="single"/>
        </w:rPr>
        <w:t>注：投票方式确定排序的具体操作步骤</w:t>
      </w:r>
      <w:r>
        <w:rPr>
          <w:rFonts w:hint="eastAsia" w:ascii="宋体" w:hAnsi="宋体" w:cs="Calibri"/>
          <w:color w:val="auto"/>
          <w:szCs w:val="21"/>
          <w:highlight w:val="none"/>
          <w:u w:val="single"/>
        </w:rPr>
        <w:t>为：由评标委员会对出现该情况的投标人进行编号，然后通过记名投票方式依次确定投标人的排序。</w:t>
      </w:r>
    </w:p>
    <w:p>
      <w:pPr>
        <w:pStyle w:val="5"/>
        <w:spacing w:after="0" w:line="460" w:lineRule="exact"/>
        <w:ind w:firstLine="420" w:firstLineChars="200"/>
        <w:rPr>
          <w:rFonts w:ascii="宋体" w:hAnsi="宋体"/>
          <w:color w:val="auto"/>
          <w:szCs w:val="21"/>
          <w:highlight w:val="none"/>
        </w:rPr>
      </w:pPr>
      <w:r>
        <w:rPr>
          <w:rFonts w:hint="eastAsia" w:ascii="宋体" w:hAnsi="宋体"/>
          <w:b/>
          <w:color w:val="auto"/>
          <w:szCs w:val="21"/>
          <w:highlight w:val="none"/>
        </w:rPr>
        <w:t>条款号：</w:t>
      </w:r>
      <w:r>
        <w:rPr>
          <w:rFonts w:hint="eastAsia" w:ascii="宋体" w:hAnsi="宋体"/>
          <w:b/>
          <w:bCs/>
          <w:color w:val="auto"/>
          <w:szCs w:val="21"/>
          <w:highlight w:val="none"/>
        </w:rPr>
        <w:t xml:space="preserve">42.4.3.2                         </w:t>
      </w:r>
      <w:r>
        <w:rPr>
          <w:rFonts w:hint="eastAsia" w:ascii="宋体" w:hAnsi="宋体"/>
          <w:b/>
          <w:color w:val="auto"/>
          <w:szCs w:val="21"/>
          <w:highlight w:val="none"/>
        </w:rPr>
        <w:t>修改类型：修改</w:t>
      </w:r>
    </w:p>
    <w:p>
      <w:pPr>
        <w:spacing w:line="460" w:lineRule="exact"/>
        <w:ind w:firstLine="411" w:firstLineChars="196"/>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42.4.3.2当标价等于评标参考价时得100分，标价每高于评标参考价1%，扣1.5分，每低于评标参考价1%，扣1分，扣至0分为止，得出经济分，精确到小数点后两位。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1"/>
        <w:rPr>
          <w:rFonts w:ascii="宋体" w:hAnsi="宋体" w:cs="宋体"/>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42.4.3.2</w:t>
      </w:r>
      <w:r>
        <w:rPr>
          <w:rFonts w:hint="eastAsia" w:ascii="宋体" w:hAnsi="宋体" w:cs="宋体"/>
          <w:bCs/>
          <w:color w:val="auto"/>
          <w:szCs w:val="21"/>
          <w:highlight w:val="none"/>
        </w:rPr>
        <w:t>当标价等于评标参考价时得100分，标价每高于评标参考价1%，扣</w:t>
      </w:r>
      <w:r>
        <w:rPr>
          <w:rFonts w:ascii="宋体" w:hAnsi="宋体" w:cs="宋体"/>
          <w:bCs/>
          <w:color w:val="auto"/>
          <w:szCs w:val="21"/>
          <w:highlight w:val="none"/>
          <w:u w:val="single"/>
        </w:rPr>
        <w:t>0.3</w:t>
      </w:r>
      <w:r>
        <w:rPr>
          <w:rFonts w:hint="eastAsia" w:ascii="宋体" w:hAnsi="宋体" w:cs="宋体"/>
          <w:bCs/>
          <w:color w:val="auto"/>
          <w:szCs w:val="21"/>
          <w:highlight w:val="none"/>
        </w:rPr>
        <w:t>分，每低于评标参考价1%，扣</w:t>
      </w:r>
      <w:r>
        <w:rPr>
          <w:rFonts w:ascii="宋体" w:hAnsi="宋体" w:cs="宋体"/>
          <w:bCs/>
          <w:color w:val="auto"/>
          <w:szCs w:val="21"/>
          <w:highlight w:val="none"/>
          <w:u w:val="single"/>
        </w:rPr>
        <w:t>0.2</w:t>
      </w:r>
      <w:r>
        <w:rPr>
          <w:rFonts w:hint="eastAsia" w:ascii="宋体" w:hAnsi="宋体" w:cs="宋体"/>
          <w:bCs/>
          <w:color w:val="auto"/>
          <w:szCs w:val="21"/>
          <w:highlight w:val="none"/>
        </w:rPr>
        <w:t>分，扣至0分为止，得出经济</w:t>
      </w:r>
      <w:r>
        <w:rPr>
          <w:rFonts w:hint="eastAsia" w:ascii="宋体" w:hAnsi="宋体" w:cs="宋体"/>
          <w:bCs/>
          <w:color w:val="auto"/>
          <w:szCs w:val="21"/>
          <w:highlight w:val="none"/>
          <w:u w:val="single"/>
        </w:rPr>
        <w:t>得</w:t>
      </w:r>
      <w:r>
        <w:rPr>
          <w:rFonts w:hint="eastAsia" w:ascii="宋体" w:hAnsi="宋体" w:cs="宋体"/>
          <w:bCs/>
          <w:color w:val="auto"/>
          <w:szCs w:val="21"/>
          <w:highlight w:val="none"/>
        </w:rPr>
        <w:t>分，精确到小数点后两位</w:t>
      </w:r>
      <w:r>
        <w:rPr>
          <w:rFonts w:hint="eastAsia" w:ascii="宋体" w:hAnsi="宋体"/>
          <w:bCs/>
          <w:color w:val="auto"/>
          <w:szCs w:val="21"/>
          <w:highlight w:val="none"/>
        </w:rPr>
        <w:t>。</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条款号：附表一《资格审查表》             修改类型：修改</w:t>
      </w:r>
    </w:p>
    <w:p>
      <w:pPr>
        <w:spacing w:line="360" w:lineRule="auto"/>
        <w:ind w:firstLine="422"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详见本招标文件第二章附表一《资格审查表》</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条款号：附表二《技术标有效性审查表》     修改类型：修改</w:t>
      </w:r>
    </w:p>
    <w:p>
      <w:pPr>
        <w:pBdr>
          <w:bottom w:val="single" w:color="auto" w:sz="6" w:space="1"/>
        </w:pBdr>
        <w:spacing w:line="360" w:lineRule="auto"/>
        <w:ind w:firstLine="422"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详见本招标文件第二章附表二《技术标有效性审查表》</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条款号：附表三《经济标有效性审查表》     修改类型：修改</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详见本招标文件第二章附表三《经济标有效性审查表》</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pPr>
        <w:spacing w:line="360" w:lineRule="auto"/>
        <w:ind w:firstLine="422" w:firstLineChars="201"/>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详见本招标文件第二章附表四《技术标详细审查评分表》</w:t>
      </w:r>
    </w:p>
    <w:p>
      <w:pPr>
        <w:spacing w:line="360" w:lineRule="auto"/>
        <w:ind w:firstLine="422" w:firstLineChars="201"/>
        <w:rPr>
          <w:rFonts w:ascii="宋体" w:hAnsi="宋体" w:cs="宋体"/>
          <w:b/>
          <w:color w:val="auto"/>
          <w:szCs w:val="21"/>
          <w:highlight w:val="none"/>
        </w:rPr>
      </w:pPr>
      <w:r>
        <w:rPr>
          <w:rFonts w:hint="eastAsia" w:ascii="宋体" w:hAnsi="宋体" w:cs="宋体"/>
          <w:b/>
          <w:color w:val="auto"/>
          <w:szCs w:val="21"/>
          <w:highlight w:val="none"/>
        </w:rPr>
        <w:t>条款号：附表五（适用于区间抽取法）《经济标评分表》   修改类型：删除</w:t>
      </w:r>
    </w:p>
    <w:p>
      <w:pPr>
        <w:pBdr>
          <w:bottom w:val="single" w:color="auto" w:sz="6" w:space="1"/>
        </w:pBdr>
        <w:spacing w:line="360" w:lineRule="auto"/>
        <w:ind w:firstLine="525" w:firstLineChars="250"/>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详见最新版广州市建设工程施工公开招标项目招标文件范本（适用于资格后审综合评分法、经评审的最低投标价法的施工电子招标项目）GZZB2018-3</w:t>
      </w:r>
    </w:p>
    <w:p>
      <w:pPr>
        <w:spacing w:line="360" w:lineRule="auto"/>
        <w:ind w:firstLine="210" w:firstLineChars="100"/>
        <w:rPr>
          <w:b/>
          <w:color w:val="auto"/>
          <w:szCs w:val="21"/>
          <w:highlight w:val="none"/>
        </w:rPr>
      </w:pPr>
      <w:r>
        <w:rPr>
          <w:rFonts w:hint="eastAsia"/>
          <w:b/>
          <w:color w:val="auto"/>
          <w:szCs w:val="21"/>
          <w:highlight w:val="none"/>
        </w:rPr>
        <w:t>注：以上修改，仅限于本范本中有可供选择条款的情形。</w:t>
      </w:r>
    </w:p>
    <w:p>
      <w:pPr>
        <w:spacing w:line="360" w:lineRule="auto"/>
        <w:rPr>
          <w:color w:val="auto"/>
          <w:highlight w:val="none"/>
        </w:rPr>
      </w:pPr>
      <w:r>
        <w:rPr>
          <w:rFonts w:hint="eastAsia"/>
          <w:b/>
          <w:color w:val="auto"/>
          <w:szCs w:val="21"/>
          <w:highlight w:val="none"/>
        </w:rPr>
        <w:t>（以下无正文）</w:t>
      </w:r>
    </w:p>
    <w:p>
      <w:pPr>
        <w:pStyle w:val="8"/>
        <w:spacing w:line="360" w:lineRule="auto"/>
        <w:rPr>
          <w:color w:val="auto"/>
          <w:highlight w:val="none"/>
        </w:rPr>
      </w:pPr>
      <w:r>
        <w:rPr>
          <w:color w:val="auto"/>
          <w:highlight w:val="none"/>
        </w:rPr>
        <w:br w:type="page"/>
      </w:r>
    </w:p>
    <w:p>
      <w:pPr>
        <w:pStyle w:val="7"/>
        <w:ind w:firstLine="525"/>
        <w:rPr>
          <w:color w:val="auto"/>
          <w:highlight w:val="none"/>
        </w:rPr>
      </w:pPr>
      <w:bookmarkStart w:id="23" w:name="_Toc2272556"/>
      <w:bookmarkStart w:id="24" w:name="_Toc101453738"/>
      <w:r>
        <w:rPr>
          <w:rFonts w:hint="eastAsia"/>
          <w:color w:val="auto"/>
          <w:highlight w:val="none"/>
        </w:rPr>
        <w:t>二、开标、评标及定标办法</w:t>
      </w:r>
      <w:r>
        <w:rPr>
          <w:rFonts w:hint="eastAsia"/>
          <w:color w:val="auto"/>
          <w:szCs w:val="30"/>
          <w:highlight w:val="none"/>
        </w:rPr>
        <w:t>通用条款</w:t>
      </w:r>
      <w:bookmarkEnd w:id="23"/>
      <w:bookmarkEnd w:id="24"/>
    </w:p>
    <w:p>
      <w:pPr>
        <w:pStyle w:val="9"/>
        <w:spacing w:before="156" w:after="156"/>
        <w:ind w:firstLine="540" w:firstLineChars="200"/>
        <w:rPr>
          <w:color w:val="auto"/>
          <w:highlight w:val="none"/>
        </w:rPr>
      </w:pPr>
      <w:bookmarkStart w:id="25" w:name="_Toc101453739"/>
      <w:bookmarkStart w:id="26" w:name="_Toc2272557"/>
      <w:r>
        <w:rPr>
          <w:rFonts w:hint="eastAsia"/>
          <w:color w:val="auto"/>
          <w:highlight w:val="none"/>
        </w:rPr>
        <w:t>（一）总则</w:t>
      </w:r>
      <w:bookmarkEnd w:id="25"/>
      <w:bookmarkEnd w:id="26"/>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540" w:firstLineChars="200"/>
        <w:rPr>
          <w:color w:val="auto"/>
          <w:highlight w:val="none"/>
        </w:rPr>
      </w:pPr>
      <w:bookmarkStart w:id="27" w:name="_Toc101453740"/>
      <w:bookmarkStart w:id="28" w:name="_Toc2272558"/>
      <w:r>
        <w:rPr>
          <w:rFonts w:hint="eastAsia"/>
          <w:color w:val="auto"/>
          <w:highlight w:val="none"/>
        </w:rPr>
        <w:t>（二）开标评标办法程序和细则</w:t>
      </w:r>
      <w:bookmarkEnd w:id="27"/>
      <w:bookmarkEnd w:id="28"/>
    </w:p>
    <w:p>
      <w:pPr>
        <w:spacing w:line="360" w:lineRule="auto"/>
        <w:ind w:firstLine="480" w:firstLineChars="200"/>
        <w:rPr>
          <w:rFonts w:ascii="宋体" w:hAnsi="宋体"/>
          <w:strike/>
          <w:color w:val="auto"/>
          <w:sz w:val="24"/>
          <w:szCs w:val="24"/>
          <w:highlight w:val="none"/>
        </w:rPr>
      </w:pPr>
      <w:r>
        <w:rPr>
          <w:rFonts w:hint="eastAsia" w:ascii="宋体" w:hAnsi="宋体"/>
          <w:strike/>
          <w:color w:val="auto"/>
          <w:sz w:val="24"/>
          <w:szCs w:val="24"/>
          <w:highlight w:val="none"/>
        </w:rPr>
        <w:t>注：以下七种评标办法所述企业综合诚信评价分数即投标截止当日广州市工程招标代理行业协会网站上公布的企业综合诚信评价</w:t>
      </w:r>
      <w:r>
        <w:rPr>
          <w:rFonts w:ascii="宋体" w:hAnsi="宋体"/>
          <w:strike/>
          <w:color w:val="auto"/>
          <w:sz w:val="24"/>
          <w:szCs w:val="24"/>
          <w:highlight w:val="none"/>
        </w:rPr>
        <w:t>60</w:t>
      </w:r>
      <w:r>
        <w:rPr>
          <w:rFonts w:hint="eastAsia" w:ascii="宋体" w:hAnsi="宋体"/>
          <w:strike/>
          <w:color w:val="auto"/>
          <w:sz w:val="24"/>
          <w:szCs w:val="24"/>
          <w:highlight w:val="none"/>
        </w:rPr>
        <w:t>日诚信分。</w:t>
      </w:r>
    </w:p>
    <w:p>
      <w:pPr>
        <w:pStyle w:val="9"/>
        <w:spacing w:before="156" w:after="156"/>
        <w:ind w:firstLine="540" w:firstLineChars="200"/>
        <w:rPr>
          <w:color w:val="auto"/>
          <w:highlight w:val="none"/>
        </w:rPr>
      </w:pPr>
      <w:bookmarkStart w:id="29" w:name="_Toc101453741"/>
      <w:bookmarkStart w:id="30" w:name="_Toc2272563"/>
      <w:r>
        <w:rPr>
          <w:rFonts w:hint="eastAsia"/>
          <w:color w:val="auto"/>
          <w:highlight w:val="none"/>
        </w:rPr>
        <w:t>可选办法六（适合综合评分法三，技术标与经济标同时开启）</w:t>
      </w:r>
      <w:bookmarkEnd w:id="29"/>
      <w:bookmarkEnd w:id="30"/>
    </w:p>
    <w:p>
      <w:pPr>
        <w:pStyle w:val="5"/>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41.2.2开标时，投标人代表有权出席开标会，也可以自主决定不参加开标会，若投标人代表对开标过程提出异议，该投标人代表须同时出示本人身份证原件。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0"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w:t>
      </w:r>
      <w:r>
        <w:rPr>
          <w:rFonts w:hint="eastAsia" w:ascii="宋体" w:hAnsi="宋体"/>
          <w:color w:val="auto"/>
          <w:sz w:val="24"/>
          <w:highlight w:val="none"/>
        </w:rPr>
        <w:t>投标文件</w:t>
      </w:r>
      <w:r>
        <w:rPr>
          <w:rFonts w:hint="eastAsia" w:ascii="宋体" w:hAnsi="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rPr>
          <w:rFonts w:ascii="宋体" w:hAnsi="宋体"/>
          <w:color w:val="auto"/>
          <w:sz w:val="24"/>
          <w:szCs w:val="24"/>
          <w:highlight w:val="none"/>
        </w:rPr>
      </w:pPr>
      <w:r>
        <w:rPr>
          <w:rFonts w:ascii="宋体" w:hAnsi="宋体"/>
          <w:color w:val="auto"/>
          <w:sz w:val="24"/>
          <w:szCs w:val="24"/>
          <w:highlight w:val="none"/>
        </w:rPr>
        <w:br w:type="page"/>
      </w:r>
    </w:p>
    <w:p>
      <w:pPr>
        <w:widowControl/>
        <w:snapToGrid w:val="0"/>
        <w:spacing w:line="360" w:lineRule="auto"/>
        <w:ind w:right="102"/>
        <w:jc w:val="left"/>
        <w:rPr>
          <w:rFonts w:ascii="宋体"/>
          <w:color w:val="auto"/>
          <w:szCs w:val="21"/>
          <w:highlight w:val="none"/>
        </w:rPr>
      </w:pPr>
      <w:r>
        <w:rPr>
          <w:rFonts w:hint="eastAsia" w:ascii="宋体" w:hAnsi="宋体"/>
          <w:color w:val="auto"/>
          <w:szCs w:val="21"/>
          <w:highlight w:val="none"/>
        </w:rPr>
        <w:t>附表一：</w:t>
      </w:r>
    </w:p>
    <w:p>
      <w:pPr>
        <w:jc w:val="center"/>
        <w:rPr>
          <w:b/>
          <w:color w:val="auto"/>
          <w:sz w:val="32"/>
          <w:szCs w:val="32"/>
          <w:highlight w:val="none"/>
        </w:rPr>
      </w:pPr>
      <w:r>
        <w:rPr>
          <w:rFonts w:hint="eastAsia"/>
          <w:b/>
          <w:color w:val="auto"/>
          <w:sz w:val="32"/>
          <w:szCs w:val="32"/>
          <w:highlight w:val="none"/>
        </w:rPr>
        <w:t>资格审查表</w:t>
      </w:r>
    </w:p>
    <w:p>
      <w:pPr>
        <w:spacing w:line="480" w:lineRule="auto"/>
        <w:rPr>
          <w:color w:val="auto"/>
          <w:sz w:val="24"/>
          <w:szCs w:val="24"/>
          <w:highlight w:val="none"/>
        </w:rPr>
      </w:pPr>
      <w:r>
        <w:rPr>
          <w:rFonts w:hint="eastAsia"/>
          <w:color w:val="auto"/>
          <w:sz w:val="24"/>
          <w:szCs w:val="24"/>
          <w:highlight w:val="none"/>
        </w:rPr>
        <w:t>工程名称：</w:t>
      </w:r>
    </w:p>
    <w:p>
      <w:pPr>
        <w:spacing w:line="480" w:lineRule="auto"/>
        <w:rPr>
          <w:color w:val="auto"/>
          <w:sz w:val="24"/>
          <w:szCs w:val="24"/>
          <w:highlight w:val="none"/>
        </w:rPr>
      </w:pPr>
      <w:r>
        <w:rPr>
          <w:rFonts w:hint="eastAsia"/>
          <w:color w:val="auto"/>
          <w:sz w:val="24"/>
          <w:szCs w:val="24"/>
          <w:highlight w:val="none"/>
        </w:rPr>
        <w:t>投标人名称：</w:t>
      </w:r>
    </w:p>
    <w:tbl>
      <w:tblPr>
        <w:tblStyle w:val="33"/>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38"/>
        <w:gridCol w:w="3914"/>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2</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营业执照在广州市住建行业信用管理平台内上传件</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3</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投标人均持有建设行政主管部门颁发的企业资质证书及安全生产许可证；投标人资质符合公告要求</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资质证书及安全生产许可证在广州市住建行业信用管理平台内上传件；</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4</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使用有效期内的注册建造师注册证书在广州市住建行业信用平台内上传件。</w:t>
            </w:r>
          </w:p>
          <w:p>
            <w:pPr>
              <w:spacing w:before="120" w:after="60"/>
              <w:jc w:val="left"/>
              <w:rPr>
                <w:rFonts w:ascii="宋体" w:hAnsi="宋体"/>
                <w:color w:val="auto"/>
                <w:szCs w:val="21"/>
                <w:highlight w:val="none"/>
              </w:rPr>
            </w:pPr>
            <w:r>
              <w:rPr>
                <w:rFonts w:hint="eastAsia" w:ascii="宋体" w:hAnsi="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5</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持有项目负责人安全培训考核合格证（</w:t>
            </w:r>
            <w:r>
              <w:rPr>
                <w:rFonts w:ascii="宋体" w:hAnsi="宋体"/>
                <w:color w:val="auto"/>
                <w:szCs w:val="21"/>
                <w:highlight w:val="none"/>
              </w:rPr>
              <w:t>B</w:t>
            </w:r>
            <w:r>
              <w:rPr>
                <w:rFonts w:hint="eastAsia" w:ascii="宋体" w:hAnsi="宋体"/>
                <w:color w:val="auto"/>
                <w:szCs w:val="21"/>
                <w:highlight w:val="none"/>
              </w:rPr>
              <w:t>类）或建筑施工企业项目负责人安全生产考核合格证</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项目负责人安全培训考核合格证（B证）或建筑施工企业项目负责人安全生产考核合格证在广州市住建行业信用管理平台内上传件</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6</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投标人拟担任本工程技术负责人符合公告要求</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u w:val="single"/>
              </w:rPr>
            </w:pPr>
            <w:r>
              <w:rPr>
                <w:rFonts w:hint="eastAsia" w:ascii="宋体" w:hAnsi="宋体"/>
                <w:color w:val="auto"/>
                <w:szCs w:val="21"/>
                <w:highlight w:val="none"/>
                <w:u w:val="single"/>
              </w:rPr>
              <w:t>拟委托技术负责人的职称证书（提供清晰扫描件或平台内上传件）</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7</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专职安全员须具有安全生产考核合格证（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专职安全员的安全生产考核合格证（</w:t>
            </w:r>
            <w:r>
              <w:rPr>
                <w:rFonts w:ascii="宋体" w:hAnsi="宋体"/>
                <w:color w:val="auto"/>
                <w:szCs w:val="21"/>
                <w:highlight w:val="none"/>
              </w:rPr>
              <w:t>C</w:t>
            </w:r>
            <w:r>
              <w:rPr>
                <w:rFonts w:hint="eastAsia" w:ascii="宋体" w:hAnsi="宋体"/>
                <w:color w:val="auto"/>
                <w:szCs w:val="21"/>
                <w:highlight w:val="none"/>
              </w:rPr>
              <w:t>证）或建筑施工企业专职安全生产管理人员安全生产考核合格证（C3）在广州市住建行业信用管理平台内上传件</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8</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投标人完成过的类似工程业绩符合公告要求</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业绩在广州市住建行业信用管理平台内的相关上传件</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9</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10</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11</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u w:val="single"/>
              </w:rPr>
            </w:pPr>
            <w:r>
              <w:rPr>
                <w:rFonts w:hint="eastAsia"/>
                <w:color w:val="auto"/>
                <w:highlight w:val="none"/>
                <w:u w:val="single"/>
              </w:rPr>
              <w:t>关于联合体投标：本项目不接受联合体投标。</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u w:val="single"/>
              </w:rPr>
            </w:pPr>
            <w:r>
              <w:rPr>
                <w:rFonts w:hint="eastAsia" w:ascii="宋体" w:hAnsi="宋体" w:cs="宋体"/>
                <w:color w:val="auto"/>
                <w:szCs w:val="21"/>
                <w:highlight w:val="none"/>
              </w:rPr>
              <w:t>投标人非联合体投标</w:t>
            </w:r>
            <w:r>
              <w:rPr>
                <w:rFonts w:hint="eastAsia" w:ascii="宋体" w:hAnsi="宋体"/>
                <w:color w:val="auto"/>
                <w:szCs w:val="21"/>
                <w:highlight w:val="none"/>
                <w:u w:val="single"/>
              </w:rPr>
              <w:t>。</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u w:val="single"/>
              </w:rPr>
            </w:pPr>
            <w:r>
              <w:rPr>
                <w:rFonts w:hint="eastAsia" w:ascii="宋体" w:hAnsi="宋体"/>
                <w:color w:val="auto"/>
                <w:szCs w:val="21"/>
                <w:highlight w:val="none"/>
                <w:u w:val="single"/>
              </w:rPr>
              <w:t>13</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rPr>
              <w:t>投标人声明</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u w:val="single"/>
              </w:rPr>
            </w:pPr>
            <w:r>
              <w:rPr>
                <w:rFonts w:hint="eastAsia" w:ascii="宋体" w:hAnsi="宋体"/>
                <w:color w:val="auto"/>
                <w:szCs w:val="21"/>
                <w:highlight w:val="none"/>
                <w:u w:val="single"/>
              </w:rPr>
              <w:t>14</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u w:val="single"/>
              </w:rPr>
            </w:pPr>
            <w:r>
              <w:rPr>
                <w:rFonts w:hint="eastAsia" w:ascii="宋体" w:hAnsi="宋体"/>
                <w:color w:val="auto"/>
                <w:szCs w:val="21"/>
                <w:highlight w:val="none"/>
                <w:u w:val="single"/>
              </w:rPr>
              <w:t>本工程不接受被列入我区不良记录（处罚有效期内）的单位或个人（指项目负责人）投标，不良记录具体名单以资格审查时广州市黄埔区人民政府、广州开发区管委会网站的区住房和城乡建设局网页“建筑活动不良行为记录”栏目（网址： http://www.hp.gov.cn/gzjg/qzfgwhgzbm/qzfhcxjsj10/jzhdblxwjl/ ）公布名单为准。若资格审查时网址有变化，以最新网址为准。</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rPr>
            </w:pPr>
            <w:r>
              <w:rPr>
                <w:rFonts w:hint="eastAsia" w:ascii="宋体" w:hAnsi="宋体"/>
                <w:color w:val="auto"/>
                <w:szCs w:val="21"/>
                <w:highlight w:val="none"/>
                <w:u w:val="single"/>
              </w:rPr>
              <w:t>不良记录具体名单以资格审查时广州市黄埔区人民政府、广州开发区管委会网站的区住房和城乡建设局网页“建筑活动不良行为记录”栏目（网址： http://www.hp.gov.cn/gzjg/qzfgwhgzbm/qzfhcxjsj10/jzhdblxwjl/ ）公布名单为准。若资格审查时网址有变化，以最新网址为准。</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u w:val="single"/>
              </w:rPr>
            </w:pPr>
            <w:r>
              <w:rPr>
                <w:rFonts w:hint="eastAsia" w:ascii="宋体" w:hAnsi="宋体"/>
                <w:color w:val="auto"/>
                <w:szCs w:val="21"/>
                <w:highlight w:val="none"/>
                <w:u w:val="single"/>
              </w:rPr>
              <w:t>15</w:t>
            </w:r>
          </w:p>
        </w:tc>
        <w:tc>
          <w:tcPr>
            <w:tcW w:w="3938"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u w:val="single"/>
              </w:rPr>
            </w:pPr>
            <w:r>
              <w:rPr>
                <w:rFonts w:hint="eastAsia" w:ascii="宋体" w:hAnsi="宋体"/>
                <w:color w:val="auto"/>
                <w:szCs w:val="21"/>
                <w:highlight w:val="none"/>
                <w:u w:val="single"/>
              </w:rPr>
              <w:t>适用于非财政投资项目：未被纳入失信联合惩戒名单且被限制参加建设工程投标的（具体名单以递交投标文件截止时间“信用广州”https://credit1.gz.gov.cn/sgs/sgsXkNew公布的“失信黑名单”为准。不包含限制参加财政投资工程或政府投资工程的投标）。</w:t>
            </w:r>
          </w:p>
          <w:p>
            <w:pPr>
              <w:spacing w:before="120" w:after="60"/>
              <w:jc w:val="left"/>
              <w:rPr>
                <w:rFonts w:ascii="宋体" w:hAnsi="宋体"/>
                <w:color w:val="auto"/>
                <w:szCs w:val="21"/>
                <w:highlight w:val="none"/>
              </w:rPr>
            </w:pPr>
            <w:r>
              <w:rPr>
                <w:rFonts w:hint="eastAsia" w:ascii="宋体" w:hAnsi="宋体"/>
                <w:color w:val="auto"/>
                <w:szCs w:val="21"/>
                <w:highlight w:val="none"/>
                <w:u w:val="single"/>
              </w:rPr>
              <w:t>注：因联合惩戒措施表述存在细微差别，惩戒措施与上文不完全一致但措施内容相同的，也应属于被限制参与相关项目的投标。</w:t>
            </w:r>
          </w:p>
        </w:tc>
        <w:tc>
          <w:tcPr>
            <w:tcW w:w="3914"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color w:val="auto"/>
                <w:szCs w:val="21"/>
                <w:highlight w:val="none"/>
                <w:u w:val="single"/>
              </w:rPr>
            </w:pPr>
            <w:r>
              <w:rPr>
                <w:rFonts w:hint="eastAsia" w:ascii="宋体" w:hAnsi="宋体"/>
                <w:color w:val="auto"/>
                <w:szCs w:val="21"/>
                <w:highlight w:val="none"/>
              </w:rPr>
              <w:t>投标人无需提供资料，</w:t>
            </w:r>
            <w:r>
              <w:rPr>
                <w:rFonts w:hint="eastAsia" w:ascii="宋体" w:hAnsi="宋体"/>
                <w:color w:val="auto"/>
                <w:szCs w:val="21"/>
                <w:highlight w:val="none"/>
                <w:u w:val="single"/>
              </w:rPr>
              <w:t>具体名单以递交投标文件截止时间“信用广州”https://credit1.gz.gov.cn/sgs/sgsXkNew公布的“失信黑名单”为准。不包含限制参加财政投资工程或政府投资工程的投标。</w:t>
            </w:r>
          </w:p>
          <w:p>
            <w:pPr>
              <w:spacing w:before="120" w:after="60"/>
              <w:jc w:val="left"/>
              <w:rPr>
                <w:rFonts w:ascii="宋体" w:hAnsi="宋体"/>
                <w:color w:val="auto"/>
                <w:szCs w:val="21"/>
                <w:highlight w:val="none"/>
              </w:rPr>
            </w:pPr>
            <w:r>
              <w:rPr>
                <w:rFonts w:hint="eastAsia" w:ascii="宋体" w:hAnsi="宋体"/>
                <w:color w:val="auto"/>
                <w:szCs w:val="21"/>
                <w:highlight w:val="none"/>
                <w:u w:val="single"/>
              </w:rPr>
              <w:t>注：因联合惩戒措施表述存在细微差别，惩戒措施与上文不完全一致但措施内容相同的，也应属于被限制参与相关项目的投标。</w:t>
            </w:r>
          </w:p>
        </w:tc>
        <w:tc>
          <w:tcPr>
            <w:tcW w:w="8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olor w:val="auto"/>
                <w:szCs w:val="21"/>
                <w:highlight w:val="none"/>
              </w:rPr>
            </w:pPr>
          </w:p>
        </w:tc>
      </w:tr>
    </w:tbl>
    <w:p>
      <w:pPr>
        <w:ind w:firstLine="470" w:firstLineChars="224"/>
        <w:rPr>
          <w:rFonts w:ascii="宋体"/>
          <w:color w:val="auto"/>
          <w:szCs w:val="21"/>
          <w:highlight w:val="none"/>
        </w:rPr>
      </w:pPr>
      <w:r>
        <w:rPr>
          <w:rFonts w:hint="eastAsia" w:ascii="宋体" w:hAnsi="宋体"/>
          <w:color w:val="auto"/>
          <w:szCs w:val="21"/>
          <w:highlight w:val="none"/>
        </w:rPr>
        <w:t>备注：</w:t>
      </w:r>
    </w:p>
    <w:p>
      <w:pPr>
        <w:ind w:firstLine="470" w:firstLineChars="224"/>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、每一项目符合的打“○”，不符合的打“×”；</w:t>
      </w:r>
    </w:p>
    <w:p>
      <w:pPr>
        <w:ind w:firstLine="470" w:firstLineChars="224"/>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、若评委意见不一致时，则按少数服从多数的原则，作出评审结论。汇总后，出现一个“×”的结论为“不通过”。</w:t>
      </w:r>
    </w:p>
    <w:p>
      <w:pPr>
        <w:rPr>
          <w:color w:val="auto"/>
          <w:highlight w:val="none"/>
        </w:rPr>
        <w:sectPr>
          <w:footerReference r:id="rId6" w:type="first"/>
          <w:footerReference r:id="rId4" w:type="default"/>
          <w:headerReference r:id="rId3" w:type="even"/>
          <w:footerReference r:id="rId5" w:type="even"/>
          <w:endnotePr>
            <w:numFmt w:val="decimal"/>
          </w:endnotePr>
          <w:pgSz w:w="11906" w:h="16838"/>
          <w:pgMar w:top="1134" w:right="1418" w:bottom="1247" w:left="1418" w:header="851" w:footer="907" w:gutter="0"/>
          <w:pgNumType w:start="0"/>
          <w:cols w:space="425" w:num="1"/>
          <w:titlePg/>
          <w:docGrid w:type="linesAndChars" w:linePitch="312" w:charSpace="0"/>
        </w:sectPr>
      </w:pPr>
    </w:p>
    <w:p>
      <w:pPr>
        <w:rPr>
          <w:color w:val="auto"/>
          <w:szCs w:val="21"/>
          <w:highlight w:val="none"/>
        </w:rPr>
      </w:pPr>
      <w:r>
        <w:rPr>
          <w:rFonts w:hint="eastAsia"/>
          <w:color w:val="auto"/>
          <w:szCs w:val="21"/>
          <w:highlight w:val="none"/>
        </w:rPr>
        <w:t>附表二</w:t>
      </w:r>
    </w:p>
    <w:p>
      <w:pPr>
        <w:jc w:val="center"/>
        <w:rPr>
          <w:b/>
          <w:color w:val="auto"/>
          <w:sz w:val="36"/>
          <w:szCs w:val="36"/>
          <w:highlight w:val="none"/>
        </w:rPr>
      </w:pPr>
      <w:r>
        <w:rPr>
          <w:rFonts w:hint="eastAsia"/>
          <w:b/>
          <w:color w:val="auto"/>
          <w:sz w:val="36"/>
          <w:szCs w:val="36"/>
          <w:highlight w:val="none"/>
        </w:rPr>
        <w:t>技术标有效性审查表</w:t>
      </w:r>
    </w:p>
    <w:p>
      <w:pPr>
        <w:rPr>
          <w:color w:val="auto"/>
          <w:szCs w:val="21"/>
          <w:highlight w:val="none"/>
        </w:rPr>
      </w:pPr>
      <w:r>
        <w:rPr>
          <w:rFonts w:hint="eastAsia"/>
          <w:color w:val="auto"/>
          <w:szCs w:val="21"/>
          <w:highlight w:val="none"/>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608"/>
        <w:gridCol w:w="883"/>
        <w:gridCol w:w="883"/>
        <w:gridCol w:w="883"/>
        <w:gridCol w:w="884"/>
        <w:gridCol w:w="884"/>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序号</w:t>
            </w:r>
          </w:p>
        </w:tc>
        <w:tc>
          <w:tcPr>
            <w:tcW w:w="8608"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6090" w:firstLineChars="2900"/>
              <w:rPr>
                <w:rFonts w:ascii="宋体" w:hAnsi="宋体"/>
                <w:color w:val="auto"/>
                <w:szCs w:val="21"/>
                <w:highlight w:val="none"/>
              </w:rPr>
            </w:pPr>
            <w:r>
              <w:rPr>
                <w:rFonts w:hint="eastAsia" w:ascii="宋体" w:hAnsi="宋体"/>
                <w:color w:val="auto"/>
                <w:szCs w:val="21"/>
                <w:highlight w:val="none"/>
              </w:rPr>
              <w:t>投标人</w:t>
            </w:r>
          </w:p>
          <w:p>
            <w:pPr>
              <w:adjustRightInd w:val="0"/>
              <w:rPr>
                <w:rFonts w:ascii="宋体" w:hAnsi="宋体"/>
                <w:color w:val="auto"/>
                <w:szCs w:val="21"/>
                <w:highlight w:val="none"/>
              </w:rPr>
            </w:pPr>
          </w:p>
          <w:p>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1</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《广州建设工程施工招标投标书（技术标）》中填报的投标总工期不符合招标文件要求的；</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2</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《广州建设工程施工招标投标书（技术标）》中填报的工程质量标准不符合招标文件要求的；</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3</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4</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（指招标文件第四章提供格式的《广州建设工程施工招标投标书（技术标）》、《投标函》、《标函承诺书》、《项目负责人驻场承诺书》）</w:t>
            </w:r>
            <w:r>
              <w:rPr>
                <w:rFonts w:hint="eastAsia" w:ascii="宋体" w:hAnsi="宋体" w:cs="宋体"/>
                <w:color w:val="auto"/>
                <w:szCs w:val="21"/>
                <w:highlight w:val="none"/>
              </w:rPr>
              <w:t>，或主要内容（指投标文件组成内容）不全，或关键字迹模糊、无法辨认的；</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5</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6</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无《参与编制技术标投标文件人员名单》的</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7</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投标人未按要求提交投标保证金的</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u w:val="single"/>
              </w:rPr>
            </w:pPr>
            <w:r>
              <w:rPr>
                <w:rFonts w:hint="eastAsia" w:ascii="宋体" w:hAnsi="宋体"/>
                <w:color w:val="auto"/>
                <w:szCs w:val="21"/>
                <w:highlight w:val="none"/>
                <w:u w:val="single"/>
              </w:rPr>
              <w:t>8</w:t>
            </w:r>
          </w:p>
        </w:tc>
        <w:tc>
          <w:tcPr>
            <w:tcW w:w="8608"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olor w:val="auto"/>
                <w:szCs w:val="21"/>
                <w:highlight w:val="none"/>
              </w:rPr>
            </w:pPr>
            <w:r>
              <w:rPr>
                <w:rFonts w:hint="eastAsia" w:ascii="宋体" w:hAnsi="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3"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c>
          <w:tcPr>
            <w:tcW w:w="884" w:type="dxa"/>
            <w:tcBorders>
              <w:top w:val="single" w:color="auto" w:sz="4" w:space="0"/>
              <w:left w:val="single" w:color="auto" w:sz="4" w:space="0"/>
              <w:bottom w:val="single" w:color="auto" w:sz="4" w:space="0"/>
              <w:right w:val="single" w:color="auto" w:sz="4" w:space="0"/>
            </w:tcBorders>
          </w:tcPr>
          <w:p>
            <w:pPr>
              <w:adjustRightInd w:val="0"/>
              <w:rPr>
                <w:rFonts w:ascii="宋体" w:hAnsi="宋体"/>
                <w:color w:val="auto"/>
                <w:szCs w:val="21"/>
                <w:highlight w:val="none"/>
              </w:rPr>
            </w:pPr>
          </w:p>
        </w:tc>
      </w:tr>
    </w:tbl>
    <w:p>
      <w:pPr>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color w:val="auto"/>
          <w:szCs w:val="21"/>
          <w:highlight w:val="none"/>
        </w:rPr>
      </w:pPr>
      <w:r>
        <w:rPr>
          <w:rFonts w:hint="eastAsia" w:ascii="宋体" w:hAnsi="宋体"/>
          <w:color w:val="auto"/>
          <w:szCs w:val="21"/>
          <w:highlight w:val="none"/>
        </w:rPr>
        <w:t xml:space="preserve">    2</w:t>
      </w:r>
      <w:r>
        <w:rPr>
          <w:rFonts w:ascii="宋体" w:hAnsi="宋体"/>
          <w:color w:val="auto"/>
          <w:szCs w:val="21"/>
          <w:highlight w:val="none"/>
        </w:rPr>
        <w:t>.</w:t>
      </w:r>
      <w:r>
        <w:rPr>
          <w:rFonts w:hint="eastAsia" w:ascii="宋体" w:hAnsi="宋体"/>
          <w:color w:val="auto"/>
          <w:szCs w:val="21"/>
          <w:highlight w:val="none"/>
        </w:rPr>
        <w:t>若出现评标委员会否决投标的，应在评标报告中载明否决投标的具体情形、原因。</w:t>
      </w:r>
    </w:p>
    <w:p>
      <w:pPr>
        <w:rPr>
          <w:rFonts w:ascii="宋体" w:hAnsi="宋体"/>
          <w:color w:val="auto"/>
          <w:szCs w:val="21"/>
          <w:highlight w:val="none"/>
        </w:rPr>
      </w:pPr>
      <w:r>
        <w:rPr>
          <w:rFonts w:hint="eastAsia" w:ascii="宋体" w:hAnsi="宋体"/>
          <w:color w:val="auto"/>
          <w:szCs w:val="21"/>
          <w:highlight w:val="none"/>
        </w:rPr>
        <w:t xml:space="preserve">    3</w:t>
      </w:r>
      <w:r>
        <w:rPr>
          <w:rFonts w:ascii="宋体" w:hAnsi="宋体"/>
          <w:color w:val="auto"/>
          <w:szCs w:val="21"/>
          <w:highlight w:val="none"/>
        </w:rPr>
        <w:t>.</w:t>
      </w:r>
      <w:r>
        <w:rPr>
          <w:rFonts w:hint="eastAsia" w:ascii="宋体" w:hAnsi="宋体"/>
          <w:color w:val="auto"/>
          <w:szCs w:val="21"/>
          <w:highlight w:val="none"/>
        </w:rPr>
        <w:t>凡出现以上任何一项情形，结论均为无效，否则就为有效。</w:t>
      </w:r>
    </w:p>
    <w:p>
      <w:pPr>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rPr>
          <w:rFonts w:ascii="宋体" w:hAnsi="宋体"/>
          <w:color w:val="auto"/>
          <w:szCs w:val="21"/>
          <w:highlight w:val="none"/>
        </w:rPr>
      </w:pPr>
      <w:r>
        <w:rPr>
          <w:rFonts w:hint="eastAsia" w:ascii="宋体" w:hAnsi="宋体"/>
          <w:color w:val="auto"/>
          <w:szCs w:val="21"/>
          <w:highlight w:val="none"/>
        </w:rPr>
        <w:t>评委签名：</w:t>
      </w:r>
    </w:p>
    <w:p>
      <w:pPr>
        <w:rPr>
          <w:color w:val="auto"/>
          <w:szCs w:val="21"/>
          <w:highlight w:val="none"/>
        </w:rPr>
      </w:pPr>
      <w:r>
        <w:rPr>
          <w:color w:val="auto"/>
          <w:highlight w:val="none"/>
        </w:rPr>
        <w:br w:type="page"/>
      </w:r>
      <w:r>
        <w:rPr>
          <w:rFonts w:hint="eastAsia"/>
          <w:color w:val="auto"/>
          <w:szCs w:val="21"/>
          <w:highlight w:val="none"/>
        </w:rPr>
        <w:t>附表三</w:t>
      </w:r>
    </w:p>
    <w:p>
      <w:pPr>
        <w:jc w:val="center"/>
        <w:rPr>
          <w:b/>
          <w:color w:val="auto"/>
          <w:sz w:val="36"/>
          <w:szCs w:val="36"/>
          <w:highlight w:val="none"/>
        </w:rPr>
      </w:pPr>
      <w:r>
        <w:rPr>
          <w:rFonts w:hint="eastAsia"/>
          <w:b/>
          <w:color w:val="auto"/>
          <w:sz w:val="36"/>
          <w:szCs w:val="36"/>
          <w:highlight w:val="none"/>
        </w:rPr>
        <w:t>经济标有效性审查表</w:t>
      </w:r>
    </w:p>
    <w:p>
      <w:pPr>
        <w:rPr>
          <w:color w:val="auto"/>
          <w:szCs w:val="21"/>
          <w:highlight w:val="none"/>
        </w:rPr>
      </w:pPr>
      <w:r>
        <w:rPr>
          <w:rFonts w:hint="eastAsia"/>
          <w:color w:val="auto"/>
          <w:szCs w:val="21"/>
          <w:highlight w:val="none"/>
        </w:rPr>
        <w:t>工程名称：</w:t>
      </w:r>
    </w:p>
    <w:tbl>
      <w:tblPr>
        <w:tblStyle w:val="3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706"/>
        <w:gridCol w:w="765"/>
        <w:gridCol w:w="765"/>
        <w:gridCol w:w="765"/>
        <w:gridCol w:w="765"/>
        <w:gridCol w:w="765"/>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7192" w:type="dxa"/>
            <w:tcBorders>
              <w:top w:val="single" w:color="auto" w:sz="4" w:space="0"/>
              <w:left w:val="single" w:color="auto" w:sz="4" w:space="0"/>
              <w:bottom w:val="single" w:color="auto" w:sz="4" w:space="0"/>
              <w:right w:val="single" w:color="auto" w:sz="4" w:space="0"/>
              <w:tl2br w:val="single" w:color="auto" w:sz="4" w:space="0"/>
            </w:tcBorders>
          </w:tcPr>
          <w:p>
            <w:pPr>
              <w:ind w:firstLine="6300" w:firstLineChars="3000"/>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投标报价高于最高投标限价或综合单价限价的</w:t>
            </w:r>
            <w:r>
              <w:rPr>
                <w:rFonts w:hint="eastAsia" w:ascii="宋体" w:hAnsi="宋体" w:cs="宋体"/>
                <w:color w:val="auto"/>
                <w:szCs w:val="21"/>
                <w:highlight w:val="none"/>
                <w:u w:val="single"/>
              </w:rPr>
              <w:t>（</w:t>
            </w:r>
            <w:r>
              <w:rPr>
                <w:rFonts w:hint="eastAsia" w:ascii="宋体" w:hAnsi="宋体" w:cs="宋体"/>
                <w:b/>
                <w:color w:val="auto"/>
                <w:szCs w:val="21"/>
                <w:highlight w:val="none"/>
                <w:u w:val="single"/>
              </w:rPr>
              <w:t>以最高投标限价公布函公布的各项控制数据和工程量清单列明的综合单价限价为准）</w:t>
            </w:r>
            <w:r>
              <w:rPr>
                <w:rFonts w:hint="eastAsia" w:ascii="宋体" w:hAnsi="宋体"/>
                <w:color w:val="auto"/>
                <w:szCs w:val="21"/>
                <w:highlight w:val="none"/>
              </w:rPr>
              <w:t>；</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71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s="宋体"/>
                <w:color w:val="auto"/>
                <w:szCs w:val="21"/>
                <w:highlight w:val="none"/>
              </w:rPr>
              <w:t>投标报价低于成本的</w:t>
            </w:r>
            <w:r>
              <w:rPr>
                <w:rFonts w:hint="eastAsia" w:ascii="宋体" w:hAnsi="宋体" w:cs="宋体"/>
                <w:color w:val="auto"/>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投标文件未按规定的格式填写</w:t>
            </w:r>
            <w:r>
              <w:rPr>
                <w:rFonts w:hint="eastAsia" w:ascii="宋体" w:hAnsi="宋体" w:cs="宋体"/>
                <w:color w:val="auto"/>
                <w:szCs w:val="21"/>
                <w:highlight w:val="none"/>
                <w:u w:val="single"/>
              </w:rPr>
              <w:t>（指招标文件第四章提供格式的《广州建设工程施工招标投标书（经济标）》《对投标文件编制的承诺》等）</w:t>
            </w:r>
            <w:r>
              <w:rPr>
                <w:rFonts w:hint="eastAsia" w:ascii="宋体" w:hAnsi="宋体" w:cs="宋体"/>
                <w:color w:val="auto"/>
                <w:szCs w:val="21"/>
                <w:highlight w:val="none"/>
              </w:rPr>
              <w:t>，或主要内容不全，或关键字迹模糊、无法辨认的；</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1</w:t>
            </w:r>
            <w:r>
              <w:rPr>
                <w:rFonts w:ascii="宋体" w:hAnsi="宋体"/>
                <w:color w:val="auto"/>
                <w:szCs w:val="21"/>
                <w:highlight w:val="none"/>
                <w:u w:val="single"/>
              </w:rPr>
              <w:t>0</w:t>
            </w:r>
          </w:p>
        </w:tc>
        <w:tc>
          <w:tcPr>
            <w:tcW w:w="719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color w:val="auto"/>
          <w:szCs w:val="21"/>
          <w:highlight w:val="none"/>
        </w:rPr>
      </w:pPr>
      <w:r>
        <w:rPr>
          <w:rFonts w:hint="eastAsia" w:ascii="宋体" w:hAnsi="宋体"/>
          <w:color w:val="auto"/>
          <w:szCs w:val="21"/>
          <w:highlight w:val="none"/>
        </w:rPr>
        <w:t>注：</w:t>
      </w:r>
      <w:r>
        <w:rPr>
          <w:rFonts w:ascii="宋体" w:hAnsi="宋体"/>
          <w:color w:val="auto"/>
          <w:szCs w:val="21"/>
          <w:highlight w:val="none"/>
        </w:rPr>
        <w:t>1.</w:t>
      </w:r>
      <w:r>
        <w:rPr>
          <w:rFonts w:hint="eastAsia" w:ascii="宋体" w:hAnsi="宋体"/>
          <w:color w:val="auto"/>
          <w:szCs w:val="21"/>
          <w:highlight w:val="none"/>
        </w:rPr>
        <w:t>本表使用GZZB2018-3招标文件范本，与范本内容不同之处均以下划线标明。</w:t>
      </w:r>
    </w:p>
    <w:p>
      <w:pPr>
        <w:ind w:firstLine="458"/>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凡出现以上任何一项情形，结论均为无效，否则就为有效。</w:t>
      </w:r>
    </w:p>
    <w:p>
      <w:pPr>
        <w:ind w:firstLine="458"/>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如对本表中某种情形的评审意见不一致时，以评标委员会过半数成员的意见作为评标委员会对该情形的认定结论。</w:t>
      </w:r>
    </w:p>
    <w:p>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cols w:space="425" w:num="1"/>
          <w:titlePg/>
          <w:docGrid w:type="linesAndChars" w:linePitch="312" w:charSpace="0"/>
        </w:sectPr>
      </w:pPr>
      <w:r>
        <w:rPr>
          <w:rFonts w:hint="eastAsia" w:ascii="宋体" w:hAnsi="宋体"/>
          <w:color w:val="auto"/>
          <w:szCs w:val="21"/>
          <w:highlight w:val="none"/>
        </w:rPr>
        <w:t>评委签名：</w:t>
      </w:r>
    </w:p>
    <w:p>
      <w:pPr>
        <w:rPr>
          <w:color w:val="auto"/>
          <w:szCs w:val="21"/>
          <w:highlight w:val="none"/>
        </w:rPr>
      </w:pPr>
      <w:r>
        <w:rPr>
          <w:rFonts w:hint="eastAsia"/>
          <w:color w:val="auto"/>
          <w:szCs w:val="21"/>
          <w:highlight w:val="none"/>
        </w:rPr>
        <w:t>附表四</w:t>
      </w:r>
    </w:p>
    <w:p>
      <w:pPr>
        <w:pStyle w:val="2"/>
        <w:jc w:val="center"/>
        <w:rPr>
          <w:color w:val="auto"/>
          <w:highlight w:val="none"/>
        </w:rPr>
      </w:pPr>
      <w:r>
        <w:rPr>
          <w:rFonts w:hint="eastAsia"/>
          <w:b/>
          <w:color w:val="auto"/>
          <w:sz w:val="36"/>
          <w:szCs w:val="36"/>
          <w:highlight w:val="none"/>
        </w:rPr>
        <w:t>技术标详细审查评分表</w:t>
      </w:r>
    </w:p>
    <w:tbl>
      <w:tblPr>
        <w:tblStyle w:val="33"/>
        <w:tblW w:w="14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555"/>
        <w:gridCol w:w="682"/>
        <w:gridCol w:w="10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408" w:lineRule="auto"/>
              <w:jc w:val="center"/>
              <w:rPr>
                <w:rFonts w:ascii="宋体" w:hAnsi="宋体"/>
                <w:b/>
                <w:color w:val="auto"/>
                <w:szCs w:val="21"/>
                <w:highlight w:val="none"/>
              </w:rPr>
            </w:pPr>
            <w:r>
              <w:rPr>
                <w:rStyle w:val="112"/>
                <w:rFonts w:hint="eastAsia" w:ascii="宋体" w:hAnsi="宋体"/>
                <w:color w:val="auto"/>
                <w:szCs w:val="21"/>
                <w:highlight w:val="none"/>
              </w:rPr>
              <w:t>评分项目</w:t>
            </w:r>
          </w:p>
        </w:tc>
        <w:tc>
          <w:tcPr>
            <w:tcW w:w="1555"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408" w:lineRule="auto"/>
              <w:jc w:val="center"/>
              <w:rPr>
                <w:rFonts w:ascii="宋体" w:hAnsi="宋体"/>
                <w:b/>
                <w:color w:val="auto"/>
                <w:szCs w:val="21"/>
                <w:highlight w:val="none"/>
              </w:rPr>
            </w:pPr>
            <w:r>
              <w:rPr>
                <w:rStyle w:val="112"/>
                <w:rFonts w:hint="eastAsia" w:ascii="宋体" w:hAnsi="宋体"/>
                <w:color w:val="auto"/>
                <w:szCs w:val="21"/>
                <w:highlight w:val="none"/>
              </w:rPr>
              <w:t>评分内容</w:t>
            </w:r>
          </w:p>
        </w:tc>
        <w:tc>
          <w:tcPr>
            <w:tcW w:w="682"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408" w:lineRule="auto"/>
              <w:jc w:val="center"/>
              <w:rPr>
                <w:rFonts w:ascii="宋体" w:hAnsi="宋体"/>
                <w:b/>
                <w:color w:val="auto"/>
                <w:szCs w:val="21"/>
                <w:highlight w:val="none"/>
              </w:rPr>
            </w:pPr>
            <w:r>
              <w:rPr>
                <w:rStyle w:val="112"/>
                <w:rFonts w:hint="eastAsia" w:ascii="宋体" w:hAnsi="宋体"/>
                <w:color w:val="auto"/>
                <w:szCs w:val="21"/>
                <w:highlight w:val="none"/>
              </w:rPr>
              <w:t>分值</w:t>
            </w:r>
          </w:p>
        </w:tc>
        <w:tc>
          <w:tcPr>
            <w:tcW w:w="10547" w:type="dxa"/>
            <w:tcBorders>
              <w:top w:val="single" w:color="auto" w:sz="4" w:space="0"/>
              <w:left w:val="single" w:color="auto" w:sz="4" w:space="0"/>
              <w:bottom w:val="single" w:color="auto" w:sz="4" w:space="0"/>
              <w:right w:val="single" w:color="auto" w:sz="4" w:space="0"/>
            </w:tcBorders>
          </w:tcPr>
          <w:p>
            <w:pPr>
              <w:spacing w:before="100" w:beforeAutospacing="1" w:after="100" w:afterAutospacing="1" w:line="408" w:lineRule="auto"/>
              <w:jc w:val="center"/>
              <w:rPr>
                <w:rFonts w:ascii="宋体" w:hAnsi="宋体"/>
                <w:b/>
                <w:color w:val="auto"/>
                <w:szCs w:val="21"/>
                <w:highlight w:val="none"/>
              </w:rPr>
            </w:pPr>
            <w:r>
              <w:rPr>
                <w:rStyle w:val="112"/>
                <w:rFonts w:hint="eastAsia" w:ascii="宋体" w:hAnsi="宋体"/>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408" w:lineRule="auto"/>
              <w:jc w:val="center"/>
              <w:rPr>
                <w:rStyle w:val="112"/>
                <w:rFonts w:ascii="宋体" w:hAnsi="宋体"/>
                <w:color w:val="auto"/>
                <w:szCs w:val="21"/>
                <w:highlight w:val="none"/>
              </w:rPr>
            </w:pPr>
            <w:r>
              <w:rPr>
                <w:rStyle w:val="112"/>
                <w:rFonts w:hint="eastAsia" w:ascii="宋体" w:hAnsi="宋体"/>
                <w:color w:val="auto"/>
                <w:szCs w:val="21"/>
                <w:highlight w:val="none"/>
              </w:rPr>
              <w:t>一、企业资信（</w:t>
            </w:r>
            <w:r>
              <w:rPr>
                <w:rStyle w:val="112"/>
                <w:rFonts w:ascii="宋体" w:hAnsi="宋体"/>
                <w:color w:val="auto"/>
                <w:szCs w:val="21"/>
                <w:highlight w:val="none"/>
              </w:rPr>
              <w:t>30</w:t>
            </w:r>
            <w:r>
              <w:rPr>
                <w:rStyle w:val="112"/>
                <w:rFonts w:hint="eastAsia" w:ascii="宋体" w:hAnsi="宋体"/>
                <w:color w:val="auto"/>
                <w:szCs w:val="21"/>
                <w:highlight w:val="none"/>
              </w:rPr>
              <w:t>分）</w:t>
            </w:r>
          </w:p>
        </w:tc>
        <w:tc>
          <w:tcPr>
            <w:tcW w:w="15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Style w:val="111"/>
                <w:rFonts w:hint="eastAsia" w:ascii="宋体" w:hAnsi="宋体"/>
                <w:color w:val="auto"/>
                <w:szCs w:val="21"/>
                <w:highlight w:val="none"/>
              </w:rPr>
              <w:t>类似工程业绩</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6</w:t>
            </w:r>
          </w:p>
        </w:tc>
        <w:tc>
          <w:tcPr>
            <w:tcW w:w="1054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投标人自20</w:t>
            </w:r>
            <w:r>
              <w:rPr>
                <w:rFonts w:ascii="宋体" w:hAnsi="宋体"/>
                <w:color w:val="auto"/>
                <w:szCs w:val="21"/>
                <w:highlight w:val="none"/>
              </w:rPr>
              <w:t>17</w:t>
            </w:r>
            <w:r>
              <w:rPr>
                <w:rFonts w:hint="eastAsia" w:ascii="宋体" w:hAnsi="宋体"/>
                <w:color w:val="auto"/>
                <w:szCs w:val="21"/>
                <w:highlight w:val="none"/>
              </w:rPr>
              <w:t>年1月1日至投标文件递交截止日止每完成过一个质量合格的类似工程业绩得</w:t>
            </w:r>
            <w:r>
              <w:rPr>
                <w:rFonts w:ascii="宋体" w:hAnsi="宋体"/>
                <w:color w:val="auto"/>
                <w:szCs w:val="21"/>
                <w:highlight w:val="none"/>
              </w:rPr>
              <w:t>3</w:t>
            </w:r>
            <w:r>
              <w:rPr>
                <w:rFonts w:hint="eastAsia" w:ascii="宋体" w:hAnsi="宋体"/>
                <w:color w:val="auto"/>
                <w:szCs w:val="21"/>
                <w:highlight w:val="none"/>
              </w:rPr>
              <w:t>分，本项最高得</w:t>
            </w:r>
            <w:r>
              <w:rPr>
                <w:rFonts w:ascii="宋体" w:hAnsi="宋体"/>
                <w:color w:val="auto"/>
                <w:szCs w:val="21"/>
                <w:highlight w:val="none"/>
              </w:rPr>
              <w:t>6</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Borders>
              <w:top w:val="single" w:color="auto" w:sz="4" w:space="0"/>
              <w:left w:val="single" w:color="auto" w:sz="4" w:space="0"/>
              <w:right w:val="single" w:color="auto" w:sz="4" w:space="0"/>
            </w:tcBorders>
            <w:vAlign w:val="center"/>
          </w:tcPr>
          <w:p>
            <w:pPr>
              <w:widowControl/>
              <w:spacing w:before="100" w:beforeAutospacing="1" w:after="100" w:afterAutospacing="1" w:line="408" w:lineRule="auto"/>
              <w:jc w:val="center"/>
              <w:rPr>
                <w:rStyle w:val="112"/>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Style w:val="111"/>
                <w:rFonts w:ascii="宋体" w:hAnsi="宋体"/>
                <w:color w:val="auto"/>
                <w:szCs w:val="21"/>
                <w:highlight w:val="none"/>
              </w:rPr>
            </w:pPr>
            <w:r>
              <w:rPr>
                <w:rStyle w:val="111"/>
                <w:rFonts w:hint="eastAsia" w:ascii="宋体" w:hAnsi="宋体"/>
                <w:color w:val="auto"/>
                <w:szCs w:val="21"/>
                <w:highlight w:val="none"/>
              </w:rPr>
              <w:t>项目负责人</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5</w:t>
            </w:r>
          </w:p>
        </w:tc>
        <w:tc>
          <w:tcPr>
            <w:tcW w:w="10547" w:type="dxa"/>
            <w:tcBorders>
              <w:top w:val="single" w:color="auto" w:sz="4" w:space="0"/>
              <w:left w:val="single" w:color="auto" w:sz="4" w:space="0"/>
              <w:bottom w:val="single" w:color="auto" w:sz="4" w:space="0"/>
              <w:right w:val="single" w:color="auto" w:sz="4" w:space="0"/>
            </w:tcBorders>
            <w:vAlign w:val="center"/>
          </w:tcPr>
          <w:p>
            <w:pPr>
              <w:pStyle w:val="2"/>
              <w:rPr>
                <w:color w:val="auto"/>
                <w:highlight w:val="none"/>
              </w:rPr>
            </w:pPr>
            <w:r>
              <w:rPr>
                <w:rFonts w:hint="eastAsia"/>
                <w:color w:val="auto"/>
                <w:highlight w:val="none"/>
              </w:rPr>
              <w:t>项目负责人具备以下条件：</w:t>
            </w:r>
          </w:p>
          <w:p>
            <w:pPr>
              <w:pStyle w:val="2"/>
              <w:rPr>
                <w:color w:val="auto"/>
                <w:highlight w:val="none"/>
              </w:rPr>
            </w:pPr>
            <w:r>
              <w:rPr>
                <w:rFonts w:hint="eastAsia"/>
                <w:color w:val="auto"/>
                <w:highlight w:val="none"/>
              </w:rPr>
              <w:t>1、1</w:t>
            </w:r>
            <w:r>
              <w:rPr>
                <w:color w:val="auto"/>
                <w:highlight w:val="none"/>
              </w:rPr>
              <w:t>0</w:t>
            </w:r>
            <w:r>
              <w:rPr>
                <w:rFonts w:hint="eastAsia"/>
                <w:color w:val="auto"/>
                <w:highlight w:val="none"/>
              </w:rPr>
              <w:t>年及以上工作经验，得</w:t>
            </w:r>
            <w:r>
              <w:rPr>
                <w:color w:val="auto"/>
                <w:highlight w:val="none"/>
              </w:rPr>
              <w:t>2</w:t>
            </w:r>
            <w:r>
              <w:rPr>
                <w:rFonts w:hint="eastAsia"/>
                <w:color w:val="auto"/>
                <w:highlight w:val="none"/>
              </w:rPr>
              <w:t>分；</w:t>
            </w:r>
            <w:r>
              <w:rPr>
                <w:color w:val="auto"/>
                <w:highlight w:val="none"/>
              </w:rPr>
              <w:t>5</w:t>
            </w:r>
            <w:r>
              <w:rPr>
                <w:rFonts w:hint="eastAsia"/>
                <w:color w:val="auto"/>
                <w:highlight w:val="none"/>
              </w:rPr>
              <w:t>（含5年）到1</w:t>
            </w:r>
            <w:r>
              <w:rPr>
                <w:color w:val="auto"/>
                <w:highlight w:val="none"/>
              </w:rPr>
              <w:t>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不含10年</w:t>
            </w:r>
            <w:r>
              <w:rPr>
                <w:rFonts w:hint="eastAsia"/>
                <w:color w:val="auto"/>
                <w:highlight w:val="none"/>
                <w:lang w:eastAsia="zh-CN"/>
              </w:rPr>
              <w:t>）</w:t>
            </w:r>
            <w:r>
              <w:rPr>
                <w:rFonts w:hint="eastAsia"/>
                <w:color w:val="auto"/>
                <w:highlight w:val="none"/>
              </w:rPr>
              <w:t>工作经验，得1分；5年以下，得0.5分；</w:t>
            </w:r>
          </w:p>
          <w:p>
            <w:pPr>
              <w:pStyle w:val="2"/>
              <w:rPr>
                <w:color w:val="auto"/>
                <w:highlight w:val="none"/>
              </w:rPr>
            </w:pPr>
            <w:r>
              <w:rPr>
                <w:rFonts w:hint="eastAsia"/>
                <w:color w:val="auto"/>
                <w:highlight w:val="none"/>
              </w:rPr>
              <w:t>2、具备高级工程师及以上职称的，得</w:t>
            </w:r>
            <w:r>
              <w:rPr>
                <w:color w:val="auto"/>
                <w:highlight w:val="none"/>
              </w:rPr>
              <w:t>3</w:t>
            </w:r>
            <w:r>
              <w:rPr>
                <w:rFonts w:hint="eastAsia"/>
                <w:color w:val="auto"/>
                <w:highlight w:val="none"/>
              </w:rPr>
              <w:t>分；具备中级工程师职称的，得1分；</w:t>
            </w:r>
          </w:p>
          <w:p>
            <w:pPr>
              <w:pStyle w:val="2"/>
              <w:rPr>
                <w:color w:val="auto"/>
                <w:highlight w:val="none"/>
              </w:rPr>
            </w:pPr>
            <w:r>
              <w:rPr>
                <w:rFonts w:hint="eastAsia"/>
                <w:color w:val="auto"/>
                <w:highlight w:val="none"/>
              </w:rPr>
              <w:t>注：没有不得分，本项最高得</w:t>
            </w:r>
            <w:r>
              <w:rPr>
                <w:color w:val="auto"/>
                <w:highlight w:val="none"/>
              </w:rPr>
              <w:t>5</w:t>
            </w:r>
            <w:r>
              <w:rPr>
                <w:rFonts w:hint="eastAsia"/>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Borders>
              <w:top w:val="single" w:color="auto" w:sz="4" w:space="0"/>
              <w:left w:val="single" w:color="auto" w:sz="4" w:space="0"/>
              <w:right w:val="single" w:color="auto" w:sz="4" w:space="0"/>
            </w:tcBorders>
            <w:vAlign w:val="center"/>
          </w:tcPr>
          <w:p>
            <w:pPr>
              <w:widowControl/>
              <w:spacing w:before="100" w:beforeAutospacing="1" w:after="100" w:afterAutospacing="1" w:line="408" w:lineRule="auto"/>
              <w:jc w:val="center"/>
              <w:rPr>
                <w:rStyle w:val="112"/>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Style w:val="111"/>
                <w:rFonts w:ascii="宋体" w:hAnsi="宋体"/>
                <w:color w:val="auto"/>
                <w:szCs w:val="21"/>
                <w:highlight w:val="none"/>
              </w:rPr>
            </w:pPr>
            <w:r>
              <w:rPr>
                <w:rStyle w:val="111"/>
                <w:rFonts w:hint="eastAsia" w:ascii="宋体" w:hAnsi="宋体"/>
                <w:color w:val="auto"/>
                <w:szCs w:val="21"/>
                <w:highlight w:val="none"/>
              </w:rPr>
              <w:t>技术负责人</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3</w:t>
            </w:r>
          </w:p>
        </w:tc>
        <w:tc>
          <w:tcPr>
            <w:tcW w:w="1054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技术负责人具备以下条件：</w:t>
            </w:r>
          </w:p>
          <w:p>
            <w:pPr>
              <w:pStyle w:val="2"/>
              <w:rPr>
                <w:color w:val="auto"/>
                <w:highlight w:val="none"/>
              </w:rPr>
            </w:pPr>
            <w:r>
              <w:rPr>
                <w:rFonts w:hint="eastAsia"/>
                <w:color w:val="auto"/>
                <w:highlight w:val="none"/>
              </w:rPr>
              <w:t>1、1</w:t>
            </w:r>
            <w:r>
              <w:rPr>
                <w:color w:val="auto"/>
                <w:highlight w:val="none"/>
              </w:rPr>
              <w:t>0</w:t>
            </w:r>
            <w:r>
              <w:rPr>
                <w:rFonts w:hint="eastAsia"/>
                <w:color w:val="auto"/>
                <w:highlight w:val="none"/>
              </w:rPr>
              <w:t>年及以上工作经验，得</w:t>
            </w:r>
            <w:r>
              <w:rPr>
                <w:color w:val="auto"/>
                <w:highlight w:val="none"/>
              </w:rPr>
              <w:t>2</w:t>
            </w:r>
            <w:r>
              <w:rPr>
                <w:rFonts w:hint="eastAsia"/>
                <w:color w:val="auto"/>
                <w:highlight w:val="none"/>
              </w:rPr>
              <w:t>分；</w:t>
            </w:r>
            <w:r>
              <w:rPr>
                <w:color w:val="auto"/>
                <w:highlight w:val="none"/>
              </w:rPr>
              <w:t>5</w:t>
            </w:r>
            <w:r>
              <w:rPr>
                <w:rFonts w:hint="eastAsia"/>
                <w:color w:val="auto"/>
                <w:highlight w:val="none"/>
              </w:rPr>
              <w:t>（含5年）到1</w:t>
            </w:r>
            <w:r>
              <w:rPr>
                <w:color w:val="auto"/>
                <w:highlight w:val="none"/>
              </w:rPr>
              <w:t>0</w:t>
            </w:r>
            <w:r>
              <w:rPr>
                <w:rFonts w:hint="eastAsia"/>
                <w:color w:val="auto"/>
                <w:highlight w:val="none"/>
              </w:rPr>
              <w:t>年</w:t>
            </w:r>
            <w:r>
              <w:rPr>
                <w:rFonts w:hint="eastAsia"/>
                <w:color w:val="auto"/>
                <w:highlight w:val="none"/>
                <w:lang w:eastAsia="zh-CN"/>
              </w:rPr>
              <w:t>（</w:t>
            </w:r>
            <w:r>
              <w:rPr>
                <w:rFonts w:hint="eastAsia"/>
                <w:color w:val="auto"/>
                <w:highlight w:val="none"/>
                <w:lang w:val="en-US" w:eastAsia="zh-CN"/>
              </w:rPr>
              <w:t>不含10年</w:t>
            </w:r>
            <w:r>
              <w:rPr>
                <w:rFonts w:hint="eastAsia"/>
                <w:color w:val="auto"/>
                <w:highlight w:val="none"/>
                <w:lang w:eastAsia="zh-CN"/>
              </w:rPr>
              <w:t>）</w:t>
            </w:r>
            <w:r>
              <w:rPr>
                <w:rFonts w:hint="eastAsia"/>
                <w:color w:val="auto"/>
                <w:highlight w:val="none"/>
              </w:rPr>
              <w:t>工作经验，得1分；5年以下，得0.5分；</w:t>
            </w:r>
          </w:p>
          <w:p>
            <w:pPr>
              <w:pStyle w:val="2"/>
              <w:rPr>
                <w:rFonts w:hint="eastAsia" w:eastAsia="宋体"/>
                <w:color w:val="auto"/>
                <w:highlight w:val="none"/>
                <w:lang w:eastAsia="zh-CN"/>
              </w:rPr>
            </w:pPr>
            <w:r>
              <w:rPr>
                <w:rFonts w:hint="eastAsia"/>
                <w:color w:val="auto"/>
                <w:highlight w:val="none"/>
              </w:rPr>
              <w:t>2、具备高级工程师职称的，得</w:t>
            </w:r>
            <w:r>
              <w:rPr>
                <w:color w:val="auto"/>
                <w:highlight w:val="none"/>
              </w:rPr>
              <w:t>1</w:t>
            </w:r>
            <w:r>
              <w:rPr>
                <w:rFonts w:hint="eastAsia"/>
                <w:color w:val="auto"/>
                <w:highlight w:val="none"/>
              </w:rPr>
              <w:t>分；</w:t>
            </w:r>
          </w:p>
          <w:p>
            <w:pPr>
              <w:pStyle w:val="2"/>
              <w:rPr>
                <w:color w:val="auto"/>
                <w:highlight w:val="none"/>
              </w:rPr>
            </w:pPr>
            <w:r>
              <w:rPr>
                <w:rFonts w:hint="eastAsia" w:hAnsi="宋体" w:cs="宋体"/>
                <w:color w:val="auto"/>
                <w:kern w:val="0"/>
                <w:szCs w:val="21"/>
                <w:highlight w:val="none"/>
              </w:rPr>
              <w:t>注：没有不得分，本项最高得</w:t>
            </w:r>
            <w:r>
              <w:rPr>
                <w:rFonts w:hAnsi="宋体" w:cs="宋体"/>
                <w:color w:val="auto"/>
                <w:kern w:val="0"/>
                <w:szCs w:val="21"/>
                <w:highlight w:val="none"/>
              </w:rPr>
              <w:t>3</w:t>
            </w:r>
            <w:r>
              <w:rPr>
                <w:rFonts w:hint="eastAsia"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399" w:type="dxa"/>
            <w:vMerge w:val="continue"/>
            <w:tcBorders>
              <w:left w:val="single" w:color="auto" w:sz="4" w:space="0"/>
              <w:right w:val="single" w:color="auto" w:sz="4" w:space="0"/>
            </w:tcBorders>
          </w:tcPr>
          <w:p>
            <w:pPr>
              <w:widowControl/>
              <w:spacing w:before="100" w:beforeAutospacing="1" w:after="100" w:afterAutospacing="1" w:line="408" w:lineRule="auto"/>
              <w:jc w:val="center"/>
              <w:rPr>
                <w:rStyle w:val="112"/>
                <w:rFonts w:ascii="宋体" w:hAnsi="宋体"/>
                <w:color w:val="auto"/>
                <w:szCs w:val="21"/>
                <w:highlight w:val="none"/>
              </w:rPr>
            </w:pPr>
          </w:p>
        </w:tc>
        <w:tc>
          <w:tcPr>
            <w:tcW w:w="1555" w:type="dxa"/>
            <w:vMerge w:val="restart"/>
            <w:tcBorders>
              <w:top w:val="single" w:color="auto" w:sz="4" w:space="0"/>
              <w:left w:val="single" w:color="auto" w:sz="4" w:space="0"/>
              <w:right w:val="single" w:color="auto" w:sz="4" w:space="0"/>
            </w:tcBorders>
            <w:vAlign w:val="center"/>
          </w:tcPr>
          <w:p>
            <w:pPr>
              <w:spacing w:line="240" w:lineRule="exact"/>
              <w:jc w:val="center"/>
              <w:rPr>
                <w:rStyle w:val="111"/>
                <w:rFonts w:ascii="宋体" w:hAnsi="宋体"/>
                <w:color w:val="auto"/>
                <w:szCs w:val="21"/>
                <w:highlight w:val="none"/>
              </w:rPr>
            </w:pPr>
            <w:r>
              <w:rPr>
                <w:rStyle w:val="111"/>
                <w:rFonts w:hint="eastAsia" w:ascii="宋体" w:hAnsi="宋体"/>
                <w:color w:val="auto"/>
                <w:szCs w:val="21"/>
                <w:highlight w:val="none"/>
              </w:rPr>
              <w:t>工程获奖</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6</w:t>
            </w:r>
          </w:p>
        </w:tc>
        <w:tc>
          <w:tcPr>
            <w:tcW w:w="1054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olor w:val="auto"/>
                <w:szCs w:val="21"/>
                <w:highlight w:val="none"/>
              </w:rPr>
            </w:pPr>
            <w:r>
              <w:rPr>
                <w:rFonts w:hint="eastAsia" w:ascii="宋体" w:hAnsi="宋体"/>
                <w:color w:val="auto"/>
                <w:szCs w:val="21"/>
                <w:highlight w:val="none"/>
              </w:rPr>
              <w:t>投标人自2017年1月1日至今承建或参建的工程</w:t>
            </w:r>
          </w:p>
          <w:p>
            <w:pPr>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获得国家级工程质量奖项的，每项得0.4分，最高得6分；</w:t>
            </w:r>
          </w:p>
          <w:p>
            <w:pPr>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获得省级工程质量奖项的，每项得0.2分，最高得3分；</w:t>
            </w:r>
          </w:p>
          <w:p>
            <w:pPr>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获得市级工程质量奖项的，每项得0.1分，最高得1.5分；</w:t>
            </w:r>
          </w:p>
          <w:p>
            <w:r>
              <w:rPr>
                <w:rFonts w:hint="eastAsia" w:ascii="宋体" w:hAnsi="宋体"/>
                <w:color w:val="auto"/>
                <w:szCs w:val="21"/>
                <w:highlight w:val="none"/>
              </w:rPr>
              <w:t>本项最高得6分。不符合上述条件或未提供相关证明材料的不得分。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399" w:type="dxa"/>
            <w:vMerge w:val="continue"/>
            <w:tcBorders>
              <w:left w:val="single" w:color="auto" w:sz="4" w:space="0"/>
              <w:right w:val="single" w:color="auto" w:sz="4" w:space="0"/>
            </w:tcBorders>
          </w:tcPr>
          <w:p>
            <w:pPr>
              <w:widowControl/>
              <w:spacing w:before="100" w:beforeAutospacing="1" w:after="100" w:afterAutospacing="1" w:line="408" w:lineRule="auto"/>
              <w:jc w:val="center"/>
              <w:rPr>
                <w:rStyle w:val="112"/>
                <w:rFonts w:ascii="宋体" w:hAnsi="宋体"/>
                <w:color w:val="auto"/>
                <w:szCs w:val="21"/>
                <w:highlight w:val="none"/>
              </w:rPr>
            </w:pPr>
          </w:p>
        </w:tc>
        <w:tc>
          <w:tcPr>
            <w:tcW w:w="1555" w:type="dxa"/>
            <w:vMerge w:val="continue"/>
            <w:tcBorders>
              <w:left w:val="single" w:color="auto" w:sz="4" w:space="0"/>
              <w:right w:val="single" w:color="auto" w:sz="4" w:space="0"/>
            </w:tcBorders>
            <w:vAlign w:val="center"/>
          </w:tcPr>
          <w:p>
            <w:pPr>
              <w:spacing w:line="240" w:lineRule="exact"/>
              <w:jc w:val="center"/>
              <w:rPr>
                <w:rStyle w:val="111"/>
                <w:rFonts w:ascii="宋体" w:hAnsi="宋体"/>
                <w:color w:val="auto"/>
                <w:szCs w:val="21"/>
                <w:highlight w:val="none"/>
              </w:rPr>
            </w:pP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6</w:t>
            </w:r>
          </w:p>
        </w:tc>
        <w:tc>
          <w:tcPr>
            <w:tcW w:w="1054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投标人自201</w:t>
            </w:r>
            <w:r>
              <w:rPr>
                <w:rFonts w:ascii="宋体" w:hAnsi="宋体"/>
                <w:color w:val="auto"/>
                <w:szCs w:val="21"/>
                <w:highlight w:val="none"/>
              </w:rPr>
              <w:t>7</w:t>
            </w:r>
            <w:r>
              <w:rPr>
                <w:rFonts w:hint="eastAsia" w:ascii="宋体" w:hAnsi="宋体"/>
                <w:color w:val="auto"/>
                <w:szCs w:val="21"/>
                <w:highlight w:val="none"/>
              </w:rPr>
              <w:t>年1月1日至投标文件递交截止日止</w:t>
            </w:r>
          </w:p>
          <w:p>
            <w:pPr>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获得过中国安装之星奖8个及以上的，得</w:t>
            </w:r>
            <w:r>
              <w:rPr>
                <w:rFonts w:ascii="宋体" w:hAnsi="宋体"/>
                <w:color w:val="auto"/>
                <w:szCs w:val="21"/>
                <w:highlight w:val="none"/>
              </w:rPr>
              <w:t>6</w:t>
            </w:r>
            <w:r>
              <w:rPr>
                <w:rFonts w:hint="eastAsia" w:ascii="宋体" w:hAnsi="宋体"/>
                <w:color w:val="auto"/>
                <w:szCs w:val="21"/>
                <w:highlight w:val="none"/>
              </w:rPr>
              <w:t>分；</w:t>
            </w:r>
          </w:p>
          <w:p>
            <w:pPr>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获得过中国安装之星奖4个</w:t>
            </w:r>
            <w:r>
              <w:rPr>
                <w:rFonts w:hint="eastAsia" w:ascii="宋体" w:hAnsi="宋体"/>
                <w:color w:val="auto"/>
                <w:szCs w:val="21"/>
                <w:highlight w:val="none"/>
                <w:lang w:val="en-US" w:eastAsia="zh-CN"/>
              </w:rPr>
              <w:t>及</w:t>
            </w:r>
            <w:r>
              <w:rPr>
                <w:rFonts w:hint="eastAsia" w:ascii="宋体" w:hAnsi="宋体"/>
                <w:color w:val="auto"/>
                <w:szCs w:val="21"/>
                <w:highlight w:val="none"/>
              </w:rPr>
              <w:t>以上</w:t>
            </w:r>
            <w:r>
              <w:rPr>
                <w:rFonts w:ascii="宋体" w:hAnsi="宋体"/>
                <w:color w:val="auto"/>
                <w:szCs w:val="21"/>
                <w:highlight w:val="none"/>
              </w:rPr>
              <w:t>8</w:t>
            </w:r>
            <w:r>
              <w:rPr>
                <w:rFonts w:hint="eastAsia" w:ascii="宋体" w:hAnsi="宋体"/>
                <w:color w:val="auto"/>
                <w:szCs w:val="21"/>
                <w:highlight w:val="none"/>
              </w:rPr>
              <w:t>个以下（不含8个）的，得</w:t>
            </w:r>
            <w:r>
              <w:rPr>
                <w:rFonts w:ascii="宋体" w:hAnsi="宋体"/>
                <w:color w:val="auto"/>
                <w:szCs w:val="21"/>
                <w:highlight w:val="none"/>
              </w:rPr>
              <w:t>3</w:t>
            </w:r>
            <w:r>
              <w:rPr>
                <w:rFonts w:hint="eastAsia" w:ascii="宋体" w:hAnsi="宋体"/>
                <w:color w:val="auto"/>
                <w:szCs w:val="21"/>
                <w:highlight w:val="none"/>
              </w:rPr>
              <w:t>分；</w:t>
            </w:r>
          </w:p>
          <w:p>
            <w:pPr>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获得过中国安装之星奖</w:t>
            </w:r>
            <w:r>
              <w:rPr>
                <w:rFonts w:ascii="宋体" w:hAnsi="宋体"/>
                <w:color w:val="auto"/>
                <w:szCs w:val="21"/>
                <w:highlight w:val="none"/>
              </w:rPr>
              <w:t>1</w:t>
            </w:r>
            <w:r>
              <w:rPr>
                <w:rFonts w:hint="eastAsia" w:ascii="宋体" w:hAnsi="宋体"/>
                <w:color w:val="auto"/>
                <w:szCs w:val="21"/>
                <w:highlight w:val="none"/>
              </w:rPr>
              <w:t>个</w:t>
            </w:r>
            <w:r>
              <w:rPr>
                <w:rFonts w:hint="eastAsia" w:ascii="宋体" w:hAnsi="宋体"/>
                <w:color w:val="auto"/>
                <w:szCs w:val="21"/>
                <w:highlight w:val="none"/>
                <w:lang w:val="en-US" w:eastAsia="zh-CN"/>
              </w:rPr>
              <w:t>及</w:t>
            </w:r>
            <w:r>
              <w:rPr>
                <w:rFonts w:hint="eastAsia" w:ascii="宋体" w:hAnsi="宋体"/>
                <w:color w:val="auto"/>
                <w:szCs w:val="21"/>
                <w:highlight w:val="none"/>
              </w:rPr>
              <w:t>以上</w:t>
            </w:r>
            <w:r>
              <w:rPr>
                <w:rFonts w:ascii="宋体" w:hAnsi="宋体"/>
                <w:color w:val="auto"/>
                <w:szCs w:val="21"/>
                <w:highlight w:val="none"/>
              </w:rPr>
              <w:t>4</w:t>
            </w:r>
            <w:r>
              <w:rPr>
                <w:rFonts w:hint="eastAsia" w:ascii="宋体" w:hAnsi="宋体"/>
                <w:color w:val="auto"/>
                <w:szCs w:val="21"/>
                <w:highlight w:val="none"/>
              </w:rPr>
              <w:t>个以下（不含</w:t>
            </w:r>
            <w:r>
              <w:rPr>
                <w:rFonts w:ascii="宋体" w:hAnsi="宋体"/>
                <w:color w:val="auto"/>
                <w:szCs w:val="21"/>
                <w:highlight w:val="none"/>
              </w:rPr>
              <w:t>4</w:t>
            </w:r>
            <w:r>
              <w:rPr>
                <w:rFonts w:hint="eastAsia" w:ascii="宋体" w:hAnsi="宋体"/>
                <w:color w:val="auto"/>
                <w:szCs w:val="21"/>
                <w:highlight w:val="none"/>
              </w:rPr>
              <w:t>个）的，得</w:t>
            </w:r>
            <w:r>
              <w:rPr>
                <w:rFonts w:ascii="宋体" w:hAnsi="宋体"/>
                <w:color w:val="auto"/>
                <w:szCs w:val="21"/>
                <w:highlight w:val="none"/>
              </w:rPr>
              <w:t>1</w:t>
            </w:r>
            <w:r>
              <w:rPr>
                <w:rFonts w:hint="eastAsia" w:ascii="宋体" w:hAnsi="宋体"/>
                <w:color w:val="auto"/>
                <w:szCs w:val="21"/>
                <w:highlight w:val="none"/>
              </w:rPr>
              <w:t>分；</w:t>
            </w:r>
          </w:p>
          <w:p>
            <w:pPr>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未获得过中国安装之星奖的，不得分。</w:t>
            </w:r>
          </w:p>
          <w:p>
            <w:pPr>
              <w:rPr>
                <w:rFonts w:ascii="宋体" w:hAnsi="宋体"/>
                <w:color w:val="auto"/>
                <w:szCs w:val="21"/>
                <w:highlight w:val="none"/>
              </w:rPr>
            </w:pPr>
            <w:r>
              <w:rPr>
                <w:rFonts w:hint="eastAsia" w:ascii="宋体" w:hAnsi="宋体"/>
                <w:color w:val="auto"/>
                <w:szCs w:val="21"/>
                <w:highlight w:val="none"/>
              </w:rPr>
              <w:t>本项最高得</w:t>
            </w:r>
            <w:r>
              <w:rPr>
                <w:rFonts w:ascii="宋体" w:hAnsi="宋体"/>
                <w:color w:val="auto"/>
                <w:szCs w:val="21"/>
                <w:highlight w:val="none"/>
              </w:rPr>
              <w:t>6</w:t>
            </w:r>
            <w:r>
              <w:rPr>
                <w:rFonts w:hint="eastAsia" w:ascii="宋体" w:hAnsi="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Borders>
              <w:left w:val="single" w:color="auto" w:sz="4" w:space="0"/>
              <w:right w:val="single" w:color="auto" w:sz="4" w:space="0"/>
            </w:tcBorders>
          </w:tcPr>
          <w:p>
            <w:pPr>
              <w:widowControl/>
              <w:spacing w:before="100" w:beforeAutospacing="1" w:after="100" w:afterAutospacing="1" w:line="408" w:lineRule="auto"/>
              <w:jc w:val="center"/>
              <w:rPr>
                <w:rStyle w:val="112"/>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Style w:val="111"/>
                <w:rFonts w:ascii="宋体" w:hAnsi="宋体"/>
                <w:color w:val="auto"/>
                <w:szCs w:val="21"/>
                <w:highlight w:val="none"/>
              </w:rPr>
            </w:pPr>
            <w:r>
              <w:rPr>
                <w:rStyle w:val="111"/>
                <w:rFonts w:hint="eastAsia" w:ascii="宋体" w:hAnsi="宋体"/>
                <w:color w:val="auto"/>
                <w:szCs w:val="21"/>
                <w:highlight w:val="none"/>
              </w:rPr>
              <w:t>第三方评价</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4</w:t>
            </w:r>
          </w:p>
        </w:tc>
        <w:tc>
          <w:tcPr>
            <w:tcW w:w="1054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olor w:val="auto"/>
                <w:szCs w:val="21"/>
                <w:highlight w:val="none"/>
              </w:rPr>
              <w:t>截止至2</w:t>
            </w:r>
            <w:r>
              <w:rPr>
                <w:rFonts w:ascii="宋体" w:hAnsi="宋体"/>
                <w:color w:val="auto"/>
                <w:szCs w:val="21"/>
                <w:highlight w:val="none"/>
              </w:rPr>
              <w:t>021</w:t>
            </w:r>
            <w:r>
              <w:rPr>
                <w:rFonts w:hint="eastAsia" w:ascii="宋体" w:hAnsi="宋体"/>
                <w:color w:val="auto"/>
                <w:szCs w:val="21"/>
                <w:highlight w:val="none"/>
              </w:rPr>
              <w:t>年度</w:t>
            </w:r>
            <w:r>
              <w:rPr>
                <w:rFonts w:hint="eastAsia" w:ascii="宋体" w:hAnsi="宋体" w:cs="宋体"/>
                <w:color w:val="auto"/>
                <w:kern w:val="0"/>
                <w:szCs w:val="21"/>
                <w:highlight w:val="none"/>
              </w:rPr>
              <w:t>，被评为纳税信用A级纳税人的连续年限：</w:t>
            </w:r>
          </w:p>
          <w:p>
            <w:pPr>
              <w:widowControl/>
              <w:spacing w:line="280" w:lineRule="exac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）投标人曾连续</w:t>
            </w:r>
            <w:r>
              <w:rPr>
                <w:rFonts w:ascii="宋体" w:hAnsi="宋体" w:cs="宋体"/>
                <w:color w:val="auto"/>
                <w:kern w:val="0"/>
                <w:szCs w:val="21"/>
                <w:highlight w:val="none"/>
              </w:rPr>
              <w:t>6</w:t>
            </w:r>
            <w:r>
              <w:rPr>
                <w:rFonts w:hint="eastAsia" w:ascii="宋体" w:hAnsi="宋体" w:cs="宋体"/>
                <w:color w:val="auto"/>
                <w:kern w:val="0"/>
                <w:szCs w:val="21"/>
                <w:highlight w:val="none"/>
              </w:rPr>
              <w:t>年</w:t>
            </w:r>
            <w:r>
              <w:rPr>
                <w:rFonts w:hint="eastAsia" w:ascii="宋体" w:hAnsi="宋体"/>
                <w:color w:val="auto"/>
                <w:szCs w:val="21"/>
                <w:highlight w:val="none"/>
              </w:rPr>
              <w:t>及以上</w:t>
            </w:r>
            <w:r>
              <w:rPr>
                <w:rFonts w:hint="eastAsia" w:ascii="宋体" w:hAnsi="宋体" w:cs="宋体"/>
                <w:color w:val="auto"/>
                <w:kern w:val="0"/>
                <w:szCs w:val="21"/>
                <w:highlight w:val="none"/>
              </w:rPr>
              <w:t>被国家税务总局评定为“纳税信用</w:t>
            </w:r>
            <w:r>
              <w:rPr>
                <w:rFonts w:ascii="宋体" w:hAnsi="宋体" w:cs="宋体"/>
                <w:color w:val="auto"/>
                <w:kern w:val="0"/>
                <w:szCs w:val="21"/>
                <w:highlight w:val="none"/>
              </w:rPr>
              <w:t>A</w:t>
            </w:r>
            <w:r>
              <w:rPr>
                <w:rFonts w:hint="eastAsia" w:ascii="宋体" w:hAnsi="宋体" w:cs="宋体"/>
                <w:color w:val="auto"/>
                <w:kern w:val="0"/>
                <w:szCs w:val="21"/>
                <w:highlight w:val="none"/>
              </w:rPr>
              <w:t>级纳税人”的，得</w:t>
            </w:r>
            <w:r>
              <w:rPr>
                <w:rFonts w:ascii="宋体" w:hAnsi="宋体" w:cs="宋体"/>
                <w:color w:val="auto"/>
                <w:kern w:val="0"/>
                <w:szCs w:val="21"/>
                <w:highlight w:val="none"/>
              </w:rPr>
              <w:t>4</w:t>
            </w:r>
            <w:r>
              <w:rPr>
                <w:rFonts w:hint="eastAsia" w:ascii="宋体" w:hAnsi="宋体" w:cs="宋体"/>
                <w:color w:val="auto"/>
                <w:kern w:val="0"/>
                <w:szCs w:val="21"/>
                <w:highlight w:val="none"/>
              </w:rPr>
              <w:t>分；</w:t>
            </w:r>
          </w:p>
          <w:p>
            <w:pPr>
              <w:widowControl/>
              <w:spacing w:line="280" w:lineRule="exac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）投标人曾连续</w:t>
            </w:r>
            <w:r>
              <w:rPr>
                <w:rFonts w:ascii="宋体" w:hAnsi="宋体" w:cs="宋体"/>
                <w:color w:val="auto"/>
                <w:kern w:val="0"/>
                <w:szCs w:val="21"/>
                <w:highlight w:val="none"/>
              </w:rPr>
              <w:t>5</w:t>
            </w:r>
            <w:r>
              <w:rPr>
                <w:rFonts w:hint="eastAsia" w:ascii="宋体" w:hAnsi="宋体" w:cs="宋体"/>
                <w:color w:val="auto"/>
                <w:kern w:val="0"/>
                <w:szCs w:val="21"/>
                <w:highlight w:val="none"/>
              </w:rPr>
              <w:t>年被国家税务总局评定为“纳税信用</w:t>
            </w:r>
            <w:r>
              <w:rPr>
                <w:rFonts w:ascii="宋体" w:hAnsi="宋体" w:cs="宋体"/>
                <w:color w:val="auto"/>
                <w:kern w:val="0"/>
                <w:szCs w:val="21"/>
                <w:highlight w:val="none"/>
              </w:rPr>
              <w:t>A</w:t>
            </w:r>
            <w:r>
              <w:rPr>
                <w:rFonts w:hint="eastAsia" w:ascii="宋体" w:hAnsi="宋体" w:cs="宋体"/>
                <w:color w:val="auto"/>
                <w:kern w:val="0"/>
                <w:szCs w:val="21"/>
                <w:highlight w:val="none"/>
              </w:rPr>
              <w:t>级纳税人”的，得</w:t>
            </w:r>
            <w:r>
              <w:rPr>
                <w:rFonts w:ascii="宋体" w:hAnsi="宋体" w:cs="宋体"/>
                <w:color w:val="auto"/>
                <w:kern w:val="0"/>
                <w:szCs w:val="21"/>
                <w:highlight w:val="none"/>
              </w:rPr>
              <w:t>2</w:t>
            </w:r>
            <w:r>
              <w:rPr>
                <w:rFonts w:hint="eastAsia" w:ascii="宋体" w:hAnsi="宋体" w:cs="宋体"/>
                <w:color w:val="auto"/>
                <w:kern w:val="0"/>
                <w:szCs w:val="21"/>
                <w:highlight w:val="none"/>
              </w:rPr>
              <w:t>分；</w:t>
            </w:r>
          </w:p>
          <w:p>
            <w:pPr>
              <w:pStyle w:val="2"/>
              <w:rPr>
                <w:color w:val="auto"/>
                <w:highlight w:val="none"/>
              </w:rPr>
            </w:pPr>
            <w:r>
              <w:rPr>
                <w:rFonts w:hint="eastAsia" w:hAnsi="宋体" w:cs="宋体"/>
                <w:color w:val="auto"/>
                <w:kern w:val="0"/>
                <w:szCs w:val="21"/>
                <w:highlight w:val="none"/>
              </w:rPr>
              <w:t>（</w:t>
            </w:r>
            <w:r>
              <w:rPr>
                <w:rFonts w:hAnsi="宋体" w:cs="宋体"/>
                <w:color w:val="auto"/>
                <w:kern w:val="0"/>
                <w:szCs w:val="21"/>
                <w:highlight w:val="none"/>
              </w:rPr>
              <w:t>3</w:t>
            </w:r>
            <w:r>
              <w:rPr>
                <w:rFonts w:hint="eastAsia" w:hAnsi="宋体" w:cs="宋体"/>
                <w:color w:val="auto"/>
                <w:kern w:val="0"/>
                <w:szCs w:val="21"/>
                <w:highlight w:val="none"/>
              </w:rPr>
              <w:t>）投标人曾连续</w:t>
            </w:r>
            <w:r>
              <w:rPr>
                <w:rFonts w:hAnsi="宋体" w:cs="宋体"/>
                <w:color w:val="auto"/>
                <w:kern w:val="0"/>
                <w:szCs w:val="21"/>
                <w:highlight w:val="none"/>
              </w:rPr>
              <w:t>4</w:t>
            </w:r>
            <w:r>
              <w:rPr>
                <w:rFonts w:hint="eastAsia" w:hAnsi="宋体" w:cs="宋体"/>
                <w:color w:val="auto"/>
                <w:kern w:val="0"/>
                <w:szCs w:val="21"/>
                <w:highlight w:val="none"/>
              </w:rPr>
              <w:t>年或以下被国家税务总局评定为“纳税信用</w:t>
            </w:r>
            <w:r>
              <w:rPr>
                <w:rFonts w:hAnsi="宋体" w:cs="宋体"/>
                <w:color w:val="auto"/>
                <w:kern w:val="0"/>
                <w:szCs w:val="21"/>
                <w:highlight w:val="none"/>
              </w:rPr>
              <w:t>A</w:t>
            </w:r>
            <w:r>
              <w:rPr>
                <w:rFonts w:hint="eastAsia" w:hAnsi="宋体" w:cs="宋体"/>
                <w:color w:val="auto"/>
                <w:kern w:val="0"/>
                <w:szCs w:val="21"/>
                <w:highlight w:val="none"/>
              </w:rPr>
              <w:t>级纳税人”的，得</w:t>
            </w:r>
            <w:r>
              <w:rPr>
                <w:rFonts w:hAnsi="宋体" w:cs="宋体"/>
                <w:color w:val="auto"/>
                <w:kern w:val="0"/>
                <w:szCs w:val="21"/>
                <w:highlight w:val="none"/>
              </w:rPr>
              <w:t>1</w:t>
            </w:r>
            <w:r>
              <w:rPr>
                <w:rFonts w:hint="eastAsia" w:hAnsi="宋体" w:cs="宋体"/>
                <w:color w:val="auto"/>
                <w:kern w:val="0"/>
                <w:szCs w:val="21"/>
                <w:highlight w:val="none"/>
              </w:rPr>
              <w:t>分。</w:t>
            </w:r>
          </w:p>
          <w:p>
            <w:pPr>
              <w:rPr>
                <w:rFonts w:ascii="宋体" w:hAnsi="宋体" w:cs="宋体"/>
                <w:color w:val="auto"/>
                <w:kern w:val="0"/>
                <w:szCs w:val="21"/>
                <w:highlight w:val="none"/>
              </w:rPr>
            </w:pPr>
            <w:r>
              <w:rPr>
                <w:rFonts w:hint="eastAsia" w:ascii="宋体" w:hAnsi="宋体" w:cs="宋体"/>
                <w:color w:val="auto"/>
                <w:kern w:val="0"/>
                <w:szCs w:val="21"/>
                <w:highlight w:val="none"/>
              </w:rPr>
              <w:t>注：没有不得分，本项最高得</w:t>
            </w:r>
            <w:r>
              <w:rPr>
                <w:rFonts w:ascii="宋体" w:hAnsi="宋体" w:cs="宋体"/>
                <w:color w:val="auto"/>
                <w:kern w:val="0"/>
                <w:szCs w:val="21"/>
                <w:highlight w:val="none"/>
              </w:rPr>
              <w:t>4</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99"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408" w:lineRule="auto"/>
              <w:jc w:val="center"/>
              <w:rPr>
                <w:rFonts w:ascii="宋体" w:hAnsi="宋体"/>
                <w:color w:val="auto"/>
                <w:szCs w:val="21"/>
                <w:highlight w:val="none"/>
              </w:rPr>
            </w:pPr>
            <w:r>
              <w:rPr>
                <w:rStyle w:val="111"/>
                <w:rFonts w:hint="eastAsia" w:ascii="宋体" w:hAnsi="宋体"/>
                <w:color w:val="auto"/>
                <w:szCs w:val="21"/>
                <w:highlight w:val="none"/>
              </w:rPr>
              <w:t>二、</w:t>
            </w:r>
            <w:r>
              <w:rPr>
                <w:rFonts w:hint="eastAsia" w:ascii="宋体" w:hAnsi="宋体" w:cs="宋体"/>
                <w:color w:val="auto"/>
                <w:szCs w:val="21"/>
                <w:highlight w:val="none"/>
              </w:rPr>
              <w:t>施工组织设计（</w:t>
            </w:r>
            <w:r>
              <w:rPr>
                <w:rFonts w:ascii="宋体" w:hAnsi="宋体" w:cs="宋体"/>
                <w:color w:val="auto"/>
                <w:szCs w:val="21"/>
                <w:highlight w:val="none"/>
              </w:rPr>
              <w:t>70分）</w:t>
            </w:r>
          </w:p>
        </w:tc>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总平面布置规划</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s="宋体"/>
                <w:color w:val="auto"/>
                <w:szCs w:val="21"/>
                <w:highlight w:val="none"/>
              </w:rPr>
              <w:t>8</w:t>
            </w:r>
          </w:p>
        </w:tc>
        <w:tc>
          <w:tcPr>
            <w:tcW w:w="10547" w:type="dxa"/>
            <w:vAlign w:val="center"/>
          </w:tcPr>
          <w:p>
            <w:pPr>
              <w:tabs>
                <w:tab w:val="left" w:pos="360"/>
              </w:tabs>
              <w:adjustRightInd w:val="0"/>
              <w:snapToGrid w:val="0"/>
              <w:ind w:right="42" w:rightChars="20"/>
              <w:rPr>
                <w:rFonts w:ascii="宋体" w:hAnsi="宋体" w:cs="宋体"/>
                <w:color w:val="auto"/>
                <w:kern w:val="0"/>
                <w:szCs w:val="21"/>
                <w:highlight w:val="none"/>
              </w:rPr>
            </w:pPr>
            <w:r>
              <w:rPr>
                <w:rFonts w:hint="eastAsia" w:ascii="宋体" w:hAnsi="宋体" w:cs="宋体"/>
                <w:color w:val="auto"/>
                <w:kern w:val="0"/>
                <w:szCs w:val="21"/>
                <w:highlight w:val="none"/>
              </w:rPr>
              <w:t>优：有平面布置条件分析及布置思路、主要阶段平面布置、总平面管理，得</w:t>
            </w:r>
            <w:r>
              <w:rPr>
                <w:rFonts w:ascii="宋体" w:hAnsi="宋体" w:cs="宋体"/>
                <w:color w:val="auto"/>
                <w:kern w:val="0"/>
                <w:szCs w:val="21"/>
                <w:highlight w:val="none"/>
              </w:rPr>
              <w:t>8</w:t>
            </w:r>
            <w:r>
              <w:rPr>
                <w:rFonts w:hint="eastAsia" w:ascii="宋体" w:hAnsi="宋体" w:cs="宋体"/>
                <w:color w:val="auto"/>
                <w:kern w:val="0"/>
                <w:szCs w:val="21"/>
                <w:highlight w:val="none"/>
              </w:rPr>
              <w:t>分；</w:t>
            </w:r>
          </w:p>
          <w:p>
            <w:pPr>
              <w:tabs>
                <w:tab w:val="left" w:pos="360"/>
              </w:tabs>
              <w:adjustRightInd w:val="0"/>
              <w:snapToGrid w:val="0"/>
              <w:ind w:right="42" w:rightChars="20"/>
              <w:rPr>
                <w:rFonts w:ascii="宋体" w:hAnsi="宋体" w:cs="宋体"/>
                <w:color w:val="auto"/>
                <w:kern w:val="0"/>
                <w:szCs w:val="21"/>
                <w:highlight w:val="none"/>
              </w:rPr>
            </w:pPr>
            <w:r>
              <w:rPr>
                <w:rFonts w:hint="eastAsia" w:ascii="宋体" w:hAnsi="宋体" w:cs="宋体"/>
                <w:color w:val="auto"/>
                <w:kern w:val="0"/>
                <w:szCs w:val="21"/>
                <w:highlight w:val="none"/>
              </w:rPr>
              <w:t>良：有平面布置条件分析及布置思路、主要阶段平面布置，得</w:t>
            </w:r>
            <w:r>
              <w:rPr>
                <w:rFonts w:ascii="宋体" w:hAnsi="宋体" w:cs="宋体"/>
                <w:color w:val="auto"/>
                <w:kern w:val="0"/>
                <w:szCs w:val="21"/>
                <w:highlight w:val="none"/>
              </w:rPr>
              <w:t>5</w:t>
            </w:r>
            <w:r>
              <w:rPr>
                <w:rFonts w:hint="eastAsia" w:ascii="宋体" w:hAnsi="宋体" w:cs="宋体"/>
                <w:color w:val="auto"/>
                <w:kern w:val="0"/>
                <w:szCs w:val="21"/>
                <w:highlight w:val="none"/>
              </w:rPr>
              <w:t>分；</w:t>
            </w:r>
          </w:p>
          <w:p>
            <w:pPr>
              <w:tabs>
                <w:tab w:val="left" w:pos="360"/>
              </w:tabs>
              <w:adjustRightInd w:val="0"/>
              <w:snapToGrid w:val="0"/>
              <w:ind w:right="42" w:rightChars="20"/>
              <w:rPr>
                <w:rFonts w:ascii="宋体" w:hAnsi="宋体" w:cs="宋体"/>
                <w:color w:val="auto"/>
                <w:kern w:val="0"/>
                <w:szCs w:val="21"/>
                <w:highlight w:val="none"/>
              </w:rPr>
            </w:pPr>
            <w:r>
              <w:rPr>
                <w:rFonts w:hint="eastAsia" w:ascii="宋体" w:hAnsi="宋体" w:cs="宋体"/>
                <w:color w:val="auto"/>
                <w:kern w:val="0"/>
                <w:szCs w:val="21"/>
                <w:highlight w:val="none"/>
              </w:rPr>
              <w:t>中：仅有总平面管理，得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p>
          <w:p>
            <w:pPr>
              <w:pStyle w:val="113"/>
              <w:rPr>
                <w:rFonts w:ascii="宋体" w:hAnsi="宋体" w:eastAsia="宋体"/>
                <w:color w:val="auto"/>
                <w:sz w:val="21"/>
                <w:szCs w:val="21"/>
                <w:highlight w:val="none"/>
              </w:rPr>
            </w:pPr>
            <w:r>
              <w:rPr>
                <w:rFonts w:hint="eastAsia" w:ascii="宋体" w:hAnsi="宋体" w:eastAsia="宋体" w:cs="宋体"/>
                <w:color w:val="auto"/>
                <w:sz w:val="21"/>
                <w:szCs w:val="21"/>
                <w:highlight w:val="none"/>
              </w:rPr>
              <w:t>差：不满足前述要求者，得</w:t>
            </w:r>
            <w:r>
              <w:rPr>
                <w:rFonts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99" w:type="dxa"/>
            <w:vMerge w:val="continue"/>
            <w:tcBorders>
              <w:left w:val="single" w:color="auto" w:sz="4" w:space="0"/>
              <w:right w:val="single" w:color="auto" w:sz="4" w:space="0"/>
            </w:tcBorders>
            <w:vAlign w:val="center"/>
          </w:tcPr>
          <w:p>
            <w:pPr>
              <w:widowControl/>
              <w:jc w:val="left"/>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施工总进度计划</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12</w:t>
            </w:r>
          </w:p>
        </w:tc>
        <w:tc>
          <w:tcPr>
            <w:tcW w:w="10547" w:type="dxa"/>
            <w:vAlign w:val="center"/>
          </w:tcPr>
          <w:p>
            <w:pPr>
              <w:widowControl/>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优：有工期保障措施，工期进度计划比招标文件规定的时间提前</w:t>
            </w:r>
            <w:r>
              <w:rPr>
                <w:rFonts w:ascii="宋体" w:hAnsi="宋体" w:cs="宋体"/>
                <w:color w:val="auto"/>
                <w:szCs w:val="21"/>
                <w:highlight w:val="none"/>
              </w:rPr>
              <w:t>10天或以上，得</w:t>
            </w:r>
            <w:r>
              <w:rPr>
                <w:rFonts w:ascii="宋体" w:hAnsi="宋体" w:cs="宋体"/>
                <w:color w:val="auto"/>
                <w:kern w:val="0"/>
                <w:szCs w:val="21"/>
                <w:highlight w:val="none"/>
              </w:rPr>
              <w:t>12</w:t>
            </w:r>
            <w:r>
              <w:rPr>
                <w:rFonts w:hint="eastAsia" w:ascii="宋体" w:hAnsi="宋体" w:cs="宋体"/>
                <w:color w:val="auto"/>
                <w:kern w:val="0"/>
                <w:szCs w:val="21"/>
                <w:highlight w:val="none"/>
              </w:rPr>
              <w:t>分；</w:t>
            </w:r>
          </w:p>
          <w:p>
            <w:pPr>
              <w:widowControl/>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良：有工期保障措施，工期进度计划比招标文件规定的时间提前</w:t>
            </w:r>
            <w:r>
              <w:rPr>
                <w:rFonts w:ascii="宋体" w:hAnsi="宋体" w:cs="宋体"/>
                <w:color w:val="auto"/>
                <w:szCs w:val="21"/>
                <w:highlight w:val="none"/>
              </w:rPr>
              <w:t>5-9天，得</w:t>
            </w:r>
            <w:r>
              <w:rPr>
                <w:rFonts w:ascii="宋体" w:hAnsi="宋体" w:cs="宋体"/>
                <w:color w:val="auto"/>
                <w:kern w:val="0"/>
                <w:szCs w:val="21"/>
                <w:highlight w:val="none"/>
              </w:rPr>
              <w:t>6</w:t>
            </w:r>
            <w:r>
              <w:rPr>
                <w:rFonts w:hint="eastAsia" w:ascii="宋体" w:hAnsi="宋体" w:cs="宋体"/>
                <w:color w:val="auto"/>
                <w:kern w:val="0"/>
                <w:szCs w:val="21"/>
                <w:highlight w:val="none"/>
              </w:rPr>
              <w:t>分；</w:t>
            </w:r>
          </w:p>
          <w:p>
            <w:pPr>
              <w:widowControl/>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中：有工期保障措施，工期进度计划比招标文件规定的时间提前</w:t>
            </w:r>
            <w:r>
              <w:rPr>
                <w:rFonts w:ascii="宋体" w:hAnsi="宋体" w:cs="宋体"/>
                <w:color w:val="auto"/>
                <w:szCs w:val="21"/>
                <w:highlight w:val="none"/>
              </w:rPr>
              <w:t>1-4天，得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p>
          <w:p>
            <w:pPr>
              <w:pStyle w:val="113"/>
              <w:rPr>
                <w:rFonts w:ascii="宋体" w:hAnsi="宋体" w:eastAsia="宋体"/>
                <w:color w:val="auto"/>
                <w:sz w:val="21"/>
                <w:szCs w:val="21"/>
                <w:highlight w:val="none"/>
              </w:rPr>
            </w:pPr>
            <w:r>
              <w:rPr>
                <w:rFonts w:hint="eastAsia" w:ascii="宋体" w:hAnsi="宋体" w:eastAsia="宋体" w:cs="宋体"/>
                <w:color w:val="auto"/>
                <w:sz w:val="21"/>
                <w:szCs w:val="21"/>
                <w:highlight w:val="none"/>
              </w:rPr>
              <w:t>差：不满足前述要求者，得</w:t>
            </w:r>
            <w:r>
              <w:rPr>
                <w:rFonts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399" w:type="dxa"/>
            <w:vMerge w:val="continue"/>
            <w:tcBorders>
              <w:left w:val="single" w:color="auto" w:sz="4" w:space="0"/>
              <w:right w:val="single" w:color="auto" w:sz="4" w:space="0"/>
            </w:tcBorders>
            <w:vAlign w:val="center"/>
          </w:tcPr>
          <w:p>
            <w:pPr>
              <w:widowControl/>
              <w:jc w:val="left"/>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施工质量管理措施</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11</w:t>
            </w:r>
          </w:p>
        </w:tc>
        <w:tc>
          <w:tcPr>
            <w:tcW w:w="10547"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优：满足招标文件要求，有质量管理目标、质量管理体系、质量保证措施，得</w:t>
            </w:r>
            <w:r>
              <w:rPr>
                <w:rFonts w:ascii="宋体" w:hAnsi="宋体" w:cs="宋体"/>
                <w:color w:val="auto"/>
                <w:kern w:val="0"/>
                <w:szCs w:val="21"/>
                <w:highlight w:val="none"/>
              </w:rPr>
              <w:t>11</w:t>
            </w:r>
            <w:r>
              <w:rPr>
                <w:rFonts w:hint="eastAsia" w:ascii="宋体" w:hAnsi="宋体" w:cs="宋体"/>
                <w:color w:val="auto"/>
                <w:kern w:val="0"/>
                <w:szCs w:val="21"/>
                <w:highlight w:val="none"/>
              </w:rPr>
              <w:t>分；</w:t>
            </w:r>
          </w:p>
          <w:p>
            <w:pPr>
              <w:snapToGrid w:val="0"/>
              <w:rPr>
                <w:rFonts w:ascii="宋体" w:hAnsi="宋体" w:cs="宋体"/>
                <w:color w:val="auto"/>
                <w:szCs w:val="21"/>
                <w:highlight w:val="none"/>
              </w:rPr>
            </w:pPr>
            <w:r>
              <w:rPr>
                <w:rFonts w:hint="eastAsia" w:ascii="宋体" w:hAnsi="宋体" w:cs="宋体"/>
                <w:color w:val="auto"/>
                <w:szCs w:val="21"/>
                <w:highlight w:val="none"/>
              </w:rPr>
              <w:t>良：满足招标文件要求，有质量管理目标，有质量管理体系或质量保证措施，得</w:t>
            </w:r>
            <w:r>
              <w:rPr>
                <w:rFonts w:ascii="宋体" w:hAnsi="宋体" w:cs="宋体"/>
                <w:color w:val="auto"/>
                <w:kern w:val="0"/>
                <w:szCs w:val="21"/>
                <w:highlight w:val="none"/>
              </w:rPr>
              <w:t>5</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snapToGrid w:val="0"/>
              <w:rPr>
                <w:rFonts w:ascii="宋体" w:hAnsi="宋体" w:cs="宋体"/>
                <w:color w:val="auto"/>
                <w:szCs w:val="21"/>
                <w:highlight w:val="none"/>
              </w:rPr>
            </w:pPr>
            <w:r>
              <w:rPr>
                <w:rFonts w:hint="eastAsia" w:ascii="宋体" w:hAnsi="宋体" w:cs="宋体"/>
                <w:color w:val="auto"/>
                <w:szCs w:val="21"/>
                <w:highlight w:val="none"/>
              </w:rPr>
              <w:t>中：满足招标文件要求，仅有质量管理目标，得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p>
          <w:p>
            <w:pPr>
              <w:rPr>
                <w:rFonts w:ascii="宋体" w:hAnsi="宋体"/>
                <w:color w:val="auto"/>
                <w:szCs w:val="21"/>
                <w:highlight w:val="none"/>
              </w:rPr>
            </w:pPr>
            <w:r>
              <w:rPr>
                <w:rFonts w:hint="eastAsia" w:ascii="宋体" w:hAnsi="宋体" w:cs="宋体"/>
                <w:color w:val="auto"/>
                <w:szCs w:val="21"/>
                <w:highlight w:val="none"/>
              </w:rPr>
              <w:t>差：不满足前述要求者，得</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9" w:type="dxa"/>
            <w:vMerge w:val="continue"/>
            <w:tcBorders>
              <w:left w:val="single" w:color="auto" w:sz="4" w:space="0"/>
              <w:right w:val="single" w:color="auto" w:sz="4" w:space="0"/>
            </w:tcBorders>
            <w:vAlign w:val="center"/>
          </w:tcPr>
          <w:p>
            <w:pPr>
              <w:widowControl/>
              <w:jc w:val="left"/>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安全文明施工措施</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11</w:t>
            </w:r>
          </w:p>
        </w:tc>
        <w:tc>
          <w:tcPr>
            <w:tcW w:w="10547" w:type="dxa"/>
            <w:vAlign w:val="center"/>
          </w:tcPr>
          <w:p>
            <w:pPr>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优：满足招标文件要求，有安全文明施工目标、安全文明施工管理体系、安全文明施工保证措施，得</w:t>
            </w:r>
            <w:r>
              <w:rPr>
                <w:rFonts w:ascii="宋体" w:hAnsi="宋体" w:cs="宋体"/>
                <w:color w:val="auto"/>
                <w:kern w:val="0"/>
                <w:szCs w:val="21"/>
                <w:highlight w:val="none"/>
              </w:rPr>
              <w:t>11</w:t>
            </w:r>
            <w:r>
              <w:rPr>
                <w:rFonts w:hint="eastAsia" w:ascii="宋体" w:hAnsi="宋体" w:cs="宋体"/>
                <w:color w:val="auto"/>
                <w:kern w:val="0"/>
                <w:szCs w:val="21"/>
                <w:highlight w:val="none"/>
              </w:rPr>
              <w:t>分；</w:t>
            </w:r>
          </w:p>
          <w:p>
            <w:pPr>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良：满足招标文件要求，有安全文明施工目标，有安全文明施工管理体系或安全文明施工保证措施，得</w:t>
            </w:r>
            <w:r>
              <w:rPr>
                <w:rFonts w:ascii="宋体" w:hAnsi="宋体" w:cs="宋体"/>
                <w:color w:val="auto"/>
                <w:kern w:val="0"/>
                <w:szCs w:val="21"/>
                <w:highlight w:val="none"/>
              </w:rPr>
              <w:t>5</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中：满足招标文件要求，仅有安全文明施工目标，得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pStyle w:val="113"/>
              <w:rPr>
                <w:rFonts w:ascii="宋体" w:hAnsi="宋体" w:eastAsia="宋体"/>
                <w:color w:val="auto"/>
                <w:sz w:val="21"/>
                <w:szCs w:val="21"/>
                <w:highlight w:val="none"/>
              </w:rPr>
            </w:pPr>
            <w:r>
              <w:rPr>
                <w:rFonts w:hint="eastAsia" w:ascii="宋体" w:hAnsi="宋体" w:eastAsia="宋体" w:cs="宋体"/>
                <w:color w:val="auto"/>
                <w:sz w:val="21"/>
                <w:szCs w:val="21"/>
                <w:highlight w:val="none"/>
              </w:rPr>
              <w:t>差：不满足前述要求者，得</w:t>
            </w:r>
            <w:r>
              <w:rPr>
                <w:rFonts w:ascii="宋体" w:hAnsi="宋体" w:eastAsia="宋体" w:cs="宋体"/>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99" w:type="dxa"/>
            <w:vMerge w:val="continue"/>
            <w:tcBorders>
              <w:left w:val="single" w:color="auto" w:sz="4" w:space="0"/>
              <w:right w:val="single" w:color="auto" w:sz="4" w:space="0"/>
            </w:tcBorders>
            <w:vAlign w:val="center"/>
          </w:tcPr>
          <w:p>
            <w:pPr>
              <w:widowControl/>
              <w:jc w:val="left"/>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绿色施工措施</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11</w:t>
            </w:r>
          </w:p>
        </w:tc>
        <w:tc>
          <w:tcPr>
            <w:tcW w:w="10547" w:type="dxa"/>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优：满足招标文件要求，有绿色施工目标、绿色施工管理体系、绿色施工保证措施，得</w:t>
            </w:r>
            <w:r>
              <w:rPr>
                <w:rFonts w:ascii="宋体" w:hAnsi="宋体" w:cs="宋体"/>
                <w:color w:val="auto"/>
                <w:kern w:val="0"/>
                <w:szCs w:val="21"/>
                <w:highlight w:val="none"/>
              </w:rPr>
              <w:t>11</w:t>
            </w:r>
            <w:r>
              <w:rPr>
                <w:rFonts w:hint="eastAsia" w:ascii="宋体" w:hAnsi="宋体" w:cs="宋体"/>
                <w:color w:val="auto"/>
                <w:kern w:val="0"/>
                <w:szCs w:val="21"/>
                <w:highlight w:val="none"/>
              </w:rPr>
              <w:t>分；</w:t>
            </w:r>
          </w:p>
          <w:p>
            <w:pPr>
              <w:snapToGrid w:val="0"/>
              <w:rPr>
                <w:rFonts w:ascii="宋体" w:hAnsi="宋体" w:cs="宋体"/>
                <w:color w:val="auto"/>
                <w:szCs w:val="21"/>
                <w:highlight w:val="none"/>
              </w:rPr>
            </w:pPr>
            <w:r>
              <w:rPr>
                <w:rFonts w:hint="eastAsia" w:ascii="宋体" w:hAnsi="宋体" w:cs="宋体"/>
                <w:color w:val="auto"/>
                <w:szCs w:val="21"/>
                <w:highlight w:val="none"/>
              </w:rPr>
              <w:t>良：满足招标文件要求，有绿色施工目标，有绿色施工管理体系或绿色施工保证措施，得</w:t>
            </w:r>
            <w:r>
              <w:rPr>
                <w:rFonts w:ascii="宋体" w:hAnsi="宋体" w:cs="宋体"/>
                <w:color w:val="auto"/>
                <w:kern w:val="0"/>
                <w:szCs w:val="21"/>
                <w:highlight w:val="none"/>
              </w:rPr>
              <w:t>5</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snapToGrid w:val="0"/>
              <w:rPr>
                <w:rFonts w:ascii="宋体" w:hAnsi="宋体" w:cs="宋体"/>
                <w:color w:val="auto"/>
                <w:szCs w:val="21"/>
                <w:highlight w:val="none"/>
              </w:rPr>
            </w:pPr>
            <w:r>
              <w:rPr>
                <w:rFonts w:hint="eastAsia" w:ascii="宋体" w:hAnsi="宋体" w:cs="宋体"/>
                <w:color w:val="auto"/>
                <w:szCs w:val="21"/>
                <w:highlight w:val="none"/>
              </w:rPr>
              <w:t>中：满足招标文件要求，仅有绿色施工目标，得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rPr>
                <w:rFonts w:ascii="宋体" w:hAnsi="宋体"/>
                <w:color w:val="auto"/>
                <w:szCs w:val="21"/>
                <w:highlight w:val="none"/>
              </w:rPr>
            </w:pPr>
            <w:r>
              <w:rPr>
                <w:rFonts w:hint="eastAsia" w:ascii="宋体" w:hAnsi="宋体" w:cs="宋体"/>
                <w:color w:val="auto"/>
                <w:szCs w:val="21"/>
                <w:highlight w:val="none"/>
              </w:rPr>
              <w:t>差：不满足前述要求者，得</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99" w:type="dxa"/>
            <w:vMerge w:val="continue"/>
            <w:tcBorders>
              <w:left w:val="single" w:color="auto" w:sz="4" w:space="0"/>
              <w:right w:val="single" w:color="auto" w:sz="4" w:space="0"/>
            </w:tcBorders>
            <w:vAlign w:val="center"/>
          </w:tcPr>
          <w:p>
            <w:pPr>
              <w:widowControl/>
              <w:jc w:val="left"/>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劳动力投入</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olor w:val="auto"/>
                <w:szCs w:val="21"/>
                <w:highlight w:val="none"/>
              </w:rPr>
            </w:pPr>
            <w:r>
              <w:rPr>
                <w:rFonts w:ascii="宋体" w:hAnsi="宋体"/>
                <w:color w:val="auto"/>
                <w:szCs w:val="21"/>
                <w:highlight w:val="none"/>
              </w:rPr>
              <w:t>10</w:t>
            </w:r>
          </w:p>
        </w:tc>
        <w:tc>
          <w:tcPr>
            <w:tcW w:w="10547" w:type="dxa"/>
            <w:vAlign w:val="center"/>
          </w:tcPr>
          <w:p>
            <w:pPr>
              <w:widowControl/>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优：有劳动力投入保障措施，</w:t>
            </w:r>
            <w:r>
              <w:rPr>
                <w:rFonts w:ascii="宋体" w:hAnsi="宋体" w:cs="宋体"/>
                <w:color w:val="auto"/>
                <w:kern w:val="0"/>
                <w:szCs w:val="21"/>
                <w:highlight w:val="none"/>
                <w:lang w:val="zh-CN"/>
              </w:rPr>
              <w:t>施工高峰期拟投入的劳动人数量大于或等于</w:t>
            </w:r>
            <w:r>
              <w:rPr>
                <w:rFonts w:ascii="宋体" w:hAnsi="宋体" w:cs="宋体"/>
                <w:color w:val="auto"/>
                <w:szCs w:val="21"/>
                <w:highlight w:val="none"/>
                <w:u w:val="single"/>
              </w:rPr>
              <w:t>80</w:t>
            </w:r>
            <w:r>
              <w:rPr>
                <w:rFonts w:ascii="宋体" w:hAnsi="宋体" w:cs="宋体"/>
                <w:color w:val="auto"/>
                <w:kern w:val="0"/>
                <w:szCs w:val="21"/>
                <w:highlight w:val="none"/>
                <w:lang w:val="zh-CN"/>
              </w:rPr>
              <w:t>人</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得</w:t>
            </w:r>
            <w:r>
              <w:rPr>
                <w:rFonts w:ascii="宋体" w:hAnsi="宋体" w:cs="宋体"/>
                <w:color w:val="auto"/>
                <w:kern w:val="0"/>
                <w:szCs w:val="21"/>
                <w:highlight w:val="none"/>
              </w:rPr>
              <w:t>10</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widowControl/>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良：有劳动力投入保障措施，</w:t>
            </w:r>
            <w:r>
              <w:rPr>
                <w:rFonts w:ascii="宋体" w:hAnsi="宋体" w:cs="宋体"/>
                <w:color w:val="auto"/>
                <w:kern w:val="0"/>
                <w:szCs w:val="21"/>
                <w:highlight w:val="none"/>
                <w:lang w:val="zh-CN"/>
              </w:rPr>
              <w:t>施工高峰期拟投入的劳动人数量大于或等于</w:t>
            </w:r>
            <w:r>
              <w:rPr>
                <w:rFonts w:ascii="宋体" w:hAnsi="宋体" w:cs="宋体"/>
                <w:color w:val="auto"/>
                <w:szCs w:val="21"/>
                <w:highlight w:val="none"/>
                <w:u w:val="single"/>
              </w:rPr>
              <w:t>50</w:t>
            </w:r>
            <w:r>
              <w:rPr>
                <w:rFonts w:ascii="宋体" w:hAnsi="宋体" w:cs="宋体"/>
                <w:color w:val="auto"/>
                <w:kern w:val="0"/>
                <w:szCs w:val="21"/>
                <w:highlight w:val="none"/>
                <w:lang w:val="zh-CN"/>
              </w:rPr>
              <w:t>人</w:t>
            </w:r>
            <w:r>
              <w:rPr>
                <w:rFonts w:hint="eastAsia" w:ascii="宋体" w:hAnsi="宋体" w:cs="宋体"/>
                <w:color w:val="auto"/>
                <w:kern w:val="0"/>
                <w:szCs w:val="21"/>
                <w:highlight w:val="none"/>
                <w:lang w:val="zh-CN"/>
              </w:rPr>
              <w:t>且少于</w:t>
            </w:r>
            <w:r>
              <w:rPr>
                <w:rFonts w:ascii="宋体" w:hAnsi="宋体" w:cs="宋体"/>
                <w:color w:val="auto"/>
                <w:szCs w:val="21"/>
                <w:highlight w:val="none"/>
                <w:u w:val="single"/>
              </w:rPr>
              <w:t>80</w:t>
            </w:r>
            <w:r>
              <w:rPr>
                <w:rFonts w:hint="eastAsia" w:ascii="宋体" w:hAnsi="宋体" w:cs="宋体"/>
                <w:color w:val="auto"/>
                <w:kern w:val="0"/>
                <w:szCs w:val="21"/>
                <w:highlight w:val="none"/>
                <w:lang w:val="zh-CN"/>
              </w:rPr>
              <w:t>人，</w:t>
            </w:r>
            <w:r>
              <w:rPr>
                <w:rFonts w:hint="eastAsia" w:ascii="宋体" w:hAnsi="宋体" w:cs="宋体"/>
                <w:color w:val="auto"/>
                <w:szCs w:val="21"/>
                <w:highlight w:val="none"/>
              </w:rPr>
              <w:t>得</w:t>
            </w:r>
            <w:r>
              <w:rPr>
                <w:rFonts w:ascii="宋体" w:hAnsi="宋体" w:cs="宋体"/>
                <w:color w:val="auto"/>
                <w:kern w:val="0"/>
                <w:szCs w:val="21"/>
                <w:highlight w:val="none"/>
              </w:rPr>
              <w:t>5</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widowControl/>
              <w:adjustRightInd w:val="0"/>
              <w:snapToGrid w:val="0"/>
              <w:ind w:right="42" w:rightChars="20"/>
              <w:rPr>
                <w:rFonts w:ascii="宋体" w:hAnsi="宋体" w:cs="宋体"/>
                <w:color w:val="auto"/>
                <w:szCs w:val="21"/>
                <w:highlight w:val="none"/>
              </w:rPr>
            </w:pPr>
            <w:r>
              <w:rPr>
                <w:rFonts w:hint="eastAsia" w:ascii="宋体" w:hAnsi="宋体" w:cs="宋体"/>
                <w:color w:val="auto"/>
                <w:szCs w:val="21"/>
                <w:highlight w:val="none"/>
              </w:rPr>
              <w:t>中：有劳动力投入保障措施，</w:t>
            </w:r>
            <w:r>
              <w:rPr>
                <w:rFonts w:ascii="宋体" w:hAnsi="宋体" w:cs="宋体"/>
                <w:color w:val="auto"/>
                <w:kern w:val="0"/>
                <w:szCs w:val="21"/>
                <w:highlight w:val="none"/>
                <w:lang w:val="zh-CN"/>
              </w:rPr>
              <w:t>施工高峰期拟投入的劳动人数量大于或等于</w:t>
            </w:r>
            <w:r>
              <w:rPr>
                <w:rFonts w:ascii="宋体" w:hAnsi="宋体" w:cs="宋体"/>
                <w:color w:val="auto"/>
                <w:szCs w:val="21"/>
                <w:highlight w:val="none"/>
                <w:u w:val="single"/>
              </w:rPr>
              <w:t>30</w:t>
            </w:r>
            <w:r>
              <w:rPr>
                <w:rFonts w:ascii="宋体" w:hAnsi="宋体" w:cs="宋体"/>
                <w:color w:val="auto"/>
                <w:kern w:val="0"/>
                <w:szCs w:val="21"/>
                <w:highlight w:val="none"/>
                <w:lang w:val="zh-CN"/>
              </w:rPr>
              <w:t>人</w:t>
            </w:r>
            <w:r>
              <w:rPr>
                <w:rFonts w:hint="eastAsia" w:ascii="宋体" w:hAnsi="宋体" w:cs="宋体"/>
                <w:color w:val="auto"/>
                <w:kern w:val="0"/>
                <w:szCs w:val="21"/>
                <w:highlight w:val="none"/>
                <w:lang w:val="zh-CN"/>
              </w:rPr>
              <w:t>且少于</w:t>
            </w:r>
            <w:r>
              <w:rPr>
                <w:rFonts w:ascii="宋体" w:hAnsi="宋体" w:cs="宋体"/>
                <w:color w:val="auto"/>
                <w:szCs w:val="21"/>
                <w:highlight w:val="none"/>
                <w:u w:val="single"/>
              </w:rPr>
              <w:t>50</w:t>
            </w:r>
            <w:r>
              <w:rPr>
                <w:rFonts w:hint="eastAsia" w:ascii="宋体" w:hAnsi="宋体" w:cs="宋体"/>
                <w:color w:val="auto"/>
                <w:kern w:val="0"/>
                <w:szCs w:val="21"/>
                <w:highlight w:val="none"/>
                <w:lang w:val="zh-CN"/>
              </w:rPr>
              <w:t>人</w:t>
            </w:r>
            <w:r>
              <w:rPr>
                <w:rFonts w:hint="eastAsia" w:ascii="宋体" w:hAnsi="宋体" w:cs="宋体"/>
                <w:color w:val="auto"/>
                <w:szCs w:val="21"/>
                <w:highlight w:val="none"/>
              </w:rPr>
              <w:t>，得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r>
              <w:rPr>
                <w:rFonts w:hint="eastAsia" w:ascii="宋体" w:hAnsi="宋体" w:cs="宋体"/>
                <w:color w:val="auto"/>
                <w:szCs w:val="21"/>
                <w:highlight w:val="none"/>
              </w:rPr>
              <w:t>；</w:t>
            </w:r>
          </w:p>
          <w:p>
            <w:pPr>
              <w:snapToGrid w:val="0"/>
              <w:rPr>
                <w:rFonts w:ascii="宋体" w:hAnsi="宋体" w:cs="宋体"/>
                <w:color w:val="auto"/>
                <w:szCs w:val="21"/>
                <w:highlight w:val="none"/>
              </w:rPr>
            </w:pPr>
            <w:r>
              <w:rPr>
                <w:rFonts w:hint="eastAsia" w:ascii="宋体" w:hAnsi="宋体" w:cs="宋体"/>
                <w:color w:val="auto"/>
                <w:szCs w:val="21"/>
                <w:highlight w:val="none"/>
              </w:rPr>
              <w:t>差：不满足前述要求者，得</w:t>
            </w:r>
            <w:r>
              <w:rPr>
                <w:rFonts w:ascii="宋体" w:hAnsi="宋体" w:cs="宋体"/>
                <w:color w:val="auto"/>
                <w:szCs w:val="21"/>
                <w:highlight w:val="none"/>
              </w:rPr>
              <w:t>0</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99" w:type="dxa"/>
            <w:vMerge w:val="continue"/>
            <w:tcBorders>
              <w:left w:val="single" w:color="auto" w:sz="4" w:space="0"/>
              <w:right w:val="single" w:color="auto" w:sz="4" w:space="0"/>
            </w:tcBorders>
            <w:vAlign w:val="center"/>
          </w:tcPr>
          <w:p>
            <w:pPr>
              <w:widowControl/>
              <w:jc w:val="left"/>
              <w:rPr>
                <w:rFonts w:ascii="宋体" w:hAnsi="宋体"/>
                <w:color w:val="auto"/>
                <w:szCs w:val="21"/>
                <w:highlight w:val="none"/>
              </w:rPr>
            </w:pPr>
          </w:p>
        </w:tc>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42" w:leftChars="20" w:right="42" w:rightChars="20"/>
              <w:jc w:val="center"/>
              <w:rPr>
                <w:rFonts w:ascii="宋体" w:hAnsi="宋体" w:cs="宋体"/>
                <w:color w:val="auto"/>
                <w:szCs w:val="21"/>
                <w:highlight w:val="none"/>
              </w:rPr>
            </w:pPr>
            <w:r>
              <w:rPr>
                <w:rFonts w:hint="eastAsia" w:ascii="宋体" w:hAnsi="宋体" w:cs="宋体"/>
                <w:color w:val="auto"/>
                <w:szCs w:val="21"/>
                <w:highlight w:val="none"/>
              </w:rPr>
              <w:t>机电专业承包管理</w:t>
            </w:r>
          </w:p>
        </w:tc>
        <w:tc>
          <w:tcPr>
            <w:tcW w:w="68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8" w:lineRule="auto"/>
              <w:jc w:val="center"/>
              <w:rPr>
                <w:rFonts w:ascii="宋体" w:hAnsi="宋体" w:cs="宋体"/>
                <w:color w:val="auto"/>
                <w:szCs w:val="21"/>
                <w:highlight w:val="none"/>
              </w:rPr>
            </w:pPr>
            <w:r>
              <w:rPr>
                <w:rFonts w:ascii="宋体" w:hAnsi="宋体" w:cs="宋体"/>
                <w:color w:val="auto"/>
                <w:szCs w:val="21"/>
                <w:highlight w:val="none"/>
              </w:rPr>
              <w:t>7</w:t>
            </w:r>
          </w:p>
        </w:tc>
        <w:tc>
          <w:tcPr>
            <w:tcW w:w="10547" w:type="dxa"/>
            <w:vAlign w:val="center"/>
          </w:tcPr>
          <w:p>
            <w:pPr>
              <w:tabs>
                <w:tab w:val="left" w:pos="360"/>
              </w:tabs>
              <w:adjustRightInd w:val="0"/>
              <w:snapToGrid w:val="0"/>
              <w:ind w:right="42" w:rightChars="20"/>
              <w:rPr>
                <w:rFonts w:ascii="宋体" w:hAnsi="宋体" w:cs="宋体"/>
                <w:color w:val="auto"/>
                <w:kern w:val="0"/>
                <w:szCs w:val="21"/>
                <w:highlight w:val="none"/>
              </w:rPr>
            </w:pPr>
            <w:r>
              <w:rPr>
                <w:rFonts w:hint="eastAsia" w:ascii="宋体" w:hAnsi="宋体" w:cs="宋体"/>
                <w:color w:val="auto"/>
                <w:kern w:val="0"/>
                <w:szCs w:val="21"/>
                <w:highlight w:val="none"/>
              </w:rPr>
              <w:t>投标人有针对分包工程的：</w:t>
            </w:r>
          </w:p>
          <w:p>
            <w:pPr>
              <w:tabs>
                <w:tab w:val="left" w:pos="360"/>
              </w:tabs>
              <w:adjustRightInd w:val="0"/>
              <w:snapToGrid w:val="0"/>
              <w:ind w:right="42" w:rightChars="20"/>
              <w:rPr>
                <w:rFonts w:ascii="宋体" w:hAnsi="宋体" w:cs="宋体"/>
                <w:color w:val="auto"/>
                <w:kern w:val="0"/>
                <w:szCs w:val="21"/>
                <w:highlight w:val="none"/>
              </w:rPr>
            </w:pPr>
            <w:r>
              <w:rPr>
                <w:rFonts w:hint="eastAsia" w:ascii="宋体" w:hAnsi="宋体" w:cs="宋体"/>
                <w:color w:val="auto"/>
                <w:kern w:val="0"/>
                <w:szCs w:val="21"/>
                <w:highlight w:val="none"/>
              </w:rPr>
              <w:t>优：满足招标文件要求，有机电专业承包协调管理措施、进度管理措施、验收管理措施，得</w:t>
            </w:r>
            <w:r>
              <w:rPr>
                <w:rFonts w:ascii="宋体" w:hAnsi="宋体" w:cs="宋体"/>
                <w:color w:val="auto"/>
                <w:kern w:val="0"/>
                <w:szCs w:val="21"/>
                <w:highlight w:val="none"/>
              </w:rPr>
              <w:t>7</w:t>
            </w:r>
            <w:r>
              <w:rPr>
                <w:rFonts w:hint="eastAsia" w:ascii="宋体" w:hAnsi="宋体" w:cs="宋体"/>
                <w:color w:val="auto"/>
                <w:kern w:val="0"/>
                <w:szCs w:val="21"/>
                <w:highlight w:val="none"/>
              </w:rPr>
              <w:t>分；</w:t>
            </w:r>
          </w:p>
          <w:p>
            <w:pPr>
              <w:tabs>
                <w:tab w:val="left" w:pos="360"/>
              </w:tabs>
              <w:adjustRightInd w:val="0"/>
              <w:snapToGrid w:val="0"/>
              <w:ind w:right="42" w:rightChars="20"/>
              <w:rPr>
                <w:rFonts w:ascii="宋体" w:hAnsi="宋体" w:cs="宋体"/>
                <w:color w:val="auto"/>
                <w:kern w:val="0"/>
                <w:szCs w:val="21"/>
                <w:highlight w:val="none"/>
              </w:rPr>
            </w:pPr>
            <w:r>
              <w:rPr>
                <w:rFonts w:hint="eastAsia" w:ascii="宋体" w:hAnsi="宋体" w:cs="宋体"/>
                <w:color w:val="auto"/>
                <w:kern w:val="0"/>
                <w:szCs w:val="21"/>
                <w:highlight w:val="none"/>
              </w:rPr>
              <w:t>良：满足招标文件要求，有机电专业承包协调管理措施、进度管理措施或验收管理措施，得</w:t>
            </w:r>
            <w:r>
              <w:rPr>
                <w:rFonts w:ascii="宋体" w:hAnsi="宋体" w:cs="宋体"/>
                <w:color w:val="auto"/>
                <w:kern w:val="0"/>
                <w:szCs w:val="21"/>
                <w:highlight w:val="none"/>
              </w:rPr>
              <w:t>5</w:t>
            </w:r>
            <w:r>
              <w:rPr>
                <w:rFonts w:hint="eastAsia" w:ascii="宋体" w:hAnsi="宋体" w:cs="宋体"/>
                <w:color w:val="auto"/>
                <w:kern w:val="0"/>
                <w:szCs w:val="21"/>
                <w:highlight w:val="none"/>
              </w:rPr>
              <w:t>分；</w:t>
            </w:r>
          </w:p>
          <w:p>
            <w:pPr>
              <w:tabs>
                <w:tab w:val="left" w:pos="360"/>
              </w:tabs>
              <w:adjustRightInd w:val="0"/>
              <w:snapToGrid w:val="0"/>
              <w:ind w:right="42" w:rightChars="20"/>
              <w:rPr>
                <w:rFonts w:ascii="宋体" w:hAnsi="宋体" w:cs="宋体"/>
                <w:color w:val="auto"/>
                <w:kern w:val="0"/>
                <w:szCs w:val="21"/>
                <w:highlight w:val="none"/>
              </w:rPr>
            </w:pPr>
            <w:r>
              <w:rPr>
                <w:rFonts w:hint="eastAsia" w:ascii="宋体" w:hAnsi="宋体" w:cs="宋体"/>
                <w:color w:val="auto"/>
                <w:kern w:val="0"/>
                <w:szCs w:val="21"/>
                <w:highlight w:val="none"/>
              </w:rPr>
              <w:t>中：满足招标文件要求，仅有机电专业承包协调管理措施，得</w:t>
            </w:r>
            <w:r>
              <w:rPr>
                <w:rFonts w:ascii="宋体" w:hAnsi="宋体" w:cs="宋体"/>
                <w:color w:val="auto"/>
                <w:kern w:val="0"/>
                <w:szCs w:val="21"/>
                <w:highlight w:val="none"/>
              </w:rPr>
              <w:t>3</w:t>
            </w:r>
            <w:r>
              <w:rPr>
                <w:rFonts w:hint="eastAsia" w:ascii="宋体" w:hAnsi="宋体" w:cs="宋体"/>
                <w:color w:val="auto"/>
                <w:kern w:val="0"/>
                <w:szCs w:val="21"/>
                <w:highlight w:val="none"/>
              </w:rPr>
              <w:t>分；</w:t>
            </w:r>
          </w:p>
          <w:p>
            <w:pPr>
              <w:pStyle w:val="2"/>
              <w:rPr>
                <w:color w:val="auto"/>
                <w:highlight w:val="none"/>
              </w:rPr>
            </w:pPr>
            <w:r>
              <w:rPr>
                <w:rFonts w:hint="eastAsia" w:hAnsi="宋体" w:cs="宋体"/>
                <w:color w:val="auto"/>
                <w:kern w:val="0"/>
                <w:szCs w:val="21"/>
                <w:highlight w:val="none"/>
              </w:rPr>
              <w:t>差：不满足前述要求者，得</w:t>
            </w:r>
            <w:r>
              <w:rPr>
                <w:rFonts w:hAnsi="宋体" w:cs="宋体"/>
                <w:color w:val="auto"/>
                <w:kern w:val="0"/>
                <w:szCs w:val="21"/>
                <w:highlight w:val="none"/>
              </w:rPr>
              <w:t>0</w:t>
            </w:r>
            <w:r>
              <w:rPr>
                <w:rFonts w:hint="eastAsia"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9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合计</w:t>
            </w:r>
          </w:p>
        </w:tc>
        <w:tc>
          <w:tcPr>
            <w:tcW w:w="6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ascii="宋体" w:hAnsi="宋体"/>
                <w:color w:val="auto"/>
                <w:szCs w:val="21"/>
                <w:highlight w:val="none"/>
              </w:rPr>
              <w:t>100</w:t>
            </w:r>
          </w:p>
        </w:tc>
        <w:tc>
          <w:tcPr>
            <w:tcW w:w="1054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jc w:val="center"/>
        <w:rPr>
          <w:b/>
          <w:color w:val="auto"/>
          <w:sz w:val="36"/>
          <w:szCs w:val="36"/>
          <w:highlight w:val="none"/>
        </w:rPr>
      </w:pPr>
    </w:p>
    <w:p>
      <w:pPr>
        <w:widowControl/>
        <w:spacing w:line="380" w:lineRule="exact"/>
        <w:ind w:left="210" w:leftChars="100" w:firstLine="210" w:firstLineChars="100"/>
        <w:jc w:val="left"/>
        <w:rPr>
          <w:color w:val="auto"/>
          <w:highlight w:val="none"/>
        </w:rPr>
      </w:pPr>
      <w:r>
        <w:rPr>
          <w:rFonts w:hint="eastAsia" w:ascii="宋体" w:hAnsi="宋体"/>
          <w:color w:val="auto"/>
          <w:szCs w:val="21"/>
          <w:highlight w:val="none"/>
        </w:rPr>
        <w:t>注：</w:t>
      </w:r>
    </w:p>
    <w:p>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【类似工程业绩】</w:t>
      </w:r>
      <w:r>
        <w:rPr>
          <w:rFonts w:hint="eastAsia" w:ascii="宋体" w:hAnsi="宋体"/>
          <w:color w:val="auto"/>
          <w:szCs w:val="21"/>
          <w:highlight w:val="none"/>
        </w:rPr>
        <w:t>：</w:t>
      </w:r>
    </w:p>
    <w:p>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指2017年1月1日至今完成的质量合格且工程造价</w:t>
      </w:r>
      <w:r>
        <w:rPr>
          <w:rFonts w:hint="eastAsia" w:ascii="宋体" w:hAnsi="宋体"/>
          <w:color w:val="auto"/>
          <w:szCs w:val="21"/>
          <w:highlight w:val="none"/>
          <w:lang w:val="en-US" w:eastAsia="zh-CN"/>
        </w:rPr>
        <w:t>55</w:t>
      </w:r>
      <w:r>
        <w:rPr>
          <w:rFonts w:hint="eastAsia" w:ascii="宋体" w:hAnsi="宋体"/>
          <w:color w:val="auto"/>
          <w:szCs w:val="21"/>
          <w:highlight w:val="none"/>
        </w:rPr>
        <w:t>00万元(或以上)建筑机电安装工程业绩。</w:t>
      </w:r>
    </w:p>
    <w:p>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企业工程业绩取自广州市住建行业信用管理平台。投标人须提供类似工程业绩的项目名称及业绩在广州市住建行业信用管理平台中项目编号。不提供项目名称及项目编号的业绩不予评审。若投标人提供的项目名称与项目编号不一致：①项目名称和项目编号在库内分别对应不同业绩的，以项目名称对应的业绩为准②项目名称存在对应业绩的，项目编号在库内不存在对应业绩，以项目名称对应的业绩为准③项目名称在库内不存在对应业绩，项目编号存在对应业绩的，以项目编号对应的业绩为准。评标委员会对业绩的评审以投标截止时间在库内业绩上传件为依据。</w:t>
      </w:r>
    </w:p>
    <w:p>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分包合同可以为关联公司（含上级公司），且投标单位参与施工（需签署相关协议）的也予以认可）中约定的合同金额为准。用于本项目投标的类似业绩，在业绩库中“工程对应的企业资质”栏中须登记有与本项目要求相对应的资质（具体资质要求：建筑机电安装工程）。</w:t>
      </w:r>
    </w:p>
    <w:p>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（2）完成时间以子分部工程质量验收记录时间为准。验收记录至少具有建设单位、设计、施工和监理单位盖章（适用于施工专业承包项目和由总承包单位依法分包的专业工程）</w:t>
      </w:r>
    </w:p>
    <w:p>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（3）库内业绩上传件不符合上述要求的或登记的工程资质内容与施工合同等业绩证明资料不相符的，该项业绩不予认定。</w:t>
      </w:r>
    </w:p>
    <w:p>
      <w:pPr>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项目负责人和技术负责人</w:t>
      </w:r>
      <w:r>
        <w:rPr>
          <w:rFonts w:hint="eastAsia" w:ascii="宋体" w:hAnsi="宋体"/>
          <w:color w:val="auto"/>
          <w:szCs w:val="21"/>
          <w:highlight w:val="none"/>
        </w:rPr>
        <w:t>：</w:t>
      </w:r>
      <w:r>
        <w:rPr>
          <w:rFonts w:hint="default"/>
          <w:lang w:val="en-US" w:eastAsia="zh-CN"/>
        </w:rPr>
        <w:t>须提供相关证书扫描件，工作年限以毕业证发证时间开始计算</w:t>
      </w:r>
      <w:r>
        <w:rPr>
          <w:rFonts w:hint="eastAsia"/>
          <w:lang w:val="en-US" w:eastAsia="zh-CN"/>
        </w:rPr>
        <w:t>；</w:t>
      </w:r>
      <w:r>
        <w:rPr>
          <w:rFonts w:hint="eastAsia" w:ascii="宋体" w:hAnsi="宋体"/>
          <w:color w:val="auto"/>
          <w:szCs w:val="21"/>
          <w:highlight w:val="none"/>
        </w:rPr>
        <w:t>须提供投标截止前</w:t>
      </w:r>
      <w:r>
        <w:rPr>
          <w:rFonts w:hint="eastAsia" w:ascii="宋体" w:hAnsi="宋体"/>
          <w:color w:val="auto"/>
          <w:szCs w:val="21"/>
          <w:highlight w:val="none"/>
          <w:lang w:val="en-US" w:eastAsia="zh-CN"/>
        </w:rPr>
        <w:t>一</w:t>
      </w:r>
      <w:r>
        <w:rPr>
          <w:rFonts w:hint="eastAsia" w:ascii="宋体" w:hAnsi="宋体"/>
          <w:color w:val="auto"/>
          <w:szCs w:val="21"/>
          <w:highlight w:val="none"/>
        </w:rPr>
        <w:t>个月（不含当月）在本投标单位(不含投标人的子公司)参保的社保缴纳记录证明扫描件并加盖投标人企业电子印章（社保缴纳期限包含疫情期的，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spacing w:line="380" w:lineRule="exact"/>
        <w:ind w:firstLine="420" w:firstLineChars="200"/>
        <w:jc w:val="left"/>
        <w:rPr>
          <w:rFonts w:hint="default"/>
          <w:highlight w:val="none"/>
          <w:lang w:val="en-US" w:eastAsia="zh-CN"/>
        </w:rPr>
      </w:pPr>
      <w:r>
        <w:rPr>
          <w:rFonts w:hint="eastAsia" w:ascii="宋体" w:hAnsi="宋体"/>
          <w:color w:val="auto"/>
          <w:szCs w:val="21"/>
          <w:highlight w:val="none"/>
        </w:rPr>
        <w:t>3、</w:t>
      </w:r>
      <w:r>
        <w:rPr>
          <w:rFonts w:hint="eastAsia" w:ascii="宋体" w:hAnsi="宋体"/>
          <w:b/>
          <w:bCs/>
          <w:color w:val="auto"/>
          <w:szCs w:val="21"/>
          <w:highlight w:val="none"/>
          <w:lang w:val="en-US" w:eastAsia="zh-CN"/>
        </w:rPr>
        <w:t>工程获奖</w:t>
      </w:r>
      <w:r>
        <w:rPr>
          <w:rFonts w:hint="eastAsia" w:ascii="宋体" w:hAnsi="宋体"/>
          <w:color w:val="auto"/>
          <w:szCs w:val="21"/>
          <w:highlight w:val="none"/>
          <w:lang w:val="en-US" w:eastAsia="zh-CN"/>
        </w:rPr>
        <w:t>：</w:t>
      </w:r>
      <w:r>
        <w:rPr>
          <w:rFonts w:hint="eastAsia" w:ascii="宋体" w:hAnsi="宋体"/>
          <w:color w:val="auto"/>
          <w:szCs w:val="21"/>
          <w:highlight w:val="none"/>
        </w:rPr>
        <w:t>企业工程获奖业绩须提交获奖证书</w:t>
      </w:r>
      <w:r>
        <w:rPr>
          <w:rFonts w:hint="eastAsia" w:ascii="宋体" w:hAnsi="宋体" w:cs="Calibri"/>
          <w:color w:val="auto"/>
          <w:szCs w:val="21"/>
          <w:highlight w:val="none"/>
        </w:rPr>
        <w:t>清晰</w:t>
      </w:r>
      <w:r>
        <w:rPr>
          <w:rFonts w:hint="eastAsia" w:ascii="宋体" w:hAnsi="宋体"/>
          <w:color w:val="auto"/>
          <w:szCs w:val="21"/>
          <w:highlight w:val="none"/>
        </w:rPr>
        <w:t>扫描件，否则该项不予认定。①国家级工程质量奖项指的是</w:t>
      </w:r>
      <w:r>
        <w:rPr>
          <w:rFonts w:hint="eastAsia" w:ascii="宋体" w:hAnsi="宋体"/>
          <w:color w:val="auto"/>
          <w:szCs w:val="21"/>
          <w:highlight w:val="none"/>
          <w:lang w:val="en-US" w:eastAsia="zh-CN"/>
        </w:rPr>
        <w:t>中国建设工程鲁班奖</w:t>
      </w:r>
      <w:r>
        <w:rPr>
          <w:rFonts w:hint="eastAsia" w:ascii="宋体" w:hAnsi="宋体"/>
          <w:color w:val="auto"/>
          <w:szCs w:val="21"/>
          <w:highlight w:val="none"/>
        </w:rPr>
        <w:t>、国家优质工程金质奖、国家优质工程奖（银质奖）、中国土木工程詹天佑奖</w:t>
      </w:r>
      <w:r>
        <w:rPr>
          <w:rFonts w:hint="eastAsia" w:ascii="宋体" w:hAnsi="宋体"/>
          <w:color w:val="auto"/>
          <w:szCs w:val="21"/>
          <w:highlight w:val="none"/>
          <w:lang w:val="en-US" w:eastAsia="zh-CN"/>
        </w:rPr>
        <w:t>等</w:t>
      </w:r>
      <w:r>
        <w:rPr>
          <w:rFonts w:hint="eastAsia" w:ascii="宋体" w:hAnsi="宋体"/>
          <w:color w:val="auto"/>
          <w:szCs w:val="21"/>
          <w:highlight w:val="none"/>
        </w:rPr>
        <w:t>。省市级工程质量奖项是指由省市级建设行政主管部门或行业协会颁发（行业协会须在民政部门备案）的工程质量奖项，</w:t>
      </w:r>
      <w:r>
        <w:rPr>
          <w:rFonts w:hint="eastAsia" w:ascii="宋体" w:hAnsi="宋体"/>
          <w:color w:val="auto"/>
          <w:szCs w:val="21"/>
          <w:highlight w:val="none"/>
          <w:lang w:val="zh-TW"/>
        </w:rPr>
        <w:t>“参建”类奖项</w:t>
      </w:r>
      <w:r>
        <w:rPr>
          <w:rFonts w:hint="eastAsia" w:ascii="宋体" w:hAnsi="宋体"/>
          <w:color w:val="auto"/>
          <w:szCs w:val="21"/>
          <w:highlight w:val="none"/>
          <w:lang w:val="zh-TW" w:eastAsia="zh-CN"/>
        </w:rPr>
        <w:t>均可。②获奖时间以发证日期为准。③同一项目获得多个奖项的，该项目获奖只按最高级别计算一次分数，不得重复计算。不符合上述条件或未提供上述资料的不得分。</w:t>
      </w:r>
    </w:p>
    <w:p>
      <w:pPr>
        <w:spacing w:line="38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b/>
          <w:bCs/>
          <w:color w:val="auto"/>
          <w:szCs w:val="21"/>
          <w:highlight w:val="none"/>
        </w:rPr>
        <w:t>中国安装之星奖：</w:t>
      </w:r>
      <w:r>
        <w:rPr>
          <w:rFonts w:hint="eastAsia" w:ascii="宋体" w:hAnsi="宋体"/>
          <w:color w:val="auto"/>
          <w:szCs w:val="21"/>
          <w:highlight w:val="none"/>
        </w:rPr>
        <w:t>须提交中国安装协会颁发的中国安装之星获奖证书</w:t>
      </w:r>
      <w:r>
        <w:rPr>
          <w:rFonts w:hint="eastAsia" w:ascii="宋体" w:hAnsi="宋体" w:cs="Calibri"/>
          <w:color w:val="auto"/>
          <w:szCs w:val="21"/>
          <w:highlight w:val="none"/>
        </w:rPr>
        <w:t>清晰</w:t>
      </w:r>
      <w:r>
        <w:rPr>
          <w:rFonts w:hint="eastAsia" w:ascii="宋体" w:hAnsi="宋体"/>
          <w:color w:val="auto"/>
          <w:szCs w:val="21"/>
          <w:highlight w:val="none"/>
        </w:rPr>
        <w:t>扫描件，否则该项不予认定。被评价单位必须为投标单位，且关联公司（含上级公司、子公司、分公司、控股及管理关系）的评价结果不予认可。</w:t>
      </w:r>
    </w:p>
    <w:p>
      <w:pPr>
        <w:pStyle w:val="2"/>
        <w:rPr>
          <w:color w:val="auto"/>
          <w:highlight w:val="none"/>
        </w:rPr>
      </w:pPr>
    </w:p>
    <w:p>
      <w:pPr>
        <w:pStyle w:val="6"/>
        <w:ind w:firstLine="422" w:firstLineChars="201"/>
        <w:rPr>
          <w:rFonts w:ascii="宋体" w:hAnsi="宋体"/>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w:t>
      </w:r>
      <w:r>
        <w:rPr>
          <w:rFonts w:hint="eastAsia" w:ascii="宋体" w:hAnsi="宋体"/>
          <w:b/>
          <w:color w:val="auto"/>
          <w:szCs w:val="21"/>
          <w:highlight w:val="none"/>
        </w:rPr>
        <w:t>第三方评价：</w:t>
      </w:r>
      <w:r>
        <w:rPr>
          <w:rFonts w:hint="eastAsia" w:ascii="宋体" w:hAnsi="宋体"/>
          <w:color w:val="auto"/>
          <w:szCs w:val="21"/>
          <w:highlight w:val="none"/>
        </w:rPr>
        <w:t>纳税信用等级须在国家税务总局网站（http://hd.chinatax.gov.cn/nszx/InitCredit.html）“纳税信用A级纳税人名单公布栏”上可查询，投标人提供上述网站公示网页相关信息截图并加盖投标单位电子印章。被评价单位必须为投标单位，且关联公司（含上级公司、子公司、分公司、控股及管理关系）的评价结果不予认可。不符合条件或未提供查询结果网页截图的不得分。时间以获奖年度（评价年度）为准。</w:t>
      </w:r>
    </w:p>
    <w:p>
      <w:pPr>
        <w:spacing w:line="380" w:lineRule="exact"/>
        <w:ind w:firstLine="424" w:firstLineChars="202"/>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、本表按百分制评分，所有评委每个分项的分数汇总后，去掉一个最高分和一个最低分的算术平均值为投标人的最终得分。分数出现小数点，保留小数点后二位小数，第三位小数四舍五入。</w:t>
      </w:r>
    </w:p>
    <w:p>
      <w:pPr>
        <w:spacing w:line="360" w:lineRule="auto"/>
        <w:ind w:firstLine="459"/>
        <w:rPr>
          <w:rFonts w:ascii="宋体" w:hAnsi="宋体" w:cs="仿宋_GB2312"/>
          <w:color w:val="auto"/>
          <w:szCs w:val="21"/>
          <w:highlight w:val="none"/>
        </w:rPr>
      </w:pPr>
      <w:r>
        <w:rPr>
          <w:rFonts w:ascii="宋体" w:hAnsi="宋体"/>
          <w:color w:val="auto"/>
          <w:szCs w:val="21"/>
          <w:highlight w:val="none"/>
        </w:rPr>
        <w:t>7</w:t>
      </w:r>
      <w:r>
        <w:rPr>
          <w:rFonts w:hint="eastAsia" w:ascii="宋体" w:hAnsi="宋体"/>
          <w:color w:val="auto"/>
          <w:szCs w:val="21"/>
          <w:highlight w:val="none"/>
        </w:rPr>
        <w:t>、上述资料不提供或提供不完整或提供不符合要求的不得分。</w:t>
      </w:r>
    </w:p>
    <w:p>
      <w:pPr>
        <w:widowControl/>
        <w:jc w:val="left"/>
        <w:rPr>
          <w:color w:val="auto"/>
          <w:szCs w:val="21"/>
          <w:highlight w:val="none"/>
        </w:rPr>
      </w:pPr>
      <w:r>
        <w:rPr>
          <w:color w:val="auto"/>
          <w:szCs w:val="21"/>
          <w:highlight w:val="none"/>
        </w:rPr>
        <w:br w:type="page"/>
      </w:r>
    </w:p>
    <w:p>
      <w:pPr>
        <w:widowControl/>
        <w:jc w:val="left"/>
        <w:rPr>
          <w:color w:val="auto"/>
          <w:szCs w:val="21"/>
          <w:highlight w:val="none"/>
        </w:rPr>
      </w:pPr>
      <w:r>
        <w:rPr>
          <w:rFonts w:hint="eastAsia"/>
          <w:color w:val="auto"/>
          <w:szCs w:val="21"/>
          <w:highlight w:val="none"/>
        </w:rPr>
        <w:t>附表五（适用于加权平均法）</w:t>
      </w:r>
    </w:p>
    <w:p>
      <w:pPr>
        <w:jc w:val="center"/>
        <w:rPr>
          <w:b/>
          <w:color w:val="auto"/>
          <w:sz w:val="36"/>
          <w:szCs w:val="36"/>
          <w:highlight w:val="none"/>
        </w:rPr>
      </w:pPr>
      <w:r>
        <w:rPr>
          <w:rFonts w:hint="eastAsia"/>
          <w:b/>
          <w:color w:val="auto"/>
          <w:sz w:val="36"/>
          <w:szCs w:val="36"/>
          <w:highlight w:val="none"/>
        </w:rPr>
        <w:t>经济标评分表</w:t>
      </w:r>
    </w:p>
    <w:p>
      <w:pPr>
        <w:rPr>
          <w:color w:val="auto"/>
          <w:szCs w:val="21"/>
          <w:highlight w:val="none"/>
        </w:rPr>
      </w:pPr>
      <w:r>
        <w:rPr>
          <w:rFonts w:hint="eastAsia"/>
          <w:color w:val="auto"/>
          <w:szCs w:val="21"/>
          <w:highlight w:val="none"/>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w:t>
            </w:r>
            <w:r>
              <w:rPr>
                <w:rFonts w:ascii="宋体" w:hAnsi="宋体"/>
                <w:color w:val="auto"/>
                <w:szCs w:val="21"/>
                <w:highlight w:val="none"/>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r>
    </w:tbl>
    <w:p>
      <w:pPr>
        <w:rPr>
          <w:strike/>
          <w:color w:val="auto"/>
          <w:sz w:val="24"/>
          <w:szCs w:val="24"/>
          <w:highlight w:val="none"/>
        </w:rPr>
      </w:pPr>
      <w:r>
        <w:rPr>
          <w:rFonts w:hint="eastAsia"/>
          <w:color w:val="auto"/>
          <w:szCs w:val="21"/>
          <w:highlight w:val="none"/>
        </w:rPr>
        <w:t>评委签名：</w:t>
      </w:r>
      <w:r>
        <w:rPr>
          <w:b/>
          <w:color w:val="auto"/>
          <w:sz w:val="36"/>
          <w:szCs w:val="36"/>
          <w:highlight w:val="none"/>
        </w:rPr>
        <w:br w:type="page"/>
      </w:r>
      <w:r>
        <w:rPr>
          <w:rFonts w:hint="eastAsia"/>
          <w:strike/>
          <w:color w:val="auto"/>
          <w:szCs w:val="21"/>
          <w:highlight w:val="none"/>
        </w:rPr>
        <w:t>附表五（适用于区间抽取法）</w:t>
      </w:r>
    </w:p>
    <w:p>
      <w:pPr>
        <w:jc w:val="center"/>
        <w:rPr>
          <w:b/>
          <w:strike/>
          <w:color w:val="auto"/>
          <w:sz w:val="36"/>
          <w:szCs w:val="36"/>
          <w:highlight w:val="none"/>
        </w:rPr>
      </w:pPr>
      <w:r>
        <w:rPr>
          <w:rFonts w:hint="eastAsia"/>
          <w:b/>
          <w:strike/>
          <w:color w:val="auto"/>
          <w:sz w:val="36"/>
          <w:szCs w:val="36"/>
          <w:highlight w:val="none"/>
        </w:rPr>
        <w:t>经济标评分表</w:t>
      </w:r>
    </w:p>
    <w:p>
      <w:pPr>
        <w:rPr>
          <w:strike/>
          <w:color w:val="auto"/>
          <w:szCs w:val="21"/>
          <w:highlight w:val="none"/>
        </w:rPr>
      </w:pPr>
      <w:r>
        <w:rPr>
          <w:rFonts w:hint="eastAsia"/>
          <w:strike/>
          <w:color w:val="auto"/>
          <w:szCs w:val="21"/>
          <w:highlight w:val="none"/>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投标报价</w:t>
            </w:r>
            <w:r>
              <w:rPr>
                <w:rFonts w:ascii="宋体" w:hAnsi="宋体"/>
                <w:strike/>
                <w:color w:val="auto"/>
                <w:szCs w:val="21"/>
                <w:highlight w:val="none"/>
              </w:rPr>
              <w:t>PT</w:t>
            </w:r>
            <w:r>
              <w:rPr>
                <w:rFonts w:hint="eastAsia" w:ascii="宋体" w:hAnsi="宋体"/>
                <w:strike/>
                <w:color w:val="auto"/>
                <w:szCs w:val="21"/>
                <w:highlight w:val="none"/>
              </w:rPr>
              <w: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偏差（（</w:t>
            </w:r>
            <w:r>
              <w:rPr>
                <w:rFonts w:ascii="宋体" w:hAnsi="宋体"/>
                <w:strike/>
                <w:color w:val="auto"/>
                <w:szCs w:val="21"/>
                <w:highlight w:val="none"/>
              </w:rPr>
              <w:t>PT-PC</w:t>
            </w:r>
            <w:r>
              <w:rPr>
                <w:rFonts w:hint="eastAsia" w:ascii="宋体" w:hAnsi="宋体"/>
                <w:strike/>
                <w:color w:val="auto"/>
                <w:szCs w:val="21"/>
                <w:highlight w:val="none"/>
              </w:rPr>
              <w:t>）</w:t>
            </w:r>
            <w:r>
              <w:rPr>
                <w:rFonts w:ascii="宋体" w:hAnsi="宋体"/>
                <w:strike/>
                <w:color w:val="auto"/>
                <w:szCs w:val="21"/>
                <w:highlight w:val="none"/>
              </w:rPr>
              <w:t>/PC</w:t>
            </w:r>
            <w:r>
              <w:rPr>
                <w:rFonts w:hint="eastAsia" w:ascii="宋体" w:hAnsi="宋体"/>
                <w:strike/>
                <w:color w:val="auto"/>
                <w:szCs w:val="21"/>
                <w:highlight w:val="none"/>
              </w:rPr>
              <w:t>）（</w:t>
            </w:r>
            <w:r>
              <w:rPr>
                <w:rFonts w:ascii="宋体" w:hAnsi="宋体"/>
                <w:strike/>
                <w:color w:val="auto"/>
                <w:szCs w:val="21"/>
                <w:highlight w:val="none"/>
              </w:rPr>
              <w:t>%</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减分（</w:t>
            </w:r>
            <w:r>
              <w:rPr>
                <w:rFonts w:ascii="宋体" w:hAnsi="宋体"/>
                <w:strike/>
                <w:color w:val="auto"/>
                <w:szCs w:val="21"/>
                <w:highlight w:val="none"/>
              </w:rPr>
              <w:t>A</w:t>
            </w:r>
            <w:r>
              <w:rPr>
                <w:rFonts w:hint="eastAsia" w:ascii="宋体" w:hAnsi="宋体"/>
                <w:strike/>
                <w:color w:val="auto"/>
                <w:szCs w:val="21"/>
                <w:highlight w:val="none"/>
              </w:rPr>
              <w:t>）</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w:t>
            </w:r>
            <w:r>
              <w:rPr>
                <w:rFonts w:ascii="宋体" w:hAnsi="宋体"/>
                <w:strike/>
                <w:color w:val="auto"/>
                <w:szCs w:val="21"/>
                <w:highlight w:val="none"/>
              </w:rPr>
              <w:t>(I=100-A)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r>
              <w:rPr>
                <w:rFonts w:hint="eastAsia" w:ascii="宋体" w:hAnsi="宋体"/>
                <w:strike/>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ascii="宋体" w:hAnsi="宋体"/>
                <w:strike/>
                <w:color w:val="auto"/>
                <w:szCs w:val="21"/>
                <w:highlight w:val="none"/>
              </w:rPr>
            </w:pPr>
          </w:p>
        </w:tc>
      </w:tr>
    </w:tbl>
    <w:p>
      <w:pPr>
        <w:rPr>
          <w:strike/>
          <w:color w:val="auto"/>
          <w:szCs w:val="21"/>
          <w:highlight w:val="none"/>
        </w:rPr>
      </w:pPr>
      <w:r>
        <w:rPr>
          <w:rFonts w:hint="eastAsia"/>
          <w:strike/>
          <w:color w:val="auto"/>
          <w:szCs w:val="21"/>
          <w:highlight w:val="none"/>
        </w:rPr>
        <w:t>评委签名：</w:t>
      </w:r>
    </w:p>
    <w:p>
      <w:pPr>
        <w:rPr>
          <w:strike/>
          <w:color w:val="auto"/>
          <w:szCs w:val="21"/>
          <w:highlight w:val="none"/>
        </w:rPr>
      </w:pPr>
    </w:p>
    <w:p>
      <w:pPr>
        <w:rPr>
          <w:strike/>
          <w:color w:val="auto"/>
          <w:szCs w:val="21"/>
          <w:highlight w:val="none"/>
        </w:rPr>
      </w:pPr>
    </w:p>
    <w:p>
      <w:pPr>
        <w:rPr>
          <w:strike/>
          <w:color w:val="auto"/>
          <w:szCs w:val="21"/>
          <w:highlight w:val="none"/>
        </w:rPr>
      </w:pPr>
    </w:p>
    <w:p>
      <w:pPr>
        <w:rPr>
          <w:strike/>
          <w:color w:val="auto"/>
          <w:szCs w:val="21"/>
          <w:highlight w:val="none"/>
        </w:rPr>
      </w:pPr>
    </w:p>
    <w:p>
      <w:pPr>
        <w:rPr>
          <w:b/>
          <w:color w:val="auto"/>
          <w:szCs w:val="21"/>
          <w:highlight w:val="none"/>
        </w:rPr>
      </w:pPr>
      <w:r>
        <w:rPr>
          <w:rFonts w:hint="eastAsia"/>
          <w:color w:val="auto"/>
          <w:szCs w:val="21"/>
          <w:highlight w:val="none"/>
        </w:rPr>
        <w:t>附表六</w:t>
      </w:r>
    </w:p>
    <w:p>
      <w:pPr>
        <w:jc w:val="center"/>
        <w:rPr>
          <w:b/>
          <w:color w:val="auto"/>
          <w:sz w:val="36"/>
          <w:szCs w:val="36"/>
          <w:highlight w:val="none"/>
        </w:rPr>
      </w:pPr>
      <w:r>
        <w:rPr>
          <w:rFonts w:hint="eastAsia"/>
          <w:b/>
          <w:color w:val="auto"/>
          <w:sz w:val="36"/>
          <w:szCs w:val="36"/>
          <w:highlight w:val="none"/>
        </w:rPr>
        <w:t>算术复核表</w:t>
      </w:r>
    </w:p>
    <w:p>
      <w:pPr>
        <w:rPr>
          <w:rFonts w:ascii="宋体" w:hAnsi="宋体"/>
          <w:color w:val="auto"/>
          <w:kern w:val="0"/>
          <w:szCs w:val="21"/>
          <w:highlight w:val="none"/>
        </w:rPr>
      </w:pPr>
      <w:r>
        <w:rPr>
          <w:rFonts w:hint="eastAsia"/>
          <w:color w:val="auto"/>
          <w:kern w:val="0"/>
          <w:szCs w:val="21"/>
          <w:highlight w:val="none"/>
        </w:rPr>
        <w:t>工程名称：</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33"/>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修正前投标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修正后投标</w:t>
            </w:r>
          </w:p>
          <w:p>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pPr>
        <w:rPr>
          <w:color w:val="auto"/>
          <w:highlight w:val="none"/>
        </w:rPr>
      </w:pPr>
    </w:p>
    <w:p>
      <w:pPr>
        <w:rPr>
          <w:color w:val="auto"/>
          <w:highlight w:val="none"/>
        </w:rPr>
      </w:pPr>
      <w:r>
        <w:rPr>
          <w:color w:val="auto"/>
          <w:highlight w:val="none"/>
        </w:rPr>
        <w:br w:type="page"/>
      </w:r>
    </w:p>
    <w:p>
      <w:pPr>
        <w:jc w:val="center"/>
        <w:rPr>
          <w:b/>
          <w:color w:val="auto"/>
          <w:sz w:val="36"/>
          <w:szCs w:val="36"/>
          <w:highlight w:val="none"/>
        </w:rPr>
      </w:pPr>
      <w:r>
        <w:rPr>
          <w:rFonts w:hint="eastAsia"/>
          <w:b/>
          <w:color w:val="auto"/>
          <w:sz w:val="36"/>
          <w:szCs w:val="36"/>
          <w:highlight w:val="none"/>
        </w:rPr>
        <w:t>算术复核表</w:t>
      </w:r>
    </w:p>
    <w:p>
      <w:pPr>
        <w:rPr>
          <w:color w:val="auto"/>
          <w:szCs w:val="21"/>
          <w:highlight w:val="none"/>
        </w:rPr>
      </w:pPr>
      <w:r>
        <w:rPr>
          <w:rFonts w:hint="eastAsia"/>
          <w:color w:val="auto"/>
          <w:szCs w:val="21"/>
          <w:highlight w:val="none"/>
        </w:rPr>
        <w:t>工程名称：</w:t>
      </w:r>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tcPr>
          <w:p>
            <w:pP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color w:val="auto"/>
                <w:sz w:val="36"/>
                <w:szCs w:val="36"/>
                <w:highlight w:val="none"/>
              </w:rPr>
            </w:pPr>
          </w:p>
        </w:tc>
      </w:tr>
    </w:tbl>
    <w:p>
      <w:pPr>
        <w:rPr>
          <w:color w:val="auto"/>
          <w:szCs w:val="21"/>
          <w:highlight w:val="none"/>
        </w:rPr>
      </w:pPr>
      <w:r>
        <w:rPr>
          <w:rFonts w:hint="eastAsia"/>
          <w:color w:val="auto"/>
          <w:szCs w:val="21"/>
          <w:highlight w:val="none"/>
        </w:rPr>
        <w:t>评委签名：</w:t>
      </w:r>
    </w:p>
    <w:p>
      <w:pPr>
        <w:spacing w:line="360" w:lineRule="auto"/>
        <w:jc w:val="center"/>
        <w:rPr>
          <w:rFonts w:ascii="仿宋_GB2312" w:hAnsi="宋体" w:eastAsia="仿宋_GB2312"/>
          <w:color w:val="auto"/>
          <w:szCs w:val="21"/>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134" w:right="1247" w:bottom="1134" w:left="1134" w:header="851" w:footer="907" w:gutter="0"/>
          <w:cols w:space="0" w:num="1"/>
          <w:titlePg/>
          <w:docGrid w:type="linesAndChars" w:linePitch="312" w:charSpace="0"/>
        </w:sectPr>
      </w:pPr>
    </w:p>
    <w:p>
      <w:pPr>
        <w:pStyle w:val="3"/>
        <w:rPr>
          <w:color w:val="auto"/>
          <w:highlight w:val="none"/>
        </w:rPr>
      </w:pPr>
      <w:bookmarkStart w:id="31" w:name="_Toc2272566"/>
      <w:bookmarkStart w:id="32" w:name="_Toc101453742"/>
      <w:r>
        <w:rPr>
          <w:rFonts w:hint="eastAsia"/>
          <w:color w:val="auto"/>
          <w:highlight w:val="none"/>
        </w:rPr>
        <w:t>第三章合同条款</w:t>
      </w:r>
      <w:bookmarkEnd w:id="31"/>
      <w:bookmarkEnd w:id="32"/>
    </w:p>
    <w:p>
      <w:pPr>
        <w:rPr>
          <w:rFonts w:ascii="宋体"/>
          <w:b/>
          <w:color w:val="auto"/>
          <w:sz w:val="24"/>
          <w:szCs w:val="24"/>
          <w:highlight w:val="none"/>
        </w:rPr>
      </w:pPr>
      <w:r>
        <w:rPr>
          <w:rFonts w:hint="eastAsia"/>
          <w:color w:val="auto"/>
          <w:sz w:val="24"/>
          <w:szCs w:val="24"/>
          <w:highlight w:val="none"/>
        </w:rPr>
        <w:t>注：</w:t>
      </w:r>
      <w:r>
        <w:rPr>
          <w:rFonts w:hint="eastAsia" w:ascii="宋体" w:hAnsi="宋体"/>
          <w:color w:val="auto"/>
          <w:sz w:val="24"/>
          <w:szCs w:val="24"/>
          <w:highlight w:val="none"/>
        </w:rPr>
        <w:t>另册。</w:t>
      </w:r>
    </w:p>
    <w:p>
      <w:pPr>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5"/>
        <w:spacing w:line="360" w:lineRule="auto"/>
        <w:rPr>
          <w:color w:val="auto"/>
          <w:sz w:val="24"/>
          <w:szCs w:val="24"/>
          <w:highlight w:val="none"/>
        </w:rPr>
      </w:pPr>
    </w:p>
    <w:p>
      <w:pPr>
        <w:pStyle w:val="2"/>
        <w:spacing w:line="360" w:lineRule="auto"/>
        <w:rPr>
          <w:color w:val="auto"/>
          <w:sz w:val="24"/>
          <w:szCs w:val="24"/>
          <w:highlight w:val="none"/>
        </w:rPr>
      </w:pPr>
    </w:p>
    <w:p>
      <w:pPr>
        <w:pStyle w:val="2"/>
        <w:spacing w:line="360" w:lineRule="auto"/>
        <w:rPr>
          <w:color w:val="auto"/>
          <w:sz w:val="24"/>
          <w:szCs w:val="24"/>
          <w:highlight w:val="none"/>
        </w:rPr>
      </w:pPr>
      <w:r>
        <w:rPr>
          <w:color w:val="auto"/>
          <w:sz w:val="24"/>
          <w:szCs w:val="24"/>
          <w:highlight w:val="none"/>
        </w:rPr>
        <w:br w:type="page"/>
      </w:r>
    </w:p>
    <w:p>
      <w:pPr>
        <w:pStyle w:val="3"/>
        <w:rPr>
          <w:color w:val="auto"/>
          <w:highlight w:val="none"/>
        </w:rPr>
      </w:pPr>
      <w:bookmarkStart w:id="33" w:name="_Toc101453743"/>
      <w:bookmarkStart w:id="34" w:name="_Toc2272567"/>
      <w:r>
        <w:rPr>
          <w:rFonts w:hint="eastAsia"/>
          <w:color w:val="auto"/>
          <w:highlight w:val="none"/>
        </w:rPr>
        <w:t>第四章投标文件格式</w:t>
      </w:r>
      <w:bookmarkEnd w:id="33"/>
      <w:bookmarkEnd w:id="34"/>
    </w:p>
    <w:p>
      <w:pPr>
        <w:pStyle w:val="7"/>
        <w:ind w:left="0"/>
        <w:rPr>
          <w:color w:val="auto"/>
          <w:highlight w:val="none"/>
        </w:rPr>
      </w:pPr>
      <w:bookmarkStart w:id="35" w:name="_Toc61541785"/>
      <w:bookmarkStart w:id="36" w:name="_Toc101453744"/>
      <w:r>
        <w:rPr>
          <w:color w:val="auto"/>
          <w:highlight w:val="none"/>
        </w:rPr>
        <w:t>一、投标文件</w:t>
      </w:r>
      <w:r>
        <w:rPr>
          <w:rFonts w:hint="eastAsia"/>
          <w:color w:val="auto"/>
          <w:highlight w:val="none"/>
        </w:rPr>
        <w:t>技术标部分</w:t>
      </w:r>
      <w:r>
        <w:rPr>
          <w:color w:val="auto"/>
          <w:highlight w:val="none"/>
        </w:rPr>
        <w:t>格式</w:t>
      </w:r>
      <w:bookmarkEnd w:id="35"/>
      <w:bookmarkEnd w:id="36"/>
    </w:p>
    <w:p>
      <w:pPr>
        <w:pStyle w:val="9"/>
        <w:rPr>
          <w:color w:val="auto"/>
          <w:highlight w:val="none"/>
        </w:rPr>
      </w:pPr>
      <w:bookmarkStart w:id="37" w:name="_Toc61541786"/>
      <w:bookmarkStart w:id="38" w:name="_Toc60070621"/>
      <w:bookmarkStart w:id="39" w:name="_Toc101453745"/>
      <w:r>
        <w:rPr>
          <w:rFonts w:hint="eastAsia"/>
          <w:color w:val="auto"/>
          <w:highlight w:val="none"/>
        </w:rPr>
        <w:t>格式一：</w:t>
      </w:r>
      <w:bookmarkEnd w:id="37"/>
      <w:bookmarkEnd w:id="38"/>
      <w:bookmarkEnd w:id="39"/>
    </w:p>
    <w:p>
      <w:pPr>
        <w:jc w:val="center"/>
        <w:rPr>
          <w:rFonts w:ascii="宋体" w:hAnsi="宋体" w:cs="宋体"/>
          <w:b/>
          <w:color w:val="auto"/>
          <w:sz w:val="36"/>
          <w:szCs w:val="36"/>
          <w:highlight w:val="none"/>
        </w:rPr>
      </w:pPr>
      <w:bookmarkStart w:id="40" w:name="_Toc58838587"/>
      <w:r>
        <w:rPr>
          <w:rFonts w:hint="eastAsia" w:ascii="宋体" w:hAnsi="宋体" w:cs="宋体"/>
          <w:b/>
          <w:color w:val="auto"/>
          <w:sz w:val="36"/>
          <w:szCs w:val="36"/>
          <w:highlight w:val="none"/>
        </w:rPr>
        <w:t>广州建设工程施工招标投标书（技术标）</w:t>
      </w:r>
      <w:bookmarkEnd w:id="40"/>
    </w:p>
    <w:tbl>
      <w:tblPr>
        <w:tblStyle w:val="3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bl>
    <w:p>
      <w:pPr>
        <w:autoSpaceDE w:val="0"/>
        <w:autoSpaceDN w:val="0"/>
        <w:adjustRightInd w:val="0"/>
        <w:spacing w:line="360" w:lineRule="auto"/>
        <w:rPr>
          <w:rFonts w:ascii="宋体" w:hAnsi="宋体" w:cs="宋体"/>
          <w:color w:val="auto"/>
          <w:sz w:val="24"/>
          <w:szCs w:val="24"/>
          <w:highlight w:val="none"/>
        </w:rPr>
      </w:pPr>
      <w:r>
        <w:rPr>
          <w:rFonts w:ascii="宋体" w:hAnsi="宋体"/>
          <w:b/>
          <w:color w:val="auto"/>
          <w:highlight w:val="none"/>
        </w:rPr>
        <w:br w:type="page"/>
      </w:r>
    </w:p>
    <w:p>
      <w:pPr>
        <w:pStyle w:val="9"/>
        <w:rPr>
          <w:color w:val="auto"/>
          <w:highlight w:val="none"/>
        </w:rPr>
      </w:pPr>
      <w:bookmarkStart w:id="41" w:name="_Toc61541787"/>
      <w:bookmarkStart w:id="42" w:name="_Toc60070622"/>
      <w:bookmarkStart w:id="43" w:name="_Toc101453746"/>
      <w:r>
        <w:rPr>
          <w:rFonts w:hint="eastAsia"/>
          <w:color w:val="auto"/>
          <w:highlight w:val="none"/>
        </w:rPr>
        <w:t>格式二：</w:t>
      </w:r>
      <w:bookmarkEnd w:id="41"/>
      <w:bookmarkEnd w:id="42"/>
      <w:bookmarkEnd w:id="43"/>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投标函</w:t>
      </w:r>
    </w:p>
    <w:p>
      <w:pPr>
        <w:topLinePunct/>
        <w:adjustRightInd w:val="0"/>
        <w:snapToGrid w:val="0"/>
        <w:spacing w:line="288" w:lineRule="auto"/>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hint="eastAsia" w:ascii="宋体" w:hAnsi="宋体" w:cs="宋体"/>
          <w:snapToGrid w:val="0"/>
          <w:color w:val="auto"/>
          <w:spacing w:val="4"/>
          <w:kern w:val="0"/>
          <w:sz w:val="24"/>
          <w:szCs w:val="24"/>
          <w:highlight w:val="none"/>
          <w:u w:val="single"/>
        </w:rPr>
        <w:t xml:space="preserve"> （招标人名称） </w:t>
      </w:r>
    </w:p>
    <w:p>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1.根据已收到贵方的项目编号为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项目的招标文件，并已详细审核了全部招标文件及有关附件。</w:t>
      </w:r>
    </w:p>
    <w:p>
      <w:pPr>
        <w:snapToGrid w:val="0"/>
        <w:spacing w:line="288" w:lineRule="auto"/>
        <w:ind w:firstLine="523" w:firstLineChars="218"/>
        <w:rPr>
          <w:rFonts w:ascii="宋体" w:hAnsi="宋体" w:cs="宋体"/>
          <w:color w:val="auto"/>
          <w:sz w:val="24"/>
          <w:szCs w:val="24"/>
          <w:highlight w:val="none"/>
        </w:rPr>
      </w:pPr>
      <w:r>
        <w:rPr>
          <w:rFonts w:hint="eastAsia"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pPr>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4.我方理解贵方将不受必须接受你们所收到的最低标价或其它任何投标文件的约束。</w:t>
      </w:r>
    </w:p>
    <w:p>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5.如果我方中标，我方保证按招标文件中规定的工期，在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日历天内完成并移交本工程，质量标准达到招标文件中的要求。</w:t>
      </w:r>
    </w:p>
    <w:p>
      <w:pPr>
        <w:spacing w:line="288"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6.如果我方中标，我方将按照规定递交由招标人认可，并在招标文件中规定金额的履约保函。</w:t>
      </w:r>
    </w:p>
    <w:p>
      <w:pPr>
        <w:spacing w:line="288"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7.除非另外达成协议并生效，贵方的中标通知书和本投标文件将成为约束双方的合同文件的组成部分。</w:t>
      </w:r>
    </w:p>
    <w:p>
      <w:pPr>
        <w:spacing w:line="288"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topLinePunct/>
        <w:adjustRightInd w:val="0"/>
        <w:snapToGrid w:val="0"/>
        <w:spacing w:line="288"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288" w:lineRule="auto"/>
        <w:ind w:firstLine="691" w:firstLineChars="279"/>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spacing w:line="288" w:lineRule="auto"/>
        <w:ind w:firstLine="691" w:firstLineChars="279"/>
        <w:jc w:val="left"/>
        <w:rPr>
          <w:rFonts w:ascii="宋体" w:hAnsi="宋体" w:cs="宋体"/>
          <w:color w:val="auto"/>
          <w:sz w:val="24"/>
          <w:szCs w:val="20"/>
          <w:highlight w:val="none"/>
        </w:rPr>
      </w:pPr>
      <w:r>
        <w:rPr>
          <w:rFonts w:hint="eastAsia" w:ascii="宋体" w:hAnsi="宋体" w:cs="宋体"/>
          <w:snapToGrid w:val="0"/>
          <w:color w:val="auto"/>
          <w:spacing w:val="4"/>
          <w:kern w:val="0"/>
          <w:sz w:val="24"/>
          <w:szCs w:val="24"/>
          <w:highlight w:val="none"/>
        </w:rPr>
        <w:t>日    期：    年    月    日</w:t>
      </w:r>
    </w:p>
    <w:p>
      <w:pPr>
        <w:autoSpaceDN w:val="0"/>
        <w:jc w:val="center"/>
        <w:rPr>
          <w:rFonts w:ascii="宋体" w:hAnsi="宋体" w:cs="宋体"/>
          <w:color w:val="auto"/>
          <w:szCs w:val="20"/>
          <w:highlight w:val="none"/>
        </w:rPr>
      </w:pPr>
      <w:r>
        <w:rPr>
          <w:rFonts w:hint="eastAsia" w:ascii="宋体" w:hAnsi="宋体" w:cs="宋体"/>
          <w:color w:val="auto"/>
          <w:szCs w:val="20"/>
          <w:highlight w:val="none"/>
        </w:rPr>
        <w:br w:type="page"/>
      </w:r>
    </w:p>
    <w:p>
      <w:pPr>
        <w:pStyle w:val="9"/>
        <w:rPr>
          <w:snapToGrid w:val="0"/>
          <w:color w:val="auto"/>
          <w:spacing w:val="4"/>
          <w:highlight w:val="none"/>
        </w:rPr>
      </w:pPr>
      <w:bookmarkStart w:id="44" w:name="_Toc60070623"/>
      <w:bookmarkStart w:id="45" w:name="_Toc101453747"/>
      <w:bookmarkStart w:id="46" w:name="_Toc61541788"/>
      <w:r>
        <w:rPr>
          <w:rFonts w:hint="eastAsia"/>
          <w:color w:val="auto"/>
          <w:highlight w:val="none"/>
        </w:rPr>
        <w:t>格式三：</w:t>
      </w:r>
      <w:bookmarkEnd w:id="44"/>
      <w:bookmarkEnd w:id="45"/>
      <w:bookmarkEnd w:id="46"/>
    </w:p>
    <w:p>
      <w:pPr>
        <w:jc w:val="center"/>
        <w:rPr>
          <w:rFonts w:ascii="宋体" w:hAnsi="宋体"/>
          <w:b/>
          <w:color w:val="auto"/>
          <w:sz w:val="36"/>
          <w:szCs w:val="36"/>
          <w:highlight w:val="none"/>
        </w:rPr>
      </w:pPr>
      <w:r>
        <w:rPr>
          <w:rFonts w:hint="eastAsia" w:ascii="宋体" w:hAnsi="宋体"/>
          <w:b/>
          <w:color w:val="auto"/>
          <w:sz w:val="36"/>
          <w:szCs w:val="36"/>
          <w:highlight w:val="none"/>
        </w:rPr>
        <w:t>标函承诺书</w:t>
      </w:r>
    </w:p>
    <w:p>
      <w:pPr>
        <w:pStyle w:val="115"/>
        <w:adjustRightInd w:val="0"/>
        <w:snapToGrid w:val="0"/>
        <w:spacing w:after="0" w:line="360" w:lineRule="auto"/>
        <w:ind w:left="339" w:leftChars="101" w:hanging="127" w:hangingChars="53"/>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致：（招标人名称）</w:t>
      </w:r>
    </w:p>
    <w:p>
      <w:pPr>
        <w:pStyle w:val="115"/>
        <w:adjustRightInd w:val="0"/>
        <w:snapToGrid w:val="0"/>
        <w:spacing w:after="0" w:line="360" w:lineRule="auto"/>
        <w:ind w:left="359" w:leftChars="171"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如果在本招标工程中我司中标，我司将积极响应贵单位提出的合同条件及招标文件的要求，并做出如下承诺：</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1、若我公司中标，我公司承诺按时交纳履约保证金。</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2、在本工程施工期间，拟投入的人力不少于下表中的人数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pStyle w:val="87"/>
              <w:spacing w:line="240" w:lineRule="auto"/>
              <w:ind w:firstLine="420" w:firstLineChars="200"/>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工种</w:t>
            </w: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r>
              <w:rPr>
                <w:rFonts w:hint="eastAsia" w:ascii="宋体" w:hAnsi="宋体" w:cs="宋体"/>
                <w:color w:val="auto"/>
                <w:szCs w:val="21"/>
                <w:highlight w:val="none"/>
                <w:u w:val="single"/>
              </w:rPr>
              <w:t>施工低峰期数量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left="-422" w:leftChars="-201"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360"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szCs w:val="21"/>
                <w:highlight w:val="none"/>
                <w:u w:val="single"/>
              </w:rPr>
            </w:pPr>
          </w:p>
        </w:tc>
        <w:tc>
          <w:tcPr>
            <w:tcW w:w="3783" w:type="dxa"/>
            <w:tcBorders>
              <w:top w:val="single" w:color="auto" w:sz="4" w:space="0"/>
              <w:left w:val="single" w:color="auto" w:sz="4" w:space="0"/>
              <w:bottom w:val="single" w:color="auto" w:sz="4" w:space="0"/>
              <w:right w:val="single" w:color="auto" w:sz="4" w:space="0"/>
            </w:tcBorders>
            <w:vAlign w:val="center"/>
          </w:tcPr>
          <w:p>
            <w:pPr>
              <w:ind w:firstLine="420" w:firstLineChars="200"/>
              <w:jc w:val="center"/>
              <w:rPr>
                <w:rFonts w:ascii="宋体" w:hAnsi="宋体" w:cs="宋体"/>
                <w:color w:val="auto"/>
                <w:kern w:val="0"/>
                <w:szCs w:val="21"/>
                <w:highlight w:val="none"/>
                <w:u w:val="single"/>
              </w:rPr>
            </w:pPr>
          </w:p>
        </w:tc>
      </w:tr>
    </w:tbl>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3、在工程施工期间，拟投入的主要机械设备按按投标文件所附的《拟投入本工程施工的主要机械设备配备表》。</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所选用的主要材料品牌符合《粤港澳大湾区（广州）科技金融中心项目二期空调工程施工品牌推荐表》品牌或选用相当于该档次（或以上）的产品。实施期间，所有材料品牌选择均须报发包人、监理工程师确认，如有意见不一致，发包人要求更换同档次品牌材料的，我司将更换，如果不能够按照此要求实施，我司自愿接受贵司的制裁措施。。</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5、拟投入到本工程的主要技术人员、经济和管理人员按按投标文件所附的《施工项目管理团队人员信息表》。</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6、我公司保证拟派项目负责人应符合《广州市住房和城乡建设局关于加强建筑工程项目负责人管理的通知》（穗建规字【2020】32号）文，将严格按照招标文件要求，自签订合同之日起至工程竣工验收将常驻现场，严格按照有关工程项目管理的要求进行项目管理，如果不能够按照此要求实施，我方自愿接受贵司的制裁措施。</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7、本工程施工过程中，我司将严格按照国家、省、市有关施工及验收规范、标准进行施工，确保本工程质量达到     等级。</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8、在确保工程质量的前提下，我司严格控制工程工期，确保工程在</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天内完成。</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9、严格按照国家、省、市有关安全生产、文明施工要求，积极制定安全生产、文明施工措施，并严格执行，确保施工中符合安全生产、文明施工要求。</w:t>
      </w:r>
    </w:p>
    <w:p>
      <w:pPr>
        <w:pStyle w:val="115"/>
        <w:adjustRightInd w:val="0"/>
        <w:snapToGrid w:val="0"/>
        <w:spacing w:after="0" w:line="360" w:lineRule="auto"/>
        <w:ind w:firstLine="480" w:firstLineChars="2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10、按照发包人、监理工程师的要求及时为专业工程（电信、电力管线、电力走廊、煤气、道路绿化、路灯、交通设施等）提供工作面，并为专业工程穿插施工所需各项配合工作给予方便。</w:t>
      </w:r>
    </w:p>
    <w:p>
      <w:pPr>
        <w:adjustRightInd w:val="0"/>
        <w:snapToGrid w:val="0"/>
        <w:spacing w:line="360" w:lineRule="auto"/>
        <w:ind w:left="420" w:leftChars="200"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5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ascii="宋体" w:hAnsi="宋体" w:cs="宋体"/>
                <w:color w:val="auto"/>
                <w:szCs w:val="21"/>
                <w:highlight w:val="none"/>
                <w:u w:val="single"/>
              </w:rPr>
              <w:t>必须分包的专业工程内容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ind w:left="-105" w:leftChars="-50" w:firstLine="90" w:firstLineChars="43"/>
              <w:jc w:val="center"/>
              <w:rPr>
                <w:rFonts w:ascii="宋体" w:hAnsi="宋体" w:cs="宋体"/>
                <w:color w:val="auto"/>
                <w:szCs w:val="21"/>
                <w:highlight w:val="none"/>
                <w:u w:val="single"/>
              </w:rPr>
            </w:pPr>
            <w:r>
              <w:rPr>
                <w:rFonts w:hint="eastAsia" w:ascii="宋体" w:hAnsi="宋体" w:cs="宋体"/>
                <w:color w:val="auto"/>
                <w:szCs w:val="21"/>
                <w:highlight w:val="none"/>
                <w:u w:val="single"/>
              </w:rPr>
              <w:t>序号</w:t>
            </w:r>
          </w:p>
        </w:tc>
        <w:tc>
          <w:tcPr>
            <w:tcW w:w="75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u w:val="single"/>
              </w:rPr>
            </w:pPr>
            <w:r>
              <w:rPr>
                <w:rFonts w:hint="eastAsia" w:ascii="宋体" w:hAnsi="宋体" w:cs="宋体"/>
                <w:color w:val="auto"/>
                <w:szCs w:val="21"/>
                <w:highlight w:val="none"/>
                <w:u w:val="single"/>
              </w:rPr>
              <w:t>工程内容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p>
        </w:tc>
        <w:tc>
          <w:tcPr>
            <w:tcW w:w="75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u w:val="single"/>
              </w:rPr>
            </w:pPr>
          </w:p>
        </w:tc>
      </w:tr>
    </w:tbl>
    <w:p>
      <w:pPr>
        <w:pStyle w:val="114"/>
        <w:adjustRightInd w:val="0"/>
        <w:snapToGrid w:val="0"/>
        <w:spacing w:line="360" w:lineRule="auto"/>
        <w:ind w:firstLine="480" w:firstLineChars="200"/>
        <w:rPr>
          <w:rFonts w:ascii="宋体" w:hAnsi="宋体"/>
          <w:snapToGrid/>
          <w:color w:val="auto"/>
          <w:kern w:val="2"/>
          <w:sz w:val="24"/>
          <w:szCs w:val="24"/>
          <w:highlight w:val="none"/>
          <w:u w:val="single"/>
        </w:rPr>
      </w:pPr>
      <w:r>
        <w:rPr>
          <w:rFonts w:hint="eastAsia" w:ascii="宋体" w:hAnsi="宋体"/>
          <w:snapToGrid/>
          <w:color w:val="auto"/>
          <w:kern w:val="2"/>
          <w:sz w:val="24"/>
          <w:szCs w:val="24"/>
          <w:highlight w:val="none"/>
          <w:u w:val="single"/>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pPr>
        <w:pStyle w:val="114"/>
        <w:adjustRightInd w:val="0"/>
        <w:snapToGrid w:val="0"/>
        <w:spacing w:line="360" w:lineRule="auto"/>
        <w:ind w:firstLine="480" w:firstLineChars="200"/>
        <w:rPr>
          <w:rFonts w:ascii="宋体" w:hAnsi="宋体"/>
          <w:snapToGrid/>
          <w:color w:val="auto"/>
          <w:kern w:val="2"/>
          <w:sz w:val="24"/>
          <w:szCs w:val="24"/>
          <w:highlight w:val="none"/>
          <w:u w:val="single"/>
        </w:rPr>
      </w:pPr>
      <w:r>
        <w:rPr>
          <w:rFonts w:hint="eastAsia" w:ascii="宋体" w:hAnsi="宋体"/>
          <w:snapToGrid/>
          <w:color w:val="auto"/>
          <w:kern w:val="2"/>
          <w:sz w:val="24"/>
          <w:szCs w:val="24"/>
          <w:highlight w:val="none"/>
          <w:u w:val="single"/>
        </w:rPr>
        <w:t>13、我司保证在中标后，根据工程特点，编制本工程详细的施工组织设计和施工方案，并报监理和发包人审核批准，并严格按审批的意见和要求组织施工。</w:t>
      </w:r>
    </w:p>
    <w:p>
      <w:pPr>
        <w:pStyle w:val="114"/>
        <w:adjustRightInd w:val="0"/>
        <w:snapToGrid w:val="0"/>
        <w:spacing w:line="360" w:lineRule="auto"/>
        <w:ind w:firstLine="480" w:firstLineChars="200"/>
        <w:rPr>
          <w:rFonts w:ascii="宋体" w:hAnsi="宋体"/>
          <w:snapToGrid/>
          <w:color w:val="auto"/>
          <w:kern w:val="2"/>
          <w:sz w:val="24"/>
          <w:szCs w:val="24"/>
          <w:highlight w:val="none"/>
          <w:u w:val="single"/>
        </w:rPr>
      </w:pPr>
      <w:r>
        <w:rPr>
          <w:rFonts w:hint="eastAsia" w:ascii="宋体" w:hAnsi="宋体"/>
          <w:snapToGrid/>
          <w:color w:val="auto"/>
          <w:kern w:val="2"/>
          <w:sz w:val="24"/>
          <w:szCs w:val="24"/>
          <w:highlight w:val="none"/>
          <w:u w:val="single"/>
        </w:rPr>
        <w:t>14、我司承诺积极响应并接受招标文件中合同专用专款关于合同价款的调整办法。</w:t>
      </w:r>
    </w:p>
    <w:p>
      <w:pPr>
        <w:pStyle w:val="114"/>
        <w:adjustRightInd w:val="0"/>
        <w:snapToGrid w:val="0"/>
        <w:spacing w:line="360" w:lineRule="auto"/>
        <w:ind w:firstLine="480" w:firstLineChars="200"/>
        <w:rPr>
          <w:rFonts w:ascii="宋体" w:hAnsi="宋体"/>
          <w:color w:val="auto"/>
          <w:sz w:val="24"/>
          <w:szCs w:val="24"/>
          <w:highlight w:val="none"/>
          <w:u w:val="single"/>
        </w:rPr>
      </w:pPr>
      <w:r>
        <w:rPr>
          <w:rFonts w:hint="eastAsia" w:ascii="宋体" w:hAnsi="宋体"/>
          <w:snapToGrid/>
          <w:color w:val="auto"/>
          <w:kern w:val="2"/>
          <w:sz w:val="24"/>
          <w:szCs w:val="24"/>
          <w:highlight w:val="none"/>
          <w:u w:val="singl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[2008]1008号）、广州市住房和城乡建设委员会关于《广州市建设工程绿色施工围蔽指导图集(V2.0试行版 )》(穂建质〔2020〕1号)、《关于进一步落实我区市政建设项目施工围蔽提升工作的通知》（穗埔建[2019]123号）、穗开建知发[2018]14号、广州开发区建设和交通局《关于在全区建设项目推广使用封闭式外脚手架金属防护网的通知》（房建工程及桥梁工程要求使用）及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pPr>
        <w:adjustRightInd w:val="0"/>
        <w:snapToGrid w:val="0"/>
        <w:spacing w:line="360" w:lineRule="auto"/>
        <w:ind w:left="318"/>
        <w:rPr>
          <w:rFonts w:ascii="宋体" w:hAnsi="宋体" w:cs="宋体"/>
          <w:color w:val="auto"/>
          <w:sz w:val="24"/>
          <w:szCs w:val="24"/>
          <w:highlight w:val="none"/>
          <w:u w:val="single"/>
        </w:rPr>
      </w:pPr>
    </w:p>
    <w:p>
      <w:pPr>
        <w:adjustRightInd w:val="0"/>
        <w:snapToGrid w:val="0"/>
        <w:spacing w:line="360" w:lineRule="auto"/>
        <w:ind w:left="315"/>
        <w:rPr>
          <w:rFonts w:ascii="宋体" w:hAnsi="宋体" w:cs="宋体"/>
          <w:color w:val="auto"/>
          <w:sz w:val="24"/>
          <w:szCs w:val="24"/>
          <w:highlight w:val="none"/>
          <w:u w:val="single"/>
        </w:rPr>
      </w:pPr>
    </w:p>
    <w:p>
      <w:pPr>
        <w:pStyle w:val="115"/>
        <w:adjustRightInd w:val="0"/>
        <w:snapToGrid w:val="0"/>
        <w:spacing w:after="0" w:line="360" w:lineRule="auto"/>
        <w:ind w:firstLine="5040" w:firstLineChars="2100"/>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投标单位：（公章）</w:t>
      </w:r>
    </w:p>
    <w:p>
      <w:pPr>
        <w:pStyle w:val="115"/>
        <w:adjustRightInd w:val="0"/>
        <w:snapToGrid w:val="0"/>
        <w:spacing w:after="0" w:line="360" w:lineRule="auto"/>
        <w:jc w:val="righ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法人代表或其授权代理人：（签名或盖章）</w:t>
      </w:r>
    </w:p>
    <w:p>
      <w:pPr>
        <w:pStyle w:val="115"/>
        <w:adjustRightInd w:val="0"/>
        <w:snapToGrid w:val="0"/>
        <w:spacing w:after="0" w:line="360" w:lineRule="auto"/>
        <w:ind w:right="560" w:firstLine="5040" w:firstLineChars="21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年  月  日</w:t>
      </w:r>
    </w:p>
    <w:p>
      <w:pPr>
        <w:tabs>
          <w:tab w:val="left" w:pos="720"/>
        </w:tabs>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pPr>
        <w:pStyle w:val="9"/>
        <w:rPr>
          <w:color w:val="auto"/>
          <w:highlight w:val="none"/>
        </w:rPr>
      </w:pPr>
      <w:r>
        <w:rPr>
          <w:rFonts w:hint="eastAsia"/>
          <w:color w:val="auto"/>
          <w:highlight w:val="none"/>
        </w:rPr>
        <w:br w:type="page"/>
      </w:r>
      <w:bookmarkStart w:id="47" w:name="_Toc61541789"/>
      <w:bookmarkStart w:id="48" w:name="_Toc101453748"/>
      <w:bookmarkStart w:id="49" w:name="_Toc60070624"/>
      <w:r>
        <w:rPr>
          <w:rFonts w:hint="eastAsia"/>
          <w:color w:val="auto"/>
          <w:highlight w:val="none"/>
        </w:rPr>
        <w:t>格式四</w:t>
      </w:r>
      <w:r>
        <w:rPr>
          <w:rFonts w:hint="eastAsia"/>
          <w:snapToGrid w:val="0"/>
          <w:color w:val="auto"/>
          <w:spacing w:val="4"/>
          <w:highlight w:val="none"/>
        </w:rPr>
        <w:t>：</w:t>
      </w:r>
      <w:bookmarkEnd w:id="47"/>
      <w:bookmarkEnd w:id="48"/>
      <w:bookmarkEnd w:id="49"/>
    </w:p>
    <w:p>
      <w:pPr>
        <w:jc w:val="center"/>
        <w:rPr>
          <w:rFonts w:ascii="宋体" w:hAnsi="宋体"/>
          <w:b/>
          <w:color w:val="auto"/>
          <w:sz w:val="36"/>
          <w:szCs w:val="36"/>
          <w:highlight w:val="none"/>
        </w:rPr>
      </w:pPr>
      <w:r>
        <w:rPr>
          <w:rFonts w:hint="eastAsia" w:ascii="宋体" w:hAnsi="宋体"/>
          <w:b/>
          <w:color w:val="auto"/>
          <w:sz w:val="36"/>
          <w:szCs w:val="36"/>
          <w:highlight w:val="none"/>
        </w:rPr>
        <w:t>项目负责人驻场承诺书</w:t>
      </w:r>
    </w:p>
    <w:p>
      <w:pPr>
        <w:pStyle w:val="5"/>
        <w:spacing w:after="0" w:line="336" w:lineRule="auto"/>
        <w:ind w:left="-2" w:leftChars="-1" w:firstLineChars="175"/>
        <w:jc w:val="center"/>
        <w:rPr>
          <w:rFonts w:ascii="宋体" w:hAnsi="宋体" w:cs="宋体"/>
          <w:color w:val="auto"/>
          <w:sz w:val="24"/>
          <w:szCs w:val="24"/>
          <w:highlight w:val="none"/>
          <w:u w:val="single"/>
        </w:rPr>
      </w:pPr>
    </w:p>
    <w:p>
      <w:pPr>
        <w:spacing w:line="336" w:lineRule="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致（业主/监理）                                           ：</w:t>
      </w:r>
    </w:p>
    <w:p>
      <w:pPr>
        <w:spacing w:line="336" w:lineRule="auto"/>
        <w:ind w:firstLine="523" w:firstLineChars="218"/>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本人（姓名）              ，项目负责人证书注册编号：                       </w:t>
      </w:r>
    </w:p>
    <w:p>
      <w:pPr>
        <w:spacing w:line="336" w:lineRule="auto"/>
        <w:ind w:left="1"/>
        <w:jc w:val="left"/>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受（投标人）                                                              委派，拟在（项目名称）                                                   担任项目负责人一职。为加强本工程项目管理，保证我公司在中标后严格履行与业主签定的工程建设承包合同，圆满的完成本项工程，我愿就此做出以下承诺；</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2．如果本招标工程我公司中标，我本人保证在工程签订合同之日起至工程竣工验收完成期间只担任此工程的项目经理，不参加其他任何工程的报名和任何工作，不在其他任何工程担任本职务。</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住房和城乡建设局等有关部门并接受上述部门给予的通报和相关职能部门给予的扣证等处罚。</w:t>
      </w:r>
    </w:p>
    <w:p>
      <w:pPr>
        <w:spacing w:line="336"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4．项目负责人本人身份证复印件和相片：</w:t>
      </w:r>
    </w:p>
    <w:p>
      <w:pPr>
        <w:spacing w:line="336" w:lineRule="auto"/>
        <w:rPr>
          <w:rFonts w:ascii="宋体" w:hAnsi="宋体" w:cs="宋体"/>
          <w:color w:val="auto"/>
          <w:sz w:val="24"/>
          <w:szCs w:val="24"/>
          <w:highlight w:val="none"/>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6043"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身份证复印件</w:t>
            </w:r>
          </w:p>
        </w:tc>
        <w:tc>
          <w:tcPr>
            <w:tcW w:w="2492" w:type="dxa"/>
            <w:tcBorders>
              <w:top w:val="single" w:color="auto" w:sz="4" w:space="0"/>
              <w:left w:val="single" w:color="auto" w:sz="4" w:space="0"/>
              <w:bottom w:val="single" w:color="auto" w:sz="4" w:space="0"/>
              <w:right w:val="single" w:color="auto" w:sz="4" w:space="0"/>
            </w:tcBorders>
          </w:tcPr>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p>
          <w:p>
            <w:pPr>
              <w:spacing w:line="336" w:lineRule="auto"/>
              <w:jc w:val="center"/>
              <w:rPr>
                <w:rFonts w:ascii="宋体" w:hAnsi="宋体" w:cs="宋体"/>
                <w:color w:val="auto"/>
                <w:szCs w:val="21"/>
                <w:highlight w:val="none"/>
                <w:u w:val="single"/>
              </w:rPr>
            </w:pPr>
            <w:r>
              <w:rPr>
                <w:rFonts w:hint="eastAsia" w:ascii="宋体" w:hAnsi="宋体" w:cs="宋体"/>
                <w:color w:val="auto"/>
                <w:szCs w:val="21"/>
                <w:highlight w:val="none"/>
                <w:u w:val="single"/>
              </w:rPr>
              <w:t>相片</w:t>
            </w:r>
          </w:p>
        </w:tc>
      </w:tr>
    </w:tbl>
    <w:p>
      <w:pPr>
        <w:spacing w:line="336" w:lineRule="auto"/>
        <w:rPr>
          <w:rFonts w:ascii="宋体" w:hAnsi="宋体" w:cs="宋体"/>
          <w:color w:val="auto"/>
          <w:sz w:val="24"/>
          <w:szCs w:val="24"/>
          <w:highlight w:val="none"/>
          <w:u w:val="single"/>
        </w:rPr>
      </w:pPr>
    </w:p>
    <w:p>
      <w:pPr>
        <w:spacing w:line="336"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投标人：（盖章）</w:t>
      </w:r>
    </w:p>
    <w:p>
      <w:pPr>
        <w:spacing w:line="336" w:lineRule="auto"/>
        <w:ind w:firstLine="3840" w:firstLineChars="16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项目负责人签名：                 </w:t>
      </w:r>
    </w:p>
    <w:p>
      <w:pPr>
        <w:widowControl/>
        <w:tabs>
          <w:tab w:val="left" w:pos="720"/>
        </w:tabs>
        <w:snapToGrid w:val="0"/>
        <w:spacing w:line="336" w:lineRule="auto"/>
        <w:jc w:val="right"/>
        <w:rPr>
          <w:rFonts w:ascii="宋体" w:hAnsi="宋体" w:cs="宋体"/>
          <w:color w:val="auto"/>
          <w:kern w:val="0"/>
          <w:sz w:val="27"/>
          <w:szCs w:val="27"/>
          <w:highlight w:val="none"/>
        </w:rPr>
      </w:pPr>
      <w:r>
        <w:rPr>
          <w:rFonts w:hint="eastAsia" w:ascii="宋体" w:hAnsi="宋体" w:cs="宋体"/>
          <w:color w:val="auto"/>
          <w:sz w:val="24"/>
          <w:szCs w:val="24"/>
          <w:highlight w:val="none"/>
          <w:u w:val="single"/>
        </w:rPr>
        <w:t xml:space="preserve">     年   月    日</w:t>
      </w:r>
      <w:bookmarkStart w:id="50" w:name="_Toc61541790"/>
      <w:bookmarkStart w:id="51" w:name="_Toc60070625"/>
      <w:r>
        <w:rPr>
          <w:rFonts w:ascii="宋体" w:hAnsi="宋体"/>
          <w:color w:val="auto"/>
          <w:highlight w:val="none"/>
        </w:rPr>
        <w:br w:type="page"/>
      </w:r>
    </w:p>
    <w:p>
      <w:pPr>
        <w:pStyle w:val="9"/>
        <w:rPr>
          <w:color w:val="auto"/>
          <w:highlight w:val="none"/>
        </w:rPr>
      </w:pPr>
      <w:bookmarkStart w:id="52" w:name="_Toc101453749"/>
      <w:r>
        <w:rPr>
          <w:rFonts w:hint="eastAsia"/>
          <w:color w:val="auto"/>
          <w:highlight w:val="none"/>
        </w:rPr>
        <w:t>格式五：</w:t>
      </w:r>
      <w:bookmarkEnd w:id="50"/>
      <w:bookmarkEnd w:id="51"/>
      <w:bookmarkEnd w:id="52"/>
    </w:p>
    <w:p>
      <w:pPr>
        <w:pStyle w:val="116"/>
        <w:ind w:firstLine="523"/>
        <w:rPr>
          <w:rFonts w:eastAsia="宋体" w:cs="宋体"/>
          <w:color w:val="auto"/>
          <w:spacing w:val="0"/>
          <w:highlight w:val="none"/>
        </w:rPr>
      </w:pPr>
      <w:r>
        <w:rPr>
          <w:rFonts w:hint="eastAsia" w:eastAsia="宋体" w:cs="宋体"/>
          <w:color w:val="auto"/>
          <w:spacing w:val="0"/>
          <w:highlight w:val="none"/>
        </w:rPr>
        <w:t>施工项目管理团队人员信息表</w:t>
      </w:r>
    </w:p>
    <w:tbl>
      <w:tblPr>
        <w:tblStyle w:val="33"/>
        <w:tblW w:w="0" w:type="auto"/>
        <w:jc w:val="center"/>
        <w:tblLayout w:type="fixed"/>
        <w:tblCellMar>
          <w:top w:w="0" w:type="dxa"/>
          <w:left w:w="108" w:type="dxa"/>
          <w:bottom w:w="0" w:type="dxa"/>
          <w:right w:w="108" w:type="dxa"/>
        </w:tblCellMar>
      </w:tblPr>
      <w:tblGrid>
        <w:gridCol w:w="820"/>
        <w:gridCol w:w="1607"/>
        <w:gridCol w:w="1843"/>
        <w:gridCol w:w="1843"/>
        <w:gridCol w:w="2213"/>
      </w:tblGrid>
      <w:tr>
        <w:tblPrEx>
          <w:tblCellMar>
            <w:top w:w="0" w:type="dxa"/>
            <w:left w:w="108" w:type="dxa"/>
            <w:bottom w:w="0" w:type="dxa"/>
            <w:right w:w="108" w:type="dxa"/>
          </w:tblCellMar>
        </w:tblPrEx>
        <w:trPr>
          <w:trHeight w:val="975" w:hRule="atLeast"/>
          <w:jc w:val="center"/>
        </w:trPr>
        <w:tc>
          <w:tcPr>
            <w:tcW w:w="8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60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2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tblPrEx>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6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6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6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6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6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6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555" w:hRule="atLeast"/>
          <w:jc w:val="center"/>
        </w:trPr>
        <w:tc>
          <w:tcPr>
            <w:tcW w:w="8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7"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221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bl>
    <w:p>
      <w:pPr>
        <w:ind w:right="-474" w:rightChars="-226"/>
        <w:jc w:val="left"/>
        <w:rPr>
          <w:rFonts w:ascii="宋体" w:hAnsi="宋体" w:cs="宋体"/>
          <w:bCs/>
          <w:color w:val="auto"/>
          <w:szCs w:val="24"/>
          <w:highlight w:val="none"/>
        </w:rPr>
      </w:pPr>
      <w:r>
        <w:rPr>
          <w:rFonts w:hint="eastAsia" w:ascii="宋体" w:hAnsi="宋体" w:cs="宋体"/>
          <w:bCs/>
          <w:color w:val="auto"/>
          <w:szCs w:val="24"/>
          <w:highlight w:val="none"/>
        </w:rPr>
        <w:t>注：1、本表根据招标文件要求结合项目管理的实际需要和投标人的自身实际填写。</w:t>
      </w:r>
    </w:p>
    <w:p>
      <w:pPr>
        <w:numPr>
          <w:ilvl w:val="0"/>
          <w:numId w:val="3"/>
        </w:numPr>
        <w:ind w:right="42" w:rightChars="20" w:firstLine="420" w:firstLineChars="200"/>
        <w:jc w:val="left"/>
        <w:rPr>
          <w:rFonts w:ascii="宋体" w:hAnsi="宋体" w:cs="宋体"/>
          <w:bCs/>
          <w:color w:val="auto"/>
          <w:szCs w:val="24"/>
          <w:highlight w:val="none"/>
        </w:rPr>
      </w:pPr>
      <w:r>
        <w:rPr>
          <w:rFonts w:hint="eastAsia" w:ascii="宋体" w:hAnsi="宋体" w:cs="宋体"/>
          <w:bCs/>
          <w:color w:val="auto"/>
          <w:szCs w:val="24"/>
          <w:highlight w:val="none"/>
        </w:rPr>
        <w:t>本表后附需提供人员职称或执业资格证或培训合格证复印件，需提供如：项目负责人、技术负责人、安全负责人、质量负责人、造价负责人及专职安全员等相关证件。</w:t>
      </w:r>
    </w:p>
    <w:p>
      <w:pPr>
        <w:rPr>
          <w:rFonts w:ascii="宋体" w:hAnsi="宋体"/>
          <w:color w:val="auto"/>
          <w:highlight w:val="none"/>
        </w:rPr>
      </w:pPr>
      <w:bookmarkStart w:id="53" w:name="_Toc60070626"/>
      <w:bookmarkStart w:id="54" w:name="_Toc61541791"/>
    </w:p>
    <w:p>
      <w:pPr>
        <w:pStyle w:val="120"/>
        <w:ind w:firstLine="3596" w:firstLineChars="1450"/>
        <w:rPr>
          <w:rFonts w:ascii="宋体" w:hAnsi="宋体" w:eastAsia="宋体" w:cs="宋体"/>
          <w:color w:val="auto"/>
          <w:highlight w:val="none"/>
        </w:rPr>
      </w:pPr>
      <w:r>
        <w:rPr>
          <w:rFonts w:hint="eastAsia" w:ascii="宋体" w:hAnsi="宋体" w:eastAsia="宋体" w:cs="宋体"/>
          <w:color w:val="auto"/>
          <w:highlight w:val="none"/>
        </w:rPr>
        <w:t>投标人：　　（盖章）</w:t>
      </w:r>
    </w:p>
    <w:p>
      <w:pPr>
        <w:pStyle w:val="120"/>
        <w:ind w:firstLine="3596" w:firstLineChars="1450"/>
        <w:rPr>
          <w:rFonts w:ascii="宋体" w:hAnsi="宋体" w:eastAsia="宋体" w:cs="宋体"/>
          <w:color w:val="auto"/>
          <w:highlight w:val="none"/>
        </w:rPr>
      </w:pPr>
      <w:r>
        <w:rPr>
          <w:rFonts w:hint="eastAsia" w:ascii="宋体" w:hAnsi="宋体" w:eastAsia="宋体" w:cs="宋体"/>
          <w:color w:val="auto"/>
          <w:highlight w:val="none"/>
        </w:rPr>
        <w:t>法定代表人或授权代理人(签字或盖章)：</w:t>
      </w:r>
    </w:p>
    <w:p>
      <w:pPr>
        <w:pStyle w:val="2"/>
        <w:ind w:firstLine="3600" w:firstLineChars="1500"/>
        <w:rPr>
          <w:color w:val="auto"/>
          <w:highlight w:val="none"/>
        </w:rPr>
      </w:pPr>
      <w:r>
        <w:rPr>
          <w:rFonts w:hint="eastAsia" w:hAnsi="宋体" w:cs="宋体"/>
          <w:color w:val="auto"/>
          <w:sz w:val="24"/>
          <w:highlight w:val="none"/>
        </w:rPr>
        <w:t>日   期：    年    月    日</w:t>
      </w:r>
    </w:p>
    <w:p>
      <w:pPr>
        <w:widowControl/>
        <w:jc w:val="left"/>
        <w:rPr>
          <w:rFonts w:ascii="宋体" w:hAnsi="宋体"/>
          <w:color w:val="auto"/>
          <w:highlight w:val="none"/>
        </w:rPr>
      </w:pPr>
      <w:r>
        <w:rPr>
          <w:rFonts w:ascii="宋体" w:hAnsi="宋体"/>
          <w:color w:val="auto"/>
          <w:highlight w:val="none"/>
        </w:rPr>
        <w:br w:type="page"/>
      </w:r>
    </w:p>
    <w:p>
      <w:pPr>
        <w:pStyle w:val="116"/>
        <w:ind w:firstLine="523"/>
        <w:rPr>
          <w:rFonts w:cs="宋体"/>
          <w:b w:val="0"/>
          <w:color w:val="auto"/>
          <w:sz w:val="24"/>
          <w:szCs w:val="24"/>
          <w:highlight w:val="none"/>
        </w:rPr>
      </w:pPr>
      <w:r>
        <w:rPr>
          <w:rFonts w:hint="eastAsia" w:eastAsia="宋体" w:cs="宋体"/>
          <w:color w:val="auto"/>
          <w:spacing w:val="0"/>
          <w:highlight w:val="none"/>
        </w:rPr>
        <w:t>主要人员简历表</w:t>
      </w:r>
    </w:p>
    <w:p>
      <w:pPr>
        <w:pStyle w:val="120"/>
        <w:ind w:right="496" w:firstLine="3596" w:firstLineChars="1450"/>
        <w:rPr>
          <w:rFonts w:ascii="宋体" w:hAnsi="宋体" w:eastAsia="宋体" w:cs="宋体"/>
          <w:b/>
          <w:color w:val="auto"/>
          <w:highlight w:val="none"/>
        </w:rPr>
      </w:pPr>
    </w:p>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2"/>
        <w:gridCol w:w="1547"/>
        <w:gridCol w:w="557"/>
        <w:gridCol w:w="992"/>
        <w:gridCol w:w="378"/>
        <w:gridCol w:w="1405"/>
        <w:gridCol w:w="296"/>
        <w:gridCol w:w="1182"/>
        <w:gridCol w:w="6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性别</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年龄</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职务</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职称</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c>
          <w:tcPr>
            <w:tcW w:w="1182"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学历</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kern w:val="0"/>
                <w:sz w:val="24"/>
                <w:szCs w:val="24"/>
                <w:highlight w:val="none"/>
              </w:rPr>
            </w:pPr>
            <w:r>
              <w:rPr>
                <w:rFonts w:hint="eastAsia"/>
                <w:b/>
                <w:color w:val="auto"/>
                <w:sz w:val="24"/>
                <w:szCs w:val="24"/>
                <w:highlight w:val="none"/>
              </w:rPr>
              <w:t>参加工作</w:t>
            </w:r>
          </w:p>
          <w:p>
            <w:pPr>
              <w:pStyle w:val="121"/>
              <w:jc w:val="center"/>
              <w:rPr>
                <w:b/>
                <w:color w:val="auto"/>
                <w:sz w:val="24"/>
                <w:szCs w:val="24"/>
                <w:highlight w:val="none"/>
              </w:rPr>
            </w:pPr>
            <w:r>
              <w:rPr>
                <w:rFonts w:hint="eastAsia"/>
                <w:b/>
                <w:color w:val="auto"/>
                <w:sz w:val="24"/>
                <w:szCs w:val="24"/>
                <w:highlight w:val="none"/>
              </w:rPr>
              <w:t>时间</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c>
          <w:tcPr>
            <w:tcW w:w="1370" w:type="dxa"/>
            <w:gridSpan w:val="2"/>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r>
              <w:rPr>
                <w:rFonts w:hint="eastAsia" w:ascii="宋体" w:hAnsi="宋体" w:eastAsia="宋体"/>
                <w:b/>
                <w:color w:val="auto"/>
                <w:kern w:val="2"/>
                <w:highlight w:val="none"/>
                <w:lang w:bidi="en-US"/>
              </w:rPr>
              <w:t>担任相应职务年限</w:t>
            </w:r>
          </w:p>
        </w:tc>
        <w:tc>
          <w:tcPr>
            <w:tcW w:w="4503" w:type="dxa"/>
            <w:gridSpan w:val="5"/>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bookmarkStart w:id="55" w:name="_Toc358370585"/>
            <w:bookmarkStart w:id="56" w:name="_Toc318924502"/>
            <w:bookmarkStart w:id="57" w:name="_Toc352240530"/>
            <w:bookmarkStart w:id="58" w:name="_Toc352623428"/>
            <w:bookmarkStart w:id="59" w:name="_Toc239216038"/>
            <w:bookmarkStart w:id="60" w:name="_Toc369536777"/>
            <w:bookmarkStart w:id="61" w:name="_Toc226209010"/>
            <w:bookmarkStart w:id="62" w:name="_Toc239311753"/>
            <w:bookmarkStart w:id="63" w:name="_Toc395261106"/>
            <w:bookmarkStart w:id="64" w:name="_Toc449308427"/>
            <w:bookmarkStart w:id="65" w:name="_Toc163337627"/>
            <w:bookmarkStart w:id="66" w:name="_Toc337720098"/>
            <w:r>
              <w:rPr>
                <w:rFonts w:hint="eastAsia"/>
                <w:b/>
                <w:color w:val="auto"/>
                <w:sz w:val="24"/>
                <w:szCs w:val="24"/>
                <w:highlight w:val="none"/>
              </w:rPr>
              <w:t>资格证书号</w:t>
            </w:r>
          </w:p>
        </w:tc>
        <w:tc>
          <w:tcPr>
            <w:tcW w:w="7999" w:type="dxa"/>
            <w:gridSpan w:val="10"/>
            <w:tcBorders>
              <w:top w:val="single" w:color="auto" w:sz="4" w:space="0"/>
              <w:left w:val="single" w:color="auto" w:sz="4" w:space="0"/>
              <w:bottom w:val="single" w:color="auto" w:sz="4" w:space="0"/>
              <w:right w:val="single" w:color="auto" w:sz="4" w:space="0"/>
            </w:tcBorders>
            <w:vAlign w:val="center"/>
          </w:tcPr>
          <w:p>
            <w:pPr>
              <w:pStyle w:val="120"/>
              <w:keepNext/>
              <w:keepLines/>
              <w:spacing w:before="120" w:after="120"/>
              <w:ind w:firstLine="0" w:firstLineChars="0"/>
              <w:jc w:val="center"/>
              <w:outlineLvl w:val="0"/>
              <w:rPr>
                <w:rFonts w:ascii="宋体" w:hAnsi="宋体" w:eastAsia="宋体"/>
                <w:b/>
                <w:color w:val="auto"/>
                <w:kern w:val="2"/>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525" w:type="dxa"/>
            <w:gridSpan w:val="11"/>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r>
              <w:rPr>
                <w:rFonts w:hint="eastAsia" w:ascii="宋体" w:hAnsi="宋体" w:eastAsia="宋体"/>
                <w:b/>
                <w:color w:val="auto"/>
                <w:kern w:val="2"/>
                <w:highlight w:val="none"/>
                <w:lang w:bidi="en-US"/>
              </w:rPr>
              <w:t>业绩简介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建设单位</w:t>
            </w:r>
          </w:p>
        </w:tc>
        <w:tc>
          <w:tcPr>
            <w:tcW w:w="1547"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项目名称</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建设规模</w:t>
            </w: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开、竣工日期</w:t>
            </w: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在建或已完</w:t>
            </w:r>
          </w:p>
        </w:tc>
        <w:tc>
          <w:tcPr>
            <w:tcW w:w="1551" w:type="dxa"/>
            <w:tcBorders>
              <w:top w:val="single" w:color="auto" w:sz="4" w:space="0"/>
              <w:left w:val="single" w:color="auto" w:sz="4" w:space="0"/>
              <w:bottom w:val="single" w:color="auto" w:sz="4" w:space="0"/>
              <w:right w:val="single" w:color="auto" w:sz="4" w:space="0"/>
            </w:tcBorders>
            <w:vAlign w:val="center"/>
          </w:tcPr>
          <w:p>
            <w:pPr>
              <w:pStyle w:val="121"/>
              <w:jc w:val="center"/>
              <w:rPr>
                <w:b/>
                <w:color w:val="auto"/>
                <w:sz w:val="24"/>
                <w:szCs w:val="24"/>
                <w:highlight w:val="none"/>
              </w:rPr>
            </w:pPr>
            <w:r>
              <w:rPr>
                <w:rFonts w:hint="eastAsia"/>
                <w:b/>
                <w:color w:val="auto"/>
                <w:sz w:val="24"/>
                <w:szCs w:val="24"/>
                <w:highlight w:val="none"/>
              </w:rPr>
              <w:t>工程质量</w:t>
            </w:r>
          </w:p>
        </w:tc>
      </w:tr>
      <w:bookmarkEnd w:id="55"/>
      <w:bookmarkEnd w:id="56"/>
      <w:bookmarkEnd w:id="57"/>
      <w:bookmarkEnd w:id="58"/>
      <w:bookmarkEnd w:id="59"/>
      <w:bookmarkEnd w:id="60"/>
      <w:bookmarkEnd w:id="61"/>
      <w:bookmarkEnd w:id="62"/>
      <w:bookmarkEnd w:id="63"/>
      <w:bookmarkEnd w:id="64"/>
      <w:bookmarkEnd w:id="65"/>
      <w:bookmark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b/>
                <w:color w:val="auto"/>
                <w:kern w:val="2"/>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jc w:val="center"/>
        </w:trPr>
        <w:tc>
          <w:tcPr>
            <w:tcW w:w="1548" w:type="dxa"/>
            <w:gridSpan w:val="2"/>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color w:val="auto"/>
                <w:kern w:val="2"/>
                <w:highlight w:val="none"/>
                <w:lang w:bidi="en-US"/>
              </w:rPr>
            </w:pPr>
          </w:p>
        </w:tc>
        <w:tc>
          <w:tcPr>
            <w:tcW w:w="1547" w:type="dxa"/>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color w:val="auto"/>
                <w:kern w:val="2"/>
                <w:highlight w:val="none"/>
                <w:lang w:bidi="en-US"/>
              </w:rPr>
            </w:pPr>
          </w:p>
        </w:tc>
        <w:tc>
          <w:tcPr>
            <w:tcW w:w="1549" w:type="dxa"/>
            <w:gridSpan w:val="2"/>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color w:val="auto"/>
                <w:kern w:val="2"/>
                <w:highlight w:val="none"/>
                <w:lang w:bidi="en-US"/>
              </w:rPr>
            </w:pPr>
          </w:p>
        </w:tc>
        <w:tc>
          <w:tcPr>
            <w:tcW w:w="1783" w:type="dxa"/>
            <w:gridSpan w:val="2"/>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color w:val="auto"/>
                <w:kern w:val="2"/>
                <w:highlight w:val="none"/>
                <w:lang w:bidi="en-US"/>
              </w:rPr>
            </w:pPr>
          </w:p>
        </w:tc>
        <w:tc>
          <w:tcPr>
            <w:tcW w:w="1547" w:type="dxa"/>
            <w:gridSpan w:val="3"/>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color w:val="auto"/>
                <w:kern w:val="2"/>
                <w:highlight w:val="none"/>
                <w:lang w:bidi="en-US"/>
              </w:rPr>
            </w:pPr>
          </w:p>
        </w:tc>
        <w:tc>
          <w:tcPr>
            <w:tcW w:w="1551" w:type="dxa"/>
            <w:tcBorders>
              <w:top w:val="single" w:color="auto" w:sz="4" w:space="0"/>
              <w:left w:val="single" w:color="auto" w:sz="4" w:space="0"/>
              <w:bottom w:val="single" w:color="auto" w:sz="4" w:space="0"/>
              <w:right w:val="single" w:color="auto" w:sz="4" w:space="0"/>
            </w:tcBorders>
            <w:vAlign w:val="center"/>
          </w:tcPr>
          <w:p>
            <w:pPr>
              <w:pStyle w:val="120"/>
              <w:ind w:firstLine="0" w:firstLineChars="0"/>
              <w:jc w:val="center"/>
              <w:rPr>
                <w:rFonts w:ascii="宋体" w:hAnsi="宋体" w:eastAsia="宋体"/>
                <w:color w:val="auto"/>
                <w:kern w:val="2"/>
                <w:highlight w:val="none"/>
                <w:lang w:bidi="en-US"/>
              </w:rPr>
            </w:pPr>
          </w:p>
        </w:tc>
      </w:tr>
    </w:tbl>
    <w:p>
      <w:pPr>
        <w:pStyle w:val="120"/>
        <w:ind w:firstLine="3596" w:firstLineChars="1450"/>
        <w:rPr>
          <w:rFonts w:ascii="宋体" w:hAnsi="宋体" w:eastAsia="宋体"/>
          <w:color w:val="auto"/>
          <w:highlight w:val="none"/>
        </w:rPr>
      </w:pPr>
    </w:p>
    <w:p>
      <w:pPr>
        <w:pStyle w:val="120"/>
        <w:ind w:firstLine="3596" w:firstLineChars="1450"/>
        <w:rPr>
          <w:rFonts w:ascii="宋体" w:hAnsi="宋体" w:eastAsia="宋体"/>
          <w:color w:val="auto"/>
          <w:highlight w:val="none"/>
        </w:rPr>
      </w:pPr>
      <w:r>
        <w:rPr>
          <w:rFonts w:hint="eastAsia" w:ascii="宋体" w:hAnsi="宋体" w:eastAsia="宋体"/>
          <w:color w:val="auto"/>
          <w:highlight w:val="none"/>
        </w:rPr>
        <w:t>投标人：　　（盖章）</w:t>
      </w:r>
    </w:p>
    <w:p>
      <w:pPr>
        <w:pStyle w:val="120"/>
        <w:ind w:firstLine="3596" w:firstLineChars="1450"/>
        <w:rPr>
          <w:rFonts w:ascii="宋体" w:hAnsi="宋体" w:eastAsia="宋体"/>
          <w:color w:val="auto"/>
          <w:highlight w:val="none"/>
        </w:rPr>
      </w:pPr>
      <w:r>
        <w:rPr>
          <w:rFonts w:hint="eastAsia" w:ascii="宋体" w:hAnsi="宋体" w:eastAsia="宋体"/>
          <w:color w:val="auto"/>
          <w:highlight w:val="none"/>
        </w:rPr>
        <w:t>法定代表人或授权代理人(签字或盖章)：</w:t>
      </w:r>
    </w:p>
    <w:p>
      <w:pPr>
        <w:pStyle w:val="120"/>
        <w:ind w:firstLine="3596" w:firstLineChars="1450"/>
        <w:rPr>
          <w:rFonts w:ascii="宋体" w:hAnsi="宋体"/>
          <w:color w:val="auto"/>
          <w:sz w:val="27"/>
          <w:szCs w:val="27"/>
          <w:highlight w:val="none"/>
        </w:rPr>
      </w:pPr>
      <w:r>
        <w:rPr>
          <w:rFonts w:hint="eastAsia" w:ascii="宋体" w:hAnsi="宋体" w:eastAsia="宋体"/>
          <w:color w:val="auto"/>
          <w:highlight w:val="none"/>
        </w:rPr>
        <w:t>日   期：    年    月    日</w:t>
      </w:r>
    </w:p>
    <w:p>
      <w:pPr>
        <w:widowControl/>
        <w:jc w:val="left"/>
        <w:rPr>
          <w:rFonts w:ascii="宋体" w:hAnsi="宋体" w:cs="宋体"/>
          <w:color w:val="auto"/>
          <w:kern w:val="0"/>
          <w:sz w:val="27"/>
          <w:szCs w:val="27"/>
          <w:highlight w:val="none"/>
        </w:rPr>
      </w:pPr>
      <w:bookmarkStart w:id="67" w:name="_Toc101453750"/>
      <w:r>
        <w:rPr>
          <w:color w:val="auto"/>
          <w:highlight w:val="none"/>
        </w:rPr>
        <w:br w:type="page"/>
      </w:r>
    </w:p>
    <w:p>
      <w:pPr>
        <w:pStyle w:val="9"/>
        <w:rPr>
          <w:color w:val="auto"/>
          <w:highlight w:val="none"/>
        </w:rPr>
      </w:pPr>
      <w:r>
        <w:rPr>
          <w:rFonts w:hint="eastAsia"/>
          <w:color w:val="auto"/>
          <w:highlight w:val="none"/>
        </w:rPr>
        <w:t>格式六：</w:t>
      </w:r>
      <w:bookmarkEnd w:id="53"/>
      <w:bookmarkEnd w:id="54"/>
      <w:bookmarkEnd w:id="67"/>
    </w:p>
    <w:p>
      <w:pPr>
        <w:jc w:val="center"/>
        <w:rPr>
          <w:rFonts w:ascii="宋体" w:hAnsi="宋体" w:cs="宋体"/>
          <w:color w:val="auto"/>
          <w:sz w:val="36"/>
          <w:szCs w:val="36"/>
          <w:highlight w:val="none"/>
        </w:rPr>
      </w:pPr>
      <w:r>
        <w:rPr>
          <w:rFonts w:hint="eastAsia" w:ascii="宋体" w:hAnsi="宋体" w:cs="宋体"/>
          <w:b/>
          <w:color w:val="auto"/>
          <w:sz w:val="36"/>
          <w:szCs w:val="36"/>
          <w:highlight w:val="none"/>
        </w:rPr>
        <w:t>企业业绩信息表（如有）</w:t>
      </w:r>
    </w:p>
    <w:p>
      <w:pPr>
        <w:rPr>
          <w:rFonts w:ascii="宋体" w:hAnsi="宋体"/>
          <w:color w:val="auto"/>
          <w:sz w:val="24"/>
          <w:szCs w:val="24"/>
          <w:highlight w:val="none"/>
        </w:rPr>
      </w:pPr>
    </w:p>
    <w:tbl>
      <w:tblPr>
        <w:tblStyle w:val="33"/>
        <w:tblpPr w:leftFromText="180" w:rightFromText="180" w:vertAnchor="text" w:horzAnchor="margin" w:tblpXSpec="center" w:tblpY="-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63"/>
        <w:gridCol w:w="2693"/>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类似工程业绩</w:t>
            </w:r>
          </w:p>
        </w:tc>
        <w:tc>
          <w:tcPr>
            <w:tcW w:w="2163" w:type="dxa"/>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 xml:space="preserve"> 金额</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restart"/>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获奖情况</w:t>
            </w:r>
          </w:p>
        </w:tc>
        <w:tc>
          <w:tcPr>
            <w:tcW w:w="2163" w:type="dxa"/>
            <w:tcBorders>
              <w:left w:val="single" w:color="auto" w:sz="4" w:space="0"/>
              <w:right w:val="single" w:color="auto" w:sz="4" w:space="0"/>
            </w:tcBorders>
            <w:vAlign w:val="center"/>
          </w:tcPr>
          <w:p>
            <w:pPr>
              <w:autoSpaceDE w:val="0"/>
              <w:autoSpaceDN w:val="0"/>
              <w:adjustRightInd w:val="0"/>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所获奖项</w:t>
            </w: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4" w:type="dxa"/>
            <w:vMerge w:val="continue"/>
            <w:tcBorders>
              <w:left w:val="single" w:color="auto" w:sz="4" w:space="0"/>
              <w:right w:val="single" w:color="auto" w:sz="4" w:space="0"/>
            </w:tcBorders>
            <w:vAlign w:val="center"/>
          </w:tcPr>
          <w:p>
            <w:pPr>
              <w:widowControl/>
              <w:jc w:val="center"/>
              <w:rPr>
                <w:rFonts w:ascii="宋体" w:hAnsi="宋体" w:cs="宋体"/>
                <w:bCs/>
                <w:color w:val="auto"/>
                <w:sz w:val="24"/>
                <w:szCs w:val="24"/>
                <w:highlight w:val="none"/>
                <w:lang w:val="zh-CN"/>
              </w:rPr>
            </w:pPr>
          </w:p>
        </w:tc>
        <w:tc>
          <w:tcPr>
            <w:tcW w:w="2163" w:type="dxa"/>
            <w:tcBorders>
              <w:left w:val="single" w:color="auto" w:sz="4" w:space="0"/>
              <w:right w:val="single" w:color="auto" w:sz="4" w:space="0"/>
            </w:tcBorders>
          </w:tcPr>
          <w:p>
            <w:pPr>
              <w:autoSpaceDE w:val="0"/>
              <w:autoSpaceDN w:val="0"/>
              <w:adjustRightInd w:val="0"/>
              <w:jc w:val="center"/>
              <w:rPr>
                <w:rFonts w:ascii="宋体" w:hAnsi="宋体" w:cs="宋体"/>
                <w:bCs/>
                <w:color w:val="auto"/>
                <w:sz w:val="24"/>
                <w:szCs w:val="24"/>
                <w:highlight w:val="none"/>
                <w:lang w:val="zh-CN"/>
              </w:rPr>
            </w:pPr>
          </w:p>
        </w:tc>
        <w:tc>
          <w:tcPr>
            <w:tcW w:w="26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c>
          <w:tcPr>
            <w:tcW w:w="37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p>
        </w:tc>
      </w:tr>
    </w:tbl>
    <w:p>
      <w:pPr>
        <w:spacing w:line="360" w:lineRule="auto"/>
        <w:jc w:val="left"/>
        <w:rPr>
          <w:rFonts w:ascii="宋体" w:hAnsi="宋体" w:cs="宋体"/>
          <w:bCs/>
          <w:color w:val="auto"/>
          <w:szCs w:val="24"/>
          <w:highlight w:val="none"/>
        </w:rPr>
      </w:pPr>
      <w:r>
        <w:rPr>
          <w:rFonts w:hint="eastAsia" w:ascii="宋体" w:hAnsi="宋体" w:cs="宋体"/>
          <w:bCs/>
          <w:color w:val="auto"/>
          <w:szCs w:val="24"/>
          <w:highlight w:val="none"/>
        </w:rPr>
        <w:t>按评标表后附相关证明资料。</w:t>
      </w:r>
    </w:p>
    <w:p>
      <w:pPr>
        <w:autoSpaceDE w:val="0"/>
        <w:autoSpaceDN w:val="0"/>
        <w:adjustRightInd w:val="0"/>
        <w:spacing w:line="360" w:lineRule="auto"/>
        <w:rPr>
          <w:rFonts w:ascii="宋体" w:hAnsi="宋体" w:cs="宋体"/>
          <w:color w:val="auto"/>
          <w:sz w:val="24"/>
          <w:szCs w:val="24"/>
          <w:highlight w:val="none"/>
        </w:rPr>
      </w:pPr>
    </w:p>
    <w:p>
      <w:pPr>
        <w:pStyle w:val="9"/>
        <w:rPr>
          <w:color w:val="auto"/>
          <w:highlight w:val="none"/>
        </w:rPr>
      </w:pPr>
      <w:r>
        <w:rPr>
          <w:rFonts w:hint="eastAsia"/>
          <w:color w:val="auto"/>
          <w:highlight w:val="none"/>
        </w:rPr>
        <w:br w:type="page"/>
      </w:r>
    </w:p>
    <w:p>
      <w:pPr>
        <w:pStyle w:val="9"/>
        <w:rPr>
          <w:bCs/>
          <w:color w:val="auto"/>
          <w:highlight w:val="none"/>
          <w:lang w:val="zh-CN"/>
        </w:rPr>
      </w:pPr>
      <w:bookmarkStart w:id="68" w:name="_Toc101453751"/>
      <w:bookmarkStart w:id="69" w:name="_Toc60070629"/>
      <w:bookmarkStart w:id="70" w:name="_Toc61541792"/>
      <w:r>
        <w:rPr>
          <w:rFonts w:hint="eastAsia"/>
          <w:color w:val="auto"/>
          <w:highlight w:val="none"/>
        </w:rPr>
        <w:t>格式七：</w:t>
      </w:r>
      <w:bookmarkEnd w:id="68"/>
      <w:bookmarkEnd w:id="69"/>
      <w:bookmarkEnd w:id="70"/>
    </w:p>
    <w:p>
      <w:pPr>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拟投入本工程施工的主要机械设备配备表</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0"/>
        <w:gridCol w:w="2856"/>
        <w:gridCol w:w="2024"/>
        <w:gridCol w:w="1559"/>
        <w:gridCol w:w="15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序</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号</w:t>
            </w: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投入总数量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来源</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(自有/</w:t>
            </w:r>
          </w:p>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租赁)</w:t>
            </w: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79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85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20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c>
          <w:tcPr>
            <w:tcW w:w="1545" w:type="dxa"/>
            <w:tcBorders>
              <w:top w:val="single" w:color="auto" w:sz="4" w:space="0"/>
              <w:left w:val="single" w:color="auto" w:sz="4" w:space="0"/>
              <w:right w:val="single" w:color="auto" w:sz="4" w:space="0"/>
            </w:tcBorders>
            <w:vAlign w:val="center"/>
          </w:tcPr>
          <w:p>
            <w:pPr>
              <w:spacing w:line="240" w:lineRule="exact"/>
              <w:jc w:val="center"/>
              <w:textAlignment w:val="center"/>
              <w:rPr>
                <w:rFonts w:ascii="宋体" w:hAnsi="宋体" w:cs="宋体"/>
                <w:color w:val="auto"/>
                <w:szCs w:val="21"/>
                <w:highlight w:val="none"/>
              </w:rPr>
            </w:pPr>
          </w:p>
        </w:tc>
      </w:tr>
    </w:tbl>
    <w:p>
      <w:pPr>
        <w:tabs>
          <w:tab w:val="left" w:pos="720"/>
        </w:tabs>
        <w:snapToGrid w:val="0"/>
        <w:spacing w:line="360" w:lineRule="auto"/>
        <w:rPr>
          <w:rFonts w:ascii="宋体" w:hAnsi="宋体"/>
          <w:color w:val="auto"/>
          <w:highlight w:val="none"/>
        </w:rPr>
      </w:pPr>
    </w:p>
    <w:p>
      <w:pPr>
        <w:tabs>
          <w:tab w:val="left" w:pos="720"/>
        </w:tabs>
        <w:snapToGrid w:val="0"/>
        <w:spacing w:line="360" w:lineRule="auto"/>
        <w:rPr>
          <w:rFonts w:ascii="宋体" w:hAnsi="宋体" w:cs="宋体"/>
          <w:b/>
          <w:color w:val="auto"/>
          <w:szCs w:val="21"/>
          <w:highlight w:val="none"/>
        </w:rPr>
      </w:pPr>
      <w:r>
        <w:rPr>
          <w:rFonts w:hint="eastAsia" w:ascii="宋体" w:hAnsi="宋体"/>
          <w:color w:val="auto"/>
          <w:highlight w:val="none"/>
        </w:rPr>
        <w:t>注：设备名称及要求数量由投标人视本工程具体情况结合招标人对本工程的具体要求自行配备。</w:t>
      </w:r>
    </w:p>
    <w:p>
      <w:pPr>
        <w:ind w:right="-130" w:rightChars="-62"/>
        <w:rPr>
          <w:rFonts w:ascii="宋体" w:hAnsi="宋体"/>
          <w:color w:val="auto"/>
          <w:highlight w:val="none"/>
        </w:rPr>
      </w:pPr>
    </w:p>
    <w:p>
      <w:pPr>
        <w:topLinePunct/>
        <w:adjustRightInd w:val="0"/>
        <w:snapToGrid w:val="0"/>
        <w:spacing w:line="360" w:lineRule="auto"/>
        <w:ind w:firstLine="3161" w:firstLineChars="1450"/>
        <w:rPr>
          <w:rFonts w:ascii="宋体" w:hAnsi="宋体"/>
          <w:snapToGrid w:val="0"/>
          <w:color w:val="auto"/>
          <w:spacing w:val="4"/>
          <w:kern w:val="0"/>
          <w:szCs w:val="21"/>
          <w:highlight w:val="none"/>
        </w:rPr>
      </w:pPr>
    </w:p>
    <w:p>
      <w:pPr>
        <w:pStyle w:val="120"/>
        <w:ind w:firstLine="3596" w:firstLineChars="1450"/>
        <w:rPr>
          <w:rFonts w:ascii="宋体" w:hAnsi="宋体" w:eastAsia="宋体"/>
          <w:color w:val="auto"/>
          <w:highlight w:val="none"/>
        </w:rPr>
      </w:pPr>
      <w:r>
        <w:rPr>
          <w:rFonts w:hint="eastAsia" w:ascii="宋体" w:hAnsi="宋体" w:eastAsia="宋体"/>
          <w:color w:val="auto"/>
          <w:highlight w:val="none"/>
        </w:rPr>
        <w:t>投标人：　　（盖章）</w:t>
      </w:r>
    </w:p>
    <w:p>
      <w:pPr>
        <w:pStyle w:val="120"/>
        <w:ind w:firstLine="3596" w:firstLineChars="1450"/>
        <w:rPr>
          <w:rFonts w:ascii="宋体" w:hAnsi="宋体" w:eastAsia="宋体"/>
          <w:color w:val="auto"/>
          <w:highlight w:val="none"/>
        </w:rPr>
      </w:pPr>
      <w:r>
        <w:rPr>
          <w:rFonts w:hint="eastAsia" w:ascii="宋体" w:hAnsi="宋体" w:eastAsia="宋体"/>
          <w:color w:val="auto"/>
          <w:highlight w:val="none"/>
        </w:rPr>
        <w:t>法定代表人或授权代理人(签字或盖章)：</w:t>
      </w:r>
    </w:p>
    <w:p>
      <w:pPr>
        <w:ind w:firstLine="3570" w:firstLineChars="1700"/>
        <w:rPr>
          <w:rFonts w:ascii="宋体" w:hAnsi="宋体"/>
          <w:b/>
          <w:color w:val="auto"/>
          <w:sz w:val="24"/>
          <w:szCs w:val="24"/>
          <w:highlight w:val="none"/>
        </w:rPr>
      </w:pPr>
      <w:r>
        <w:rPr>
          <w:rFonts w:hint="eastAsia" w:ascii="宋体" w:hAnsi="宋体"/>
          <w:color w:val="auto"/>
          <w:highlight w:val="none"/>
        </w:rPr>
        <w:t>日   期：    年    月    日</w:t>
      </w:r>
    </w:p>
    <w:p>
      <w:pPr>
        <w:widowControl/>
        <w:jc w:val="left"/>
        <w:rPr>
          <w:rFonts w:ascii="宋体" w:hAnsi="宋体" w:cs="宋体"/>
          <w:color w:val="auto"/>
          <w:kern w:val="0"/>
          <w:sz w:val="24"/>
          <w:szCs w:val="24"/>
          <w:highlight w:val="none"/>
        </w:rPr>
      </w:pPr>
      <w:r>
        <w:rPr>
          <w:rFonts w:ascii="宋体" w:hAnsi="宋体"/>
          <w:color w:val="auto"/>
          <w:sz w:val="24"/>
          <w:szCs w:val="24"/>
          <w:highlight w:val="none"/>
        </w:rPr>
        <w:br w:type="page"/>
      </w:r>
    </w:p>
    <w:p>
      <w:pPr>
        <w:pStyle w:val="9"/>
        <w:rPr>
          <w:color w:val="auto"/>
          <w:highlight w:val="none"/>
        </w:rPr>
      </w:pPr>
      <w:bookmarkStart w:id="71" w:name="_Toc101453752"/>
      <w:r>
        <w:rPr>
          <w:rFonts w:hint="eastAsia"/>
          <w:color w:val="auto"/>
          <w:highlight w:val="none"/>
        </w:rPr>
        <w:t>格式八：</w:t>
      </w:r>
      <w:bookmarkEnd w:id="71"/>
    </w:p>
    <w:p>
      <w:pPr>
        <w:jc w:val="center"/>
        <w:rPr>
          <w:rFonts w:ascii="宋体" w:hAnsi="宋体"/>
          <w:b/>
          <w:color w:val="auto"/>
          <w:sz w:val="36"/>
          <w:szCs w:val="36"/>
          <w:highlight w:val="none"/>
        </w:rPr>
      </w:pPr>
      <w:r>
        <w:rPr>
          <w:rFonts w:hint="eastAsia" w:ascii="宋体" w:hAnsi="宋体"/>
          <w:b/>
          <w:color w:val="auto"/>
          <w:sz w:val="36"/>
          <w:szCs w:val="36"/>
          <w:highlight w:val="none"/>
        </w:rPr>
        <w:t>危险性较大的分部分项工程安全管理措施</w:t>
      </w:r>
    </w:p>
    <w:p>
      <w:pPr>
        <w:numPr>
          <w:ilvl w:val="0"/>
          <w:numId w:val="4"/>
        </w:numPr>
        <w:autoSpaceDE w:val="0"/>
        <w:autoSpaceDN w:val="0"/>
        <w:adjustRightInd w:val="0"/>
        <w:spacing w:line="360" w:lineRule="auto"/>
        <w:jc w:val="left"/>
        <w:rPr>
          <w:rFonts w:ascii="宋体" w:hAnsi="宋体"/>
          <w:snapToGrid w:val="0"/>
          <w:color w:val="auto"/>
          <w:spacing w:val="4"/>
          <w:kern w:val="0"/>
          <w:sz w:val="24"/>
          <w:szCs w:val="24"/>
          <w:highlight w:val="none"/>
        </w:rPr>
      </w:pPr>
      <w:r>
        <w:rPr>
          <w:rFonts w:hint="eastAsia" w:ascii="宋体" w:hAnsi="宋体"/>
          <w:color w:val="auto"/>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4"/>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招标人根据设计文件的要求及37号文的规定列出“危险性较大的分部分项工程清单及超过一定规模的危险性较大的分部分项工程清单”中与本招标项目相关的清单项，具体详见第5点“打</w:t>
      </w:r>
      <w:r>
        <w:rPr>
          <w:rFonts w:hint="eastAsia" w:ascii="宋体" w:hAnsi="宋体"/>
          <w:color w:val="auto"/>
          <w:sz w:val="24"/>
          <w:szCs w:val="36"/>
          <w:highlight w:val="none"/>
        </w:rPr>
        <w:t>√”标识。</w:t>
      </w:r>
    </w:p>
    <w:p>
      <w:pPr>
        <w:numPr>
          <w:ilvl w:val="0"/>
          <w:numId w:val="5"/>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投标单位同意建设单位在清单中标识的该项请在对应项打“</w:t>
      </w:r>
      <w:r>
        <w:rPr>
          <w:rFonts w:hint="eastAsia" w:ascii="宋体" w:hAnsi="宋体"/>
          <w:color w:val="auto"/>
          <w:sz w:val="24"/>
          <w:szCs w:val="36"/>
          <w:highlight w:val="none"/>
        </w:rPr>
        <w:t>√”标识，并与投标文件中提供相应的安全管理措施。</w:t>
      </w:r>
    </w:p>
    <w:p>
      <w:pPr>
        <w:numPr>
          <w:ilvl w:val="0"/>
          <w:numId w:val="5"/>
        </w:numPr>
        <w:autoSpaceDE w:val="0"/>
        <w:autoSpaceDN w:val="0"/>
        <w:adjustRightInd w:val="0"/>
        <w:spacing w:line="360" w:lineRule="auto"/>
        <w:jc w:val="left"/>
        <w:rPr>
          <w:rFonts w:ascii="宋体" w:hAnsi="宋体"/>
          <w:color w:val="auto"/>
          <w:sz w:val="24"/>
          <w:szCs w:val="36"/>
          <w:highlight w:val="none"/>
        </w:rPr>
      </w:pPr>
      <w:r>
        <w:rPr>
          <w:rFonts w:hint="eastAsia" w:ascii="宋体" w:hAnsi="宋体"/>
          <w:color w:val="auto"/>
          <w:sz w:val="24"/>
          <w:szCs w:val="28"/>
          <w:highlight w:val="none"/>
        </w:rPr>
        <w:t>投标单位对清单中认为需要补充的该项请在对应项打“</w:t>
      </w:r>
      <w:r>
        <w:rPr>
          <w:rFonts w:hint="eastAsia" w:ascii="宋体" w:hAnsi="宋体"/>
          <w:color w:val="auto"/>
          <w:sz w:val="24"/>
          <w:szCs w:val="36"/>
          <w:highlight w:val="none"/>
        </w:rPr>
        <w:t>√”标识，并与投标文件中提供相应的安全管理措施。</w:t>
      </w:r>
    </w:p>
    <w:p>
      <w:pPr>
        <w:numPr>
          <w:ilvl w:val="0"/>
          <w:numId w:val="5"/>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36"/>
          <w:highlight w:val="none"/>
        </w:rPr>
        <w:t>投标单位不同意建设单位</w:t>
      </w:r>
      <w:r>
        <w:rPr>
          <w:rFonts w:hint="eastAsia" w:ascii="宋体" w:hAnsi="宋体"/>
          <w:color w:val="auto"/>
          <w:sz w:val="24"/>
          <w:szCs w:val="28"/>
          <w:highlight w:val="none"/>
        </w:rPr>
        <w:t>在清单中标识的该项</w:t>
      </w:r>
      <w:r>
        <w:rPr>
          <w:rFonts w:hint="eastAsia" w:ascii="宋体" w:hAnsi="宋体"/>
          <w:color w:val="auto"/>
          <w:sz w:val="24"/>
          <w:szCs w:val="36"/>
          <w:highlight w:val="none"/>
        </w:rPr>
        <w:t>请在对应项打“×”标识，并在备注栏填上相关说明。</w:t>
      </w:r>
    </w:p>
    <w:p>
      <w:pPr>
        <w:numPr>
          <w:ilvl w:val="0"/>
          <w:numId w:val="4"/>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投标单位应当在投标时根据招标人提供的下述第5点清单，在投标文件中编制专项施工方案。</w:t>
      </w:r>
    </w:p>
    <w:p>
      <w:pPr>
        <w:numPr>
          <w:ilvl w:val="0"/>
          <w:numId w:val="4"/>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4"/>
        </w:numPr>
        <w:autoSpaceDE w:val="0"/>
        <w:autoSpaceDN w:val="0"/>
        <w:adjustRightInd w:val="0"/>
        <w:spacing w:line="360" w:lineRule="auto"/>
        <w:jc w:val="left"/>
        <w:rPr>
          <w:rFonts w:ascii="宋体" w:hAnsi="宋体"/>
          <w:color w:val="auto"/>
          <w:sz w:val="24"/>
          <w:szCs w:val="28"/>
          <w:highlight w:val="none"/>
        </w:rPr>
      </w:pPr>
      <w:r>
        <w:rPr>
          <w:rFonts w:hint="eastAsia" w:ascii="宋体" w:hAnsi="宋体"/>
          <w:color w:val="auto"/>
          <w:sz w:val="24"/>
          <w:szCs w:val="28"/>
          <w:highlight w:val="none"/>
        </w:rPr>
        <w:t>危险性较大的分部分项工程清单及超过一定规模的危险性较大的分部分项工程清单（参考版）：</w:t>
      </w:r>
    </w:p>
    <w:tbl>
      <w:tblPr>
        <w:tblStyle w:val="33"/>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b/>
                <w:color w:val="auto"/>
                <w:highlight w:val="none"/>
              </w:rPr>
              <w:t>一、危险性较大的分部分项工程清单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建设单位</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投标单位</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一、基坑支护</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3" w:lineRule="auto"/>
              <w:jc w:val="left"/>
              <w:rPr>
                <w:rFonts w:ascii="宋体" w:hAnsi="宋体" w:cs="宋体"/>
                <w:color w:val="auto"/>
                <w:highlight w:val="none"/>
              </w:rPr>
            </w:pPr>
            <w:r>
              <w:rPr>
                <w:rFonts w:hint="eastAsia" w:ascii="宋体" w:hAnsi="宋体"/>
                <w:color w:val="auto"/>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3" w:lineRule="auto"/>
              <w:jc w:val="left"/>
              <w:rPr>
                <w:rFonts w:ascii="宋体" w:hAnsi="宋体" w:cs="宋体"/>
                <w:color w:val="auto"/>
                <w:highlight w:val="none"/>
              </w:rPr>
            </w:pPr>
            <w:r>
              <w:rPr>
                <w:rFonts w:hint="eastAsia" w:ascii="宋体" w:hAnsi="宋体"/>
                <w:color w:val="auto"/>
                <w:highlight w:val="none"/>
              </w:rPr>
              <w:t>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3" w:lineRule="auto"/>
              <w:jc w:val="left"/>
              <w:rPr>
                <w:rFonts w:ascii="宋体" w:hAnsi="宋体" w:cs="宋体"/>
                <w:color w:val="auto"/>
                <w:highlight w:val="none"/>
              </w:rPr>
            </w:pPr>
            <w:r>
              <w:rPr>
                <w:rFonts w:hint="eastAsia" w:ascii="宋体" w:hAnsi="宋体"/>
                <w:color w:val="auto"/>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s="宋体"/>
                <w:color w:val="auto"/>
                <w:highlight w:val="none"/>
              </w:rPr>
            </w:pPr>
            <w:r>
              <w:rPr>
                <w:rFonts w:hint="eastAsia" w:ascii="宋体" w:hAnsi="宋体"/>
                <w:color w:val="auto"/>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spacing w:line="273" w:lineRule="auto"/>
              <w:rPr>
                <w:rFonts w:ascii="宋体" w:hAnsi="宋体" w:cs="宋体"/>
                <w:b/>
                <w:color w:val="auto"/>
                <w:highlight w:val="none"/>
              </w:rPr>
            </w:pPr>
            <w:r>
              <w:rPr>
                <w:rFonts w:hint="eastAsia" w:ascii="宋体" w:hAnsi="宋体"/>
                <w:b/>
                <w:bCs/>
                <w:color w:val="auto"/>
                <w:highlight w:val="none"/>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一、深基坑工程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宋体" w:hAnsi="宋体"/>
                <w:color w:val="auto"/>
                <w:highlight w:val="none"/>
              </w:rPr>
            </w:pPr>
            <w:r>
              <w:rPr>
                <w:rFonts w:hint="eastAsia" w:ascii="宋体" w:hAnsi="宋体"/>
                <w:color w:val="auto"/>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ind w:firstLine="48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宋体" w:hAnsi="宋体"/>
                <w:color w:val="auto"/>
                <w:highlight w:val="none"/>
              </w:rPr>
            </w:pPr>
            <w:r>
              <w:rPr>
                <w:rFonts w:hint="eastAsia" w:ascii="宋体" w:hAnsi="宋体"/>
                <w:color w:val="auto"/>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ind w:firstLine="48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宋体" w:hAnsi="宋体"/>
                <w:color w:val="auto"/>
                <w:highlight w:val="none"/>
              </w:rPr>
            </w:pPr>
            <w:r>
              <w:rPr>
                <w:rFonts w:hint="eastAsia" w:ascii="宋体" w:hAnsi="宋体"/>
                <w:color w:val="auto"/>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ind w:firstLine="48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ind w:firstLine="480"/>
              <w:jc w:val="left"/>
              <w:rPr>
                <w:rFonts w:ascii="宋体" w:hAnsi="宋体"/>
                <w:color w:val="auto"/>
                <w:highlight w:val="none"/>
              </w:rPr>
            </w:pPr>
            <w:r>
              <w:rPr>
                <w:rFonts w:hint="eastAsia" w:ascii="宋体" w:hAnsi="宋体"/>
                <w:color w:val="auto"/>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六、暗挖工程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3" w:lineRule="auto"/>
              <w:jc w:val="left"/>
              <w:rPr>
                <w:rFonts w:ascii="宋体" w:hAnsi="宋体"/>
                <w:color w:val="auto"/>
                <w:highlight w:val="none"/>
              </w:rPr>
            </w:pPr>
            <w:r>
              <w:rPr>
                <w:rFonts w:hint="eastAsia" w:ascii="宋体" w:hAnsi="宋体"/>
                <w:color w:val="auto"/>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b/>
                <w:color w:val="auto"/>
                <w:highlight w:val="none"/>
              </w:rPr>
            </w:pPr>
            <w:r>
              <w:rPr>
                <w:rFonts w:hint="eastAsia" w:ascii="宋体" w:hAnsi="宋体"/>
                <w:color w:val="auto"/>
                <w:highlight w:val="none"/>
              </w:rPr>
              <w:t>(  ×   )</w:t>
            </w:r>
          </w:p>
        </w:tc>
        <w:tc>
          <w:tcPr>
            <w:tcW w:w="1361"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r>
              <w:rPr>
                <w:rFonts w:hint="eastAsia" w:ascii="宋体" w:hAnsi="宋体"/>
                <w:color w:val="auto"/>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3" w:lineRule="auto"/>
              <w:jc w:val="center"/>
              <w:rPr>
                <w:rFonts w:ascii="宋体" w:hAnsi="宋体"/>
                <w:color w:val="auto"/>
                <w:highlight w:val="none"/>
              </w:rPr>
            </w:pPr>
          </w:p>
        </w:tc>
      </w:tr>
    </w:tbl>
    <w:p>
      <w:pPr>
        <w:autoSpaceDE w:val="0"/>
        <w:autoSpaceDN w:val="0"/>
        <w:adjustRightInd w:val="0"/>
        <w:spacing w:line="360" w:lineRule="auto"/>
        <w:jc w:val="left"/>
        <w:rPr>
          <w:rFonts w:ascii="宋体" w:hAnsi="宋体"/>
          <w:color w:val="auto"/>
          <w:sz w:val="24"/>
          <w:szCs w:val="28"/>
          <w:highlight w:val="none"/>
        </w:rPr>
      </w:pPr>
    </w:p>
    <w:p>
      <w:pPr>
        <w:topLinePunct/>
        <w:adjustRightInd w:val="0"/>
        <w:snapToGrid w:val="0"/>
        <w:spacing w:line="360" w:lineRule="auto"/>
        <w:ind w:firstLine="496" w:firstLineChars="200"/>
        <w:rPr>
          <w:rFonts w:ascii="宋体" w:hAnsi="宋体"/>
          <w:color w:val="auto"/>
          <w:spacing w:val="4"/>
          <w:kern w:val="0"/>
          <w:sz w:val="24"/>
          <w:szCs w:val="24"/>
          <w:highlight w:val="none"/>
        </w:rPr>
      </w:pPr>
    </w:p>
    <w:p>
      <w:pPr>
        <w:pStyle w:val="120"/>
        <w:ind w:firstLine="3596" w:firstLineChars="1450"/>
        <w:rPr>
          <w:rFonts w:ascii="宋体" w:hAnsi="宋体" w:eastAsia="宋体"/>
          <w:color w:val="auto"/>
          <w:highlight w:val="none"/>
        </w:rPr>
      </w:pPr>
      <w:r>
        <w:rPr>
          <w:rFonts w:hint="eastAsia" w:ascii="宋体" w:hAnsi="宋体" w:eastAsia="宋体"/>
          <w:color w:val="auto"/>
          <w:highlight w:val="none"/>
        </w:rPr>
        <w:t>投标人：　　（盖章）</w:t>
      </w:r>
    </w:p>
    <w:p>
      <w:pPr>
        <w:pStyle w:val="120"/>
        <w:ind w:firstLine="3596" w:firstLineChars="1450"/>
        <w:rPr>
          <w:rFonts w:ascii="宋体" w:hAnsi="宋体" w:eastAsia="宋体"/>
          <w:color w:val="auto"/>
          <w:highlight w:val="none"/>
        </w:rPr>
      </w:pPr>
      <w:r>
        <w:rPr>
          <w:rFonts w:hint="eastAsia" w:ascii="宋体" w:hAnsi="宋体" w:eastAsia="宋体"/>
          <w:color w:val="auto"/>
          <w:highlight w:val="none"/>
        </w:rPr>
        <w:t>法定代表人或授权代理人(签字或盖章)：</w:t>
      </w:r>
    </w:p>
    <w:p>
      <w:pPr>
        <w:autoSpaceDE w:val="0"/>
        <w:autoSpaceDN w:val="0"/>
        <w:adjustRightInd w:val="0"/>
        <w:ind w:right="992" w:firstLine="3570" w:firstLineChars="1700"/>
        <w:rPr>
          <w:rFonts w:ascii="宋体" w:hAnsi="宋体"/>
          <w:color w:val="auto"/>
          <w:sz w:val="24"/>
          <w:szCs w:val="24"/>
          <w:highlight w:val="none"/>
        </w:rPr>
      </w:pPr>
      <w:r>
        <w:rPr>
          <w:rFonts w:hint="eastAsia" w:ascii="宋体" w:hAnsi="宋体"/>
          <w:color w:val="auto"/>
          <w:highlight w:val="none"/>
        </w:rPr>
        <w:t>日   期：    年    月    日</w:t>
      </w:r>
    </w:p>
    <w:p>
      <w:pPr>
        <w:widowControl/>
        <w:jc w:val="left"/>
        <w:rPr>
          <w:rFonts w:ascii="宋体" w:hAnsi="宋体"/>
          <w:color w:val="auto"/>
          <w:szCs w:val="21"/>
          <w:highlight w:val="none"/>
        </w:rPr>
      </w:pPr>
      <w:r>
        <w:rPr>
          <w:rFonts w:ascii="宋体" w:hAnsi="宋体"/>
          <w:color w:val="auto"/>
          <w:szCs w:val="21"/>
          <w:highlight w:val="none"/>
        </w:rPr>
        <w:br w:type="page"/>
      </w:r>
    </w:p>
    <w:p>
      <w:pPr>
        <w:pStyle w:val="9"/>
        <w:rPr>
          <w:color w:val="auto"/>
          <w:highlight w:val="none"/>
        </w:rPr>
      </w:pPr>
      <w:bookmarkStart w:id="72" w:name="_Toc101453753"/>
      <w:bookmarkStart w:id="73" w:name="_Toc61541795"/>
      <w:bookmarkStart w:id="74" w:name="_Toc58838603"/>
      <w:bookmarkStart w:id="75" w:name="_Toc60070631"/>
      <w:r>
        <w:rPr>
          <w:rFonts w:hint="eastAsia"/>
          <w:color w:val="auto"/>
          <w:highlight w:val="none"/>
        </w:rPr>
        <w:t>格式九：</w:t>
      </w:r>
      <w:bookmarkEnd w:id="72"/>
      <w:bookmarkEnd w:id="73"/>
      <w:bookmarkEnd w:id="74"/>
      <w:bookmarkEnd w:id="75"/>
    </w:p>
    <w:p>
      <w:pPr>
        <w:jc w:val="center"/>
        <w:rPr>
          <w:rFonts w:ascii="宋体" w:hAnsi="宋体"/>
          <w:b/>
          <w:color w:val="auto"/>
          <w:sz w:val="36"/>
          <w:szCs w:val="36"/>
          <w:highlight w:val="none"/>
        </w:rPr>
      </w:pPr>
      <w:r>
        <w:rPr>
          <w:rFonts w:hint="eastAsia" w:ascii="宋体" w:hAnsi="宋体"/>
          <w:b/>
          <w:color w:val="auto"/>
          <w:sz w:val="36"/>
          <w:szCs w:val="36"/>
          <w:highlight w:val="none"/>
        </w:rPr>
        <w:t>参与编制技术标投标文件人员名单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hAnsi="宋体" w:cs="宋体"/>
                <w:color w:val="auto"/>
                <w:szCs w:val="21"/>
                <w:highlight w:val="none"/>
              </w:rPr>
            </w:pPr>
          </w:p>
        </w:tc>
      </w:tr>
    </w:tbl>
    <w:p>
      <w:pPr>
        <w:autoSpaceDE w:val="0"/>
        <w:autoSpaceDN w:val="0"/>
        <w:adjustRightInd w:val="0"/>
        <w:spacing w:line="360" w:lineRule="auto"/>
        <w:rPr>
          <w:rFonts w:ascii="宋体" w:hAnsi="宋体" w:cs="宋体"/>
          <w:bCs/>
          <w:color w:val="auto"/>
          <w:sz w:val="24"/>
          <w:szCs w:val="24"/>
          <w:highlight w:val="none"/>
        </w:rPr>
      </w:pPr>
      <w:r>
        <w:rPr>
          <w:rFonts w:hint="eastAsia" w:ascii="宋体" w:hAnsi="宋体" w:cs="宋体"/>
          <w:color w:val="auto"/>
          <w:sz w:val="24"/>
          <w:szCs w:val="24"/>
          <w:highlight w:val="none"/>
        </w:rPr>
        <w:t>注：参与编制技术标书所有人员名单应包括如编制技术投标方案、负责清样校对、负责打印及复印等所有人员在内的人员名单。</w:t>
      </w: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pStyle w:val="7"/>
        <w:rPr>
          <w:rFonts w:ascii="宋体" w:hAnsi="宋体"/>
          <w:bCs/>
          <w:color w:val="auto"/>
          <w:highlight w:val="none"/>
        </w:rPr>
      </w:pPr>
      <w:bookmarkStart w:id="76" w:name="_Toc101453754"/>
      <w:bookmarkStart w:id="77" w:name="_Toc61541796"/>
      <w:bookmarkStart w:id="78" w:name="_Toc58838604"/>
      <w:r>
        <w:rPr>
          <w:rFonts w:hint="eastAsia" w:ascii="宋体" w:hAnsi="宋体"/>
          <w:color w:val="auto"/>
          <w:highlight w:val="none"/>
        </w:rPr>
        <w:t>二、经济标投标文件格式</w:t>
      </w:r>
      <w:bookmarkEnd w:id="76"/>
      <w:bookmarkEnd w:id="77"/>
      <w:bookmarkEnd w:id="78"/>
    </w:p>
    <w:p>
      <w:pPr>
        <w:pStyle w:val="9"/>
        <w:rPr>
          <w:b/>
          <w:bCs/>
          <w:color w:val="auto"/>
          <w:sz w:val="44"/>
          <w:szCs w:val="44"/>
          <w:highlight w:val="none"/>
          <w:lang w:val="zh-CN"/>
        </w:rPr>
      </w:pPr>
      <w:bookmarkStart w:id="79" w:name="_Toc58838605"/>
      <w:bookmarkStart w:id="80" w:name="_Toc6493862"/>
      <w:bookmarkStart w:id="81" w:name="_Toc60070633"/>
      <w:bookmarkStart w:id="82" w:name="_Toc61541797"/>
      <w:bookmarkStart w:id="83" w:name="_Toc101453755"/>
      <w:r>
        <w:rPr>
          <w:rFonts w:hint="eastAsia"/>
          <w:snapToGrid w:val="0"/>
          <w:color w:val="auto"/>
          <w:highlight w:val="none"/>
        </w:rPr>
        <w:t>格式十</w:t>
      </w:r>
      <w:bookmarkEnd w:id="79"/>
      <w:bookmarkEnd w:id="80"/>
      <w:r>
        <w:rPr>
          <w:rFonts w:hint="eastAsia"/>
          <w:snapToGrid w:val="0"/>
          <w:color w:val="auto"/>
          <w:highlight w:val="none"/>
        </w:rPr>
        <w:t>：</w:t>
      </w:r>
      <w:bookmarkEnd w:id="81"/>
      <w:bookmarkEnd w:id="82"/>
      <w:bookmarkEnd w:id="83"/>
    </w:p>
    <w:p>
      <w:pPr>
        <w:jc w:val="center"/>
        <w:rPr>
          <w:rFonts w:ascii="宋体" w:hAnsi="宋体"/>
          <w:b/>
          <w:color w:val="auto"/>
          <w:sz w:val="36"/>
          <w:szCs w:val="36"/>
          <w:highlight w:val="none"/>
        </w:rPr>
      </w:pPr>
      <w:bookmarkStart w:id="84" w:name="_Toc58838606"/>
      <w:r>
        <w:rPr>
          <w:rFonts w:hint="eastAsia" w:ascii="宋体" w:hAnsi="宋体"/>
          <w:b/>
          <w:color w:val="auto"/>
          <w:sz w:val="36"/>
          <w:szCs w:val="36"/>
          <w:highlight w:val="none"/>
        </w:rPr>
        <w:t>广州建设工程施工招标投标书（经济标）</w:t>
      </w:r>
      <w:bookmarkEnd w:id="84"/>
    </w:p>
    <w:tbl>
      <w:tblPr>
        <w:tblStyle w:val="33"/>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b/>
                <w:color w:val="auto"/>
                <w:sz w:val="24"/>
                <w:szCs w:val="24"/>
                <w:highlight w:val="none"/>
                <w:lang w:val="zh-CN"/>
              </w:rPr>
            </w:pPr>
            <w:r>
              <w:rPr>
                <w:rFonts w:hint="eastAsia" w:ascii="宋体" w:hAnsi="宋体" w:cs="宋体"/>
                <w:bCs/>
                <w:color w:val="auto"/>
                <w:sz w:val="24"/>
                <w:szCs w:val="24"/>
                <w:highlight w:val="none"/>
                <w:lang w:val="zh-CN"/>
              </w:rPr>
              <w:t>其中：</w:t>
            </w:r>
            <w:r>
              <w:rPr>
                <w:rFonts w:hint="eastAsia" w:ascii="宋体" w:hAnsi="宋体" w:cs="宋体"/>
                <w:color w:val="auto"/>
                <w:sz w:val="24"/>
                <w:szCs w:val="24"/>
                <w:highlight w:val="none"/>
                <w:lang w:val="zh-CN"/>
              </w:rPr>
              <w:t>绿色施工安全防护措施费（元）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 暂列金额</w:t>
            </w:r>
            <w:r>
              <w:rPr>
                <w:rFonts w:hint="eastAsia" w:ascii="宋体" w:hAnsi="宋体"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其中：专业工程暂估价</w:t>
            </w: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大写：</w:t>
            </w:r>
            <w:r>
              <w:rPr>
                <w:rFonts w:ascii="宋体" w:hAnsi="宋体" w:cs="宋体"/>
                <w:bCs/>
                <w:color w:val="auto"/>
                <w:sz w:val="24"/>
                <w:szCs w:val="24"/>
                <w:highlight w:val="none"/>
                <w:lang w:val="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olor w:val="auto"/>
                <w:sz w:val="24"/>
                <w:szCs w:val="24"/>
                <w:highlight w:val="none"/>
              </w:rPr>
            </w:pPr>
            <w:r>
              <w:rPr>
                <w:rFonts w:hint="eastAsia" w:ascii="宋体" w:hAnsi="宋体"/>
                <w:color w:val="auto"/>
                <w:sz w:val="24"/>
                <w:szCs w:val="24"/>
                <w:highlight w:val="none"/>
              </w:rPr>
              <w:t>小写：</w:t>
            </w:r>
            <w:r>
              <w:rPr>
                <w:rFonts w:ascii="宋体" w:hAnsi="宋体" w:cs="宋体"/>
                <w:bCs/>
                <w:color w:val="auto"/>
                <w:sz w:val="24"/>
                <w:szCs w:val="24"/>
                <w:highlight w:val="none"/>
                <w:lang w:val="zh-CN"/>
              </w:rPr>
              <w:t xml:space="preserve"> </w:t>
            </w:r>
          </w:p>
        </w:tc>
      </w:tr>
    </w:tbl>
    <w:p>
      <w:pPr>
        <w:pStyle w:val="9"/>
        <w:rPr>
          <w:bCs/>
          <w:color w:val="auto"/>
          <w:highlight w:val="none"/>
        </w:rPr>
      </w:pPr>
      <w:r>
        <w:rPr>
          <w:color w:val="auto"/>
          <w:highlight w:val="none"/>
        </w:rPr>
        <w:br w:type="page"/>
      </w:r>
      <w:bookmarkStart w:id="85" w:name="_Toc6493863"/>
      <w:bookmarkStart w:id="86" w:name="_Toc58838607"/>
      <w:bookmarkStart w:id="87" w:name="_Toc101453756"/>
      <w:bookmarkStart w:id="88" w:name="_Toc60070634"/>
      <w:bookmarkStart w:id="89" w:name="_Toc61541798"/>
      <w:r>
        <w:rPr>
          <w:rFonts w:hint="eastAsia"/>
          <w:snapToGrid w:val="0"/>
          <w:color w:val="auto"/>
          <w:highlight w:val="none"/>
        </w:rPr>
        <w:t>格式十</w:t>
      </w:r>
      <w:bookmarkEnd w:id="85"/>
      <w:bookmarkEnd w:id="86"/>
      <w:r>
        <w:rPr>
          <w:rFonts w:hint="eastAsia"/>
          <w:snapToGrid w:val="0"/>
          <w:color w:val="auto"/>
          <w:highlight w:val="none"/>
        </w:rPr>
        <w:t>一：</w:t>
      </w:r>
      <w:bookmarkEnd w:id="87"/>
      <w:bookmarkEnd w:id="88"/>
      <w:bookmarkEnd w:id="89"/>
    </w:p>
    <w:p>
      <w:pPr>
        <w:jc w:val="center"/>
        <w:rPr>
          <w:rFonts w:ascii="宋体" w:hAnsi="宋体"/>
          <w:b/>
          <w:color w:val="auto"/>
          <w:sz w:val="36"/>
          <w:szCs w:val="36"/>
          <w:highlight w:val="none"/>
        </w:rPr>
      </w:pPr>
      <w:bookmarkStart w:id="90" w:name="_Toc58838608"/>
      <w:r>
        <w:rPr>
          <w:rFonts w:hint="eastAsia" w:ascii="宋体" w:hAnsi="宋体"/>
          <w:b/>
          <w:color w:val="auto"/>
          <w:sz w:val="36"/>
          <w:szCs w:val="36"/>
          <w:highlight w:val="none"/>
        </w:rPr>
        <w:t>参与编制经济标投标文件人员名单</w:t>
      </w:r>
      <w:bookmarkEnd w:id="90"/>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姓名</w:t>
            </w: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职务</w:t>
            </w: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所承担工作</w:t>
            </w: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身份证号码</w:t>
            </w: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pPr>
              <w:tabs>
                <w:tab w:val="left" w:pos="720"/>
              </w:tabs>
              <w:snapToGrid w:val="0"/>
              <w:spacing w:line="360" w:lineRule="auto"/>
              <w:jc w:val="center"/>
              <w:rPr>
                <w:rFonts w:ascii="宋体" w:hAnsi="宋体"/>
                <w:color w:val="auto"/>
                <w:sz w:val="24"/>
                <w:szCs w:val="24"/>
                <w:highlight w:val="none"/>
              </w:rPr>
            </w:pPr>
          </w:p>
        </w:tc>
        <w:tc>
          <w:tcPr>
            <w:tcW w:w="1441" w:type="dxa"/>
            <w:vAlign w:val="center"/>
          </w:tcPr>
          <w:p>
            <w:pPr>
              <w:tabs>
                <w:tab w:val="left" w:pos="720"/>
              </w:tabs>
              <w:snapToGrid w:val="0"/>
              <w:spacing w:line="360" w:lineRule="auto"/>
              <w:jc w:val="center"/>
              <w:rPr>
                <w:rFonts w:ascii="宋体" w:hAnsi="宋体"/>
                <w:color w:val="auto"/>
                <w:sz w:val="24"/>
                <w:szCs w:val="24"/>
                <w:highlight w:val="none"/>
              </w:rPr>
            </w:pPr>
          </w:p>
        </w:tc>
        <w:tc>
          <w:tcPr>
            <w:tcW w:w="2461" w:type="dxa"/>
            <w:vAlign w:val="center"/>
          </w:tcPr>
          <w:p>
            <w:pPr>
              <w:tabs>
                <w:tab w:val="left" w:pos="720"/>
              </w:tabs>
              <w:snapToGrid w:val="0"/>
              <w:spacing w:line="360" w:lineRule="auto"/>
              <w:jc w:val="center"/>
              <w:rPr>
                <w:rFonts w:ascii="宋体" w:hAnsi="宋体"/>
                <w:color w:val="auto"/>
                <w:sz w:val="24"/>
                <w:szCs w:val="24"/>
                <w:highlight w:val="none"/>
              </w:rPr>
            </w:pPr>
          </w:p>
        </w:tc>
        <w:tc>
          <w:tcPr>
            <w:tcW w:w="2359" w:type="dxa"/>
            <w:vAlign w:val="center"/>
          </w:tcPr>
          <w:p>
            <w:pPr>
              <w:tabs>
                <w:tab w:val="left" w:pos="720"/>
              </w:tabs>
              <w:snapToGrid w:val="0"/>
              <w:spacing w:line="360" w:lineRule="auto"/>
              <w:jc w:val="center"/>
              <w:rPr>
                <w:rFonts w:ascii="宋体" w:hAnsi="宋体"/>
                <w:color w:val="auto"/>
                <w:sz w:val="24"/>
                <w:szCs w:val="24"/>
                <w:highlight w:val="none"/>
              </w:rPr>
            </w:pPr>
          </w:p>
        </w:tc>
        <w:tc>
          <w:tcPr>
            <w:tcW w:w="1419" w:type="dxa"/>
            <w:vAlign w:val="center"/>
          </w:tcPr>
          <w:p>
            <w:pPr>
              <w:tabs>
                <w:tab w:val="left" w:pos="720"/>
              </w:tabs>
              <w:snapToGrid w:val="0"/>
              <w:spacing w:line="360" w:lineRule="auto"/>
              <w:jc w:val="center"/>
              <w:rPr>
                <w:rFonts w:ascii="宋体" w:hAnsi="宋体"/>
                <w:color w:val="auto"/>
                <w:sz w:val="24"/>
                <w:szCs w:val="24"/>
                <w:highlight w:val="none"/>
              </w:rPr>
            </w:pPr>
          </w:p>
        </w:tc>
      </w:tr>
    </w:tbl>
    <w:p>
      <w:pPr>
        <w:tabs>
          <w:tab w:val="left" w:pos="720"/>
        </w:tabs>
        <w:snapToGrid w:val="0"/>
        <w:spacing w:line="360" w:lineRule="auto"/>
        <w:rPr>
          <w:rFonts w:ascii="宋体" w:hAnsi="宋体"/>
          <w:color w:val="auto"/>
          <w:sz w:val="24"/>
          <w:szCs w:val="24"/>
          <w:highlight w:val="none"/>
        </w:rPr>
      </w:pPr>
    </w:p>
    <w:p>
      <w:pPr>
        <w:rPr>
          <w:rFonts w:ascii="宋体" w:hAnsi="宋体"/>
          <w:color w:val="auto"/>
          <w:highlight w:val="none"/>
        </w:rPr>
      </w:pPr>
      <w:r>
        <w:rPr>
          <w:rFonts w:hint="eastAsia" w:ascii="宋体" w:hAnsi="宋体"/>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pPr>
        <w:widowControl/>
        <w:jc w:val="left"/>
        <w:rPr>
          <w:rFonts w:ascii="宋体" w:hAnsi="宋体" w:cs="宋体"/>
          <w:b/>
          <w:color w:val="auto"/>
          <w:kern w:val="0"/>
          <w:sz w:val="24"/>
          <w:szCs w:val="24"/>
          <w:highlight w:val="none"/>
        </w:rPr>
      </w:pPr>
      <w:r>
        <w:rPr>
          <w:rFonts w:ascii="宋体" w:hAnsi="宋体"/>
          <w:color w:val="auto"/>
          <w:highlight w:val="none"/>
        </w:rPr>
        <w:br w:type="page"/>
      </w:r>
    </w:p>
    <w:p>
      <w:pPr>
        <w:pStyle w:val="9"/>
        <w:rPr>
          <w:color w:val="auto"/>
          <w:highlight w:val="none"/>
        </w:rPr>
      </w:pPr>
      <w:bookmarkStart w:id="91" w:name="_Toc61541799"/>
      <w:bookmarkStart w:id="92" w:name="_Toc60070635"/>
      <w:bookmarkStart w:id="93" w:name="_Toc101453757"/>
      <w:r>
        <w:rPr>
          <w:rFonts w:hint="eastAsia"/>
          <w:color w:val="auto"/>
          <w:highlight w:val="none"/>
        </w:rPr>
        <w:t>格式</w:t>
      </w:r>
      <w:r>
        <w:rPr>
          <w:rFonts w:hint="eastAsia"/>
          <w:snapToGrid w:val="0"/>
          <w:color w:val="auto"/>
          <w:highlight w:val="none"/>
        </w:rPr>
        <w:t>十二</w:t>
      </w:r>
      <w:r>
        <w:rPr>
          <w:rFonts w:hint="eastAsia"/>
          <w:color w:val="auto"/>
          <w:kern w:val="2"/>
          <w:highlight w:val="none"/>
        </w:rPr>
        <w:t>：</w:t>
      </w:r>
      <w:bookmarkEnd w:id="91"/>
      <w:bookmarkEnd w:id="92"/>
      <w:bookmarkEnd w:id="93"/>
    </w:p>
    <w:p>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ascii="宋体" w:hAnsi="宋体" w:cs="宋体"/>
          <w:color w:val="auto"/>
          <w:sz w:val="24"/>
          <w:szCs w:val="24"/>
          <w:highlight w:val="none"/>
        </w:rPr>
      </w:pP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投 标 人：    （盖章）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法定代表人或授权代理人（签字或盖章）：</w:t>
      </w:r>
    </w:p>
    <w:p>
      <w:pPr>
        <w:spacing w:line="360" w:lineRule="auto"/>
        <w:ind w:right="90" w:firstLine="3240" w:firstLineChars="1350"/>
        <w:rPr>
          <w:rFonts w:ascii="宋体" w:hAnsi="宋体" w:cs="宋体"/>
          <w:color w:val="auto"/>
          <w:sz w:val="24"/>
          <w:szCs w:val="24"/>
          <w:highlight w:val="none"/>
        </w:rPr>
      </w:pPr>
      <w:r>
        <w:rPr>
          <w:rFonts w:hint="eastAsia" w:ascii="宋体" w:hAnsi="宋体" w:cs="宋体"/>
          <w:color w:val="auto"/>
          <w:sz w:val="24"/>
          <w:szCs w:val="24"/>
          <w:highlight w:val="none"/>
        </w:rPr>
        <w:t>日    期：    年    月    日</w:t>
      </w:r>
    </w:p>
    <w:p>
      <w:pPr>
        <w:pStyle w:val="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pPr>
        <w:pStyle w:val="5"/>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33"/>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电脑类型</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pPr>
              <w:pStyle w:val="5"/>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pPr>
        <w:spacing w:line="320" w:lineRule="exact"/>
        <w:rPr>
          <w:rFonts w:ascii="仿宋_GB2312" w:hAnsi="楷体" w:eastAsia="仿宋_GB2312"/>
          <w:color w:val="auto"/>
          <w:szCs w:val="21"/>
          <w:highlight w:val="none"/>
        </w:rPr>
      </w:pPr>
    </w:p>
    <w:p>
      <w:pPr>
        <w:jc w:val="center"/>
        <w:rPr>
          <w:color w:val="auto"/>
          <w:sz w:val="24"/>
          <w:szCs w:val="24"/>
          <w:highlight w:val="none"/>
        </w:rPr>
      </w:pPr>
      <w:r>
        <w:rPr>
          <w:color w:val="auto"/>
          <w:sz w:val="24"/>
          <w:szCs w:val="24"/>
          <w:highlight w:val="none"/>
        </w:rPr>
        <w:br w:type="page"/>
      </w:r>
      <w:bookmarkStart w:id="94" w:name="_Toc101453758"/>
      <w:bookmarkStart w:id="95" w:name="_Toc2272568"/>
    </w:p>
    <w:p>
      <w:pPr>
        <w:pStyle w:val="9"/>
        <w:rPr>
          <w:color w:val="auto"/>
          <w:highlight w:val="none"/>
        </w:rPr>
      </w:pPr>
      <w:r>
        <w:rPr>
          <w:rFonts w:hint="eastAsia"/>
          <w:color w:val="auto"/>
          <w:highlight w:val="none"/>
        </w:rPr>
        <w:t>格式</w:t>
      </w:r>
      <w:r>
        <w:rPr>
          <w:rFonts w:hint="eastAsia"/>
          <w:snapToGrid w:val="0"/>
          <w:color w:val="auto"/>
          <w:highlight w:val="none"/>
        </w:rPr>
        <w:t>十三</w:t>
      </w:r>
      <w:r>
        <w:rPr>
          <w:rFonts w:hint="eastAsia"/>
          <w:color w:val="auto"/>
          <w:kern w:val="2"/>
          <w:highlight w:val="none"/>
        </w:rPr>
        <w:t>：</w:t>
      </w:r>
    </w:p>
    <w:p>
      <w:pPr>
        <w:jc w:val="center"/>
        <w:rPr>
          <w:color w:val="auto"/>
          <w:sz w:val="32"/>
          <w:szCs w:val="32"/>
          <w:highlight w:val="none"/>
        </w:rPr>
      </w:pPr>
      <w:r>
        <w:rPr>
          <w:rFonts w:hint="eastAsia"/>
          <w:color w:val="auto"/>
          <w:sz w:val="32"/>
          <w:szCs w:val="32"/>
          <w:highlight w:val="none"/>
        </w:rPr>
        <w:t>设备系列表</w:t>
      </w:r>
    </w:p>
    <w:p>
      <w:pPr>
        <w:jc w:val="left"/>
        <w:rPr>
          <w:color w:val="auto"/>
          <w:highlight w:val="none"/>
        </w:rPr>
      </w:pPr>
      <w:r>
        <w:rPr>
          <w:rFonts w:hint="eastAsia"/>
          <w:color w:val="auto"/>
          <w:highlight w:val="none"/>
        </w:rPr>
        <w:t>招标项目名称：</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469"/>
        <w:gridCol w:w="2006"/>
        <w:gridCol w:w="1396"/>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序号</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主要设备名称</w:t>
            </w:r>
          </w:p>
        </w:tc>
        <w:tc>
          <w:tcPr>
            <w:tcW w:w="2006"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系列</w:t>
            </w:r>
          </w:p>
        </w:tc>
        <w:tc>
          <w:tcPr>
            <w:tcW w:w="1396"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数量</w:t>
            </w:r>
          </w:p>
        </w:tc>
        <w:tc>
          <w:tcPr>
            <w:tcW w:w="1660"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1</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室外机</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2</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室外机</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color w:val="auto"/>
                <w:sz w:val="24"/>
                <w:szCs w:val="24"/>
                <w:highlight w:val="none"/>
              </w:rPr>
              <w:t>3</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室内机</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4</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室内机</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5</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室内机</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color w:val="auto"/>
                <w:sz w:val="24"/>
                <w:szCs w:val="24"/>
                <w:highlight w:val="none"/>
              </w:rPr>
              <w:t>6</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室内新风机</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color w:val="auto"/>
                <w:sz w:val="24"/>
                <w:szCs w:val="24"/>
                <w:highlight w:val="none"/>
              </w:rPr>
              <w:t>7</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组合式空气处理机组</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8</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V</w:t>
            </w:r>
            <w:r>
              <w:rPr>
                <w:color w:val="auto"/>
                <w:sz w:val="24"/>
                <w:szCs w:val="24"/>
                <w:highlight w:val="none"/>
              </w:rPr>
              <w:t>RV</w:t>
            </w:r>
            <w:r>
              <w:rPr>
                <w:rFonts w:hint="eastAsia"/>
                <w:color w:val="auto"/>
                <w:sz w:val="24"/>
                <w:szCs w:val="24"/>
                <w:highlight w:val="none"/>
              </w:rPr>
              <w:t>控制器</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分户计量设备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9</w:t>
            </w:r>
          </w:p>
        </w:tc>
        <w:tc>
          <w:tcPr>
            <w:tcW w:w="2469" w:type="dxa"/>
          </w:tcPr>
          <w:p>
            <w:pPr>
              <w:adjustRightInd w:val="0"/>
              <w:snapToGrid w:val="0"/>
              <w:spacing w:before="156" w:beforeLines="50" w:after="156" w:afterLines="50"/>
              <w:jc w:val="center"/>
              <w:rPr>
                <w:color w:val="auto"/>
                <w:sz w:val="24"/>
                <w:szCs w:val="24"/>
                <w:highlight w:val="none"/>
              </w:rPr>
            </w:pPr>
            <w:r>
              <w:rPr>
                <w:rFonts w:hint="eastAsia"/>
                <w:color w:val="auto"/>
                <w:sz w:val="24"/>
                <w:szCs w:val="24"/>
                <w:highlight w:val="none"/>
              </w:rPr>
              <w:t>智能电表</w:t>
            </w: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tcPr>
          <w:p>
            <w:pPr>
              <w:adjustRightInd w:val="0"/>
              <w:snapToGrid w:val="0"/>
              <w:spacing w:before="156" w:beforeLines="50" w:after="156" w:afterLines="50"/>
              <w:jc w:val="center"/>
              <w:rPr>
                <w:color w:val="auto"/>
                <w:sz w:val="24"/>
                <w:szCs w:val="24"/>
                <w:highlight w:val="none"/>
              </w:rPr>
            </w:pPr>
          </w:p>
        </w:tc>
        <w:tc>
          <w:tcPr>
            <w:tcW w:w="2469" w:type="dxa"/>
          </w:tcPr>
          <w:p>
            <w:pPr>
              <w:adjustRightInd w:val="0"/>
              <w:snapToGrid w:val="0"/>
              <w:spacing w:before="156" w:beforeLines="50" w:after="156" w:afterLines="50"/>
              <w:jc w:val="center"/>
              <w:rPr>
                <w:color w:val="auto"/>
                <w:sz w:val="24"/>
                <w:szCs w:val="24"/>
                <w:highlight w:val="none"/>
              </w:rPr>
            </w:pPr>
          </w:p>
        </w:tc>
        <w:tc>
          <w:tcPr>
            <w:tcW w:w="2006" w:type="dxa"/>
          </w:tcPr>
          <w:p>
            <w:pPr>
              <w:adjustRightInd w:val="0"/>
              <w:snapToGrid w:val="0"/>
              <w:spacing w:before="156" w:beforeLines="50" w:after="156" w:afterLines="50"/>
              <w:jc w:val="center"/>
              <w:rPr>
                <w:color w:val="auto"/>
                <w:sz w:val="24"/>
                <w:szCs w:val="24"/>
                <w:highlight w:val="none"/>
              </w:rPr>
            </w:pPr>
          </w:p>
        </w:tc>
        <w:tc>
          <w:tcPr>
            <w:tcW w:w="1396" w:type="dxa"/>
          </w:tcPr>
          <w:p>
            <w:pPr>
              <w:adjustRightInd w:val="0"/>
              <w:snapToGrid w:val="0"/>
              <w:spacing w:before="156" w:beforeLines="50" w:after="156" w:afterLines="50"/>
              <w:jc w:val="center"/>
              <w:rPr>
                <w:color w:val="auto"/>
                <w:sz w:val="24"/>
                <w:szCs w:val="24"/>
                <w:highlight w:val="none"/>
              </w:rPr>
            </w:pPr>
          </w:p>
        </w:tc>
        <w:tc>
          <w:tcPr>
            <w:tcW w:w="1660" w:type="dxa"/>
          </w:tcPr>
          <w:p>
            <w:pPr>
              <w:adjustRightInd w:val="0"/>
              <w:snapToGrid w:val="0"/>
              <w:spacing w:before="156" w:beforeLines="50" w:after="156" w:afterLines="50"/>
              <w:jc w:val="center"/>
              <w:rPr>
                <w:color w:val="auto"/>
                <w:sz w:val="24"/>
                <w:szCs w:val="24"/>
                <w:highlight w:val="none"/>
              </w:rPr>
            </w:pPr>
          </w:p>
        </w:tc>
      </w:tr>
    </w:tbl>
    <w:p>
      <w:pPr>
        <w:rPr>
          <w:color w:val="auto"/>
          <w:highlight w:val="none"/>
        </w:rPr>
      </w:pPr>
    </w:p>
    <w:p>
      <w:pPr>
        <w:spacing w:line="360" w:lineRule="auto"/>
        <w:rPr>
          <w:color w:val="auto"/>
          <w:sz w:val="24"/>
          <w:szCs w:val="24"/>
          <w:highlight w:val="none"/>
        </w:rPr>
      </w:pPr>
      <w:r>
        <w:rPr>
          <w:rFonts w:hint="eastAsia"/>
          <w:color w:val="auto"/>
          <w:sz w:val="24"/>
          <w:szCs w:val="24"/>
          <w:highlight w:val="none"/>
        </w:rPr>
        <w:t>说明：投标人需根据各自公司产品型号系列填写，可自行增加行数，相同规格（或型号）只需一栏。</w:t>
      </w:r>
    </w:p>
    <w:p>
      <w:pPr>
        <w:rPr>
          <w:color w:val="auto"/>
          <w:sz w:val="24"/>
          <w:szCs w:val="24"/>
          <w:highlight w:val="none"/>
        </w:rPr>
      </w:pPr>
      <w:r>
        <w:rPr>
          <w:color w:val="auto"/>
          <w:sz w:val="24"/>
          <w:szCs w:val="24"/>
          <w:highlight w:val="none"/>
        </w:rPr>
        <w:br w:type="page"/>
      </w:r>
    </w:p>
    <w:p>
      <w:pPr>
        <w:tabs>
          <w:tab w:val="left" w:pos="720"/>
        </w:tabs>
        <w:snapToGrid w:val="0"/>
        <w:spacing w:line="360" w:lineRule="auto"/>
        <w:rPr>
          <w:rStyle w:val="57"/>
          <w:color w:val="auto"/>
          <w:highlight w:val="none"/>
        </w:rPr>
      </w:pPr>
      <w:r>
        <w:rPr>
          <w:rStyle w:val="57"/>
          <w:rFonts w:hint="eastAsia"/>
          <w:color w:val="auto"/>
          <w:highlight w:val="none"/>
        </w:rPr>
        <w:t>第五章</w:t>
      </w:r>
      <w:r>
        <w:rPr>
          <w:rStyle w:val="57"/>
          <w:color w:val="auto"/>
          <w:highlight w:val="none"/>
        </w:rPr>
        <w:t xml:space="preserve">  </w:t>
      </w:r>
      <w:r>
        <w:rPr>
          <w:rStyle w:val="57"/>
          <w:rFonts w:hint="eastAsia"/>
          <w:color w:val="auto"/>
          <w:highlight w:val="none"/>
        </w:rPr>
        <w:t>技术条件（工程建设标准）</w:t>
      </w:r>
      <w:bookmarkEnd w:id="94"/>
      <w:bookmarkEnd w:id="95"/>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3"/>
        <w:rPr>
          <w:color w:val="auto"/>
          <w:highlight w:val="none"/>
        </w:rPr>
      </w:pPr>
      <w:r>
        <w:rPr>
          <w:color w:val="auto"/>
          <w:sz w:val="24"/>
          <w:szCs w:val="24"/>
          <w:highlight w:val="none"/>
        </w:rPr>
        <w:br w:type="page"/>
      </w:r>
      <w:bookmarkStart w:id="96" w:name="_Toc101453759"/>
      <w:bookmarkStart w:id="97" w:name="_Toc2272569"/>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96"/>
      <w:bookmarkEnd w:id="97"/>
    </w:p>
    <w:p>
      <w:pPr>
        <w:rPr>
          <w:rFonts w:ascii="宋体"/>
          <w:b/>
          <w:color w:val="auto"/>
          <w:sz w:val="24"/>
          <w:szCs w:val="24"/>
          <w:highlight w:val="none"/>
        </w:rPr>
      </w:pPr>
      <w:r>
        <w:rPr>
          <w:rFonts w:hint="eastAsia" w:ascii="宋体" w:hAnsi="宋体"/>
          <w:color w:val="auto"/>
          <w:sz w:val="24"/>
          <w:szCs w:val="24"/>
          <w:highlight w:val="none"/>
        </w:rPr>
        <w:t>注：本章由招标人自行制定，另册。</w:t>
      </w:r>
    </w:p>
    <w:p>
      <w:pPr>
        <w:pStyle w:val="3"/>
        <w:rPr>
          <w:color w:val="auto"/>
          <w:highlight w:val="none"/>
        </w:rPr>
      </w:pPr>
      <w:r>
        <w:rPr>
          <w:color w:val="auto"/>
          <w:sz w:val="24"/>
          <w:szCs w:val="24"/>
          <w:highlight w:val="none"/>
        </w:rPr>
        <w:br w:type="page"/>
      </w:r>
      <w:bookmarkStart w:id="98" w:name="_Toc101453760"/>
      <w:bookmarkStart w:id="99" w:name="_Toc2272570"/>
      <w:r>
        <w:rPr>
          <w:rFonts w:hint="eastAsia"/>
          <w:color w:val="auto"/>
          <w:highlight w:val="none"/>
        </w:rPr>
        <w:t>第七章</w:t>
      </w:r>
      <w:r>
        <w:rPr>
          <w:color w:val="auto"/>
          <w:highlight w:val="none"/>
        </w:rPr>
        <w:t xml:space="preserve">  </w:t>
      </w:r>
      <w:r>
        <w:rPr>
          <w:rFonts w:hint="eastAsia"/>
          <w:color w:val="auto"/>
          <w:highlight w:val="none"/>
        </w:rPr>
        <w:t>工程量清单</w:t>
      </w:r>
      <w:bookmarkEnd w:id="98"/>
      <w:bookmarkEnd w:id="99"/>
    </w:p>
    <w:p>
      <w:pPr>
        <w:rPr>
          <w:rFonts w:ascii="宋体"/>
          <w:b/>
          <w:color w:val="auto"/>
          <w:sz w:val="24"/>
          <w:szCs w:val="24"/>
          <w:highlight w:val="none"/>
        </w:rPr>
      </w:pPr>
      <w:r>
        <w:rPr>
          <w:rFonts w:hint="eastAsia" w:ascii="宋体" w:hAnsi="宋体"/>
          <w:color w:val="auto"/>
          <w:sz w:val="24"/>
          <w:szCs w:val="24"/>
          <w:highlight w:val="none"/>
        </w:rPr>
        <w:t>注：本章由招标人自行制定。</w:t>
      </w:r>
    </w:p>
    <w:p>
      <w:pPr>
        <w:pStyle w:val="5"/>
        <w:spacing w:after="0" w:line="360" w:lineRule="auto"/>
        <w:ind w:left="-2" w:leftChars="-1" w:firstLine="960" w:firstLineChars="400"/>
        <w:rPr>
          <w:rFonts w:ascii="宋体"/>
          <w:color w:val="auto"/>
          <w:sz w:val="24"/>
          <w:highlight w:val="none"/>
        </w:rPr>
      </w:pPr>
    </w:p>
    <w:p>
      <w:pPr>
        <w:pStyle w:val="3"/>
        <w:rPr>
          <w:color w:val="auto"/>
          <w:highlight w:val="none"/>
        </w:rPr>
      </w:pPr>
    </w:p>
    <w:p>
      <w:pPr>
        <w:pStyle w:val="3"/>
        <w:rPr>
          <w:rFonts w:ascii="宋体"/>
          <w:color w:val="auto"/>
          <w:highlight w:val="none"/>
        </w:rPr>
      </w:pPr>
      <w:r>
        <w:rPr>
          <w:color w:val="auto"/>
          <w:sz w:val="24"/>
          <w:szCs w:val="24"/>
          <w:highlight w:val="none"/>
        </w:rPr>
        <w:br w:type="page"/>
      </w:r>
      <w:bookmarkStart w:id="100" w:name="_Toc101453761"/>
      <w:bookmarkStart w:id="101" w:name="_Toc2272571"/>
      <w:r>
        <w:rPr>
          <w:rFonts w:hint="eastAsia"/>
          <w:color w:val="auto"/>
          <w:highlight w:val="none"/>
        </w:rPr>
        <w:t>第八章</w:t>
      </w:r>
      <w:r>
        <w:rPr>
          <w:color w:val="auto"/>
          <w:highlight w:val="none"/>
        </w:rPr>
        <w:t xml:space="preserve">  </w:t>
      </w:r>
      <w:r>
        <w:rPr>
          <w:rFonts w:hint="eastAsia"/>
          <w:color w:val="auto"/>
          <w:highlight w:val="none"/>
        </w:rPr>
        <w:t>最高投标限价</w:t>
      </w:r>
      <w:bookmarkEnd w:id="100"/>
      <w:bookmarkEnd w:id="101"/>
    </w:p>
    <w:p>
      <w:pPr>
        <w:spacing w:line="360" w:lineRule="auto"/>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注：本章由招标人自行制定，另册。</w:t>
      </w:r>
    </w:p>
    <w:p>
      <w:pPr>
        <w:rPr>
          <w:color w:val="auto"/>
          <w:highlight w:val="none"/>
        </w:rPr>
      </w:pPr>
    </w:p>
    <w:sectPr>
      <w:pgSz w:w="11906" w:h="16838"/>
      <w:pgMar w:top="1417" w:right="1417" w:bottom="1417" w:left="141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2314034"/>
    </w:sdtPr>
    <w:sdtContent>
      <w:p>
        <w:pPr>
          <w:pStyle w:val="24"/>
          <w:jc w:val="center"/>
        </w:pPr>
        <w:r>
          <w:fldChar w:fldCharType="begin"/>
        </w:r>
        <w:r>
          <w:instrText xml:space="preserve">PAGE   \* MERGEFORMAT</w:instrText>
        </w:r>
        <w:r>
          <w:fldChar w:fldCharType="separate"/>
        </w:r>
        <w:r>
          <w:rPr>
            <w:lang w:val="zh-CN"/>
          </w:rPr>
          <w:t>55</w:t>
        </w:r>
        <w:r>
          <w:rPr>
            <w:lang w:val="zh-CN"/>
          </w:rPr>
          <w:fldChar w:fldCharType="end"/>
        </w:r>
      </w:p>
    </w:sdtContent>
  </w:sdt>
  <w:p>
    <w:pPr>
      <w:pStyle w:val="24"/>
      <w:ind w:firstLine="392"/>
      <w:jc w:val="right"/>
      <w:rPr>
        <w:rStyle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92"/>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pPr>
      <w:pStyle w:val="24"/>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0960152"/>
      <w:showingPlcHdr/>
    </w:sdtPr>
    <w:sdtContent>
      <w:p>
        <w:pPr>
          <w:pStyle w:val="24"/>
          <w:jc w:val="center"/>
        </w:pPr>
        <w:r>
          <w:t xml:space="preserve">     </w:t>
        </w:r>
      </w:p>
    </w:sdtContent>
  </w:sdt>
  <w:p>
    <w:pPr>
      <w:pStyle w:val="24"/>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8"/>
      </w:rPr>
    </w:pPr>
    <w:r>
      <w:rPr>
        <w:rStyle w:val="38"/>
      </w:rPr>
      <w:fldChar w:fldCharType="begin"/>
    </w:r>
    <w:r>
      <w:rPr>
        <w:rStyle w:val="38"/>
      </w:rPr>
      <w:instrText xml:space="preserve">PAGE  </w:instrText>
    </w:r>
    <w:r>
      <w:rPr>
        <w:rStyle w:val="38"/>
      </w:rPr>
      <w:fldChar w:fldCharType="separate"/>
    </w:r>
    <w:r>
      <w:rPr>
        <w:rStyle w:val="38"/>
      </w:rPr>
      <w:t>88</w:t>
    </w:r>
    <w:r>
      <w:rPr>
        <w:rStyle w:val="38"/>
      </w:rPr>
      <w:fldChar w:fldCharType="end"/>
    </w:r>
  </w:p>
  <w:p>
    <w:pPr>
      <w:pStyle w:val="24"/>
      <w:framePr w:wrap="around" w:vAnchor="text" w:hAnchor="margin" w:xAlign="outside" w:y="1"/>
      <w:ind w:left="-4410" w:leftChars="-2100" w:right="-4439" w:rightChars="-2114"/>
      <w:rPr>
        <w:rStyle w:val="38"/>
      </w:rPr>
    </w:pPr>
  </w:p>
  <w:p>
    <w:pPr>
      <w:pStyle w:val="24"/>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pPr>
      <w:pStyle w:val="24"/>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38"/>
      </w:rPr>
      <w:fldChar w:fldCharType="begin"/>
    </w:r>
    <w:r>
      <w:rPr>
        <w:rStyle w:val="38"/>
      </w:rPr>
      <w:instrText xml:space="preserve"> PAGE </w:instrText>
    </w:r>
    <w:r>
      <w:rPr>
        <w:rStyle w:val="38"/>
      </w:rPr>
      <w:fldChar w:fldCharType="separate"/>
    </w:r>
    <w:r>
      <w:rPr>
        <w:rStyle w:val="38"/>
      </w:rPr>
      <w:t>64</w:t>
    </w:r>
    <w:r>
      <w:rPr>
        <w:rStyle w:val="3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2C6CA"/>
    <w:multiLevelType w:val="singleLevel"/>
    <w:tmpl w:val="9CD2C6CA"/>
    <w:lvl w:ilvl="0" w:tentative="0">
      <w:start w:val="2"/>
      <w:numFmt w:val="decimal"/>
      <w:suff w:val="nothing"/>
      <w:lvlText w:val="%1、"/>
      <w:lvlJc w:val="left"/>
    </w:lvl>
  </w:abstractNum>
  <w:abstractNum w:abstractNumId="1">
    <w:nsid w:val="00000003"/>
    <w:multiLevelType w:val="multilevel"/>
    <w:tmpl w:val="00000003"/>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59905B5"/>
    <w:multiLevelType w:val="multilevel"/>
    <w:tmpl w:val="259905B5"/>
    <w:lvl w:ilvl="0" w:tentative="0">
      <w:start w:val="1"/>
      <w:numFmt w:val="chineseCountingThousand"/>
      <w:pStyle w:val="9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3">
    <w:nsid w:val="3AD5465A"/>
    <w:multiLevelType w:val="multilevel"/>
    <w:tmpl w:val="3AD5465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007B41BE"/>
    <w:rsid w:val="000056F6"/>
    <w:rsid w:val="000200EE"/>
    <w:rsid w:val="000418DD"/>
    <w:rsid w:val="00042B7C"/>
    <w:rsid w:val="00050D77"/>
    <w:rsid w:val="000563DB"/>
    <w:rsid w:val="000575F8"/>
    <w:rsid w:val="000649E4"/>
    <w:rsid w:val="00083C72"/>
    <w:rsid w:val="0009056F"/>
    <w:rsid w:val="000940D3"/>
    <w:rsid w:val="00094FBC"/>
    <w:rsid w:val="000C1007"/>
    <w:rsid w:val="000C11E0"/>
    <w:rsid w:val="000C2710"/>
    <w:rsid w:val="000C745B"/>
    <w:rsid w:val="000D396E"/>
    <w:rsid w:val="000E5F88"/>
    <w:rsid w:val="000F1C8C"/>
    <w:rsid w:val="00136A66"/>
    <w:rsid w:val="00150EAD"/>
    <w:rsid w:val="0015163B"/>
    <w:rsid w:val="001539A7"/>
    <w:rsid w:val="00181CAA"/>
    <w:rsid w:val="001B06BD"/>
    <w:rsid w:val="001B7EF0"/>
    <w:rsid w:val="001F223A"/>
    <w:rsid w:val="001F366D"/>
    <w:rsid w:val="001F5B51"/>
    <w:rsid w:val="001F6B71"/>
    <w:rsid w:val="00204A27"/>
    <w:rsid w:val="0021389E"/>
    <w:rsid w:val="002158FF"/>
    <w:rsid w:val="00233455"/>
    <w:rsid w:val="002340B3"/>
    <w:rsid w:val="00260B50"/>
    <w:rsid w:val="00292607"/>
    <w:rsid w:val="002D3950"/>
    <w:rsid w:val="002E70B2"/>
    <w:rsid w:val="00307B61"/>
    <w:rsid w:val="00336AA3"/>
    <w:rsid w:val="003464E6"/>
    <w:rsid w:val="00354383"/>
    <w:rsid w:val="0036264C"/>
    <w:rsid w:val="003646A0"/>
    <w:rsid w:val="003A17B1"/>
    <w:rsid w:val="003A32B8"/>
    <w:rsid w:val="003B1F2C"/>
    <w:rsid w:val="003C0B47"/>
    <w:rsid w:val="003D0A07"/>
    <w:rsid w:val="003D60C1"/>
    <w:rsid w:val="003E48ED"/>
    <w:rsid w:val="003E59BA"/>
    <w:rsid w:val="00404D09"/>
    <w:rsid w:val="0040518F"/>
    <w:rsid w:val="00414D11"/>
    <w:rsid w:val="00431082"/>
    <w:rsid w:val="00431788"/>
    <w:rsid w:val="004370EC"/>
    <w:rsid w:val="004424B8"/>
    <w:rsid w:val="004869CE"/>
    <w:rsid w:val="00491F56"/>
    <w:rsid w:val="004A517A"/>
    <w:rsid w:val="004B295D"/>
    <w:rsid w:val="004B6CF3"/>
    <w:rsid w:val="004B790E"/>
    <w:rsid w:val="004E2D26"/>
    <w:rsid w:val="00503479"/>
    <w:rsid w:val="00520647"/>
    <w:rsid w:val="00544AEF"/>
    <w:rsid w:val="0056043F"/>
    <w:rsid w:val="00561878"/>
    <w:rsid w:val="00566FF4"/>
    <w:rsid w:val="005717C0"/>
    <w:rsid w:val="005754FB"/>
    <w:rsid w:val="00580DF5"/>
    <w:rsid w:val="0058533E"/>
    <w:rsid w:val="005866FB"/>
    <w:rsid w:val="00596D04"/>
    <w:rsid w:val="005C212B"/>
    <w:rsid w:val="005D6037"/>
    <w:rsid w:val="005E2033"/>
    <w:rsid w:val="005E6A61"/>
    <w:rsid w:val="005F04E7"/>
    <w:rsid w:val="005F29E5"/>
    <w:rsid w:val="005F69A5"/>
    <w:rsid w:val="006036EF"/>
    <w:rsid w:val="00606080"/>
    <w:rsid w:val="00636EA0"/>
    <w:rsid w:val="00651BF0"/>
    <w:rsid w:val="006555C4"/>
    <w:rsid w:val="00673B83"/>
    <w:rsid w:val="006768D9"/>
    <w:rsid w:val="00680BFD"/>
    <w:rsid w:val="0068618C"/>
    <w:rsid w:val="0069107C"/>
    <w:rsid w:val="006A0501"/>
    <w:rsid w:val="006A4FC4"/>
    <w:rsid w:val="006B6B0D"/>
    <w:rsid w:val="006C286A"/>
    <w:rsid w:val="006C419D"/>
    <w:rsid w:val="006F3576"/>
    <w:rsid w:val="00717327"/>
    <w:rsid w:val="007214B9"/>
    <w:rsid w:val="0073229B"/>
    <w:rsid w:val="00733CE9"/>
    <w:rsid w:val="00746170"/>
    <w:rsid w:val="00780EC8"/>
    <w:rsid w:val="007845BD"/>
    <w:rsid w:val="00784C94"/>
    <w:rsid w:val="00795FF6"/>
    <w:rsid w:val="007B41BE"/>
    <w:rsid w:val="007C5927"/>
    <w:rsid w:val="007C7589"/>
    <w:rsid w:val="007D3C51"/>
    <w:rsid w:val="007D6D06"/>
    <w:rsid w:val="007F32D9"/>
    <w:rsid w:val="00806ED5"/>
    <w:rsid w:val="00824373"/>
    <w:rsid w:val="008355BB"/>
    <w:rsid w:val="00835C9E"/>
    <w:rsid w:val="00840D82"/>
    <w:rsid w:val="00856318"/>
    <w:rsid w:val="00861CED"/>
    <w:rsid w:val="008720BE"/>
    <w:rsid w:val="00872527"/>
    <w:rsid w:val="008743DA"/>
    <w:rsid w:val="00887C79"/>
    <w:rsid w:val="008D2515"/>
    <w:rsid w:val="008D6711"/>
    <w:rsid w:val="008E4AD1"/>
    <w:rsid w:val="008F0A21"/>
    <w:rsid w:val="00906C9D"/>
    <w:rsid w:val="0091566E"/>
    <w:rsid w:val="00920E49"/>
    <w:rsid w:val="009305BD"/>
    <w:rsid w:val="009352C7"/>
    <w:rsid w:val="00935F8A"/>
    <w:rsid w:val="00955560"/>
    <w:rsid w:val="00961652"/>
    <w:rsid w:val="009809E5"/>
    <w:rsid w:val="00991949"/>
    <w:rsid w:val="009A704D"/>
    <w:rsid w:val="009D1ED7"/>
    <w:rsid w:val="009D7437"/>
    <w:rsid w:val="009E790A"/>
    <w:rsid w:val="00A02BE4"/>
    <w:rsid w:val="00A031B4"/>
    <w:rsid w:val="00A0387A"/>
    <w:rsid w:val="00A0619D"/>
    <w:rsid w:val="00A07896"/>
    <w:rsid w:val="00A20AF3"/>
    <w:rsid w:val="00A2579D"/>
    <w:rsid w:val="00A30ACA"/>
    <w:rsid w:val="00A50D34"/>
    <w:rsid w:val="00A566B1"/>
    <w:rsid w:val="00A6062A"/>
    <w:rsid w:val="00A64E29"/>
    <w:rsid w:val="00AA4297"/>
    <w:rsid w:val="00AB4017"/>
    <w:rsid w:val="00AC779A"/>
    <w:rsid w:val="00AD3DEE"/>
    <w:rsid w:val="00AD6716"/>
    <w:rsid w:val="00AE5751"/>
    <w:rsid w:val="00B02DDE"/>
    <w:rsid w:val="00B16D61"/>
    <w:rsid w:val="00B26A64"/>
    <w:rsid w:val="00B31215"/>
    <w:rsid w:val="00B31608"/>
    <w:rsid w:val="00B554EF"/>
    <w:rsid w:val="00B70AAC"/>
    <w:rsid w:val="00B77887"/>
    <w:rsid w:val="00B81A95"/>
    <w:rsid w:val="00B904B7"/>
    <w:rsid w:val="00B94786"/>
    <w:rsid w:val="00B95647"/>
    <w:rsid w:val="00BB636E"/>
    <w:rsid w:val="00BB758E"/>
    <w:rsid w:val="00BC7B91"/>
    <w:rsid w:val="00BD2941"/>
    <w:rsid w:val="00BD64F6"/>
    <w:rsid w:val="00BE1732"/>
    <w:rsid w:val="00BE216D"/>
    <w:rsid w:val="00C247FD"/>
    <w:rsid w:val="00C267C0"/>
    <w:rsid w:val="00C32C1E"/>
    <w:rsid w:val="00C4001F"/>
    <w:rsid w:val="00C408D3"/>
    <w:rsid w:val="00C429A3"/>
    <w:rsid w:val="00C4775B"/>
    <w:rsid w:val="00C6602F"/>
    <w:rsid w:val="00C81F53"/>
    <w:rsid w:val="00C82C8A"/>
    <w:rsid w:val="00CA258C"/>
    <w:rsid w:val="00CC5047"/>
    <w:rsid w:val="00CD156B"/>
    <w:rsid w:val="00D16480"/>
    <w:rsid w:val="00D24C1A"/>
    <w:rsid w:val="00D32D0A"/>
    <w:rsid w:val="00D41200"/>
    <w:rsid w:val="00D51B0D"/>
    <w:rsid w:val="00D54C5A"/>
    <w:rsid w:val="00D60225"/>
    <w:rsid w:val="00D702F0"/>
    <w:rsid w:val="00D75B45"/>
    <w:rsid w:val="00D80A1D"/>
    <w:rsid w:val="00D84B23"/>
    <w:rsid w:val="00D84E64"/>
    <w:rsid w:val="00D9408D"/>
    <w:rsid w:val="00DC6930"/>
    <w:rsid w:val="00DC761E"/>
    <w:rsid w:val="00DF064C"/>
    <w:rsid w:val="00E05308"/>
    <w:rsid w:val="00E17E0C"/>
    <w:rsid w:val="00E21844"/>
    <w:rsid w:val="00E22EAB"/>
    <w:rsid w:val="00E2325A"/>
    <w:rsid w:val="00E24E81"/>
    <w:rsid w:val="00E34C55"/>
    <w:rsid w:val="00E371EB"/>
    <w:rsid w:val="00E43982"/>
    <w:rsid w:val="00E43C55"/>
    <w:rsid w:val="00E457F6"/>
    <w:rsid w:val="00E638F3"/>
    <w:rsid w:val="00E705FE"/>
    <w:rsid w:val="00E72606"/>
    <w:rsid w:val="00E75DB6"/>
    <w:rsid w:val="00E76E6D"/>
    <w:rsid w:val="00E81069"/>
    <w:rsid w:val="00E843FE"/>
    <w:rsid w:val="00EA4953"/>
    <w:rsid w:val="00EB6530"/>
    <w:rsid w:val="00EB6EB6"/>
    <w:rsid w:val="00EC014E"/>
    <w:rsid w:val="00EF73EB"/>
    <w:rsid w:val="00F0491F"/>
    <w:rsid w:val="00F128A3"/>
    <w:rsid w:val="00F20977"/>
    <w:rsid w:val="00F247EC"/>
    <w:rsid w:val="00F302D2"/>
    <w:rsid w:val="00F3136B"/>
    <w:rsid w:val="00F3681A"/>
    <w:rsid w:val="00F40301"/>
    <w:rsid w:val="00F9423A"/>
    <w:rsid w:val="00FA5926"/>
    <w:rsid w:val="00FA7003"/>
    <w:rsid w:val="00FC275E"/>
    <w:rsid w:val="00FC467C"/>
    <w:rsid w:val="00FC5596"/>
    <w:rsid w:val="00FD3433"/>
    <w:rsid w:val="00FD5EF6"/>
    <w:rsid w:val="00FE1255"/>
    <w:rsid w:val="012116C7"/>
    <w:rsid w:val="03717518"/>
    <w:rsid w:val="050D6080"/>
    <w:rsid w:val="05935ABA"/>
    <w:rsid w:val="072F44E3"/>
    <w:rsid w:val="07717879"/>
    <w:rsid w:val="09F33618"/>
    <w:rsid w:val="0B002E68"/>
    <w:rsid w:val="0B5033D7"/>
    <w:rsid w:val="0D1F15BD"/>
    <w:rsid w:val="0DB60ADD"/>
    <w:rsid w:val="0DDC74AE"/>
    <w:rsid w:val="0F7E4AB5"/>
    <w:rsid w:val="0FEF45D8"/>
    <w:rsid w:val="11E8746F"/>
    <w:rsid w:val="12B55B84"/>
    <w:rsid w:val="132C644C"/>
    <w:rsid w:val="14D34591"/>
    <w:rsid w:val="16816D54"/>
    <w:rsid w:val="178C6637"/>
    <w:rsid w:val="18151F96"/>
    <w:rsid w:val="181C07FE"/>
    <w:rsid w:val="1A2F4635"/>
    <w:rsid w:val="1A436CF8"/>
    <w:rsid w:val="1AD03189"/>
    <w:rsid w:val="1B491501"/>
    <w:rsid w:val="1BC90064"/>
    <w:rsid w:val="1D3921F8"/>
    <w:rsid w:val="1D8E52EB"/>
    <w:rsid w:val="1E486D96"/>
    <w:rsid w:val="1EBA5A37"/>
    <w:rsid w:val="1F0B19A2"/>
    <w:rsid w:val="1F680DB1"/>
    <w:rsid w:val="1FD45FBA"/>
    <w:rsid w:val="21AC7939"/>
    <w:rsid w:val="228414A9"/>
    <w:rsid w:val="22C32593"/>
    <w:rsid w:val="242E0C68"/>
    <w:rsid w:val="24A972CC"/>
    <w:rsid w:val="28790229"/>
    <w:rsid w:val="2A852613"/>
    <w:rsid w:val="2A880A7B"/>
    <w:rsid w:val="2B91009E"/>
    <w:rsid w:val="2BFB6766"/>
    <w:rsid w:val="2BFF288E"/>
    <w:rsid w:val="2CC10236"/>
    <w:rsid w:val="2DC4660F"/>
    <w:rsid w:val="2E8E3500"/>
    <w:rsid w:val="2F7B219B"/>
    <w:rsid w:val="305E69B0"/>
    <w:rsid w:val="307667E6"/>
    <w:rsid w:val="30997F39"/>
    <w:rsid w:val="30C911F8"/>
    <w:rsid w:val="325C6BDC"/>
    <w:rsid w:val="32716803"/>
    <w:rsid w:val="327C5DCA"/>
    <w:rsid w:val="32BF3509"/>
    <w:rsid w:val="34507590"/>
    <w:rsid w:val="345C05FB"/>
    <w:rsid w:val="357A1CF4"/>
    <w:rsid w:val="370642B1"/>
    <w:rsid w:val="375D203C"/>
    <w:rsid w:val="38026A6F"/>
    <w:rsid w:val="388C4C86"/>
    <w:rsid w:val="39C15447"/>
    <w:rsid w:val="3AD319CD"/>
    <w:rsid w:val="3AD55B82"/>
    <w:rsid w:val="3BA50F6A"/>
    <w:rsid w:val="3D60411F"/>
    <w:rsid w:val="3D624A2B"/>
    <w:rsid w:val="3F892012"/>
    <w:rsid w:val="3FCE742E"/>
    <w:rsid w:val="4166157D"/>
    <w:rsid w:val="41A7646C"/>
    <w:rsid w:val="41E657FF"/>
    <w:rsid w:val="42C9599A"/>
    <w:rsid w:val="461C17EA"/>
    <w:rsid w:val="472A3DEB"/>
    <w:rsid w:val="478857D8"/>
    <w:rsid w:val="48523C0A"/>
    <w:rsid w:val="49770D45"/>
    <w:rsid w:val="4A390B01"/>
    <w:rsid w:val="4A6F69D9"/>
    <w:rsid w:val="4A8E5FA5"/>
    <w:rsid w:val="4AA91C0A"/>
    <w:rsid w:val="4AB547EF"/>
    <w:rsid w:val="4ADB54DA"/>
    <w:rsid w:val="4B3F6B82"/>
    <w:rsid w:val="4B6B7860"/>
    <w:rsid w:val="4D175146"/>
    <w:rsid w:val="4DD1473E"/>
    <w:rsid w:val="4E127DA7"/>
    <w:rsid w:val="4E6C325B"/>
    <w:rsid w:val="4F411E4B"/>
    <w:rsid w:val="4F8F0717"/>
    <w:rsid w:val="4F994FDA"/>
    <w:rsid w:val="526636FF"/>
    <w:rsid w:val="526B2611"/>
    <w:rsid w:val="535801CF"/>
    <w:rsid w:val="53F92C98"/>
    <w:rsid w:val="545D79BC"/>
    <w:rsid w:val="56620F73"/>
    <w:rsid w:val="56845075"/>
    <w:rsid w:val="58AD04D0"/>
    <w:rsid w:val="59C9560C"/>
    <w:rsid w:val="59E97A6F"/>
    <w:rsid w:val="5A7B73D1"/>
    <w:rsid w:val="5BDB466E"/>
    <w:rsid w:val="5C481690"/>
    <w:rsid w:val="5CDF456F"/>
    <w:rsid w:val="5D1160E9"/>
    <w:rsid w:val="5D572C78"/>
    <w:rsid w:val="5E325B2A"/>
    <w:rsid w:val="5F4B72E8"/>
    <w:rsid w:val="5FC33B10"/>
    <w:rsid w:val="5FDE557E"/>
    <w:rsid w:val="60EA3B34"/>
    <w:rsid w:val="62A966A4"/>
    <w:rsid w:val="637B1EA0"/>
    <w:rsid w:val="640E2967"/>
    <w:rsid w:val="652A1A23"/>
    <w:rsid w:val="653505E7"/>
    <w:rsid w:val="661642E5"/>
    <w:rsid w:val="66461042"/>
    <w:rsid w:val="6712451C"/>
    <w:rsid w:val="677F5678"/>
    <w:rsid w:val="67A7735B"/>
    <w:rsid w:val="68B72869"/>
    <w:rsid w:val="69114F1A"/>
    <w:rsid w:val="69741D3B"/>
    <w:rsid w:val="697C5EB4"/>
    <w:rsid w:val="69AF5041"/>
    <w:rsid w:val="6A611BD7"/>
    <w:rsid w:val="6A64597A"/>
    <w:rsid w:val="6AE320E5"/>
    <w:rsid w:val="6C7621DF"/>
    <w:rsid w:val="6C787452"/>
    <w:rsid w:val="6CEF4F0F"/>
    <w:rsid w:val="6DAB59DE"/>
    <w:rsid w:val="6F3427FE"/>
    <w:rsid w:val="71AB362B"/>
    <w:rsid w:val="722C7F80"/>
    <w:rsid w:val="73007336"/>
    <w:rsid w:val="73C262F5"/>
    <w:rsid w:val="73CC483B"/>
    <w:rsid w:val="75EF0749"/>
    <w:rsid w:val="76D8635F"/>
    <w:rsid w:val="780D4890"/>
    <w:rsid w:val="789174E8"/>
    <w:rsid w:val="78A53C62"/>
    <w:rsid w:val="79851CA3"/>
    <w:rsid w:val="79F503F9"/>
    <w:rsid w:val="7A57324B"/>
    <w:rsid w:val="7ADC31A8"/>
    <w:rsid w:val="7EA8731F"/>
    <w:rsid w:val="7FB77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57"/>
    <w:qFormat/>
    <w:uiPriority w:val="0"/>
    <w:pPr>
      <w:keepNext/>
      <w:keepLines/>
      <w:spacing w:after="120" w:line="360" w:lineRule="auto"/>
      <w:outlineLvl w:val="0"/>
    </w:pPr>
    <w:rPr>
      <w:kern w:val="44"/>
      <w:sz w:val="28"/>
      <w:szCs w:val="28"/>
    </w:rPr>
  </w:style>
  <w:style w:type="paragraph" w:styleId="7">
    <w:name w:val="heading 2"/>
    <w:basedOn w:val="1"/>
    <w:next w:val="8"/>
    <w:link w:val="5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5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59"/>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60"/>
    <w:qFormat/>
    <w:uiPriority w:val="0"/>
    <w:pPr>
      <w:numPr>
        <w:ilvl w:val="4"/>
      </w:numPr>
      <w:spacing w:line="240" w:lineRule="exact"/>
      <w:outlineLvl w:val="4"/>
    </w:pPr>
  </w:style>
  <w:style w:type="paragraph" w:styleId="12">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6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8"/>
    <w:qFormat/>
    <w:uiPriority w:val="0"/>
    <w:rPr>
      <w:rFonts w:ascii="宋体" w:hAnsi="Courier New"/>
      <w:szCs w:val="20"/>
    </w:rPr>
  </w:style>
  <w:style w:type="paragraph" w:styleId="4">
    <w:name w:val="Title"/>
    <w:basedOn w:val="1"/>
    <w:link w:val="66"/>
    <w:qFormat/>
    <w:uiPriority w:val="0"/>
    <w:pPr>
      <w:spacing w:before="120" w:after="60"/>
      <w:jc w:val="center"/>
    </w:pPr>
    <w:rPr>
      <w:rFonts w:ascii="Arial" w:hAnsi="Arial"/>
      <w:b/>
      <w:sz w:val="44"/>
      <w:szCs w:val="20"/>
    </w:rPr>
  </w:style>
  <w:style w:type="paragraph" w:styleId="5">
    <w:name w:val="Body Text First Indent"/>
    <w:basedOn w:val="6"/>
    <w:link w:val="70"/>
    <w:qFormat/>
    <w:uiPriority w:val="0"/>
    <w:pPr>
      <w:ind w:firstLine="420"/>
    </w:pPr>
  </w:style>
  <w:style w:type="paragraph" w:styleId="6">
    <w:name w:val="Body Text"/>
    <w:basedOn w:val="1"/>
    <w:link w:val="68"/>
    <w:qFormat/>
    <w:uiPriority w:val="0"/>
    <w:pPr>
      <w:spacing w:after="120"/>
    </w:pPr>
    <w:rPr>
      <w:rFonts w:ascii="Times New Roman" w:hAnsi="Times New Roman"/>
      <w:szCs w:val="20"/>
    </w:rPr>
  </w:style>
  <w:style w:type="paragraph" w:styleId="8">
    <w:name w:val="Normal Indent"/>
    <w:basedOn w:val="1"/>
    <w:link w:val="109"/>
    <w:qFormat/>
    <w:uiPriority w:val="0"/>
    <w:pPr>
      <w:ind w:firstLine="420"/>
    </w:pPr>
    <w:rPr>
      <w:rFonts w:ascii="Times New Roman" w:hAnsi="Times New Roman"/>
      <w:szCs w:val="20"/>
    </w:rPr>
  </w:style>
  <w:style w:type="paragraph" w:styleId="16">
    <w:name w:val="Document Map"/>
    <w:basedOn w:val="1"/>
    <w:link w:val="76"/>
    <w:qFormat/>
    <w:uiPriority w:val="0"/>
    <w:pPr>
      <w:shd w:val="clear" w:color="auto" w:fill="000080"/>
    </w:pPr>
    <w:rPr>
      <w:rFonts w:ascii="Times New Roman" w:hAnsi="Times New Roman"/>
      <w:szCs w:val="20"/>
    </w:rPr>
  </w:style>
  <w:style w:type="paragraph" w:styleId="17">
    <w:name w:val="annotation text"/>
    <w:basedOn w:val="1"/>
    <w:link w:val="102"/>
    <w:qFormat/>
    <w:uiPriority w:val="0"/>
    <w:pPr>
      <w:spacing w:line="360" w:lineRule="auto"/>
      <w:ind w:firstLine="523" w:firstLineChars="218"/>
      <w:jc w:val="left"/>
    </w:pPr>
    <w:rPr>
      <w:rFonts w:ascii="宋体" w:hAnsi="宋体"/>
      <w:sz w:val="24"/>
      <w:szCs w:val="24"/>
    </w:rPr>
  </w:style>
  <w:style w:type="paragraph" w:styleId="18">
    <w:name w:val="Body Text Indent"/>
    <w:basedOn w:val="1"/>
    <w:link w:val="74"/>
    <w:qFormat/>
    <w:uiPriority w:val="0"/>
    <w:pPr>
      <w:ind w:firstLine="570"/>
    </w:pPr>
    <w:rPr>
      <w:rFonts w:ascii="Times New Roman" w:hAnsi="Times New Roman"/>
      <w:sz w:val="28"/>
      <w:szCs w:val="20"/>
    </w:rPr>
  </w:style>
  <w:style w:type="paragraph" w:styleId="19">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0">
    <w:name w:val="Date"/>
    <w:basedOn w:val="1"/>
    <w:next w:val="1"/>
    <w:link w:val="72"/>
    <w:qFormat/>
    <w:uiPriority w:val="0"/>
    <w:rPr>
      <w:rFonts w:ascii="Times New Roman" w:hAnsi="Times New Roman"/>
      <w:szCs w:val="20"/>
    </w:rPr>
  </w:style>
  <w:style w:type="paragraph" w:styleId="21">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2">
    <w:name w:val="endnote text"/>
    <w:basedOn w:val="1"/>
    <w:link w:val="89"/>
    <w:qFormat/>
    <w:uiPriority w:val="0"/>
    <w:pPr>
      <w:snapToGrid w:val="0"/>
      <w:jc w:val="left"/>
    </w:pPr>
    <w:rPr>
      <w:rFonts w:ascii="Times New Roman" w:hAnsi="Times New Roman"/>
      <w:szCs w:val="20"/>
    </w:rPr>
  </w:style>
  <w:style w:type="paragraph" w:styleId="23">
    <w:name w:val="Balloon Text"/>
    <w:basedOn w:val="1"/>
    <w:link w:val="99"/>
    <w:qFormat/>
    <w:uiPriority w:val="0"/>
    <w:rPr>
      <w:rFonts w:ascii="Times New Roman" w:hAnsi="Times New Roman"/>
      <w:sz w:val="18"/>
      <w:szCs w:val="18"/>
    </w:rPr>
  </w:style>
  <w:style w:type="paragraph" w:styleId="24">
    <w:name w:val="footer"/>
    <w:basedOn w:val="1"/>
    <w:link w:val="56"/>
    <w:unhideWhenUsed/>
    <w:qFormat/>
    <w:uiPriority w:val="99"/>
    <w:pPr>
      <w:tabs>
        <w:tab w:val="center" w:pos="4153"/>
        <w:tab w:val="right" w:pos="8306"/>
      </w:tabs>
      <w:snapToGrid w:val="0"/>
      <w:jc w:val="left"/>
    </w:pPr>
    <w:rPr>
      <w:sz w:val="18"/>
      <w:szCs w:val="18"/>
    </w:rPr>
  </w:style>
  <w:style w:type="paragraph" w:styleId="25">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4"/>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6"/>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annotation subject"/>
    <w:basedOn w:val="17"/>
    <w:next w:val="17"/>
    <w:link w:val="106"/>
    <w:qFormat/>
    <w:uiPriority w:val="0"/>
    <w:rPr>
      <w:b/>
      <w:bCs/>
    </w:rPr>
  </w:style>
  <w:style w:type="table" w:styleId="34">
    <w:name w:val="Table Grid"/>
    <w:basedOn w:val="33"/>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1 字符"/>
    <w:qFormat/>
    <w:uiPriority w:val="9"/>
    <w:rPr>
      <w:rFonts w:ascii="Calibri" w:hAnsi="Calibri" w:eastAsia="宋体" w:cs="Times New Roman"/>
      <w:b/>
      <w:bCs/>
      <w:kern w:val="44"/>
      <w:sz w:val="44"/>
      <w:szCs w:val="44"/>
    </w:rPr>
  </w:style>
  <w:style w:type="character" w:customStyle="1" w:styleId="44">
    <w:name w:val="标题 2 字符"/>
    <w:semiHidden/>
    <w:qFormat/>
    <w:uiPriority w:val="9"/>
    <w:rPr>
      <w:rFonts w:ascii="等线 Light" w:hAnsi="等线 Light" w:eastAsia="等线 Light" w:cs="Times New Roman"/>
      <w:b/>
      <w:bCs/>
      <w:sz w:val="32"/>
      <w:szCs w:val="32"/>
    </w:rPr>
  </w:style>
  <w:style w:type="character" w:customStyle="1" w:styleId="45">
    <w:name w:val="标题 3 字符"/>
    <w:semiHidden/>
    <w:qFormat/>
    <w:uiPriority w:val="9"/>
    <w:rPr>
      <w:rFonts w:ascii="Calibri" w:hAnsi="Calibri" w:eastAsia="宋体" w:cs="Times New Roman"/>
      <w:b/>
      <w:bCs/>
      <w:sz w:val="32"/>
      <w:szCs w:val="32"/>
    </w:rPr>
  </w:style>
  <w:style w:type="character" w:customStyle="1" w:styleId="46">
    <w:name w:val="标题 4 字符"/>
    <w:semiHidden/>
    <w:qFormat/>
    <w:uiPriority w:val="9"/>
    <w:rPr>
      <w:rFonts w:ascii="等线 Light" w:hAnsi="等线 Light" w:eastAsia="等线 Light" w:cs="Times New Roman"/>
      <w:b/>
      <w:bCs/>
      <w:sz w:val="28"/>
      <w:szCs w:val="28"/>
    </w:rPr>
  </w:style>
  <w:style w:type="character" w:customStyle="1" w:styleId="47">
    <w:name w:val="标题 5 字符"/>
    <w:semiHidden/>
    <w:qFormat/>
    <w:uiPriority w:val="9"/>
    <w:rPr>
      <w:rFonts w:ascii="Calibri" w:hAnsi="Calibri" w:eastAsia="宋体" w:cs="Times New Roman"/>
      <w:b/>
      <w:bCs/>
      <w:sz w:val="28"/>
      <w:szCs w:val="28"/>
    </w:rPr>
  </w:style>
  <w:style w:type="character" w:customStyle="1" w:styleId="48">
    <w:name w:val="标题 6 字符"/>
    <w:semiHidden/>
    <w:qFormat/>
    <w:uiPriority w:val="9"/>
    <w:rPr>
      <w:rFonts w:ascii="等线 Light" w:hAnsi="等线 Light" w:eastAsia="等线 Light" w:cs="Times New Roman"/>
      <w:b/>
      <w:bCs/>
      <w:sz w:val="24"/>
      <w:szCs w:val="24"/>
    </w:rPr>
  </w:style>
  <w:style w:type="character" w:customStyle="1" w:styleId="49">
    <w:name w:val="标题 7 字符"/>
    <w:semiHidden/>
    <w:qFormat/>
    <w:uiPriority w:val="9"/>
    <w:rPr>
      <w:rFonts w:ascii="Calibri" w:hAnsi="Calibri" w:eastAsia="宋体" w:cs="Times New Roman"/>
      <w:b/>
      <w:bCs/>
      <w:sz w:val="24"/>
      <w:szCs w:val="24"/>
    </w:rPr>
  </w:style>
  <w:style w:type="character" w:customStyle="1" w:styleId="50">
    <w:name w:val="标题 8 字符"/>
    <w:semiHidden/>
    <w:qFormat/>
    <w:uiPriority w:val="9"/>
    <w:rPr>
      <w:rFonts w:ascii="等线 Light" w:hAnsi="等线 Light" w:eastAsia="等线 Light" w:cs="Times New Roman"/>
      <w:sz w:val="24"/>
      <w:szCs w:val="24"/>
    </w:rPr>
  </w:style>
  <w:style w:type="character" w:customStyle="1" w:styleId="51">
    <w:name w:val="标题 9 字符"/>
    <w:semiHidden/>
    <w:qFormat/>
    <w:uiPriority w:val="9"/>
    <w:rPr>
      <w:rFonts w:ascii="等线 Light" w:hAnsi="等线 Light" w:eastAsia="等线 Light" w:cs="Times New Roman"/>
      <w:szCs w:val="21"/>
    </w:rPr>
  </w:style>
  <w:style w:type="character" w:customStyle="1" w:styleId="52">
    <w:name w:val="标题 3 字符1"/>
    <w:link w:val="9"/>
    <w:qFormat/>
    <w:uiPriority w:val="0"/>
    <w:rPr>
      <w:rFonts w:ascii="宋体" w:hAnsi="宋体" w:eastAsia="宋体" w:cs="宋体"/>
      <w:kern w:val="0"/>
      <w:sz w:val="27"/>
      <w:szCs w:val="27"/>
    </w:rPr>
  </w:style>
  <w:style w:type="character" w:customStyle="1" w:styleId="53">
    <w:name w:val="页眉 字符"/>
    <w:semiHidden/>
    <w:qFormat/>
    <w:uiPriority w:val="99"/>
    <w:rPr>
      <w:rFonts w:ascii="Calibri" w:hAnsi="Calibri" w:eastAsia="宋体" w:cs="Times New Roman"/>
      <w:sz w:val="18"/>
      <w:szCs w:val="18"/>
    </w:rPr>
  </w:style>
  <w:style w:type="character" w:customStyle="1" w:styleId="54">
    <w:name w:val="页眉 字符1"/>
    <w:link w:val="25"/>
    <w:qFormat/>
    <w:uiPriority w:val="0"/>
    <w:rPr>
      <w:rFonts w:ascii="Calibri" w:hAnsi="Calibri" w:eastAsia="宋体" w:cs="Times New Roman"/>
      <w:sz w:val="18"/>
      <w:szCs w:val="18"/>
    </w:rPr>
  </w:style>
  <w:style w:type="character" w:customStyle="1" w:styleId="55">
    <w:name w:val="页脚 字符"/>
    <w:semiHidden/>
    <w:qFormat/>
    <w:uiPriority w:val="99"/>
    <w:rPr>
      <w:rFonts w:ascii="Calibri" w:hAnsi="Calibri" w:eastAsia="宋体" w:cs="Times New Roman"/>
      <w:sz w:val="18"/>
      <w:szCs w:val="18"/>
    </w:rPr>
  </w:style>
  <w:style w:type="character" w:customStyle="1" w:styleId="56">
    <w:name w:val="页脚 字符1"/>
    <w:link w:val="24"/>
    <w:qFormat/>
    <w:uiPriority w:val="99"/>
    <w:rPr>
      <w:rFonts w:ascii="Calibri" w:hAnsi="Calibri" w:eastAsia="宋体" w:cs="Times New Roman"/>
      <w:sz w:val="18"/>
      <w:szCs w:val="18"/>
    </w:rPr>
  </w:style>
  <w:style w:type="character" w:customStyle="1" w:styleId="57">
    <w:name w:val="标题 1 字符1"/>
    <w:link w:val="3"/>
    <w:qFormat/>
    <w:uiPriority w:val="0"/>
    <w:rPr>
      <w:rFonts w:ascii="Arial" w:hAnsi="Arial" w:eastAsia="宋体"/>
      <w:b/>
      <w:kern w:val="44"/>
      <w:sz w:val="28"/>
      <w:szCs w:val="28"/>
    </w:rPr>
  </w:style>
  <w:style w:type="character" w:customStyle="1" w:styleId="58">
    <w:name w:val="标题 2 字符1"/>
    <w:link w:val="7"/>
    <w:qFormat/>
    <w:uiPriority w:val="0"/>
    <w:rPr>
      <w:rFonts w:ascii="Arial" w:hAnsi="Arial" w:eastAsia="宋体" w:cs="Times New Roman"/>
      <w:b/>
      <w:color w:val="000000"/>
      <w:sz w:val="24"/>
      <w:szCs w:val="24"/>
    </w:rPr>
  </w:style>
  <w:style w:type="character" w:customStyle="1" w:styleId="59">
    <w:name w:val="标题 4 字符1"/>
    <w:link w:val="10"/>
    <w:qFormat/>
    <w:uiPriority w:val="0"/>
    <w:rPr>
      <w:rFonts w:ascii="Arial" w:hAnsi="Arial" w:eastAsia="宋体" w:cs="Times New Roman"/>
      <w:color w:val="000000"/>
      <w:szCs w:val="21"/>
    </w:rPr>
  </w:style>
  <w:style w:type="character" w:customStyle="1" w:styleId="60">
    <w:name w:val="标题 5 字符1"/>
    <w:link w:val="11"/>
    <w:qFormat/>
    <w:uiPriority w:val="0"/>
    <w:rPr>
      <w:rFonts w:ascii="Arial" w:hAnsi="Arial" w:eastAsia="宋体" w:cs="Times New Roman"/>
      <w:color w:val="000000"/>
      <w:szCs w:val="21"/>
    </w:rPr>
  </w:style>
  <w:style w:type="character" w:customStyle="1" w:styleId="61">
    <w:name w:val="标题 6 字符1"/>
    <w:link w:val="12"/>
    <w:qFormat/>
    <w:uiPriority w:val="0"/>
    <w:rPr>
      <w:rFonts w:ascii="Arial" w:hAnsi="Arial" w:eastAsia="黑体" w:cs="Times New Roman"/>
      <w:b/>
      <w:bCs/>
      <w:sz w:val="24"/>
      <w:szCs w:val="24"/>
    </w:rPr>
  </w:style>
  <w:style w:type="character" w:customStyle="1" w:styleId="62">
    <w:name w:val="标题 7 字符1"/>
    <w:link w:val="13"/>
    <w:qFormat/>
    <w:uiPriority w:val="0"/>
    <w:rPr>
      <w:rFonts w:ascii="Times New Roman" w:hAnsi="Times New Roman" w:eastAsia="宋体" w:cs="Times New Roman"/>
      <w:b/>
      <w:sz w:val="24"/>
      <w:szCs w:val="20"/>
    </w:rPr>
  </w:style>
  <w:style w:type="character" w:customStyle="1" w:styleId="63">
    <w:name w:val="标题 8 字符1"/>
    <w:link w:val="14"/>
    <w:qFormat/>
    <w:uiPriority w:val="0"/>
    <w:rPr>
      <w:rFonts w:ascii="Arial" w:hAnsi="Arial" w:eastAsia="黑体" w:cs="Times New Roman"/>
      <w:sz w:val="24"/>
      <w:szCs w:val="20"/>
    </w:rPr>
  </w:style>
  <w:style w:type="character" w:customStyle="1" w:styleId="64">
    <w:name w:val="标题 9 字符1"/>
    <w:link w:val="15"/>
    <w:qFormat/>
    <w:uiPriority w:val="0"/>
    <w:rPr>
      <w:rFonts w:ascii="Arial" w:hAnsi="Arial" w:eastAsia="黑体" w:cs="Times New Roman"/>
      <w:szCs w:val="20"/>
    </w:rPr>
  </w:style>
  <w:style w:type="character" w:customStyle="1" w:styleId="65">
    <w:name w:val="标题 字符"/>
    <w:qFormat/>
    <w:uiPriority w:val="10"/>
    <w:rPr>
      <w:rFonts w:ascii="等线 Light" w:hAnsi="等线 Light" w:eastAsia="等线 Light" w:cs="Times New Roman"/>
      <w:b/>
      <w:bCs/>
      <w:sz w:val="32"/>
      <w:szCs w:val="32"/>
    </w:rPr>
  </w:style>
  <w:style w:type="character" w:customStyle="1" w:styleId="66">
    <w:name w:val="标题 字符1"/>
    <w:link w:val="4"/>
    <w:qFormat/>
    <w:uiPriority w:val="0"/>
    <w:rPr>
      <w:rFonts w:ascii="Arial" w:hAnsi="Arial" w:eastAsia="宋体" w:cs="Times New Roman"/>
      <w:b/>
      <w:sz w:val="44"/>
      <w:szCs w:val="20"/>
    </w:rPr>
  </w:style>
  <w:style w:type="character" w:customStyle="1" w:styleId="67">
    <w:name w:val="正文文本 字符"/>
    <w:semiHidden/>
    <w:qFormat/>
    <w:uiPriority w:val="99"/>
    <w:rPr>
      <w:rFonts w:ascii="Calibri" w:hAnsi="Calibri" w:eastAsia="宋体" w:cs="Times New Roman"/>
    </w:rPr>
  </w:style>
  <w:style w:type="character" w:customStyle="1" w:styleId="68">
    <w:name w:val="正文文本 字符1"/>
    <w:link w:val="6"/>
    <w:qFormat/>
    <w:uiPriority w:val="0"/>
    <w:rPr>
      <w:rFonts w:ascii="Times New Roman" w:hAnsi="Times New Roman" w:eastAsia="宋体" w:cs="Times New Roman"/>
      <w:szCs w:val="20"/>
    </w:rPr>
  </w:style>
  <w:style w:type="character" w:customStyle="1" w:styleId="69">
    <w:name w:val="正文首行缩进 字符"/>
    <w:basedOn w:val="67"/>
    <w:semiHidden/>
    <w:qFormat/>
    <w:uiPriority w:val="99"/>
    <w:rPr>
      <w:rFonts w:ascii="Calibri" w:hAnsi="Calibri" w:eastAsia="宋体" w:cs="Times New Roman"/>
    </w:rPr>
  </w:style>
  <w:style w:type="character" w:customStyle="1" w:styleId="70">
    <w:name w:val="正文文本首行缩进 字符"/>
    <w:link w:val="5"/>
    <w:qFormat/>
    <w:uiPriority w:val="0"/>
  </w:style>
  <w:style w:type="character" w:customStyle="1" w:styleId="71">
    <w:name w:val="日期 字符"/>
    <w:semiHidden/>
    <w:qFormat/>
    <w:uiPriority w:val="99"/>
    <w:rPr>
      <w:rFonts w:ascii="Calibri" w:hAnsi="Calibri" w:eastAsia="宋体" w:cs="Times New Roman"/>
    </w:rPr>
  </w:style>
  <w:style w:type="character" w:customStyle="1" w:styleId="72">
    <w:name w:val="日期 字符1"/>
    <w:link w:val="20"/>
    <w:qFormat/>
    <w:uiPriority w:val="0"/>
    <w:rPr>
      <w:rFonts w:ascii="Times New Roman" w:hAnsi="Times New Roman" w:eastAsia="宋体" w:cs="Times New Roman"/>
      <w:szCs w:val="20"/>
    </w:rPr>
  </w:style>
  <w:style w:type="character" w:customStyle="1" w:styleId="73">
    <w:name w:val="正文文本缩进 字符"/>
    <w:semiHidden/>
    <w:qFormat/>
    <w:uiPriority w:val="99"/>
    <w:rPr>
      <w:rFonts w:ascii="Calibri" w:hAnsi="Calibri" w:eastAsia="宋体" w:cs="Times New Roman"/>
    </w:rPr>
  </w:style>
  <w:style w:type="character" w:customStyle="1" w:styleId="74">
    <w:name w:val="正文文本缩进 字符1"/>
    <w:link w:val="18"/>
    <w:qFormat/>
    <w:uiPriority w:val="0"/>
    <w:rPr>
      <w:rFonts w:ascii="Times New Roman" w:hAnsi="Times New Roman" w:eastAsia="宋体" w:cs="Times New Roman"/>
      <w:sz w:val="28"/>
      <w:szCs w:val="20"/>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字符1"/>
    <w:link w:val="16"/>
    <w:qFormat/>
    <w:uiPriority w:val="0"/>
    <w:rPr>
      <w:rFonts w:ascii="Times New Roman" w:hAnsi="Times New Roman" w:eastAsia="宋体" w:cs="Times New Roman"/>
      <w:szCs w:val="20"/>
      <w:shd w:val="clear" w:color="auto" w:fill="000080"/>
    </w:rPr>
  </w:style>
  <w:style w:type="character" w:customStyle="1" w:styleId="77">
    <w:name w:val="纯文本 字符"/>
    <w:semiHidden/>
    <w:qFormat/>
    <w:uiPriority w:val="99"/>
    <w:rPr>
      <w:rFonts w:ascii="等线" w:hAnsi="Courier New" w:cs="Courier New"/>
    </w:rPr>
  </w:style>
  <w:style w:type="character" w:customStyle="1" w:styleId="78">
    <w:name w:val="纯文本 字符1"/>
    <w:link w:val="2"/>
    <w:qFormat/>
    <w:uiPriority w:val="0"/>
    <w:rPr>
      <w:rFonts w:ascii="宋体" w:hAnsi="Courier New" w:eastAsia="宋体" w:cs="Times New Roman"/>
      <w:szCs w:val="20"/>
    </w:rPr>
  </w:style>
  <w:style w:type="character" w:customStyle="1" w:styleId="79">
    <w:name w:val="正文文本缩进 2 字符"/>
    <w:semiHidden/>
    <w:qFormat/>
    <w:uiPriority w:val="99"/>
    <w:rPr>
      <w:rFonts w:ascii="Calibri" w:hAnsi="Calibri" w:eastAsia="宋体" w:cs="Times New Roman"/>
    </w:rPr>
  </w:style>
  <w:style w:type="character" w:customStyle="1" w:styleId="80">
    <w:name w:val="正文文本缩进 2 字符1"/>
    <w:link w:val="21"/>
    <w:qFormat/>
    <w:uiPriority w:val="0"/>
    <w:rPr>
      <w:rFonts w:ascii="Times New Roman" w:hAnsi="Times New Roman" w:eastAsia="宋体" w:cs="Times New Roman"/>
      <w:color w:val="000000"/>
      <w:sz w:val="24"/>
      <w:szCs w:val="20"/>
    </w:rPr>
  </w:style>
  <w:style w:type="character" w:customStyle="1" w:styleId="81">
    <w:name w:val="正文文本缩进 3 字符"/>
    <w:semiHidden/>
    <w:qFormat/>
    <w:uiPriority w:val="99"/>
    <w:rPr>
      <w:rFonts w:ascii="Calibri" w:hAnsi="Calibri" w:eastAsia="宋体" w:cs="Times New Roman"/>
      <w:sz w:val="16"/>
      <w:szCs w:val="16"/>
    </w:rPr>
  </w:style>
  <w:style w:type="character" w:customStyle="1" w:styleId="82">
    <w:name w:val="正文文本缩进 3 字符1"/>
    <w:link w:val="28"/>
    <w:qFormat/>
    <w:uiPriority w:val="0"/>
    <w:rPr>
      <w:rFonts w:ascii="Times New Roman" w:hAnsi="Times New Roman" w:eastAsia="宋体" w:cs="Times New Roman"/>
      <w:color w:val="000000"/>
      <w:sz w:val="24"/>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_Style 69"/>
    <w:qFormat/>
    <w:uiPriority w:val="0"/>
    <w:rPr>
      <w:rFonts w:ascii="等线" w:hAnsi="等线" w:eastAsia="等线" w:cs="Times New Roman"/>
      <w:lang w:val="en-US" w:eastAsia="zh-CN" w:bidi="ar-SA"/>
    </w:rPr>
  </w:style>
  <w:style w:type="character" w:customStyle="1" w:styleId="85">
    <w:name w:val="正文文本 2 字符"/>
    <w:semiHidden/>
    <w:qFormat/>
    <w:uiPriority w:val="99"/>
    <w:rPr>
      <w:rFonts w:ascii="Calibri" w:hAnsi="Calibri" w:eastAsia="宋体" w:cs="Times New Roman"/>
    </w:rPr>
  </w:style>
  <w:style w:type="character" w:customStyle="1" w:styleId="86">
    <w:name w:val="正文文本 2 字符1"/>
    <w:link w:val="30"/>
    <w:qFormat/>
    <w:uiPriority w:val="0"/>
    <w:rPr>
      <w:rFonts w:ascii="宋体" w:hAnsi="宋体" w:eastAsia="宋体" w:cs="Times New Roman"/>
      <w:szCs w:val="24"/>
      <w:u w:val="single"/>
    </w:rPr>
  </w:style>
  <w:style w:type="paragraph" w:customStyle="1" w:styleId="87">
    <w:name w:val="表头"/>
    <w:basedOn w:val="1"/>
    <w:qFormat/>
    <w:uiPriority w:val="0"/>
    <w:pPr>
      <w:spacing w:line="360" w:lineRule="auto"/>
      <w:jc w:val="center"/>
    </w:pPr>
    <w:rPr>
      <w:rFonts w:ascii="黑体" w:hAnsi="Times New Roman" w:eastAsia="黑体"/>
      <w:kern w:val="0"/>
      <w:sz w:val="24"/>
      <w:szCs w:val="20"/>
    </w:rPr>
  </w:style>
  <w:style w:type="character" w:customStyle="1" w:styleId="88">
    <w:name w:val="尾注文本 字符"/>
    <w:semiHidden/>
    <w:qFormat/>
    <w:uiPriority w:val="99"/>
    <w:rPr>
      <w:rFonts w:ascii="Calibri" w:hAnsi="Calibri" w:eastAsia="宋体" w:cs="Times New Roman"/>
    </w:rPr>
  </w:style>
  <w:style w:type="character" w:customStyle="1" w:styleId="89">
    <w:name w:val="尾注文本 字符1"/>
    <w:link w:val="22"/>
    <w:qFormat/>
    <w:uiPriority w:val="0"/>
    <w:rPr>
      <w:rFonts w:ascii="Times New Roman" w:hAnsi="Times New Roman" w:eastAsia="宋体" w:cs="Times New Roman"/>
      <w:szCs w:val="20"/>
    </w:rPr>
  </w:style>
  <w:style w:type="paragraph" w:customStyle="1" w:styleId="90">
    <w:name w:val="Char"/>
    <w:basedOn w:val="1"/>
    <w:qFormat/>
    <w:uiPriority w:val="0"/>
    <w:rPr>
      <w:rFonts w:ascii="Tahoma" w:hAnsi="Tahoma"/>
      <w:sz w:val="24"/>
      <w:szCs w:val="20"/>
    </w:rPr>
  </w:style>
  <w:style w:type="paragraph" w:customStyle="1" w:styleId="91">
    <w:name w:val="Char1"/>
    <w:basedOn w:val="1"/>
    <w:qFormat/>
    <w:uiPriority w:val="0"/>
    <w:pPr>
      <w:numPr>
        <w:ilvl w:val="0"/>
        <w:numId w:val="1"/>
      </w:numPr>
    </w:pPr>
    <w:rPr>
      <w:rFonts w:ascii="Times New Roman" w:hAnsi="Times New Roman"/>
      <w:sz w:val="24"/>
      <w:szCs w:val="24"/>
    </w:rPr>
  </w:style>
  <w:style w:type="paragraph" w:customStyle="1" w:styleId="92">
    <w:name w:val="公文抬头"/>
    <w:basedOn w:val="8"/>
    <w:qFormat/>
    <w:uiPriority w:val="0"/>
    <w:pPr>
      <w:ind w:firstLine="0"/>
    </w:pPr>
    <w:rPr>
      <w:rFonts w:ascii="仿宋_GB2312" w:eastAsia="仿宋_GB2312"/>
      <w:sz w:val="30"/>
      <w:szCs w:val="24"/>
    </w:rPr>
  </w:style>
  <w:style w:type="paragraph" w:customStyle="1" w:styleId="93">
    <w:name w:val="Char Char Char1 Char"/>
    <w:basedOn w:val="16"/>
    <w:qFormat/>
    <w:uiPriority w:val="0"/>
    <w:rPr>
      <w:rFonts w:ascii="Tahoma" w:hAnsi="Tahoma"/>
      <w:sz w:val="24"/>
      <w:szCs w:val="24"/>
    </w:rPr>
  </w:style>
  <w:style w:type="paragraph" w:customStyle="1" w:styleId="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5">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6">
    <w:name w:val="发文落款"/>
    <w:basedOn w:val="94"/>
    <w:qFormat/>
    <w:uiPriority w:val="0"/>
    <w:pPr>
      <w:ind w:left="4094" w:right="607" w:firstLine="0"/>
      <w:jc w:val="center"/>
    </w:pPr>
  </w:style>
  <w:style w:type="paragraph" w:customStyle="1" w:styleId="97">
    <w:name w:val="Char Char Char Char"/>
    <w:basedOn w:val="1"/>
    <w:qFormat/>
    <w:uiPriority w:val="0"/>
    <w:rPr>
      <w:rFonts w:ascii="Times New Roman" w:hAnsi="Times New Roman"/>
      <w:sz w:val="30"/>
      <w:szCs w:val="24"/>
    </w:rPr>
  </w:style>
  <w:style w:type="character" w:customStyle="1" w:styleId="98">
    <w:name w:val="批注框文本 字符"/>
    <w:semiHidden/>
    <w:qFormat/>
    <w:uiPriority w:val="99"/>
    <w:rPr>
      <w:rFonts w:ascii="Calibri" w:hAnsi="Calibri" w:eastAsia="宋体" w:cs="Times New Roman"/>
      <w:sz w:val="18"/>
      <w:szCs w:val="18"/>
    </w:rPr>
  </w:style>
  <w:style w:type="character" w:customStyle="1" w:styleId="99">
    <w:name w:val="批注框文本 字符1"/>
    <w:link w:val="23"/>
    <w:qFormat/>
    <w:uiPriority w:val="0"/>
    <w:rPr>
      <w:rFonts w:ascii="Times New Roman" w:hAnsi="Times New Roman" w:eastAsia="宋体" w:cs="Times New Roman"/>
      <w:sz w:val="18"/>
      <w:szCs w:val="18"/>
    </w:rPr>
  </w:style>
  <w:style w:type="paragraph" w:customStyle="1" w:styleId="100">
    <w:name w:val="TOC 标题1"/>
    <w:basedOn w:val="3"/>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1">
    <w:name w:val="批注文字 字符"/>
    <w:semiHidden/>
    <w:qFormat/>
    <w:uiPriority w:val="99"/>
    <w:rPr>
      <w:rFonts w:ascii="Calibri" w:hAnsi="Calibri" w:eastAsia="宋体" w:cs="Times New Roman"/>
    </w:rPr>
  </w:style>
  <w:style w:type="character" w:customStyle="1" w:styleId="102">
    <w:name w:val="批注文字 字符1"/>
    <w:link w:val="17"/>
    <w:qFormat/>
    <w:uiPriority w:val="0"/>
    <w:rPr>
      <w:rFonts w:ascii="宋体" w:hAnsi="宋体" w:eastAsia="宋体" w:cs="Times New Roman"/>
      <w:sz w:val="24"/>
      <w:szCs w:val="24"/>
    </w:rPr>
  </w:style>
  <w:style w:type="character" w:customStyle="1" w:styleId="103">
    <w:name w:val="脚注文本 字符"/>
    <w:semiHidden/>
    <w:qFormat/>
    <w:uiPriority w:val="99"/>
    <w:rPr>
      <w:rFonts w:ascii="Calibri" w:hAnsi="Calibri" w:eastAsia="宋体" w:cs="Times New Roman"/>
      <w:sz w:val="18"/>
      <w:szCs w:val="18"/>
    </w:rPr>
  </w:style>
  <w:style w:type="character" w:customStyle="1" w:styleId="104">
    <w:name w:val="脚注文本 字符1"/>
    <w:link w:val="27"/>
    <w:qFormat/>
    <w:uiPriority w:val="0"/>
    <w:rPr>
      <w:rFonts w:ascii="宋体" w:hAnsi="宋体" w:eastAsia="宋体" w:cs="Times New Roman"/>
      <w:sz w:val="18"/>
      <w:szCs w:val="18"/>
    </w:rPr>
  </w:style>
  <w:style w:type="character" w:customStyle="1" w:styleId="105">
    <w:name w:val="批注主题 字符"/>
    <w:semiHidden/>
    <w:qFormat/>
    <w:uiPriority w:val="99"/>
    <w:rPr>
      <w:rFonts w:ascii="Calibri" w:hAnsi="Calibri" w:eastAsia="宋体" w:cs="Times New Roman"/>
      <w:b/>
      <w:bCs/>
    </w:rPr>
  </w:style>
  <w:style w:type="character" w:customStyle="1" w:styleId="106">
    <w:name w:val="批注主题 字符1"/>
    <w:link w:val="32"/>
    <w:qFormat/>
    <w:uiPriority w:val="0"/>
    <w:rPr>
      <w:rFonts w:ascii="宋体" w:hAnsi="宋体" w:eastAsia="宋体" w:cs="Times New Roman"/>
      <w:b/>
      <w:bCs/>
      <w:sz w:val="24"/>
      <w:szCs w:val="24"/>
    </w:rPr>
  </w:style>
  <w:style w:type="paragraph" w:styleId="107">
    <w:name w:val="List Paragraph"/>
    <w:basedOn w:val="1"/>
    <w:qFormat/>
    <w:uiPriority w:val="34"/>
    <w:pPr>
      <w:ind w:firstLine="420" w:firstLineChars="200"/>
    </w:pPr>
    <w:rPr>
      <w:rFonts w:ascii="Times New Roman" w:hAnsi="Times New Roman"/>
      <w:szCs w:val="20"/>
    </w:rPr>
  </w:style>
  <w:style w:type="paragraph" w:customStyle="1" w:styleId="108">
    <w:name w:val="修订1"/>
    <w:hidden/>
    <w:semiHidden/>
    <w:qFormat/>
    <w:uiPriority w:val="99"/>
    <w:rPr>
      <w:rFonts w:ascii="Times New Roman" w:hAnsi="Times New Roman" w:eastAsia="宋体" w:cs="Times New Roman"/>
      <w:kern w:val="2"/>
      <w:sz w:val="21"/>
      <w:lang w:val="en-US" w:eastAsia="zh-CN" w:bidi="ar-SA"/>
    </w:rPr>
  </w:style>
  <w:style w:type="character" w:customStyle="1" w:styleId="109">
    <w:name w:val="正文缩进 字符"/>
    <w:link w:val="8"/>
    <w:qFormat/>
    <w:uiPriority w:val="0"/>
    <w:rPr>
      <w:rFonts w:ascii="Times New Roman" w:hAnsi="Times New Roman" w:eastAsia="宋体"/>
      <w:kern w:val="2"/>
      <w:sz w:val="21"/>
    </w:rPr>
  </w:style>
  <w:style w:type="character" w:customStyle="1" w:styleId="110">
    <w:name w:val="font11"/>
    <w:qFormat/>
    <w:uiPriority w:val="0"/>
    <w:rPr>
      <w:rFonts w:hint="eastAsia" w:ascii="宋体" w:hAnsi="宋体" w:eastAsia="宋体"/>
      <w:color w:val="000000"/>
      <w:sz w:val="24"/>
      <w:szCs w:val="24"/>
      <w:u w:val="single"/>
    </w:rPr>
  </w:style>
  <w:style w:type="character" w:customStyle="1" w:styleId="111">
    <w:name w:val="s2"/>
    <w:qFormat/>
    <w:uiPriority w:val="0"/>
  </w:style>
  <w:style w:type="character" w:customStyle="1" w:styleId="112">
    <w:name w:val="s15"/>
    <w:qFormat/>
    <w:uiPriority w:val="0"/>
    <w:rPr>
      <w:color w:val="2131A1"/>
    </w:rPr>
  </w:style>
  <w:style w:type="paragraph" w:customStyle="1" w:styleId="113">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14">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115">
    <w:name w:val="正文文本缩进 New New"/>
    <w:basedOn w:val="1"/>
    <w:qFormat/>
    <w:uiPriority w:val="0"/>
    <w:pPr>
      <w:spacing w:after="120"/>
      <w:ind w:left="420" w:leftChars="200"/>
    </w:pPr>
    <w:rPr>
      <w:rFonts w:ascii="Times New Roman" w:eastAsia="楷体_GB2312"/>
      <w:szCs w:val="20"/>
    </w:rPr>
  </w:style>
  <w:style w:type="paragraph" w:customStyle="1" w:styleId="116">
    <w:name w:val="正题"/>
    <w:basedOn w:val="1"/>
    <w:next w:val="1"/>
    <w:qFormat/>
    <w:uiPriority w:val="0"/>
    <w:pPr>
      <w:topLinePunct/>
      <w:adjustRightInd w:val="0"/>
      <w:snapToGrid w:val="0"/>
      <w:spacing w:line="360" w:lineRule="auto"/>
      <w:jc w:val="center"/>
    </w:pPr>
    <w:rPr>
      <w:rFonts w:ascii="宋体" w:hAnsi="宋体" w:eastAsia="黑体" w:cstheme="minorBidi"/>
      <w:b/>
      <w:spacing w:val="4"/>
      <w:sz w:val="36"/>
      <w:szCs w:val="36"/>
    </w:rPr>
  </w:style>
  <w:style w:type="paragraph" w:customStyle="1" w:styleId="117">
    <w:name w:val="修订2"/>
    <w:hidden/>
    <w:unhideWhenUsed/>
    <w:qFormat/>
    <w:uiPriority w:val="99"/>
    <w:rPr>
      <w:rFonts w:ascii="Calibri" w:hAnsi="Calibri" w:eastAsia="宋体" w:cs="Times New Roman"/>
      <w:kern w:val="2"/>
      <w:sz w:val="21"/>
      <w:szCs w:val="22"/>
      <w:lang w:val="en-US" w:eastAsia="zh-CN" w:bidi="ar-SA"/>
    </w:rPr>
  </w:style>
  <w:style w:type="character" w:customStyle="1" w:styleId="118">
    <w:name w:val="标题 2 Char"/>
    <w:qFormat/>
    <w:uiPriority w:val="0"/>
    <w:rPr>
      <w:rFonts w:ascii="Arial" w:hAnsi="Arial" w:eastAsia="宋体" w:cs="Times New Roman"/>
      <w:b/>
      <w:color w:val="000000"/>
      <w:sz w:val="24"/>
      <w:szCs w:val="24"/>
    </w:rPr>
  </w:style>
  <w:style w:type="character" w:customStyle="1" w:styleId="119">
    <w:name w:val="文一 Char"/>
    <w:link w:val="120"/>
    <w:qFormat/>
    <w:uiPriority w:val="0"/>
    <w:rPr>
      <w:snapToGrid w:val="0"/>
      <w:spacing w:val="4"/>
      <w:sz w:val="24"/>
      <w:szCs w:val="24"/>
    </w:rPr>
  </w:style>
  <w:style w:type="paragraph" w:customStyle="1" w:styleId="120">
    <w:name w:val="文一"/>
    <w:basedOn w:val="1"/>
    <w:link w:val="119"/>
    <w:qFormat/>
    <w:uiPriority w:val="0"/>
    <w:pPr>
      <w:topLinePunct/>
      <w:adjustRightInd w:val="0"/>
      <w:snapToGrid w:val="0"/>
      <w:spacing w:line="360" w:lineRule="auto"/>
      <w:ind w:firstLine="200" w:firstLineChars="200"/>
    </w:pPr>
    <w:rPr>
      <w:rFonts w:ascii="等线" w:hAnsi="等线" w:eastAsia="等线"/>
      <w:snapToGrid w:val="0"/>
      <w:spacing w:val="4"/>
      <w:kern w:val="0"/>
      <w:sz w:val="24"/>
      <w:szCs w:val="24"/>
    </w:rPr>
  </w:style>
  <w:style w:type="paragraph" w:customStyle="1" w:styleId="121">
    <w:name w:val="文二"/>
    <w:basedOn w:val="1"/>
    <w:qFormat/>
    <w:uiPriority w:val="0"/>
    <w:pPr>
      <w:jc w:val="left"/>
    </w:pPr>
    <w:rPr>
      <w:rFonts w:ascii="宋体" w:hAnsi="宋体"/>
      <w:szCs w:val="21"/>
    </w:rPr>
  </w:style>
  <w:style w:type="paragraph" w:customStyle="1" w:styleId="12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FE33AB-85C1-45CE-A21D-0F64D3EB4DB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9198</Words>
  <Characters>52434</Characters>
  <Lines>436</Lines>
  <Paragraphs>123</Paragraphs>
  <TotalTime>0</TotalTime>
  <ScaleCrop>false</ScaleCrop>
  <LinksUpToDate>false</LinksUpToDate>
  <CharactersWithSpaces>61509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2023-01-17T02:06:00Z</dcterms:created>
  <dc:creator>管理员</dc:creator>
  <cp:lastModifiedBy>beibei</cp:lastModifiedBy>
  <cp:lastPrinted>2022-05-09T07:45:00Z</cp:lastPrinted>
  <dcterms:modified xsi:type="dcterms:W3CDTF">2023-01-20T01:49:17Z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B5500F81B1B445C2B1185437853BFA4A</vt:lpwstr>
  </property>
</Properties>
</file>