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line="480" w:lineRule="auto"/>
        <w:rPr>
          <w:sz w:val="24"/>
        </w:rPr>
      </w:pPr>
    </w:p>
    <w:p>
      <w:pPr>
        <w:spacing w:line="360" w:lineRule="auto"/>
        <w:jc w:val="center"/>
        <w:rPr>
          <w:rFonts w:ascii="黑体" w:hAnsi="黑体" w:eastAsia="黑体" w:cs="黑体"/>
          <w:b/>
          <w:bCs/>
          <w:color w:val="auto"/>
          <w:sz w:val="52"/>
          <w:szCs w:val="52"/>
          <w:highlight w:val="none"/>
        </w:rPr>
      </w:pPr>
      <w:r>
        <w:rPr>
          <w:rFonts w:hint="eastAsia" w:ascii="黑体" w:hAnsi="黑体" w:eastAsia="黑体" w:cs="黑体"/>
          <w:b/>
          <w:bCs/>
          <w:color w:val="auto"/>
          <w:sz w:val="46"/>
          <w:szCs w:val="46"/>
          <w:highlight w:val="none"/>
        </w:rPr>
        <w:t>粤港澳大湾区（广州）科技金融中心项目二期空调工程施工</w:t>
      </w:r>
    </w:p>
    <w:p>
      <w:pPr>
        <w:spacing w:line="360" w:lineRule="auto"/>
        <w:jc w:val="center"/>
        <w:rPr>
          <w:rFonts w:ascii="宋体" w:hAnsi="宋体"/>
          <w:b/>
          <w:bCs/>
          <w:color w:val="auto"/>
          <w:sz w:val="44"/>
          <w:szCs w:val="44"/>
          <w:highlight w:val="none"/>
        </w:rPr>
      </w:pPr>
    </w:p>
    <w:p>
      <w:pPr>
        <w:spacing w:line="360" w:lineRule="auto"/>
        <w:jc w:val="center"/>
        <w:rPr>
          <w:rFonts w:ascii="宋体" w:hAnsi="宋体"/>
          <w:b/>
          <w:bCs/>
          <w:color w:val="auto"/>
          <w:sz w:val="44"/>
          <w:szCs w:val="44"/>
          <w:highlight w:val="none"/>
        </w:rPr>
      </w:pPr>
    </w:p>
    <w:p>
      <w:pPr>
        <w:spacing w:line="360" w:lineRule="auto"/>
        <w:jc w:val="center"/>
        <w:rPr>
          <w:rFonts w:ascii="宋体" w:hAnsi="宋体"/>
          <w:b/>
          <w:bCs/>
          <w:color w:val="auto"/>
          <w:sz w:val="44"/>
          <w:szCs w:val="44"/>
          <w:highlight w:val="none"/>
        </w:rPr>
      </w:pPr>
    </w:p>
    <w:p>
      <w:pPr>
        <w:pStyle w:val="2"/>
        <w:rPr>
          <w:rFonts w:hAnsi="宋体"/>
          <w:b/>
          <w:bCs/>
          <w:color w:val="auto"/>
          <w:sz w:val="44"/>
          <w:szCs w:val="44"/>
          <w:highlight w:val="none"/>
        </w:rPr>
      </w:pPr>
    </w:p>
    <w:p>
      <w:pPr>
        <w:rPr>
          <w:color w:val="auto"/>
          <w:highlight w:val="none"/>
        </w:rPr>
      </w:pPr>
    </w:p>
    <w:p>
      <w:pPr>
        <w:pStyle w:val="2"/>
        <w:rPr>
          <w:color w:val="auto"/>
          <w:highlight w:val="none"/>
        </w:rPr>
      </w:pPr>
    </w:p>
    <w:p>
      <w:pPr>
        <w:spacing w:line="360" w:lineRule="auto"/>
        <w:jc w:val="center"/>
        <w:rPr>
          <w:rFonts w:ascii="宋体" w:hAnsi="宋体"/>
          <w:color w:val="auto"/>
          <w:sz w:val="36"/>
          <w:highlight w:val="none"/>
          <w:u w:val="single"/>
        </w:rPr>
      </w:pPr>
    </w:p>
    <w:p>
      <w:pPr>
        <w:pStyle w:val="2"/>
        <w:rPr>
          <w:color w:val="auto"/>
          <w:highlight w:val="none"/>
        </w:rPr>
      </w:pPr>
    </w:p>
    <w:p>
      <w:pPr>
        <w:spacing w:line="360" w:lineRule="auto"/>
        <w:jc w:val="center"/>
        <w:rPr>
          <w:rFonts w:ascii="宋体" w:hAnsi="宋体"/>
          <w:b/>
          <w:bCs/>
          <w:color w:val="auto"/>
          <w:sz w:val="76"/>
          <w:szCs w:val="76"/>
          <w:highlight w:val="none"/>
        </w:rPr>
      </w:pPr>
      <w:r>
        <w:rPr>
          <w:rFonts w:hint="eastAsia" w:ascii="宋体" w:hAnsi="宋体"/>
          <w:b/>
          <w:bCs/>
          <w:color w:val="auto"/>
          <w:sz w:val="76"/>
          <w:szCs w:val="76"/>
          <w:highlight w:val="none"/>
        </w:rPr>
        <w:t>招标公告</w:t>
      </w:r>
    </w:p>
    <w:p>
      <w:pPr>
        <w:spacing w:line="360" w:lineRule="auto"/>
        <w:jc w:val="center"/>
        <w:rPr>
          <w:rFonts w:ascii="宋体" w:hAnsi="宋体"/>
          <w:color w:val="auto"/>
          <w:sz w:val="32"/>
          <w:highlight w:val="none"/>
        </w:rPr>
      </w:pPr>
    </w:p>
    <w:p>
      <w:pPr>
        <w:spacing w:line="360" w:lineRule="auto"/>
        <w:jc w:val="center"/>
        <w:rPr>
          <w:rFonts w:ascii="宋体" w:hAnsi="宋体"/>
          <w:color w:val="auto"/>
          <w:sz w:val="32"/>
          <w:highlight w:val="none"/>
        </w:rPr>
      </w:pPr>
    </w:p>
    <w:p>
      <w:pPr>
        <w:pStyle w:val="2"/>
        <w:rPr>
          <w:rFonts w:hAnsi="宋体"/>
          <w:color w:val="auto"/>
          <w:sz w:val="32"/>
          <w:highlight w:val="none"/>
        </w:rPr>
      </w:pPr>
    </w:p>
    <w:p>
      <w:pPr>
        <w:rPr>
          <w:color w:val="auto"/>
          <w:highlight w:val="none"/>
        </w:rPr>
      </w:pPr>
    </w:p>
    <w:p>
      <w:pPr>
        <w:pStyle w:val="2"/>
        <w:rPr>
          <w:color w:val="auto"/>
          <w:highlight w:val="none"/>
        </w:rPr>
      </w:pPr>
    </w:p>
    <w:p>
      <w:pPr>
        <w:rPr>
          <w:color w:val="auto"/>
          <w:highlight w:val="none"/>
        </w:rPr>
      </w:pPr>
    </w:p>
    <w:p>
      <w:pPr>
        <w:spacing w:line="360" w:lineRule="auto"/>
        <w:jc w:val="center"/>
        <w:rPr>
          <w:rFonts w:ascii="宋体" w:hAnsi="宋体"/>
          <w:color w:val="auto"/>
          <w:sz w:val="32"/>
          <w:highlight w:val="none"/>
        </w:rPr>
      </w:pPr>
    </w:p>
    <w:p>
      <w:pPr>
        <w:spacing w:line="360" w:lineRule="auto"/>
        <w:rPr>
          <w:rFonts w:ascii="宋体" w:hAnsi="宋体"/>
          <w:color w:val="auto"/>
          <w:sz w:val="52"/>
          <w:highlight w:val="none"/>
        </w:rPr>
      </w:pPr>
    </w:p>
    <w:p>
      <w:pPr>
        <w:spacing w:line="360" w:lineRule="auto"/>
        <w:ind w:firstLine="1500" w:firstLineChars="500"/>
        <w:rPr>
          <w:rFonts w:ascii="黑体" w:hAnsi="黑体" w:eastAsia="黑体" w:cs="黑体"/>
          <w:color w:val="auto"/>
          <w:sz w:val="30"/>
          <w:szCs w:val="30"/>
          <w:highlight w:val="none"/>
          <w:u w:val="single"/>
        </w:rPr>
      </w:pPr>
      <w:r>
        <w:rPr>
          <w:rFonts w:hint="eastAsia" w:ascii="黑体" w:hAnsi="黑体" w:eastAsia="黑体" w:cs="黑体"/>
          <w:color w:val="auto"/>
          <w:sz w:val="30"/>
          <w:szCs w:val="30"/>
          <w:highlight w:val="none"/>
        </w:rPr>
        <w:t>招标单位：</w:t>
      </w:r>
      <w:r>
        <w:rPr>
          <w:rFonts w:hint="eastAsia" w:ascii="黑体" w:hAnsi="黑体" w:eastAsia="黑体" w:cs="黑体"/>
          <w:color w:val="auto"/>
          <w:sz w:val="30"/>
          <w:szCs w:val="30"/>
          <w:highlight w:val="none"/>
          <w:u w:val="single"/>
        </w:rPr>
        <w:t>广州尚龙置业有限公司</w:t>
      </w:r>
    </w:p>
    <w:p>
      <w:pPr>
        <w:spacing w:line="360" w:lineRule="auto"/>
        <w:ind w:firstLine="1500" w:firstLineChars="500"/>
        <w:rPr>
          <w:rFonts w:ascii="黑体" w:hAnsi="黑体" w:eastAsia="黑体" w:cs="黑体"/>
          <w:color w:val="auto"/>
          <w:sz w:val="30"/>
          <w:szCs w:val="30"/>
          <w:highlight w:val="none"/>
          <w:u w:val="single"/>
        </w:rPr>
      </w:pPr>
      <w:r>
        <w:rPr>
          <w:rFonts w:hint="eastAsia" w:ascii="黑体" w:hAnsi="黑体" w:eastAsia="黑体" w:cs="黑体"/>
          <w:color w:val="auto"/>
          <w:sz w:val="30"/>
          <w:szCs w:val="30"/>
          <w:highlight w:val="none"/>
        </w:rPr>
        <w:t>招标代理机构：</w:t>
      </w:r>
      <w:r>
        <w:rPr>
          <w:rFonts w:hint="eastAsia" w:ascii="黑体" w:hAnsi="黑体" w:eastAsia="黑体" w:cs="黑体"/>
          <w:color w:val="auto"/>
          <w:sz w:val="30"/>
          <w:szCs w:val="30"/>
          <w:highlight w:val="none"/>
          <w:u w:val="single"/>
        </w:rPr>
        <w:t>广州永安工程管理有限公司</w:t>
      </w:r>
    </w:p>
    <w:p>
      <w:pPr>
        <w:spacing w:line="360" w:lineRule="auto"/>
        <w:ind w:firstLine="1500" w:firstLineChars="500"/>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日        期：</w:t>
      </w:r>
      <w:r>
        <w:rPr>
          <w:rFonts w:hint="eastAsia" w:ascii="黑体" w:hAnsi="黑体" w:eastAsia="黑体" w:cs="黑体"/>
          <w:color w:val="auto"/>
          <w:sz w:val="30"/>
          <w:szCs w:val="30"/>
          <w:highlight w:val="none"/>
          <w:u w:val="single"/>
        </w:rPr>
        <w:t>2023</w:t>
      </w:r>
      <w:r>
        <w:rPr>
          <w:rFonts w:hint="eastAsia" w:ascii="黑体" w:hAnsi="黑体" w:eastAsia="黑体" w:cs="黑体"/>
          <w:color w:val="auto"/>
          <w:sz w:val="30"/>
          <w:szCs w:val="30"/>
          <w:highlight w:val="none"/>
        </w:rPr>
        <w:t>年</w:t>
      </w:r>
      <w:r>
        <w:rPr>
          <w:rFonts w:hint="eastAsia" w:ascii="黑体" w:hAnsi="黑体" w:eastAsia="黑体" w:cs="黑体"/>
          <w:color w:val="auto"/>
          <w:sz w:val="30"/>
          <w:szCs w:val="30"/>
          <w:highlight w:val="none"/>
          <w:u w:val="single"/>
        </w:rPr>
        <w:t xml:space="preserve"> </w:t>
      </w:r>
      <w:r>
        <w:rPr>
          <w:rFonts w:ascii="黑体" w:hAnsi="黑体" w:eastAsia="黑体" w:cs="黑体"/>
          <w:color w:val="auto"/>
          <w:sz w:val="30"/>
          <w:szCs w:val="30"/>
          <w:highlight w:val="none"/>
          <w:u w:val="single"/>
        </w:rPr>
        <w:t xml:space="preserve"> </w:t>
      </w:r>
      <w:r>
        <w:rPr>
          <w:rFonts w:hint="eastAsia" w:ascii="黑体" w:hAnsi="黑体" w:eastAsia="黑体" w:cs="黑体"/>
          <w:color w:val="auto"/>
          <w:sz w:val="30"/>
          <w:szCs w:val="30"/>
          <w:highlight w:val="none"/>
          <w:u w:val="single"/>
        </w:rPr>
        <w:t xml:space="preserve"> </w:t>
      </w:r>
      <w:r>
        <w:rPr>
          <w:rFonts w:hint="eastAsia" w:ascii="黑体" w:hAnsi="黑体" w:eastAsia="黑体" w:cs="黑体"/>
          <w:color w:val="auto"/>
          <w:sz w:val="30"/>
          <w:szCs w:val="30"/>
          <w:highlight w:val="none"/>
        </w:rPr>
        <w:t>月</w:t>
      </w:r>
    </w:p>
    <w:p>
      <w:pPr>
        <w:pStyle w:val="30"/>
        <w:spacing w:line="360" w:lineRule="auto"/>
        <w:jc w:val="center"/>
        <w:rPr>
          <w:rFonts w:ascii="黑体" w:hAnsi="黑体" w:eastAsia="黑体" w:cs="黑体"/>
          <w:color w:val="auto"/>
          <w:kern w:val="0"/>
          <w:sz w:val="32"/>
          <w:szCs w:val="32"/>
          <w:highlight w:val="none"/>
          <w:u w:val="none"/>
          <w:lang w:bidi="mn-Mong-CN"/>
        </w:rPr>
      </w:pPr>
      <w:r>
        <w:rPr>
          <w:rStyle w:val="40"/>
          <w:b/>
          <w:bCs/>
          <w:color w:val="auto"/>
          <w:highlight w:val="none"/>
        </w:rPr>
        <w:br w:type="page"/>
      </w:r>
      <w:r>
        <w:rPr>
          <w:rFonts w:hint="eastAsia" w:ascii="黑体" w:hAnsi="黑体" w:eastAsia="黑体" w:cs="黑体"/>
          <w:color w:val="auto"/>
          <w:kern w:val="0"/>
          <w:sz w:val="32"/>
          <w:szCs w:val="32"/>
          <w:highlight w:val="none"/>
          <w:u w:val="none"/>
          <w:lang w:bidi="mn-Mong-CN"/>
        </w:rPr>
        <w:t>粤港澳大湾区（广州）科技金融中心项目二期空调工程施工</w:t>
      </w:r>
    </w:p>
    <w:p>
      <w:pPr>
        <w:pStyle w:val="30"/>
        <w:spacing w:line="360" w:lineRule="auto"/>
        <w:jc w:val="center"/>
        <w:rPr>
          <w:color w:val="auto"/>
          <w:sz w:val="24"/>
          <w:highlight w:val="none"/>
        </w:rPr>
      </w:pPr>
      <w:r>
        <w:rPr>
          <w:rFonts w:hint="eastAsia" w:ascii="黑体" w:hAnsi="黑体" w:eastAsia="黑体" w:cs="黑体"/>
          <w:color w:val="auto"/>
          <w:kern w:val="0"/>
          <w:sz w:val="32"/>
          <w:szCs w:val="32"/>
          <w:highlight w:val="none"/>
          <w:u w:val="none"/>
          <w:lang w:bidi="mn-Mong-CN"/>
        </w:rPr>
        <w:t>招标公告</w:t>
      </w:r>
    </w:p>
    <w:p>
      <w:pPr>
        <w:spacing w:line="480" w:lineRule="auto"/>
        <w:ind w:left="120" w:leftChars="57"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s="宋体"/>
          <w:color w:val="auto"/>
          <w:sz w:val="24"/>
          <w:szCs w:val="24"/>
          <w:highlight w:val="none"/>
          <w:u w:val="single"/>
        </w:rPr>
        <w:t xml:space="preserve"> </w:t>
      </w:r>
      <w:r>
        <w:rPr>
          <w:rFonts w:hint="eastAsia" w:ascii="宋体" w:hAnsi="宋体" w:cs="宋体"/>
          <w:color w:val="auto"/>
          <w:spacing w:val="-2"/>
          <w:sz w:val="24"/>
          <w:szCs w:val="24"/>
          <w:highlight w:val="none"/>
          <w:u w:val="single"/>
        </w:rPr>
        <w:t>广东省企业投资项目备案证（项目代码：2020-440112-70-03-048742）</w:t>
      </w:r>
      <w:r>
        <w:rPr>
          <w:rFonts w:hint="eastAsia" w:ascii="宋体" w:hAnsi="宋体" w:cs="宋体"/>
          <w:color w:val="auto"/>
          <w:sz w:val="24"/>
          <w:szCs w:val="24"/>
          <w:highlight w:val="none"/>
          <w:u w:val="single"/>
        </w:rPr>
        <w:t xml:space="preserve"> </w:t>
      </w:r>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rPr>
        <w:t>广州尚龙置业有限公司</w:t>
      </w:r>
      <w:r>
        <w:rPr>
          <w:rFonts w:hint="eastAsia" w:ascii="宋体" w:hAnsi="宋体"/>
          <w:color w:val="auto"/>
          <w:sz w:val="24"/>
          <w:highlight w:val="none"/>
        </w:rPr>
        <w:t>现对</w:t>
      </w:r>
      <w:r>
        <w:rPr>
          <w:rFonts w:hint="eastAsia" w:ascii="宋体" w:hAnsi="宋体" w:cs="宋体"/>
          <w:color w:val="auto"/>
          <w:sz w:val="24"/>
          <w:szCs w:val="24"/>
          <w:highlight w:val="none"/>
          <w:u w:val="single"/>
        </w:rPr>
        <w:t>粤港澳大湾区（广州）科技金融中心项目二期空调工程施工</w:t>
      </w:r>
      <w:r>
        <w:rPr>
          <w:rFonts w:hint="eastAsia" w:ascii="宋体" w:hAnsi="宋体"/>
          <w:color w:val="auto"/>
          <w:sz w:val="24"/>
          <w:highlight w:val="none"/>
        </w:rPr>
        <w:t>进行公开招标，选定承包人。</w:t>
      </w:r>
    </w:p>
    <w:p>
      <w:pPr>
        <w:tabs>
          <w:tab w:val="center" w:pos="4415"/>
        </w:tabs>
        <w:spacing w:line="480" w:lineRule="auto"/>
        <w:ind w:firstLine="537" w:firstLineChars="224"/>
        <w:rPr>
          <w:rFonts w:ascii="宋体" w:hAnsi="宋体"/>
          <w:color w:val="auto"/>
          <w:sz w:val="24"/>
          <w:highlight w:val="none"/>
          <w:u w:val="single"/>
        </w:rPr>
      </w:pPr>
      <w:r>
        <w:rPr>
          <w:rFonts w:hint="eastAsia" w:ascii="宋体" w:hAnsi="宋体"/>
          <w:color w:val="auto"/>
          <w:sz w:val="24"/>
          <w:highlight w:val="none"/>
        </w:rPr>
        <w:t>一、工程名称：</w:t>
      </w:r>
      <w:r>
        <w:rPr>
          <w:rFonts w:hint="eastAsia" w:ascii="宋体" w:hAnsi="宋体" w:cs="宋体"/>
          <w:color w:val="auto"/>
          <w:sz w:val="24"/>
          <w:szCs w:val="24"/>
          <w:highlight w:val="none"/>
          <w:u w:val="single"/>
        </w:rPr>
        <w:t>粤港澳大湾区（广州）科技金融中心项目二期空调工程施工</w:t>
      </w:r>
    </w:p>
    <w:p>
      <w:pPr>
        <w:spacing w:line="480" w:lineRule="auto"/>
        <w:ind w:firstLine="960" w:firstLineChars="400"/>
        <w:rPr>
          <w:rFonts w:ascii="宋体" w:hAnsi="宋体"/>
          <w:color w:val="auto"/>
          <w:sz w:val="24"/>
          <w:highlight w:val="none"/>
        </w:rPr>
      </w:pPr>
      <w:r>
        <w:rPr>
          <w:rFonts w:hint="eastAsia" w:ascii="宋体" w:hAnsi="宋体"/>
          <w:color w:val="auto"/>
          <w:sz w:val="24"/>
          <w:highlight w:val="none"/>
        </w:rPr>
        <w:t>项目代码：2020-440112-70-03-048742</w:t>
      </w:r>
    </w:p>
    <w:p>
      <w:pPr>
        <w:spacing w:line="480" w:lineRule="auto"/>
        <w:ind w:firstLine="537" w:firstLineChars="224"/>
        <w:jc w:val="left"/>
        <w:rPr>
          <w:rFonts w:ascii="宋体"/>
          <w:color w:val="auto"/>
          <w:sz w:val="24"/>
          <w:highlight w:val="none"/>
          <w:u w:val="single"/>
        </w:rPr>
      </w:pPr>
      <w:r>
        <w:rPr>
          <w:rFonts w:hint="eastAsia" w:ascii="宋体" w:hAnsi="宋体"/>
          <w:color w:val="auto"/>
          <w:sz w:val="24"/>
          <w:highlight w:val="none"/>
        </w:rPr>
        <w:t>二、招标单位：</w:t>
      </w:r>
      <w:r>
        <w:rPr>
          <w:rFonts w:hint="eastAsia" w:ascii="宋体" w:hAnsi="宋体" w:cs="宋体"/>
          <w:color w:val="auto"/>
          <w:spacing w:val="-2"/>
          <w:sz w:val="24"/>
          <w:szCs w:val="24"/>
          <w:highlight w:val="none"/>
          <w:u w:val="single"/>
        </w:rPr>
        <w:t>广州尚龙置业有限公司</w:t>
      </w:r>
    </w:p>
    <w:p>
      <w:pPr>
        <w:spacing w:line="480" w:lineRule="auto"/>
        <w:ind w:firstLine="960" w:firstLineChars="400"/>
        <w:rPr>
          <w:rFonts w:ascii="宋体" w:hAnsi="宋体"/>
          <w:color w:val="auto"/>
          <w:sz w:val="24"/>
          <w:highlight w:val="none"/>
        </w:rPr>
      </w:pPr>
      <w:r>
        <w:rPr>
          <w:rFonts w:hint="eastAsia" w:ascii="宋体" w:hAnsi="宋体"/>
          <w:color w:val="auto"/>
          <w:sz w:val="24"/>
          <w:highlight w:val="none"/>
        </w:rPr>
        <w:t>联系人：黄工</w:t>
      </w:r>
      <w:r>
        <w:rPr>
          <w:rFonts w:ascii="宋体" w:hAnsi="宋体"/>
          <w:color w:val="auto"/>
          <w:sz w:val="24"/>
          <w:highlight w:val="none"/>
        </w:rPr>
        <w:t xml:space="preserve">      </w:t>
      </w:r>
      <w:r>
        <w:rPr>
          <w:rFonts w:hint="eastAsia" w:ascii="宋体" w:hAnsi="宋体"/>
          <w:color w:val="auto"/>
          <w:sz w:val="24"/>
          <w:highlight w:val="none"/>
        </w:rPr>
        <w:t>联系电话：</w:t>
      </w:r>
      <w:r>
        <w:rPr>
          <w:rFonts w:ascii="宋体" w:hAnsi="宋体"/>
          <w:color w:val="auto"/>
          <w:sz w:val="24"/>
          <w:highlight w:val="none"/>
        </w:rPr>
        <w:t>020-31705369</w:t>
      </w:r>
    </w:p>
    <w:p>
      <w:pPr>
        <w:spacing w:line="480" w:lineRule="auto"/>
        <w:ind w:firstLine="960" w:firstLineChars="400"/>
        <w:rPr>
          <w:rFonts w:ascii="宋体" w:hAnsi="宋体"/>
          <w:color w:val="auto"/>
          <w:sz w:val="24"/>
          <w:highlight w:val="none"/>
        </w:rPr>
      </w:pPr>
      <w:r>
        <w:rPr>
          <w:rFonts w:hint="eastAsia" w:ascii="宋体" w:hAnsi="宋体"/>
          <w:color w:val="auto"/>
          <w:sz w:val="24"/>
          <w:highlight w:val="none"/>
        </w:rPr>
        <w:t>联系地址：广州市黄埔区科学大道60号开发区控股中心28楼</w:t>
      </w:r>
    </w:p>
    <w:p>
      <w:pPr>
        <w:spacing w:line="480" w:lineRule="auto"/>
        <w:ind w:firstLine="960" w:firstLineChars="400"/>
        <w:rPr>
          <w:color w:val="auto"/>
          <w:highlight w:val="none"/>
        </w:rPr>
      </w:pPr>
      <w:r>
        <w:rPr>
          <w:rFonts w:hint="eastAsia" w:ascii="宋体" w:hAnsi="宋体"/>
          <w:color w:val="auto"/>
          <w:sz w:val="24"/>
          <w:highlight w:val="none"/>
        </w:rPr>
        <w:t>招标代理机构：</w:t>
      </w:r>
      <w:r>
        <w:rPr>
          <w:rFonts w:hint="eastAsia" w:ascii="宋体" w:hAnsi="宋体"/>
          <w:color w:val="auto"/>
          <w:sz w:val="24"/>
          <w:highlight w:val="none"/>
          <w:u w:val="single"/>
        </w:rPr>
        <w:t>广州永安工程管理有限公司</w:t>
      </w:r>
    </w:p>
    <w:p>
      <w:pPr>
        <w:spacing w:line="480" w:lineRule="auto"/>
        <w:ind w:firstLine="960" w:firstLineChars="400"/>
        <w:rPr>
          <w:rFonts w:ascii="宋体" w:hAnsi="宋体"/>
          <w:color w:val="auto"/>
          <w:sz w:val="24"/>
          <w:highlight w:val="none"/>
        </w:rPr>
      </w:pPr>
      <w:r>
        <w:rPr>
          <w:rFonts w:hint="eastAsia" w:ascii="宋体" w:hAnsi="宋体"/>
          <w:color w:val="auto"/>
          <w:sz w:val="24"/>
          <w:highlight w:val="none"/>
        </w:rPr>
        <w:t xml:space="preserve">联系人：魏工     联系电话：020-82217860/19529978415 </w:t>
      </w:r>
    </w:p>
    <w:p>
      <w:pPr>
        <w:spacing w:line="480" w:lineRule="auto"/>
        <w:ind w:firstLine="960" w:firstLineChars="400"/>
        <w:rPr>
          <w:rFonts w:ascii="宋体" w:hAnsi="宋体"/>
          <w:color w:val="auto"/>
          <w:sz w:val="24"/>
          <w:highlight w:val="none"/>
        </w:rPr>
      </w:pPr>
      <w:r>
        <w:rPr>
          <w:rFonts w:hint="eastAsia" w:ascii="宋体" w:hAnsi="宋体"/>
          <w:color w:val="auto"/>
          <w:sz w:val="24"/>
          <w:highlight w:val="none"/>
        </w:rPr>
        <w:t xml:space="preserve">联系地址：广州市黄埔区观虹路10号1105室 </w:t>
      </w:r>
    </w:p>
    <w:p>
      <w:pPr>
        <w:spacing w:line="480" w:lineRule="auto"/>
        <w:ind w:firstLine="960" w:firstLineChars="400"/>
        <w:rPr>
          <w:rFonts w:ascii="宋体"/>
          <w:color w:val="auto"/>
          <w:sz w:val="24"/>
          <w:highlight w:val="none"/>
        </w:rPr>
      </w:pPr>
      <w:r>
        <w:rPr>
          <w:rFonts w:hint="eastAsia" w:ascii="宋体" w:hAnsi="宋体"/>
          <w:color w:val="auto"/>
          <w:sz w:val="24"/>
          <w:highlight w:val="none"/>
        </w:rPr>
        <w:t>招标监督机构：</w:t>
      </w:r>
      <w:r>
        <w:rPr>
          <w:rFonts w:hint="eastAsia" w:ascii="宋体" w:hAnsi="宋体"/>
          <w:color w:val="auto"/>
          <w:sz w:val="24"/>
          <w:highlight w:val="none"/>
          <w:u w:val="single"/>
        </w:rPr>
        <w:t>广州开发区建设工程招投标管理办公室（广州市黄埔区建设工程招投标管理办公室）</w:t>
      </w:r>
    </w:p>
    <w:p>
      <w:pPr>
        <w:spacing w:line="480" w:lineRule="auto"/>
        <w:ind w:firstLine="960" w:firstLineChars="400"/>
        <w:rPr>
          <w:rFonts w:ascii="宋体" w:hAnsi="宋体"/>
          <w:color w:val="auto"/>
          <w:sz w:val="24"/>
          <w:highlight w:val="none"/>
          <w:u w:val="single"/>
        </w:rPr>
      </w:pPr>
      <w:r>
        <w:rPr>
          <w:rFonts w:hint="eastAsia" w:ascii="宋体" w:hAnsi="宋体"/>
          <w:color w:val="auto"/>
          <w:sz w:val="24"/>
          <w:highlight w:val="none"/>
        </w:rPr>
        <w:t>监督电话：</w:t>
      </w:r>
      <w:r>
        <w:rPr>
          <w:rFonts w:ascii="宋体" w:hAnsi="宋体"/>
          <w:color w:val="auto"/>
          <w:sz w:val="24"/>
          <w:highlight w:val="none"/>
          <w:u w:val="single"/>
        </w:rPr>
        <w:t>020-82111245</w:t>
      </w:r>
    </w:p>
    <w:p>
      <w:pPr>
        <w:spacing w:line="480" w:lineRule="auto"/>
        <w:ind w:firstLine="960" w:firstLineChars="400"/>
        <w:rPr>
          <w:color w:val="auto"/>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广州黄埔区科学城水西路30号汇丽写字楼4楼</w:t>
      </w:r>
    </w:p>
    <w:p>
      <w:pPr>
        <w:spacing w:line="480" w:lineRule="auto"/>
        <w:ind w:firstLine="480" w:firstLineChars="200"/>
        <w:rPr>
          <w:rFonts w:ascii="宋体"/>
          <w:color w:val="auto"/>
          <w:sz w:val="24"/>
          <w:highlight w:val="none"/>
          <w:u w:val="single"/>
        </w:rPr>
      </w:pPr>
      <w:r>
        <w:rPr>
          <w:rFonts w:hint="eastAsia" w:ascii="宋体" w:hAnsi="宋体"/>
          <w:color w:val="auto"/>
          <w:sz w:val="24"/>
          <w:highlight w:val="none"/>
        </w:rPr>
        <w:t>三、建设地点：</w:t>
      </w:r>
      <w:r>
        <w:rPr>
          <w:rFonts w:hint="eastAsia" w:ascii="宋体" w:hAnsi="宋体"/>
          <w:color w:val="auto"/>
          <w:sz w:val="24"/>
          <w:highlight w:val="none"/>
          <w:u w:val="single"/>
        </w:rPr>
        <w:t>广州市黄埔区科学大道以南、神舟路以东。</w:t>
      </w:r>
    </w:p>
    <w:p>
      <w:pPr>
        <w:spacing w:line="480" w:lineRule="auto"/>
        <w:ind w:firstLine="480" w:firstLineChars="200"/>
        <w:rPr>
          <w:rFonts w:ascii="宋体"/>
          <w:color w:val="auto"/>
          <w:sz w:val="24"/>
          <w:highlight w:val="none"/>
          <w:u w:val="single"/>
        </w:rPr>
      </w:pPr>
      <w:r>
        <w:rPr>
          <w:rFonts w:hint="eastAsia" w:ascii="宋体" w:hAnsi="宋体"/>
          <w:color w:val="auto"/>
          <w:sz w:val="24"/>
          <w:highlight w:val="none"/>
        </w:rPr>
        <w:t>四、项目概况：</w:t>
      </w:r>
      <w:r>
        <w:rPr>
          <w:rFonts w:hint="eastAsia" w:ascii="宋体" w:hAnsi="宋体"/>
          <w:color w:val="auto"/>
          <w:sz w:val="24"/>
          <w:highlight w:val="none"/>
          <w:u w:val="single"/>
          <w:lang w:val="zh-CN"/>
        </w:rPr>
        <w:t>用地面积为46788平方米，总建筑面积为415110平方米。招标范围为2栋32层150米的公寓楼及配套裙楼。二期建筑面积为152773.5平方米，其中地下建筑面积为50818.7平方米。</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五、标段划分及各标段招标内容、规模和最高投标限价：</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1、本工程划分为</w:t>
      </w: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rPr>
        <w:t>个标段。</w:t>
      </w:r>
    </w:p>
    <w:p>
      <w:pPr>
        <w:autoSpaceDN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2、招标内容、规模：</w:t>
      </w:r>
      <w:r>
        <w:rPr>
          <w:rFonts w:hint="eastAsia" w:ascii="宋体" w:hAnsi="宋体" w:cs="宋体"/>
          <w:color w:val="auto"/>
          <w:sz w:val="24"/>
          <w:szCs w:val="24"/>
          <w:highlight w:val="none"/>
          <w:u w:val="single"/>
          <w:lang w:val="zh-CN"/>
        </w:rPr>
        <w:t>招标内容为该二期工程范围内空调工程，包括不限于空调设备采购、冷凝管和风管施工，控制线施工及管道保温工作等，以经招标人审核确认的施工图为准。负责与空调工程相关的设备采购、安装、调试（含公区部分已施工的管道和控制线等）、验收等工作，满足设计要求和相关验收规范，最终通过后期运营单位验收并交付，配合项目联合验收和竣工验收备案工作。</w:t>
      </w:r>
      <w:r>
        <w:rPr>
          <w:rFonts w:hint="eastAsia" w:ascii="宋体" w:hAnsi="宋体" w:cs="宋体"/>
          <w:color w:val="auto"/>
          <w:sz w:val="24"/>
          <w:szCs w:val="24"/>
          <w:highlight w:val="none"/>
          <w:u w:val="single"/>
        </w:rPr>
        <w:t>具体工程范围包括但不限于《粤港澳大湾区（广州）科技金融中心项目二期多联式空调系统工程技术规格说明书》中的工程范围。</w:t>
      </w:r>
    </w:p>
    <w:p>
      <w:pPr>
        <w:autoSpaceDN w:val="0"/>
        <w:spacing w:line="360" w:lineRule="auto"/>
        <w:ind w:firstLine="480" w:firstLineChars="200"/>
        <w:rPr>
          <w:color w:val="auto"/>
          <w:highlight w:val="none"/>
        </w:rPr>
      </w:pPr>
      <w:r>
        <w:rPr>
          <w:rFonts w:hint="eastAsia" w:ascii="宋体" w:hAnsi="宋体" w:cs="宋体"/>
          <w:color w:val="auto"/>
          <w:sz w:val="24"/>
          <w:szCs w:val="24"/>
          <w:highlight w:val="none"/>
        </w:rPr>
        <w:t>4、最高投标限价：</w:t>
      </w:r>
      <w:r>
        <w:rPr>
          <w:rFonts w:hint="eastAsia" w:ascii="宋体" w:hAnsi="宋体" w:cs="宋体"/>
          <w:color w:val="auto"/>
          <w:sz w:val="24"/>
          <w:szCs w:val="24"/>
          <w:highlight w:val="none"/>
          <w:u w:val="single"/>
        </w:rPr>
        <w:t xml:space="preserve"> 56054008.89 元。详见招标人最终发出的《最高投标限价公布函》，投标价超过最高投标限价的投标文件将被拒绝。</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六、资金来源：</w:t>
      </w:r>
      <w:r>
        <w:rPr>
          <w:rFonts w:hint="eastAsia" w:ascii="宋体" w:hAnsi="宋体"/>
          <w:color w:val="auto"/>
          <w:sz w:val="24"/>
          <w:highlight w:val="none"/>
          <w:u w:val="single"/>
        </w:rPr>
        <w:t>企业自筹</w:t>
      </w:r>
    </w:p>
    <w:p>
      <w:pPr>
        <w:spacing w:line="480" w:lineRule="auto"/>
        <w:ind w:firstLine="480" w:firstLineChars="200"/>
        <w:rPr>
          <w:rFonts w:ascii="宋体"/>
          <w:color w:val="auto"/>
          <w:sz w:val="24"/>
          <w:highlight w:val="none"/>
        </w:rPr>
      </w:pPr>
      <w:r>
        <w:rPr>
          <w:rFonts w:hint="eastAsia" w:ascii="宋体" w:hAnsi="宋体"/>
          <w:color w:val="auto"/>
          <w:sz w:val="24"/>
          <w:highlight w:val="none"/>
        </w:rPr>
        <w:t>注：政府投资项目一律不得以建筑业企业带资承包的方式进行建设。</w:t>
      </w:r>
    </w:p>
    <w:p>
      <w:pPr>
        <w:snapToGrid w:val="0"/>
        <w:spacing w:line="48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pPr>
        <w:snapToGrid w:val="0"/>
        <w:spacing w:line="480" w:lineRule="auto"/>
        <w:ind w:firstLine="480" w:firstLineChars="200"/>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hint="eastAsia" w:ascii="宋体" w:hAnsi="宋体" w:cs="宋体"/>
          <w:color w:val="auto"/>
          <w:sz w:val="24"/>
          <w:szCs w:val="24"/>
          <w:highlight w:val="none"/>
          <w:u w:val="single"/>
        </w:rPr>
        <w:t>2023</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00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00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2023</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pPr>
        <w:snapToGrid w:val="0"/>
        <w:spacing w:line="480" w:lineRule="auto"/>
        <w:ind w:firstLine="480" w:firstLineChars="200"/>
        <w:rPr>
          <w:rFonts w:ascii="宋体" w:cs="宋体"/>
          <w:color w:val="auto"/>
          <w:kern w:val="0"/>
          <w:sz w:val="24"/>
          <w:szCs w:val="24"/>
          <w:highlight w:val="none"/>
        </w:rPr>
      </w:pPr>
      <w:r>
        <w:rPr>
          <w:rFonts w:hint="eastAsia" w:ascii="宋体" w:hAnsi="宋体"/>
          <w:color w:val="auto"/>
          <w:sz w:val="24"/>
          <w:highlight w:val="none"/>
        </w:rPr>
        <w:t>凡有意参加投标者，请登录</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pPr>
        <w:widowControl/>
        <w:shd w:val="clear" w:color="auto" w:fill="FFFFFF"/>
        <w:snapToGrid w:val="0"/>
        <w:spacing w:line="48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注：发布招标公告的时间为招标公告发出之日起至投标截止时间止。</w:t>
      </w:r>
    </w:p>
    <w:p>
      <w:pPr>
        <w:widowControl/>
        <w:shd w:val="clear" w:color="auto" w:fill="FFFFFF"/>
        <w:snapToGrid w:val="0"/>
        <w:spacing w:line="48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s="宋体"/>
          <w:color w:val="auto"/>
          <w:sz w:val="24"/>
          <w:szCs w:val="24"/>
          <w:highlight w:val="none"/>
          <w:u w:val="single"/>
        </w:rPr>
        <w:t xml:space="preserve">2023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00 </w:t>
      </w:r>
      <w:r>
        <w:rPr>
          <w:rFonts w:hint="eastAsia" w:ascii="宋体" w:hAnsi="宋体" w:cs="宋体"/>
          <w:color w:val="auto"/>
          <w:sz w:val="24"/>
          <w:szCs w:val="24"/>
          <w:highlight w:val="none"/>
        </w:rPr>
        <w:t xml:space="preserve"> 时</w:t>
      </w:r>
      <w:r>
        <w:rPr>
          <w:rFonts w:hint="eastAsia" w:ascii="宋体" w:hAnsi="宋体" w:cs="宋体"/>
          <w:color w:val="auto"/>
          <w:sz w:val="24"/>
          <w:szCs w:val="24"/>
          <w:highlight w:val="none"/>
          <w:u w:val="single"/>
        </w:rPr>
        <w:t xml:space="preserve"> 00 </w:t>
      </w:r>
      <w:r>
        <w:rPr>
          <w:rFonts w:hint="eastAsia" w:ascii="宋体" w:hAnsi="宋体" w:cs="宋体"/>
          <w:color w:val="auto"/>
          <w:sz w:val="24"/>
          <w:szCs w:val="24"/>
          <w:highlight w:val="none"/>
        </w:rPr>
        <w:t>分；</w:t>
      </w:r>
    </w:p>
    <w:p>
      <w:pPr>
        <w:widowControl/>
        <w:shd w:val="clear" w:color="auto" w:fill="FFFFFF"/>
        <w:snapToGrid w:val="0"/>
        <w:spacing w:line="480" w:lineRule="auto"/>
        <w:ind w:left="764" w:leftChars="364" w:firstLine="1440" w:firstLineChars="600"/>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rPr>
        <w:t xml:space="preserve">2023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pPr>
        <w:widowControl/>
        <w:shd w:val="clear" w:color="auto" w:fill="FFFFFF"/>
        <w:snapToGrid w:val="0"/>
        <w:spacing w:line="48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s="宋体"/>
          <w:color w:val="auto"/>
          <w:sz w:val="24"/>
          <w:szCs w:val="24"/>
          <w:highlight w:val="none"/>
          <w:u w:val="single"/>
        </w:rPr>
        <w:t xml:space="preserve">2023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pPr>
        <w:widowControl/>
        <w:shd w:val="clear" w:color="auto" w:fill="FFFFFF"/>
        <w:snapToGrid w:val="0"/>
        <w:spacing w:line="48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80" w:lineRule="auto"/>
        <w:ind w:firstLine="480" w:firstLineChars="200"/>
        <w:rPr>
          <w:rFonts w:ascii="宋体" w:hAnsi="宋体"/>
          <w:color w:val="auto"/>
          <w:sz w:val="24"/>
          <w:szCs w:val="24"/>
          <w:highlight w:val="none"/>
          <w:u w:val="singl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s="仿宋_GB2312"/>
          <w:color w:val="auto"/>
          <w:sz w:val="24"/>
          <w:szCs w:val="24"/>
          <w:highlight w:val="none"/>
          <w:u w:val="single"/>
        </w:rPr>
        <w:t>广州公共资源交易中心网站(http://ggzy.gz.gov.cn/)服务指南栏目</w:t>
      </w:r>
      <w:r>
        <w:rPr>
          <w:rFonts w:hint="eastAsia" w:ascii="宋体" w:hAnsi="宋体" w:cs="仿宋_GB2312"/>
          <w:color w:val="auto"/>
          <w:sz w:val="24"/>
          <w:szCs w:val="24"/>
          <w:highlight w:val="none"/>
        </w:rPr>
        <w:t>。</w:t>
      </w:r>
    </w:p>
    <w:p>
      <w:pPr>
        <w:widowControl/>
        <w:shd w:val="clear" w:color="auto" w:fill="FFFFFF"/>
        <w:snapToGrid w:val="0"/>
        <w:spacing w:line="48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pPr>
        <w:widowControl/>
        <w:shd w:val="clear" w:color="auto" w:fill="FFFFFF"/>
        <w:snapToGrid w:val="0"/>
        <w:spacing w:line="48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480" w:lineRule="auto"/>
        <w:ind w:firstLine="480" w:firstLineChars="200"/>
        <w:rPr>
          <w:rFonts w:ascii="宋体"/>
          <w:color w:val="auto"/>
          <w:sz w:val="24"/>
          <w:highlight w:val="none"/>
        </w:rPr>
      </w:pPr>
      <w:r>
        <w:rPr>
          <w:rFonts w:hint="eastAsia" w:ascii="宋体" w:hAnsi="宋体"/>
          <w:color w:val="auto"/>
          <w:sz w:val="24"/>
          <w:highlight w:val="none"/>
        </w:rPr>
        <w:t>九、投标人合格条件：</w:t>
      </w:r>
    </w:p>
    <w:p>
      <w:pPr>
        <w:spacing w:line="48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pPr>
        <w:spacing w:line="48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pPr>
        <w:spacing w:line="48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、投标人均持有建设行政主管部门颁发的企业资质证书及安全生产许可证；</w:t>
      </w:r>
    </w:p>
    <w:p>
      <w:pPr>
        <w:pStyle w:val="94"/>
        <w:spacing w:line="48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pPr>
        <w:pStyle w:val="94"/>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投标人具有承接本工程所需的建筑机电安装工程专业承包一级资质；投标人拟担任本工程项目负责人的人员为：机电工程专业一级注册建造师；</w:t>
      </w:r>
    </w:p>
    <w:p>
      <w:pPr>
        <w:spacing w:line="480" w:lineRule="auto"/>
        <w:ind w:firstLine="480" w:firstLineChars="200"/>
        <w:rPr>
          <w:rFonts w:ascii="宋体" w:hAnsi="宋体"/>
          <w:color w:val="auto"/>
          <w:sz w:val="24"/>
          <w:szCs w:val="24"/>
          <w:highlight w:val="none"/>
        </w:rPr>
      </w:pPr>
      <w:r>
        <w:rPr>
          <w:rFonts w:hint="eastAsia"/>
          <w:color w:val="auto"/>
          <w:sz w:val="24"/>
          <w:highlight w:val="none"/>
        </w:rPr>
        <w:t>注：</w:t>
      </w:r>
      <w:r>
        <w:rPr>
          <w:rFonts w:hint="eastAsia" w:ascii="宋体" w:hAnsi="宋体"/>
          <w:color w:val="auto"/>
          <w:sz w:val="24"/>
          <w:szCs w:val="24"/>
          <w:highlight w:val="none"/>
        </w:rPr>
        <w:t>①资质内容按照建市</w:t>
      </w:r>
      <w:r>
        <w:rPr>
          <w:rFonts w:ascii="宋体" w:hAnsi="宋体"/>
          <w:color w:val="auto"/>
          <w:sz w:val="24"/>
          <w:szCs w:val="24"/>
          <w:highlight w:val="none"/>
        </w:rPr>
        <w:t>[2014]159</w:t>
      </w:r>
      <w:r>
        <w:rPr>
          <w:rFonts w:hint="eastAsia" w:ascii="宋体" w:hAnsi="宋体"/>
          <w:color w:val="auto"/>
          <w:sz w:val="24"/>
          <w:szCs w:val="24"/>
          <w:highlight w:val="none"/>
        </w:rPr>
        <w:t>号文颁布的新版《建筑业企业资质标准》中对应的资质类别及等级的承包工程范围和《住房城乡建设部关于建筑业企业资质管理有关问题的通知》（建市</w:t>
      </w:r>
      <w:r>
        <w:rPr>
          <w:rFonts w:ascii="宋体" w:hAnsi="宋体"/>
          <w:color w:val="auto"/>
          <w:sz w:val="24"/>
          <w:szCs w:val="24"/>
          <w:highlight w:val="none"/>
        </w:rPr>
        <w:t>[2015]154</w:t>
      </w:r>
      <w:r>
        <w:rPr>
          <w:rFonts w:hint="eastAsia" w:ascii="宋体" w:hAnsi="宋体"/>
          <w:color w:val="auto"/>
          <w:sz w:val="24"/>
          <w:szCs w:val="24"/>
          <w:highlight w:val="none"/>
        </w:rPr>
        <w:t>号）、《住房城乡建设部关于简化建筑业企业资质标准部分指标的通知》</w:t>
      </w:r>
      <w:r>
        <w:rPr>
          <w:rFonts w:ascii="宋体" w:hAnsi="宋体"/>
          <w:color w:val="auto"/>
          <w:sz w:val="24"/>
          <w:szCs w:val="24"/>
          <w:highlight w:val="none"/>
        </w:rPr>
        <w:t>(</w:t>
      </w:r>
      <w:r>
        <w:rPr>
          <w:rFonts w:hint="eastAsia" w:ascii="宋体" w:hAnsi="宋体"/>
          <w:color w:val="auto"/>
          <w:sz w:val="24"/>
          <w:szCs w:val="24"/>
          <w:highlight w:val="none"/>
        </w:rPr>
        <w:t>建市</w:t>
      </w:r>
      <w:r>
        <w:rPr>
          <w:rFonts w:ascii="宋体" w:hAnsi="宋体"/>
          <w:color w:val="auto"/>
          <w:sz w:val="24"/>
          <w:szCs w:val="24"/>
          <w:highlight w:val="none"/>
        </w:rPr>
        <w:t>[2016]226</w:t>
      </w:r>
      <w:r>
        <w:rPr>
          <w:rFonts w:hint="eastAsia" w:ascii="宋体" w:hAnsi="宋体"/>
          <w:color w:val="auto"/>
          <w:sz w:val="24"/>
          <w:szCs w:val="24"/>
          <w:highlight w:val="none"/>
        </w:rPr>
        <w:t>号</w:t>
      </w:r>
      <w:r>
        <w:rPr>
          <w:rFonts w:ascii="宋体" w:hAnsi="宋体"/>
          <w:color w:val="auto"/>
          <w:sz w:val="24"/>
          <w:szCs w:val="24"/>
          <w:highlight w:val="none"/>
        </w:rPr>
        <w:t>)</w:t>
      </w:r>
      <w:r>
        <w:rPr>
          <w:rFonts w:hint="eastAsia" w:ascii="宋体" w:hAnsi="宋体"/>
          <w:color w:val="auto"/>
          <w:sz w:val="24"/>
          <w:szCs w:val="24"/>
          <w:highlight w:val="none"/>
        </w:rPr>
        <w:t>、《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的要求设置。招标内容含有设计要求，且设计要求仅为深化设计的，在投标人的资质设置要求中，不允许设置设计资质。</w:t>
      </w:r>
    </w:p>
    <w:p>
      <w:pPr>
        <w:spacing w:line="480" w:lineRule="auto"/>
        <w:ind w:firstLine="480" w:firstLineChars="200"/>
        <w:rPr>
          <w:rFonts w:ascii="宋体" w:hAnsi="宋体"/>
          <w:color w:val="auto"/>
          <w:sz w:val="24"/>
          <w:szCs w:val="24"/>
          <w:highlight w:val="none"/>
        </w:rPr>
      </w:pPr>
      <w:r>
        <w:rPr>
          <w:rFonts w:hint="eastAsia"/>
          <w:color w:val="auto"/>
          <w:sz w:val="24"/>
          <w:highlight w:val="none"/>
        </w:rPr>
        <w:t>②</w:t>
      </w:r>
      <w:r>
        <w:rPr>
          <w:rFonts w:hint="eastAsia" w:ascii="宋体" w:hAnsi="宋体"/>
          <w:color w:val="auto"/>
          <w:sz w:val="24"/>
          <w:szCs w:val="24"/>
          <w:highlight w:val="none"/>
        </w:rPr>
        <w:t>根据广东省建设厅《关于明确省外二级建造师入粤注册和执业有关问题的通知》（粤建市函〔2011〕218号），二级建造师执业资格证书、注册证书仅限所在行政区域内有效，不得跨省执业。投标人应提供有效的二级建造师执业资格证书。小型项目负责人需符合粤建市[2010]26号文规定，专业以企业聘书上所聘专业为准，如聘书中专业未明确，以小型项目负责人培训合格证或小型负责人继续教育培训合格证中的专业为准。项目负责人在任职期间不得担任专职安全员，项目专职安全员在任职期间也不得担任项目负责人，项目负责人和安全员不为同一人。</w:t>
      </w:r>
    </w:p>
    <w:p>
      <w:pPr>
        <w:pStyle w:val="94"/>
        <w:spacing w:line="48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、项目负责人持有安全培训考核合格证（</w:t>
      </w:r>
      <w:r>
        <w:rPr>
          <w:rFonts w:ascii="宋体" w:hAnsi="宋体" w:eastAsia="宋体"/>
          <w:color w:val="auto"/>
          <w:sz w:val="24"/>
          <w:szCs w:val="24"/>
          <w:highlight w:val="none"/>
        </w:rPr>
        <w:t>B</w:t>
      </w:r>
      <w:r>
        <w:rPr>
          <w:rFonts w:hint="eastAsia" w:ascii="宋体" w:hAnsi="宋体" w:eastAsia="宋体"/>
          <w:color w:val="auto"/>
          <w:sz w:val="24"/>
          <w:szCs w:val="24"/>
          <w:highlight w:val="none"/>
        </w:rPr>
        <w:t>类）或建筑施工企业项目负责人安全生产考核合格证书；</w:t>
      </w:r>
    </w:p>
    <w:p>
      <w:pPr>
        <w:pStyle w:val="94"/>
        <w:spacing w:line="48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6、投标人拟担任本工程技术负责人的资格要求为：机电工程类专业</w:t>
      </w:r>
      <w:r>
        <w:rPr>
          <w:rFonts w:hint="eastAsia" w:ascii="宋体" w:hAnsi="宋体" w:eastAsia="宋体"/>
          <w:color w:val="auto"/>
          <w:sz w:val="24"/>
          <w:szCs w:val="24"/>
          <w:highlight w:val="none"/>
          <w:lang w:val="en-US" w:eastAsia="zh-CN"/>
        </w:rPr>
        <w:t>工程师</w:t>
      </w:r>
      <w:r>
        <w:rPr>
          <w:rFonts w:hint="eastAsia" w:ascii="宋体" w:hAnsi="宋体" w:eastAsia="宋体"/>
          <w:color w:val="auto"/>
          <w:sz w:val="24"/>
          <w:szCs w:val="24"/>
          <w:highlight w:val="none"/>
        </w:rPr>
        <w:t>或以上职称</w:t>
      </w:r>
      <w:r>
        <w:rPr>
          <w:rFonts w:hint="eastAsia" w:ascii="宋体" w:hAnsi="宋体" w:eastAsia="宋体"/>
          <w:color w:val="auto"/>
          <w:sz w:val="24"/>
          <w:szCs w:val="24"/>
          <w:highlight w:val="none"/>
          <w:u w:val="single"/>
        </w:rPr>
        <w:t>。</w:t>
      </w:r>
    </w:p>
    <w:p>
      <w:pPr>
        <w:spacing w:line="480" w:lineRule="auto"/>
        <w:ind w:firstLine="480" w:firstLineChars="200"/>
        <w:rPr>
          <w:rFonts w:ascii="宋体"/>
          <w:color w:val="auto"/>
          <w:kern w:val="0"/>
          <w:sz w:val="24"/>
          <w:highlight w:val="none"/>
        </w:rPr>
      </w:pPr>
      <w:r>
        <w:rPr>
          <w:rFonts w:hint="eastAsia" w:ascii="宋体" w:hAnsi="宋体"/>
          <w:color w:val="auto"/>
          <w:kern w:val="0"/>
          <w:sz w:val="24"/>
          <w:highlight w:val="none"/>
        </w:rPr>
        <w:t>7、</w:t>
      </w:r>
      <w:r>
        <w:rPr>
          <w:rFonts w:hint="eastAsia" w:ascii="宋体" w:hAnsi="宋体"/>
          <w:color w:val="auto"/>
          <w:sz w:val="24"/>
          <w:szCs w:val="24"/>
          <w:highlight w:val="none"/>
        </w:rPr>
        <w:t>专职安全员须具有安全生产考核合格证（</w:t>
      </w:r>
      <w:r>
        <w:rPr>
          <w:rFonts w:ascii="宋体" w:hAnsi="宋体"/>
          <w:color w:val="auto"/>
          <w:sz w:val="24"/>
          <w:szCs w:val="24"/>
          <w:highlight w:val="none"/>
        </w:rPr>
        <w:t>C</w:t>
      </w:r>
      <w:r>
        <w:rPr>
          <w:rFonts w:hint="eastAsia" w:ascii="宋体" w:hAnsi="宋体"/>
          <w:color w:val="auto"/>
          <w:sz w:val="24"/>
          <w:szCs w:val="24"/>
          <w:highlight w:val="none"/>
        </w:rPr>
        <w:t>类）</w:t>
      </w:r>
      <w:r>
        <w:rPr>
          <w:rFonts w:hint="eastAsia" w:ascii="宋体" w:hAnsi="宋体"/>
          <w:color w:val="auto"/>
          <w:kern w:val="0"/>
          <w:sz w:val="24"/>
          <w:highlight w:val="none"/>
        </w:rPr>
        <w:t>或建筑施工企业专职安全生产管理人员安全生产考核合格证书</w:t>
      </w:r>
      <w:r>
        <w:rPr>
          <w:rFonts w:hint="eastAsia" w:ascii="宋体" w:hAnsi="宋体" w:cs="宋体"/>
          <w:color w:val="auto"/>
          <w:sz w:val="24"/>
          <w:szCs w:val="24"/>
          <w:highlight w:val="none"/>
        </w:rPr>
        <w:t>（C3）</w:t>
      </w:r>
      <w:r>
        <w:rPr>
          <w:rFonts w:hint="eastAsia" w:ascii="宋体" w:hAnsi="宋体"/>
          <w:color w:val="auto"/>
          <w:kern w:val="0"/>
          <w:sz w:val="24"/>
          <w:highlight w:val="none"/>
        </w:rPr>
        <w:t>。</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8、投标人自2017年1月1日至今完成过质量合格的类似工程业绩。（指2017年1月1日至今完成的质量合格且工程造价</w:t>
      </w:r>
      <w:r>
        <w:rPr>
          <w:rFonts w:hint="eastAsia" w:ascii="宋体" w:hAnsi="宋体"/>
          <w:color w:val="auto"/>
          <w:sz w:val="24"/>
          <w:highlight w:val="none"/>
          <w:lang w:val="en-US" w:eastAsia="zh-CN"/>
        </w:rPr>
        <w:t>3500</w:t>
      </w:r>
      <w:r>
        <w:rPr>
          <w:rFonts w:hint="eastAsia" w:ascii="宋体" w:hAnsi="宋体"/>
          <w:color w:val="auto"/>
          <w:sz w:val="24"/>
          <w:highlight w:val="none"/>
        </w:rPr>
        <w:t>万元(或以上)建筑机电安装工程业绩）</w:t>
      </w:r>
    </w:p>
    <w:p>
      <w:pPr>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企业工程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库内分别对应不同业绩的，以项目名称对应的业绩为准②项目名称存在对应业绩的，项目编号在库内不存在对应业绩，以项目名称对应的业绩为准③项目名称在库内不存在对应业绩，项目编号存在对应业绩的，以项目编号对应的业绩为准。评标委员会对业绩的评审以投标截止时间在库内业绩上传件为依据。</w:t>
      </w:r>
    </w:p>
    <w:p>
      <w:pPr>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1）适用于施工专业承包项目：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分包合同可以为关联公司（含上级公司），且投标单位参与施工（需签署相关协议）的也予以认可）中约定的合同金额为准。用于本项目投标的类似业绩，在业绩库中“工程对应的企业资质”栏中须登记有与本项目要求相对应的资质（具体资质要求：建筑机电安装工程）。</w:t>
      </w:r>
    </w:p>
    <w:p>
      <w:pPr>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（2）完成时间以子分部工程质量验收记录时间为准。验收记录至少具有建设单位、设计、施工和监理单位盖章（适用于施工专业承包项目和由总承包单位依法分包的专业工程）</w:t>
      </w:r>
    </w:p>
    <w:p>
      <w:pPr>
        <w:spacing w:line="48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rPr>
        <w:t>（3）库内业绩上传件不符合上述要求的或登记的工程资质内容与施工合同等业绩证明资料不相符的，该项业绩不予认定</w:t>
      </w:r>
      <w:r>
        <w:rPr>
          <w:rFonts w:hint="eastAsia" w:ascii="宋体" w:hAnsi="宋体"/>
          <w:color w:val="auto"/>
          <w:sz w:val="24"/>
          <w:highlight w:val="none"/>
          <w:lang w:eastAsia="zh-CN"/>
        </w:rPr>
        <w:t>。</w:t>
      </w:r>
    </w:p>
    <w:p>
      <w:pPr>
        <w:spacing w:line="480" w:lineRule="auto"/>
        <w:ind w:firstLine="480" w:firstLineChars="200"/>
        <w:rPr>
          <w:rFonts w:ascii="宋体"/>
          <w:color w:val="auto"/>
          <w:sz w:val="24"/>
          <w:highlight w:val="none"/>
        </w:rPr>
      </w:pPr>
      <w:r>
        <w:rPr>
          <w:rFonts w:hint="eastAsia" w:ascii="宋体" w:hAnsi="宋体"/>
          <w:color w:val="auto"/>
          <w:sz w:val="24"/>
          <w:highlight w:val="none"/>
        </w:rPr>
        <w:t>9、投标人已按照附件一的内容签署盖章的投标人声明。</w:t>
      </w:r>
    </w:p>
    <w:p>
      <w:pPr>
        <w:spacing w:line="480" w:lineRule="auto"/>
        <w:ind w:firstLine="537" w:firstLineChars="224"/>
        <w:rPr>
          <w:rFonts w:ascii="宋体"/>
          <w:color w:val="auto"/>
          <w:sz w:val="24"/>
          <w:szCs w:val="24"/>
          <w:highlight w:val="none"/>
        </w:rPr>
      </w:pPr>
      <w:r>
        <w:rPr>
          <w:rFonts w:hint="eastAsia" w:ascii="宋体" w:hAnsi="宋体"/>
          <w:color w:val="auto"/>
          <w:sz w:val="24"/>
          <w:szCs w:val="24"/>
          <w:highlight w:val="none"/>
        </w:rPr>
        <w:t>10、关于</w:t>
      </w:r>
      <w:bookmarkStart w:id="0" w:name="_GoBack"/>
      <w:r>
        <w:rPr>
          <w:rFonts w:hint="eastAsia" w:ascii="宋体" w:hAnsi="宋体"/>
          <w:color w:val="auto"/>
          <w:sz w:val="24"/>
          <w:szCs w:val="24"/>
          <w:highlight w:val="none"/>
        </w:rPr>
        <w:t>联合体</w:t>
      </w:r>
      <w:bookmarkEnd w:id="0"/>
      <w:r>
        <w:rPr>
          <w:rFonts w:hint="eastAsia" w:ascii="宋体" w:hAnsi="宋体"/>
          <w:color w:val="auto"/>
          <w:sz w:val="24"/>
          <w:szCs w:val="24"/>
          <w:highlight w:val="none"/>
        </w:rPr>
        <w:t>投标：</w:t>
      </w:r>
      <w:r>
        <w:rPr>
          <w:rFonts w:hint="eastAsia" w:ascii="宋体"/>
          <w:color w:val="auto"/>
          <w:sz w:val="24"/>
          <w:highlight w:val="none"/>
          <w:u w:val="single"/>
        </w:rPr>
        <w:t>本项目不接受联合体投标。</w:t>
      </w:r>
    </w:p>
    <w:p>
      <w:pPr>
        <w:spacing w:line="48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1、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w:t>
      </w:r>
    </w:p>
    <w:p>
      <w:pPr>
        <w:spacing w:line="480" w:lineRule="auto"/>
        <w:ind w:firstLine="480" w:firstLineChars="200"/>
        <w:rPr>
          <w:rFonts w:ascii="宋体"/>
          <w:color w:val="auto"/>
          <w:sz w:val="24"/>
          <w:highlight w:val="none"/>
        </w:rPr>
      </w:pPr>
      <w:r>
        <w:rPr>
          <w:rFonts w:hint="eastAsia" w:ascii="宋体" w:hAnsi="宋体"/>
          <w:color w:val="auto"/>
          <w:sz w:val="24"/>
          <w:highlight w:val="none"/>
        </w:rPr>
        <w:t>http://zfcj.gz.gov.cn/zwgk/zsdwxxgkzl/gzsjzyglfwzx/bszy/content/post_8074009.html）</w:t>
      </w:r>
    </w:p>
    <w:p>
      <w:pPr>
        <w:spacing w:line="48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2、</w:t>
      </w:r>
      <w:r>
        <w:rPr>
          <w:rFonts w:hint="eastAsia" w:ascii="宋体" w:hAnsi="宋体"/>
          <w:color w:val="auto"/>
          <w:sz w:val="24"/>
          <w:highlight w:val="none"/>
          <w:u w:val="single"/>
        </w:rPr>
        <w:t>本工程不接受被列入我区不良记录（处罚有效期内）的单位或个人（指项目负责人）投标，不良记录具体名单以资格审查时广州市黄埔区人民政府、广州开发区管委会网站的区住房和城乡建设局网页“建筑活动不良行为记录”栏目（网址： http://www.hp.gov.cn/gzjg/qzfgwhgzbm/qzfhcxjsj10/jzhdblxwjl/ ）公布名单为准。若资格审查时网址有变化，以最新网址为准。</w:t>
      </w:r>
    </w:p>
    <w:p>
      <w:pPr>
        <w:spacing w:line="480" w:lineRule="auto"/>
        <w:ind w:firstLine="480" w:firstLineChars="200"/>
        <w:rPr>
          <w:rFonts w:ascii="宋体" w:hAnsi="宋体"/>
          <w:color w:val="auto"/>
          <w:sz w:val="24"/>
          <w:szCs w:val="24"/>
          <w:highlight w:val="none"/>
        </w:rPr>
      </w:pPr>
      <w:r>
        <w:rPr>
          <w:rFonts w:hint="eastAsia" w:ascii="宋体" w:hAnsi="宋体"/>
          <w:color w:val="auto"/>
          <w:sz w:val="24"/>
          <w:highlight w:val="none"/>
          <w:u w:val="single"/>
        </w:rPr>
        <w:t>13、</w:t>
      </w:r>
      <w:r>
        <w:rPr>
          <w:rFonts w:hint="eastAsia" w:ascii="宋体" w:hAnsi="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color w:val="auto"/>
          <w:sz w:val="24"/>
          <w:szCs w:val="24"/>
          <w:highlight w:val="none"/>
          <w:u w:val="single"/>
        </w:rPr>
        <w:t>判定为无效标</w:t>
      </w:r>
      <w:r>
        <w:rPr>
          <w:rFonts w:hint="eastAsia" w:ascii="宋体" w:hAnsi="宋体"/>
          <w:color w:val="auto"/>
          <w:sz w:val="24"/>
          <w:szCs w:val="24"/>
          <w:highlight w:val="none"/>
        </w:rPr>
        <w:t>。</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u w:val="single"/>
        </w:rPr>
        <w:t>14、</w:t>
      </w:r>
      <w:r>
        <w:rPr>
          <w:rFonts w:hint="eastAsia" w:ascii="宋体" w:hAnsi="宋体"/>
          <w:color w:val="auto"/>
          <w:sz w:val="24"/>
          <w:highlight w:val="none"/>
        </w:rPr>
        <w:t>适用于非财</w:t>
      </w:r>
      <w:r>
        <w:rPr>
          <w:rFonts w:ascii="宋体" w:hAnsi="宋体"/>
          <w:color w:val="auto"/>
          <w:sz w:val="24"/>
          <w:highlight w:val="none"/>
        </w:rPr>
        <w:t>政投资</w:t>
      </w:r>
      <w:r>
        <w:rPr>
          <w:rFonts w:hint="eastAsia" w:ascii="宋体" w:hAnsi="宋体"/>
          <w:color w:val="auto"/>
          <w:sz w:val="24"/>
          <w:highlight w:val="none"/>
        </w:rPr>
        <w:t>项目：未被纳入失信联合惩戒名单且被限制参加建设工程投标的（具体名单以递交投标文件截止时间“信用广州”https://credit1.gz.gov.cn/sgs/sgsXkNew公布的“失信黑名单”为准。不包含限制参加财政投资工程或政府投资工程的投标）。</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注：因联合惩戒措施表述存在细微差别，惩戒措施与上文不完全一致但措施内容相同的，也应属于被限制参与相关项目的投标。</w:t>
      </w:r>
    </w:p>
    <w:p>
      <w:pPr>
        <w:pStyle w:val="5"/>
        <w:tabs>
          <w:tab w:val="left" w:pos="7380"/>
        </w:tabs>
        <w:spacing w:after="0" w:line="480" w:lineRule="auto"/>
        <w:ind w:firstLine="480" w:firstLineChars="200"/>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pPr>
        <w:snapToGrid w:val="0"/>
        <w:spacing w:line="48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pPr>
        <w:widowControl/>
        <w:snapToGrid w:val="0"/>
        <w:spacing w:line="48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snapToGrid w:val="0"/>
        <w:spacing w:line="480" w:lineRule="auto"/>
        <w:ind w:firstLine="480" w:firstLineChars="200"/>
        <w:rPr>
          <w:rFonts w:ascii="宋体" w:hAnsi="宋体"/>
          <w:color w:val="auto"/>
          <w:sz w:val="24"/>
          <w:highlight w:val="none"/>
        </w:rPr>
      </w:pPr>
      <w:r>
        <w:rPr>
          <w:rFonts w:hint="eastAsia" w:ascii="宋体" w:hAnsi="宋体"/>
          <w:color w:val="auto"/>
          <w:sz w:val="24"/>
          <w:highlight w:val="none"/>
        </w:rPr>
        <w:t>十一、资格审查结果将在</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pPr>
        <w:snapToGrid w:val="0"/>
        <w:spacing w:line="480" w:lineRule="auto"/>
        <w:ind w:firstLine="480" w:firstLineChars="200"/>
        <w:rPr>
          <w:rFonts w:ascii="宋体" w:hAnsi="宋体"/>
          <w:color w:val="auto"/>
          <w:sz w:val="24"/>
          <w:highlight w:val="none"/>
        </w:rPr>
      </w:pPr>
      <w:r>
        <w:rPr>
          <w:rFonts w:hint="eastAsia" w:ascii="宋体" w:hAnsi="宋体"/>
          <w:color w:val="auto"/>
          <w:sz w:val="24"/>
          <w:highlight w:val="none"/>
        </w:rPr>
        <w:t>十二、满足资格审查合格条件的投标人不足 3 名或通过有效性审查的投标人不足3名时为招标失败。招标人分析招标失败原因，修正招标方案，报有关管理部门核准后，重新组织招标。</w:t>
      </w:r>
    </w:p>
    <w:p>
      <w:pPr>
        <w:spacing w:line="480" w:lineRule="auto"/>
        <w:ind w:firstLine="480" w:firstLineChars="200"/>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firstLine="480" w:firstLineChars="200"/>
        <w:rPr>
          <w:rFonts w:ascii="宋体"/>
          <w:color w:val="auto"/>
          <w:sz w:val="24"/>
          <w:szCs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80" w:lineRule="auto"/>
        <w:ind w:firstLine="480" w:firstLineChars="200"/>
        <w:rPr>
          <w:rFonts w:ascii="宋体"/>
          <w:color w:val="auto"/>
          <w:sz w:val="24"/>
          <w:highlight w:val="none"/>
          <w:u w:val="single"/>
        </w:rPr>
      </w:pPr>
      <w:r>
        <w:rPr>
          <w:rFonts w:hint="eastAsia" w:ascii="宋体" w:hAnsi="宋体"/>
          <w:color w:val="auto"/>
          <w:sz w:val="24"/>
          <w:highlight w:val="none"/>
        </w:rPr>
        <w:t>十五、潜在投标人或利害关系人对本招标公告及招标文件有异议的，向招标人书面提出。异议受理部门：</w:t>
      </w:r>
      <w:r>
        <w:rPr>
          <w:rFonts w:hint="eastAsia" w:ascii="宋体" w:hAnsi="宋体"/>
          <w:color w:val="auto"/>
          <w:sz w:val="24"/>
          <w:highlight w:val="none"/>
          <w:u w:val="single"/>
        </w:rPr>
        <w:t>广州尚龙置业有限公司</w:t>
      </w:r>
    </w:p>
    <w:p>
      <w:pPr>
        <w:spacing w:line="480" w:lineRule="auto"/>
        <w:ind w:firstLine="480" w:firstLineChars="200"/>
        <w:rPr>
          <w:rFonts w:ascii="宋体"/>
          <w:color w:val="auto"/>
          <w:sz w:val="24"/>
          <w:highlight w:val="none"/>
          <w:u w:val="single"/>
        </w:rPr>
      </w:pPr>
      <w:r>
        <w:rPr>
          <w:rFonts w:hint="eastAsia" w:ascii="宋体" w:hAnsi="宋体"/>
          <w:color w:val="auto"/>
          <w:sz w:val="24"/>
          <w:highlight w:val="none"/>
        </w:rPr>
        <w:t>异议受理电话：</w:t>
      </w:r>
      <w:r>
        <w:rPr>
          <w:rFonts w:ascii="宋体" w:hAnsi="宋体"/>
          <w:color w:val="auto"/>
          <w:sz w:val="24"/>
          <w:highlight w:val="none"/>
          <w:u w:val="single"/>
        </w:rPr>
        <w:t>020-31705369</w:t>
      </w:r>
    </w:p>
    <w:p>
      <w:pPr>
        <w:spacing w:line="480" w:lineRule="auto"/>
        <w:ind w:firstLine="480" w:firstLineChars="200"/>
        <w:rPr>
          <w:rFonts w:asci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广州市黄埔区科学大道60号开发区控股中心28楼</w:t>
      </w:r>
    </w:p>
    <w:p>
      <w:pPr>
        <w:spacing w:line="480" w:lineRule="auto"/>
        <w:ind w:firstLine="480" w:firstLineChars="200"/>
        <w:rPr>
          <w:rFonts w:ascii="宋体"/>
          <w:color w:val="auto"/>
          <w:sz w:val="24"/>
          <w:highlight w:val="none"/>
        </w:rPr>
      </w:pPr>
      <w:r>
        <w:rPr>
          <w:rFonts w:hint="eastAsia" w:ascii="宋体" w:hAnsi="宋体"/>
          <w:color w:val="auto"/>
          <w:sz w:val="24"/>
          <w:highlight w:val="none"/>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80" w:lineRule="auto"/>
        <w:ind w:firstLine="480" w:firstLineChars="200"/>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80" w:lineRule="auto"/>
        <w:ind w:firstLine="480" w:firstLineChars="200"/>
        <w:rPr>
          <w:rFonts w:ascii="宋体"/>
          <w:color w:val="auto"/>
          <w:sz w:val="24"/>
          <w:highlight w:val="none"/>
        </w:rPr>
      </w:pPr>
      <w:r>
        <w:rPr>
          <w:rFonts w:hint="eastAsia" w:ascii="宋体"/>
          <w:color w:val="auto"/>
          <w:sz w:val="24"/>
          <w:highlight w:val="none"/>
        </w:rPr>
        <w:t>特别提示：投标人在本项目招标人的工程项目中存在下列行为的，将被拒绝</w:t>
      </w:r>
      <w:r>
        <w:rPr>
          <w:rFonts w:hint="eastAsia" w:ascii="宋体"/>
          <w:color w:val="auto"/>
          <w:sz w:val="24"/>
          <w:highlight w:val="none"/>
          <w:u w:val="single"/>
        </w:rPr>
        <w:t>六个月</w:t>
      </w:r>
      <w:r>
        <w:rPr>
          <w:rFonts w:hint="eastAsia" w:ascii="宋体"/>
          <w:color w:val="auto"/>
          <w:sz w:val="24"/>
          <w:highlight w:val="none"/>
        </w:rPr>
        <w:t>内参与招标人后续工程投标。（注：拒绝投标时限由招标人视严重程度确定，最低三个月起，自招标人发出通知之日起计）：</w:t>
      </w:r>
    </w:p>
    <w:p>
      <w:pPr>
        <w:spacing w:line="480" w:lineRule="auto"/>
        <w:ind w:firstLine="480" w:firstLineChars="200"/>
        <w:rPr>
          <w:rFonts w:ascii="宋体"/>
          <w:color w:val="auto"/>
          <w:sz w:val="24"/>
          <w:highlight w:val="none"/>
        </w:rPr>
      </w:pPr>
      <w:r>
        <w:rPr>
          <w:rFonts w:hint="eastAsia" w:ascii="宋体"/>
          <w:color w:val="auto"/>
          <w:sz w:val="24"/>
          <w:highlight w:val="none"/>
        </w:rPr>
        <w:t>1.将中标工程转包或者违法分包的;</w:t>
      </w:r>
    </w:p>
    <w:p>
      <w:pPr>
        <w:spacing w:line="480" w:lineRule="auto"/>
        <w:ind w:firstLine="480" w:firstLineChars="200"/>
        <w:rPr>
          <w:rFonts w:ascii="宋体"/>
          <w:color w:val="auto"/>
          <w:sz w:val="24"/>
          <w:highlight w:val="none"/>
        </w:rPr>
      </w:pPr>
      <w:r>
        <w:rPr>
          <w:rFonts w:hint="eastAsia" w:ascii="宋体"/>
          <w:color w:val="auto"/>
          <w:sz w:val="24"/>
          <w:highlight w:val="none"/>
        </w:rPr>
        <w:t>2.在中标工程中不执行质量、安全生产相关规定的，造成质量或安全事故的；</w:t>
      </w:r>
    </w:p>
    <w:p>
      <w:pPr>
        <w:spacing w:line="480" w:lineRule="auto"/>
        <w:ind w:firstLine="480" w:firstLineChars="200"/>
        <w:rPr>
          <w:rFonts w:ascii="宋体"/>
          <w:color w:val="auto"/>
          <w:sz w:val="24"/>
          <w:highlight w:val="none"/>
        </w:rPr>
      </w:pPr>
      <w:r>
        <w:rPr>
          <w:rFonts w:hint="eastAsia" w:ascii="宋体"/>
          <w:color w:val="auto"/>
          <w:sz w:val="24"/>
          <w:highlight w:val="none"/>
        </w:rPr>
        <w:t>3.存在围标或串标情形的;</w:t>
      </w:r>
    </w:p>
    <w:p>
      <w:pPr>
        <w:spacing w:line="480" w:lineRule="auto"/>
        <w:ind w:firstLine="480" w:firstLineChars="200"/>
        <w:rPr>
          <w:rFonts w:ascii="宋体"/>
          <w:color w:val="auto"/>
          <w:sz w:val="24"/>
          <w:highlight w:val="none"/>
        </w:rPr>
      </w:pPr>
      <w:r>
        <w:rPr>
          <w:rFonts w:hint="eastAsia" w:ascii="宋体"/>
          <w:color w:val="auto"/>
          <w:sz w:val="24"/>
          <w:highlight w:val="none"/>
        </w:rPr>
        <w:t>4.存在弄虚作假骗取中标情形的;</w:t>
      </w:r>
    </w:p>
    <w:p>
      <w:pPr>
        <w:spacing w:line="480" w:lineRule="auto"/>
        <w:ind w:firstLine="480" w:firstLineChars="200"/>
        <w:rPr>
          <w:rFonts w:ascii="宋体"/>
          <w:color w:val="auto"/>
          <w:sz w:val="24"/>
          <w:highlight w:val="none"/>
        </w:rPr>
      </w:pPr>
      <w:r>
        <w:rPr>
          <w:rFonts w:hint="eastAsia" w:ascii="宋体"/>
          <w:color w:val="auto"/>
          <w:sz w:val="24"/>
          <w:highlight w:val="none"/>
        </w:rPr>
        <w:t>5.拖欠农民工工资的；</w:t>
      </w:r>
    </w:p>
    <w:p>
      <w:pPr>
        <w:spacing w:line="480" w:lineRule="auto"/>
        <w:ind w:firstLine="480" w:firstLineChars="200"/>
        <w:rPr>
          <w:rFonts w:ascii="宋体"/>
          <w:color w:val="auto"/>
          <w:sz w:val="24"/>
          <w:highlight w:val="none"/>
        </w:rPr>
      </w:pPr>
      <w:r>
        <w:rPr>
          <w:rFonts w:hint="eastAsia" w:ascii="宋体"/>
          <w:color w:val="auto"/>
          <w:sz w:val="24"/>
          <w:highlight w:val="none"/>
        </w:rPr>
        <w:t>6.未按照国家、省、市有关建筑施工实名制管理和工人工资支付分账管理的规定执行，被行政监管部门通报或处罚的；</w:t>
      </w:r>
    </w:p>
    <w:p>
      <w:pPr>
        <w:spacing w:line="480" w:lineRule="auto"/>
        <w:ind w:firstLine="480" w:firstLineChars="200"/>
        <w:rPr>
          <w:rFonts w:ascii="宋体"/>
          <w:color w:val="auto"/>
          <w:sz w:val="24"/>
          <w:highlight w:val="none"/>
        </w:rPr>
      </w:pPr>
      <w:r>
        <w:rPr>
          <w:rFonts w:hint="eastAsia" w:ascii="宋体"/>
          <w:color w:val="auto"/>
          <w:sz w:val="24"/>
          <w:highlight w:val="none"/>
        </w:rPr>
        <w:t>7.中标人在项目实施过程中选取的专业分包单位或劳务企业或劳务班组长与投标时不一致的。</w:t>
      </w:r>
    </w:p>
    <w:p>
      <w:pPr>
        <w:spacing w:line="480" w:lineRule="auto"/>
        <w:ind w:right="1348" w:rightChars="642" w:firstLine="5760" w:firstLineChars="2400"/>
        <w:rPr>
          <w:rFonts w:ascii="宋体" w:hAnsi="宋体"/>
          <w:color w:val="auto"/>
          <w:sz w:val="24"/>
          <w:highlight w:val="none"/>
        </w:rPr>
      </w:pPr>
    </w:p>
    <w:p>
      <w:pPr>
        <w:tabs>
          <w:tab w:val="left" w:pos="7655"/>
        </w:tabs>
        <w:adjustRightInd w:val="0"/>
        <w:snapToGrid w:val="0"/>
        <w:spacing w:line="360" w:lineRule="auto"/>
        <w:ind w:right="-2" w:firstLine="3600" w:firstLineChars="1500"/>
        <w:rPr>
          <w:rFonts w:ascii="宋体" w:hAnsi="宋体" w:cs="宋体"/>
          <w:color w:val="auto"/>
          <w:sz w:val="24"/>
          <w:szCs w:val="24"/>
          <w:highlight w:val="none"/>
        </w:rPr>
      </w:pPr>
      <w:r>
        <w:rPr>
          <w:rFonts w:hint="eastAsia" w:ascii="宋体" w:hAnsi="宋体" w:cs="宋体"/>
          <w:color w:val="auto"/>
          <w:sz w:val="24"/>
          <w:szCs w:val="24"/>
          <w:highlight w:val="none"/>
        </w:rPr>
        <w:t>招 标 单  位：广州尚龙置业有限公司</w:t>
      </w:r>
    </w:p>
    <w:p>
      <w:pPr>
        <w:tabs>
          <w:tab w:val="left" w:pos="7655"/>
        </w:tabs>
        <w:adjustRightInd w:val="0"/>
        <w:snapToGrid w:val="0"/>
        <w:spacing w:line="360" w:lineRule="auto"/>
        <w:ind w:right="-2" w:firstLine="3600" w:firstLineChars="1500"/>
        <w:rPr>
          <w:rFonts w:ascii="宋体" w:hAnsi="宋体" w:cs="宋体"/>
          <w:color w:val="auto"/>
          <w:sz w:val="24"/>
          <w:szCs w:val="24"/>
          <w:highlight w:val="none"/>
        </w:rPr>
      </w:pPr>
      <w:r>
        <w:rPr>
          <w:rFonts w:hint="eastAsia" w:ascii="宋体" w:hAnsi="宋体" w:cs="宋体"/>
          <w:color w:val="auto"/>
          <w:sz w:val="24"/>
          <w:szCs w:val="24"/>
          <w:highlight w:val="none"/>
        </w:rPr>
        <w:t>招标代理机构：广州永安工程管理有限公司</w:t>
      </w:r>
    </w:p>
    <w:p>
      <w:pPr>
        <w:tabs>
          <w:tab w:val="left" w:pos="7655"/>
        </w:tabs>
        <w:adjustRightInd w:val="0"/>
        <w:snapToGrid w:val="0"/>
        <w:spacing w:line="360" w:lineRule="auto"/>
        <w:ind w:right="-2" w:firstLine="3600" w:firstLineChars="1500"/>
        <w:rPr>
          <w:rFonts w:ascii="宋体" w:hAnsi="宋体" w:cs="宋体"/>
          <w:color w:val="auto"/>
          <w:sz w:val="24"/>
          <w:szCs w:val="24"/>
          <w:highlight w:val="none"/>
        </w:rPr>
      </w:pPr>
      <w:r>
        <w:rPr>
          <w:rFonts w:hint="eastAsia" w:ascii="宋体" w:hAnsi="宋体" w:cs="宋体"/>
          <w:color w:val="auto"/>
          <w:sz w:val="24"/>
          <w:szCs w:val="24"/>
          <w:highlight w:val="none"/>
        </w:rPr>
        <w:t>日       期：2023年    月    日</w:t>
      </w:r>
    </w:p>
    <w:p>
      <w:pPr>
        <w:tabs>
          <w:tab w:val="left" w:pos="7655"/>
        </w:tabs>
        <w:adjustRightInd w:val="0"/>
        <w:snapToGrid w:val="0"/>
        <w:spacing w:line="360" w:lineRule="auto"/>
        <w:ind w:right="-2" w:firstLine="3734" w:firstLineChars="1556"/>
        <w:rPr>
          <w:rFonts w:ascii="宋体" w:hAnsi="宋体" w:cs="宋体"/>
          <w:color w:val="auto"/>
          <w:sz w:val="24"/>
          <w:szCs w:val="24"/>
          <w:highlight w:val="none"/>
        </w:rPr>
        <w:sectPr>
          <w:footerReference r:id="rId3" w:type="default"/>
          <w:footerReference r:id="rId4" w:type="even"/>
          <w:endnotePr>
            <w:numFmt w:val="decimal"/>
          </w:endnotePr>
          <w:pgSz w:w="11906" w:h="16838"/>
          <w:pgMar w:top="1417" w:right="1417" w:bottom="1417" w:left="1417" w:header="851" w:footer="992" w:gutter="0"/>
          <w:pgNumType w:start="0"/>
          <w:cols w:space="0" w:num="1"/>
          <w:titlePg/>
          <w:docGrid w:type="lines" w:linePitch="312" w:charSpace="0"/>
        </w:sectPr>
      </w:pPr>
    </w:p>
    <w:p>
      <w:pPr>
        <w:spacing w:line="360" w:lineRule="auto"/>
        <w:rPr>
          <w:b/>
          <w:color w:val="auto"/>
          <w:sz w:val="44"/>
          <w:highlight w:val="none"/>
        </w:rPr>
      </w:pPr>
      <w:r>
        <w:rPr>
          <w:rFonts w:hint="eastAsia" w:ascii="宋体" w:hAnsi="宋体"/>
          <w:color w:val="auto"/>
          <w:sz w:val="24"/>
          <w:highlight w:val="none"/>
        </w:rPr>
        <w:t>附件一：</w:t>
      </w:r>
    </w:p>
    <w:p>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jc w:val="center"/>
        <w:rPr>
          <w:b/>
          <w:color w:val="auto"/>
          <w:sz w:val="44"/>
          <w:szCs w:val="44"/>
          <w:highlight w:val="none"/>
        </w:rPr>
      </w:pPr>
    </w:p>
    <w:p>
      <w:pPr>
        <w:pStyle w:val="94"/>
        <w:spacing w:line="48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u w:val="single"/>
        </w:rPr>
        <w:t>广州市黄埔区住房和城乡建设局、本招标项目招标人及招标监管机构</w:t>
      </w:r>
      <w:r>
        <w:rPr>
          <w:rFonts w:hint="eastAsia" w:ascii="宋体" w:hAnsi="宋体" w:eastAsia="宋体"/>
          <w:color w:val="auto"/>
          <w:sz w:val="21"/>
          <w:szCs w:val="21"/>
          <w:highlight w:val="none"/>
        </w:rPr>
        <w:t>：</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（1）为招标人不具有独立法人资格的附属机构（单位）；</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（2）为本标段前期准备提供设计或咨询服务或者与本项目设计人或提供咨询服务的机构存在附属关系的；</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（3）为本项目监理人或者与本项目监理人存在隶属关系或者其他利害关系；</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（4）为本标段的代建人；</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（5）为本标段提供招标代理服务的；</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（6）与本标段的监理人或代建人或招标代理机构同为一个法定代表人的；</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（7）与本标段的监理人或代建人或招标代理机构互相控股或参股的；</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（8）与本标段的监理人或代建人或招标代理机构相互任职或工作的；</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（9）与本标段的检测机构有隶属关系或者其他利害关系；</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（10）与招标人存在利害关系且可能影响招标公正性；</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（11）与本标段的其他投标人为同一个单位负责人；</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（12）与本标段的其他投标人存在控股、管理关系；</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（13）被暂扣安全生产许可证的；</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（14）被依法暂停或取消投标资格的；</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（15）被责令停产停业、暂扣或者吊销许可证、暂扣或者吊销执照的；</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（16）进入清算程序，或被宣布破产，或其他丧失履约能力的情形；</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（17）在最近三年内有骗取中标或严重违约或重大工程质量问题的；</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（18）被工商行政管理机关在全国企业信用信息公示系统中列入严重违法失信企业名单；</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（19）被最高人民法院在“信用中国”网站（www.creditchina.gov.cn）或各级信用信息共享平台中列入失信被执行人名单；</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（20）在近三年内投标人或其法定代表人、拟委派的项目负责人有行贿犯罪行为的；</w:t>
      </w:r>
    </w:p>
    <w:p>
      <w:pPr>
        <w:pStyle w:val="94"/>
        <w:spacing w:line="48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（21）被住房城乡建设行政主管部门在全国建筑市场监管一体化工作平台列入建筑市场主体“黑名单”；</w:t>
      </w:r>
    </w:p>
    <w:p>
      <w:pPr>
        <w:pStyle w:val="94"/>
        <w:spacing w:line="48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（22）被发改委、人力资源社会保障、质检总局等有关部门、单位在“信用中国”网站中列入联合惩戒失信黑名单；</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u w:val="single"/>
        </w:rPr>
        <w:t>（23）法律法规规定的其他情形。</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四、本公司保证：本项目拟派的项目负责人没有在其他在建项目中任施工单位项目负责人，本项目拟派的专职安全员没有在其他在建项目中任职。</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八、与本公司单位负责人为同一人或者与本公司存在控股、管理关系的其他单位包括：。（注：本条由投标人如实填写，如有，应列出全部满足招标公告资质要求的相关单位的名称；如无，则填写“无”。）</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94"/>
        <w:spacing w:line="48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十、本单位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pPr>
        <w:pStyle w:val="94"/>
        <w:spacing w:line="48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十一、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pPr>
        <w:pStyle w:val="94"/>
        <w:spacing w:line="48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十二、我方保证本单位或拟派项目负责人、拟派专职安全员未因安全生产违法行为或失信行为被有关行政主管部门采取本行业或者职业禁入等联合惩戒措施（有效期内）。</w:t>
      </w:r>
    </w:p>
    <w:p>
      <w:pPr>
        <w:pStyle w:val="94"/>
        <w:spacing w:line="48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十三、本单位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pPr>
        <w:pStyle w:val="94"/>
        <w:spacing w:line="48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pPr>
        <w:pStyle w:val="94"/>
        <w:spacing w:line="48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十四、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94"/>
        <w:spacing w:line="480" w:lineRule="auto"/>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u w:val="single"/>
        </w:rPr>
        <w:t>十五、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94"/>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94"/>
        <w:spacing w:line="48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声明企业：</w:t>
      </w:r>
    </w:p>
    <w:p>
      <w:pPr>
        <w:pStyle w:val="94"/>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法定代表人签字：</w:t>
      </w:r>
    </w:p>
    <w:p>
      <w:pPr>
        <w:pStyle w:val="94"/>
        <w:tabs>
          <w:tab w:val="left" w:pos="7230"/>
        </w:tabs>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94"/>
        <w:tabs>
          <w:tab w:val="left" w:pos="7230"/>
        </w:tabs>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pPr>
        <w:pStyle w:val="94"/>
        <w:tabs>
          <w:tab w:val="left" w:pos="7230"/>
        </w:tabs>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年  月  日</w:t>
      </w:r>
    </w:p>
    <w:p>
      <w:pPr>
        <w:spacing w:line="480" w:lineRule="auto"/>
        <w:rPr>
          <w:rFonts w:ascii="宋体"/>
          <w:color w:val="auto"/>
          <w:szCs w:val="21"/>
          <w:highlight w:val="none"/>
        </w:rPr>
      </w:pPr>
      <w:r>
        <w:rPr>
          <w:rFonts w:hint="eastAsia" w:ascii="宋体" w:hAnsi="宋体"/>
          <w:color w:val="auto"/>
          <w:kern w:val="0"/>
          <w:szCs w:val="21"/>
          <w:highlight w:val="none"/>
        </w:rPr>
        <w:t xml:space="preserve">                                                        （企业公章）</w:t>
      </w:r>
    </w:p>
    <w:p>
      <w:pPr>
        <w:widowControl/>
        <w:snapToGrid w:val="0"/>
        <w:spacing w:line="480" w:lineRule="auto"/>
        <w:ind w:right="102"/>
        <w:jc w:val="left"/>
        <w:rPr>
          <w:rFonts w:ascii="宋体" w:hAnsi="宋体"/>
          <w:szCs w:val="21"/>
        </w:rPr>
      </w:pPr>
    </w:p>
    <w:p>
      <w:pPr>
        <w:widowControl/>
        <w:jc w:val="left"/>
        <w:rPr>
          <w:rFonts w:ascii="宋体" w:hAnsi="宋体"/>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838364"/>
    </w:sdtPr>
    <w:sdtContent>
      <w:p>
        <w:pPr>
          <w:pStyle w:val="24"/>
          <w:jc w:val="center"/>
        </w:pPr>
        <w:r>
          <w:fldChar w:fldCharType="begin"/>
        </w:r>
        <w:r>
          <w:instrText xml:space="preserve">PAGE   \* MERGEFORMAT</w:instrText>
        </w:r>
        <w:r>
          <w:fldChar w:fldCharType="separate"/>
        </w:r>
        <w:r>
          <w:rPr>
            <w:lang w:val="zh-CN"/>
          </w:rPr>
          <w:t>9</w:t>
        </w:r>
        <w:r>
          <w:fldChar w:fldCharType="end"/>
        </w:r>
      </w:p>
    </w:sdtContent>
  </w:sdt>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8"/>
      </w:rPr>
    </w:pPr>
    <w:r>
      <w:rPr>
        <w:rStyle w:val="38"/>
      </w:rPr>
      <w:fldChar w:fldCharType="begin"/>
    </w:r>
    <w:r>
      <w:rPr>
        <w:rStyle w:val="38"/>
      </w:rPr>
      <w:instrText xml:space="preserve">PAGE  </w:instrText>
    </w:r>
    <w:r>
      <w:rPr>
        <w:rStyle w:val="38"/>
      </w:rPr>
      <w:fldChar w:fldCharType="separate"/>
    </w:r>
    <w:r>
      <w:rPr>
        <w:rStyle w:val="38"/>
      </w:rPr>
      <w:t>1</w:t>
    </w:r>
    <w:r>
      <w:rPr>
        <w:rStyle w:val="38"/>
      </w:rP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38"/>
      </w:rPr>
    </w:pPr>
    <w:r>
      <w:rPr>
        <w:rStyle w:val="38"/>
      </w:rPr>
      <w:fldChar w:fldCharType="begin"/>
    </w:r>
    <w:r>
      <w:rPr>
        <w:rStyle w:val="38"/>
      </w:rPr>
      <w:instrText xml:space="preserve">PAGE  </w:instrText>
    </w:r>
    <w:r>
      <w:rPr>
        <w:rStyle w:val="38"/>
      </w:rPr>
      <w:fldChar w:fldCharType="separate"/>
    </w:r>
    <w:r>
      <w:rPr>
        <w:rStyle w:val="38"/>
      </w:rPr>
      <w:t>15</w:t>
    </w:r>
    <w:r>
      <w:rPr>
        <w:rStyle w:val="38"/>
      </w:rPr>
      <w:fldChar w:fldCharType="end"/>
    </w:r>
  </w:p>
  <w:p>
    <w:pPr>
      <w:pStyle w:val="24"/>
      <w:framePr w:wrap="around" w:vAnchor="text" w:hAnchor="margin" w:xAlign="outside" w:y="1"/>
      <w:ind w:left="-4410" w:leftChars="-2100" w:right="-4439" w:rightChars="-2114"/>
      <w:rPr>
        <w:rStyle w:val="38"/>
      </w:rPr>
    </w:pPr>
  </w:p>
  <w:p>
    <w:pPr>
      <w:pStyle w:val="2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38"/>
      </w:rPr>
    </w:pPr>
    <w:r>
      <w:rPr>
        <w:rStyle w:val="38"/>
      </w:rPr>
      <w:fldChar w:fldCharType="begin"/>
    </w:r>
    <w:r>
      <w:rPr>
        <w:rStyle w:val="38"/>
      </w:rPr>
      <w:instrText xml:space="preserve">PAGE  </w:instrText>
    </w:r>
    <w:r>
      <w:rPr>
        <w:rStyle w:val="38"/>
      </w:rPr>
      <w:fldChar w:fldCharType="separate"/>
    </w:r>
    <w:r>
      <w:rPr>
        <w:rStyle w:val="38"/>
        <w:rFonts w:hint="eastAsia"/>
      </w:rPr>
      <w:t>一</w:t>
    </w:r>
    <w:r>
      <w:rPr>
        <w:rStyle w:val="38"/>
      </w:rPr>
      <w:t>–2</w:t>
    </w:r>
    <w:r>
      <w:rPr>
        <w:rStyle w:val="38"/>
      </w:rPr>
      <w:fldChar w:fldCharType="end"/>
    </w:r>
  </w:p>
  <w:p>
    <w:pPr>
      <w:pStyle w:val="24"/>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Style w:val="38"/>
      </w:rPr>
      <w:fldChar w:fldCharType="begin"/>
    </w:r>
    <w:r>
      <w:rPr>
        <w:rStyle w:val="38"/>
      </w:rPr>
      <w:instrText xml:space="preserve"> PAGE </w:instrText>
    </w:r>
    <w:r>
      <w:rPr>
        <w:rStyle w:val="38"/>
      </w:rPr>
      <w:fldChar w:fldCharType="separate"/>
    </w:r>
    <w:r>
      <w:rPr>
        <w:rStyle w:val="38"/>
      </w:rPr>
      <w:t>82</w:t>
    </w:r>
    <w:r>
      <w:rPr>
        <w:rStyle w:val="3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91"/>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2YjczZjJiNjBiMTZmN2YzNTAyNGM3MTI2NzU5NjAifQ=="/>
  </w:docVars>
  <w:rsids>
    <w:rsidRoot w:val="007B41BE"/>
    <w:rsid w:val="00017762"/>
    <w:rsid w:val="000200EE"/>
    <w:rsid w:val="00032720"/>
    <w:rsid w:val="000575F8"/>
    <w:rsid w:val="00085983"/>
    <w:rsid w:val="000B6748"/>
    <w:rsid w:val="000C1007"/>
    <w:rsid w:val="000C11E0"/>
    <w:rsid w:val="000C2710"/>
    <w:rsid w:val="000D396E"/>
    <w:rsid w:val="001206A4"/>
    <w:rsid w:val="0012110D"/>
    <w:rsid w:val="00143B5F"/>
    <w:rsid w:val="0015646B"/>
    <w:rsid w:val="001605F9"/>
    <w:rsid w:val="00181CAA"/>
    <w:rsid w:val="001E03A3"/>
    <w:rsid w:val="001E321F"/>
    <w:rsid w:val="001E54B0"/>
    <w:rsid w:val="0026752F"/>
    <w:rsid w:val="002A0212"/>
    <w:rsid w:val="003310F3"/>
    <w:rsid w:val="00336AA3"/>
    <w:rsid w:val="00343A19"/>
    <w:rsid w:val="00356189"/>
    <w:rsid w:val="003B424F"/>
    <w:rsid w:val="003B7BC6"/>
    <w:rsid w:val="003D6E33"/>
    <w:rsid w:val="00412E56"/>
    <w:rsid w:val="004370EC"/>
    <w:rsid w:val="004424B8"/>
    <w:rsid w:val="00470ECD"/>
    <w:rsid w:val="0047191E"/>
    <w:rsid w:val="004B295D"/>
    <w:rsid w:val="004C03D7"/>
    <w:rsid w:val="00533FE0"/>
    <w:rsid w:val="005502A5"/>
    <w:rsid w:val="005860A5"/>
    <w:rsid w:val="005866FB"/>
    <w:rsid w:val="00597907"/>
    <w:rsid w:val="005C212B"/>
    <w:rsid w:val="005F2624"/>
    <w:rsid w:val="006036EF"/>
    <w:rsid w:val="00645C0F"/>
    <w:rsid w:val="0066173D"/>
    <w:rsid w:val="00673B83"/>
    <w:rsid w:val="00680BFD"/>
    <w:rsid w:val="006B6B0D"/>
    <w:rsid w:val="006F3576"/>
    <w:rsid w:val="006F771C"/>
    <w:rsid w:val="00713A08"/>
    <w:rsid w:val="00720856"/>
    <w:rsid w:val="007230D3"/>
    <w:rsid w:val="0073229B"/>
    <w:rsid w:val="0076102A"/>
    <w:rsid w:val="00780EC8"/>
    <w:rsid w:val="007B41BE"/>
    <w:rsid w:val="007D56F9"/>
    <w:rsid w:val="007D6D06"/>
    <w:rsid w:val="007E7CE5"/>
    <w:rsid w:val="008039D8"/>
    <w:rsid w:val="00835C9E"/>
    <w:rsid w:val="00893180"/>
    <w:rsid w:val="00894398"/>
    <w:rsid w:val="008A66CA"/>
    <w:rsid w:val="008D2515"/>
    <w:rsid w:val="008E4AD1"/>
    <w:rsid w:val="008E4E85"/>
    <w:rsid w:val="00920E49"/>
    <w:rsid w:val="0092179E"/>
    <w:rsid w:val="0093054C"/>
    <w:rsid w:val="00975AA5"/>
    <w:rsid w:val="00991949"/>
    <w:rsid w:val="009A704D"/>
    <w:rsid w:val="009B06D9"/>
    <w:rsid w:val="009B0EAA"/>
    <w:rsid w:val="009D03C4"/>
    <w:rsid w:val="009F6714"/>
    <w:rsid w:val="00A0387A"/>
    <w:rsid w:val="00A0619D"/>
    <w:rsid w:val="00A201D7"/>
    <w:rsid w:val="00A20AF3"/>
    <w:rsid w:val="00A2579D"/>
    <w:rsid w:val="00A50D34"/>
    <w:rsid w:val="00A604ED"/>
    <w:rsid w:val="00A64E29"/>
    <w:rsid w:val="00A8638E"/>
    <w:rsid w:val="00A87B7E"/>
    <w:rsid w:val="00A9542C"/>
    <w:rsid w:val="00AD3DEE"/>
    <w:rsid w:val="00AD6716"/>
    <w:rsid w:val="00AE7120"/>
    <w:rsid w:val="00B20AF4"/>
    <w:rsid w:val="00B44C8B"/>
    <w:rsid w:val="00B47F2E"/>
    <w:rsid w:val="00B544EE"/>
    <w:rsid w:val="00B5567B"/>
    <w:rsid w:val="00BB2F9F"/>
    <w:rsid w:val="00BC7B91"/>
    <w:rsid w:val="00BE1732"/>
    <w:rsid w:val="00BE216D"/>
    <w:rsid w:val="00C2001D"/>
    <w:rsid w:val="00C267C0"/>
    <w:rsid w:val="00C32C1E"/>
    <w:rsid w:val="00C355AE"/>
    <w:rsid w:val="00C408D3"/>
    <w:rsid w:val="00C46CA8"/>
    <w:rsid w:val="00C81F53"/>
    <w:rsid w:val="00C82C8A"/>
    <w:rsid w:val="00CC6991"/>
    <w:rsid w:val="00CD156B"/>
    <w:rsid w:val="00CD2499"/>
    <w:rsid w:val="00D200B3"/>
    <w:rsid w:val="00D37C55"/>
    <w:rsid w:val="00D5686F"/>
    <w:rsid w:val="00D75B45"/>
    <w:rsid w:val="00D84E64"/>
    <w:rsid w:val="00D86952"/>
    <w:rsid w:val="00DA7339"/>
    <w:rsid w:val="00DD0291"/>
    <w:rsid w:val="00DF4C80"/>
    <w:rsid w:val="00E15689"/>
    <w:rsid w:val="00E22EAB"/>
    <w:rsid w:val="00E36A7A"/>
    <w:rsid w:val="00E457F6"/>
    <w:rsid w:val="00E47E72"/>
    <w:rsid w:val="00E638F3"/>
    <w:rsid w:val="00E87448"/>
    <w:rsid w:val="00E90178"/>
    <w:rsid w:val="00EA1B60"/>
    <w:rsid w:val="00EB6530"/>
    <w:rsid w:val="00EC014E"/>
    <w:rsid w:val="00EE53CF"/>
    <w:rsid w:val="00EF3B97"/>
    <w:rsid w:val="00EF73A4"/>
    <w:rsid w:val="00F40301"/>
    <w:rsid w:val="00FA5926"/>
    <w:rsid w:val="00FB5794"/>
    <w:rsid w:val="00FC5596"/>
    <w:rsid w:val="00FD1182"/>
    <w:rsid w:val="00FF304F"/>
    <w:rsid w:val="00FF6996"/>
    <w:rsid w:val="02AC5D17"/>
    <w:rsid w:val="043B5495"/>
    <w:rsid w:val="05935ABA"/>
    <w:rsid w:val="072F44E3"/>
    <w:rsid w:val="088A08B9"/>
    <w:rsid w:val="08905877"/>
    <w:rsid w:val="09F33618"/>
    <w:rsid w:val="0F7E4AB5"/>
    <w:rsid w:val="0FE87FAA"/>
    <w:rsid w:val="0FEF45D8"/>
    <w:rsid w:val="11E8746F"/>
    <w:rsid w:val="131219B9"/>
    <w:rsid w:val="13C00E4D"/>
    <w:rsid w:val="14D34591"/>
    <w:rsid w:val="16445EEB"/>
    <w:rsid w:val="18151F96"/>
    <w:rsid w:val="181C07FE"/>
    <w:rsid w:val="19BD7BA9"/>
    <w:rsid w:val="1A2F4635"/>
    <w:rsid w:val="1AD03189"/>
    <w:rsid w:val="1B3C44D6"/>
    <w:rsid w:val="1D9E7F41"/>
    <w:rsid w:val="1E486D96"/>
    <w:rsid w:val="1EBA5A37"/>
    <w:rsid w:val="24A972CC"/>
    <w:rsid w:val="28790229"/>
    <w:rsid w:val="2A880A7B"/>
    <w:rsid w:val="2A8D7116"/>
    <w:rsid w:val="2AE95B43"/>
    <w:rsid w:val="2DC4660F"/>
    <w:rsid w:val="2DFE5279"/>
    <w:rsid w:val="2E080915"/>
    <w:rsid w:val="30997F39"/>
    <w:rsid w:val="32BF3509"/>
    <w:rsid w:val="35244754"/>
    <w:rsid w:val="375D203C"/>
    <w:rsid w:val="38026A6F"/>
    <w:rsid w:val="39C15447"/>
    <w:rsid w:val="3B9F72A2"/>
    <w:rsid w:val="3D60411F"/>
    <w:rsid w:val="40C770F8"/>
    <w:rsid w:val="41E657FF"/>
    <w:rsid w:val="435F4795"/>
    <w:rsid w:val="48523C0A"/>
    <w:rsid w:val="49BC1F19"/>
    <w:rsid w:val="4B3F6B82"/>
    <w:rsid w:val="4B6B7860"/>
    <w:rsid w:val="4C322931"/>
    <w:rsid w:val="4E6C325B"/>
    <w:rsid w:val="514906DB"/>
    <w:rsid w:val="53375F25"/>
    <w:rsid w:val="53F92C98"/>
    <w:rsid w:val="57893085"/>
    <w:rsid w:val="59C9560C"/>
    <w:rsid w:val="5CDF456F"/>
    <w:rsid w:val="5D572C78"/>
    <w:rsid w:val="5D6174AE"/>
    <w:rsid w:val="5F4B72E8"/>
    <w:rsid w:val="61820409"/>
    <w:rsid w:val="61E01147"/>
    <w:rsid w:val="653505E7"/>
    <w:rsid w:val="69BF4E77"/>
    <w:rsid w:val="6B654E3C"/>
    <w:rsid w:val="6C7621DF"/>
    <w:rsid w:val="6C787452"/>
    <w:rsid w:val="6CEF4F0F"/>
    <w:rsid w:val="6D47490C"/>
    <w:rsid w:val="6DAB59DE"/>
    <w:rsid w:val="718B55F7"/>
    <w:rsid w:val="71DC6E8A"/>
    <w:rsid w:val="724566F9"/>
    <w:rsid w:val="73CC483B"/>
    <w:rsid w:val="742A66F1"/>
    <w:rsid w:val="755724C7"/>
    <w:rsid w:val="774D1E88"/>
    <w:rsid w:val="79F62ED0"/>
    <w:rsid w:val="7ADC31A8"/>
    <w:rsid w:val="7DA74E8B"/>
    <w:rsid w:val="7FAF2605"/>
    <w:rsid w:val="7FB77874"/>
    <w:rsid w:val="7FD619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57"/>
    <w:qFormat/>
    <w:uiPriority w:val="0"/>
    <w:pPr>
      <w:keepNext/>
      <w:keepLines/>
      <w:spacing w:after="120" w:line="360" w:lineRule="auto"/>
      <w:outlineLvl w:val="0"/>
    </w:pPr>
    <w:rPr>
      <w:kern w:val="44"/>
      <w:sz w:val="28"/>
      <w:szCs w:val="28"/>
    </w:rPr>
  </w:style>
  <w:style w:type="paragraph" w:styleId="7">
    <w:name w:val="heading 2"/>
    <w:basedOn w:val="1"/>
    <w:next w:val="8"/>
    <w:link w:val="58"/>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link w:val="52"/>
    <w:qFormat/>
    <w:uiPriority w:val="0"/>
    <w:pPr>
      <w:widowControl/>
      <w:spacing w:before="100" w:beforeAutospacing="1" w:after="100" w:afterAutospacing="1"/>
      <w:jc w:val="left"/>
      <w:outlineLvl w:val="2"/>
    </w:pPr>
    <w:rPr>
      <w:rFonts w:ascii="宋体" w:hAnsi="宋体" w:cs="宋体"/>
      <w:kern w:val="0"/>
      <w:sz w:val="27"/>
      <w:szCs w:val="27"/>
    </w:rPr>
  </w:style>
  <w:style w:type="paragraph" w:styleId="10">
    <w:name w:val="heading 4"/>
    <w:basedOn w:val="9"/>
    <w:next w:val="8"/>
    <w:link w:val="59"/>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1">
    <w:name w:val="heading 5"/>
    <w:basedOn w:val="10"/>
    <w:next w:val="8"/>
    <w:link w:val="60"/>
    <w:qFormat/>
    <w:uiPriority w:val="0"/>
    <w:pPr>
      <w:numPr>
        <w:ilvl w:val="4"/>
      </w:numPr>
      <w:spacing w:line="240" w:lineRule="exact"/>
      <w:outlineLvl w:val="4"/>
    </w:pPr>
  </w:style>
  <w:style w:type="paragraph" w:styleId="12">
    <w:name w:val="heading 6"/>
    <w:basedOn w:val="1"/>
    <w:next w:val="1"/>
    <w:link w:val="61"/>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62"/>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63"/>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64"/>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78"/>
    <w:qFormat/>
    <w:uiPriority w:val="0"/>
    <w:rPr>
      <w:rFonts w:ascii="宋体" w:hAnsi="Courier New"/>
      <w:szCs w:val="20"/>
    </w:rPr>
  </w:style>
  <w:style w:type="paragraph" w:styleId="4">
    <w:name w:val="Title"/>
    <w:basedOn w:val="1"/>
    <w:link w:val="66"/>
    <w:qFormat/>
    <w:uiPriority w:val="0"/>
    <w:pPr>
      <w:spacing w:before="120" w:after="60"/>
      <w:jc w:val="center"/>
    </w:pPr>
    <w:rPr>
      <w:rFonts w:ascii="Arial" w:hAnsi="Arial"/>
      <w:b/>
      <w:sz w:val="44"/>
      <w:szCs w:val="20"/>
    </w:rPr>
  </w:style>
  <w:style w:type="paragraph" w:styleId="5">
    <w:name w:val="Body Text First Indent"/>
    <w:basedOn w:val="6"/>
    <w:link w:val="70"/>
    <w:qFormat/>
    <w:uiPriority w:val="0"/>
    <w:pPr>
      <w:ind w:firstLine="420"/>
    </w:pPr>
  </w:style>
  <w:style w:type="paragraph" w:styleId="6">
    <w:name w:val="Body Text"/>
    <w:basedOn w:val="1"/>
    <w:link w:val="68"/>
    <w:qFormat/>
    <w:uiPriority w:val="0"/>
    <w:pPr>
      <w:spacing w:after="120"/>
    </w:pPr>
    <w:rPr>
      <w:rFonts w:ascii="Times New Roman" w:hAnsi="Times New Roman"/>
      <w:szCs w:val="20"/>
    </w:rPr>
  </w:style>
  <w:style w:type="paragraph" w:styleId="8">
    <w:name w:val="Normal Indent"/>
    <w:basedOn w:val="1"/>
    <w:qFormat/>
    <w:uiPriority w:val="0"/>
    <w:pPr>
      <w:ind w:firstLine="420"/>
    </w:pPr>
    <w:rPr>
      <w:rFonts w:ascii="Times New Roman" w:hAnsi="Times New Roman"/>
      <w:szCs w:val="20"/>
    </w:rPr>
  </w:style>
  <w:style w:type="paragraph" w:styleId="16">
    <w:name w:val="Document Map"/>
    <w:basedOn w:val="1"/>
    <w:link w:val="76"/>
    <w:qFormat/>
    <w:uiPriority w:val="0"/>
    <w:pPr>
      <w:shd w:val="clear" w:color="auto" w:fill="000080"/>
    </w:pPr>
    <w:rPr>
      <w:rFonts w:ascii="Times New Roman" w:hAnsi="Times New Roman"/>
      <w:szCs w:val="20"/>
    </w:rPr>
  </w:style>
  <w:style w:type="paragraph" w:styleId="17">
    <w:name w:val="annotation text"/>
    <w:basedOn w:val="1"/>
    <w:link w:val="102"/>
    <w:qFormat/>
    <w:uiPriority w:val="0"/>
    <w:pPr>
      <w:spacing w:line="360" w:lineRule="auto"/>
      <w:ind w:firstLine="523" w:firstLineChars="218"/>
      <w:jc w:val="left"/>
    </w:pPr>
    <w:rPr>
      <w:rFonts w:ascii="宋体" w:hAnsi="宋体"/>
      <w:sz w:val="24"/>
      <w:szCs w:val="24"/>
    </w:rPr>
  </w:style>
  <w:style w:type="paragraph" w:styleId="18">
    <w:name w:val="Body Text Indent"/>
    <w:basedOn w:val="1"/>
    <w:link w:val="74"/>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Date"/>
    <w:basedOn w:val="1"/>
    <w:next w:val="1"/>
    <w:link w:val="72"/>
    <w:qFormat/>
    <w:uiPriority w:val="0"/>
    <w:rPr>
      <w:rFonts w:ascii="Times New Roman" w:hAnsi="Times New Roman"/>
      <w:szCs w:val="20"/>
    </w:rPr>
  </w:style>
  <w:style w:type="paragraph" w:styleId="21">
    <w:name w:val="Body Text Indent 2"/>
    <w:basedOn w:val="1"/>
    <w:link w:val="80"/>
    <w:qFormat/>
    <w:uiPriority w:val="0"/>
    <w:pPr>
      <w:spacing w:line="400" w:lineRule="exact"/>
      <w:ind w:left="425"/>
    </w:pPr>
    <w:rPr>
      <w:rFonts w:ascii="Times New Roman" w:hAnsi="Times New Roman"/>
      <w:color w:val="000000"/>
      <w:sz w:val="24"/>
      <w:szCs w:val="20"/>
    </w:rPr>
  </w:style>
  <w:style w:type="paragraph" w:styleId="22">
    <w:name w:val="endnote text"/>
    <w:basedOn w:val="1"/>
    <w:link w:val="89"/>
    <w:qFormat/>
    <w:uiPriority w:val="0"/>
    <w:pPr>
      <w:snapToGrid w:val="0"/>
      <w:jc w:val="left"/>
    </w:pPr>
    <w:rPr>
      <w:rFonts w:ascii="Times New Roman" w:hAnsi="Times New Roman"/>
      <w:szCs w:val="20"/>
    </w:rPr>
  </w:style>
  <w:style w:type="paragraph" w:styleId="23">
    <w:name w:val="Balloon Text"/>
    <w:basedOn w:val="1"/>
    <w:link w:val="99"/>
    <w:qFormat/>
    <w:uiPriority w:val="0"/>
    <w:rPr>
      <w:rFonts w:ascii="Times New Roman" w:hAnsi="Times New Roman"/>
      <w:sz w:val="18"/>
      <w:szCs w:val="18"/>
    </w:rPr>
  </w:style>
  <w:style w:type="paragraph" w:styleId="24">
    <w:name w:val="footer"/>
    <w:basedOn w:val="1"/>
    <w:link w:val="56"/>
    <w:unhideWhenUsed/>
    <w:qFormat/>
    <w:uiPriority w:val="99"/>
    <w:pPr>
      <w:tabs>
        <w:tab w:val="center" w:pos="4153"/>
        <w:tab w:val="right" w:pos="8306"/>
      </w:tabs>
      <w:snapToGrid w:val="0"/>
      <w:jc w:val="left"/>
    </w:pPr>
    <w:rPr>
      <w:sz w:val="18"/>
      <w:szCs w:val="18"/>
    </w:rPr>
  </w:style>
  <w:style w:type="paragraph" w:styleId="25">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4"/>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2"/>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86"/>
    <w:qFormat/>
    <w:uiPriority w:val="0"/>
    <w:rPr>
      <w:rFonts w:ascii="宋体" w:hAnsi="宋体"/>
      <w:szCs w:val="24"/>
      <w:u w:val="single"/>
    </w:rPr>
  </w:style>
  <w:style w:type="paragraph" w:styleId="31">
    <w:name w:val="index 1"/>
    <w:basedOn w:val="1"/>
    <w:next w:val="1"/>
    <w:qFormat/>
    <w:uiPriority w:val="0"/>
    <w:rPr>
      <w:rFonts w:ascii="Times New Roman" w:hAnsi="Times New Roman" w:eastAsia="仿宋_GB2312"/>
      <w:sz w:val="28"/>
      <w:szCs w:val="20"/>
    </w:rPr>
  </w:style>
  <w:style w:type="paragraph" w:styleId="32">
    <w:name w:val="annotation subject"/>
    <w:basedOn w:val="17"/>
    <w:next w:val="17"/>
    <w:link w:val="106"/>
    <w:qFormat/>
    <w:uiPriority w:val="0"/>
    <w:rPr>
      <w:b/>
      <w:bCs/>
    </w:rPr>
  </w:style>
  <w:style w:type="table" w:styleId="34">
    <w:name w:val="Table Grid"/>
    <w:basedOn w:val="33"/>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rPr>
  </w:style>
  <w:style w:type="character" w:styleId="37">
    <w:name w:val="endnote reference"/>
    <w:qFormat/>
    <w:uiPriority w:val="0"/>
    <w:rPr>
      <w:vertAlign w:val="superscript"/>
    </w:rPr>
  </w:style>
  <w:style w:type="character" w:styleId="38">
    <w:name w:val="page number"/>
    <w:qFormat/>
    <w:uiPriority w:val="0"/>
    <w:rPr>
      <w:rFonts w:cs="Times New Roman"/>
    </w:rPr>
  </w:style>
  <w:style w:type="character" w:styleId="39">
    <w:name w:val="FollowedHyperlink"/>
    <w:semiHidden/>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styleId="42">
    <w:name w:val="footnote reference"/>
    <w:qFormat/>
    <w:uiPriority w:val="0"/>
    <w:rPr>
      <w:vertAlign w:val="superscript"/>
    </w:rPr>
  </w:style>
  <w:style w:type="character" w:customStyle="1" w:styleId="43">
    <w:name w:val="标题 1 字符"/>
    <w:qFormat/>
    <w:uiPriority w:val="9"/>
    <w:rPr>
      <w:rFonts w:ascii="Calibri" w:hAnsi="Calibri" w:eastAsia="宋体" w:cs="Times New Roman"/>
      <w:b/>
      <w:bCs/>
      <w:kern w:val="44"/>
      <w:sz w:val="44"/>
      <w:szCs w:val="44"/>
    </w:rPr>
  </w:style>
  <w:style w:type="character" w:customStyle="1" w:styleId="44">
    <w:name w:val="标题 2 字符"/>
    <w:semiHidden/>
    <w:qFormat/>
    <w:uiPriority w:val="9"/>
    <w:rPr>
      <w:rFonts w:ascii="等线 Light" w:hAnsi="等线 Light" w:eastAsia="等线 Light" w:cs="Times New Roman"/>
      <w:b/>
      <w:bCs/>
      <w:sz w:val="32"/>
      <w:szCs w:val="32"/>
    </w:rPr>
  </w:style>
  <w:style w:type="character" w:customStyle="1" w:styleId="45">
    <w:name w:val="标题 3 字符"/>
    <w:semiHidden/>
    <w:qFormat/>
    <w:uiPriority w:val="9"/>
    <w:rPr>
      <w:rFonts w:ascii="Calibri" w:hAnsi="Calibri" w:eastAsia="宋体" w:cs="Times New Roman"/>
      <w:b/>
      <w:bCs/>
      <w:sz w:val="32"/>
      <w:szCs w:val="32"/>
    </w:rPr>
  </w:style>
  <w:style w:type="character" w:customStyle="1" w:styleId="46">
    <w:name w:val="标题 4 字符"/>
    <w:semiHidden/>
    <w:qFormat/>
    <w:uiPriority w:val="9"/>
    <w:rPr>
      <w:rFonts w:ascii="等线 Light" w:hAnsi="等线 Light" w:eastAsia="等线 Light" w:cs="Times New Roman"/>
      <w:b/>
      <w:bCs/>
      <w:sz w:val="28"/>
      <w:szCs w:val="28"/>
    </w:rPr>
  </w:style>
  <w:style w:type="character" w:customStyle="1" w:styleId="47">
    <w:name w:val="标题 5 字符"/>
    <w:semiHidden/>
    <w:qFormat/>
    <w:uiPriority w:val="9"/>
    <w:rPr>
      <w:rFonts w:ascii="Calibri" w:hAnsi="Calibri" w:eastAsia="宋体" w:cs="Times New Roman"/>
      <w:b/>
      <w:bCs/>
      <w:sz w:val="28"/>
      <w:szCs w:val="28"/>
    </w:rPr>
  </w:style>
  <w:style w:type="character" w:customStyle="1" w:styleId="48">
    <w:name w:val="标题 6 字符"/>
    <w:semiHidden/>
    <w:qFormat/>
    <w:uiPriority w:val="9"/>
    <w:rPr>
      <w:rFonts w:ascii="等线 Light" w:hAnsi="等线 Light" w:eastAsia="等线 Light" w:cs="Times New Roman"/>
      <w:b/>
      <w:bCs/>
      <w:sz w:val="24"/>
      <w:szCs w:val="24"/>
    </w:rPr>
  </w:style>
  <w:style w:type="character" w:customStyle="1" w:styleId="49">
    <w:name w:val="标题 7 字符"/>
    <w:semiHidden/>
    <w:qFormat/>
    <w:uiPriority w:val="9"/>
    <w:rPr>
      <w:rFonts w:ascii="Calibri" w:hAnsi="Calibri" w:eastAsia="宋体" w:cs="Times New Roman"/>
      <w:b/>
      <w:bCs/>
      <w:sz w:val="24"/>
      <w:szCs w:val="24"/>
    </w:rPr>
  </w:style>
  <w:style w:type="character" w:customStyle="1" w:styleId="50">
    <w:name w:val="标题 8 字符"/>
    <w:semiHidden/>
    <w:qFormat/>
    <w:uiPriority w:val="9"/>
    <w:rPr>
      <w:rFonts w:ascii="等线 Light" w:hAnsi="等线 Light" w:eastAsia="等线 Light" w:cs="Times New Roman"/>
      <w:sz w:val="24"/>
      <w:szCs w:val="24"/>
    </w:rPr>
  </w:style>
  <w:style w:type="character" w:customStyle="1" w:styleId="51">
    <w:name w:val="标题 9 字符"/>
    <w:semiHidden/>
    <w:qFormat/>
    <w:uiPriority w:val="9"/>
    <w:rPr>
      <w:rFonts w:ascii="等线 Light" w:hAnsi="等线 Light" w:eastAsia="等线 Light" w:cs="Times New Roman"/>
      <w:szCs w:val="21"/>
    </w:rPr>
  </w:style>
  <w:style w:type="character" w:customStyle="1" w:styleId="52">
    <w:name w:val="标题 3 字符1"/>
    <w:link w:val="9"/>
    <w:qFormat/>
    <w:uiPriority w:val="0"/>
    <w:rPr>
      <w:rFonts w:ascii="宋体" w:hAnsi="宋体" w:eastAsia="宋体" w:cs="宋体"/>
      <w:kern w:val="0"/>
      <w:sz w:val="27"/>
      <w:szCs w:val="27"/>
    </w:rPr>
  </w:style>
  <w:style w:type="character" w:customStyle="1" w:styleId="53">
    <w:name w:val="页眉 字符"/>
    <w:semiHidden/>
    <w:qFormat/>
    <w:uiPriority w:val="99"/>
    <w:rPr>
      <w:rFonts w:ascii="Calibri" w:hAnsi="Calibri" w:eastAsia="宋体" w:cs="Times New Roman"/>
      <w:sz w:val="18"/>
      <w:szCs w:val="18"/>
    </w:rPr>
  </w:style>
  <w:style w:type="character" w:customStyle="1" w:styleId="54">
    <w:name w:val="页眉 字符1"/>
    <w:link w:val="25"/>
    <w:qFormat/>
    <w:uiPriority w:val="0"/>
    <w:rPr>
      <w:rFonts w:ascii="Calibri" w:hAnsi="Calibri" w:eastAsia="宋体" w:cs="Times New Roman"/>
      <w:sz w:val="18"/>
      <w:szCs w:val="18"/>
    </w:rPr>
  </w:style>
  <w:style w:type="character" w:customStyle="1" w:styleId="55">
    <w:name w:val="页脚 字符"/>
    <w:semiHidden/>
    <w:qFormat/>
    <w:uiPriority w:val="99"/>
    <w:rPr>
      <w:rFonts w:ascii="Calibri" w:hAnsi="Calibri" w:eastAsia="宋体" w:cs="Times New Roman"/>
      <w:sz w:val="18"/>
      <w:szCs w:val="18"/>
    </w:rPr>
  </w:style>
  <w:style w:type="character" w:customStyle="1" w:styleId="56">
    <w:name w:val="页脚 字符1"/>
    <w:link w:val="24"/>
    <w:qFormat/>
    <w:uiPriority w:val="99"/>
    <w:rPr>
      <w:rFonts w:ascii="Calibri" w:hAnsi="Calibri" w:eastAsia="宋体" w:cs="Times New Roman"/>
      <w:sz w:val="18"/>
      <w:szCs w:val="18"/>
    </w:rPr>
  </w:style>
  <w:style w:type="character" w:customStyle="1" w:styleId="57">
    <w:name w:val="标题 1 字符1"/>
    <w:link w:val="3"/>
    <w:qFormat/>
    <w:uiPriority w:val="0"/>
    <w:rPr>
      <w:rFonts w:ascii="Arial" w:hAnsi="Arial" w:eastAsia="宋体"/>
      <w:b/>
      <w:kern w:val="44"/>
      <w:sz w:val="28"/>
      <w:szCs w:val="28"/>
    </w:rPr>
  </w:style>
  <w:style w:type="character" w:customStyle="1" w:styleId="58">
    <w:name w:val="标题 2 字符1"/>
    <w:link w:val="7"/>
    <w:qFormat/>
    <w:uiPriority w:val="0"/>
    <w:rPr>
      <w:rFonts w:ascii="Arial" w:hAnsi="Arial" w:eastAsia="宋体" w:cs="Times New Roman"/>
      <w:b/>
      <w:color w:val="000000"/>
      <w:sz w:val="24"/>
      <w:szCs w:val="24"/>
    </w:rPr>
  </w:style>
  <w:style w:type="character" w:customStyle="1" w:styleId="59">
    <w:name w:val="标题 4 字符1"/>
    <w:link w:val="10"/>
    <w:qFormat/>
    <w:uiPriority w:val="0"/>
    <w:rPr>
      <w:rFonts w:ascii="Arial" w:hAnsi="Arial" w:eastAsia="宋体" w:cs="Times New Roman"/>
      <w:color w:val="000000"/>
      <w:szCs w:val="21"/>
    </w:rPr>
  </w:style>
  <w:style w:type="character" w:customStyle="1" w:styleId="60">
    <w:name w:val="标题 5 字符1"/>
    <w:link w:val="11"/>
    <w:qFormat/>
    <w:uiPriority w:val="0"/>
    <w:rPr>
      <w:rFonts w:ascii="Arial" w:hAnsi="Arial" w:eastAsia="宋体" w:cs="Times New Roman"/>
      <w:color w:val="000000"/>
      <w:szCs w:val="21"/>
    </w:rPr>
  </w:style>
  <w:style w:type="character" w:customStyle="1" w:styleId="61">
    <w:name w:val="标题 6 字符1"/>
    <w:link w:val="12"/>
    <w:qFormat/>
    <w:uiPriority w:val="0"/>
    <w:rPr>
      <w:rFonts w:ascii="Arial" w:hAnsi="Arial" w:eastAsia="黑体" w:cs="Times New Roman"/>
      <w:b/>
      <w:bCs/>
      <w:sz w:val="24"/>
      <w:szCs w:val="24"/>
    </w:rPr>
  </w:style>
  <w:style w:type="character" w:customStyle="1" w:styleId="62">
    <w:name w:val="标题 7 字符1"/>
    <w:link w:val="13"/>
    <w:qFormat/>
    <w:uiPriority w:val="0"/>
    <w:rPr>
      <w:rFonts w:ascii="Times New Roman" w:hAnsi="Times New Roman" w:eastAsia="宋体" w:cs="Times New Roman"/>
      <w:b/>
      <w:sz w:val="24"/>
      <w:szCs w:val="20"/>
    </w:rPr>
  </w:style>
  <w:style w:type="character" w:customStyle="1" w:styleId="63">
    <w:name w:val="标题 8 字符1"/>
    <w:link w:val="14"/>
    <w:qFormat/>
    <w:uiPriority w:val="0"/>
    <w:rPr>
      <w:rFonts w:ascii="Arial" w:hAnsi="Arial" w:eastAsia="黑体" w:cs="Times New Roman"/>
      <w:sz w:val="24"/>
      <w:szCs w:val="20"/>
    </w:rPr>
  </w:style>
  <w:style w:type="character" w:customStyle="1" w:styleId="64">
    <w:name w:val="标题 9 字符1"/>
    <w:link w:val="15"/>
    <w:qFormat/>
    <w:uiPriority w:val="0"/>
    <w:rPr>
      <w:rFonts w:ascii="Arial" w:hAnsi="Arial" w:eastAsia="黑体" w:cs="Times New Roman"/>
      <w:szCs w:val="20"/>
    </w:rPr>
  </w:style>
  <w:style w:type="character" w:customStyle="1" w:styleId="65">
    <w:name w:val="标题 字符"/>
    <w:qFormat/>
    <w:uiPriority w:val="10"/>
    <w:rPr>
      <w:rFonts w:ascii="等线 Light" w:hAnsi="等线 Light" w:eastAsia="等线 Light" w:cs="Times New Roman"/>
      <w:b/>
      <w:bCs/>
      <w:sz w:val="32"/>
      <w:szCs w:val="32"/>
    </w:rPr>
  </w:style>
  <w:style w:type="character" w:customStyle="1" w:styleId="66">
    <w:name w:val="标题 字符1"/>
    <w:link w:val="4"/>
    <w:qFormat/>
    <w:uiPriority w:val="0"/>
    <w:rPr>
      <w:rFonts w:ascii="Arial" w:hAnsi="Arial" w:eastAsia="宋体" w:cs="Times New Roman"/>
      <w:b/>
      <w:sz w:val="44"/>
      <w:szCs w:val="20"/>
    </w:rPr>
  </w:style>
  <w:style w:type="character" w:customStyle="1" w:styleId="67">
    <w:name w:val="正文文本 字符"/>
    <w:semiHidden/>
    <w:qFormat/>
    <w:uiPriority w:val="99"/>
    <w:rPr>
      <w:rFonts w:ascii="Calibri" w:hAnsi="Calibri" w:eastAsia="宋体" w:cs="Times New Roman"/>
    </w:rPr>
  </w:style>
  <w:style w:type="character" w:customStyle="1" w:styleId="68">
    <w:name w:val="正文文本 字符1"/>
    <w:link w:val="6"/>
    <w:qFormat/>
    <w:uiPriority w:val="0"/>
    <w:rPr>
      <w:rFonts w:ascii="Times New Roman" w:hAnsi="Times New Roman" w:eastAsia="宋体" w:cs="Times New Roman"/>
      <w:szCs w:val="20"/>
    </w:rPr>
  </w:style>
  <w:style w:type="character" w:customStyle="1" w:styleId="69">
    <w:name w:val="正文首行缩进 字符"/>
    <w:basedOn w:val="67"/>
    <w:semiHidden/>
    <w:qFormat/>
    <w:uiPriority w:val="99"/>
    <w:rPr>
      <w:rFonts w:ascii="Calibri" w:hAnsi="Calibri" w:eastAsia="宋体" w:cs="Times New Roman"/>
    </w:rPr>
  </w:style>
  <w:style w:type="character" w:customStyle="1" w:styleId="70">
    <w:name w:val="正文文本首行缩进 字符"/>
    <w:link w:val="5"/>
    <w:qFormat/>
    <w:uiPriority w:val="0"/>
  </w:style>
  <w:style w:type="character" w:customStyle="1" w:styleId="71">
    <w:name w:val="日期 字符"/>
    <w:semiHidden/>
    <w:qFormat/>
    <w:uiPriority w:val="99"/>
    <w:rPr>
      <w:rFonts w:ascii="Calibri" w:hAnsi="Calibri" w:eastAsia="宋体" w:cs="Times New Roman"/>
    </w:rPr>
  </w:style>
  <w:style w:type="character" w:customStyle="1" w:styleId="72">
    <w:name w:val="日期 字符1"/>
    <w:link w:val="20"/>
    <w:qFormat/>
    <w:uiPriority w:val="0"/>
    <w:rPr>
      <w:rFonts w:ascii="Times New Roman" w:hAnsi="Times New Roman" w:eastAsia="宋体" w:cs="Times New Roman"/>
      <w:szCs w:val="20"/>
    </w:rPr>
  </w:style>
  <w:style w:type="character" w:customStyle="1" w:styleId="73">
    <w:name w:val="正文文本缩进 字符"/>
    <w:semiHidden/>
    <w:qFormat/>
    <w:uiPriority w:val="99"/>
    <w:rPr>
      <w:rFonts w:ascii="Calibri" w:hAnsi="Calibri" w:eastAsia="宋体" w:cs="Times New Roman"/>
    </w:rPr>
  </w:style>
  <w:style w:type="character" w:customStyle="1" w:styleId="74">
    <w:name w:val="正文文本缩进 字符1"/>
    <w:link w:val="18"/>
    <w:qFormat/>
    <w:uiPriority w:val="0"/>
    <w:rPr>
      <w:rFonts w:ascii="Times New Roman" w:hAnsi="Times New Roman" w:eastAsia="宋体" w:cs="Times New Roman"/>
      <w:sz w:val="28"/>
      <w:szCs w:val="20"/>
    </w:rPr>
  </w:style>
  <w:style w:type="character" w:customStyle="1" w:styleId="75">
    <w:name w:val="文档结构图 字符"/>
    <w:semiHidden/>
    <w:qFormat/>
    <w:uiPriority w:val="99"/>
    <w:rPr>
      <w:rFonts w:ascii="Microsoft YaHei UI" w:hAnsi="Calibri" w:eastAsia="Microsoft YaHei UI" w:cs="Times New Roman"/>
      <w:sz w:val="18"/>
      <w:szCs w:val="18"/>
    </w:rPr>
  </w:style>
  <w:style w:type="character" w:customStyle="1" w:styleId="76">
    <w:name w:val="文档结构图 字符1"/>
    <w:link w:val="16"/>
    <w:qFormat/>
    <w:uiPriority w:val="0"/>
    <w:rPr>
      <w:rFonts w:ascii="Times New Roman" w:hAnsi="Times New Roman" w:eastAsia="宋体" w:cs="Times New Roman"/>
      <w:szCs w:val="20"/>
      <w:shd w:val="clear" w:color="auto" w:fill="000080"/>
    </w:rPr>
  </w:style>
  <w:style w:type="character" w:customStyle="1" w:styleId="77">
    <w:name w:val="纯文本 字符"/>
    <w:semiHidden/>
    <w:qFormat/>
    <w:uiPriority w:val="99"/>
    <w:rPr>
      <w:rFonts w:ascii="等线" w:hAnsi="Courier New" w:cs="Courier New"/>
    </w:rPr>
  </w:style>
  <w:style w:type="character" w:customStyle="1" w:styleId="78">
    <w:name w:val="纯文本 字符1"/>
    <w:link w:val="2"/>
    <w:qFormat/>
    <w:uiPriority w:val="0"/>
    <w:rPr>
      <w:rFonts w:ascii="宋体" w:hAnsi="Courier New" w:eastAsia="宋体" w:cs="Times New Roman"/>
      <w:szCs w:val="20"/>
    </w:rPr>
  </w:style>
  <w:style w:type="character" w:customStyle="1" w:styleId="79">
    <w:name w:val="正文文本缩进 2 字符"/>
    <w:semiHidden/>
    <w:qFormat/>
    <w:uiPriority w:val="99"/>
    <w:rPr>
      <w:rFonts w:ascii="Calibri" w:hAnsi="Calibri" w:eastAsia="宋体" w:cs="Times New Roman"/>
    </w:rPr>
  </w:style>
  <w:style w:type="character" w:customStyle="1" w:styleId="80">
    <w:name w:val="正文文本缩进 2 字符1"/>
    <w:link w:val="21"/>
    <w:qFormat/>
    <w:uiPriority w:val="0"/>
    <w:rPr>
      <w:rFonts w:ascii="Times New Roman" w:hAnsi="Times New Roman" w:eastAsia="宋体" w:cs="Times New Roman"/>
      <w:color w:val="000000"/>
      <w:sz w:val="24"/>
      <w:szCs w:val="20"/>
    </w:rPr>
  </w:style>
  <w:style w:type="character" w:customStyle="1" w:styleId="81">
    <w:name w:val="正文文本缩进 3 字符"/>
    <w:semiHidden/>
    <w:qFormat/>
    <w:uiPriority w:val="99"/>
    <w:rPr>
      <w:rFonts w:ascii="Calibri" w:hAnsi="Calibri" w:eastAsia="宋体" w:cs="Times New Roman"/>
      <w:sz w:val="16"/>
      <w:szCs w:val="16"/>
    </w:rPr>
  </w:style>
  <w:style w:type="character" w:customStyle="1" w:styleId="82">
    <w:name w:val="正文文本缩进 3 字符1"/>
    <w:link w:val="28"/>
    <w:qFormat/>
    <w:uiPriority w:val="0"/>
    <w:rPr>
      <w:rFonts w:ascii="Times New Roman" w:hAnsi="Times New Roman" w:eastAsia="宋体" w:cs="Times New Roman"/>
      <w:color w:val="000000"/>
      <w:sz w:val="24"/>
      <w:szCs w:val="20"/>
    </w:rPr>
  </w:style>
  <w:style w:type="paragraph" w:customStyle="1" w:styleId="8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4">
    <w:name w:val="_Style 69"/>
    <w:qFormat/>
    <w:uiPriority w:val="0"/>
    <w:rPr>
      <w:rFonts w:ascii="等线" w:hAnsi="等线" w:eastAsia="等线" w:cs="Times New Roman"/>
      <w:lang w:val="en-US" w:eastAsia="zh-CN" w:bidi="ar-SA"/>
    </w:rPr>
  </w:style>
  <w:style w:type="character" w:customStyle="1" w:styleId="85">
    <w:name w:val="正文文本 2 字符"/>
    <w:semiHidden/>
    <w:qFormat/>
    <w:uiPriority w:val="99"/>
    <w:rPr>
      <w:rFonts w:ascii="Calibri" w:hAnsi="Calibri" w:eastAsia="宋体" w:cs="Times New Roman"/>
    </w:rPr>
  </w:style>
  <w:style w:type="character" w:customStyle="1" w:styleId="86">
    <w:name w:val="正文文本 2 字符1"/>
    <w:link w:val="30"/>
    <w:qFormat/>
    <w:uiPriority w:val="0"/>
    <w:rPr>
      <w:rFonts w:ascii="宋体" w:hAnsi="宋体" w:eastAsia="宋体" w:cs="Times New Roman"/>
      <w:szCs w:val="24"/>
      <w:u w:val="single"/>
    </w:rPr>
  </w:style>
  <w:style w:type="paragraph" w:customStyle="1" w:styleId="87">
    <w:name w:val="表头"/>
    <w:basedOn w:val="1"/>
    <w:qFormat/>
    <w:uiPriority w:val="0"/>
    <w:pPr>
      <w:spacing w:line="360" w:lineRule="auto"/>
      <w:jc w:val="center"/>
    </w:pPr>
    <w:rPr>
      <w:rFonts w:ascii="黑体" w:hAnsi="Times New Roman" w:eastAsia="黑体"/>
      <w:kern w:val="0"/>
      <w:sz w:val="24"/>
      <w:szCs w:val="20"/>
    </w:rPr>
  </w:style>
  <w:style w:type="character" w:customStyle="1" w:styleId="88">
    <w:name w:val="尾注文本 字符"/>
    <w:semiHidden/>
    <w:qFormat/>
    <w:uiPriority w:val="99"/>
    <w:rPr>
      <w:rFonts w:ascii="Calibri" w:hAnsi="Calibri" w:eastAsia="宋体" w:cs="Times New Roman"/>
    </w:rPr>
  </w:style>
  <w:style w:type="character" w:customStyle="1" w:styleId="89">
    <w:name w:val="尾注文本 字符1"/>
    <w:link w:val="22"/>
    <w:qFormat/>
    <w:uiPriority w:val="0"/>
    <w:rPr>
      <w:rFonts w:ascii="Times New Roman" w:hAnsi="Times New Roman" w:eastAsia="宋体" w:cs="Times New Roman"/>
      <w:szCs w:val="20"/>
    </w:rPr>
  </w:style>
  <w:style w:type="paragraph" w:customStyle="1" w:styleId="90">
    <w:name w:val="Char"/>
    <w:basedOn w:val="1"/>
    <w:qFormat/>
    <w:uiPriority w:val="0"/>
    <w:rPr>
      <w:rFonts w:ascii="Tahoma" w:hAnsi="Tahoma"/>
      <w:sz w:val="24"/>
      <w:szCs w:val="20"/>
    </w:rPr>
  </w:style>
  <w:style w:type="paragraph" w:customStyle="1" w:styleId="91">
    <w:name w:val="Char1"/>
    <w:basedOn w:val="1"/>
    <w:qFormat/>
    <w:uiPriority w:val="0"/>
    <w:pPr>
      <w:numPr>
        <w:ilvl w:val="0"/>
        <w:numId w:val="1"/>
      </w:numPr>
    </w:pPr>
    <w:rPr>
      <w:rFonts w:ascii="Times New Roman" w:hAnsi="Times New Roman"/>
      <w:sz w:val="24"/>
      <w:szCs w:val="24"/>
    </w:rPr>
  </w:style>
  <w:style w:type="paragraph" w:customStyle="1" w:styleId="92">
    <w:name w:val="公文抬头"/>
    <w:basedOn w:val="8"/>
    <w:qFormat/>
    <w:uiPriority w:val="0"/>
    <w:pPr>
      <w:ind w:firstLine="0"/>
    </w:pPr>
    <w:rPr>
      <w:rFonts w:ascii="仿宋_GB2312" w:eastAsia="仿宋_GB2312"/>
      <w:sz w:val="30"/>
      <w:szCs w:val="24"/>
    </w:rPr>
  </w:style>
  <w:style w:type="paragraph" w:customStyle="1" w:styleId="93">
    <w:name w:val="Char Char Char1 Char"/>
    <w:basedOn w:val="16"/>
    <w:qFormat/>
    <w:uiPriority w:val="0"/>
    <w:rPr>
      <w:rFonts w:ascii="Tahoma" w:hAnsi="Tahoma"/>
      <w:sz w:val="24"/>
      <w:szCs w:val="24"/>
    </w:rPr>
  </w:style>
  <w:style w:type="paragraph" w:customStyle="1" w:styleId="9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5">
    <w:name w:val="公文标题"/>
    <w:basedOn w:val="9"/>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6">
    <w:name w:val="发文落款"/>
    <w:basedOn w:val="94"/>
    <w:qFormat/>
    <w:uiPriority w:val="0"/>
    <w:pPr>
      <w:ind w:left="4094" w:right="607" w:firstLine="0"/>
      <w:jc w:val="center"/>
    </w:pPr>
  </w:style>
  <w:style w:type="paragraph" w:customStyle="1" w:styleId="97">
    <w:name w:val="Char Char Char Char"/>
    <w:basedOn w:val="1"/>
    <w:qFormat/>
    <w:uiPriority w:val="0"/>
    <w:rPr>
      <w:rFonts w:ascii="Times New Roman" w:hAnsi="Times New Roman"/>
      <w:sz w:val="30"/>
      <w:szCs w:val="24"/>
    </w:rPr>
  </w:style>
  <w:style w:type="character" w:customStyle="1" w:styleId="98">
    <w:name w:val="批注框文本 字符"/>
    <w:semiHidden/>
    <w:qFormat/>
    <w:uiPriority w:val="99"/>
    <w:rPr>
      <w:rFonts w:ascii="Calibri" w:hAnsi="Calibri" w:eastAsia="宋体" w:cs="Times New Roman"/>
      <w:sz w:val="18"/>
      <w:szCs w:val="18"/>
    </w:rPr>
  </w:style>
  <w:style w:type="character" w:customStyle="1" w:styleId="99">
    <w:name w:val="批注框文本 字符1"/>
    <w:link w:val="23"/>
    <w:qFormat/>
    <w:uiPriority w:val="0"/>
    <w:rPr>
      <w:rFonts w:ascii="Times New Roman" w:hAnsi="Times New Roman" w:eastAsia="宋体" w:cs="Times New Roman"/>
      <w:sz w:val="18"/>
      <w:szCs w:val="18"/>
    </w:rPr>
  </w:style>
  <w:style w:type="paragraph" w:customStyle="1" w:styleId="100">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1">
    <w:name w:val="批注文字 字符"/>
    <w:semiHidden/>
    <w:qFormat/>
    <w:uiPriority w:val="99"/>
    <w:rPr>
      <w:rFonts w:ascii="Calibri" w:hAnsi="Calibri" w:eastAsia="宋体" w:cs="Times New Roman"/>
    </w:rPr>
  </w:style>
  <w:style w:type="character" w:customStyle="1" w:styleId="102">
    <w:name w:val="批注文字 字符1"/>
    <w:link w:val="17"/>
    <w:qFormat/>
    <w:uiPriority w:val="0"/>
    <w:rPr>
      <w:rFonts w:ascii="宋体" w:hAnsi="宋体" w:eastAsia="宋体" w:cs="Times New Roman"/>
      <w:sz w:val="24"/>
      <w:szCs w:val="24"/>
    </w:rPr>
  </w:style>
  <w:style w:type="character" w:customStyle="1" w:styleId="103">
    <w:name w:val="脚注文本 字符"/>
    <w:semiHidden/>
    <w:qFormat/>
    <w:uiPriority w:val="99"/>
    <w:rPr>
      <w:rFonts w:ascii="Calibri" w:hAnsi="Calibri" w:eastAsia="宋体" w:cs="Times New Roman"/>
      <w:sz w:val="18"/>
      <w:szCs w:val="18"/>
    </w:rPr>
  </w:style>
  <w:style w:type="character" w:customStyle="1" w:styleId="104">
    <w:name w:val="脚注文本 字符1"/>
    <w:link w:val="27"/>
    <w:qFormat/>
    <w:uiPriority w:val="0"/>
    <w:rPr>
      <w:rFonts w:ascii="宋体" w:hAnsi="宋体" w:eastAsia="宋体" w:cs="Times New Roman"/>
      <w:sz w:val="18"/>
      <w:szCs w:val="18"/>
    </w:rPr>
  </w:style>
  <w:style w:type="character" w:customStyle="1" w:styleId="105">
    <w:name w:val="批注主题 字符"/>
    <w:semiHidden/>
    <w:qFormat/>
    <w:uiPriority w:val="99"/>
    <w:rPr>
      <w:rFonts w:ascii="Calibri" w:hAnsi="Calibri" w:eastAsia="宋体" w:cs="Times New Roman"/>
      <w:b/>
      <w:bCs/>
    </w:rPr>
  </w:style>
  <w:style w:type="character" w:customStyle="1" w:styleId="106">
    <w:name w:val="批注主题 字符1"/>
    <w:link w:val="32"/>
    <w:qFormat/>
    <w:uiPriority w:val="0"/>
    <w:rPr>
      <w:rFonts w:ascii="宋体" w:hAnsi="宋体" w:eastAsia="宋体" w:cs="Times New Roman"/>
      <w:b/>
      <w:bCs/>
      <w:sz w:val="24"/>
      <w:szCs w:val="24"/>
    </w:rPr>
  </w:style>
  <w:style w:type="paragraph" w:styleId="107">
    <w:name w:val="List Paragraph"/>
    <w:basedOn w:val="1"/>
    <w:qFormat/>
    <w:uiPriority w:val="34"/>
    <w:pPr>
      <w:ind w:firstLine="420" w:firstLineChars="200"/>
    </w:pPr>
    <w:rPr>
      <w:rFonts w:ascii="Times New Roman" w:hAnsi="Times New Roman"/>
      <w:szCs w:val="20"/>
    </w:rPr>
  </w:style>
  <w:style w:type="paragraph" w:customStyle="1" w:styleId="108">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1454</Words>
  <Characters>8288</Characters>
  <Lines>69</Lines>
  <Paragraphs>19</Paragraphs>
  <TotalTime>9</TotalTime>
  <ScaleCrop>false</ScaleCrop>
  <LinksUpToDate>false</LinksUpToDate>
  <CharactersWithSpaces>9723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2023-01-17T02:07:00Z</dcterms:created>
  <dc:creator>管理员</dc:creator>
  <cp:lastModifiedBy>beibei</cp:lastModifiedBy>
  <dcterms:modified xsi:type="dcterms:W3CDTF">2023-01-20T07:39:21Z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B5500F81B1B445C2B1185437853BFA4A</vt:lpwstr>
  </property>
</Properties>
</file>