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02AE8F">
      <w:pPr>
        <w:autoSpaceDE w:val="0"/>
        <w:autoSpaceDN w:val="0"/>
        <w:adjustRightInd w:val="0"/>
        <w:jc w:val="center"/>
        <w:rPr>
          <w:rFonts w:ascii="宋体" w:hAnsi="宋体"/>
          <w:b/>
          <w:color w:val="auto"/>
          <w:sz w:val="44"/>
          <w:szCs w:val="44"/>
          <w:highlight w:val="none"/>
        </w:rPr>
      </w:pPr>
      <w:r>
        <w:rPr>
          <w:rFonts w:hint="eastAsia" w:ascii="宋体" w:hAnsi="宋体"/>
          <w:b/>
          <w:color w:val="auto"/>
          <w:sz w:val="44"/>
          <w:szCs w:val="44"/>
          <w:highlight w:val="none"/>
        </w:rPr>
        <w:t xml:space="preserve">                                                                                                                                                                                                                                                                                                                                         </w:t>
      </w:r>
    </w:p>
    <w:p w14:paraId="00A2CD68">
      <w:pPr>
        <w:jc w:val="center"/>
        <w:rPr>
          <w:rFonts w:ascii="宋体" w:hAnsi="宋体"/>
          <w:b/>
          <w:color w:val="auto"/>
          <w:sz w:val="48"/>
          <w:szCs w:val="48"/>
          <w:highlight w:val="none"/>
        </w:rPr>
      </w:pPr>
      <w:r>
        <w:rPr>
          <w:rFonts w:hint="eastAsia" w:ascii="宋体" w:hAnsi="宋体"/>
          <w:b/>
          <w:color w:val="auto"/>
          <w:sz w:val="48"/>
          <w:szCs w:val="48"/>
          <w:highlight w:val="none"/>
        </w:rPr>
        <w:t>2025年广州国际灯光节作品创意策划及执行团队服务项目</w:t>
      </w:r>
    </w:p>
    <w:p w14:paraId="262464C4">
      <w:pPr>
        <w:jc w:val="center"/>
        <w:rPr>
          <w:rFonts w:ascii="宋体" w:hAnsi="宋体"/>
          <w:color w:val="auto"/>
          <w:sz w:val="32"/>
          <w:szCs w:val="32"/>
          <w:highlight w:val="none"/>
        </w:rPr>
      </w:pPr>
    </w:p>
    <w:p w14:paraId="623A43B1">
      <w:pPr>
        <w:jc w:val="center"/>
        <w:rPr>
          <w:rFonts w:ascii="宋体" w:hAnsi="宋体"/>
          <w:color w:val="auto"/>
          <w:sz w:val="32"/>
          <w:szCs w:val="32"/>
          <w:highlight w:val="none"/>
        </w:rPr>
      </w:pPr>
    </w:p>
    <w:p w14:paraId="1E7F9F15">
      <w:pPr>
        <w:spacing w:line="400" w:lineRule="exact"/>
        <w:rPr>
          <w:rFonts w:ascii="宋体" w:hAnsi="宋体"/>
          <w:color w:val="auto"/>
          <w:highlight w:val="none"/>
        </w:rPr>
      </w:pPr>
    </w:p>
    <w:p w14:paraId="665CF838">
      <w:pPr>
        <w:spacing w:line="400" w:lineRule="exact"/>
        <w:jc w:val="right"/>
        <w:rPr>
          <w:rFonts w:ascii="宋体" w:hAnsi="宋体"/>
          <w:color w:val="auto"/>
          <w:highlight w:val="none"/>
        </w:rPr>
      </w:pPr>
    </w:p>
    <w:p w14:paraId="4E82E839">
      <w:pPr>
        <w:rPr>
          <w:rFonts w:ascii="宋体" w:hAnsi="宋体"/>
          <w:color w:val="auto"/>
          <w:sz w:val="28"/>
          <w:szCs w:val="28"/>
          <w:highlight w:val="none"/>
        </w:rPr>
      </w:pPr>
    </w:p>
    <w:p w14:paraId="76CD4014">
      <w:pPr>
        <w:rPr>
          <w:rFonts w:ascii="宋体" w:hAnsi="宋体"/>
          <w:color w:val="auto"/>
          <w:sz w:val="28"/>
          <w:szCs w:val="28"/>
          <w:highlight w:val="none"/>
        </w:rPr>
      </w:pPr>
    </w:p>
    <w:p w14:paraId="3A0087DC">
      <w:pPr>
        <w:rPr>
          <w:rFonts w:ascii="宋体" w:hAnsi="宋体"/>
          <w:color w:val="auto"/>
          <w:sz w:val="28"/>
          <w:szCs w:val="28"/>
          <w:highlight w:val="none"/>
        </w:rPr>
      </w:pPr>
    </w:p>
    <w:p w14:paraId="2D840C5E">
      <w:pPr>
        <w:rPr>
          <w:rFonts w:ascii="宋体" w:hAnsi="宋体"/>
          <w:color w:val="auto"/>
          <w:sz w:val="28"/>
          <w:szCs w:val="28"/>
          <w:highlight w:val="none"/>
        </w:rPr>
      </w:pPr>
    </w:p>
    <w:p w14:paraId="2F896632">
      <w:pPr>
        <w:rPr>
          <w:rFonts w:ascii="宋体" w:hAnsi="宋体"/>
          <w:color w:val="auto"/>
          <w:sz w:val="28"/>
          <w:szCs w:val="28"/>
          <w:highlight w:val="none"/>
        </w:rPr>
      </w:pPr>
    </w:p>
    <w:p w14:paraId="41B9A61B">
      <w:pPr>
        <w:rPr>
          <w:rFonts w:ascii="宋体" w:hAnsi="宋体"/>
          <w:color w:val="auto"/>
          <w:sz w:val="28"/>
          <w:szCs w:val="28"/>
          <w:highlight w:val="none"/>
        </w:rPr>
      </w:pPr>
    </w:p>
    <w:p w14:paraId="3FE81B4B">
      <w:pPr>
        <w:rPr>
          <w:rFonts w:ascii="宋体" w:hAnsi="宋体"/>
          <w:color w:val="auto"/>
          <w:sz w:val="28"/>
          <w:szCs w:val="28"/>
          <w:highlight w:val="none"/>
        </w:rPr>
      </w:pPr>
    </w:p>
    <w:p w14:paraId="78FF3C6E">
      <w:pPr>
        <w:rPr>
          <w:rFonts w:ascii="宋体" w:hAnsi="宋体"/>
          <w:color w:val="auto"/>
          <w:sz w:val="28"/>
          <w:highlight w:val="none"/>
        </w:rPr>
      </w:pPr>
    </w:p>
    <w:p w14:paraId="4FA09170">
      <w:pPr>
        <w:jc w:val="center"/>
        <w:rPr>
          <w:rFonts w:ascii="宋体" w:hAnsi="宋体"/>
          <w:b/>
          <w:color w:val="auto"/>
          <w:sz w:val="84"/>
          <w:szCs w:val="84"/>
          <w:highlight w:val="none"/>
        </w:rPr>
      </w:pPr>
      <w:r>
        <w:rPr>
          <w:rFonts w:ascii="宋体" w:hAnsi="宋体"/>
          <w:b/>
          <w:color w:val="auto"/>
          <w:sz w:val="84"/>
          <w:szCs w:val="84"/>
          <w:highlight w:val="none"/>
        </w:rPr>
        <w:t>招</w:t>
      </w:r>
      <w:r>
        <w:rPr>
          <w:rFonts w:hint="eastAsia" w:ascii="宋体" w:hAnsi="宋体"/>
          <w:b/>
          <w:color w:val="auto"/>
          <w:sz w:val="84"/>
          <w:szCs w:val="84"/>
          <w:highlight w:val="none"/>
        </w:rPr>
        <w:t xml:space="preserve"> </w:t>
      </w:r>
      <w:r>
        <w:rPr>
          <w:rFonts w:ascii="宋体" w:hAnsi="宋体"/>
          <w:b/>
          <w:color w:val="auto"/>
          <w:sz w:val="84"/>
          <w:szCs w:val="84"/>
          <w:highlight w:val="none"/>
        </w:rPr>
        <w:t>标</w:t>
      </w:r>
      <w:r>
        <w:rPr>
          <w:rFonts w:hint="eastAsia" w:ascii="宋体" w:hAnsi="宋体"/>
          <w:b/>
          <w:color w:val="auto"/>
          <w:sz w:val="84"/>
          <w:szCs w:val="84"/>
          <w:highlight w:val="none"/>
        </w:rPr>
        <w:t xml:space="preserve"> </w:t>
      </w:r>
      <w:r>
        <w:rPr>
          <w:rFonts w:ascii="宋体" w:hAnsi="宋体"/>
          <w:b/>
          <w:color w:val="auto"/>
          <w:sz w:val="84"/>
          <w:szCs w:val="84"/>
          <w:highlight w:val="none"/>
        </w:rPr>
        <w:t>文</w:t>
      </w:r>
      <w:r>
        <w:rPr>
          <w:rFonts w:hint="eastAsia" w:ascii="宋体" w:hAnsi="宋体"/>
          <w:b/>
          <w:color w:val="auto"/>
          <w:sz w:val="84"/>
          <w:szCs w:val="84"/>
          <w:highlight w:val="none"/>
        </w:rPr>
        <w:t xml:space="preserve"> </w:t>
      </w:r>
      <w:r>
        <w:rPr>
          <w:rFonts w:ascii="宋体" w:hAnsi="宋体"/>
          <w:b/>
          <w:color w:val="auto"/>
          <w:sz w:val="84"/>
          <w:szCs w:val="84"/>
          <w:highlight w:val="none"/>
        </w:rPr>
        <w:t>件</w:t>
      </w:r>
    </w:p>
    <w:p w14:paraId="593A15D2">
      <w:pPr>
        <w:spacing w:line="400" w:lineRule="exact"/>
        <w:rPr>
          <w:rFonts w:ascii="宋体" w:hAnsi="宋体"/>
          <w:color w:val="auto"/>
          <w:highlight w:val="none"/>
        </w:rPr>
      </w:pPr>
    </w:p>
    <w:p w14:paraId="3E42831E">
      <w:pPr>
        <w:spacing w:line="400" w:lineRule="exact"/>
        <w:rPr>
          <w:rFonts w:ascii="宋体" w:hAnsi="宋体"/>
          <w:color w:val="auto"/>
          <w:highlight w:val="none"/>
        </w:rPr>
      </w:pPr>
    </w:p>
    <w:p w14:paraId="7878E811">
      <w:pPr>
        <w:spacing w:line="400" w:lineRule="exact"/>
        <w:rPr>
          <w:rFonts w:ascii="宋体" w:hAnsi="宋体"/>
          <w:color w:val="auto"/>
          <w:highlight w:val="none"/>
        </w:rPr>
      </w:pPr>
    </w:p>
    <w:p w14:paraId="5F7261C0">
      <w:pPr>
        <w:spacing w:line="400" w:lineRule="exact"/>
        <w:rPr>
          <w:rFonts w:ascii="宋体" w:hAnsi="宋体"/>
          <w:color w:val="auto"/>
          <w:highlight w:val="none"/>
        </w:rPr>
      </w:pPr>
    </w:p>
    <w:p w14:paraId="49BA29FE">
      <w:pPr>
        <w:spacing w:line="400" w:lineRule="exact"/>
        <w:rPr>
          <w:rFonts w:ascii="宋体" w:hAnsi="宋体"/>
          <w:color w:val="auto"/>
          <w:highlight w:val="none"/>
        </w:rPr>
      </w:pPr>
      <w:bookmarkStart w:id="590" w:name="_GoBack"/>
      <w:bookmarkEnd w:id="590"/>
    </w:p>
    <w:p w14:paraId="6566978A">
      <w:pPr>
        <w:spacing w:line="400" w:lineRule="exact"/>
        <w:rPr>
          <w:rFonts w:ascii="宋体" w:hAnsi="宋体"/>
          <w:color w:val="auto"/>
          <w:highlight w:val="none"/>
        </w:rPr>
      </w:pPr>
    </w:p>
    <w:p w14:paraId="7FA378CF">
      <w:pPr>
        <w:spacing w:line="400" w:lineRule="exact"/>
        <w:rPr>
          <w:rFonts w:ascii="宋体" w:hAnsi="宋体"/>
          <w:color w:val="auto"/>
          <w:highlight w:val="none"/>
        </w:rPr>
      </w:pPr>
    </w:p>
    <w:p w14:paraId="134ED5CA">
      <w:pPr>
        <w:spacing w:line="400" w:lineRule="exact"/>
        <w:rPr>
          <w:rFonts w:ascii="宋体" w:hAnsi="宋体"/>
          <w:color w:val="auto"/>
          <w:highlight w:val="none"/>
        </w:rPr>
      </w:pPr>
    </w:p>
    <w:p w14:paraId="2ABD0D13">
      <w:pPr>
        <w:spacing w:line="400" w:lineRule="exact"/>
        <w:rPr>
          <w:rFonts w:ascii="宋体" w:hAnsi="宋体"/>
          <w:color w:val="auto"/>
          <w:highlight w:val="none"/>
        </w:rPr>
      </w:pPr>
    </w:p>
    <w:p w14:paraId="6DE0FCE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招 标  单 位：广州文化策划传播有限公司</w:t>
      </w:r>
    </w:p>
    <w:p w14:paraId="4BEDF78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招标代理单位：广州市广采招标有限公司</w:t>
      </w:r>
    </w:p>
    <w:p w14:paraId="4B3DB184">
      <w:pPr>
        <w:spacing w:line="360" w:lineRule="auto"/>
        <w:jc w:val="center"/>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rPr>
        <w:t>日        期：2025年9月</w:t>
      </w:r>
      <w:r>
        <w:rPr>
          <w:rFonts w:hint="eastAsia" w:ascii="宋体" w:hAnsi="宋体"/>
          <w:b/>
          <w:color w:val="auto"/>
          <w:sz w:val="32"/>
          <w:szCs w:val="32"/>
          <w:highlight w:val="none"/>
          <w:lang w:val="en-US" w:eastAsia="zh-CN"/>
        </w:rPr>
        <w:t>17日</w:t>
      </w:r>
    </w:p>
    <w:p w14:paraId="2A01A783">
      <w:pPr>
        <w:rPr>
          <w:rFonts w:ascii="宋体" w:hAnsi="宋体"/>
          <w:color w:val="auto"/>
          <w:highlight w:val="none"/>
        </w:rPr>
      </w:pPr>
      <w:bookmarkStart w:id="0" w:name="_Toc144974479"/>
      <w:bookmarkStart w:id="1" w:name="_Toc152042287"/>
      <w:bookmarkStart w:id="2" w:name="_Toc152045511"/>
    </w:p>
    <w:p w14:paraId="17ADA9F4">
      <w:pPr>
        <w:pStyle w:val="91"/>
        <w:keepNext w:val="0"/>
        <w:keepLines w:val="0"/>
        <w:widowControl w:val="0"/>
        <w:jc w:val="center"/>
        <w:rPr>
          <w:rFonts w:ascii="宋体" w:hAnsi="宋体"/>
          <w:color w:val="auto"/>
          <w:highlight w:val="none"/>
        </w:rPr>
      </w:pPr>
    </w:p>
    <w:p w14:paraId="07E37D4E">
      <w:pPr>
        <w:pStyle w:val="91"/>
        <w:keepNext w:val="0"/>
        <w:keepLines w:val="0"/>
        <w:widowControl w:val="0"/>
        <w:jc w:val="center"/>
        <w:rPr>
          <w:rFonts w:ascii="宋体" w:hAnsi="宋体"/>
          <w:color w:val="auto"/>
          <w:highlight w:val="none"/>
        </w:rPr>
      </w:pPr>
      <w:r>
        <w:rPr>
          <w:rFonts w:ascii="宋体" w:hAnsi="宋体"/>
          <w:color w:val="auto"/>
          <w:highlight w:val="none"/>
        </w:rPr>
        <w:t>目  录</w:t>
      </w:r>
    </w:p>
    <w:p w14:paraId="5FB4F9AE">
      <w:pPr>
        <w:pStyle w:val="26"/>
        <w:tabs>
          <w:tab w:val="right" w:leader="dot" w:pos="8630"/>
        </w:tabs>
        <w:jc w:val="center"/>
        <w:rPr>
          <w:rFonts w:ascii="宋体" w:hAnsi="宋体"/>
          <w:color w:val="auto"/>
          <w:highlight w:val="none"/>
        </w:rPr>
      </w:pPr>
    </w:p>
    <w:p w14:paraId="4C6327C4">
      <w:pPr>
        <w:pStyle w:val="26"/>
        <w:tabs>
          <w:tab w:val="right" w:leader="dot" w:pos="9394"/>
        </w:tabs>
        <w:spacing w:line="360" w:lineRule="auto"/>
        <w:rPr>
          <w:rFonts w:ascii="等线" w:hAnsi="等线" w:eastAsia="等线"/>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color w:val="auto"/>
          <w:highlight w:val="none"/>
        </w:rPr>
        <w:fldChar w:fldCharType="begin"/>
      </w:r>
      <w:r>
        <w:rPr>
          <w:color w:val="auto"/>
          <w:highlight w:val="none"/>
        </w:rPr>
        <w:instrText xml:space="preserve"> HYPERLINK \l "_Toc128512452" </w:instrText>
      </w:r>
      <w:r>
        <w:rPr>
          <w:color w:val="auto"/>
          <w:highlight w:val="none"/>
        </w:rPr>
        <w:fldChar w:fldCharType="separate"/>
      </w:r>
      <w:r>
        <w:rPr>
          <w:rStyle w:val="44"/>
          <w:rFonts w:ascii="宋体" w:hAnsi="宋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_Toc128512452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A820EF4">
      <w:pPr>
        <w:pStyle w:val="26"/>
        <w:tabs>
          <w:tab w:val="right" w:leader="dot" w:pos="9394"/>
        </w:tabs>
        <w:spacing w:line="360" w:lineRule="auto"/>
        <w:rPr>
          <w:rFonts w:ascii="等线" w:hAnsi="等线" w:eastAsia="等线"/>
          <w:color w:val="auto"/>
          <w:highlight w:val="none"/>
        </w:rPr>
      </w:pPr>
      <w:r>
        <w:rPr>
          <w:color w:val="auto"/>
          <w:highlight w:val="none"/>
        </w:rPr>
        <w:fldChar w:fldCharType="begin"/>
      </w:r>
      <w:r>
        <w:rPr>
          <w:color w:val="auto"/>
          <w:highlight w:val="none"/>
        </w:rPr>
        <w:instrText xml:space="preserve"> HYPERLINK \l "_Toc128512453" </w:instrText>
      </w:r>
      <w:r>
        <w:rPr>
          <w:color w:val="auto"/>
          <w:highlight w:val="none"/>
        </w:rPr>
        <w:fldChar w:fldCharType="separate"/>
      </w:r>
      <w:r>
        <w:rPr>
          <w:rStyle w:val="44"/>
          <w:rFonts w:ascii="宋体" w:hAnsi="宋体"/>
          <w:color w:val="auto"/>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_Toc128512453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0C6CABC">
      <w:pPr>
        <w:pStyle w:val="26"/>
        <w:tabs>
          <w:tab w:val="right" w:leader="dot" w:pos="9394"/>
        </w:tabs>
        <w:spacing w:line="360" w:lineRule="auto"/>
        <w:rPr>
          <w:rFonts w:ascii="等线" w:hAnsi="等线" w:eastAsia="等线"/>
          <w:color w:val="auto"/>
          <w:highlight w:val="none"/>
        </w:rPr>
      </w:pPr>
      <w:r>
        <w:rPr>
          <w:color w:val="auto"/>
          <w:highlight w:val="none"/>
        </w:rPr>
        <w:fldChar w:fldCharType="begin"/>
      </w:r>
      <w:r>
        <w:rPr>
          <w:color w:val="auto"/>
          <w:highlight w:val="none"/>
        </w:rPr>
        <w:instrText xml:space="preserve"> HYPERLINK \l "_Toc128512454" </w:instrText>
      </w:r>
      <w:r>
        <w:rPr>
          <w:color w:val="auto"/>
          <w:highlight w:val="none"/>
        </w:rPr>
        <w:fldChar w:fldCharType="separate"/>
      </w:r>
      <w:r>
        <w:rPr>
          <w:rStyle w:val="44"/>
          <w:rFonts w:ascii="宋体" w:hAnsi="宋体"/>
          <w:color w:val="auto"/>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_Toc128512454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385E9F4">
      <w:pPr>
        <w:pStyle w:val="26"/>
        <w:tabs>
          <w:tab w:val="right" w:leader="dot" w:pos="9394"/>
        </w:tabs>
        <w:spacing w:line="360" w:lineRule="auto"/>
        <w:rPr>
          <w:rFonts w:ascii="等线" w:hAnsi="等线" w:eastAsia="等线"/>
          <w:color w:val="auto"/>
          <w:highlight w:val="none"/>
        </w:rPr>
      </w:pPr>
      <w:r>
        <w:rPr>
          <w:color w:val="auto"/>
          <w:highlight w:val="none"/>
        </w:rPr>
        <w:fldChar w:fldCharType="begin"/>
      </w:r>
      <w:r>
        <w:rPr>
          <w:color w:val="auto"/>
          <w:highlight w:val="none"/>
        </w:rPr>
        <w:instrText xml:space="preserve"> HYPERLINK \l "_Toc128512513" </w:instrText>
      </w:r>
      <w:r>
        <w:rPr>
          <w:color w:val="auto"/>
          <w:highlight w:val="none"/>
        </w:rPr>
        <w:fldChar w:fldCharType="separate"/>
      </w:r>
      <w:r>
        <w:rPr>
          <w:rStyle w:val="44"/>
          <w:rFonts w:ascii="宋体" w:hAnsi="宋体"/>
          <w:color w:val="auto"/>
          <w:highlight w:val="none"/>
        </w:rPr>
        <w:t>第三章评标办法（“评定分离”定标办法）</w:t>
      </w:r>
      <w:r>
        <w:rPr>
          <w:color w:val="auto"/>
          <w:highlight w:val="none"/>
        </w:rPr>
        <w:tab/>
      </w:r>
      <w:r>
        <w:rPr>
          <w:color w:val="auto"/>
          <w:highlight w:val="none"/>
        </w:rPr>
        <w:fldChar w:fldCharType="begin"/>
      </w:r>
      <w:r>
        <w:rPr>
          <w:color w:val="auto"/>
          <w:highlight w:val="none"/>
        </w:rPr>
        <w:instrText xml:space="preserve"> PAGEREF _Toc128512513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BBF44AF">
      <w:pPr>
        <w:pStyle w:val="26"/>
        <w:tabs>
          <w:tab w:val="right" w:leader="dot" w:pos="9394"/>
        </w:tabs>
        <w:spacing w:line="360" w:lineRule="auto"/>
        <w:rPr>
          <w:rFonts w:ascii="等线" w:hAnsi="等线" w:eastAsia="等线"/>
          <w:color w:val="auto"/>
          <w:highlight w:val="none"/>
        </w:rPr>
      </w:pPr>
      <w:r>
        <w:rPr>
          <w:color w:val="auto"/>
          <w:highlight w:val="none"/>
        </w:rPr>
        <w:fldChar w:fldCharType="begin"/>
      </w:r>
      <w:r>
        <w:rPr>
          <w:color w:val="auto"/>
          <w:highlight w:val="none"/>
        </w:rPr>
        <w:instrText xml:space="preserve"> HYPERLINK \l "_Toc128512530" </w:instrText>
      </w:r>
      <w:r>
        <w:rPr>
          <w:color w:val="auto"/>
          <w:highlight w:val="none"/>
        </w:rPr>
        <w:fldChar w:fldCharType="separate"/>
      </w:r>
      <w:r>
        <w:rPr>
          <w:rStyle w:val="44"/>
          <w:rFonts w:ascii="宋体" w:hAnsi="宋体"/>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_Toc128512530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4ABE44E">
      <w:pPr>
        <w:pStyle w:val="26"/>
        <w:tabs>
          <w:tab w:val="right" w:leader="dot" w:pos="9394"/>
        </w:tabs>
        <w:spacing w:line="360" w:lineRule="auto"/>
        <w:rPr>
          <w:rFonts w:ascii="等线" w:hAnsi="等线" w:eastAsia="等线"/>
          <w:color w:val="auto"/>
          <w:highlight w:val="none"/>
        </w:rPr>
      </w:pPr>
      <w:r>
        <w:rPr>
          <w:color w:val="auto"/>
          <w:highlight w:val="none"/>
        </w:rPr>
        <w:fldChar w:fldCharType="begin"/>
      </w:r>
      <w:r>
        <w:rPr>
          <w:color w:val="auto"/>
          <w:highlight w:val="none"/>
        </w:rPr>
        <w:instrText xml:space="preserve"> HYPERLINK \l "_Toc128512531" </w:instrText>
      </w:r>
      <w:r>
        <w:rPr>
          <w:color w:val="auto"/>
          <w:highlight w:val="none"/>
        </w:rPr>
        <w:fldChar w:fldCharType="separate"/>
      </w:r>
      <w:r>
        <w:rPr>
          <w:rStyle w:val="44"/>
          <w:rFonts w:ascii="宋体" w:hAnsi="宋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_Toc128512531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6763167C">
      <w:pPr>
        <w:pStyle w:val="26"/>
        <w:tabs>
          <w:tab w:val="right" w:leader="dot" w:pos="9394"/>
        </w:tabs>
        <w:spacing w:line="360" w:lineRule="auto"/>
        <w:rPr>
          <w:rFonts w:ascii="等线" w:hAnsi="等线" w:eastAsia="等线"/>
          <w:color w:val="auto"/>
          <w:highlight w:val="none"/>
        </w:rPr>
      </w:pPr>
      <w:r>
        <w:rPr>
          <w:color w:val="auto"/>
          <w:highlight w:val="none"/>
        </w:rPr>
        <w:fldChar w:fldCharType="begin"/>
      </w:r>
      <w:r>
        <w:rPr>
          <w:color w:val="auto"/>
          <w:highlight w:val="none"/>
        </w:rPr>
        <w:instrText xml:space="preserve"> HYPERLINK \l "_Toc128512532" </w:instrText>
      </w:r>
      <w:r>
        <w:rPr>
          <w:color w:val="auto"/>
          <w:highlight w:val="none"/>
        </w:rPr>
        <w:fldChar w:fldCharType="separate"/>
      </w:r>
      <w:r>
        <w:rPr>
          <w:rStyle w:val="44"/>
          <w:rFonts w:ascii="宋体" w:hAnsi="宋体"/>
          <w:color w:val="auto"/>
          <w:highlight w:val="none"/>
        </w:rPr>
        <w:t>第五章委托人要求</w:t>
      </w:r>
      <w:r>
        <w:rPr>
          <w:color w:val="auto"/>
          <w:highlight w:val="none"/>
        </w:rPr>
        <w:tab/>
      </w:r>
      <w:r>
        <w:rPr>
          <w:color w:val="auto"/>
          <w:highlight w:val="none"/>
        </w:rPr>
        <w:fldChar w:fldCharType="begin"/>
      </w:r>
      <w:r>
        <w:rPr>
          <w:color w:val="auto"/>
          <w:highlight w:val="none"/>
        </w:rPr>
        <w:instrText xml:space="preserve"> PAGEREF _Toc128512532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2D7CC81">
      <w:pPr>
        <w:pStyle w:val="26"/>
        <w:tabs>
          <w:tab w:val="right" w:leader="dot" w:pos="9394"/>
        </w:tabs>
        <w:spacing w:line="360" w:lineRule="auto"/>
        <w:rPr>
          <w:rFonts w:ascii="等线" w:hAnsi="等线" w:eastAsia="等线"/>
          <w:color w:val="auto"/>
          <w:highlight w:val="none"/>
        </w:rPr>
      </w:pPr>
      <w:r>
        <w:rPr>
          <w:color w:val="auto"/>
          <w:highlight w:val="none"/>
        </w:rPr>
        <w:fldChar w:fldCharType="begin"/>
      </w:r>
      <w:r>
        <w:rPr>
          <w:color w:val="auto"/>
          <w:highlight w:val="none"/>
        </w:rPr>
        <w:instrText xml:space="preserve"> HYPERLINK \l "_Toc128512533" </w:instrText>
      </w:r>
      <w:r>
        <w:rPr>
          <w:color w:val="auto"/>
          <w:highlight w:val="none"/>
        </w:rPr>
        <w:fldChar w:fldCharType="separate"/>
      </w:r>
      <w:r>
        <w:rPr>
          <w:rStyle w:val="44"/>
          <w:rFonts w:ascii="宋体" w:hAnsi="宋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_Toc128512533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F5380FE">
      <w:pPr>
        <w:pStyle w:val="26"/>
        <w:tabs>
          <w:tab w:val="right" w:leader="dot" w:pos="9394"/>
        </w:tabs>
        <w:spacing w:line="360" w:lineRule="auto"/>
        <w:rPr>
          <w:rFonts w:ascii="等线" w:hAnsi="等线" w:eastAsia="等线"/>
          <w:color w:val="auto"/>
          <w:highlight w:val="none"/>
        </w:rPr>
      </w:pPr>
      <w:r>
        <w:rPr>
          <w:color w:val="auto"/>
          <w:highlight w:val="none"/>
        </w:rPr>
        <w:fldChar w:fldCharType="begin"/>
      </w:r>
      <w:r>
        <w:rPr>
          <w:color w:val="auto"/>
          <w:highlight w:val="none"/>
        </w:rPr>
        <w:instrText xml:space="preserve"> HYPERLINK \l "_Toc128512534" </w:instrText>
      </w:r>
      <w:r>
        <w:rPr>
          <w:color w:val="auto"/>
          <w:highlight w:val="none"/>
        </w:rPr>
        <w:fldChar w:fldCharType="separate"/>
      </w:r>
      <w:r>
        <w:rPr>
          <w:rStyle w:val="44"/>
          <w:rFonts w:ascii="宋体" w:hAnsi="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_Toc128512534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61CAC3DD">
      <w:pPr>
        <w:spacing w:line="360" w:lineRule="auto"/>
        <w:rPr>
          <w:rFonts w:ascii="宋体" w:hAnsi="宋体"/>
          <w:color w:val="auto"/>
          <w:highlight w:val="none"/>
        </w:rPr>
      </w:pPr>
      <w:r>
        <w:rPr>
          <w:rFonts w:ascii="宋体" w:hAnsi="宋体"/>
          <w:color w:val="auto"/>
          <w:highlight w:val="none"/>
        </w:rPr>
        <w:fldChar w:fldCharType="end"/>
      </w:r>
    </w:p>
    <w:p w14:paraId="413FED9B">
      <w:pPr>
        <w:rPr>
          <w:rFonts w:ascii="宋体" w:hAnsi="宋体"/>
          <w:color w:val="auto"/>
          <w:highlight w:val="none"/>
        </w:rPr>
      </w:pPr>
    </w:p>
    <w:p w14:paraId="50E25015">
      <w:pPr>
        <w:rPr>
          <w:rFonts w:ascii="宋体" w:hAnsi="宋体"/>
          <w:color w:val="auto"/>
          <w:highlight w:val="none"/>
        </w:rPr>
      </w:pPr>
    </w:p>
    <w:p w14:paraId="4157B36F">
      <w:pPr>
        <w:rPr>
          <w:rFonts w:ascii="宋体" w:hAnsi="宋体"/>
          <w:color w:val="auto"/>
          <w:highlight w:val="none"/>
        </w:rPr>
      </w:pPr>
    </w:p>
    <w:p w14:paraId="56152A7E">
      <w:pPr>
        <w:tabs>
          <w:tab w:val="left" w:pos="3744"/>
        </w:tabs>
        <w:rPr>
          <w:rFonts w:ascii="宋体" w:hAnsi="宋体"/>
          <w:color w:val="auto"/>
          <w:highlight w:val="none"/>
        </w:rPr>
      </w:pPr>
      <w:r>
        <w:rPr>
          <w:rFonts w:ascii="宋体" w:hAnsi="宋体"/>
          <w:color w:val="auto"/>
          <w:highlight w:val="none"/>
        </w:rPr>
        <w:tab/>
      </w:r>
    </w:p>
    <w:p w14:paraId="12F99E4B">
      <w:pPr>
        <w:tabs>
          <w:tab w:val="left" w:pos="3744"/>
        </w:tabs>
        <w:rPr>
          <w:rFonts w:ascii="宋体" w:hAnsi="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2240" w:h="15840"/>
          <w:pgMar w:top="1134" w:right="1418" w:bottom="1134" w:left="1418" w:header="720" w:footer="720" w:gutter="0"/>
          <w:pgNumType w:start="1"/>
          <w:cols w:space="720" w:num="1"/>
          <w:docGrid w:linePitch="285" w:charSpace="0"/>
        </w:sectPr>
      </w:pPr>
      <w:r>
        <w:rPr>
          <w:rFonts w:ascii="宋体" w:hAnsi="宋体"/>
          <w:color w:val="auto"/>
          <w:highlight w:val="none"/>
        </w:rPr>
        <w:tab/>
      </w:r>
    </w:p>
    <w:p w14:paraId="1C64C72D">
      <w:pPr>
        <w:pStyle w:val="2"/>
        <w:keepNext w:val="0"/>
        <w:keepLines w:val="0"/>
        <w:spacing w:line="240" w:lineRule="auto"/>
        <w:jc w:val="center"/>
        <w:rPr>
          <w:rFonts w:ascii="宋体" w:hAnsi="宋体"/>
          <w:color w:val="auto"/>
          <w:highlight w:val="none"/>
        </w:rPr>
      </w:pPr>
      <w:bookmarkStart w:id="3" w:name="_Toc511557024"/>
      <w:bookmarkStart w:id="4" w:name="_Toc128512452"/>
      <w:r>
        <w:rPr>
          <w:rFonts w:ascii="宋体" w:hAnsi="宋体"/>
          <w:color w:val="auto"/>
          <w:highlight w:val="none"/>
        </w:rPr>
        <w:t>第</w:t>
      </w:r>
      <w:bookmarkEnd w:id="0"/>
      <w:bookmarkEnd w:id="1"/>
      <w:bookmarkEnd w:id="2"/>
      <w:bookmarkEnd w:id="3"/>
      <w:r>
        <w:rPr>
          <w:rFonts w:ascii="宋体" w:hAnsi="宋体"/>
          <w:color w:val="auto"/>
          <w:highlight w:val="none"/>
        </w:rPr>
        <w:t>一卷</w:t>
      </w:r>
      <w:bookmarkEnd w:id="4"/>
    </w:p>
    <w:p w14:paraId="2D40EBE8">
      <w:pPr>
        <w:pStyle w:val="2"/>
        <w:keepNext w:val="0"/>
        <w:keepLines w:val="0"/>
        <w:spacing w:line="240" w:lineRule="auto"/>
        <w:jc w:val="center"/>
        <w:rPr>
          <w:rFonts w:ascii="宋体" w:hAnsi="宋体"/>
          <w:color w:val="auto"/>
          <w:highlight w:val="none"/>
        </w:rPr>
      </w:pPr>
      <w:bookmarkStart w:id="5" w:name="_Toc128512453"/>
      <w:r>
        <w:rPr>
          <w:rFonts w:hint="eastAsia" w:ascii="宋体" w:hAnsi="宋体"/>
          <w:color w:val="auto"/>
          <w:highlight w:val="none"/>
        </w:rPr>
        <w:t>第一章</w:t>
      </w:r>
      <w:r>
        <w:rPr>
          <w:rFonts w:ascii="宋体" w:hAnsi="宋体"/>
          <w:color w:val="auto"/>
          <w:highlight w:val="none"/>
        </w:rPr>
        <w:t>招标公告</w:t>
      </w:r>
      <w:bookmarkEnd w:id="5"/>
    </w:p>
    <w:p w14:paraId="18ECC844">
      <w:pPr>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（另册）</w:t>
      </w:r>
    </w:p>
    <w:p w14:paraId="16D8CF12">
      <w:pPr>
        <w:spacing w:line="360" w:lineRule="auto"/>
        <w:ind w:firstLine="480" w:firstLineChars="200"/>
        <w:jc w:val="right"/>
        <w:rPr>
          <w:rFonts w:ascii="宋体" w:hAnsi="宋体"/>
          <w:color w:val="auto"/>
          <w:sz w:val="24"/>
          <w:szCs w:val="24"/>
          <w:highlight w:val="none"/>
          <w:lang w:val="zh-CN"/>
        </w:rPr>
      </w:pPr>
    </w:p>
    <w:p w14:paraId="44CE2BC2">
      <w:pPr>
        <w:spacing w:line="360" w:lineRule="auto"/>
        <w:rPr>
          <w:rFonts w:ascii="宋体" w:hAnsi="宋体"/>
          <w:color w:val="auto"/>
          <w:highlight w:val="none"/>
        </w:rPr>
      </w:pPr>
    </w:p>
    <w:p w14:paraId="14D44E81">
      <w:pPr>
        <w:pStyle w:val="2"/>
        <w:keepNext w:val="0"/>
        <w:keepLines w:val="0"/>
        <w:spacing w:before="100" w:after="100" w:line="360" w:lineRule="auto"/>
        <w:jc w:val="center"/>
        <w:rPr>
          <w:rFonts w:ascii="宋体" w:hAnsi="宋体"/>
          <w:color w:val="auto"/>
          <w:highlight w:val="none"/>
        </w:rPr>
      </w:pPr>
    </w:p>
    <w:p w14:paraId="50794F38">
      <w:pPr>
        <w:pStyle w:val="2"/>
        <w:keepNext w:val="0"/>
        <w:keepLines w:val="0"/>
        <w:spacing w:before="100" w:after="100" w:line="360" w:lineRule="auto"/>
        <w:jc w:val="center"/>
        <w:rPr>
          <w:rFonts w:ascii="宋体" w:hAnsi="宋体"/>
          <w:color w:val="auto"/>
          <w:highlight w:val="none"/>
        </w:rPr>
      </w:pPr>
    </w:p>
    <w:p w14:paraId="2AB35339">
      <w:pPr>
        <w:rPr>
          <w:rFonts w:ascii="Times New Roman" w:hAnsi="Times New Roman"/>
          <w:color w:val="auto"/>
          <w:highlight w:val="none"/>
        </w:rPr>
      </w:pPr>
    </w:p>
    <w:p w14:paraId="70BE76D1">
      <w:pPr>
        <w:pStyle w:val="12"/>
        <w:rPr>
          <w:color w:val="auto"/>
          <w:highlight w:val="none"/>
        </w:rPr>
      </w:pPr>
    </w:p>
    <w:p w14:paraId="0ED0D6DC">
      <w:pPr>
        <w:pStyle w:val="12"/>
        <w:rPr>
          <w:color w:val="auto"/>
          <w:highlight w:val="none"/>
        </w:rPr>
      </w:pPr>
    </w:p>
    <w:p w14:paraId="77E2B205">
      <w:pPr>
        <w:pStyle w:val="12"/>
        <w:rPr>
          <w:color w:val="auto"/>
          <w:highlight w:val="none"/>
        </w:rPr>
      </w:pPr>
    </w:p>
    <w:p w14:paraId="7E5832C1">
      <w:pPr>
        <w:pStyle w:val="12"/>
        <w:rPr>
          <w:color w:val="auto"/>
          <w:highlight w:val="none"/>
        </w:rPr>
      </w:pPr>
    </w:p>
    <w:p w14:paraId="63652CC3">
      <w:pPr>
        <w:pStyle w:val="12"/>
        <w:rPr>
          <w:color w:val="auto"/>
          <w:highlight w:val="none"/>
        </w:rPr>
      </w:pPr>
    </w:p>
    <w:p w14:paraId="7767E37D">
      <w:pPr>
        <w:pStyle w:val="12"/>
        <w:rPr>
          <w:color w:val="auto"/>
          <w:highlight w:val="none"/>
        </w:rPr>
      </w:pPr>
    </w:p>
    <w:p w14:paraId="10A0A0E7">
      <w:pPr>
        <w:pStyle w:val="12"/>
        <w:rPr>
          <w:color w:val="auto"/>
          <w:highlight w:val="none"/>
        </w:rPr>
      </w:pPr>
    </w:p>
    <w:p w14:paraId="3BAE173A">
      <w:pPr>
        <w:pStyle w:val="12"/>
        <w:rPr>
          <w:color w:val="auto"/>
          <w:highlight w:val="none"/>
        </w:rPr>
      </w:pPr>
    </w:p>
    <w:p w14:paraId="740A9173">
      <w:pPr>
        <w:pStyle w:val="12"/>
        <w:rPr>
          <w:color w:val="auto"/>
          <w:highlight w:val="none"/>
        </w:rPr>
      </w:pPr>
    </w:p>
    <w:p w14:paraId="7692545D">
      <w:pPr>
        <w:pStyle w:val="12"/>
        <w:rPr>
          <w:color w:val="auto"/>
          <w:highlight w:val="none"/>
        </w:rPr>
      </w:pPr>
    </w:p>
    <w:p w14:paraId="69C9EAE4">
      <w:pPr>
        <w:pStyle w:val="12"/>
        <w:rPr>
          <w:color w:val="auto"/>
          <w:highlight w:val="none"/>
        </w:rPr>
      </w:pPr>
    </w:p>
    <w:p w14:paraId="0CAE45A9">
      <w:pPr>
        <w:pStyle w:val="12"/>
        <w:rPr>
          <w:color w:val="auto"/>
          <w:highlight w:val="none"/>
        </w:rPr>
      </w:pPr>
    </w:p>
    <w:p w14:paraId="3DC294E6">
      <w:pPr>
        <w:pStyle w:val="12"/>
        <w:rPr>
          <w:color w:val="auto"/>
          <w:highlight w:val="none"/>
        </w:rPr>
      </w:pPr>
    </w:p>
    <w:p w14:paraId="03E1A57A">
      <w:pPr>
        <w:pStyle w:val="12"/>
        <w:rPr>
          <w:color w:val="auto"/>
          <w:highlight w:val="none"/>
        </w:rPr>
      </w:pPr>
    </w:p>
    <w:p w14:paraId="5424EB9B">
      <w:pPr>
        <w:pStyle w:val="12"/>
        <w:rPr>
          <w:color w:val="auto"/>
          <w:highlight w:val="none"/>
        </w:rPr>
      </w:pPr>
    </w:p>
    <w:p w14:paraId="38A6B842">
      <w:pPr>
        <w:pStyle w:val="12"/>
        <w:rPr>
          <w:color w:val="auto"/>
          <w:highlight w:val="none"/>
        </w:rPr>
      </w:pPr>
    </w:p>
    <w:p w14:paraId="575363A6">
      <w:pPr>
        <w:pStyle w:val="12"/>
        <w:rPr>
          <w:color w:val="auto"/>
          <w:highlight w:val="none"/>
        </w:rPr>
      </w:pPr>
    </w:p>
    <w:p w14:paraId="22AF8E3C">
      <w:pPr>
        <w:pStyle w:val="12"/>
        <w:rPr>
          <w:color w:val="auto"/>
          <w:highlight w:val="none"/>
        </w:rPr>
      </w:pPr>
    </w:p>
    <w:p w14:paraId="592C4974">
      <w:pPr>
        <w:pStyle w:val="12"/>
        <w:rPr>
          <w:color w:val="auto"/>
          <w:highlight w:val="none"/>
        </w:rPr>
      </w:pPr>
    </w:p>
    <w:p w14:paraId="4019280C">
      <w:pPr>
        <w:pStyle w:val="12"/>
        <w:rPr>
          <w:color w:val="auto"/>
          <w:highlight w:val="none"/>
        </w:rPr>
      </w:pPr>
    </w:p>
    <w:p w14:paraId="34289DF2">
      <w:pPr>
        <w:pStyle w:val="12"/>
        <w:rPr>
          <w:color w:val="auto"/>
          <w:highlight w:val="none"/>
        </w:rPr>
      </w:pPr>
    </w:p>
    <w:p w14:paraId="74B61B94">
      <w:pPr>
        <w:pStyle w:val="12"/>
        <w:rPr>
          <w:color w:val="auto"/>
          <w:highlight w:val="none"/>
        </w:rPr>
      </w:pPr>
    </w:p>
    <w:p w14:paraId="4FBC0AF4">
      <w:pPr>
        <w:pStyle w:val="12"/>
        <w:rPr>
          <w:color w:val="auto"/>
          <w:highlight w:val="none"/>
        </w:rPr>
      </w:pPr>
    </w:p>
    <w:p w14:paraId="59971770">
      <w:pPr>
        <w:pStyle w:val="12"/>
        <w:rPr>
          <w:color w:val="auto"/>
          <w:highlight w:val="none"/>
        </w:rPr>
      </w:pPr>
    </w:p>
    <w:p w14:paraId="462939E7">
      <w:pPr>
        <w:pStyle w:val="12"/>
        <w:rPr>
          <w:color w:val="auto"/>
          <w:highlight w:val="none"/>
        </w:rPr>
      </w:pPr>
    </w:p>
    <w:p w14:paraId="0F9B00E6">
      <w:pPr>
        <w:pStyle w:val="12"/>
        <w:rPr>
          <w:color w:val="auto"/>
          <w:highlight w:val="none"/>
        </w:rPr>
      </w:pPr>
    </w:p>
    <w:p w14:paraId="78A3A50D">
      <w:pPr>
        <w:pStyle w:val="12"/>
        <w:rPr>
          <w:color w:val="auto"/>
          <w:highlight w:val="none"/>
        </w:rPr>
      </w:pPr>
    </w:p>
    <w:p w14:paraId="52E5A3EA">
      <w:pPr>
        <w:pStyle w:val="12"/>
        <w:rPr>
          <w:color w:val="auto"/>
          <w:highlight w:val="none"/>
        </w:rPr>
      </w:pPr>
    </w:p>
    <w:p w14:paraId="1F74799F">
      <w:pPr>
        <w:pStyle w:val="12"/>
        <w:rPr>
          <w:color w:val="auto"/>
          <w:highlight w:val="none"/>
        </w:rPr>
      </w:pPr>
    </w:p>
    <w:p w14:paraId="31263B62">
      <w:pPr>
        <w:pStyle w:val="12"/>
        <w:rPr>
          <w:color w:val="auto"/>
          <w:highlight w:val="none"/>
        </w:rPr>
      </w:pPr>
    </w:p>
    <w:p w14:paraId="72C1E250">
      <w:pPr>
        <w:pStyle w:val="2"/>
        <w:keepNext w:val="0"/>
        <w:keepLines w:val="0"/>
        <w:spacing w:before="100" w:after="100" w:line="360" w:lineRule="auto"/>
        <w:jc w:val="center"/>
        <w:rPr>
          <w:rFonts w:ascii="宋体" w:hAnsi="宋体"/>
          <w:color w:val="auto"/>
          <w:highlight w:val="none"/>
        </w:rPr>
      </w:pPr>
      <w:bookmarkStart w:id="6" w:name="_Toc128512454"/>
      <w:r>
        <w:rPr>
          <w:rFonts w:ascii="宋体" w:hAnsi="宋体"/>
          <w:color w:val="auto"/>
          <w:highlight w:val="none"/>
        </w:rPr>
        <w:t>第二章投标人须知</w:t>
      </w:r>
      <w:bookmarkEnd w:id="6"/>
    </w:p>
    <w:p w14:paraId="728F156D">
      <w:pPr>
        <w:pStyle w:val="3"/>
        <w:keepNext w:val="0"/>
        <w:keepLines w:val="0"/>
        <w:spacing w:before="20" w:after="0" w:line="360" w:lineRule="auto"/>
        <w:jc w:val="center"/>
        <w:rPr>
          <w:rFonts w:ascii="宋体" w:hAnsi="宋体" w:eastAsia="宋体"/>
          <w:color w:val="auto"/>
          <w:highlight w:val="none"/>
        </w:rPr>
      </w:pPr>
      <w:bookmarkStart w:id="7" w:name="_Toc128512455"/>
      <w:r>
        <w:rPr>
          <w:rFonts w:ascii="宋体" w:hAnsi="宋体" w:eastAsia="宋体"/>
          <w:color w:val="auto"/>
          <w:highlight w:val="none"/>
        </w:rPr>
        <w:t>投标人须知前附表</w:t>
      </w:r>
      <w:bookmarkEnd w:id="7"/>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78"/>
        <w:gridCol w:w="2534"/>
        <w:gridCol w:w="6035"/>
      </w:tblGrid>
      <w:tr w14:paraId="04ED30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1178" w:type="dxa"/>
            <w:vAlign w:val="center"/>
          </w:tcPr>
          <w:p w14:paraId="7BE5B5BD">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条款号</w:t>
            </w:r>
          </w:p>
        </w:tc>
        <w:tc>
          <w:tcPr>
            <w:tcW w:w="2534" w:type="dxa"/>
            <w:vAlign w:val="center"/>
          </w:tcPr>
          <w:p w14:paraId="065A8906">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条款名称</w:t>
            </w:r>
          </w:p>
        </w:tc>
        <w:tc>
          <w:tcPr>
            <w:tcW w:w="6035" w:type="dxa"/>
            <w:vAlign w:val="center"/>
          </w:tcPr>
          <w:p w14:paraId="2A7D38A6">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编列内容</w:t>
            </w:r>
          </w:p>
        </w:tc>
      </w:tr>
      <w:tr w14:paraId="6EFB08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3" w:hRule="atLeast"/>
        </w:trPr>
        <w:tc>
          <w:tcPr>
            <w:tcW w:w="1178" w:type="dxa"/>
            <w:vAlign w:val="center"/>
          </w:tcPr>
          <w:p w14:paraId="3998E17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1.1.2</w:t>
            </w:r>
          </w:p>
        </w:tc>
        <w:tc>
          <w:tcPr>
            <w:tcW w:w="2534" w:type="dxa"/>
            <w:vAlign w:val="center"/>
          </w:tcPr>
          <w:p w14:paraId="5A91752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招标人</w:t>
            </w:r>
          </w:p>
        </w:tc>
        <w:tc>
          <w:tcPr>
            <w:tcW w:w="6035" w:type="dxa"/>
            <w:vAlign w:val="center"/>
          </w:tcPr>
          <w:p w14:paraId="6178FD6B">
            <w:pPr>
              <w:keepNext w:val="0"/>
              <w:keepLines w:val="0"/>
              <w:suppressLineNumbers w:val="0"/>
              <w:spacing w:before="0" w:beforeAutospacing="0" w:after="0" w:afterAutospacing="0" w:line="340" w:lineRule="exact"/>
              <w:ind w:left="630" w:right="0" w:hanging="630" w:hangingChars="300"/>
              <w:rPr>
                <w:rFonts w:hint="default" w:ascii="宋体" w:hAnsi="宋体"/>
                <w:color w:val="auto"/>
                <w:szCs w:val="21"/>
                <w:highlight w:val="none"/>
                <w:u w:val="single"/>
              </w:rPr>
            </w:pPr>
            <w:r>
              <w:rPr>
                <w:rFonts w:hint="eastAsia" w:ascii="宋体" w:hAnsi="宋体"/>
                <w:color w:val="auto"/>
                <w:szCs w:val="21"/>
                <w:highlight w:val="none"/>
              </w:rPr>
              <w:t>名称：</w:t>
            </w:r>
            <w:r>
              <w:rPr>
                <w:rFonts w:hint="eastAsia" w:ascii="宋体" w:hAnsi="宋体"/>
                <w:color w:val="auto"/>
                <w:szCs w:val="21"/>
                <w:highlight w:val="none"/>
                <w:u w:val="single"/>
              </w:rPr>
              <w:t>广州文化策划传播有限公司</w:t>
            </w:r>
          </w:p>
          <w:p w14:paraId="517ACD82">
            <w:pPr>
              <w:keepNext w:val="0"/>
              <w:keepLines w:val="0"/>
              <w:suppressLineNumbers w:val="0"/>
              <w:spacing w:before="0" w:beforeAutospacing="0" w:after="0" w:afterAutospacing="0" w:line="340" w:lineRule="exact"/>
              <w:ind w:left="630" w:right="0" w:hanging="630" w:hangingChars="300"/>
              <w:rPr>
                <w:rFonts w:hint="default"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s="宋体"/>
                <w:color w:val="auto"/>
                <w:szCs w:val="21"/>
                <w:highlight w:val="none"/>
                <w:u w:val="single"/>
              </w:rPr>
              <w:t>广州市天河区珠江新城海安路 369 号</w:t>
            </w:r>
          </w:p>
          <w:p w14:paraId="0205E54A">
            <w:pPr>
              <w:keepNext w:val="0"/>
              <w:keepLines w:val="0"/>
              <w:suppressLineNumbers w:val="0"/>
              <w:spacing w:before="0" w:beforeAutospacing="0" w:after="0" w:afterAutospacing="0" w:line="340" w:lineRule="exact"/>
              <w:ind w:left="630" w:right="0" w:hanging="630" w:hangingChars="300"/>
              <w:rPr>
                <w:rFonts w:hint="default"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张先生</w:t>
            </w:r>
          </w:p>
          <w:p w14:paraId="4A9AF24E">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s="宋体"/>
                <w:color w:val="auto"/>
                <w:szCs w:val="21"/>
                <w:highlight w:val="none"/>
                <w:u w:val="single"/>
              </w:rPr>
              <w:t>13760889300</w:t>
            </w:r>
          </w:p>
        </w:tc>
      </w:tr>
      <w:tr w14:paraId="278D0D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8" w:type="dxa"/>
            <w:vAlign w:val="center"/>
          </w:tcPr>
          <w:p w14:paraId="6106449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1.1.3</w:t>
            </w:r>
          </w:p>
        </w:tc>
        <w:tc>
          <w:tcPr>
            <w:tcW w:w="2534" w:type="dxa"/>
            <w:vAlign w:val="center"/>
          </w:tcPr>
          <w:p w14:paraId="22456A1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招标代理机构</w:t>
            </w:r>
          </w:p>
        </w:tc>
        <w:tc>
          <w:tcPr>
            <w:tcW w:w="6035" w:type="dxa"/>
            <w:vAlign w:val="center"/>
          </w:tcPr>
          <w:p w14:paraId="4712511D">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olor w:val="auto"/>
                <w:szCs w:val="21"/>
                <w:highlight w:val="none"/>
              </w:rPr>
              <w:t>名称：</w:t>
            </w:r>
            <w:r>
              <w:rPr>
                <w:rFonts w:hint="eastAsia" w:ascii="宋体" w:hAnsi="宋体" w:cs="宋体"/>
                <w:color w:val="auto"/>
                <w:szCs w:val="21"/>
                <w:highlight w:val="none"/>
                <w:u w:val="single"/>
              </w:rPr>
              <w:t>广州市广采招标有限公司</w:t>
            </w:r>
          </w:p>
          <w:p w14:paraId="2A86E888">
            <w:pPr>
              <w:keepNext w:val="0"/>
              <w:keepLines w:val="0"/>
              <w:suppressLineNumbers w:val="0"/>
              <w:spacing w:before="0" w:beforeAutospacing="0" w:after="0" w:afterAutospacing="0" w:line="340" w:lineRule="exact"/>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rPr>
              <w:t>地址：</w:t>
            </w:r>
            <w:r>
              <w:rPr>
                <w:rFonts w:hint="eastAsia" w:ascii="宋体" w:hAnsi="宋体" w:cs="宋体"/>
                <w:color w:val="auto"/>
                <w:szCs w:val="21"/>
                <w:highlight w:val="none"/>
                <w:u w:val="single"/>
              </w:rPr>
              <w:t>广州市黄埔区</w:t>
            </w:r>
            <w:r>
              <w:rPr>
                <w:rFonts w:hint="eastAsia" w:ascii="宋体" w:hAnsi="宋体" w:cs="宋体"/>
                <w:color w:val="auto"/>
                <w:szCs w:val="21"/>
                <w:highlight w:val="none"/>
                <w:u w:val="single"/>
                <w:lang w:val="en-US" w:eastAsia="zh-CN"/>
              </w:rPr>
              <w:t>和沙街30号</w:t>
            </w:r>
          </w:p>
          <w:p w14:paraId="63D8E1A6">
            <w:pPr>
              <w:keepNext w:val="0"/>
              <w:keepLines w:val="0"/>
              <w:suppressLineNumbers w:val="0"/>
              <w:spacing w:before="0" w:beforeAutospacing="0" w:after="0" w:afterAutospacing="0" w:line="340" w:lineRule="exact"/>
              <w:ind w:left="0" w:right="0"/>
              <w:rPr>
                <w:rFonts w:hint="default"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s="宋体"/>
                <w:color w:val="auto"/>
                <w:szCs w:val="21"/>
                <w:highlight w:val="none"/>
                <w:u w:val="single"/>
              </w:rPr>
              <w:t>邹工</w:t>
            </w:r>
          </w:p>
          <w:p w14:paraId="23D92675">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s="宋体"/>
                <w:color w:val="auto"/>
                <w:szCs w:val="21"/>
                <w:highlight w:val="none"/>
                <w:u w:val="single"/>
              </w:rPr>
              <w:t>020-37201839</w:t>
            </w:r>
          </w:p>
        </w:tc>
      </w:tr>
      <w:tr w14:paraId="06EEB3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78" w:type="dxa"/>
            <w:vAlign w:val="center"/>
          </w:tcPr>
          <w:p w14:paraId="52283AF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1.1.4</w:t>
            </w:r>
          </w:p>
        </w:tc>
        <w:tc>
          <w:tcPr>
            <w:tcW w:w="2534" w:type="dxa"/>
            <w:vAlign w:val="center"/>
          </w:tcPr>
          <w:p w14:paraId="2F07AA9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招标项目名称</w:t>
            </w:r>
          </w:p>
        </w:tc>
        <w:tc>
          <w:tcPr>
            <w:tcW w:w="6035" w:type="dxa"/>
            <w:vAlign w:val="center"/>
          </w:tcPr>
          <w:p w14:paraId="6F67F9AC">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u w:val="single"/>
              </w:rPr>
            </w:pPr>
            <w:r>
              <w:rPr>
                <w:rFonts w:hint="eastAsia" w:ascii="宋体" w:hAnsi="宋体"/>
                <w:color w:val="auto"/>
                <w:szCs w:val="21"/>
                <w:highlight w:val="none"/>
                <w:u w:val="single"/>
              </w:rPr>
              <w:t>2025年广州国际灯光节作品创意策划及执行团队服务项目</w:t>
            </w:r>
          </w:p>
        </w:tc>
      </w:tr>
      <w:tr w14:paraId="07675F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78" w:type="dxa"/>
            <w:vAlign w:val="center"/>
          </w:tcPr>
          <w:p w14:paraId="2AEBB2B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1.1.5</w:t>
            </w:r>
          </w:p>
        </w:tc>
        <w:tc>
          <w:tcPr>
            <w:tcW w:w="2534" w:type="dxa"/>
            <w:vAlign w:val="center"/>
          </w:tcPr>
          <w:p w14:paraId="7E68833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项目建设地点</w:t>
            </w:r>
          </w:p>
        </w:tc>
        <w:tc>
          <w:tcPr>
            <w:tcW w:w="6035" w:type="dxa"/>
            <w:vAlign w:val="center"/>
          </w:tcPr>
          <w:p w14:paraId="4433C0CD">
            <w:pPr>
              <w:keepNext w:val="0"/>
              <w:keepLines w:val="0"/>
              <w:suppressLineNumbers w:val="0"/>
              <w:snapToGrid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2758E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178" w:type="dxa"/>
            <w:vAlign w:val="center"/>
          </w:tcPr>
          <w:p w14:paraId="30586D7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1.1.6</w:t>
            </w:r>
          </w:p>
        </w:tc>
        <w:tc>
          <w:tcPr>
            <w:tcW w:w="2534" w:type="dxa"/>
            <w:vAlign w:val="center"/>
          </w:tcPr>
          <w:p w14:paraId="66E4736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项目建设规模</w:t>
            </w:r>
          </w:p>
        </w:tc>
        <w:tc>
          <w:tcPr>
            <w:tcW w:w="6035" w:type="dxa"/>
            <w:vAlign w:val="center"/>
          </w:tcPr>
          <w:p w14:paraId="4CCF0C5A">
            <w:pPr>
              <w:keepNext w:val="0"/>
              <w:keepLines w:val="0"/>
              <w:suppressLineNumbers w:val="0"/>
              <w:snapToGrid w:val="0"/>
              <w:spacing w:before="0" w:beforeAutospacing="0" w:after="0" w:afterAutospacing="0"/>
              <w:ind w:left="0" w:right="106"/>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424306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trPr>
        <w:tc>
          <w:tcPr>
            <w:tcW w:w="1178" w:type="dxa"/>
            <w:vAlign w:val="center"/>
          </w:tcPr>
          <w:p w14:paraId="23E8E4B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1.1.7</w:t>
            </w:r>
          </w:p>
        </w:tc>
        <w:tc>
          <w:tcPr>
            <w:tcW w:w="2534" w:type="dxa"/>
            <w:vAlign w:val="center"/>
          </w:tcPr>
          <w:p w14:paraId="63AE04C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预计开工日期</w:t>
            </w:r>
          </w:p>
        </w:tc>
        <w:tc>
          <w:tcPr>
            <w:tcW w:w="6035" w:type="dxa"/>
            <w:vAlign w:val="center"/>
          </w:tcPr>
          <w:p w14:paraId="30FF9AA7">
            <w:pPr>
              <w:keepNext w:val="0"/>
              <w:keepLines w:val="0"/>
              <w:widowControl/>
              <w:suppressLineNumbers w:val="0"/>
              <w:snapToGrid w:val="0"/>
              <w:spacing w:before="0" w:beforeAutospacing="0" w:after="0" w:afterAutospacing="0"/>
              <w:ind w:left="0" w:right="106"/>
              <w:jc w:val="left"/>
              <w:rPr>
                <w:rFonts w:hint="default"/>
                <w:color w:val="auto"/>
                <w:highlight w:val="none"/>
              </w:rPr>
            </w:pPr>
            <w:r>
              <w:rPr>
                <w:rFonts w:hint="eastAsia" w:ascii="宋体" w:hAnsi="宋体" w:cs="宋体"/>
                <w:color w:val="auto"/>
                <w:szCs w:val="21"/>
                <w:highlight w:val="none"/>
              </w:rPr>
              <w:t>预计开工日期：开工时间以招标人通知为</w:t>
            </w:r>
            <w:r>
              <w:rPr>
                <w:rFonts w:hint="default" w:ascii="宋体" w:hAnsi="宋体" w:cs="宋体"/>
                <w:color w:val="auto"/>
                <w:szCs w:val="21"/>
                <w:highlight w:val="none"/>
              </w:rPr>
              <w:t>准</w:t>
            </w:r>
            <w:r>
              <w:rPr>
                <w:rFonts w:hint="eastAsia" w:ascii="宋体" w:hAnsi="宋体" w:cs="宋体"/>
                <w:color w:val="auto"/>
                <w:szCs w:val="21"/>
                <w:highlight w:val="none"/>
              </w:rPr>
              <w:t>。</w:t>
            </w:r>
          </w:p>
        </w:tc>
      </w:tr>
      <w:tr w14:paraId="637750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1178" w:type="dxa"/>
            <w:vAlign w:val="center"/>
          </w:tcPr>
          <w:p w14:paraId="31EC3A9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1.2.1</w:t>
            </w:r>
          </w:p>
        </w:tc>
        <w:tc>
          <w:tcPr>
            <w:tcW w:w="2534" w:type="dxa"/>
            <w:vAlign w:val="center"/>
          </w:tcPr>
          <w:p w14:paraId="341EC2C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资金来源及比例</w:t>
            </w:r>
          </w:p>
        </w:tc>
        <w:tc>
          <w:tcPr>
            <w:tcW w:w="6035" w:type="dxa"/>
            <w:vAlign w:val="center"/>
          </w:tcPr>
          <w:p w14:paraId="2E41F37C">
            <w:pPr>
              <w:keepNext w:val="0"/>
              <w:keepLines w:val="0"/>
              <w:suppressLineNumbers w:val="0"/>
              <w:snapToGrid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25A036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1178" w:type="dxa"/>
            <w:vAlign w:val="center"/>
          </w:tcPr>
          <w:p w14:paraId="7CAD304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1.2.2</w:t>
            </w:r>
          </w:p>
        </w:tc>
        <w:tc>
          <w:tcPr>
            <w:tcW w:w="2534" w:type="dxa"/>
            <w:vAlign w:val="center"/>
          </w:tcPr>
          <w:p w14:paraId="0944E4F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资金落实情况</w:t>
            </w:r>
          </w:p>
        </w:tc>
        <w:tc>
          <w:tcPr>
            <w:tcW w:w="6035" w:type="dxa"/>
            <w:vAlign w:val="center"/>
          </w:tcPr>
          <w:p w14:paraId="77EEB7BC">
            <w:pPr>
              <w:keepNext w:val="0"/>
              <w:keepLines w:val="0"/>
              <w:suppressLineNumbers w:val="0"/>
              <w:snapToGrid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已落实</w:t>
            </w:r>
          </w:p>
        </w:tc>
      </w:tr>
      <w:tr w14:paraId="0BAD7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78" w:type="dxa"/>
            <w:vAlign w:val="center"/>
          </w:tcPr>
          <w:p w14:paraId="311A932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1.3.1</w:t>
            </w:r>
          </w:p>
        </w:tc>
        <w:tc>
          <w:tcPr>
            <w:tcW w:w="2534" w:type="dxa"/>
            <w:vAlign w:val="center"/>
          </w:tcPr>
          <w:p w14:paraId="5F993C7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招标范围</w:t>
            </w:r>
          </w:p>
        </w:tc>
        <w:tc>
          <w:tcPr>
            <w:tcW w:w="6035" w:type="dxa"/>
          </w:tcPr>
          <w:p w14:paraId="2EE172B8">
            <w:pPr>
              <w:keepNext w:val="0"/>
              <w:keepLines w:val="0"/>
              <w:suppressLineNumbers w:val="0"/>
              <w:snapToGrid w:val="0"/>
              <w:spacing w:before="0" w:beforeAutospacing="0" w:after="0" w:afterAutospacing="0"/>
              <w:ind w:left="0" w:right="106"/>
              <w:jc w:val="left"/>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46C92B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1178" w:type="dxa"/>
            <w:vAlign w:val="center"/>
          </w:tcPr>
          <w:p w14:paraId="42EDE5A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1.3.2</w:t>
            </w:r>
          </w:p>
        </w:tc>
        <w:tc>
          <w:tcPr>
            <w:tcW w:w="2534" w:type="dxa"/>
            <w:vAlign w:val="center"/>
          </w:tcPr>
          <w:p w14:paraId="519E445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服务期限</w:t>
            </w:r>
          </w:p>
        </w:tc>
        <w:tc>
          <w:tcPr>
            <w:tcW w:w="6035" w:type="dxa"/>
          </w:tcPr>
          <w:p w14:paraId="3AC080A2">
            <w:pPr>
              <w:keepNext w:val="0"/>
              <w:keepLines w:val="0"/>
              <w:suppressLineNumbers w:val="0"/>
              <w:snapToGrid w:val="0"/>
              <w:spacing w:before="0" w:beforeAutospacing="0" w:after="0" w:afterAutospacing="0"/>
              <w:ind w:left="0" w:right="106"/>
              <w:jc w:val="left"/>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53C415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1178" w:type="dxa"/>
            <w:vAlign w:val="center"/>
          </w:tcPr>
          <w:p w14:paraId="511E69D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1.3.3</w:t>
            </w:r>
          </w:p>
        </w:tc>
        <w:tc>
          <w:tcPr>
            <w:tcW w:w="2534" w:type="dxa"/>
            <w:vAlign w:val="center"/>
          </w:tcPr>
          <w:p w14:paraId="796594A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质量标准</w:t>
            </w:r>
          </w:p>
        </w:tc>
        <w:tc>
          <w:tcPr>
            <w:tcW w:w="6035" w:type="dxa"/>
            <w:vAlign w:val="center"/>
          </w:tcPr>
          <w:p w14:paraId="7A59FB9A">
            <w:pPr>
              <w:keepNext w:val="0"/>
              <w:keepLines w:val="0"/>
              <w:suppressLineNumbers w:val="0"/>
              <w:snapToGrid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可满足招标人在进场、施工、完成三个阶段对项目的验收。</w:t>
            </w:r>
          </w:p>
        </w:tc>
      </w:tr>
      <w:tr w14:paraId="32A10E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8" w:type="dxa"/>
            <w:vAlign w:val="center"/>
          </w:tcPr>
          <w:p w14:paraId="673061C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1.4.1</w:t>
            </w:r>
          </w:p>
        </w:tc>
        <w:tc>
          <w:tcPr>
            <w:tcW w:w="2534" w:type="dxa"/>
            <w:vAlign w:val="center"/>
          </w:tcPr>
          <w:p w14:paraId="1018DE6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w:t>
            </w:r>
            <w:r>
              <w:rPr>
                <w:rFonts w:hint="eastAsia" w:ascii="宋体" w:hAnsi="宋体"/>
                <w:color w:val="auto"/>
                <w:szCs w:val="21"/>
                <w:highlight w:val="none"/>
              </w:rPr>
              <w:t>营业执照</w:t>
            </w:r>
            <w:r>
              <w:rPr>
                <w:rFonts w:hint="default" w:ascii="宋体" w:hAnsi="宋体"/>
                <w:color w:val="auto"/>
                <w:szCs w:val="21"/>
                <w:highlight w:val="none"/>
              </w:rPr>
              <w:t>、能力、信誉</w:t>
            </w:r>
          </w:p>
        </w:tc>
        <w:tc>
          <w:tcPr>
            <w:tcW w:w="6035" w:type="dxa"/>
            <w:vAlign w:val="center"/>
          </w:tcPr>
          <w:p w14:paraId="4B3F8D94">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详见招标公告第3点要求</w:t>
            </w:r>
          </w:p>
        </w:tc>
      </w:tr>
      <w:tr w14:paraId="7A188E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8" w:type="dxa"/>
            <w:vAlign w:val="center"/>
          </w:tcPr>
          <w:p w14:paraId="7442218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1.4.2</w:t>
            </w:r>
          </w:p>
        </w:tc>
        <w:tc>
          <w:tcPr>
            <w:tcW w:w="2534" w:type="dxa"/>
            <w:vAlign w:val="center"/>
          </w:tcPr>
          <w:p w14:paraId="7B92A4F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是否接受联合体投标</w:t>
            </w:r>
          </w:p>
        </w:tc>
        <w:tc>
          <w:tcPr>
            <w:tcW w:w="6035" w:type="dxa"/>
            <w:vAlign w:val="center"/>
          </w:tcPr>
          <w:p w14:paraId="4857AD7C">
            <w:pPr>
              <w:keepNext w:val="0"/>
              <w:keepLines w:val="0"/>
              <w:suppressLineNumbers w:val="0"/>
              <w:spacing w:before="0" w:beforeAutospacing="0" w:after="0" w:afterAutospacing="0" w:line="280" w:lineRule="exact"/>
              <w:ind w:left="0" w:right="0"/>
              <w:rPr>
                <w:rFonts w:hint="default"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不接受</w:t>
            </w:r>
            <w:r>
              <w:rPr>
                <w:rFonts w:hint="default" w:ascii="宋体" w:hAnsi="宋体"/>
                <w:color w:val="auto"/>
                <w:szCs w:val="21"/>
                <w:highlight w:val="none"/>
              </w:rPr>
              <w:t xml:space="preserve"> </w:t>
            </w:r>
          </w:p>
          <w:p w14:paraId="5AB3B696">
            <w:pPr>
              <w:keepNext w:val="0"/>
              <w:keepLines w:val="0"/>
              <w:suppressLineNumbers w:val="0"/>
              <w:spacing w:before="0" w:beforeAutospacing="0" w:after="0" w:afterAutospacing="0" w:line="280" w:lineRule="exact"/>
              <w:ind w:left="0" w:right="0"/>
              <w:rPr>
                <w:rFonts w:hint="default" w:ascii="宋体" w:hAnsi="宋体"/>
                <w:color w:val="auto"/>
                <w:szCs w:val="21"/>
                <w:highlight w:val="none"/>
              </w:rPr>
            </w:pPr>
            <w:r>
              <w:rPr>
                <w:rFonts w:hint="eastAsia" w:ascii="宋体" w:hAnsi="宋体"/>
                <w:color w:val="auto"/>
                <w:szCs w:val="21"/>
                <w:highlight w:val="none"/>
              </w:rPr>
              <w:t>□接受，应满足下列要求：</w:t>
            </w:r>
            <w:r>
              <w:rPr>
                <w:rFonts w:hint="eastAsia" w:ascii="宋体" w:hAnsi="宋体"/>
                <w:color w:val="auto"/>
                <w:szCs w:val="21"/>
                <w:highlight w:val="none"/>
                <w:u w:val="single"/>
              </w:rPr>
              <w:t xml:space="preserve"> </w:t>
            </w:r>
            <w:r>
              <w:rPr>
                <w:rFonts w:hint="default" w:ascii="宋体" w:hAnsi="宋体"/>
                <w:color w:val="auto"/>
                <w:szCs w:val="21"/>
                <w:highlight w:val="none"/>
                <w:u w:val="single"/>
              </w:rPr>
              <w:t xml:space="preserve"> /  </w:t>
            </w:r>
          </w:p>
        </w:tc>
      </w:tr>
      <w:tr w14:paraId="173FD9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178" w:type="dxa"/>
            <w:vAlign w:val="center"/>
          </w:tcPr>
          <w:p w14:paraId="1D8A83F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1.4.3</w:t>
            </w:r>
          </w:p>
        </w:tc>
        <w:tc>
          <w:tcPr>
            <w:tcW w:w="2534" w:type="dxa"/>
            <w:vAlign w:val="center"/>
          </w:tcPr>
          <w:p w14:paraId="2CDA431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投标人不得存在的</w:t>
            </w:r>
            <w:r>
              <w:rPr>
                <w:rFonts w:hint="eastAsia" w:ascii="宋体" w:hAnsi="宋体"/>
                <w:color w:val="auto"/>
                <w:szCs w:val="21"/>
                <w:highlight w:val="none"/>
              </w:rPr>
              <w:t>其他</w:t>
            </w:r>
            <w:r>
              <w:rPr>
                <w:rFonts w:hint="default" w:ascii="宋体" w:hAnsi="宋体"/>
                <w:color w:val="auto"/>
                <w:szCs w:val="21"/>
                <w:highlight w:val="none"/>
              </w:rPr>
              <w:t>情形</w:t>
            </w:r>
          </w:p>
        </w:tc>
        <w:tc>
          <w:tcPr>
            <w:tcW w:w="6035" w:type="dxa"/>
            <w:vAlign w:val="center"/>
          </w:tcPr>
          <w:p w14:paraId="2239DCB9">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p>
        </w:tc>
      </w:tr>
      <w:tr w14:paraId="07407B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1178" w:type="dxa"/>
            <w:vAlign w:val="center"/>
          </w:tcPr>
          <w:p w14:paraId="42D84EA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1.9.1</w:t>
            </w:r>
          </w:p>
        </w:tc>
        <w:tc>
          <w:tcPr>
            <w:tcW w:w="2534" w:type="dxa"/>
            <w:vAlign w:val="center"/>
          </w:tcPr>
          <w:p w14:paraId="6B0AAC4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踏勘现场</w:t>
            </w:r>
          </w:p>
        </w:tc>
        <w:tc>
          <w:tcPr>
            <w:tcW w:w="6035" w:type="dxa"/>
            <w:vAlign w:val="center"/>
          </w:tcPr>
          <w:p w14:paraId="13B2FE08">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s="宋体"/>
                <w:color w:val="auto"/>
                <w:szCs w:val="21"/>
                <w:highlight w:val="none"/>
                <w:lang w:val="en-US"/>
              </w:rPr>
              <w:t>■</w:t>
            </w:r>
            <w:r>
              <w:rPr>
                <w:rFonts w:hint="default" w:hAnsi="宋体"/>
                <w:color w:val="auto"/>
                <w:sz w:val="21"/>
                <w:szCs w:val="21"/>
                <w:highlight w:val="none"/>
                <w:lang w:val="en-US"/>
              </w:rPr>
              <w:t>不组织</w:t>
            </w:r>
          </w:p>
          <w:p w14:paraId="4DA9356D">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Cs w:val="21"/>
                <w:highlight w:val="none"/>
                <w:lang w:val="en-US"/>
              </w:rPr>
              <w:t>□</w:t>
            </w:r>
            <w:r>
              <w:rPr>
                <w:rFonts w:hint="default" w:hAnsi="宋体"/>
                <w:color w:val="auto"/>
                <w:sz w:val="21"/>
                <w:szCs w:val="21"/>
                <w:highlight w:val="none"/>
                <w:lang w:val="en-US"/>
              </w:rPr>
              <w:t>组织，踏勘时间：</w:t>
            </w:r>
            <w:r>
              <w:rPr>
                <w:rFonts w:hint="eastAsia" w:hAnsi="宋体"/>
                <w:color w:val="auto"/>
                <w:sz w:val="21"/>
                <w:szCs w:val="21"/>
                <w:highlight w:val="none"/>
                <w:u w:val="single"/>
                <w:lang w:val="en-US"/>
              </w:rPr>
              <w:t xml:space="preserve"> / </w:t>
            </w:r>
          </w:p>
          <w:p w14:paraId="10D37B38">
            <w:pPr>
              <w:pStyle w:val="15"/>
              <w:keepNext w:val="0"/>
              <w:keepLines w:val="0"/>
              <w:suppressLineNumbers w:val="0"/>
              <w:topLinePunct/>
              <w:snapToGrid w:val="0"/>
              <w:spacing w:before="0" w:beforeAutospacing="0" w:after="0" w:afterAutospacing="0"/>
              <w:ind w:left="0" w:right="0" w:firstLine="840" w:firstLineChars="400"/>
              <w:rPr>
                <w:rFonts w:hint="default" w:hAnsi="宋体"/>
                <w:color w:val="auto"/>
                <w:sz w:val="21"/>
                <w:szCs w:val="21"/>
                <w:highlight w:val="none"/>
                <w:lang w:val="en-US"/>
              </w:rPr>
            </w:pPr>
            <w:r>
              <w:rPr>
                <w:rFonts w:hint="default" w:hAnsi="宋体"/>
                <w:color w:val="auto"/>
                <w:sz w:val="21"/>
                <w:szCs w:val="21"/>
                <w:highlight w:val="none"/>
                <w:lang w:val="en-US"/>
              </w:rPr>
              <w:t>踏勘集中地点：</w:t>
            </w:r>
            <w:r>
              <w:rPr>
                <w:rFonts w:hint="eastAsia" w:hAnsi="宋体"/>
                <w:color w:val="auto"/>
                <w:sz w:val="21"/>
                <w:szCs w:val="21"/>
                <w:highlight w:val="none"/>
                <w:u w:val="single"/>
                <w:lang w:val="en-US"/>
              </w:rPr>
              <w:t xml:space="preserve"> / </w:t>
            </w:r>
          </w:p>
        </w:tc>
      </w:tr>
      <w:tr w14:paraId="2D4A49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4" w:hRule="atLeast"/>
        </w:trPr>
        <w:tc>
          <w:tcPr>
            <w:tcW w:w="1178" w:type="dxa"/>
            <w:vAlign w:val="center"/>
          </w:tcPr>
          <w:p w14:paraId="1E4B6A5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1.10.1</w:t>
            </w:r>
          </w:p>
        </w:tc>
        <w:tc>
          <w:tcPr>
            <w:tcW w:w="2534" w:type="dxa"/>
            <w:vAlign w:val="center"/>
          </w:tcPr>
          <w:p w14:paraId="5A0F42E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投标预备会</w:t>
            </w:r>
          </w:p>
        </w:tc>
        <w:tc>
          <w:tcPr>
            <w:tcW w:w="6035" w:type="dxa"/>
            <w:vAlign w:val="center"/>
          </w:tcPr>
          <w:p w14:paraId="6E431791">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s="宋体"/>
                <w:color w:val="auto"/>
                <w:szCs w:val="21"/>
                <w:highlight w:val="none"/>
                <w:lang w:val="en-US"/>
              </w:rPr>
              <w:t>■</w:t>
            </w:r>
            <w:r>
              <w:rPr>
                <w:rFonts w:hint="default" w:hAnsi="宋体"/>
                <w:color w:val="auto"/>
                <w:sz w:val="21"/>
                <w:szCs w:val="21"/>
                <w:highlight w:val="none"/>
                <w:lang w:val="en-US"/>
              </w:rPr>
              <w:t>不召开</w:t>
            </w:r>
          </w:p>
          <w:p w14:paraId="0F55C7CF">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召开，召开时间：</w:t>
            </w:r>
            <w:r>
              <w:rPr>
                <w:rFonts w:hint="eastAsia" w:ascii="宋体" w:hAnsi="宋体"/>
                <w:color w:val="auto"/>
                <w:szCs w:val="21"/>
                <w:highlight w:val="none"/>
                <w:u w:val="single"/>
              </w:rPr>
              <w:t xml:space="preserve"> / </w:t>
            </w:r>
          </w:p>
          <w:p w14:paraId="41674D5A">
            <w:pPr>
              <w:keepNext w:val="0"/>
              <w:keepLines w:val="0"/>
              <w:suppressLineNumbers w:val="0"/>
              <w:snapToGrid w:val="0"/>
              <w:spacing w:before="0" w:beforeAutospacing="0" w:after="0" w:afterAutospacing="0"/>
              <w:ind w:left="0" w:right="0" w:firstLine="840" w:firstLineChars="400"/>
              <w:rPr>
                <w:rFonts w:hint="default" w:ascii="宋体" w:hAnsi="宋体"/>
                <w:color w:val="auto"/>
                <w:szCs w:val="21"/>
                <w:highlight w:val="none"/>
              </w:rPr>
            </w:pPr>
            <w:r>
              <w:rPr>
                <w:rFonts w:hint="default" w:ascii="宋体" w:hAnsi="宋体"/>
                <w:color w:val="auto"/>
                <w:szCs w:val="21"/>
                <w:highlight w:val="none"/>
              </w:rPr>
              <w:t>召开地点：</w:t>
            </w:r>
            <w:r>
              <w:rPr>
                <w:rFonts w:hint="eastAsia" w:ascii="宋体" w:hAnsi="宋体"/>
                <w:color w:val="auto"/>
                <w:szCs w:val="21"/>
                <w:highlight w:val="none"/>
                <w:u w:val="single"/>
              </w:rPr>
              <w:t xml:space="preserve"> / </w:t>
            </w:r>
          </w:p>
        </w:tc>
      </w:tr>
      <w:tr w14:paraId="3DBCB2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178" w:type="dxa"/>
            <w:vMerge w:val="restart"/>
            <w:vAlign w:val="center"/>
          </w:tcPr>
          <w:p w14:paraId="0C86FBA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1.10.2</w:t>
            </w:r>
          </w:p>
        </w:tc>
        <w:tc>
          <w:tcPr>
            <w:tcW w:w="2534" w:type="dxa"/>
            <w:vMerge w:val="restart"/>
            <w:vAlign w:val="center"/>
          </w:tcPr>
          <w:p w14:paraId="7BBBC05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投标人在投标预备会前提出问题</w:t>
            </w:r>
          </w:p>
        </w:tc>
        <w:tc>
          <w:tcPr>
            <w:tcW w:w="6035" w:type="dxa"/>
            <w:vAlign w:val="center"/>
          </w:tcPr>
          <w:p w14:paraId="0804DB27">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时间：</w:t>
            </w:r>
            <w:r>
              <w:rPr>
                <w:rFonts w:hint="eastAsia" w:ascii="宋体" w:hAnsi="宋体"/>
                <w:color w:val="auto"/>
                <w:szCs w:val="21"/>
                <w:highlight w:val="none"/>
                <w:u w:val="single"/>
              </w:rPr>
              <w:t xml:space="preserve"> / </w:t>
            </w:r>
          </w:p>
        </w:tc>
      </w:tr>
      <w:tr w14:paraId="5170B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1178" w:type="dxa"/>
            <w:vMerge w:val="continue"/>
            <w:vAlign w:val="center"/>
          </w:tcPr>
          <w:p w14:paraId="7169C94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2534" w:type="dxa"/>
            <w:vMerge w:val="continue"/>
            <w:vAlign w:val="center"/>
          </w:tcPr>
          <w:p w14:paraId="185D754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6035" w:type="dxa"/>
            <w:vAlign w:val="center"/>
          </w:tcPr>
          <w:p w14:paraId="2B32E866">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形式：</w:t>
            </w:r>
            <w:r>
              <w:rPr>
                <w:rFonts w:hint="eastAsia" w:ascii="宋体" w:hAnsi="宋体"/>
                <w:color w:val="auto"/>
                <w:szCs w:val="21"/>
                <w:highlight w:val="none"/>
                <w:u w:val="single"/>
              </w:rPr>
              <w:t xml:space="preserve"> / </w:t>
            </w:r>
          </w:p>
        </w:tc>
      </w:tr>
      <w:tr w14:paraId="03FDF9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1178" w:type="dxa"/>
            <w:vAlign w:val="center"/>
          </w:tcPr>
          <w:p w14:paraId="0433532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1.10.3</w:t>
            </w:r>
          </w:p>
        </w:tc>
        <w:tc>
          <w:tcPr>
            <w:tcW w:w="2534" w:type="dxa"/>
            <w:vAlign w:val="center"/>
          </w:tcPr>
          <w:p w14:paraId="512252C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招标文件澄清发出的形式</w:t>
            </w:r>
          </w:p>
        </w:tc>
        <w:tc>
          <w:tcPr>
            <w:tcW w:w="6035" w:type="dxa"/>
            <w:vAlign w:val="center"/>
          </w:tcPr>
          <w:p w14:paraId="27A412AB">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在广州交易集团有限公司（广州公共资源交易中心）网站“招标答疑”专区发布。</w:t>
            </w:r>
          </w:p>
        </w:tc>
      </w:tr>
      <w:tr w14:paraId="1D4C4D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1178" w:type="dxa"/>
            <w:vAlign w:val="center"/>
          </w:tcPr>
          <w:p w14:paraId="2B48C64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1.12.1</w:t>
            </w:r>
          </w:p>
        </w:tc>
        <w:tc>
          <w:tcPr>
            <w:tcW w:w="2534" w:type="dxa"/>
            <w:vAlign w:val="center"/>
          </w:tcPr>
          <w:p w14:paraId="2E31618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实质性要求和条件</w:t>
            </w:r>
          </w:p>
        </w:tc>
        <w:tc>
          <w:tcPr>
            <w:tcW w:w="6035" w:type="dxa"/>
            <w:vAlign w:val="center"/>
          </w:tcPr>
          <w:p w14:paraId="423D40B3">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u w:val="single"/>
                <w:lang w:val="en-US"/>
              </w:rPr>
            </w:pPr>
            <w:r>
              <w:rPr>
                <w:rFonts w:hint="eastAsia" w:hAnsi="宋体"/>
                <w:color w:val="auto"/>
                <w:sz w:val="21"/>
                <w:szCs w:val="21"/>
                <w:highlight w:val="none"/>
                <w:u w:val="single"/>
                <w:lang w:val="en-US"/>
              </w:rPr>
              <w:t>详见第三章“评标办法（＂评定分离＂定标办法）”规定。</w:t>
            </w:r>
          </w:p>
        </w:tc>
      </w:tr>
      <w:tr w14:paraId="477A9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178" w:type="dxa"/>
            <w:vAlign w:val="center"/>
          </w:tcPr>
          <w:p w14:paraId="21B8F14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1.12.3</w:t>
            </w:r>
          </w:p>
        </w:tc>
        <w:tc>
          <w:tcPr>
            <w:tcW w:w="2534" w:type="dxa"/>
            <w:vAlign w:val="center"/>
          </w:tcPr>
          <w:p w14:paraId="66D235F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偏差</w:t>
            </w:r>
          </w:p>
        </w:tc>
        <w:tc>
          <w:tcPr>
            <w:tcW w:w="6035" w:type="dxa"/>
          </w:tcPr>
          <w:p w14:paraId="5FB5CBE8">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w:t>
            </w:r>
            <w:r>
              <w:rPr>
                <w:rFonts w:hint="default" w:ascii="宋体" w:hAnsi="宋体"/>
                <w:color w:val="auto"/>
                <w:szCs w:val="21"/>
                <w:highlight w:val="none"/>
              </w:rPr>
              <w:t>不允许</w:t>
            </w:r>
          </w:p>
          <w:p w14:paraId="7725D224">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允许，偏差范围：</w:t>
            </w:r>
            <w:r>
              <w:rPr>
                <w:rFonts w:hint="eastAsia" w:ascii="宋体" w:hAnsi="宋体"/>
                <w:color w:val="auto"/>
                <w:szCs w:val="21"/>
                <w:highlight w:val="none"/>
                <w:u w:val="single"/>
              </w:rPr>
              <w:t xml:space="preserve"> / </w:t>
            </w:r>
          </w:p>
          <w:p w14:paraId="67C31F61">
            <w:pPr>
              <w:pStyle w:val="15"/>
              <w:keepNext w:val="0"/>
              <w:keepLines w:val="0"/>
              <w:suppressLineNumbers w:val="0"/>
              <w:topLinePunct/>
              <w:snapToGrid w:val="0"/>
              <w:spacing w:before="0" w:beforeAutospacing="0" w:after="0" w:afterAutospacing="0"/>
              <w:ind w:left="0" w:right="0" w:firstLine="840" w:firstLineChars="400"/>
              <w:rPr>
                <w:rFonts w:hint="default" w:hAnsi="宋体"/>
                <w:color w:val="auto"/>
                <w:sz w:val="21"/>
                <w:szCs w:val="21"/>
                <w:highlight w:val="none"/>
                <w:lang w:val="en-US"/>
              </w:rPr>
            </w:pPr>
            <w:r>
              <w:rPr>
                <w:rFonts w:hint="default" w:hAnsi="宋体"/>
                <w:color w:val="auto"/>
                <w:sz w:val="21"/>
                <w:szCs w:val="21"/>
                <w:highlight w:val="none"/>
                <w:lang w:val="en-US"/>
              </w:rPr>
              <w:t>偏差幅度：</w:t>
            </w:r>
            <w:r>
              <w:rPr>
                <w:rFonts w:hint="eastAsia" w:hAnsi="宋体"/>
                <w:color w:val="auto"/>
                <w:sz w:val="21"/>
                <w:szCs w:val="21"/>
                <w:highlight w:val="none"/>
                <w:u w:val="single"/>
                <w:lang w:val="en-US"/>
              </w:rPr>
              <w:t xml:space="preserve"> / </w:t>
            </w:r>
          </w:p>
        </w:tc>
      </w:tr>
      <w:tr w14:paraId="65BD7A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1178" w:type="dxa"/>
            <w:vAlign w:val="center"/>
          </w:tcPr>
          <w:p w14:paraId="2EE5238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2.1</w:t>
            </w:r>
          </w:p>
        </w:tc>
        <w:tc>
          <w:tcPr>
            <w:tcW w:w="2534" w:type="dxa"/>
            <w:vAlign w:val="center"/>
          </w:tcPr>
          <w:p w14:paraId="28D3666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构成招标文件的其他资料</w:t>
            </w:r>
          </w:p>
        </w:tc>
        <w:tc>
          <w:tcPr>
            <w:tcW w:w="6035" w:type="dxa"/>
            <w:vAlign w:val="center"/>
          </w:tcPr>
          <w:p w14:paraId="5A320708">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 xml:space="preserve"> / </w:t>
            </w:r>
          </w:p>
        </w:tc>
      </w:tr>
      <w:tr w14:paraId="4A075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178" w:type="dxa"/>
            <w:vAlign w:val="center"/>
          </w:tcPr>
          <w:p w14:paraId="105F251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2.2.1</w:t>
            </w:r>
          </w:p>
        </w:tc>
        <w:tc>
          <w:tcPr>
            <w:tcW w:w="2534" w:type="dxa"/>
            <w:vAlign w:val="center"/>
          </w:tcPr>
          <w:p w14:paraId="356C2B6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投标人要求澄清招标文件</w:t>
            </w:r>
          </w:p>
        </w:tc>
        <w:tc>
          <w:tcPr>
            <w:tcW w:w="6035" w:type="dxa"/>
            <w:vAlign w:val="center"/>
          </w:tcPr>
          <w:p w14:paraId="4F9C9684">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default" w:ascii="宋体" w:hAnsi="宋体"/>
                <w:color w:val="auto"/>
                <w:szCs w:val="21"/>
                <w:highlight w:val="none"/>
                <w:u w:val="single"/>
              </w:rPr>
              <w:t>时间：</w:t>
            </w:r>
            <w:r>
              <w:rPr>
                <w:rFonts w:hint="eastAsia" w:ascii="宋体" w:hAnsi="宋体"/>
                <w:color w:val="auto"/>
                <w:szCs w:val="21"/>
                <w:highlight w:val="none"/>
                <w:u w:val="single"/>
              </w:rPr>
              <w:t>在投标截止日期前18日</w:t>
            </w:r>
          </w:p>
          <w:p w14:paraId="3B06C0D3">
            <w:pPr>
              <w:pStyle w:val="36"/>
              <w:keepNext w:val="0"/>
              <w:keepLines w:val="0"/>
              <w:suppressLineNumbers w:val="0"/>
              <w:snapToGrid w:val="0"/>
              <w:spacing w:before="0" w:beforeAutospacing="0" w:after="0" w:afterAutospacing="0" w:line="240" w:lineRule="auto"/>
              <w:ind w:left="0" w:right="0" w:firstLine="0"/>
              <w:rPr>
                <w:rFonts w:hint="default" w:ascii="宋体" w:hAnsi="宋体"/>
                <w:color w:val="auto"/>
                <w:szCs w:val="21"/>
                <w:highlight w:val="none"/>
                <w:u w:val="single"/>
                <w:lang w:val="en-US"/>
              </w:rPr>
            </w:pPr>
            <w:r>
              <w:rPr>
                <w:rFonts w:hint="default" w:ascii="宋体" w:hAnsi="宋体"/>
                <w:color w:val="auto"/>
                <w:szCs w:val="21"/>
                <w:highlight w:val="none"/>
                <w:u w:val="single"/>
                <w:lang w:val="en-US"/>
              </w:rPr>
              <w:t>形式：1</w:t>
            </w:r>
            <w:r>
              <w:rPr>
                <w:rFonts w:hint="eastAsia" w:ascii="宋体" w:hAnsi="宋体"/>
                <w:color w:val="auto"/>
                <w:szCs w:val="21"/>
                <w:highlight w:val="none"/>
                <w:u w:val="single"/>
                <w:lang w:val="en-US"/>
              </w:rPr>
              <w:t>、招标答疑采用网上答疑方式进行。投标人若对招标文件有疑问的，可在规定的时间内通过广州交易集团有限公司（广州公共资源交易中心）网站进入提问区域将问题提交给招标人或招标代理人，提交问题时一律不得署名。</w:t>
            </w:r>
          </w:p>
          <w:p w14:paraId="6E400E3A">
            <w:pPr>
              <w:pStyle w:val="36"/>
              <w:keepNext w:val="0"/>
              <w:keepLines w:val="0"/>
              <w:suppressLineNumbers w:val="0"/>
              <w:snapToGrid w:val="0"/>
              <w:spacing w:before="0" w:beforeAutospacing="0" w:after="0" w:afterAutospacing="0" w:line="240" w:lineRule="auto"/>
              <w:ind w:left="0" w:right="0" w:firstLineChars="200"/>
              <w:rPr>
                <w:rFonts w:hint="default" w:ascii="宋体" w:hAnsi="宋体"/>
                <w:color w:val="auto"/>
                <w:szCs w:val="21"/>
                <w:highlight w:val="none"/>
                <w:u w:val="single"/>
                <w:lang w:val="en-US"/>
              </w:rPr>
            </w:pPr>
            <w:r>
              <w:rPr>
                <w:rFonts w:hint="eastAsia" w:ascii="宋体" w:hAnsi="宋体"/>
                <w:color w:val="auto"/>
                <w:szCs w:val="21"/>
                <w:highlight w:val="none"/>
                <w:u w:val="single"/>
                <w:lang w:val="en-US"/>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47743906">
            <w:pPr>
              <w:pStyle w:val="36"/>
              <w:keepNext w:val="0"/>
              <w:keepLines w:val="0"/>
              <w:suppressLineNumbers w:val="0"/>
              <w:snapToGrid w:val="0"/>
              <w:spacing w:before="0" w:beforeAutospacing="0" w:after="0" w:afterAutospacing="0" w:line="240" w:lineRule="auto"/>
              <w:ind w:left="0" w:right="0" w:firstLine="0"/>
              <w:rPr>
                <w:rFonts w:hint="default" w:ascii="宋体" w:hAnsi="宋体"/>
                <w:color w:val="auto"/>
                <w:szCs w:val="21"/>
                <w:highlight w:val="none"/>
                <w:u w:val="single"/>
                <w:lang w:val="en-US"/>
              </w:rPr>
            </w:pPr>
            <w:r>
              <w:rPr>
                <w:rFonts w:hint="default" w:ascii="宋体" w:hAnsi="宋体"/>
                <w:color w:val="auto"/>
                <w:szCs w:val="21"/>
                <w:highlight w:val="none"/>
                <w:u w:val="single"/>
                <w:lang w:val="en-US"/>
              </w:rPr>
              <w:t>2</w:t>
            </w:r>
            <w:r>
              <w:rPr>
                <w:rFonts w:hint="eastAsia" w:ascii="宋体" w:hAnsi="宋体"/>
                <w:color w:val="auto"/>
                <w:szCs w:val="21"/>
                <w:highlight w:val="none"/>
                <w:u w:val="single"/>
                <w:lang w:val="en-US"/>
              </w:rPr>
              <w:t>、投标人应在投标截止时间</w:t>
            </w:r>
            <w:r>
              <w:rPr>
                <w:rFonts w:hint="default" w:ascii="宋体" w:hAnsi="宋体"/>
                <w:color w:val="auto"/>
                <w:szCs w:val="21"/>
                <w:highlight w:val="none"/>
                <w:u w:val="single"/>
                <w:lang w:val="en-US"/>
              </w:rPr>
              <w:t>18</w:t>
            </w:r>
            <w:r>
              <w:rPr>
                <w:rFonts w:hint="eastAsia" w:ascii="宋体" w:hAnsi="宋体"/>
                <w:color w:val="auto"/>
                <w:szCs w:val="21"/>
                <w:highlight w:val="none"/>
                <w:u w:val="single"/>
                <w:lang w:val="en-US"/>
              </w:rPr>
              <w:t>日前停止质疑。招标人应在投标截止时间</w:t>
            </w:r>
            <w:r>
              <w:rPr>
                <w:rFonts w:hint="default" w:ascii="宋体" w:hAnsi="宋体"/>
                <w:color w:val="auto"/>
                <w:szCs w:val="21"/>
                <w:highlight w:val="none"/>
                <w:u w:val="single"/>
                <w:lang w:val="en-US"/>
              </w:rPr>
              <w:t>15</w:t>
            </w:r>
            <w:r>
              <w:rPr>
                <w:rFonts w:hint="eastAsia" w:ascii="宋体" w:hAnsi="宋体"/>
                <w:color w:val="auto"/>
                <w:szCs w:val="21"/>
                <w:highlight w:val="none"/>
                <w:u w:val="single"/>
                <w:lang w:val="en-US"/>
              </w:rPr>
              <w:t>日前解答投标人对招标文件提出的疑问，形成答疑纪要，并经招标监管机构备案后，方可在广州交易集团有限公司（广州公共资源交易中心）网站项目答疑专区发布。</w:t>
            </w:r>
          </w:p>
          <w:p w14:paraId="473C91E0">
            <w:pPr>
              <w:pStyle w:val="36"/>
              <w:keepNext w:val="0"/>
              <w:keepLines w:val="0"/>
              <w:suppressLineNumbers w:val="0"/>
              <w:snapToGrid w:val="0"/>
              <w:spacing w:before="0" w:beforeAutospacing="0" w:after="0" w:afterAutospacing="0" w:line="240" w:lineRule="auto"/>
              <w:ind w:left="0" w:right="0" w:firstLine="0"/>
              <w:rPr>
                <w:rFonts w:hint="default" w:ascii="宋体" w:hAnsi="宋体"/>
                <w:color w:val="auto"/>
                <w:szCs w:val="21"/>
                <w:highlight w:val="none"/>
                <w:u w:val="single"/>
                <w:lang w:val="en-US"/>
              </w:rPr>
            </w:pPr>
            <w:r>
              <w:rPr>
                <w:rFonts w:hint="default" w:ascii="宋体" w:hAnsi="宋体"/>
                <w:color w:val="auto"/>
                <w:szCs w:val="21"/>
                <w:highlight w:val="none"/>
                <w:u w:val="single"/>
                <w:lang w:val="en-US"/>
              </w:rPr>
              <w:t>3</w:t>
            </w:r>
            <w:r>
              <w:rPr>
                <w:rFonts w:hint="eastAsia" w:ascii="宋体" w:hAnsi="宋体"/>
                <w:color w:val="auto"/>
                <w:szCs w:val="21"/>
                <w:highlight w:val="none"/>
                <w:u w:val="single"/>
                <w:lang w:val="en-US"/>
              </w:rPr>
              <w:t>、招标答疑纪要一经在广州交易集团有限公司（广州公共资源交易中心）网站发布，视作已发放给所有投标人。</w:t>
            </w:r>
          </w:p>
          <w:p w14:paraId="30A01D24">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default" w:ascii="宋体" w:hAnsi="宋体"/>
                <w:color w:val="auto"/>
                <w:szCs w:val="21"/>
                <w:highlight w:val="none"/>
                <w:u w:val="single"/>
              </w:rPr>
              <w:t>4</w:t>
            </w:r>
            <w:r>
              <w:rPr>
                <w:rFonts w:hint="eastAsia" w:ascii="宋体" w:hAnsi="宋体"/>
                <w:color w:val="auto"/>
                <w:szCs w:val="21"/>
                <w:highlight w:val="none"/>
                <w:u w:val="single"/>
              </w:rPr>
              <w:t>、招标答疑纪要为招标文件的一部分。投标人可在广州公资源交易中心网站浏览、下载招标答疑纪要。</w:t>
            </w:r>
          </w:p>
        </w:tc>
      </w:tr>
      <w:tr w14:paraId="638E1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178" w:type="dxa"/>
            <w:vAlign w:val="center"/>
          </w:tcPr>
          <w:p w14:paraId="5957169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2.2.2</w:t>
            </w:r>
          </w:p>
        </w:tc>
        <w:tc>
          <w:tcPr>
            <w:tcW w:w="2534" w:type="dxa"/>
            <w:vAlign w:val="center"/>
          </w:tcPr>
          <w:p w14:paraId="1638B0B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招标文件澄清发出的形式</w:t>
            </w:r>
          </w:p>
        </w:tc>
        <w:tc>
          <w:tcPr>
            <w:tcW w:w="6035" w:type="dxa"/>
            <w:vAlign w:val="center"/>
          </w:tcPr>
          <w:p w14:paraId="0BA20D37">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在递交投标文件截止时间前15日，在广州交易集团有限公司（广州公共资源交易中心）网站项目答疑专区发布。</w:t>
            </w:r>
          </w:p>
        </w:tc>
      </w:tr>
      <w:tr w14:paraId="61E2AE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1178" w:type="dxa"/>
            <w:vMerge w:val="restart"/>
            <w:vAlign w:val="center"/>
          </w:tcPr>
          <w:p w14:paraId="08C08C3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2.2.3</w:t>
            </w:r>
          </w:p>
        </w:tc>
        <w:tc>
          <w:tcPr>
            <w:tcW w:w="2534" w:type="dxa"/>
            <w:vMerge w:val="restart"/>
            <w:vAlign w:val="center"/>
          </w:tcPr>
          <w:p w14:paraId="4EA96D0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投标人确认收到招标文件澄清</w:t>
            </w:r>
          </w:p>
        </w:tc>
        <w:tc>
          <w:tcPr>
            <w:tcW w:w="6035" w:type="dxa"/>
            <w:vAlign w:val="center"/>
          </w:tcPr>
          <w:p w14:paraId="102C0C36">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时间：</w:t>
            </w:r>
            <w:r>
              <w:rPr>
                <w:rFonts w:hint="eastAsia" w:ascii="宋体" w:hAnsi="宋体"/>
                <w:color w:val="auto"/>
                <w:szCs w:val="21"/>
                <w:highlight w:val="none"/>
                <w:u w:val="single"/>
              </w:rPr>
              <w:t>招标文件澄清一经在广州交易集团有限公司（广州公共资源交易中心）网站发布，视作已发放给所有投标人。</w:t>
            </w:r>
            <w:r>
              <w:rPr>
                <w:rFonts w:hint="default" w:ascii="宋体" w:hAnsi="宋体"/>
                <w:color w:val="auto"/>
                <w:szCs w:val="21"/>
                <w:highlight w:val="none"/>
                <w:u w:val="single"/>
              </w:rPr>
              <w:t xml:space="preserve"> </w:t>
            </w:r>
          </w:p>
        </w:tc>
      </w:tr>
      <w:tr w14:paraId="57FE1A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1178" w:type="dxa"/>
            <w:vMerge w:val="continue"/>
            <w:vAlign w:val="center"/>
          </w:tcPr>
          <w:p w14:paraId="4AFE5F0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2534" w:type="dxa"/>
            <w:vMerge w:val="continue"/>
            <w:vAlign w:val="center"/>
          </w:tcPr>
          <w:p w14:paraId="3F4727E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6035" w:type="dxa"/>
            <w:vAlign w:val="center"/>
          </w:tcPr>
          <w:p w14:paraId="7752E839">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形式：</w:t>
            </w:r>
            <w:r>
              <w:rPr>
                <w:rFonts w:hint="eastAsia" w:ascii="宋体" w:hAnsi="宋体"/>
                <w:color w:val="auto"/>
                <w:szCs w:val="21"/>
                <w:highlight w:val="none"/>
                <w:u w:val="single"/>
              </w:rPr>
              <w:t xml:space="preserve"> / </w:t>
            </w:r>
          </w:p>
        </w:tc>
      </w:tr>
      <w:tr w14:paraId="20DF3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40" w:hRule="atLeast"/>
        </w:trPr>
        <w:tc>
          <w:tcPr>
            <w:tcW w:w="1178" w:type="dxa"/>
            <w:vAlign w:val="center"/>
          </w:tcPr>
          <w:p w14:paraId="409C7B0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2.3.1</w:t>
            </w:r>
          </w:p>
        </w:tc>
        <w:tc>
          <w:tcPr>
            <w:tcW w:w="2534" w:type="dxa"/>
            <w:vAlign w:val="center"/>
          </w:tcPr>
          <w:p w14:paraId="560A1AD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招标文件修改发出的形式</w:t>
            </w:r>
          </w:p>
        </w:tc>
        <w:tc>
          <w:tcPr>
            <w:tcW w:w="6035" w:type="dxa"/>
            <w:vAlign w:val="center"/>
          </w:tcPr>
          <w:p w14:paraId="38D3C7F9">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在广州交易集团有限公司（广州公共资源交易中心）网站项目答疑专区或以补充公告形式发布。</w:t>
            </w:r>
          </w:p>
        </w:tc>
      </w:tr>
      <w:tr w14:paraId="22B27B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178" w:type="dxa"/>
            <w:vAlign w:val="center"/>
          </w:tcPr>
          <w:p w14:paraId="78AF524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2.3.2</w:t>
            </w:r>
          </w:p>
        </w:tc>
        <w:tc>
          <w:tcPr>
            <w:tcW w:w="2534" w:type="dxa"/>
            <w:vAlign w:val="center"/>
          </w:tcPr>
          <w:p w14:paraId="09B92E0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投标人确认收到招标文件修改</w:t>
            </w:r>
          </w:p>
        </w:tc>
        <w:tc>
          <w:tcPr>
            <w:tcW w:w="6035" w:type="dxa"/>
            <w:vAlign w:val="center"/>
          </w:tcPr>
          <w:p w14:paraId="1658F6EE">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338129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 w:hRule="atLeast"/>
        </w:trPr>
        <w:tc>
          <w:tcPr>
            <w:tcW w:w="1178" w:type="dxa"/>
            <w:vAlign w:val="center"/>
          </w:tcPr>
          <w:p w14:paraId="627A2BA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3.1.1</w:t>
            </w:r>
          </w:p>
        </w:tc>
        <w:tc>
          <w:tcPr>
            <w:tcW w:w="2534" w:type="dxa"/>
            <w:vAlign w:val="center"/>
          </w:tcPr>
          <w:p w14:paraId="29A71B9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构成投标文件的其他资料</w:t>
            </w:r>
          </w:p>
        </w:tc>
        <w:tc>
          <w:tcPr>
            <w:tcW w:w="6035" w:type="dxa"/>
            <w:vAlign w:val="center"/>
          </w:tcPr>
          <w:p w14:paraId="70E45101">
            <w:pPr>
              <w:keepNext w:val="0"/>
              <w:keepLines w:val="0"/>
              <w:suppressLineNumbers w:val="0"/>
              <w:snapToGrid w:val="0"/>
              <w:spacing w:before="0" w:beforeAutospacing="0" w:after="0" w:afterAutospacing="0"/>
              <w:ind w:left="0" w:right="-61"/>
              <w:rPr>
                <w:rFonts w:hint="default" w:ascii="宋体" w:hAnsi="宋体"/>
                <w:color w:val="auto"/>
                <w:szCs w:val="21"/>
                <w:highlight w:val="none"/>
                <w:u w:val="single"/>
              </w:rPr>
            </w:pPr>
            <w:r>
              <w:rPr>
                <w:rFonts w:hint="eastAsia" w:ascii="宋体" w:hAnsi="宋体"/>
                <w:color w:val="auto"/>
                <w:szCs w:val="21"/>
                <w:highlight w:val="none"/>
                <w:u w:val="single"/>
              </w:rPr>
              <w:t>（1）按本招标文件规定，需提交的其他所有资料；</w:t>
            </w:r>
          </w:p>
          <w:p w14:paraId="1F081D90">
            <w:pPr>
              <w:keepNext w:val="0"/>
              <w:keepLines w:val="0"/>
              <w:suppressLineNumbers w:val="0"/>
              <w:snapToGrid w:val="0"/>
              <w:spacing w:before="0" w:beforeAutospacing="0" w:after="0" w:afterAutospacing="0"/>
              <w:ind w:left="0" w:right="-61"/>
              <w:rPr>
                <w:rFonts w:hint="default"/>
                <w:color w:val="auto"/>
                <w:highlight w:val="none"/>
              </w:rPr>
            </w:pPr>
            <w:r>
              <w:rPr>
                <w:rFonts w:hint="eastAsia" w:ascii="宋体" w:hAnsi="宋体"/>
                <w:color w:val="auto"/>
                <w:szCs w:val="21"/>
                <w:highlight w:val="none"/>
                <w:u w:val="single"/>
              </w:rPr>
              <w:t>（2）投标人认为需要提交的其他资料。</w:t>
            </w:r>
          </w:p>
        </w:tc>
      </w:tr>
      <w:tr w14:paraId="54FCAA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1178" w:type="dxa"/>
            <w:vAlign w:val="center"/>
          </w:tcPr>
          <w:p w14:paraId="44FAAAD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3.2.1</w:t>
            </w:r>
          </w:p>
        </w:tc>
        <w:tc>
          <w:tcPr>
            <w:tcW w:w="2534" w:type="dxa"/>
            <w:vAlign w:val="center"/>
          </w:tcPr>
          <w:p w14:paraId="3A080AE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增值税税金的计算方法</w:t>
            </w:r>
          </w:p>
        </w:tc>
        <w:tc>
          <w:tcPr>
            <w:tcW w:w="6035" w:type="dxa"/>
            <w:vAlign w:val="center"/>
          </w:tcPr>
          <w:p w14:paraId="1E47846E">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Calibri"/>
                <w:color w:val="auto"/>
                <w:szCs w:val="21"/>
                <w:highlight w:val="none"/>
              </w:rPr>
              <w:t>按国家现行规定执行</w:t>
            </w:r>
          </w:p>
        </w:tc>
      </w:tr>
      <w:tr w14:paraId="496459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78" w:type="dxa"/>
            <w:vAlign w:val="center"/>
          </w:tcPr>
          <w:p w14:paraId="1E51D56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3.2.3</w:t>
            </w:r>
          </w:p>
        </w:tc>
        <w:tc>
          <w:tcPr>
            <w:tcW w:w="2534" w:type="dxa"/>
            <w:vAlign w:val="center"/>
          </w:tcPr>
          <w:p w14:paraId="159F3E0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报价方式</w:t>
            </w:r>
          </w:p>
        </w:tc>
        <w:tc>
          <w:tcPr>
            <w:tcW w:w="6035" w:type="dxa"/>
            <w:vAlign w:val="center"/>
          </w:tcPr>
          <w:p w14:paraId="1D99275C">
            <w:pPr>
              <w:keepNext w:val="0"/>
              <w:keepLines w:val="0"/>
              <w:suppressLineNumbers w:val="0"/>
              <w:autoSpaceDE w:val="0"/>
              <w:autoSpaceDN w:val="0"/>
              <w:adjustRightInd w:val="0"/>
              <w:spacing w:before="0" w:beforeAutospacing="0" w:after="0" w:afterAutospacing="0" w:line="276" w:lineRule="auto"/>
              <w:ind w:left="0" w:right="0"/>
              <w:rPr>
                <w:rFonts w:hint="default" w:ascii="宋体" w:hAnsi="宋体"/>
                <w:color w:val="auto"/>
                <w:szCs w:val="21"/>
                <w:highlight w:val="none"/>
              </w:rPr>
            </w:pPr>
            <w:r>
              <w:rPr>
                <w:rFonts w:hint="eastAsia" w:ascii="宋体" w:hAnsi="宋体" w:cs="宋体"/>
                <w:color w:val="auto"/>
                <w:szCs w:val="21"/>
                <w:highlight w:val="none"/>
                <w:lang w:val="zh-CN"/>
              </w:rPr>
              <w:t>投标人结合招标文件规定自行报价（小数点后保留二位有效数字，第三位小数四舍五入）。投标报价超过招标控制价的投标文件将被否决。</w:t>
            </w:r>
          </w:p>
        </w:tc>
      </w:tr>
      <w:tr w14:paraId="3B8B76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178" w:type="dxa"/>
            <w:vAlign w:val="center"/>
          </w:tcPr>
          <w:p w14:paraId="10C2E8B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3.2.4</w:t>
            </w:r>
          </w:p>
        </w:tc>
        <w:tc>
          <w:tcPr>
            <w:tcW w:w="2534" w:type="dxa"/>
            <w:vAlign w:val="center"/>
          </w:tcPr>
          <w:p w14:paraId="2B98B05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最高投标限价</w:t>
            </w:r>
          </w:p>
        </w:tc>
        <w:tc>
          <w:tcPr>
            <w:tcW w:w="6035" w:type="dxa"/>
            <w:vAlign w:val="center"/>
          </w:tcPr>
          <w:p w14:paraId="12E02914">
            <w:pPr>
              <w:keepNext w:val="0"/>
              <w:keepLines w:val="0"/>
              <w:suppressLineNumbers w:val="0"/>
              <w:snapToGrid w:val="0"/>
              <w:spacing w:before="0" w:beforeAutospacing="0" w:after="0" w:afterAutospacing="0"/>
              <w:ind w:left="0" w:right="0"/>
              <w:rPr>
                <w:rFonts w:hint="default"/>
                <w:color w:val="auto"/>
                <w:highlight w:val="none"/>
              </w:rPr>
            </w:pPr>
            <w:r>
              <w:rPr>
                <w:rFonts w:hint="eastAsia"/>
                <w:color w:val="auto"/>
                <w:highlight w:val="none"/>
              </w:rPr>
              <w:t>□</w:t>
            </w:r>
            <w:r>
              <w:rPr>
                <w:rFonts w:hint="default"/>
                <w:color w:val="auto"/>
                <w:highlight w:val="none"/>
              </w:rPr>
              <w:t>无</w:t>
            </w:r>
          </w:p>
          <w:p w14:paraId="40C5F976">
            <w:pPr>
              <w:keepNext w:val="0"/>
              <w:keepLines w:val="0"/>
              <w:suppressLineNumbers w:val="0"/>
              <w:snapToGrid w:val="0"/>
              <w:spacing w:before="0" w:beforeAutospacing="0" w:after="0" w:afterAutospacing="0"/>
              <w:ind w:left="0" w:right="0"/>
              <w:rPr>
                <w:rFonts w:hint="default"/>
                <w:color w:val="auto"/>
                <w:highlight w:val="none"/>
              </w:rPr>
            </w:pPr>
            <w:r>
              <w:rPr>
                <w:rFonts w:hint="eastAsia" w:ascii="宋体" w:hAnsi="宋体" w:cs="宋体"/>
                <w:color w:val="auto"/>
                <w:szCs w:val="21"/>
                <w:highlight w:val="none"/>
              </w:rPr>
              <w:t>■</w:t>
            </w:r>
            <w:r>
              <w:rPr>
                <w:rFonts w:hint="default"/>
                <w:color w:val="auto"/>
                <w:highlight w:val="none"/>
              </w:rPr>
              <w:t>有，最高</w:t>
            </w:r>
            <w:r>
              <w:rPr>
                <w:rFonts w:hint="eastAsia"/>
                <w:color w:val="auto"/>
                <w:highlight w:val="none"/>
                <w:lang w:val="zh-CN"/>
              </w:rPr>
              <w:t>投标限价：</w:t>
            </w:r>
            <w:r>
              <w:rPr>
                <w:rFonts w:hint="eastAsia"/>
                <w:color w:val="auto"/>
                <w:highlight w:val="none"/>
                <w:u w:val="single"/>
              </w:rPr>
              <w:t>800万元</w:t>
            </w:r>
            <w:r>
              <w:rPr>
                <w:rFonts w:hint="eastAsia"/>
                <w:color w:val="auto"/>
                <w:highlight w:val="none"/>
              </w:rPr>
              <w:t>。</w:t>
            </w:r>
          </w:p>
          <w:p w14:paraId="6DBB6556">
            <w:pPr>
              <w:pStyle w:val="12"/>
              <w:keepNext w:val="0"/>
              <w:keepLines w:val="0"/>
              <w:suppressLineNumbers w:val="0"/>
              <w:spacing w:before="0" w:beforeAutospacing="0" w:after="0" w:afterAutospacing="0"/>
              <w:ind w:left="0" w:right="0" w:firstLine="0"/>
              <w:rPr>
                <w:rFonts w:hint="default"/>
                <w:color w:val="auto"/>
                <w:highlight w:val="none"/>
              </w:rPr>
            </w:pPr>
            <w:r>
              <w:rPr>
                <w:rFonts w:hint="eastAsia" w:ascii="宋体" w:hAnsi="宋体"/>
                <w:b/>
                <w:bCs/>
                <w:snapToGrid w:val="0"/>
                <w:color w:val="auto"/>
                <w:spacing w:val="4"/>
                <w:kern w:val="0"/>
                <w:sz w:val="20"/>
                <w:szCs w:val="18"/>
                <w:highlight w:val="none"/>
              </w:rPr>
              <w:t>注：投标报价不得超过本项目的最高投标限价。</w:t>
            </w:r>
          </w:p>
        </w:tc>
      </w:tr>
      <w:tr w14:paraId="7C8C94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178" w:type="dxa"/>
            <w:vAlign w:val="center"/>
          </w:tcPr>
          <w:p w14:paraId="780E373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3.2.5</w:t>
            </w:r>
          </w:p>
        </w:tc>
        <w:tc>
          <w:tcPr>
            <w:tcW w:w="2534" w:type="dxa"/>
            <w:vAlign w:val="center"/>
          </w:tcPr>
          <w:p w14:paraId="5A88B06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投标报价的其他要求</w:t>
            </w:r>
          </w:p>
        </w:tc>
        <w:tc>
          <w:tcPr>
            <w:tcW w:w="6035" w:type="dxa"/>
            <w:vAlign w:val="center"/>
          </w:tcPr>
          <w:p w14:paraId="2EFF84E1">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 xml:space="preserve"> / </w:t>
            </w:r>
          </w:p>
        </w:tc>
      </w:tr>
      <w:tr w14:paraId="4C1BEE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78" w:type="dxa"/>
            <w:vAlign w:val="center"/>
          </w:tcPr>
          <w:p w14:paraId="54D4AF1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3.3.1</w:t>
            </w:r>
          </w:p>
        </w:tc>
        <w:tc>
          <w:tcPr>
            <w:tcW w:w="2534" w:type="dxa"/>
            <w:vAlign w:val="center"/>
          </w:tcPr>
          <w:p w14:paraId="7C4E679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投标有效期</w:t>
            </w:r>
          </w:p>
        </w:tc>
        <w:tc>
          <w:tcPr>
            <w:tcW w:w="6035" w:type="dxa"/>
            <w:vAlign w:val="center"/>
          </w:tcPr>
          <w:p w14:paraId="2C5D01DF">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bookmarkStart w:id="8" w:name="_Toc352691470"/>
            <w:bookmarkStart w:id="9" w:name="_Toc384308207"/>
            <w:bookmarkStart w:id="10" w:name="_Toc369531512"/>
            <w:bookmarkStart w:id="11" w:name="_Toc1789"/>
            <w:bookmarkStart w:id="12" w:name="_Toc361508582"/>
            <w:bookmarkStart w:id="13" w:name="_Toc300834946"/>
            <w:r>
              <w:rPr>
                <w:rFonts w:hint="eastAsia" w:ascii="宋体" w:hAnsi="宋体"/>
                <w:color w:val="auto"/>
                <w:szCs w:val="21"/>
                <w:highlight w:val="none"/>
                <w:u w:val="single"/>
              </w:rPr>
              <w:t>90</w:t>
            </w:r>
            <w:r>
              <w:rPr>
                <w:rFonts w:hint="eastAsia" w:ascii="宋体" w:hAnsi="宋体"/>
                <w:color w:val="auto"/>
                <w:szCs w:val="21"/>
                <w:highlight w:val="none"/>
              </w:rPr>
              <w:t>日历天（从投标截止之日算起）。</w:t>
            </w:r>
          </w:p>
        </w:tc>
      </w:tr>
      <w:bookmarkEnd w:id="8"/>
      <w:bookmarkEnd w:id="9"/>
      <w:bookmarkEnd w:id="10"/>
      <w:bookmarkEnd w:id="11"/>
      <w:bookmarkEnd w:id="12"/>
      <w:bookmarkEnd w:id="13"/>
      <w:tr w14:paraId="74A06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1178" w:type="dxa"/>
            <w:vAlign w:val="center"/>
          </w:tcPr>
          <w:p w14:paraId="5F8FF01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3.4.1</w:t>
            </w:r>
          </w:p>
        </w:tc>
        <w:tc>
          <w:tcPr>
            <w:tcW w:w="2534" w:type="dxa"/>
            <w:vAlign w:val="center"/>
          </w:tcPr>
          <w:p w14:paraId="63AD02B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投标保证金</w:t>
            </w:r>
          </w:p>
        </w:tc>
        <w:tc>
          <w:tcPr>
            <w:tcW w:w="6035" w:type="dxa"/>
            <w:vAlign w:val="center"/>
          </w:tcPr>
          <w:p w14:paraId="4973EAEF">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default" w:hAnsi="宋体"/>
                <w:color w:val="auto"/>
                <w:sz w:val="21"/>
                <w:szCs w:val="21"/>
                <w:highlight w:val="none"/>
                <w:lang w:val="en-US"/>
              </w:rPr>
              <w:t>是否要求投标人递交投标保证金：</w:t>
            </w:r>
          </w:p>
          <w:p w14:paraId="28B32E98">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Cs w:val="21"/>
                <w:highlight w:val="none"/>
                <w:lang w:val="en-US"/>
              </w:rPr>
              <w:t>□</w:t>
            </w:r>
            <w:r>
              <w:rPr>
                <w:rFonts w:hint="default" w:hAnsi="宋体"/>
                <w:color w:val="auto"/>
                <w:sz w:val="21"/>
                <w:szCs w:val="21"/>
                <w:highlight w:val="none"/>
                <w:lang w:val="en-US"/>
              </w:rPr>
              <w:t>要求</w:t>
            </w:r>
          </w:p>
          <w:p w14:paraId="7BF9D80B">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s="宋体"/>
                <w:color w:val="auto"/>
                <w:szCs w:val="21"/>
                <w:highlight w:val="none"/>
                <w:lang w:val="en-US"/>
              </w:rPr>
              <w:t>■</w:t>
            </w:r>
            <w:r>
              <w:rPr>
                <w:rFonts w:hint="default" w:hAnsi="宋体"/>
                <w:color w:val="auto"/>
                <w:sz w:val="21"/>
                <w:szCs w:val="21"/>
                <w:highlight w:val="none"/>
                <w:lang w:val="en-US"/>
              </w:rPr>
              <w:t>不要求</w:t>
            </w:r>
          </w:p>
        </w:tc>
      </w:tr>
      <w:tr w14:paraId="498201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1178" w:type="dxa"/>
            <w:vAlign w:val="center"/>
          </w:tcPr>
          <w:p w14:paraId="025ECB9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3.4.4</w:t>
            </w:r>
          </w:p>
        </w:tc>
        <w:tc>
          <w:tcPr>
            <w:tcW w:w="2534" w:type="dxa"/>
            <w:vAlign w:val="center"/>
          </w:tcPr>
          <w:p w14:paraId="499F195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其他可以不予退还投标保证金的情形</w:t>
            </w:r>
          </w:p>
        </w:tc>
        <w:tc>
          <w:tcPr>
            <w:tcW w:w="6035" w:type="dxa"/>
            <w:vAlign w:val="center"/>
          </w:tcPr>
          <w:p w14:paraId="3CC463C4">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27D3F0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1178" w:type="dxa"/>
            <w:vAlign w:val="center"/>
          </w:tcPr>
          <w:p w14:paraId="3614E49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3.5</w:t>
            </w:r>
          </w:p>
        </w:tc>
        <w:tc>
          <w:tcPr>
            <w:tcW w:w="2534" w:type="dxa"/>
            <w:vAlign w:val="center"/>
          </w:tcPr>
          <w:p w14:paraId="5884C04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资格审查资料的特殊要求</w:t>
            </w:r>
          </w:p>
        </w:tc>
        <w:tc>
          <w:tcPr>
            <w:tcW w:w="6035" w:type="dxa"/>
            <w:vAlign w:val="center"/>
          </w:tcPr>
          <w:p w14:paraId="245F8961">
            <w:pPr>
              <w:keepNext w:val="0"/>
              <w:keepLines w:val="0"/>
              <w:suppressLineNumbers w:val="0"/>
              <w:spacing w:before="0" w:beforeAutospacing="0" w:after="0" w:afterAutospacing="0"/>
              <w:ind w:left="0" w:right="0"/>
              <w:rPr>
                <w:rFonts w:hint="default" w:hAnsi="宋体"/>
                <w:color w:val="auto"/>
                <w:szCs w:val="21"/>
                <w:highlight w:val="none"/>
              </w:rPr>
            </w:pPr>
            <w:r>
              <w:rPr>
                <w:rFonts w:hint="eastAsia" w:hAnsi="宋体" w:cs="宋体"/>
                <w:color w:val="auto"/>
                <w:szCs w:val="21"/>
                <w:highlight w:val="none"/>
              </w:rPr>
              <w:t>■</w:t>
            </w:r>
            <w:r>
              <w:rPr>
                <w:rFonts w:hint="default" w:hAnsi="宋体"/>
                <w:color w:val="auto"/>
                <w:szCs w:val="21"/>
                <w:highlight w:val="none"/>
              </w:rPr>
              <w:t>无</w:t>
            </w:r>
          </w:p>
          <w:p w14:paraId="602775C3">
            <w:pPr>
              <w:keepNext w:val="0"/>
              <w:keepLines w:val="0"/>
              <w:suppressLineNumbers w:val="0"/>
              <w:spacing w:before="0" w:beforeAutospacing="0" w:after="0" w:afterAutospacing="0"/>
              <w:ind w:left="0" w:right="0"/>
              <w:rPr>
                <w:rFonts w:hint="default" w:hAnsi="宋体"/>
                <w:color w:val="auto"/>
                <w:szCs w:val="21"/>
                <w:highlight w:val="none"/>
                <w:u w:val="single"/>
              </w:rPr>
            </w:pPr>
            <w:r>
              <w:rPr>
                <w:rFonts w:hint="eastAsia" w:hAnsi="宋体"/>
                <w:color w:val="auto"/>
                <w:szCs w:val="21"/>
                <w:highlight w:val="none"/>
              </w:rPr>
              <w:t>□</w:t>
            </w:r>
            <w:r>
              <w:rPr>
                <w:rFonts w:hint="default" w:hAnsi="宋体"/>
                <w:color w:val="auto"/>
                <w:szCs w:val="21"/>
                <w:highlight w:val="none"/>
              </w:rPr>
              <w:t>有，具体要求：</w:t>
            </w:r>
          </w:p>
        </w:tc>
      </w:tr>
      <w:tr w14:paraId="36933B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1178" w:type="dxa"/>
            <w:vAlign w:val="center"/>
          </w:tcPr>
          <w:p w14:paraId="126A5B8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3.5.2</w:t>
            </w:r>
          </w:p>
        </w:tc>
        <w:tc>
          <w:tcPr>
            <w:tcW w:w="2534" w:type="dxa"/>
            <w:vAlign w:val="center"/>
          </w:tcPr>
          <w:p w14:paraId="229992F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近年财务状况的年份要求</w:t>
            </w:r>
          </w:p>
        </w:tc>
        <w:tc>
          <w:tcPr>
            <w:tcW w:w="6035" w:type="dxa"/>
            <w:vAlign w:val="center"/>
          </w:tcPr>
          <w:p w14:paraId="2ECB7C05">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 xml:space="preserve">/ </w:t>
            </w:r>
            <w:r>
              <w:rPr>
                <w:rFonts w:hint="default" w:ascii="宋体" w:hAnsi="宋体"/>
                <w:color w:val="auto"/>
                <w:szCs w:val="21"/>
                <w:highlight w:val="none"/>
              </w:rPr>
              <w:t>年至</w:t>
            </w:r>
            <w:r>
              <w:rPr>
                <w:rFonts w:hint="eastAsia" w:ascii="宋体" w:hAnsi="宋体"/>
                <w:color w:val="auto"/>
                <w:szCs w:val="21"/>
                <w:highlight w:val="none"/>
                <w:u w:val="single"/>
              </w:rPr>
              <w:t xml:space="preserve">/ </w:t>
            </w:r>
            <w:r>
              <w:rPr>
                <w:rFonts w:hint="default" w:ascii="宋体" w:hAnsi="宋体"/>
                <w:color w:val="auto"/>
                <w:szCs w:val="21"/>
                <w:highlight w:val="none"/>
              </w:rPr>
              <w:t>年</w:t>
            </w:r>
          </w:p>
        </w:tc>
      </w:tr>
      <w:tr w14:paraId="2CA0A3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1178" w:type="dxa"/>
            <w:vAlign w:val="center"/>
          </w:tcPr>
          <w:p w14:paraId="0848920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3.5.3</w:t>
            </w:r>
          </w:p>
        </w:tc>
        <w:tc>
          <w:tcPr>
            <w:tcW w:w="2534" w:type="dxa"/>
            <w:vAlign w:val="center"/>
          </w:tcPr>
          <w:p w14:paraId="081FB86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近年完成的类似项目情况</w:t>
            </w:r>
            <w:r>
              <w:rPr>
                <w:rFonts w:hint="eastAsia" w:ascii="宋体" w:hAnsi="宋体"/>
                <w:color w:val="auto"/>
                <w:szCs w:val="21"/>
                <w:highlight w:val="none"/>
              </w:rPr>
              <w:t>的</w:t>
            </w:r>
            <w:r>
              <w:rPr>
                <w:rFonts w:hint="default" w:ascii="宋体" w:hAnsi="宋体"/>
                <w:color w:val="auto"/>
                <w:szCs w:val="21"/>
                <w:highlight w:val="none"/>
              </w:rPr>
              <w:t>时间要求</w:t>
            </w:r>
          </w:p>
        </w:tc>
        <w:tc>
          <w:tcPr>
            <w:tcW w:w="6035" w:type="dxa"/>
            <w:vAlign w:val="center"/>
          </w:tcPr>
          <w:p w14:paraId="1A088CC9">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olor w:val="auto"/>
                <w:szCs w:val="21"/>
                <w:highlight w:val="none"/>
                <w:u w:val="single"/>
              </w:rPr>
              <w:t xml:space="preserve">/ </w:t>
            </w:r>
            <w:r>
              <w:rPr>
                <w:rFonts w:hint="default" w:ascii="宋体" w:hAnsi="宋体"/>
                <w:color w:val="auto"/>
                <w:szCs w:val="21"/>
                <w:highlight w:val="none"/>
              </w:rPr>
              <w:t>年</w:t>
            </w:r>
            <w:r>
              <w:rPr>
                <w:rFonts w:hint="eastAsia" w:ascii="宋体" w:hAnsi="宋体"/>
                <w:color w:val="auto"/>
                <w:szCs w:val="21"/>
                <w:highlight w:val="none"/>
                <w:u w:val="single"/>
              </w:rPr>
              <w:t xml:space="preserve"> /</w:t>
            </w:r>
            <w:r>
              <w:rPr>
                <w:rFonts w:hint="default" w:ascii="宋体" w:hAnsi="宋体"/>
                <w:color w:val="auto"/>
                <w:szCs w:val="21"/>
                <w:highlight w:val="none"/>
              </w:rPr>
              <w:t>月</w:t>
            </w:r>
            <w:r>
              <w:rPr>
                <w:rFonts w:hint="eastAsia" w:ascii="宋体" w:hAnsi="宋体"/>
                <w:color w:val="auto"/>
                <w:szCs w:val="21"/>
                <w:highlight w:val="none"/>
                <w:u w:val="single"/>
              </w:rPr>
              <w:t xml:space="preserve"> / </w:t>
            </w:r>
            <w:r>
              <w:rPr>
                <w:rFonts w:hint="default" w:ascii="宋体" w:hAnsi="宋体"/>
                <w:color w:val="auto"/>
                <w:szCs w:val="21"/>
                <w:highlight w:val="none"/>
              </w:rPr>
              <w:t>日至</w:t>
            </w:r>
            <w:r>
              <w:rPr>
                <w:rFonts w:hint="eastAsia" w:ascii="宋体" w:hAnsi="宋体"/>
                <w:color w:val="auto"/>
                <w:szCs w:val="21"/>
                <w:highlight w:val="none"/>
                <w:u w:val="single"/>
              </w:rPr>
              <w:t xml:space="preserve"> / </w:t>
            </w:r>
            <w:r>
              <w:rPr>
                <w:rFonts w:hint="default" w:ascii="宋体" w:hAnsi="宋体"/>
                <w:color w:val="auto"/>
                <w:szCs w:val="21"/>
                <w:highlight w:val="none"/>
              </w:rPr>
              <w:t>年</w:t>
            </w:r>
            <w:r>
              <w:rPr>
                <w:rFonts w:hint="eastAsia" w:ascii="宋体" w:hAnsi="宋体"/>
                <w:color w:val="auto"/>
                <w:szCs w:val="21"/>
                <w:highlight w:val="none"/>
                <w:u w:val="single"/>
              </w:rPr>
              <w:t xml:space="preserve"> / </w:t>
            </w:r>
            <w:r>
              <w:rPr>
                <w:rFonts w:hint="default" w:ascii="宋体" w:hAnsi="宋体"/>
                <w:color w:val="auto"/>
                <w:szCs w:val="21"/>
                <w:highlight w:val="none"/>
              </w:rPr>
              <w:t>月</w:t>
            </w:r>
            <w:r>
              <w:rPr>
                <w:rFonts w:hint="eastAsia" w:ascii="宋体" w:hAnsi="宋体"/>
                <w:color w:val="auto"/>
                <w:szCs w:val="21"/>
                <w:highlight w:val="none"/>
                <w:u w:val="single"/>
              </w:rPr>
              <w:t xml:space="preserve"> / </w:t>
            </w:r>
            <w:r>
              <w:rPr>
                <w:rFonts w:hint="default" w:ascii="宋体" w:hAnsi="宋体"/>
                <w:color w:val="auto"/>
                <w:szCs w:val="21"/>
                <w:highlight w:val="none"/>
              </w:rPr>
              <w:t>日</w:t>
            </w:r>
          </w:p>
        </w:tc>
      </w:tr>
      <w:tr w14:paraId="518F5D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1178" w:type="dxa"/>
            <w:vAlign w:val="center"/>
          </w:tcPr>
          <w:p w14:paraId="037CBAD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3.5.5</w:t>
            </w:r>
          </w:p>
        </w:tc>
        <w:tc>
          <w:tcPr>
            <w:tcW w:w="2534" w:type="dxa"/>
            <w:vAlign w:val="center"/>
          </w:tcPr>
          <w:p w14:paraId="1745811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近年发生的诉讼及仲裁情况的时间要求</w:t>
            </w:r>
          </w:p>
        </w:tc>
        <w:tc>
          <w:tcPr>
            <w:tcW w:w="6035" w:type="dxa"/>
            <w:vAlign w:val="center"/>
          </w:tcPr>
          <w:p w14:paraId="4E9E110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 xml:space="preserve"> / </w:t>
            </w:r>
            <w:r>
              <w:rPr>
                <w:rFonts w:hint="default" w:ascii="宋体" w:hAnsi="宋体"/>
                <w:color w:val="auto"/>
                <w:szCs w:val="21"/>
                <w:highlight w:val="none"/>
              </w:rPr>
              <w:t>年</w:t>
            </w:r>
            <w:r>
              <w:rPr>
                <w:rFonts w:hint="eastAsia" w:ascii="宋体" w:hAnsi="宋体"/>
                <w:color w:val="auto"/>
                <w:szCs w:val="21"/>
                <w:highlight w:val="none"/>
                <w:u w:val="single"/>
              </w:rPr>
              <w:t xml:space="preserve"> /</w:t>
            </w:r>
            <w:r>
              <w:rPr>
                <w:rFonts w:hint="default" w:ascii="宋体" w:hAnsi="宋体"/>
                <w:color w:val="auto"/>
                <w:szCs w:val="21"/>
                <w:highlight w:val="none"/>
              </w:rPr>
              <w:t>月</w:t>
            </w:r>
            <w:r>
              <w:rPr>
                <w:rFonts w:hint="eastAsia" w:ascii="宋体" w:hAnsi="宋体"/>
                <w:color w:val="auto"/>
                <w:szCs w:val="21"/>
                <w:highlight w:val="none"/>
                <w:u w:val="single"/>
              </w:rPr>
              <w:t xml:space="preserve"> / </w:t>
            </w:r>
            <w:r>
              <w:rPr>
                <w:rFonts w:hint="default" w:ascii="宋体" w:hAnsi="宋体"/>
                <w:color w:val="auto"/>
                <w:szCs w:val="21"/>
                <w:highlight w:val="none"/>
              </w:rPr>
              <w:t>日至</w:t>
            </w:r>
            <w:r>
              <w:rPr>
                <w:rFonts w:hint="eastAsia" w:ascii="宋体" w:hAnsi="宋体"/>
                <w:color w:val="auto"/>
                <w:szCs w:val="21"/>
                <w:highlight w:val="none"/>
                <w:u w:val="single"/>
              </w:rPr>
              <w:t xml:space="preserve"> / </w:t>
            </w:r>
            <w:r>
              <w:rPr>
                <w:rFonts w:hint="default" w:ascii="宋体" w:hAnsi="宋体"/>
                <w:color w:val="auto"/>
                <w:szCs w:val="21"/>
                <w:highlight w:val="none"/>
              </w:rPr>
              <w:t>年</w:t>
            </w:r>
            <w:r>
              <w:rPr>
                <w:rFonts w:hint="eastAsia" w:ascii="宋体" w:hAnsi="宋体"/>
                <w:color w:val="auto"/>
                <w:szCs w:val="21"/>
                <w:highlight w:val="none"/>
                <w:u w:val="single"/>
              </w:rPr>
              <w:t xml:space="preserve"> / </w:t>
            </w:r>
            <w:r>
              <w:rPr>
                <w:rFonts w:hint="default" w:ascii="宋体" w:hAnsi="宋体"/>
                <w:color w:val="auto"/>
                <w:szCs w:val="21"/>
                <w:highlight w:val="none"/>
              </w:rPr>
              <w:t>月</w:t>
            </w:r>
            <w:r>
              <w:rPr>
                <w:rFonts w:hint="eastAsia" w:ascii="宋体" w:hAnsi="宋体"/>
                <w:color w:val="auto"/>
                <w:szCs w:val="21"/>
                <w:highlight w:val="none"/>
                <w:u w:val="single"/>
              </w:rPr>
              <w:t xml:space="preserve"> / </w:t>
            </w:r>
            <w:r>
              <w:rPr>
                <w:rFonts w:hint="default" w:ascii="宋体" w:hAnsi="宋体"/>
                <w:color w:val="auto"/>
                <w:szCs w:val="21"/>
                <w:highlight w:val="none"/>
              </w:rPr>
              <w:t>日</w:t>
            </w:r>
          </w:p>
        </w:tc>
      </w:tr>
      <w:tr w14:paraId="7B583B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1178" w:type="dxa"/>
            <w:vAlign w:val="center"/>
          </w:tcPr>
          <w:p w14:paraId="1030D0E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3.6.1</w:t>
            </w:r>
          </w:p>
        </w:tc>
        <w:tc>
          <w:tcPr>
            <w:tcW w:w="2534" w:type="dxa"/>
            <w:vAlign w:val="center"/>
          </w:tcPr>
          <w:p w14:paraId="18B4B6F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是否允许递交备选投标方案</w:t>
            </w:r>
          </w:p>
        </w:tc>
        <w:tc>
          <w:tcPr>
            <w:tcW w:w="6035" w:type="dxa"/>
            <w:vAlign w:val="center"/>
          </w:tcPr>
          <w:p w14:paraId="49FDC43E">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s="宋体"/>
                <w:color w:val="auto"/>
                <w:szCs w:val="21"/>
                <w:highlight w:val="none"/>
                <w:lang w:val="en-US"/>
              </w:rPr>
              <w:t>■</w:t>
            </w:r>
            <w:r>
              <w:rPr>
                <w:rFonts w:hint="default" w:hAnsi="宋体"/>
                <w:color w:val="auto"/>
                <w:sz w:val="21"/>
                <w:szCs w:val="21"/>
                <w:highlight w:val="none"/>
                <w:lang w:val="en-US"/>
              </w:rPr>
              <w:t>不允许</w:t>
            </w:r>
          </w:p>
          <w:p w14:paraId="3552365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允许</w:t>
            </w:r>
          </w:p>
        </w:tc>
      </w:tr>
      <w:tr w14:paraId="1199E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8" w:type="dxa"/>
            <w:vAlign w:val="center"/>
          </w:tcPr>
          <w:p w14:paraId="46368F2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3.7.3A（2）</w:t>
            </w:r>
          </w:p>
        </w:tc>
        <w:tc>
          <w:tcPr>
            <w:tcW w:w="2534" w:type="dxa"/>
            <w:vAlign w:val="center"/>
          </w:tcPr>
          <w:p w14:paraId="41B0C0C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投标文件份数</w:t>
            </w:r>
          </w:p>
        </w:tc>
        <w:tc>
          <w:tcPr>
            <w:tcW w:w="6035" w:type="dxa"/>
            <w:vAlign w:val="center"/>
          </w:tcPr>
          <w:p w14:paraId="43BBB7CF">
            <w:pPr>
              <w:pStyle w:val="15"/>
              <w:keepNext w:val="0"/>
              <w:keepLines w:val="0"/>
              <w:suppressLineNumbers w:val="0"/>
              <w:topLinePunct/>
              <w:snapToGrid w:val="0"/>
              <w:spacing w:before="0" w:beforeAutospacing="0" w:after="0" w:afterAutospacing="0"/>
              <w:ind w:left="0" w:right="0"/>
              <w:rPr>
                <w:rFonts w:hint="default" w:hAnsi="宋体"/>
                <w:color w:val="auto"/>
                <w:szCs w:val="21"/>
                <w:highlight w:val="none"/>
                <w:u w:val="single"/>
                <w:lang w:val="en-US"/>
              </w:rPr>
            </w:pPr>
            <w:r>
              <w:rPr>
                <w:rFonts w:hint="eastAsia" w:hAnsi="宋体"/>
                <w:color w:val="auto"/>
                <w:sz w:val="21"/>
                <w:szCs w:val="21"/>
                <w:highlight w:val="none"/>
                <w:u w:val="single"/>
                <w:lang w:val="en-US"/>
              </w:rPr>
              <w:t>中标结果公示后3天内中标人需将在广州交易集团有限公司（广州公共资源交易中心）网站下载的投标文件打印，投标文件需与中标人在广州交易集团有限公司（广州公共资源交易中心）网站提交的投标文件一致，中标人加盖公章，一正2副（加盖公章），合共3套投标文件提供给招标人，相关费用由中标人支付。</w:t>
            </w:r>
          </w:p>
        </w:tc>
      </w:tr>
      <w:tr w14:paraId="0F456F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 w:hRule="atLeast"/>
        </w:trPr>
        <w:tc>
          <w:tcPr>
            <w:tcW w:w="1178" w:type="dxa"/>
            <w:vAlign w:val="center"/>
          </w:tcPr>
          <w:p w14:paraId="5190C03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3.7.3A（3）</w:t>
            </w:r>
          </w:p>
        </w:tc>
        <w:tc>
          <w:tcPr>
            <w:tcW w:w="2534" w:type="dxa"/>
            <w:vAlign w:val="center"/>
          </w:tcPr>
          <w:p w14:paraId="23C1B03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投标文件是否需分册装订</w:t>
            </w:r>
          </w:p>
        </w:tc>
        <w:tc>
          <w:tcPr>
            <w:tcW w:w="6035" w:type="dxa"/>
            <w:vAlign w:val="center"/>
          </w:tcPr>
          <w:p w14:paraId="215432E9">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p>
        </w:tc>
      </w:tr>
      <w:tr w14:paraId="3CF6DE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78" w:type="dxa"/>
            <w:vAlign w:val="center"/>
          </w:tcPr>
          <w:p w14:paraId="6A06C1C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3.7.3（B）</w:t>
            </w:r>
          </w:p>
        </w:tc>
        <w:tc>
          <w:tcPr>
            <w:tcW w:w="2534" w:type="dxa"/>
            <w:vAlign w:val="center"/>
          </w:tcPr>
          <w:p w14:paraId="31EF092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投标文件所附证书证件要求</w:t>
            </w:r>
          </w:p>
        </w:tc>
        <w:tc>
          <w:tcPr>
            <w:tcW w:w="6035" w:type="dxa"/>
            <w:vAlign w:val="center"/>
          </w:tcPr>
          <w:p w14:paraId="11538F9C">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u w:val="single"/>
                <w:lang w:val="en-US"/>
              </w:rPr>
              <w:t>证书证件需为原件清晰扫描件，并采用单位数字证书，按照招标文件要求在相应位置加盖电子印章。</w:t>
            </w:r>
          </w:p>
        </w:tc>
      </w:tr>
      <w:tr w14:paraId="207105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78" w:type="dxa"/>
            <w:vAlign w:val="center"/>
          </w:tcPr>
          <w:p w14:paraId="18C1BCC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3.7.3（B）</w:t>
            </w:r>
          </w:p>
        </w:tc>
        <w:tc>
          <w:tcPr>
            <w:tcW w:w="2534" w:type="dxa"/>
            <w:vAlign w:val="center"/>
          </w:tcPr>
          <w:p w14:paraId="0E55D69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投标文件签字或盖章要求</w:t>
            </w:r>
          </w:p>
        </w:tc>
        <w:tc>
          <w:tcPr>
            <w:tcW w:w="6035" w:type="dxa"/>
            <w:vAlign w:val="center"/>
          </w:tcPr>
          <w:p w14:paraId="65BA4D95">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投标文件全部采用电子文档，投标文件所附证书证件均为原件扫描件，并采用单位数字证书，按招标文件要求在相应位置加盖电子印章。投标文件中需个人签字或盖章的，应在线下完成后扫描上传。投标文件按招标文件要求加盖单位电子印章。具体操作详见广州交易集团有限公司（广州公共资源交易中心）网站最新发布的相关指引。</w:t>
            </w:r>
          </w:p>
        </w:tc>
      </w:tr>
      <w:tr w14:paraId="79A6BE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78" w:type="dxa"/>
            <w:vAlign w:val="center"/>
          </w:tcPr>
          <w:p w14:paraId="5E31AC5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4.1.1（B）</w:t>
            </w:r>
          </w:p>
        </w:tc>
        <w:tc>
          <w:tcPr>
            <w:tcW w:w="2534" w:type="dxa"/>
            <w:vAlign w:val="center"/>
          </w:tcPr>
          <w:p w14:paraId="435F4C0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投标文件加密要求</w:t>
            </w:r>
          </w:p>
        </w:tc>
        <w:tc>
          <w:tcPr>
            <w:tcW w:w="6035" w:type="dxa"/>
            <w:vAlign w:val="center"/>
          </w:tcPr>
          <w:p w14:paraId="02707CB9">
            <w:pPr>
              <w:pStyle w:val="15"/>
              <w:keepNext w:val="0"/>
              <w:keepLines w:val="0"/>
              <w:suppressLineNumbers w:val="0"/>
              <w:topLinePunct/>
              <w:snapToGrid w:val="0"/>
              <w:spacing w:before="0" w:beforeAutospacing="0" w:after="0" w:afterAutospacing="0"/>
              <w:ind w:left="0" w:right="0"/>
              <w:rPr>
                <w:rFonts w:hint="default" w:hAnsi="宋体"/>
                <w:color w:val="auto"/>
                <w:szCs w:val="21"/>
                <w:highlight w:val="none"/>
                <w:u w:val="single"/>
                <w:lang w:val="en-US"/>
              </w:rPr>
            </w:pPr>
            <w:r>
              <w:rPr>
                <w:rFonts w:hint="eastAsia" w:hAnsi="宋体"/>
                <w:color w:val="auto"/>
                <w:sz w:val="21"/>
                <w:szCs w:val="21"/>
                <w:highlight w:val="none"/>
                <w:lang w:val="en-US"/>
              </w:rPr>
              <w:t>网上递交的电子投标文件须进行加密。具体操作详见广州交易集团有限公司（广州公共资源交易中心）网站最新发布的相关指引。</w:t>
            </w:r>
          </w:p>
        </w:tc>
      </w:tr>
      <w:tr w14:paraId="5396C2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8" w:hRule="atLeast"/>
        </w:trPr>
        <w:tc>
          <w:tcPr>
            <w:tcW w:w="1178" w:type="dxa"/>
            <w:vAlign w:val="center"/>
          </w:tcPr>
          <w:p w14:paraId="19B4CBB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4.1.2</w:t>
            </w:r>
          </w:p>
        </w:tc>
        <w:tc>
          <w:tcPr>
            <w:tcW w:w="2534" w:type="dxa"/>
            <w:vAlign w:val="center"/>
          </w:tcPr>
          <w:p w14:paraId="572E69EB">
            <w:pPr>
              <w:keepNext w:val="0"/>
              <w:keepLines w:val="0"/>
              <w:suppressLineNumbers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封套上应载明</w:t>
            </w:r>
          </w:p>
          <w:p w14:paraId="566255B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shd w:val="clear" w:color="FFFFFF" w:fill="D9D9D9"/>
              </w:rPr>
            </w:pPr>
            <w:r>
              <w:rPr>
                <w:rFonts w:hint="eastAsia" w:ascii="宋体" w:hAnsi="宋体"/>
                <w:color w:val="auto"/>
                <w:szCs w:val="21"/>
                <w:highlight w:val="none"/>
              </w:rPr>
              <w:t>的信息</w:t>
            </w:r>
          </w:p>
        </w:tc>
        <w:tc>
          <w:tcPr>
            <w:tcW w:w="6035" w:type="dxa"/>
            <w:vAlign w:val="center"/>
          </w:tcPr>
          <w:p w14:paraId="1D777119">
            <w:pPr>
              <w:keepNext w:val="0"/>
              <w:keepLines w:val="0"/>
              <w:suppressLineNumbers w:val="0"/>
              <w:spacing w:before="0" w:beforeAutospacing="0" w:after="0" w:afterAutospacing="0" w:line="360" w:lineRule="auto"/>
              <w:ind w:left="0" w:right="0"/>
              <w:rPr>
                <w:rFonts w:hint="default" w:ascii="宋体" w:hAnsi="宋体" w:cs="宋体"/>
                <w:b/>
                <w:color w:val="auto"/>
                <w:szCs w:val="21"/>
                <w:highlight w:val="none"/>
                <w:u w:val="single"/>
              </w:rPr>
            </w:pPr>
            <w:r>
              <w:rPr>
                <w:rFonts w:hint="eastAsia" w:ascii="宋体" w:hAnsi="宋体" w:cs="宋体"/>
                <w:b/>
                <w:color w:val="auto"/>
                <w:szCs w:val="21"/>
                <w:highlight w:val="none"/>
                <w:u w:val="single"/>
              </w:rPr>
              <w:t>如有提交投标文件光盘备用，封套上应注明如下信息：</w:t>
            </w:r>
          </w:p>
          <w:p w14:paraId="7DE46836">
            <w:pPr>
              <w:pStyle w:val="15"/>
              <w:keepNext w:val="0"/>
              <w:keepLines w:val="0"/>
              <w:suppressLineNumbers w:val="0"/>
              <w:topLinePunct/>
              <w:snapToGrid w:val="0"/>
              <w:spacing w:before="0" w:beforeAutospacing="0" w:after="0" w:afterAutospacing="0" w:line="400" w:lineRule="exact"/>
              <w:ind w:left="0" w:right="174" w:rightChars="83"/>
              <w:rPr>
                <w:rFonts w:hint="default" w:hAnsi="宋体"/>
                <w:color w:val="auto"/>
                <w:sz w:val="21"/>
                <w:szCs w:val="21"/>
                <w:highlight w:val="none"/>
                <w:u w:val="single"/>
                <w:lang w:val="en-US"/>
              </w:rPr>
            </w:pPr>
            <w:r>
              <w:rPr>
                <w:rFonts w:hint="eastAsia" w:hAnsi="宋体"/>
                <w:color w:val="auto"/>
                <w:sz w:val="21"/>
                <w:szCs w:val="21"/>
                <w:highlight w:val="none"/>
                <w:lang w:val="en-US"/>
              </w:rPr>
              <w:t>招标人名称：</w:t>
            </w:r>
            <w:r>
              <w:rPr>
                <w:rFonts w:hint="eastAsia" w:hAnsi="宋体"/>
                <w:color w:val="auto"/>
                <w:sz w:val="21"/>
                <w:szCs w:val="21"/>
                <w:highlight w:val="none"/>
                <w:u w:val="single"/>
                <w:lang w:val="en-US"/>
              </w:rPr>
              <w:t>广州文化策划传播有限公司</w:t>
            </w:r>
          </w:p>
          <w:p w14:paraId="3CB5E8C4">
            <w:pPr>
              <w:keepNext w:val="0"/>
              <w:keepLines w:val="0"/>
              <w:suppressLineNumbers w:val="0"/>
              <w:snapToGrid w:val="0"/>
              <w:spacing w:before="0" w:beforeAutospacing="0" w:after="0" w:afterAutospacing="0" w:line="400" w:lineRule="exact"/>
              <w:ind w:left="0" w:right="174" w:rightChars="83"/>
              <w:rPr>
                <w:rFonts w:hint="default" w:hAnsi="宋体"/>
                <w:color w:val="auto"/>
                <w:szCs w:val="21"/>
                <w:highlight w:val="none"/>
              </w:rPr>
            </w:pPr>
            <w:r>
              <w:rPr>
                <w:rFonts w:hint="eastAsia" w:ascii="宋体" w:hAnsi="宋体" w:cs="宋体"/>
                <w:color w:val="auto"/>
                <w:szCs w:val="21"/>
                <w:highlight w:val="none"/>
                <w:u w:val="single"/>
              </w:rPr>
              <w:t>2025年广州国际灯光节作品创意策划及执行团队服务项目</w:t>
            </w:r>
            <w:r>
              <w:rPr>
                <w:rFonts w:hint="eastAsia" w:hAnsi="宋体"/>
                <w:color w:val="auto"/>
                <w:szCs w:val="21"/>
                <w:highlight w:val="none"/>
              </w:rPr>
              <w:t>投标文件备用光盘</w:t>
            </w:r>
          </w:p>
          <w:p w14:paraId="42EFE8C4">
            <w:pPr>
              <w:pStyle w:val="15"/>
              <w:keepNext w:val="0"/>
              <w:keepLines w:val="0"/>
              <w:suppressLineNumbers w:val="0"/>
              <w:topLinePunct/>
              <w:snapToGrid w:val="0"/>
              <w:spacing w:before="0" w:beforeAutospacing="0" w:after="0" w:afterAutospacing="0" w:line="400" w:lineRule="exact"/>
              <w:ind w:left="0" w:right="174" w:rightChars="83"/>
              <w:rPr>
                <w:rFonts w:hint="default" w:hAnsi="宋体"/>
                <w:color w:val="auto"/>
                <w:sz w:val="21"/>
                <w:szCs w:val="21"/>
                <w:highlight w:val="none"/>
                <w:lang w:val="en-US"/>
              </w:rPr>
            </w:pPr>
            <w:r>
              <w:rPr>
                <w:rFonts w:hint="eastAsia" w:hAnsi="宋体"/>
                <w:color w:val="auto"/>
                <w:sz w:val="21"/>
                <w:szCs w:val="21"/>
                <w:highlight w:val="none"/>
                <w:lang w:val="en-US"/>
              </w:rPr>
              <w:t>招标项目编号：</w:t>
            </w:r>
          </w:p>
          <w:p w14:paraId="6280AF07">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AF2A043">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投标人地址：</w:t>
            </w:r>
            <w:r>
              <w:rPr>
                <w:rFonts w:hint="eastAsia" w:ascii="宋体" w:hAnsi="宋体" w:cs="宋体"/>
                <w:color w:val="auto"/>
                <w:szCs w:val="21"/>
                <w:highlight w:val="none"/>
                <w:u w:val="single"/>
              </w:rPr>
              <w:t xml:space="preserve">                    </w:t>
            </w:r>
          </w:p>
          <w:p w14:paraId="7FC1F5BC">
            <w:pPr>
              <w:pStyle w:val="15"/>
              <w:keepNext w:val="0"/>
              <w:keepLines w:val="0"/>
              <w:suppressLineNumbers w:val="0"/>
              <w:topLinePunct/>
              <w:snapToGrid w:val="0"/>
              <w:spacing w:before="0" w:beforeAutospacing="0" w:after="0" w:afterAutospacing="0"/>
              <w:ind w:left="0" w:right="0"/>
              <w:rPr>
                <w:rFonts w:hint="default" w:hAnsi="宋体"/>
                <w:color w:val="auto"/>
                <w:szCs w:val="21"/>
                <w:highlight w:val="none"/>
                <w:lang w:val="en-US"/>
              </w:rPr>
            </w:pPr>
            <w:r>
              <w:rPr>
                <w:rFonts w:hint="eastAsia" w:hAnsi="宋体"/>
                <w:color w:val="auto"/>
                <w:sz w:val="21"/>
                <w:szCs w:val="21"/>
                <w:highlight w:val="none"/>
                <w:u w:val="single"/>
                <w:lang w:val="en-US"/>
              </w:rPr>
              <w:t>在   年   月   日时</w:t>
            </w:r>
            <w:r>
              <w:rPr>
                <w:rFonts w:hint="eastAsia" w:hAnsi="宋体"/>
                <w:color w:val="auto"/>
                <w:sz w:val="21"/>
                <w:szCs w:val="21"/>
                <w:highlight w:val="none"/>
                <w:lang w:val="en-US"/>
              </w:rPr>
              <w:t>前不得开启</w:t>
            </w:r>
          </w:p>
        </w:tc>
      </w:tr>
      <w:tr w14:paraId="53A7DB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78" w:type="dxa"/>
            <w:vAlign w:val="center"/>
          </w:tcPr>
          <w:p w14:paraId="1DB2DC7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4.2.1</w:t>
            </w:r>
          </w:p>
        </w:tc>
        <w:tc>
          <w:tcPr>
            <w:tcW w:w="2534" w:type="dxa"/>
            <w:vAlign w:val="center"/>
          </w:tcPr>
          <w:p w14:paraId="363D62F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投标截止时间</w:t>
            </w:r>
          </w:p>
        </w:tc>
        <w:tc>
          <w:tcPr>
            <w:tcW w:w="6035" w:type="dxa"/>
            <w:vAlign w:val="center"/>
          </w:tcPr>
          <w:p w14:paraId="7E83E814">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u w:val="single"/>
              </w:rPr>
              <w:t xml:space="preserve"> </w:t>
            </w:r>
            <w:r>
              <w:rPr>
                <w:rFonts w:hint="eastAsia" w:ascii="宋体" w:hAnsi="宋体"/>
                <w:color w:val="auto"/>
                <w:szCs w:val="21"/>
                <w:highlight w:val="none"/>
                <w:u w:val="single"/>
              </w:rPr>
              <w:t>2025</w:t>
            </w:r>
            <w:r>
              <w:rPr>
                <w:rFonts w:hint="default" w:ascii="宋体" w:hAnsi="宋体"/>
                <w:color w:val="auto"/>
                <w:szCs w:val="21"/>
                <w:highlight w:val="none"/>
                <w:u w:val="single"/>
              </w:rPr>
              <w:t xml:space="preserve"> </w:t>
            </w:r>
            <w:r>
              <w:rPr>
                <w:rFonts w:hint="eastAsia" w:ascii="宋体" w:hAnsi="宋体"/>
                <w:color w:val="auto"/>
                <w:szCs w:val="21"/>
                <w:highlight w:val="none"/>
              </w:rPr>
              <w:t>年</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default" w:ascii="宋体" w:hAnsi="宋体"/>
                <w:color w:val="auto"/>
                <w:szCs w:val="21"/>
                <w:highlight w:val="none"/>
                <w:u w:val="single"/>
              </w:rPr>
              <w:t xml:space="preserve"> </w:t>
            </w:r>
            <w:r>
              <w:rPr>
                <w:rFonts w:hint="eastAsia" w:ascii="宋体" w:hAnsi="宋体"/>
                <w:color w:val="auto"/>
                <w:szCs w:val="21"/>
                <w:highlight w:val="none"/>
              </w:rPr>
              <w:t>日</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tc>
      </w:tr>
      <w:tr w14:paraId="4A676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1178" w:type="dxa"/>
            <w:vAlign w:val="center"/>
          </w:tcPr>
          <w:p w14:paraId="612C845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4.2.2（A）</w:t>
            </w:r>
          </w:p>
        </w:tc>
        <w:tc>
          <w:tcPr>
            <w:tcW w:w="2534" w:type="dxa"/>
            <w:vAlign w:val="center"/>
          </w:tcPr>
          <w:p w14:paraId="653DE86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递交投标文件</w:t>
            </w:r>
            <w:r>
              <w:rPr>
                <w:rFonts w:hint="eastAsia" w:ascii="宋体" w:hAnsi="宋体"/>
                <w:color w:val="auto"/>
                <w:szCs w:val="21"/>
                <w:highlight w:val="none"/>
              </w:rPr>
              <w:t>时间和</w:t>
            </w:r>
            <w:r>
              <w:rPr>
                <w:rFonts w:hint="default" w:ascii="宋体" w:hAnsi="宋体"/>
                <w:color w:val="auto"/>
                <w:szCs w:val="21"/>
                <w:highlight w:val="none"/>
              </w:rPr>
              <w:t>地点</w:t>
            </w:r>
          </w:p>
        </w:tc>
        <w:tc>
          <w:tcPr>
            <w:tcW w:w="6035" w:type="dxa"/>
            <w:vAlign w:val="center"/>
          </w:tcPr>
          <w:p w14:paraId="42F5876F">
            <w:pPr>
              <w:keepNext w:val="0"/>
              <w:keepLines w:val="0"/>
              <w:numPr>
                <w:ilvl w:val="0"/>
                <w:numId w:val="1"/>
              </w:numPr>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递交方式：网上递交投标文件</w:t>
            </w:r>
          </w:p>
          <w:p w14:paraId="14BA6187">
            <w:pPr>
              <w:keepNext w:val="0"/>
              <w:keepLines w:val="0"/>
              <w:numPr>
                <w:ilvl w:val="0"/>
                <w:numId w:val="1"/>
              </w:numPr>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文件的递交截止时间：同投标截止时间</w:t>
            </w:r>
          </w:p>
          <w:p w14:paraId="269173E0">
            <w:pPr>
              <w:keepNext w:val="0"/>
              <w:keepLines w:val="0"/>
              <w:numPr>
                <w:ilvl w:val="0"/>
                <w:numId w:val="1"/>
              </w:numPr>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地点：广州交易集团有限公司（广州公共资源交易中心）网站</w:t>
            </w:r>
          </w:p>
          <w:p w14:paraId="1D8B2582">
            <w:pPr>
              <w:keepNext w:val="0"/>
              <w:keepLines w:val="0"/>
              <w:numPr>
                <w:ilvl w:val="0"/>
                <w:numId w:val="1"/>
              </w:numPr>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上述时间及地点是否有改变，请密切留意招标答疑纪要的相关信息。</w:t>
            </w:r>
          </w:p>
        </w:tc>
      </w:tr>
      <w:tr w14:paraId="3B1250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1178" w:type="dxa"/>
            <w:vAlign w:val="center"/>
          </w:tcPr>
          <w:p w14:paraId="65A164B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4.2.3</w:t>
            </w:r>
          </w:p>
        </w:tc>
        <w:tc>
          <w:tcPr>
            <w:tcW w:w="2534" w:type="dxa"/>
            <w:vAlign w:val="center"/>
          </w:tcPr>
          <w:p w14:paraId="0DFF1AF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投标文件是否退还</w:t>
            </w:r>
          </w:p>
        </w:tc>
        <w:tc>
          <w:tcPr>
            <w:tcW w:w="6035" w:type="dxa"/>
            <w:vAlign w:val="center"/>
          </w:tcPr>
          <w:p w14:paraId="52993CE7">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s="宋体"/>
                <w:color w:val="auto"/>
                <w:szCs w:val="21"/>
                <w:highlight w:val="none"/>
                <w:lang w:val="en-US"/>
              </w:rPr>
              <w:t>■</w:t>
            </w:r>
            <w:r>
              <w:rPr>
                <w:rFonts w:hint="default" w:hAnsi="宋体"/>
                <w:color w:val="auto"/>
                <w:sz w:val="21"/>
                <w:szCs w:val="21"/>
                <w:highlight w:val="none"/>
                <w:lang w:val="en-US"/>
              </w:rPr>
              <w:t>否</w:t>
            </w:r>
          </w:p>
          <w:p w14:paraId="02FFCF5E">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Cs w:val="21"/>
                <w:highlight w:val="none"/>
                <w:lang w:val="en-US"/>
              </w:rPr>
              <w:t>□</w:t>
            </w:r>
            <w:r>
              <w:rPr>
                <w:rFonts w:hint="default" w:hAnsi="宋体"/>
                <w:color w:val="auto"/>
                <w:sz w:val="21"/>
                <w:szCs w:val="21"/>
                <w:highlight w:val="none"/>
                <w:lang w:val="en-US"/>
              </w:rPr>
              <w:t>是，退还时间：</w:t>
            </w:r>
            <w:r>
              <w:rPr>
                <w:rFonts w:hint="eastAsia" w:hAnsi="宋体"/>
                <w:color w:val="auto"/>
                <w:sz w:val="21"/>
                <w:szCs w:val="21"/>
                <w:highlight w:val="none"/>
                <w:u w:val="single"/>
                <w:lang w:val="en-US"/>
              </w:rPr>
              <w:t xml:space="preserve"> / </w:t>
            </w:r>
          </w:p>
        </w:tc>
      </w:tr>
      <w:tr w14:paraId="7921EA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1178" w:type="dxa"/>
            <w:vAlign w:val="center"/>
          </w:tcPr>
          <w:p w14:paraId="21693BF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5.1（</w:t>
            </w:r>
            <w:r>
              <w:rPr>
                <w:rFonts w:hint="eastAsia" w:ascii="宋体" w:hAnsi="宋体"/>
                <w:color w:val="auto"/>
                <w:szCs w:val="21"/>
                <w:highlight w:val="none"/>
              </w:rPr>
              <w:t>B</w:t>
            </w:r>
            <w:r>
              <w:rPr>
                <w:rFonts w:hint="default" w:ascii="宋体" w:hAnsi="宋体"/>
                <w:color w:val="auto"/>
                <w:szCs w:val="21"/>
                <w:highlight w:val="none"/>
              </w:rPr>
              <w:t>）</w:t>
            </w:r>
          </w:p>
        </w:tc>
        <w:tc>
          <w:tcPr>
            <w:tcW w:w="2534" w:type="dxa"/>
            <w:vAlign w:val="center"/>
          </w:tcPr>
          <w:p w14:paraId="6F2DF72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开标时间和地点</w:t>
            </w:r>
          </w:p>
        </w:tc>
        <w:tc>
          <w:tcPr>
            <w:tcW w:w="6035" w:type="dxa"/>
            <w:vAlign w:val="center"/>
          </w:tcPr>
          <w:p w14:paraId="01CF9482">
            <w:pPr>
              <w:pStyle w:val="15"/>
              <w:keepNext w:val="0"/>
              <w:keepLines w:val="0"/>
              <w:suppressLineNumbers w:val="0"/>
              <w:topLinePunct/>
              <w:snapToGrid w:val="0"/>
              <w:spacing w:before="0" w:beforeAutospacing="0" w:after="0" w:afterAutospacing="0"/>
              <w:ind w:left="0" w:right="0"/>
              <w:rPr>
                <w:rFonts w:hint="default" w:hAnsi="宋体"/>
                <w:color w:val="auto"/>
                <w:szCs w:val="21"/>
                <w:highlight w:val="none"/>
                <w:lang w:val="en-US"/>
              </w:rPr>
            </w:pPr>
            <w:r>
              <w:rPr>
                <w:rFonts w:hint="eastAsia" w:hAnsi="宋体"/>
                <w:color w:val="auto"/>
                <w:sz w:val="21"/>
                <w:szCs w:val="21"/>
                <w:highlight w:val="none"/>
                <w:lang w:val="en-US"/>
              </w:rPr>
              <w:t>本电子招投标项目在本章4.2.1项规定的投标截止时间（开标时间），在</w:t>
            </w:r>
            <w:r>
              <w:rPr>
                <w:rFonts w:hint="eastAsia" w:hAnsi="宋体"/>
                <w:color w:val="auto"/>
                <w:sz w:val="21"/>
                <w:szCs w:val="21"/>
                <w:highlight w:val="none"/>
                <w:u w:val="single"/>
                <w:lang w:val="en-US"/>
              </w:rPr>
              <w:t>广州交易集团有限公司（广州公共资源交易中心）</w:t>
            </w:r>
            <w:r>
              <w:rPr>
                <w:rFonts w:hint="eastAsia" w:hAnsi="宋体"/>
                <w:color w:val="auto"/>
                <w:sz w:val="21"/>
                <w:szCs w:val="21"/>
                <w:highlight w:val="none"/>
                <w:lang w:val="en-US"/>
              </w:rPr>
              <w:t>公开开标，并邀请所有投标人的法定代表人或其委托代理人准时参加。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EBD3F7F">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b/>
                <w:color w:val="auto"/>
                <w:sz w:val="21"/>
                <w:szCs w:val="21"/>
                <w:highlight w:val="none"/>
                <w:lang w:val="en-US"/>
              </w:rPr>
              <w:t>具体时间、地点可以到广州交易集团有限公司（广州公共资源交易中心）网站的项目查询(日程安排、答疑纪要)中输入本项目编号或项目名称进行查询。</w:t>
            </w:r>
          </w:p>
        </w:tc>
      </w:tr>
      <w:tr w14:paraId="1AB06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78" w:type="dxa"/>
            <w:vAlign w:val="center"/>
          </w:tcPr>
          <w:p w14:paraId="1E13820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5.2（</w:t>
            </w:r>
            <w:r>
              <w:rPr>
                <w:rFonts w:hint="eastAsia" w:ascii="宋体" w:hAnsi="宋体"/>
                <w:color w:val="auto"/>
                <w:szCs w:val="21"/>
                <w:highlight w:val="none"/>
              </w:rPr>
              <w:t>B</w:t>
            </w:r>
            <w:r>
              <w:rPr>
                <w:rFonts w:hint="default" w:ascii="宋体" w:hAnsi="宋体"/>
                <w:color w:val="auto"/>
                <w:szCs w:val="21"/>
                <w:highlight w:val="none"/>
              </w:rPr>
              <w:t>）</w:t>
            </w:r>
          </w:p>
        </w:tc>
        <w:tc>
          <w:tcPr>
            <w:tcW w:w="2534" w:type="dxa"/>
            <w:vAlign w:val="center"/>
          </w:tcPr>
          <w:p w14:paraId="08BE583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开标程序</w:t>
            </w:r>
          </w:p>
        </w:tc>
        <w:tc>
          <w:tcPr>
            <w:tcW w:w="6035" w:type="dxa"/>
            <w:vAlign w:val="center"/>
          </w:tcPr>
          <w:p w14:paraId="0534057A">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电子招投标项目开标按下列程序进行：</w:t>
            </w:r>
          </w:p>
          <w:p w14:paraId="14FF6C1B">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default" w:hAnsi="宋体"/>
                <w:color w:val="auto"/>
                <w:sz w:val="21"/>
                <w:szCs w:val="21"/>
                <w:highlight w:val="none"/>
                <w:lang w:val="en-US"/>
              </w:rPr>
              <w:t>5.2.1</w:t>
            </w:r>
            <w:r>
              <w:rPr>
                <w:rFonts w:hint="eastAsia" w:hAnsi="宋体"/>
                <w:color w:val="auto"/>
                <w:sz w:val="21"/>
                <w:szCs w:val="21"/>
                <w:highlight w:val="none"/>
                <w:lang w:val="en-US"/>
              </w:rPr>
              <w:t>主持人按下列程序进行开标：</w:t>
            </w:r>
          </w:p>
          <w:p w14:paraId="709D4DD4">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w:t>
            </w:r>
            <w:r>
              <w:rPr>
                <w:rFonts w:hint="default" w:hAnsi="宋体"/>
                <w:color w:val="auto"/>
                <w:sz w:val="21"/>
                <w:szCs w:val="21"/>
                <w:highlight w:val="none"/>
                <w:lang w:val="en-US"/>
              </w:rPr>
              <w:t>1</w:t>
            </w:r>
            <w:r>
              <w:rPr>
                <w:rFonts w:hint="eastAsia" w:hAnsi="宋体"/>
                <w:color w:val="auto"/>
                <w:sz w:val="21"/>
                <w:szCs w:val="21"/>
                <w:highlight w:val="none"/>
                <w:lang w:val="en-US"/>
              </w:rPr>
              <w:t>）宣布开标纪律；</w:t>
            </w:r>
          </w:p>
          <w:p w14:paraId="3D22AFF0">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w:t>
            </w:r>
            <w:r>
              <w:rPr>
                <w:rFonts w:hint="default" w:hAnsi="宋体"/>
                <w:color w:val="auto"/>
                <w:sz w:val="21"/>
                <w:szCs w:val="21"/>
                <w:highlight w:val="none"/>
                <w:lang w:val="en-US"/>
              </w:rPr>
              <w:t>2</w:t>
            </w:r>
            <w:r>
              <w:rPr>
                <w:rFonts w:hint="eastAsia" w:hAnsi="宋体"/>
                <w:color w:val="auto"/>
                <w:sz w:val="21"/>
                <w:szCs w:val="21"/>
                <w:highlight w:val="none"/>
                <w:lang w:val="en-US"/>
              </w:rPr>
              <w:t>）公布在投标截止时间前递交投标文件的投标人名称；</w:t>
            </w:r>
          </w:p>
          <w:p w14:paraId="6ABF0A5E">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w:t>
            </w:r>
            <w:r>
              <w:rPr>
                <w:rFonts w:hint="default" w:hAnsi="宋体"/>
                <w:color w:val="auto"/>
                <w:sz w:val="21"/>
                <w:szCs w:val="21"/>
                <w:highlight w:val="none"/>
                <w:lang w:val="en-US"/>
              </w:rPr>
              <w:t>3</w:t>
            </w:r>
            <w:r>
              <w:rPr>
                <w:rFonts w:hint="eastAsia" w:hAnsi="宋体"/>
                <w:color w:val="auto"/>
                <w:sz w:val="21"/>
                <w:szCs w:val="21"/>
                <w:highlight w:val="none"/>
                <w:lang w:val="en-US"/>
              </w:rPr>
              <w:t>）宣布开标人、唱标人、记录人、监标人等有关人员姓名；</w:t>
            </w:r>
          </w:p>
          <w:p w14:paraId="2F77EF92">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w:t>
            </w:r>
            <w:r>
              <w:rPr>
                <w:rFonts w:hint="default" w:hAnsi="宋体"/>
                <w:color w:val="auto"/>
                <w:sz w:val="21"/>
                <w:szCs w:val="21"/>
                <w:highlight w:val="none"/>
                <w:lang w:val="en-US"/>
              </w:rPr>
              <w:t>4</w:t>
            </w:r>
            <w:r>
              <w:rPr>
                <w:rFonts w:hint="eastAsia" w:hAnsi="宋体"/>
                <w:color w:val="auto"/>
                <w:sz w:val="21"/>
                <w:szCs w:val="21"/>
                <w:highlight w:val="none"/>
                <w:lang w:val="en-US"/>
              </w:rPr>
              <w:t>）（</w:t>
            </w:r>
            <w:r>
              <w:rPr>
                <w:rFonts w:hint="default" w:hAnsi="宋体"/>
                <w:color w:val="auto"/>
                <w:sz w:val="21"/>
                <w:szCs w:val="21"/>
                <w:highlight w:val="none"/>
                <w:lang w:val="en-US"/>
              </w:rPr>
              <w:t>B</w:t>
            </w:r>
            <w:r>
              <w:rPr>
                <w:rFonts w:hint="eastAsia" w:hAnsi="宋体"/>
                <w:color w:val="auto"/>
                <w:sz w:val="21"/>
                <w:szCs w:val="21"/>
                <w:highlight w:val="none"/>
                <w:lang w:val="en-US"/>
              </w:rPr>
              <w:t>）投标人通过电子招标投标交易平台对已递交的电子投标文件进行解密，公布招标项目名称、投标人名称、投标报价、服务期限及其他内容，并记录在案；</w:t>
            </w:r>
          </w:p>
          <w:p w14:paraId="50A1BC4B">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w:t>
            </w:r>
            <w:r>
              <w:rPr>
                <w:rFonts w:hint="default" w:hAnsi="宋体"/>
                <w:color w:val="auto"/>
                <w:sz w:val="21"/>
                <w:szCs w:val="21"/>
                <w:highlight w:val="none"/>
                <w:lang w:val="en-US"/>
              </w:rPr>
              <w:t>5</w:t>
            </w:r>
            <w:r>
              <w:rPr>
                <w:rFonts w:hint="eastAsia" w:hAnsi="宋体"/>
                <w:color w:val="auto"/>
                <w:sz w:val="21"/>
                <w:szCs w:val="21"/>
                <w:highlight w:val="none"/>
                <w:lang w:val="en-US"/>
              </w:rPr>
              <w:t>）（</w:t>
            </w:r>
            <w:r>
              <w:rPr>
                <w:rFonts w:hint="default" w:hAnsi="宋体"/>
                <w:color w:val="auto"/>
                <w:sz w:val="21"/>
                <w:szCs w:val="21"/>
                <w:highlight w:val="none"/>
                <w:lang w:val="en-US"/>
              </w:rPr>
              <w:t>B</w:t>
            </w:r>
            <w:r>
              <w:rPr>
                <w:rFonts w:hint="eastAsia" w:hAnsi="宋体"/>
                <w:color w:val="auto"/>
                <w:sz w:val="21"/>
                <w:szCs w:val="21"/>
                <w:highlight w:val="none"/>
                <w:lang w:val="en-US"/>
              </w:rPr>
              <w:t>）投标人代表、招标人代表、监标人、记录人等有关人员在开标记录上签字确认；若有关人员不签字的，不影响开标程序；</w:t>
            </w:r>
          </w:p>
          <w:p w14:paraId="57CCF4A9">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w:t>
            </w:r>
            <w:r>
              <w:rPr>
                <w:rFonts w:hint="default" w:hAnsi="宋体"/>
                <w:color w:val="auto"/>
                <w:sz w:val="21"/>
                <w:szCs w:val="21"/>
                <w:highlight w:val="none"/>
                <w:lang w:val="en-US"/>
              </w:rPr>
              <w:t>6</w:t>
            </w:r>
            <w:r>
              <w:rPr>
                <w:rFonts w:hint="eastAsia" w:hAnsi="宋体"/>
                <w:color w:val="auto"/>
                <w:sz w:val="21"/>
                <w:szCs w:val="21"/>
                <w:highlight w:val="none"/>
                <w:lang w:val="en-US"/>
              </w:rPr>
              <w:t>）开标结束。</w:t>
            </w:r>
          </w:p>
          <w:p w14:paraId="0D108A15">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default" w:hAnsi="宋体"/>
                <w:color w:val="auto"/>
                <w:sz w:val="21"/>
                <w:szCs w:val="21"/>
                <w:highlight w:val="none"/>
                <w:lang w:val="en-US"/>
              </w:rPr>
              <w:t>5.2.2</w:t>
            </w:r>
            <w:r>
              <w:rPr>
                <w:rFonts w:hint="eastAsia" w:hAnsi="宋体"/>
                <w:color w:val="auto"/>
                <w:sz w:val="21"/>
                <w:szCs w:val="21"/>
                <w:highlight w:val="none"/>
                <w:lang w:val="en-US"/>
              </w:rPr>
              <w:t>投标截止时间前未完成投标文件传输的或因投标人之外的原因造成投标文件未解密的，视为投标人撤回投标文件。因投标人原因造成投标文件未解密的或未在投标截止时间后半小时解密的，视为撤销其投标文件。</w:t>
            </w:r>
          </w:p>
          <w:p w14:paraId="59E2B14C">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default" w:hAnsi="宋体"/>
                <w:color w:val="auto"/>
                <w:sz w:val="21"/>
                <w:szCs w:val="21"/>
                <w:highlight w:val="none"/>
                <w:lang w:val="en-US"/>
              </w:rPr>
              <w:t>5.2.3</w:t>
            </w:r>
            <w:r>
              <w:rPr>
                <w:rFonts w:hint="eastAsia" w:hAnsi="宋体"/>
                <w:color w:val="auto"/>
                <w:sz w:val="21"/>
                <w:szCs w:val="21"/>
                <w:highlight w:val="none"/>
                <w:lang w:val="en-US"/>
              </w:rPr>
              <w:t>开标时，两个（含两个）以上的投标人加密打包投标文件电脑机器特征码一致的，不参与下一程序，并由评标委员会否决其投标。</w:t>
            </w:r>
          </w:p>
        </w:tc>
      </w:tr>
      <w:tr w14:paraId="206615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178" w:type="dxa"/>
            <w:vAlign w:val="center"/>
          </w:tcPr>
          <w:p w14:paraId="6FD0B89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6.1.1</w:t>
            </w:r>
          </w:p>
        </w:tc>
        <w:tc>
          <w:tcPr>
            <w:tcW w:w="2534" w:type="dxa"/>
            <w:vAlign w:val="center"/>
          </w:tcPr>
          <w:p w14:paraId="40436BB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评标委员会的组建</w:t>
            </w:r>
          </w:p>
        </w:tc>
        <w:tc>
          <w:tcPr>
            <w:tcW w:w="6035" w:type="dxa"/>
            <w:vAlign w:val="center"/>
          </w:tcPr>
          <w:p w14:paraId="40026F9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评标委员会依法组建。</w:t>
            </w:r>
          </w:p>
        </w:tc>
      </w:tr>
      <w:tr w14:paraId="5A8C62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7" w:hRule="atLeast"/>
        </w:trPr>
        <w:tc>
          <w:tcPr>
            <w:tcW w:w="1178" w:type="dxa"/>
            <w:vAlign w:val="center"/>
          </w:tcPr>
          <w:p w14:paraId="7BA6908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6.3.2</w:t>
            </w:r>
          </w:p>
        </w:tc>
        <w:tc>
          <w:tcPr>
            <w:tcW w:w="2534" w:type="dxa"/>
            <w:vAlign w:val="center"/>
          </w:tcPr>
          <w:p w14:paraId="03DBE27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评标委员会推荐中标候选人的人数</w:t>
            </w:r>
          </w:p>
        </w:tc>
        <w:tc>
          <w:tcPr>
            <w:tcW w:w="6035" w:type="dxa"/>
            <w:vAlign w:val="center"/>
          </w:tcPr>
          <w:p w14:paraId="4D5F54F0">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highlight w:val="none"/>
                <w:u w:val="single"/>
              </w:rPr>
              <w:t>所有经评审合格的投标人全部被推荐为合格的中标候选人，合格的中标候选人不排序。</w:t>
            </w:r>
          </w:p>
        </w:tc>
      </w:tr>
      <w:tr w14:paraId="5B7D73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1178" w:type="dxa"/>
            <w:vAlign w:val="center"/>
          </w:tcPr>
          <w:p w14:paraId="4BA549D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7.1</w:t>
            </w:r>
          </w:p>
        </w:tc>
        <w:tc>
          <w:tcPr>
            <w:tcW w:w="2534" w:type="dxa"/>
            <w:vAlign w:val="center"/>
          </w:tcPr>
          <w:p w14:paraId="7AABC00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中标候选人公示媒介及期限</w:t>
            </w:r>
          </w:p>
        </w:tc>
        <w:tc>
          <w:tcPr>
            <w:tcW w:w="6035" w:type="dxa"/>
            <w:vAlign w:val="center"/>
          </w:tcPr>
          <w:p w14:paraId="15339B36">
            <w:pPr>
              <w:keepNext w:val="0"/>
              <w:keepLines w:val="0"/>
              <w:suppressLineNumbers w:val="0"/>
              <w:snapToGrid w:val="0"/>
              <w:spacing w:before="0" w:beforeAutospacing="0" w:after="0" w:afterAutospacing="0"/>
              <w:ind w:left="108" w:right="106"/>
              <w:jc w:val="left"/>
              <w:rPr>
                <w:rFonts w:hint="default" w:ascii="宋体" w:hAnsi="宋体"/>
                <w:color w:val="auto"/>
                <w:szCs w:val="21"/>
                <w:highlight w:val="none"/>
              </w:rPr>
            </w:pPr>
            <w:r>
              <w:rPr>
                <w:rFonts w:hint="default" w:ascii="宋体" w:hAnsi="宋体"/>
                <w:color w:val="auto"/>
                <w:szCs w:val="21"/>
                <w:highlight w:val="none"/>
              </w:rPr>
              <w:t>公示媒介：</w:t>
            </w:r>
            <w:r>
              <w:rPr>
                <w:rFonts w:hint="eastAsia" w:ascii="宋体" w:hAnsi="宋体"/>
                <w:color w:val="auto"/>
                <w:szCs w:val="21"/>
                <w:highlight w:val="none"/>
              </w:rPr>
              <w:t>广州公共资源交易网（网址：http://www.gzggzy.cn）、广东省招标投标监管网（网址：http://zbtb.gd.gov.cn/）、中国招标投标公共服务平台（网址：</w:t>
            </w:r>
            <w:r>
              <w:rPr>
                <w:rFonts w:hint="default"/>
                <w:color w:val="auto"/>
                <w:highlight w:val="none"/>
              </w:rPr>
              <w:fldChar w:fldCharType="begin"/>
            </w:r>
            <w:r>
              <w:rPr>
                <w:rFonts w:hint="default"/>
                <w:color w:val="auto"/>
                <w:highlight w:val="none"/>
              </w:rPr>
              <w:instrText xml:space="preserve"> HYPERLINK "http://www.cebpubservice.com/" </w:instrText>
            </w:r>
            <w:r>
              <w:rPr>
                <w:rFonts w:hint="default"/>
                <w:color w:val="auto"/>
                <w:highlight w:val="none"/>
              </w:rPr>
              <w:fldChar w:fldCharType="separate"/>
            </w:r>
            <w:r>
              <w:rPr>
                <w:rStyle w:val="44"/>
                <w:rFonts w:hint="eastAsia" w:ascii="宋体" w:hAnsi="宋体"/>
                <w:color w:val="auto"/>
                <w:szCs w:val="21"/>
                <w:highlight w:val="none"/>
              </w:rPr>
              <w:t>http://www.cebpubservice.com/</w:t>
            </w:r>
            <w:r>
              <w:rPr>
                <w:rStyle w:val="44"/>
                <w:rFonts w:hint="eastAsia" w:ascii="宋体" w:hAnsi="宋体"/>
                <w:color w:val="auto"/>
                <w:szCs w:val="21"/>
                <w:highlight w:val="none"/>
              </w:rPr>
              <w:fldChar w:fldCharType="end"/>
            </w:r>
            <w:r>
              <w:rPr>
                <w:rFonts w:hint="eastAsia" w:ascii="宋体" w:hAnsi="宋体"/>
                <w:color w:val="auto"/>
                <w:szCs w:val="21"/>
                <w:highlight w:val="none"/>
              </w:rPr>
              <w:t>）</w:t>
            </w:r>
          </w:p>
          <w:p w14:paraId="2F886F77">
            <w:pPr>
              <w:keepNext w:val="0"/>
              <w:keepLines w:val="0"/>
              <w:suppressLineNumbers w:val="0"/>
              <w:snapToGrid w:val="0"/>
              <w:spacing w:before="0" w:beforeAutospacing="0" w:after="0" w:afterAutospacing="0"/>
              <w:ind w:left="108" w:right="106"/>
              <w:jc w:val="left"/>
              <w:rPr>
                <w:rFonts w:hint="default" w:ascii="宋体" w:hAnsi="宋体"/>
                <w:color w:val="auto"/>
                <w:szCs w:val="21"/>
                <w:highlight w:val="none"/>
              </w:rPr>
            </w:pPr>
            <w:r>
              <w:rPr>
                <w:rFonts w:hint="default" w:ascii="宋体" w:hAnsi="宋体"/>
                <w:color w:val="auto"/>
                <w:szCs w:val="21"/>
                <w:highlight w:val="none"/>
              </w:rPr>
              <w:t>公示期限：</w:t>
            </w:r>
            <w:r>
              <w:rPr>
                <w:rFonts w:hint="eastAsia" w:ascii="宋体" w:hAnsi="宋体"/>
                <w:color w:val="auto"/>
                <w:szCs w:val="21"/>
                <w:highlight w:val="none"/>
                <w:u w:val="single"/>
              </w:rPr>
              <w:t>3</w:t>
            </w:r>
            <w:r>
              <w:rPr>
                <w:rFonts w:hint="default" w:ascii="宋体" w:hAnsi="宋体"/>
                <w:color w:val="auto"/>
                <w:szCs w:val="21"/>
                <w:highlight w:val="none"/>
              </w:rPr>
              <w:t>日</w:t>
            </w:r>
            <w:r>
              <w:rPr>
                <w:rFonts w:hint="eastAsia" w:ascii="宋体" w:hAnsi="宋体"/>
                <w:color w:val="auto"/>
                <w:szCs w:val="21"/>
                <w:highlight w:val="none"/>
              </w:rPr>
              <w:t>（最后一天为工作日）</w:t>
            </w:r>
          </w:p>
        </w:tc>
      </w:tr>
      <w:tr w14:paraId="49B93A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vAlign w:val="center"/>
          </w:tcPr>
          <w:p w14:paraId="10C5655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7.4</w:t>
            </w:r>
          </w:p>
        </w:tc>
        <w:tc>
          <w:tcPr>
            <w:tcW w:w="2534" w:type="dxa"/>
            <w:vAlign w:val="center"/>
          </w:tcPr>
          <w:p w14:paraId="59DB984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highlight w:val="none"/>
              </w:rPr>
              <w:t>定标</w:t>
            </w:r>
          </w:p>
        </w:tc>
        <w:tc>
          <w:tcPr>
            <w:tcW w:w="6035" w:type="dxa"/>
            <w:vAlign w:val="center"/>
          </w:tcPr>
          <w:p w14:paraId="57B3C538">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（1）定标由招标人依法组建的定标委员会负责。</w:t>
            </w:r>
          </w:p>
          <w:p w14:paraId="19353ABF">
            <w:pPr>
              <w:pStyle w:val="15"/>
              <w:keepNext w:val="0"/>
              <w:keepLines w:val="0"/>
              <w:numPr>
                <w:ilvl w:val="255"/>
                <w:numId w:val="0"/>
              </w:numPr>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（2）定标办法：本项目采用“评分”定标办法。</w:t>
            </w:r>
          </w:p>
          <w:p w14:paraId="7A60CD92">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（3）定标委员会按照第三章“评标办法（“评定分离”定标办法）”规定的定标方法、标准和程序，将合格中标候选人的总得分由高至低进行排序，定标委员会推荐排名第一的合格的中标候选人为中标人。</w:t>
            </w:r>
          </w:p>
          <w:p w14:paraId="4C9C86BE">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（4）招标人应当在定标工作完成后的</w:t>
            </w:r>
            <w:r>
              <w:rPr>
                <w:rFonts w:hint="default" w:hAnsi="宋体"/>
                <w:color w:val="auto"/>
                <w:sz w:val="21"/>
                <w:szCs w:val="21"/>
                <w:highlight w:val="none"/>
                <w:lang w:val="en-US"/>
              </w:rPr>
              <w:t>3</w:t>
            </w:r>
            <w:r>
              <w:rPr>
                <w:rFonts w:hint="eastAsia" w:hAnsi="宋体"/>
                <w:color w:val="auto"/>
                <w:sz w:val="21"/>
                <w:szCs w:val="21"/>
                <w:highlight w:val="none"/>
                <w:lang w:val="en-US"/>
              </w:rPr>
              <w:t>日内公示中标结果。公示内容包括：定标时间、所有合格的中标候选人的评分结果、中标人等内容。</w:t>
            </w:r>
          </w:p>
          <w:p w14:paraId="5A9FF315">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5）中标人放弃中标、因不可抗力不能履行合同、不按照招标文件要求提交履约保证金，或者被查实存在影响中标结果的违法行为等情形，不符合中标条件的，招标人可以从其他合格的中标候选人中采用原定标办法，由原定标委员会确定中标人，也可以重新招标。</w:t>
            </w:r>
          </w:p>
        </w:tc>
      </w:tr>
      <w:tr w14:paraId="10209C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1178" w:type="dxa"/>
            <w:vAlign w:val="center"/>
          </w:tcPr>
          <w:p w14:paraId="2721CDD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7.6.1</w:t>
            </w:r>
          </w:p>
        </w:tc>
        <w:tc>
          <w:tcPr>
            <w:tcW w:w="2534" w:type="dxa"/>
            <w:vAlign w:val="center"/>
          </w:tcPr>
          <w:p w14:paraId="11D2AF7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履约保证金</w:t>
            </w:r>
          </w:p>
        </w:tc>
        <w:tc>
          <w:tcPr>
            <w:tcW w:w="6035" w:type="dxa"/>
            <w:vAlign w:val="center"/>
          </w:tcPr>
          <w:p w14:paraId="371AC20B">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按合同约定执行。</w:t>
            </w:r>
          </w:p>
        </w:tc>
      </w:tr>
      <w:tr w14:paraId="018CBA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4" w:hRule="atLeast"/>
        </w:trPr>
        <w:tc>
          <w:tcPr>
            <w:tcW w:w="1178" w:type="dxa"/>
            <w:vAlign w:val="center"/>
          </w:tcPr>
          <w:p w14:paraId="31EE9DF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9</w:t>
            </w:r>
          </w:p>
        </w:tc>
        <w:tc>
          <w:tcPr>
            <w:tcW w:w="2534" w:type="dxa"/>
            <w:vAlign w:val="center"/>
          </w:tcPr>
          <w:p w14:paraId="20D06F2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是否采用电子招标投标</w:t>
            </w:r>
          </w:p>
        </w:tc>
        <w:tc>
          <w:tcPr>
            <w:tcW w:w="6035" w:type="dxa"/>
            <w:vAlign w:val="center"/>
          </w:tcPr>
          <w:p w14:paraId="34049A21">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Cs w:val="21"/>
                <w:highlight w:val="none"/>
                <w:lang w:val="en-US"/>
              </w:rPr>
              <w:t>□</w:t>
            </w:r>
            <w:r>
              <w:rPr>
                <w:rFonts w:hint="eastAsia" w:hAnsi="宋体"/>
                <w:color w:val="auto"/>
                <w:sz w:val="21"/>
                <w:szCs w:val="21"/>
                <w:highlight w:val="none"/>
                <w:lang w:val="en-US"/>
              </w:rPr>
              <w:t>否</w:t>
            </w:r>
          </w:p>
          <w:p w14:paraId="5BB2FF5A">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s="宋体"/>
                <w:color w:val="auto"/>
                <w:szCs w:val="21"/>
                <w:highlight w:val="none"/>
                <w:lang w:val="en-US"/>
              </w:rPr>
              <w:t>■</w:t>
            </w:r>
            <w:r>
              <w:rPr>
                <w:rFonts w:hint="eastAsia" w:hAnsi="宋体"/>
                <w:color w:val="auto"/>
                <w:sz w:val="21"/>
                <w:szCs w:val="21"/>
                <w:highlight w:val="none"/>
                <w:lang w:val="en-US"/>
              </w:rPr>
              <w:t>是，具体要求：1、相关操作详见广州交易集团有限公司（广州公共资源交易中心）网站最新发布的相关指引。</w:t>
            </w:r>
          </w:p>
          <w:p w14:paraId="61B1E0B3">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2、提交投标文件光盘备用</w:t>
            </w:r>
          </w:p>
          <w:p w14:paraId="6FF86F42">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投标人将按广州交易集团有限公司（广州公共资源交易中心）网站最新发布的相关指引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如果投标人没有按规定通过交易平台网上递交电子投标文件的，不再接受现场提交的光盘。</w:t>
            </w:r>
          </w:p>
          <w:p w14:paraId="16F454E3">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3、补救方案</w:t>
            </w:r>
          </w:p>
          <w:p w14:paraId="3D454D68">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（1）投标文件解密失败的补救方案：</w:t>
            </w:r>
          </w:p>
          <w:p w14:paraId="59D59391">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光盘的，视为撤回投标文件。</w:t>
            </w:r>
          </w:p>
          <w:p w14:paraId="1DF159EF">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（2）评标时突发情况的补救方案</w:t>
            </w:r>
          </w:p>
          <w:p w14:paraId="0E8A74EE">
            <w:pPr>
              <w:pStyle w:val="15"/>
              <w:keepNext w:val="0"/>
              <w:keepLines w:val="0"/>
              <w:suppressLineNumbers w:val="0"/>
              <w:topLinePunct/>
              <w:snapToGrid w:val="0"/>
              <w:spacing w:before="0" w:beforeAutospacing="0" w:after="0" w:afterAutospacing="0"/>
              <w:ind w:left="0" w:right="0"/>
              <w:rPr>
                <w:rFonts w:hint="default" w:hAnsi="宋体"/>
                <w:color w:val="auto"/>
                <w:sz w:val="21"/>
                <w:szCs w:val="21"/>
                <w:highlight w:val="none"/>
                <w:lang w:val="en-US"/>
              </w:rPr>
            </w:pPr>
            <w:r>
              <w:rPr>
                <w:rFonts w:hint="eastAsia" w:hAnsi="宋体"/>
                <w:color w:val="auto"/>
                <w:sz w:val="21"/>
                <w:szCs w:val="21"/>
                <w:highlight w:val="none"/>
                <w:lang w:val="en-US"/>
              </w:rPr>
              <w:t>若遇不可抗力发生（如：网络瘫痪、服务器损坏、交易系统故障短期无法恢复等因素），由评标委员会开启现场递交的全部投标文件光盘，并按光盘内容进行评审。</w:t>
            </w:r>
          </w:p>
          <w:p w14:paraId="2CB8D4F8">
            <w:pPr>
              <w:pStyle w:val="15"/>
              <w:keepNext w:val="0"/>
              <w:keepLines w:val="0"/>
              <w:suppressLineNumbers w:val="0"/>
              <w:topLinePunct/>
              <w:snapToGrid w:val="0"/>
              <w:spacing w:before="0" w:beforeAutospacing="0" w:after="0" w:afterAutospacing="0"/>
              <w:ind w:left="0" w:right="0"/>
              <w:rPr>
                <w:rFonts w:hint="default" w:hAnsi="宋体"/>
                <w:color w:val="auto"/>
                <w:szCs w:val="21"/>
                <w:highlight w:val="none"/>
                <w:lang w:val="en-US"/>
              </w:rPr>
            </w:pPr>
            <w:r>
              <w:rPr>
                <w:rFonts w:hint="eastAsia" w:hAnsi="宋体"/>
                <w:color w:val="auto"/>
                <w:sz w:val="21"/>
                <w:szCs w:val="21"/>
                <w:highlight w:val="none"/>
                <w:lang w:val="en-US"/>
              </w:rPr>
              <w:t>（3）除发生上述情况外，开标评标均以投标人通过交易平台网上递交的电子投标文件为准。</w:t>
            </w:r>
          </w:p>
        </w:tc>
      </w:tr>
      <w:tr w14:paraId="53800F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1178" w:type="dxa"/>
            <w:vAlign w:val="center"/>
          </w:tcPr>
          <w:p w14:paraId="402EA06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10</w:t>
            </w:r>
          </w:p>
        </w:tc>
        <w:tc>
          <w:tcPr>
            <w:tcW w:w="2534" w:type="dxa"/>
            <w:vAlign w:val="center"/>
          </w:tcPr>
          <w:p w14:paraId="13AC82E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需要补充的其他内容</w:t>
            </w:r>
          </w:p>
        </w:tc>
        <w:tc>
          <w:tcPr>
            <w:tcW w:w="6035" w:type="dxa"/>
            <w:vAlign w:val="center"/>
          </w:tcPr>
          <w:p w14:paraId="60CAAB5D">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kern w:val="0"/>
                <w:szCs w:val="21"/>
                <w:highlight w:val="none"/>
              </w:rPr>
              <w:t>/</w:t>
            </w:r>
          </w:p>
        </w:tc>
      </w:tr>
      <w:tr w14:paraId="281B7A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1178" w:type="dxa"/>
            <w:vAlign w:val="center"/>
          </w:tcPr>
          <w:p w14:paraId="7416513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10.1</w:t>
            </w:r>
          </w:p>
        </w:tc>
        <w:tc>
          <w:tcPr>
            <w:tcW w:w="2534" w:type="dxa"/>
            <w:vAlign w:val="center"/>
          </w:tcPr>
          <w:p w14:paraId="6E59BE7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其他费用</w:t>
            </w:r>
          </w:p>
        </w:tc>
        <w:tc>
          <w:tcPr>
            <w:tcW w:w="6035" w:type="dxa"/>
            <w:vAlign w:val="center"/>
          </w:tcPr>
          <w:p w14:paraId="75D1981E">
            <w:pPr>
              <w:pStyle w:val="12"/>
              <w:keepNext w:val="0"/>
              <w:keepLines w:val="0"/>
              <w:numPr>
                <w:ilvl w:val="255"/>
                <w:numId w:val="0"/>
              </w:numPr>
              <w:suppressLineNumbers w:val="0"/>
              <w:spacing w:before="0" w:beforeAutospacing="0" w:after="0" w:afterAutospacing="0"/>
              <w:ind w:left="0" w:right="0"/>
              <w:rPr>
                <w:rFonts w:hint="default"/>
                <w:color w:val="auto"/>
                <w:highlight w:val="none"/>
              </w:rPr>
            </w:pPr>
            <w:r>
              <w:rPr>
                <w:rFonts w:hint="eastAsia"/>
                <w:color w:val="auto"/>
                <w:highlight w:val="none"/>
              </w:rPr>
              <w:t>1.中标人按《广州市发展改革委转发省发展改革委关于规范公共资源交易服务收费及有关问题的通知》（穗发改〔2017〕811号）文件的规定，向广州交易集团有限公司（广州公共资源交易中心）代缴交易服务费。广州交易集团有限公司（广州公共资源交易中心）向中标人开具增值税发票。</w:t>
            </w:r>
          </w:p>
          <w:p w14:paraId="37511F37">
            <w:pPr>
              <w:pStyle w:val="12"/>
              <w:keepNext w:val="0"/>
              <w:keepLines w:val="0"/>
              <w:numPr>
                <w:ilvl w:val="255"/>
                <w:numId w:val="0"/>
              </w:numPr>
              <w:suppressLineNumbers w:val="0"/>
              <w:spacing w:before="0" w:beforeAutospacing="0" w:after="0" w:afterAutospacing="0"/>
              <w:ind w:left="0" w:right="0"/>
              <w:rPr>
                <w:rFonts w:hint="default"/>
                <w:color w:val="auto"/>
                <w:highlight w:val="none"/>
              </w:rPr>
            </w:pPr>
            <w:r>
              <w:rPr>
                <w:rFonts w:hint="default"/>
                <w:color w:val="auto"/>
                <w:highlight w:val="none"/>
              </w:rPr>
              <w:t>2.</w:t>
            </w:r>
            <w:r>
              <w:rPr>
                <w:rFonts w:hint="eastAsia"/>
                <w:color w:val="auto"/>
                <w:highlight w:val="none"/>
              </w:rPr>
              <w:t>本项目招标代理费由中标人支付，其费用包含在中标人报价中。</w:t>
            </w:r>
          </w:p>
        </w:tc>
      </w:tr>
      <w:tr w14:paraId="6B766F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78" w:type="dxa"/>
            <w:vAlign w:val="center"/>
          </w:tcPr>
          <w:p w14:paraId="18EAD22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10.2</w:t>
            </w:r>
          </w:p>
        </w:tc>
        <w:tc>
          <w:tcPr>
            <w:tcW w:w="2534" w:type="dxa"/>
            <w:vAlign w:val="center"/>
          </w:tcPr>
          <w:p w14:paraId="02CCDB5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潜在投标人或利害关系人对本招标公告及招标文件内容异议的，向招标人书面提出。</w:t>
            </w:r>
          </w:p>
        </w:tc>
        <w:tc>
          <w:tcPr>
            <w:tcW w:w="6035" w:type="dxa"/>
            <w:vAlign w:val="center"/>
          </w:tcPr>
          <w:p w14:paraId="38BFCDBD">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1）异议受理部门：</w:t>
            </w:r>
            <w:r>
              <w:rPr>
                <w:rFonts w:hint="eastAsia" w:ascii="宋体" w:hAnsi="宋体"/>
                <w:color w:val="auto"/>
                <w:szCs w:val="21"/>
                <w:highlight w:val="none"/>
                <w:u w:val="single"/>
              </w:rPr>
              <w:t>广州文化策划传播有限公司</w:t>
            </w:r>
            <w:r>
              <w:rPr>
                <w:rFonts w:hint="eastAsia" w:ascii="宋体" w:hAnsi="宋体"/>
                <w:color w:val="auto"/>
                <w:szCs w:val="21"/>
                <w:highlight w:val="none"/>
              </w:rPr>
              <w:t>；</w:t>
            </w:r>
          </w:p>
          <w:p w14:paraId="3B12E6C4">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2）联系电话：</w:t>
            </w:r>
            <w:r>
              <w:rPr>
                <w:rFonts w:hint="eastAsia" w:ascii="宋体" w:hAnsi="宋体"/>
                <w:color w:val="auto"/>
                <w:szCs w:val="21"/>
                <w:highlight w:val="none"/>
                <w:u w:val="single"/>
              </w:rPr>
              <w:t>13760889300</w:t>
            </w:r>
            <w:r>
              <w:rPr>
                <w:rFonts w:hint="eastAsia" w:ascii="宋体" w:hAnsi="宋体"/>
                <w:color w:val="auto"/>
                <w:szCs w:val="21"/>
                <w:highlight w:val="none"/>
              </w:rPr>
              <w:t>；</w:t>
            </w:r>
          </w:p>
          <w:p w14:paraId="472A6C84">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3）地址：</w:t>
            </w:r>
            <w:r>
              <w:rPr>
                <w:rFonts w:hint="eastAsia" w:ascii="宋体" w:hAnsi="宋体"/>
                <w:color w:val="auto"/>
                <w:szCs w:val="21"/>
                <w:highlight w:val="none"/>
                <w:u w:val="single"/>
              </w:rPr>
              <w:t>广州市天河区珠江新城海安路 369 号。</w:t>
            </w:r>
          </w:p>
        </w:tc>
      </w:tr>
      <w:tr w14:paraId="39086D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178" w:type="dxa"/>
            <w:vAlign w:val="center"/>
          </w:tcPr>
          <w:p w14:paraId="3FF7776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10.3</w:t>
            </w:r>
          </w:p>
        </w:tc>
        <w:tc>
          <w:tcPr>
            <w:tcW w:w="2534" w:type="dxa"/>
            <w:vAlign w:val="center"/>
          </w:tcPr>
          <w:p w14:paraId="636C931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招标监督机构</w:t>
            </w:r>
          </w:p>
        </w:tc>
        <w:tc>
          <w:tcPr>
            <w:tcW w:w="6035" w:type="dxa"/>
            <w:vAlign w:val="center"/>
          </w:tcPr>
          <w:p w14:paraId="02DF6271">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招标监督机构：广州文化策划传播有限公司</w:t>
            </w:r>
          </w:p>
          <w:p w14:paraId="220E39FC">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监督电话：13760889300</w:t>
            </w:r>
          </w:p>
        </w:tc>
      </w:tr>
      <w:tr w14:paraId="2A465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78" w:type="dxa"/>
            <w:vAlign w:val="center"/>
          </w:tcPr>
          <w:p w14:paraId="156A511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10.4</w:t>
            </w:r>
          </w:p>
        </w:tc>
        <w:tc>
          <w:tcPr>
            <w:tcW w:w="2534" w:type="dxa"/>
            <w:vAlign w:val="center"/>
          </w:tcPr>
          <w:p w14:paraId="7E1C5DA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资格审查方式</w:t>
            </w:r>
          </w:p>
        </w:tc>
        <w:tc>
          <w:tcPr>
            <w:tcW w:w="6035" w:type="dxa"/>
            <w:vAlign w:val="center"/>
          </w:tcPr>
          <w:p w14:paraId="5B11A213">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本项目采用资格后审方式，满足资格审查合格条件的投标申请人不足3名时为招标失败。招标人分析招标失败原因，修正招标方案，报有关管理部门核准后，重新组织招标。</w:t>
            </w:r>
          </w:p>
        </w:tc>
      </w:tr>
      <w:tr w14:paraId="4503D7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78" w:type="dxa"/>
            <w:vAlign w:val="center"/>
          </w:tcPr>
          <w:p w14:paraId="4A189B9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10.5</w:t>
            </w:r>
          </w:p>
        </w:tc>
        <w:tc>
          <w:tcPr>
            <w:tcW w:w="2534" w:type="dxa"/>
            <w:vAlign w:val="center"/>
          </w:tcPr>
          <w:p w14:paraId="272DA19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特别提示</w:t>
            </w:r>
          </w:p>
        </w:tc>
        <w:tc>
          <w:tcPr>
            <w:tcW w:w="6035" w:type="dxa"/>
            <w:vAlign w:val="center"/>
          </w:tcPr>
          <w:p w14:paraId="6E7C0BA8">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1）《投诉处理决定书》和《行政处理决定书》在广州市住房和城乡建设委员会网站上公布的，视为送达其他与决定书有关的当事人。</w:t>
            </w:r>
          </w:p>
          <w:p w14:paraId="3A9A7234">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2）投标人在本项目招标人的工程项目中存在下列行为的，将被拒绝一年内参与我单位后续工程投标。</w:t>
            </w:r>
          </w:p>
          <w:p w14:paraId="6C2C3F89">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1.将中标工程转包或者违法分包的；</w:t>
            </w:r>
          </w:p>
          <w:p w14:paraId="4514A6B0">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066F33B2">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3.存在围标或串标情形的；</w:t>
            </w:r>
          </w:p>
          <w:p w14:paraId="57528CC4">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4.存在弄虚作假骗取中标情形的。</w:t>
            </w:r>
          </w:p>
        </w:tc>
      </w:tr>
      <w:tr w14:paraId="23FD61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78" w:type="dxa"/>
            <w:vAlign w:val="center"/>
          </w:tcPr>
          <w:p w14:paraId="0305A24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10.6</w:t>
            </w:r>
          </w:p>
        </w:tc>
        <w:tc>
          <w:tcPr>
            <w:tcW w:w="2534" w:type="dxa"/>
            <w:vAlign w:val="center"/>
          </w:tcPr>
          <w:p w14:paraId="636D063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其他</w:t>
            </w:r>
          </w:p>
        </w:tc>
        <w:tc>
          <w:tcPr>
            <w:tcW w:w="6035" w:type="dxa"/>
            <w:vAlign w:val="center"/>
          </w:tcPr>
          <w:p w14:paraId="2C9B4558">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在产生合格的中标候选人后，招标人将合格的中标候选人的投标文件商务部分的电子版（报价清单、方案等涉及商业秘密的内容除外）在广州交易集团有限公司（广州公共资源交易中心）网站公开。</w:t>
            </w:r>
          </w:p>
        </w:tc>
      </w:tr>
      <w:tr w14:paraId="6B79C6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78" w:type="dxa"/>
            <w:vAlign w:val="center"/>
          </w:tcPr>
          <w:p w14:paraId="7885181B">
            <w:pPr>
              <w:keepNext w:val="0"/>
              <w:keepLines w:val="0"/>
              <w:suppressLineNumbers w:val="0"/>
              <w:snapToGrid w:val="0"/>
              <w:spacing w:before="0" w:beforeAutospacing="0" w:after="0" w:afterAutospacing="0"/>
              <w:ind w:left="0" w:right="0"/>
              <w:jc w:val="center"/>
              <w:rPr>
                <w:rFonts w:hint="default" w:ascii="宋体" w:hAnsi="宋体" w:eastAsia="等线"/>
                <w:color w:val="auto"/>
                <w:szCs w:val="21"/>
                <w:highlight w:val="none"/>
              </w:rPr>
            </w:pPr>
            <w:r>
              <w:rPr>
                <w:rFonts w:hint="eastAsia" w:ascii="宋体" w:hAnsi="宋体" w:eastAsia="等线"/>
                <w:color w:val="auto"/>
                <w:szCs w:val="21"/>
                <w:highlight w:val="none"/>
              </w:rPr>
              <w:t>1</w:t>
            </w:r>
            <w:r>
              <w:rPr>
                <w:rFonts w:hint="default" w:ascii="宋体" w:hAnsi="宋体" w:eastAsia="等线"/>
                <w:color w:val="auto"/>
                <w:szCs w:val="21"/>
                <w:highlight w:val="none"/>
              </w:rPr>
              <w:t>0.7</w:t>
            </w:r>
          </w:p>
        </w:tc>
        <w:tc>
          <w:tcPr>
            <w:tcW w:w="2534" w:type="dxa"/>
            <w:vAlign w:val="center"/>
          </w:tcPr>
          <w:p w14:paraId="2615D0B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否决投标条款</w:t>
            </w:r>
          </w:p>
        </w:tc>
        <w:tc>
          <w:tcPr>
            <w:tcW w:w="6035" w:type="dxa"/>
            <w:vAlign w:val="center"/>
          </w:tcPr>
          <w:p w14:paraId="65735837">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否决投标条款：</w:t>
            </w:r>
          </w:p>
          <w:p w14:paraId="123B6542">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1.在投标截止期后逾期或未在广州交易集团有限公司（广州公共资源交易中心）数字交易平台（http://www.gzggzy.cn）递交电子投标文件的，电子招标投标交易平台将拒绝接收其投标文件。</w:t>
            </w:r>
          </w:p>
          <w:p w14:paraId="618BED5A">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2.投标人未按投标文件要求提供附件或未按要求加盖电子印章及签名的，经评标委员会认定后，其投标文件将被否决。</w:t>
            </w:r>
          </w:p>
          <w:p w14:paraId="5295D43A">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3.投标文件中投标报价高于本项目投标最高限价的，其投标文件将被否决。</w:t>
            </w:r>
          </w:p>
          <w:p w14:paraId="395FE8F9">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4.按投标报价的算术校核原则及方法调整或修正投标文件的投标报价，调整后的投标报价对投标人起约束作用。如果投标人不接受修正后的报价，则取消其中标资格。</w:t>
            </w:r>
          </w:p>
          <w:p w14:paraId="725BD083">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5.投标人如在本项目中存在串通投标、弄虚作假、行贿情形的，中标无效，该投标人将被招标人列入黑名单并限制其投标。行政监督部门将对其违法行为进行政处罚并通报。</w:t>
            </w:r>
          </w:p>
          <w:p w14:paraId="015BE7E6">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6.投标文件符合列于《评标办法前附表》“形式评审标准”“资格评审标准”“响应性评审标准”中所有情形的，为有效投标文件。任一情形不符合均为无效投标文件，经评标委员会认定后，其投标文件将被否决。</w:t>
            </w:r>
          </w:p>
        </w:tc>
      </w:tr>
    </w:tbl>
    <w:p w14:paraId="765F69CE">
      <w:pPr>
        <w:snapToGrid w:val="0"/>
        <w:jc w:val="left"/>
        <w:rPr>
          <w:rFonts w:ascii="宋体" w:hAnsi="宋体"/>
          <w:color w:val="auto"/>
          <w:highlight w:val="none"/>
        </w:rPr>
      </w:pPr>
      <w:r>
        <w:rPr>
          <w:rFonts w:hint="eastAsia" w:ascii="宋体" w:hAnsi="宋体"/>
          <w:color w:val="auto"/>
          <w:sz w:val="24"/>
          <w:szCs w:val="24"/>
          <w:highlight w:val="none"/>
        </w:rPr>
        <w:br w:type="page"/>
      </w:r>
      <w:bookmarkStart w:id="14" w:name="_Toc20742"/>
      <w:bookmarkStart w:id="15" w:name="_Toc527028679"/>
      <w:bookmarkStart w:id="16" w:name="_Toc520310853"/>
      <w:bookmarkStart w:id="17" w:name="_Toc527028850"/>
      <w:bookmarkStart w:id="18" w:name="_Toc527028502"/>
      <w:r>
        <w:rPr>
          <w:rFonts w:ascii="宋体" w:hAnsi="宋体"/>
          <w:b/>
          <w:color w:val="auto"/>
          <w:kern w:val="44"/>
          <w:sz w:val="44"/>
          <w:szCs w:val="20"/>
          <w:highlight w:val="none"/>
        </w:rPr>
        <w:t>1. 总则</w:t>
      </w:r>
      <w:bookmarkEnd w:id="14"/>
    </w:p>
    <w:p w14:paraId="1407B107">
      <w:pPr>
        <w:pStyle w:val="4"/>
        <w:keepNext w:val="0"/>
        <w:keepLines w:val="0"/>
        <w:spacing w:before="0" w:after="0" w:line="360" w:lineRule="auto"/>
        <w:ind w:firstLine="118"/>
        <w:rPr>
          <w:rFonts w:ascii="宋体" w:hAnsi="宋体" w:eastAsia="宋体"/>
          <w:color w:val="auto"/>
          <w:sz w:val="24"/>
          <w:szCs w:val="24"/>
          <w:highlight w:val="none"/>
        </w:rPr>
      </w:pPr>
      <w:bookmarkStart w:id="19" w:name="_Toc24358"/>
      <w:bookmarkStart w:id="20" w:name="_Toc128512456"/>
      <w:r>
        <w:rPr>
          <w:rFonts w:ascii="宋体" w:hAnsi="宋体" w:eastAsia="宋体"/>
          <w:color w:val="auto"/>
          <w:sz w:val="24"/>
          <w:szCs w:val="24"/>
          <w:highlight w:val="none"/>
        </w:rPr>
        <w:t>1.1 招标项目概况</w:t>
      </w:r>
      <w:bookmarkEnd w:id="19"/>
      <w:bookmarkEnd w:id="20"/>
    </w:p>
    <w:p w14:paraId="4741085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1.1.1根据《中华人民共和国招标投标法》《中华人民共和国招标投标法实施条例》等有关法律、法规和规章的规定，本招标项目已具备招标条件，现对</w:t>
      </w:r>
      <w:r>
        <w:rPr>
          <w:rFonts w:hint="eastAsia" w:ascii="宋体" w:hAnsi="宋体"/>
          <w:color w:val="auto"/>
          <w:sz w:val="24"/>
          <w:szCs w:val="24"/>
          <w:highlight w:val="none"/>
        </w:rPr>
        <w:t>工程服务</w:t>
      </w:r>
      <w:r>
        <w:rPr>
          <w:rFonts w:ascii="宋体" w:hAnsi="宋体"/>
          <w:color w:val="auto"/>
          <w:sz w:val="24"/>
          <w:szCs w:val="24"/>
          <w:highlight w:val="none"/>
        </w:rPr>
        <w:t>进行招标。</w:t>
      </w:r>
    </w:p>
    <w:p w14:paraId="35D7BA1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 招标人：见投标人须知前附表。</w:t>
      </w:r>
    </w:p>
    <w:p w14:paraId="1E36A3B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 招标代理机构：见投标人须知前附表。</w:t>
      </w:r>
    </w:p>
    <w:p w14:paraId="77A78D8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1.1.4 招标项目名称：见投标人须知前附表。</w:t>
      </w:r>
    </w:p>
    <w:p w14:paraId="5E5CB4D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1.1.5 项目建设地点：见投标人须知前附表。</w:t>
      </w:r>
    </w:p>
    <w:p w14:paraId="33FD618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1.1.6 项目建设规模：见投标人须知前附表。</w:t>
      </w:r>
    </w:p>
    <w:p w14:paraId="3933834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1.1.7</w:t>
      </w:r>
      <w:r>
        <w:rPr>
          <w:rFonts w:hint="eastAsia" w:ascii="宋体" w:hAnsi="宋体"/>
          <w:color w:val="auto"/>
          <w:sz w:val="24"/>
          <w:szCs w:val="24"/>
          <w:highlight w:val="none"/>
        </w:rPr>
        <w:t>预计开工日期：见投标人须知前附表。</w:t>
      </w:r>
    </w:p>
    <w:p w14:paraId="751795C3">
      <w:pPr>
        <w:pStyle w:val="4"/>
        <w:keepNext w:val="0"/>
        <w:keepLines w:val="0"/>
        <w:spacing w:before="0" w:after="0" w:line="360" w:lineRule="auto"/>
        <w:ind w:firstLine="118"/>
        <w:rPr>
          <w:rFonts w:ascii="宋体" w:hAnsi="宋体" w:eastAsia="宋体"/>
          <w:color w:val="auto"/>
          <w:sz w:val="24"/>
          <w:szCs w:val="24"/>
          <w:highlight w:val="none"/>
        </w:rPr>
      </w:pPr>
      <w:bookmarkStart w:id="21" w:name="_Toc128512457"/>
      <w:bookmarkStart w:id="22" w:name="_Toc3884"/>
      <w:r>
        <w:rPr>
          <w:rFonts w:ascii="宋体" w:hAnsi="宋体" w:eastAsia="宋体"/>
          <w:color w:val="auto"/>
          <w:sz w:val="24"/>
          <w:szCs w:val="24"/>
          <w:highlight w:val="none"/>
        </w:rPr>
        <w:t>1.2 招标项目的资金来源和落实情况</w:t>
      </w:r>
      <w:bookmarkEnd w:id="21"/>
      <w:bookmarkEnd w:id="22"/>
    </w:p>
    <w:p w14:paraId="6FF0ACD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1.2.1 资金来源及比例：见投标人须知前附表。</w:t>
      </w:r>
    </w:p>
    <w:p w14:paraId="7BE6629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1.2.2 资金落实情况：见投标人须知前附表。</w:t>
      </w:r>
    </w:p>
    <w:p w14:paraId="033F0B75">
      <w:pPr>
        <w:pStyle w:val="4"/>
        <w:keepNext w:val="0"/>
        <w:keepLines w:val="0"/>
        <w:spacing w:before="0" w:after="0" w:line="360" w:lineRule="auto"/>
        <w:ind w:firstLine="118"/>
        <w:rPr>
          <w:rFonts w:ascii="宋体" w:hAnsi="宋体" w:eastAsia="宋体"/>
          <w:color w:val="auto"/>
          <w:sz w:val="24"/>
          <w:szCs w:val="24"/>
          <w:highlight w:val="none"/>
        </w:rPr>
      </w:pPr>
      <w:bookmarkStart w:id="23" w:name="_Toc128512458"/>
      <w:bookmarkStart w:id="24" w:name="_Toc18715"/>
      <w:r>
        <w:rPr>
          <w:rFonts w:ascii="宋体" w:hAnsi="宋体" w:eastAsia="宋体"/>
          <w:color w:val="auto"/>
          <w:sz w:val="24"/>
          <w:szCs w:val="24"/>
          <w:highlight w:val="none"/>
        </w:rPr>
        <w:t>1.3招标范围、服务期限和质量标准</w:t>
      </w:r>
      <w:bookmarkEnd w:id="23"/>
      <w:bookmarkEnd w:id="24"/>
    </w:p>
    <w:p w14:paraId="1F5A925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1.3.1 招标范围：见投标人须知前附表。</w:t>
      </w:r>
    </w:p>
    <w:p w14:paraId="2BD2DFE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1.3.2 服务期限：见投标人须知前附表。</w:t>
      </w:r>
    </w:p>
    <w:p w14:paraId="02C90A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1.3.3 质量标准：见投标人须知前附表。</w:t>
      </w:r>
    </w:p>
    <w:p w14:paraId="3E6CEC2F">
      <w:pPr>
        <w:pStyle w:val="4"/>
        <w:keepNext w:val="0"/>
        <w:keepLines w:val="0"/>
        <w:spacing w:before="0" w:after="0" w:line="360" w:lineRule="auto"/>
        <w:ind w:firstLine="118"/>
        <w:rPr>
          <w:rFonts w:ascii="宋体" w:hAnsi="宋体" w:eastAsia="宋体"/>
          <w:color w:val="auto"/>
          <w:sz w:val="24"/>
          <w:szCs w:val="24"/>
          <w:highlight w:val="none"/>
        </w:rPr>
      </w:pPr>
      <w:bookmarkStart w:id="25" w:name="_Toc29112"/>
      <w:bookmarkStart w:id="26" w:name="_Toc128512459"/>
      <w:r>
        <w:rPr>
          <w:rFonts w:ascii="宋体" w:hAnsi="宋体" w:eastAsia="宋体"/>
          <w:color w:val="auto"/>
          <w:sz w:val="24"/>
          <w:szCs w:val="24"/>
          <w:highlight w:val="none"/>
        </w:rPr>
        <w:t>1.4投标人资格要求</w:t>
      </w:r>
      <w:bookmarkEnd w:id="25"/>
      <w:bookmarkEnd w:id="26"/>
    </w:p>
    <w:p w14:paraId="3D6FC68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1.4.1 投标人应具备承担本招标项目</w:t>
      </w:r>
      <w:r>
        <w:rPr>
          <w:rFonts w:hint="eastAsia" w:ascii="宋体" w:hAnsi="宋体"/>
          <w:color w:val="auto"/>
          <w:sz w:val="24"/>
          <w:szCs w:val="24"/>
          <w:highlight w:val="none"/>
        </w:rPr>
        <w:t>营业执照</w:t>
      </w:r>
      <w:r>
        <w:rPr>
          <w:rFonts w:ascii="宋体" w:hAnsi="宋体"/>
          <w:color w:val="auto"/>
          <w:sz w:val="24"/>
          <w:szCs w:val="24"/>
          <w:highlight w:val="none"/>
        </w:rPr>
        <w:t>、能力和信誉：</w:t>
      </w:r>
    </w:p>
    <w:p w14:paraId="403F100C">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营业执照</w:t>
      </w:r>
      <w:r>
        <w:rPr>
          <w:rFonts w:ascii="宋体" w:hAnsi="宋体"/>
          <w:color w:val="auto"/>
          <w:sz w:val="24"/>
          <w:szCs w:val="24"/>
          <w:highlight w:val="none"/>
        </w:rPr>
        <w:t>：见投标人须知前附表；</w:t>
      </w:r>
    </w:p>
    <w:p w14:paraId="28C5C4BF">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（2）财务要求：见投标人须知前附表；</w:t>
      </w:r>
    </w:p>
    <w:p w14:paraId="2B3DC82D">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（3）业绩要求：见投标人须知前附表；</w:t>
      </w:r>
    </w:p>
    <w:p w14:paraId="130492A5">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（4）信誉要求：见投标人须知前附表；</w:t>
      </w:r>
    </w:p>
    <w:p w14:paraId="5B453526">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）其他要求：见投标人须知前附表。</w:t>
      </w:r>
    </w:p>
    <w:p w14:paraId="3A3E2DB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需要提交的相关证明材料见本章第3.5款的规定。</w:t>
      </w:r>
    </w:p>
    <w:p w14:paraId="6F922AF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1.4.2投标人须知前附表规定接受联合体投标的，联合体除应符合本章第1.4.1项和投标人须知前附表的要求外，还应遵守以下规定：</w:t>
      </w:r>
    </w:p>
    <w:p w14:paraId="76401AD0">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（1）联合体各方应按招标文件提供的格式签订联合体协议书，明确联合体牵头人和各方权利义务，并承诺就中标项目向招标人承担连带责任；</w:t>
      </w:r>
    </w:p>
    <w:p w14:paraId="6C443123">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（2）由同一专业的单位组成的联合体，按照资质等级较低的单位确定资质等级；</w:t>
      </w:r>
    </w:p>
    <w:p w14:paraId="2BF43942">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（3）联合体各方不得再以自己名义单独或参加其他联合体在本招标项目中投标，否则各相关投标均无效。</w:t>
      </w:r>
    </w:p>
    <w:p w14:paraId="1A3642A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1.4.3 投标人不得存在下列情形之一：</w:t>
      </w:r>
    </w:p>
    <w:p w14:paraId="205BA7A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（1）为招标人不具有独立法人资格的附属机构（单位）；</w:t>
      </w:r>
    </w:p>
    <w:p w14:paraId="5737D6A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（2）与招标人存在利害关系且可能影响招标公正性；</w:t>
      </w:r>
    </w:p>
    <w:p w14:paraId="47818E1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（3）与本招标项目的其他投标人为同一个单位负责人；</w:t>
      </w:r>
    </w:p>
    <w:p w14:paraId="7525F16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（4）与本招标项目的其他投标人存在控股、管理关系；</w:t>
      </w:r>
    </w:p>
    <w:p w14:paraId="1D1C51B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（5）为本招标项目的代建人；</w:t>
      </w:r>
    </w:p>
    <w:p w14:paraId="753F2AA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（6）为本招标项目的招标代理机构；</w:t>
      </w:r>
    </w:p>
    <w:p w14:paraId="56BF66A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（7）与本招标项目的代建人或招标代理机构同为一个法定代表人；</w:t>
      </w:r>
    </w:p>
    <w:p w14:paraId="47A995B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（8）与本招标项目的代建人或招标代理机构存在控股或参股关系；</w:t>
      </w:r>
    </w:p>
    <w:p w14:paraId="27B5145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w:t>
      </w:r>
      <w:r>
        <w:rPr>
          <w:rFonts w:hint="eastAsia" w:ascii="宋体" w:hAnsi="宋体"/>
          <w:color w:val="auto"/>
          <w:sz w:val="24"/>
          <w:szCs w:val="24"/>
          <w:highlight w:val="none"/>
        </w:rPr>
        <w:t>与</w:t>
      </w:r>
      <w:r>
        <w:rPr>
          <w:rFonts w:ascii="宋体" w:hAnsi="宋体"/>
          <w:color w:val="auto"/>
          <w:sz w:val="24"/>
          <w:szCs w:val="24"/>
          <w:highlight w:val="none"/>
        </w:rPr>
        <w:t>本招标项目</w:t>
      </w:r>
      <w:r>
        <w:rPr>
          <w:rFonts w:hint="eastAsia" w:ascii="宋体" w:hAnsi="宋体"/>
          <w:color w:val="auto"/>
          <w:sz w:val="24"/>
          <w:szCs w:val="24"/>
          <w:highlight w:val="none"/>
        </w:rPr>
        <w:t>的施工承包人以</w:t>
      </w:r>
      <w:r>
        <w:rPr>
          <w:rFonts w:ascii="宋体" w:hAnsi="宋体"/>
          <w:color w:val="auto"/>
          <w:sz w:val="24"/>
          <w:szCs w:val="24"/>
          <w:highlight w:val="none"/>
        </w:rPr>
        <w:t>及建筑材料、建筑构配件和设备供应商有隶属关系或者其他利害关系；</w:t>
      </w:r>
    </w:p>
    <w:p w14:paraId="2D78D3E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（10）被依法暂停或者取消投标资格；</w:t>
      </w:r>
      <w:r>
        <w:rPr>
          <w:rFonts w:ascii="宋体" w:hAnsi="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F388FA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（11）被责令停产停业、暂扣或者吊销许可证、暂扣或者吊销执照；</w:t>
      </w:r>
      <w:r>
        <w:rPr>
          <w:rFonts w:ascii="宋体" w:hAnsi="宋体"/>
          <w:color w:val="auto"/>
          <w:sz w:val="24"/>
          <w:szCs w:val="24"/>
          <w:highlight w:val="none"/>
          <w:u w:val="single"/>
        </w:rPr>
        <w:t>（本项事实应当以根据《中华人民共和国行政处罚法》依法作出并已经生效的行政处罚决定为认定依据。）</w:t>
      </w:r>
    </w:p>
    <w:p w14:paraId="2285718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（12）进入清算程序，或被宣告破产，或其他丧失履约能力的情形；</w:t>
      </w:r>
    </w:p>
    <w:p w14:paraId="4F82BD3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3</w:t>
      </w:r>
      <w:r>
        <w:rPr>
          <w:rFonts w:ascii="宋体" w:hAnsi="宋体"/>
          <w:color w:val="auto"/>
          <w:sz w:val="24"/>
          <w:szCs w:val="24"/>
          <w:highlight w:val="none"/>
        </w:rPr>
        <w:t>）法律法规或投标人须知前附表规定的其他情形。</w:t>
      </w:r>
    </w:p>
    <w:p w14:paraId="5C4E1A0D">
      <w:pPr>
        <w:pStyle w:val="4"/>
        <w:keepNext w:val="0"/>
        <w:keepLines w:val="0"/>
        <w:spacing w:before="0" w:after="0" w:line="360" w:lineRule="auto"/>
        <w:ind w:firstLine="118"/>
        <w:rPr>
          <w:rFonts w:ascii="宋体" w:hAnsi="宋体" w:eastAsia="宋体"/>
          <w:color w:val="auto"/>
          <w:sz w:val="24"/>
          <w:szCs w:val="24"/>
          <w:highlight w:val="none"/>
        </w:rPr>
      </w:pPr>
      <w:bookmarkStart w:id="27" w:name="_Toc5975"/>
      <w:bookmarkStart w:id="28" w:name="_Toc128512460"/>
      <w:r>
        <w:rPr>
          <w:rFonts w:ascii="宋体" w:hAnsi="宋体" w:eastAsia="宋体"/>
          <w:color w:val="auto"/>
          <w:sz w:val="24"/>
          <w:szCs w:val="24"/>
          <w:highlight w:val="none"/>
        </w:rPr>
        <w:t xml:space="preserve">1.5 </w:t>
      </w:r>
      <w:r>
        <w:rPr>
          <w:rFonts w:hint="eastAsia" w:ascii="宋体" w:hAnsi="宋体" w:eastAsia="宋体"/>
          <w:color w:val="auto"/>
          <w:sz w:val="24"/>
          <w:szCs w:val="24"/>
          <w:highlight w:val="none"/>
        </w:rPr>
        <w:t>费用承担</w:t>
      </w:r>
      <w:bookmarkEnd w:id="27"/>
      <w:bookmarkEnd w:id="28"/>
    </w:p>
    <w:p w14:paraId="774ADFB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投标人准备和参加投标活动发生的费用自理。</w:t>
      </w:r>
    </w:p>
    <w:p w14:paraId="686076B6">
      <w:pPr>
        <w:pStyle w:val="4"/>
        <w:keepNext w:val="0"/>
        <w:keepLines w:val="0"/>
        <w:spacing w:before="0" w:after="0" w:line="360" w:lineRule="auto"/>
        <w:ind w:firstLine="118"/>
        <w:rPr>
          <w:rFonts w:ascii="宋体" w:hAnsi="宋体" w:eastAsia="宋体"/>
          <w:color w:val="auto"/>
          <w:sz w:val="24"/>
          <w:szCs w:val="24"/>
          <w:highlight w:val="none"/>
        </w:rPr>
      </w:pPr>
      <w:bookmarkStart w:id="29" w:name="_Toc128512461"/>
      <w:bookmarkStart w:id="30" w:name="_Toc8200"/>
      <w:r>
        <w:rPr>
          <w:rFonts w:ascii="宋体" w:hAnsi="宋体" w:eastAsia="宋体"/>
          <w:color w:val="auto"/>
          <w:sz w:val="24"/>
          <w:szCs w:val="24"/>
          <w:highlight w:val="none"/>
        </w:rPr>
        <w:t>1.6</w:t>
      </w:r>
      <w:r>
        <w:rPr>
          <w:rFonts w:hint="eastAsia" w:ascii="宋体" w:hAnsi="宋体" w:eastAsia="宋体"/>
          <w:color w:val="auto"/>
          <w:sz w:val="24"/>
          <w:szCs w:val="24"/>
          <w:highlight w:val="none"/>
        </w:rPr>
        <w:t>保密</w:t>
      </w:r>
      <w:bookmarkEnd w:id="29"/>
      <w:bookmarkEnd w:id="30"/>
    </w:p>
    <w:p w14:paraId="11998A6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参与招标投标活动的各方应对招标文件和投标文件中</w:t>
      </w:r>
      <w:bookmarkStart w:id="31" w:name="_Toc361508589"/>
      <w:bookmarkStart w:id="32" w:name="_Toc5326"/>
      <w:bookmarkStart w:id="33" w:name="_Toc369531519"/>
      <w:bookmarkStart w:id="34" w:name="_Toc384308214"/>
      <w:bookmarkStart w:id="35" w:name="_Toc352691477"/>
      <w:r>
        <w:rPr>
          <w:rFonts w:ascii="宋体" w:hAnsi="宋体"/>
          <w:color w:val="auto"/>
          <w:sz w:val="24"/>
          <w:szCs w:val="24"/>
          <w:highlight w:val="none"/>
        </w:rPr>
        <w:t>的商业和技术等秘密保密</w:t>
      </w:r>
      <w:bookmarkEnd w:id="31"/>
      <w:bookmarkEnd w:id="32"/>
      <w:bookmarkEnd w:id="33"/>
      <w:bookmarkEnd w:id="34"/>
      <w:bookmarkEnd w:id="35"/>
      <w:r>
        <w:rPr>
          <w:rFonts w:ascii="宋体" w:hAnsi="宋体"/>
          <w:color w:val="auto"/>
          <w:sz w:val="24"/>
          <w:szCs w:val="24"/>
          <w:highlight w:val="none"/>
        </w:rPr>
        <w:t>，否则应承担相应的法律责任。</w:t>
      </w:r>
    </w:p>
    <w:p w14:paraId="73FF4AFE">
      <w:pPr>
        <w:pStyle w:val="4"/>
        <w:keepNext w:val="0"/>
        <w:keepLines w:val="0"/>
        <w:spacing w:before="0" w:after="0" w:line="360" w:lineRule="auto"/>
        <w:ind w:firstLine="118"/>
        <w:rPr>
          <w:rFonts w:ascii="宋体" w:hAnsi="宋体" w:eastAsia="宋体"/>
          <w:color w:val="auto"/>
          <w:sz w:val="24"/>
          <w:szCs w:val="24"/>
          <w:highlight w:val="none"/>
        </w:rPr>
      </w:pPr>
      <w:bookmarkStart w:id="36" w:name="_Toc128512462"/>
      <w:bookmarkStart w:id="37" w:name="_Toc20852"/>
      <w:r>
        <w:rPr>
          <w:rFonts w:ascii="宋体" w:hAnsi="宋体" w:eastAsia="宋体"/>
          <w:color w:val="auto"/>
          <w:sz w:val="24"/>
          <w:szCs w:val="24"/>
          <w:highlight w:val="none"/>
        </w:rPr>
        <w:t>1.7 语言文字</w:t>
      </w:r>
      <w:bookmarkEnd w:id="36"/>
      <w:bookmarkEnd w:id="37"/>
    </w:p>
    <w:p w14:paraId="39BFC2D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招标投标文件使用的语言文字为中文。专用术语使用外文的，应附有中文注释。</w:t>
      </w:r>
    </w:p>
    <w:p w14:paraId="2C40528C">
      <w:pPr>
        <w:pStyle w:val="4"/>
        <w:keepNext w:val="0"/>
        <w:keepLines w:val="0"/>
        <w:spacing w:before="0" w:after="0" w:line="360" w:lineRule="auto"/>
        <w:ind w:firstLine="118"/>
        <w:rPr>
          <w:rFonts w:ascii="宋体" w:hAnsi="宋体" w:eastAsia="宋体"/>
          <w:color w:val="auto"/>
          <w:sz w:val="24"/>
          <w:szCs w:val="24"/>
          <w:highlight w:val="none"/>
        </w:rPr>
      </w:pPr>
      <w:bookmarkStart w:id="38" w:name="_Toc29220"/>
      <w:bookmarkStart w:id="39" w:name="_Toc128512463"/>
      <w:r>
        <w:rPr>
          <w:rFonts w:ascii="宋体" w:hAnsi="宋体" w:eastAsia="宋体"/>
          <w:color w:val="auto"/>
          <w:sz w:val="24"/>
          <w:szCs w:val="24"/>
          <w:highlight w:val="none"/>
        </w:rPr>
        <w:t>1.8计量单位</w:t>
      </w:r>
      <w:bookmarkEnd w:id="38"/>
      <w:bookmarkEnd w:id="39"/>
    </w:p>
    <w:p w14:paraId="0881AB2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所有计量均采用中华人民共和国法定计量单位。</w:t>
      </w:r>
    </w:p>
    <w:p w14:paraId="7F196AF0">
      <w:pPr>
        <w:pStyle w:val="4"/>
        <w:keepNext w:val="0"/>
        <w:keepLines w:val="0"/>
        <w:spacing w:before="0" w:after="0" w:line="360" w:lineRule="auto"/>
        <w:ind w:firstLine="118"/>
        <w:rPr>
          <w:rFonts w:ascii="宋体" w:hAnsi="宋体" w:eastAsia="宋体"/>
          <w:color w:val="auto"/>
          <w:sz w:val="24"/>
          <w:szCs w:val="24"/>
          <w:highlight w:val="none"/>
        </w:rPr>
      </w:pPr>
      <w:bookmarkStart w:id="40" w:name="_Toc247527563"/>
      <w:bookmarkStart w:id="41" w:name="_Toc370676289"/>
      <w:bookmarkStart w:id="42" w:name="_Toc152045539"/>
      <w:bookmarkStart w:id="43" w:name="_Toc247513962"/>
      <w:bookmarkStart w:id="44" w:name="_Toc300834959"/>
      <w:bookmarkStart w:id="45" w:name="_Toc361508594"/>
      <w:bookmarkStart w:id="46" w:name="_Toc128512464"/>
      <w:bookmarkStart w:id="47" w:name="_Toc152042315"/>
      <w:bookmarkStart w:id="48" w:name="_Toc391393967"/>
      <w:bookmarkStart w:id="49" w:name="_Toc144974507"/>
      <w:bookmarkStart w:id="50" w:name="_Toc27371"/>
      <w:bookmarkStart w:id="51" w:name="_Toc482188480"/>
      <w:bookmarkStart w:id="52" w:name="_Toc384308219"/>
      <w:r>
        <w:rPr>
          <w:rFonts w:ascii="宋体" w:hAnsi="宋体" w:eastAsia="宋体"/>
          <w:color w:val="auto"/>
          <w:sz w:val="24"/>
          <w:szCs w:val="24"/>
          <w:highlight w:val="none"/>
        </w:rPr>
        <w:t xml:space="preserve">1.9 </w:t>
      </w:r>
      <w:r>
        <w:rPr>
          <w:rFonts w:hint="eastAsia" w:ascii="宋体" w:hAnsi="宋体" w:eastAsia="宋体"/>
          <w:color w:val="auto"/>
          <w:sz w:val="24"/>
          <w:szCs w:val="24"/>
          <w:highlight w:val="none"/>
        </w:rPr>
        <w:t>踏勘现场</w:t>
      </w:r>
      <w:bookmarkEnd w:id="40"/>
      <w:bookmarkEnd w:id="41"/>
      <w:bookmarkEnd w:id="42"/>
      <w:bookmarkEnd w:id="43"/>
      <w:bookmarkEnd w:id="44"/>
      <w:bookmarkEnd w:id="45"/>
      <w:bookmarkEnd w:id="46"/>
      <w:bookmarkEnd w:id="47"/>
      <w:bookmarkEnd w:id="48"/>
      <w:bookmarkEnd w:id="49"/>
      <w:bookmarkEnd w:id="50"/>
      <w:bookmarkEnd w:id="51"/>
      <w:bookmarkEnd w:id="52"/>
    </w:p>
    <w:p w14:paraId="7E9BD48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69B822A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1.9.2 投标人踏勘现场发生的费用自理。</w:t>
      </w:r>
    </w:p>
    <w:p w14:paraId="58FD623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1.9.3 除招标人的原因外，投标人自行负责在踏勘现场中所发生的人员伤亡和财产损失。</w:t>
      </w:r>
    </w:p>
    <w:p w14:paraId="51736E4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1.9.4 招标人在踏勘现场中介绍的工程场地和相关的周边环境情况，供投标人在编制投标文件时参考，招标人不对投标人据此作出的判断和决策负责。</w:t>
      </w:r>
    </w:p>
    <w:p w14:paraId="53E6DF43">
      <w:pPr>
        <w:pStyle w:val="4"/>
        <w:keepNext w:val="0"/>
        <w:keepLines w:val="0"/>
        <w:spacing w:before="0" w:after="0" w:line="360" w:lineRule="auto"/>
        <w:ind w:firstLine="118"/>
        <w:rPr>
          <w:rFonts w:ascii="宋体" w:hAnsi="宋体" w:eastAsia="宋体"/>
          <w:color w:val="auto"/>
          <w:sz w:val="24"/>
          <w:szCs w:val="24"/>
          <w:highlight w:val="none"/>
        </w:rPr>
      </w:pPr>
      <w:bookmarkStart w:id="53" w:name="_Toc17151"/>
      <w:bookmarkStart w:id="54" w:name="_Toc128512465"/>
      <w:r>
        <w:rPr>
          <w:rFonts w:ascii="宋体" w:hAnsi="宋体" w:eastAsia="宋体"/>
          <w:color w:val="auto"/>
          <w:sz w:val="24"/>
          <w:szCs w:val="24"/>
          <w:highlight w:val="none"/>
        </w:rPr>
        <w:t>1.10投标预备会</w:t>
      </w:r>
      <w:bookmarkEnd w:id="53"/>
      <w:bookmarkEnd w:id="54"/>
    </w:p>
    <w:p w14:paraId="28913B9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1.10.1 投标人须知前附表规定召开投标预备会的，招标人按投标人须知前附表规定的时间和地点召开投标预备会，澄清投标人提出的问题。</w:t>
      </w:r>
    </w:p>
    <w:p w14:paraId="3EA5362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1.10.2 投标人应按投标人须知前附表规定的时间和形式将提出的问题送达招标人，以便招标人在会议期间澄清。</w:t>
      </w:r>
    </w:p>
    <w:p w14:paraId="0162D55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1.10.3 投标预备会后，招标人将对投标人所提问题的澄清，以投标人须知前附表规定的形式通知所有购买招标文件的投标人。该澄清内容为招标文件的组成部分。</w:t>
      </w:r>
    </w:p>
    <w:p w14:paraId="5AF7A170">
      <w:pPr>
        <w:pStyle w:val="4"/>
        <w:keepNext w:val="0"/>
        <w:keepLines w:val="0"/>
        <w:spacing w:before="0" w:after="0" w:line="360" w:lineRule="auto"/>
        <w:ind w:firstLine="118"/>
        <w:rPr>
          <w:rFonts w:ascii="宋体" w:hAnsi="宋体" w:eastAsia="宋体"/>
          <w:color w:val="auto"/>
          <w:sz w:val="24"/>
          <w:szCs w:val="24"/>
          <w:highlight w:val="none"/>
        </w:rPr>
      </w:pPr>
      <w:bookmarkStart w:id="55" w:name="_Toc15034"/>
      <w:bookmarkStart w:id="56" w:name="_Toc128512466"/>
      <w:r>
        <w:rPr>
          <w:rFonts w:ascii="宋体" w:hAnsi="宋体" w:eastAsia="宋体"/>
          <w:color w:val="auto"/>
          <w:sz w:val="24"/>
          <w:szCs w:val="24"/>
          <w:highlight w:val="none"/>
        </w:rPr>
        <w:t>1.11 分包</w:t>
      </w:r>
      <w:bookmarkEnd w:id="55"/>
      <w:bookmarkEnd w:id="56"/>
    </w:p>
    <w:p w14:paraId="2BBE0EA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本项目严禁分包。</w:t>
      </w:r>
    </w:p>
    <w:p w14:paraId="2BC3F1AA">
      <w:pPr>
        <w:pStyle w:val="4"/>
        <w:keepNext w:val="0"/>
        <w:keepLines w:val="0"/>
        <w:spacing w:before="0" w:after="0" w:line="360" w:lineRule="auto"/>
        <w:ind w:firstLine="118"/>
        <w:rPr>
          <w:rFonts w:ascii="宋体" w:hAnsi="宋体" w:eastAsia="宋体"/>
          <w:color w:val="auto"/>
          <w:sz w:val="24"/>
          <w:szCs w:val="24"/>
          <w:highlight w:val="none"/>
        </w:rPr>
      </w:pPr>
      <w:bookmarkStart w:id="57" w:name="_Toc15891"/>
      <w:bookmarkStart w:id="58" w:name="_Toc128512467"/>
      <w:r>
        <w:rPr>
          <w:rFonts w:ascii="宋体" w:hAnsi="宋体" w:eastAsia="宋体"/>
          <w:color w:val="auto"/>
          <w:sz w:val="24"/>
          <w:szCs w:val="24"/>
          <w:highlight w:val="none"/>
        </w:rPr>
        <w:t>1.12响应和偏差</w:t>
      </w:r>
      <w:bookmarkEnd w:id="57"/>
      <w:bookmarkEnd w:id="58"/>
    </w:p>
    <w:p w14:paraId="3023A79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1.12.1投标文件应当对招标文件的实质性要求和条件作出满足性或更有利于招标人的响应，否则，投标人的投标将被否决。实质性要求和条件见投标人须知前附表。</w:t>
      </w:r>
    </w:p>
    <w:p w14:paraId="035A710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1.12.2 投标人应根据招标文件的要求提供投标</w:t>
      </w:r>
      <w:r>
        <w:rPr>
          <w:rFonts w:hint="eastAsia" w:ascii="宋体" w:hAnsi="宋体"/>
          <w:color w:val="auto"/>
          <w:sz w:val="24"/>
          <w:szCs w:val="24"/>
          <w:highlight w:val="none"/>
        </w:rPr>
        <w:t>创意设计方案</w:t>
      </w:r>
      <w:r>
        <w:rPr>
          <w:rFonts w:ascii="宋体" w:hAnsi="宋体"/>
          <w:color w:val="auto"/>
          <w:sz w:val="24"/>
          <w:szCs w:val="24"/>
          <w:highlight w:val="none"/>
        </w:rPr>
        <w:t>等内容以对招标文件作出响应。</w:t>
      </w:r>
    </w:p>
    <w:p w14:paraId="20C7A727">
      <w:pPr>
        <w:spacing w:line="360" w:lineRule="auto"/>
        <w:ind w:firstLine="435"/>
        <w:rPr>
          <w:rFonts w:ascii="宋体" w:hAnsi="宋体"/>
          <w:color w:val="auto"/>
          <w:sz w:val="24"/>
          <w:szCs w:val="24"/>
          <w:highlight w:val="none"/>
        </w:rPr>
      </w:pPr>
      <w:r>
        <w:rPr>
          <w:rFonts w:ascii="宋体" w:hAnsi="宋体"/>
          <w:color w:val="auto"/>
          <w:sz w:val="24"/>
          <w:szCs w:val="24"/>
          <w:highlight w:val="none"/>
        </w:rPr>
        <w:t>1.12.3投标人须知前附表允许投标文件偏离招标文件某些要求的，偏差应当符合招标文件规定的偏差范围和幅度。</w:t>
      </w:r>
    </w:p>
    <w:p w14:paraId="78D0F992">
      <w:pPr>
        <w:pStyle w:val="3"/>
        <w:keepNext w:val="0"/>
        <w:keepLines w:val="0"/>
        <w:spacing w:before="0" w:after="0" w:line="360" w:lineRule="auto"/>
        <w:rPr>
          <w:rFonts w:ascii="宋体" w:hAnsi="宋体" w:eastAsia="宋体"/>
          <w:color w:val="auto"/>
          <w:highlight w:val="none"/>
        </w:rPr>
      </w:pPr>
      <w:bookmarkStart w:id="59" w:name="_Toc128512468"/>
      <w:bookmarkStart w:id="60" w:name="_Toc29981"/>
      <w:r>
        <w:rPr>
          <w:rFonts w:ascii="宋体" w:hAnsi="宋体" w:eastAsia="宋体"/>
          <w:color w:val="auto"/>
          <w:highlight w:val="none"/>
        </w:rPr>
        <w:t>2. 招标文件</w:t>
      </w:r>
      <w:bookmarkEnd w:id="59"/>
      <w:bookmarkEnd w:id="60"/>
    </w:p>
    <w:p w14:paraId="4B1946A3">
      <w:pPr>
        <w:pStyle w:val="4"/>
        <w:keepNext w:val="0"/>
        <w:keepLines w:val="0"/>
        <w:spacing w:before="0" w:after="0" w:line="360" w:lineRule="auto"/>
        <w:ind w:firstLine="118"/>
        <w:rPr>
          <w:rFonts w:ascii="宋体" w:hAnsi="宋体" w:eastAsia="宋体"/>
          <w:color w:val="auto"/>
          <w:sz w:val="24"/>
          <w:szCs w:val="24"/>
          <w:highlight w:val="none"/>
        </w:rPr>
      </w:pPr>
      <w:bookmarkStart w:id="61" w:name="_Toc19114"/>
      <w:bookmarkStart w:id="62" w:name="_Toc128512469"/>
      <w:r>
        <w:rPr>
          <w:rFonts w:ascii="宋体" w:hAnsi="宋体" w:eastAsia="宋体"/>
          <w:color w:val="auto"/>
          <w:sz w:val="24"/>
          <w:szCs w:val="24"/>
          <w:highlight w:val="none"/>
        </w:rPr>
        <w:t>2.1 招标文件的组成</w:t>
      </w:r>
      <w:bookmarkEnd w:id="61"/>
      <w:bookmarkEnd w:id="62"/>
    </w:p>
    <w:p w14:paraId="2FD41D58">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rPr>
        <w:t>本招标文件包括：</w:t>
      </w:r>
    </w:p>
    <w:p w14:paraId="4280A524">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rPr>
        <w:t>（1）招标公告</w:t>
      </w:r>
      <w:r>
        <w:rPr>
          <w:rFonts w:ascii="宋体" w:hAnsi="宋体"/>
          <w:strike/>
          <w:color w:val="auto"/>
          <w:sz w:val="24"/>
          <w:szCs w:val="24"/>
          <w:highlight w:val="none"/>
        </w:rPr>
        <w:t>（或投标邀请书）</w:t>
      </w:r>
      <w:r>
        <w:rPr>
          <w:rFonts w:ascii="宋体" w:hAnsi="宋体"/>
          <w:color w:val="auto"/>
          <w:sz w:val="24"/>
          <w:szCs w:val="24"/>
          <w:highlight w:val="none"/>
        </w:rPr>
        <w:t>；</w:t>
      </w:r>
    </w:p>
    <w:p w14:paraId="58F798C2">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rPr>
        <w:t>（2）投标人须知；</w:t>
      </w:r>
    </w:p>
    <w:p w14:paraId="4E46CF0B">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rPr>
        <w:t>（3）评标办法；</w:t>
      </w:r>
    </w:p>
    <w:p w14:paraId="59CDA3C9">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rPr>
        <w:t>（4）合同条款及格式；</w:t>
      </w:r>
    </w:p>
    <w:p w14:paraId="7E887A7D">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rPr>
        <w:t>（5）委托人要求；</w:t>
      </w:r>
    </w:p>
    <w:p w14:paraId="6D88A11D">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rPr>
        <w:t>（6）投标文件格式；</w:t>
      </w:r>
    </w:p>
    <w:p w14:paraId="5E37C8BF">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rPr>
        <w:t>（7）投标人须知前附表规定的其他资料。</w:t>
      </w:r>
    </w:p>
    <w:p w14:paraId="236DC29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根据本章第1.10款、第2.2款和第2.3款对招标文件所作的澄清、修改，构成招标文件的组成部分。</w:t>
      </w:r>
    </w:p>
    <w:p w14:paraId="7C60FCD2">
      <w:pPr>
        <w:pStyle w:val="4"/>
        <w:keepNext w:val="0"/>
        <w:keepLines w:val="0"/>
        <w:spacing w:before="0" w:after="0" w:line="360" w:lineRule="auto"/>
        <w:ind w:firstLine="118"/>
        <w:rPr>
          <w:rFonts w:ascii="宋体" w:hAnsi="宋体" w:eastAsia="宋体"/>
          <w:color w:val="auto"/>
          <w:sz w:val="24"/>
          <w:szCs w:val="24"/>
          <w:highlight w:val="none"/>
        </w:rPr>
      </w:pPr>
      <w:bookmarkStart w:id="63" w:name="_Toc24624"/>
      <w:bookmarkStart w:id="64" w:name="_Toc128512470"/>
      <w:r>
        <w:rPr>
          <w:rFonts w:ascii="宋体" w:hAnsi="宋体" w:eastAsia="宋体"/>
          <w:color w:val="auto"/>
          <w:sz w:val="24"/>
          <w:szCs w:val="24"/>
          <w:highlight w:val="none"/>
        </w:rPr>
        <w:t>2.2 招标文件的澄清</w:t>
      </w:r>
      <w:bookmarkEnd w:id="63"/>
      <w:bookmarkEnd w:id="64"/>
    </w:p>
    <w:p w14:paraId="614729E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A2E0B4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3AC0205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 除非招标人认为确有必要答复，否则，招标人有权拒绝回复投标人在</w:t>
      </w:r>
      <w:r>
        <w:rPr>
          <w:rFonts w:hint="eastAsia" w:ascii="宋体" w:hAnsi="宋体"/>
          <w:color w:val="auto"/>
          <w:sz w:val="24"/>
          <w:szCs w:val="24"/>
          <w:highlight w:val="none"/>
        </w:rPr>
        <w:t>本章第    2.2.1项</w:t>
      </w:r>
      <w:r>
        <w:rPr>
          <w:rFonts w:ascii="宋体" w:hAnsi="宋体"/>
          <w:color w:val="auto"/>
          <w:sz w:val="24"/>
          <w:szCs w:val="24"/>
          <w:highlight w:val="none"/>
        </w:rPr>
        <w:t>规定的时间后的任何澄清要求。</w:t>
      </w:r>
    </w:p>
    <w:p w14:paraId="36D42C16">
      <w:pPr>
        <w:pStyle w:val="4"/>
        <w:keepNext w:val="0"/>
        <w:keepLines w:val="0"/>
        <w:spacing w:before="0" w:after="0" w:line="360" w:lineRule="auto"/>
        <w:ind w:firstLine="118"/>
        <w:rPr>
          <w:rFonts w:ascii="宋体" w:hAnsi="宋体" w:eastAsia="宋体"/>
          <w:color w:val="auto"/>
          <w:sz w:val="24"/>
          <w:szCs w:val="24"/>
          <w:highlight w:val="none"/>
        </w:rPr>
      </w:pPr>
      <w:bookmarkStart w:id="65" w:name="_Toc2698"/>
      <w:bookmarkStart w:id="66" w:name="_Toc128512471"/>
      <w:bookmarkStart w:id="67" w:name="_Toc352691479"/>
      <w:r>
        <w:rPr>
          <w:rFonts w:ascii="宋体" w:hAnsi="宋体" w:eastAsia="宋体"/>
          <w:color w:val="auto"/>
          <w:sz w:val="24"/>
          <w:szCs w:val="24"/>
          <w:highlight w:val="none"/>
        </w:rPr>
        <w:t>2.3 招标文件的修</w:t>
      </w:r>
      <w:bookmarkStart w:id="68" w:name="_Toc16514"/>
      <w:bookmarkStart w:id="69" w:name="_Toc369531521"/>
      <w:r>
        <w:rPr>
          <w:rFonts w:ascii="宋体" w:hAnsi="宋体" w:eastAsia="宋体"/>
          <w:color w:val="auto"/>
          <w:sz w:val="24"/>
          <w:szCs w:val="24"/>
          <w:highlight w:val="none"/>
        </w:rPr>
        <w:t>改</w:t>
      </w:r>
      <w:bookmarkEnd w:id="65"/>
      <w:bookmarkEnd w:id="66"/>
    </w:p>
    <w:p w14:paraId="086BAA4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7"/>
    <w:bookmarkEnd w:id="68"/>
    <w:bookmarkEnd w:id="69"/>
    <w:p w14:paraId="2EAECD6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2.3.2 投标人收到修改内容</w:t>
      </w:r>
      <w:bookmarkStart w:id="70" w:name="_Toc152042314"/>
      <w:bookmarkStart w:id="71" w:name="_Toc144974506"/>
      <w:bookmarkStart w:id="72" w:name="_Toc247513961"/>
      <w:bookmarkStart w:id="73" w:name="_Toc24632"/>
      <w:bookmarkStart w:id="74" w:name="_Toc152045538"/>
      <w:bookmarkStart w:id="75" w:name="_Toc300834958"/>
      <w:bookmarkStart w:id="76" w:name="_Toc384308218"/>
      <w:bookmarkStart w:id="77" w:name="_Toc361508593"/>
      <w:bookmarkStart w:id="78" w:name="_Toc247527562"/>
      <w:bookmarkStart w:id="79" w:name="_Toc352691482"/>
      <w:bookmarkStart w:id="80" w:name="_Toc369531524"/>
      <w:r>
        <w:rPr>
          <w:rFonts w:ascii="宋体" w:hAnsi="宋体"/>
          <w:color w:val="auto"/>
          <w:sz w:val="24"/>
          <w:szCs w:val="24"/>
          <w:highlight w:val="none"/>
        </w:rPr>
        <w:t>后，</w:t>
      </w:r>
      <w:bookmarkEnd w:id="70"/>
      <w:bookmarkEnd w:id="71"/>
      <w:bookmarkEnd w:id="72"/>
      <w:bookmarkEnd w:id="73"/>
      <w:bookmarkEnd w:id="74"/>
      <w:bookmarkEnd w:id="75"/>
      <w:bookmarkEnd w:id="76"/>
      <w:bookmarkEnd w:id="77"/>
      <w:bookmarkEnd w:id="78"/>
      <w:bookmarkEnd w:id="79"/>
      <w:bookmarkEnd w:id="80"/>
      <w:bookmarkStart w:id="81" w:name="_Toc247513963"/>
      <w:bookmarkStart w:id="82" w:name="_Toc369531526"/>
      <w:bookmarkStart w:id="83" w:name="_Toc300834960"/>
      <w:bookmarkStart w:id="84" w:name="_Toc152042316"/>
      <w:bookmarkStart w:id="85" w:name="_Toc152045540"/>
      <w:bookmarkStart w:id="86" w:name="_Toc16623"/>
      <w:bookmarkStart w:id="87" w:name="_Toc361508595"/>
      <w:bookmarkStart w:id="88" w:name="_Toc352691484"/>
      <w:bookmarkStart w:id="89" w:name="_Toc144974508"/>
      <w:bookmarkStart w:id="90" w:name="_Toc247527564"/>
      <w:bookmarkStart w:id="91" w:name="_Toc384308220"/>
      <w:r>
        <w:rPr>
          <w:rFonts w:ascii="宋体" w:hAnsi="宋体"/>
          <w:color w:val="auto"/>
          <w:sz w:val="24"/>
          <w:szCs w:val="24"/>
          <w:highlight w:val="none"/>
        </w:rPr>
        <w:t>应按投标人须知前附表规定的时间和形式通知招标人，确认已收到该修改。</w:t>
      </w:r>
    </w:p>
    <w:p w14:paraId="110BACC6">
      <w:pPr>
        <w:pStyle w:val="4"/>
        <w:keepNext w:val="0"/>
        <w:keepLines w:val="0"/>
        <w:spacing w:before="0" w:after="0" w:line="360" w:lineRule="auto"/>
        <w:ind w:firstLine="118"/>
        <w:rPr>
          <w:rFonts w:ascii="宋体" w:hAnsi="宋体" w:eastAsia="宋体"/>
          <w:color w:val="auto"/>
          <w:sz w:val="24"/>
          <w:szCs w:val="24"/>
          <w:highlight w:val="none"/>
        </w:rPr>
      </w:pPr>
      <w:bookmarkStart w:id="92" w:name="_Toc622"/>
      <w:bookmarkStart w:id="93" w:name="_Toc128512472"/>
      <w:r>
        <w:rPr>
          <w:rFonts w:ascii="宋体" w:hAnsi="宋体" w:eastAsia="宋体"/>
          <w:color w:val="auto"/>
          <w:sz w:val="24"/>
          <w:szCs w:val="24"/>
          <w:highlight w:val="none"/>
        </w:rPr>
        <w:t>2.</w:t>
      </w:r>
      <w:bookmarkEnd w:id="81"/>
      <w:bookmarkEnd w:id="82"/>
      <w:bookmarkEnd w:id="83"/>
      <w:bookmarkEnd w:id="84"/>
      <w:bookmarkEnd w:id="85"/>
      <w:bookmarkEnd w:id="86"/>
      <w:bookmarkEnd w:id="87"/>
      <w:bookmarkEnd w:id="88"/>
      <w:bookmarkEnd w:id="89"/>
      <w:bookmarkEnd w:id="90"/>
      <w:bookmarkEnd w:id="91"/>
      <w:r>
        <w:rPr>
          <w:rFonts w:ascii="宋体" w:hAnsi="宋体" w:eastAsia="宋体"/>
          <w:color w:val="auto"/>
          <w:sz w:val="24"/>
          <w:szCs w:val="24"/>
          <w:highlight w:val="none"/>
        </w:rPr>
        <w:t>4 招标文件的异议</w:t>
      </w:r>
      <w:bookmarkEnd w:id="92"/>
      <w:bookmarkEnd w:id="93"/>
    </w:p>
    <w:p w14:paraId="1BFCB68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0D9A7068">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注</w:t>
      </w:r>
      <w:r>
        <w:rPr>
          <w:rFonts w:ascii="宋体" w:hAnsi="宋体"/>
          <w:color w:val="auto"/>
          <w:sz w:val="24"/>
          <w:szCs w:val="24"/>
          <w:highlight w:val="none"/>
          <w:u w:val="single"/>
        </w:rPr>
        <w:t>：</w:t>
      </w:r>
      <w:r>
        <w:rPr>
          <w:rFonts w:hint="eastAsia" w:ascii="宋体" w:hAnsi="宋体"/>
          <w:color w:val="auto"/>
          <w:sz w:val="24"/>
          <w:szCs w:val="24"/>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D9E3150">
      <w:pPr>
        <w:pStyle w:val="3"/>
        <w:keepNext w:val="0"/>
        <w:keepLines w:val="0"/>
        <w:spacing w:before="0" w:after="0" w:line="360" w:lineRule="auto"/>
        <w:rPr>
          <w:rFonts w:ascii="宋体" w:hAnsi="宋体" w:eastAsia="宋体"/>
          <w:color w:val="auto"/>
          <w:highlight w:val="none"/>
        </w:rPr>
      </w:pPr>
      <w:bookmarkStart w:id="94" w:name="_Toc20188"/>
      <w:bookmarkStart w:id="95" w:name="_Toc128512473"/>
      <w:r>
        <w:rPr>
          <w:rFonts w:ascii="宋体" w:hAnsi="宋体" w:eastAsia="宋体"/>
          <w:color w:val="auto"/>
          <w:highlight w:val="none"/>
        </w:rPr>
        <w:t>3. 投标文件</w:t>
      </w:r>
      <w:bookmarkEnd w:id="94"/>
      <w:bookmarkEnd w:id="95"/>
    </w:p>
    <w:p w14:paraId="29050860">
      <w:pPr>
        <w:pStyle w:val="4"/>
        <w:keepNext w:val="0"/>
        <w:keepLines w:val="0"/>
        <w:spacing w:before="0" w:after="0" w:line="360" w:lineRule="auto"/>
        <w:ind w:firstLine="118"/>
        <w:rPr>
          <w:rFonts w:ascii="宋体" w:hAnsi="宋体" w:eastAsia="宋体"/>
          <w:color w:val="auto"/>
          <w:sz w:val="24"/>
          <w:szCs w:val="24"/>
          <w:highlight w:val="none"/>
        </w:rPr>
      </w:pPr>
      <w:bookmarkStart w:id="96" w:name="_Toc128512474"/>
      <w:bookmarkStart w:id="97" w:name="_Toc17006"/>
      <w:r>
        <w:rPr>
          <w:rFonts w:ascii="宋体" w:hAnsi="宋体" w:eastAsia="宋体"/>
          <w:color w:val="auto"/>
          <w:sz w:val="24"/>
          <w:szCs w:val="24"/>
          <w:highlight w:val="none"/>
        </w:rPr>
        <w:t>3.1 投标文件的组成</w:t>
      </w:r>
      <w:bookmarkEnd w:id="96"/>
      <w:bookmarkEnd w:id="97"/>
    </w:p>
    <w:p w14:paraId="2920B43F">
      <w:pPr>
        <w:spacing w:line="360" w:lineRule="auto"/>
        <w:rPr>
          <w:rFonts w:ascii="宋体" w:hAnsi="宋体"/>
          <w:color w:val="auto"/>
          <w:sz w:val="24"/>
          <w:szCs w:val="24"/>
          <w:highlight w:val="none"/>
        </w:rPr>
      </w:pPr>
      <w:r>
        <w:rPr>
          <w:rFonts w:ascii="宋体" w:hAnsi="宋体"/>
          <w:color w:val="auto"/>
          <w:sz w:val="24"/>
          <w:szCs w:val="24"/>
          <w:highlight w:val="none"/>
        </w:rPr>
        <w:t>　　3.1.1 投标文件应包括下列内容：</w:t>
      </w:r>
    </w:p>
    <w:p w14:paraId="1C5A927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（1）投标函及投标函附录；</w:t>
      </w:r>
    </w:p>
    <w:p w14:paraId="630E64B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（2）法定代表人身份证明或授权委托书；</w:t>
      </w:r>
    </w:p>
    <w:p w14:paraId="31D1A4D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）报价清单；</w:t>
      </w:r>
    </w:p>
    <w:p w14:paraId="17966A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（4）技术偏离表</w:t>
      </w:r>
    </w:p>
    <w:p w14:paraId="4F35430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（5）资格审查资料；</w:t>
      </w:r>
    </w:p>
    <w:p w14:paraId="5D2999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（6）创意设计方案；</w:t>
      </w:r>
    </w:p>
    <w:p w14:paraId="23B3B44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（7）投标人认为需补充的其他资料；</w:t>
      </w:r>
    </w:p>
    <w:p w14:paraId="34E82A0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投标人在评标过程中作出的符合法律法规和招标文件规定的澄清确认，构成投标文件的组成部分。</w:t>
      </w:r>
    </w:p>
    <w:p w14:paraId="29DEFC9F">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rPr>
        <w:t>3.1.2 投标人须知前附表规定不接受联合体投标的，或投标人没有组成联合体的，投标文件不包括本章第3.1.1（3）目所指的联合体协议书。</w:t>
      </w:r>
    </w:p>
    <w:p w14:paraId="7DB2EFD5">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rPr>
        <w:t>3.1.3 投标人须知前附表未要求提交投标保证金的，投标文件不包括本章第3.1.1（</w:t>
      </w:r>
      <w:r>
        <w:rPr>
          <w:rFonts w:hint="eastAsia" w:ascii="宋体" w:hAnsi="宋体"/>
          <w:color w:val="auto"/>
          <w:sz w:val="24"/>
          <w:szCs w:val="24"/>
          <w:highlight w:val="none"/>
        </w:rPr>
        <w:t>4</w:t>
      </w:r>
      <w:r>
        <w:rPr>
          <w:rFonts w:ascii="宋体" w:hAnsi="宋体"/>
          <w:color w:val="auto"/>
          <w:sz w:val="24"/>
          <w:szCs w:val="24"/>
          <w:highlight w:val="none"/>
        </w:rPr>
        <w:t>）目所指的投标保证金。</w:t>
      </w:r>
    </w:p>
    <w:p w14:paraId="71FC4D55">
      <w:pPr>
        <w:pStyle w:val="4"/>
        <w:keepNext w:val="0"/>
        <w:keepLines w:val="0"/>
        <w:spacing w:before="0" w:after="0" w:line="360" w:lineRule="auto"/>
        <w:ind w:firstLine="118"/>
        <w:rPr>
          <w:rFonts w:ascii="宋体" w:hAnsi="宋体" w:eastAsia="宋体"/>
          <w:color w:val="auto"/>
          <w:sz w:val="24"/>
          <w:szCs w:val="24"/>
          <w:highlight w:val="none"/>
        </w:rPr>
      </w:pPr>
      <w:bookmarkStart w:id="98" w:name="_Toc128512475"/>
      <w:bookmarkStart w:id="99" w:name="_Toc15761"/>
      <w:r>
        <w:rPr>
          <w:rFonts w:ascii="宋体" w:hAnsi="宋体" w:eastAsia="宋体"/>
          <w:color w:val="auto"/>
          <w:sz w:val="24"/>
          <w:szCs w:val="24"/>
          <w:highlight w:val="none"/>
        </w:rPr>
        <w:t>3.2 投标报价</w:t>
      </w:r>
      <w:bookmarkEnd w:id="98"/>
      <w:bookmarkEnd w:id="99"/>
    </w:p>
    <w:p w14:paraId="33CA8AD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3.2.1投标报价应包括国家规定的增值税税金，除投标人须知前附表另有规定外，增值税税金按一般计税方法计算。投标人应按第六章“投标文件格式”的要求在投标函中进行报价并填写报价清单。</w:t>
      </w:r>
    </w:p>
    <w:p w14:paraId="6951895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 投标人应充分了解该项目的总体情况以及影响投标报价的其他要素。</w:t>
      </w:r>
    </w:p>
    <w:p w14:paraId="273DB88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3.2.3</w:t>
      </w:r>
      <w:bookmarkStart w:id="100" w:name="_Toc152042319"/>
      <w:bookmarkEnd w:id="100"/>
      <w:bookmarkStart w:id="101" w:name="_Toc300834964"/>
      <w:bookmarkEnd w:id="101"/>
      <w:bookmarkStart w:id="102" w:name="_Toc144974511"/>
      <w:bookmarkEnd w:id="102"/>
      <w:bookmarkStart w:id="103" w:name="_Toc384308224"/>
      <w:bookmarkEnd w:id="103"/>
      <w:bookmarkStart w:id="104" w:name="_Toc247513967"/>
      <w:bookmarkEnd w:id="104"/>
      <w:bookmarkStart w:id="105" w:name="_Toc352691487"/>
      <w:bookmarkEnd w:id="105"/>
      <w:bookmarkStart w:id="106" w:name="_Toc369531530"/>
      <w:bookmarkEnd w:id="106"/>
      <w:bookmarkStart w:id="107" w:name="_Toc152045543"/>
      <w:bookmarkEnd w:id="107"/>
      <w:bookmarkStart w:id="108" w:name="_Toc15242"/>
      <w:bookmarkEnd w:id="108"/>
      <w:bookmarkStart w:id="109" w:name="_Toc247527568"/>
      <w:bookmarkEnd w:id="109"/>
      <w:bookmarkStart w:id="110" w:name="_Toc361508599"/>
      <w:bookmarkEnd w:id="110"/>
      <w:r>
        <w:rPr>
          <w:rFonts w:hint="eastAsia" w:ascii="宋体" w:hAnsi="宋体"/>
          <w:color w:val="auto"/>
          <w:sz w:val="24"/>
          <w:szCs w:val="24"/>
          <w:highlight w:val="none"/>
        </w:rPr>
        <w:t xml:space="preserve"> 本项目的报价方式见投标人须知前附表。</w:t>
      </w:r>
      <w:r>
        <w:rPr>
          <w:rFonts w:ascii="宋体" w:hAnsi="宋体"/>
          <w:color w:val="auto"/>
          <w:sz w:val="24"/>
          <w:szCs w:val="24"/>
          <w:highlight w:val="none"/>
        </w:rPr>
        <w:t>投标人在投标截止时间前修改投标函中的投标报价总额，应同时修改投标文件“</w:t>
      </w:r>
      <w:r>
        <w:rPr>
          <w:rFonts w:hint="eastAsia" w:ascii="宋体" w:hAnsi="宋体"/>
          <w:color w:val="auto"/>
          <w:sz w:val="24"/>
          <w:szCs w:val="24"/>
          <w:highlight w:val="none"/>
        </w:rPr>
        <w:t>报价清单</w:t>
      </w:r>
      <w:r>
        <w:rPr>
          <w:rFonts w:ascii="宋体" w:hAnsi="宋体"/>
          <w:color w:val="auto"/>
          <w:sz w:val="24"/>
          <w:szCs w:val="24"/>
          <w:highlight w:val="none"/>
        </w:rPr>
        <w:t>”中的相应报价。此修改须符合本章第4.3款的有关要求。</w:t>
      </w:r>
    </w:p>
    <w:p w14:paraId="70C20CA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 招标人设有最高投标限价的，投标人的投标报价不得超过最高投标限价，最高投标限价在投标</w:t>
      </w:r>
      <w:bookmarkStart w:id="111" w:name="_Toc152042320"/>
      <w:bookmarkStart w:id="112" w:name="_Toc144974512"/>
      <w:bookmarkStart w:id="113" w:name="_Toc152045544"/>
      <w:bookmarkStart w:id="114" w:name="_Toc352691488"/>
      <w:bookmarkStart w:id="115" w:name="_Toc247513968"/>
      <w:bookmarkStart w:id="116" w:name="_Toc300834965"/>
      <w:bookmarkStart w:id="117" w:name="_Toc384308225"/>
      <w:bookmarkStart w:id="118" w:name="_Toc361508600"/>
      <w:bookmarkStart w:id="119" w:name="_Toc10429"/>
      <w:bookmarkStart w:id="120" w:name="_Toc247527569"/>
      <w:bookmarkStart w:id="121" w:name="_Toc369531531"/>
      <w:r>
        <w:rPr>
          <w:rFonts w:ascii="宋体" w:hAnsi="宋体"/>
          <w:color w:val="auto"/>
          <w:sz w:val="24"/>
          <w:szCs w:val="24"/>
          <w:highlight w:val="none"/>
        </w:rPr>
        <w:t>人须知前附表中载明。</w:t>
      </w:r>
      <w:bookmarkEnd w:id="111"/>
      <w:bookmarkEnd w:id="112"/>
      <w:bookmarkEnd w:id="113"/>
      <w:bookmarkEnd w:id="114"/>
      <w:bookmarkEnd w:id="115"/>
      <w:bookmarkEnd w:id="116"/>
      <w:bookmarkEnd w:id="117"/>
      <w:bookmarkEnd w:id="118"/>
      <w:bookmarkEnd w:id="119"/>
      <w:bookmarkEnd w:id="120"/>
      <w:bookmarkEnd w:id="121"/>
    </w:p>
    <w:p w14:paraId="7B50E03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3.2.5 投标报价的其他要求见投标人须知前附表。</w:t>
      </w:r>
    </w:p>
    <w:p w14:paraId="41D37AFD">
      <w:pPr>
        <w:pStyle w:val="4"/>
        <w:keepNext w:val="0"/>
        <w:keepLines w:val="0"/>
        <w:spacing w:before="0" w:after="0" w:line="360" w:lineRule="auto"/>
        <w:ind w:firstLine="118"/>
        <w:rPr>
          <w:rFonts w:ascii="宋体" w:hAnsi="宋体" w:eastAsia="宋体"/>
          <w:color w:val="auto"/>
          <w:sz w:val="24"/>
          <w:szCs w:val="24"/>
          <w:highlight w:val="none"/>
        </w:rPr>
      </w:pPr>
      <w:bookmarkStart w:id="122" w:name="_Toc26962"/>
      <w:bookmarkStart w:id="123" w:name="_Toc128512476"/>
      <w:r>
        <w:rPr>
          <w:rFonts w:ascii="宋体" w:hAnsi="宋体" w:eastAsia="宋体"/>
          <w:color w:val="auto"/>
          <w:sz w:val="24"/>
          <w:szCs w:val="24"/>
          <w:highlight w:val="none"/>
        </w:rPr>
        <w:t>3.3 投标有效期</w:t>
      </w:r>
      <w:bookmarkEnd w:id="122"/>
      <w:bookmarkEnd w:id="123"/>
    </w:p>
    <w:p w14:paraId="05B159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 除投标人须知前附表另有规定外，投标有效期为</w:t>
      </w:r>
      <w:r>
        <w:rPr>
          <w:rFonts w:hint="eastAsia" w:ascii="宋体" w:hAnsi="宋体"/>
          <w:color w:val="auto"/>
          <w:sz w:val="24"/>
          <w:szCs w:val="24"/>
          <w:highlight w:val="none"/>
          <w:u w:val="single"/>
        </w:rPr>
        <w:t>90</w:t>
      </w:r>
      <w:r>
        <w:rPr>
          <w:rFonts w:ascii="宋体" w:hAnsi="宋体"/>
          <w:color w:val="auto"/>
          <w:sz w:val="24"/>
          <w:szCs w:val="24"/>
          <w:highlight w:val="none"/>
        </w:rPr>
        <w:t>天。</w:t>
      </w:r>
    </w:p>
    <w:p w14:paraId="3C92ADB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 在投标有效期内，投标人撤销投标文件的，应承担招标文件和法律规定的责任。</w:t>
      </w:r>
    </w:p>
    <w:p w14:paraId="7701AD9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3.3.3 </w:t>
      </w:r>
      <w:r>
        <w:rPr>
          <w:rFonts w:ascii="宋体" w:hAnsi="宋体"/>
          <w:color w:val="auto"/>
          <w:sz w:val="24"/>
          <w:szCs w:val="24"/>
          <w:highlight w:val="none"/>
          <w:u w:val="single"/>
        </w:rPr>
        <w:t>出现特殊情况需要延长投标有效期的，招标人以书面形式通知所有投标人延长投标有效期。投标人应予以书面答复，但不得要求或被允许修改其投标文件；投标人拒绝延长的，其投标失效。</w:t>
      </w:r>
    </w:p>
    <w:p w14:paraId="3523F593">
      <w:pPr>
        <w:pStyle w:val="4"/>
        <w:keepNext w:val="0"/>
        <w:keepLines w:val="0"/>
        <w:spacing w:before="0" w:after="0" w:line="360" w:lineRule="auto"/>
        <w:ind w:firstLine="118"/>
        <w:rPr>
          <w:rFonts w:ascii="宋体" w:hAnsi="宋体" w:eastAsia="宋体"/>
          <w:color w:val="auto"/>
          <w:sz w:val="24"/>
          <w:szCs w:val="24"/>
          <w:highlight w:val="none"/>
        </w:rPr>
      </w:pPr>
      <w:bookmarkStart w:id="124" w:name="_Toc29318"/>
      <w:bookmarkStart w:id="125" w:name="_Toc128512477"/>
      <w:r>
        <w:rPr>
          <w:rFonts w:ascii="宋体" w:hAnsi="宋体" w:eastAsia="宋体"/>
          <w:color w:val="auto"/>
          <w:sz w:val="24"/>
          <w:szCs w:val="24"/>
          <w:highlight w:val="none"/>
        </w:rPr>
        <w:t>3.4 投标保证金</w:t>
      </w:r>
      <w:bookmarkEnd w:id="124"/>
      <w:bookmarkEnd w:id="125"/>
    </w:p>
    <w:p w14:paraId="2B03DD50">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szCs w:val="24"/>
          <w:highlight w:val="none"/>
          <w:u w:val="single"/>
        </w:rPr>
        <w:t>本项目不要求提交投标保证金。</w:t>
      </w:r>
    </w:p>
    <w:p w14:paraId="5D41C150">
      <w:pPr>
        <w:pStyle w:val="4"/>
        <w:keepNext w:val="0"/>
        <w:keepLines w:val="0"/>
        <w:spacing w:before="0" w:after="0" w:line="360" w:lineRule="auto"/>
        <w:ind w:firstLine="118"/>
        <w:rPr>
          <w:rFonts w:ascii="宋体" w:hAnsi="宋体" w:eastAsia="宋体"/>
          <w:color w:val="auto"/>
          <w:sz w:val="24"/>
          <w:szCs w:val="24"/>
          <w:highlight w:val="none"/>
        </w:rPr>
      </w:pPr>
      <w:bookmarkStart w:id="126" w:name="_Toc17845"/>
      <w:bookmarkStart w:id="127" w:name="_Toc128512478"/>
      <w:r>
        <w:rPr>
          <w:rFonts w:ascii="宋体" w:hAnsi="宋体" w:eastAsia="宋体"/>
          <w:color w:val="auto"/>
          <w:sz w:val="24"/>
          <w:szCs w:val="24"/>
          <w:highlight w:val="none"/>
        </w:rPr>
        <w:t>3.5 资格审查资料（适用于未进行资格预审的）</w:t>
      </w:r>
      <w:bookmarkEnd w:id="126"/>
      <w:bookmarkEnd w:id="127"/>
    </w:p>
    <w:p w14:paraId="7B2843A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除投标人须知前附表另有规定外，投标人应按下列规定提供资格审查资料，以证明其满足本章第1.4款规定的要求。</w:t>
      </w:r>
    </w:p>
    <w:p w14:paraId="486E087E">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3.5.1投标人参加投标的意思表达清楚，投标人代表被授权有效。 </w:t>
      </w:r>
    </w:p>
    <w:p w14:paraId="342FFE20">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3.5.2投标人均具有独立法人资格，持有工商行政管理部门核发的法人营业执照，按国家法律经营。</w:t>
      </w:r>
    </w:p>
    <w:p w14:paraId="6408008F">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.5.</w:t>
      </w:r>
      <w:r>
        <w:rPr>
          <w:rFonts w:hint="eastAsia" w:ascii="宋体" w:hAnsi="宋体"/>
          <w:color w:val="auto"/>
          <w:sz w:val="24"/>
          <w:szCs w:val="24"/>
          <w:highlight w:val="none"/>
        </w:rPr>
        <w:t>3本次招标不接受联合体投标。</w:t>
      </w:r>
    </w:p>
    <w:p w14:paraId="0DF56CC6">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3.5.4其他要求：</w:t>
      </w:r>
    </w:p>
    <w:p w14:paraId="336B3350">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①投标人已按规定格式签名盖章《投标人声明》（详见招标公告附件一）。</w:t>
      </w:r>
    </w:p>
    <w:p w14:paraId="0C134805">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②</w:t>
      </w:r>
      <w:r>
        <w:rPr>
          <w:rFonts w:hint="eastAsia" w:ascii="宋体" w:hAnsi="宋体" w:cs="宋体"/>
          <w:color w:val="auto"/>
          <w:sz w:val="24"/>
          <w:highlight w:val="none"/>
          <w:u w:val="single"/>
        </w:rPr>
        <w:t>资格审查前，投标人须在广州交易集团有限公司（广州公共资源交易中心）</w:t>
      </w:r>
      <w:r>
        <w:rPr>
          <w:rFonts w:hint="eastAsia" w:ascii="宋体" w:hAnsi="宋体" w:cs="宋体"/>
          <w:color w:val="auto"/>
          <w:sz w:val="24"/>
          <w:szCs w:val="24"/>
          <w:highlight w:val="none"/>
          <w:u w:val="single"/>
        </w:rPr>
        <w:t>办理信息登记等相关投标登记手续</w:t>
      </w:r>
      <w:r>
        <w:rPr>
          <w:rFonts w:hint="eastAsia" w:ascii="宋体" w:hAnsi="宋体" w:cs="宋体"/>
          <w:color w:val="auto"/>
          <w:sz w:val="24"/>
          <w:highlight w:val="none"/>
          <w:u w:val="single"/>
        </w:rPr>
        <w:t>。</w:t>
      </w:r>
    </w:p>
    <w:p w14:paraId="30A3F866">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③</w:t>
      </w:r>
      <w:bookmarkStart w:id="128" w:name="_Hlk151058551"/>
      <w:r>
        <w:rPr>
          <w:rFonts w:hint="eastAsia" w:ascii="宋体" w:hAnsi="宋体"/>
          <w:color w:val="auto"/>
          <w:sz w:val="24"/>
          <w:szCs w:val="24"/>
          <w:highlight w:val="none"/>
          <w:u w:val="single"/>
        </w:rPr>
        <w:t>投标人未被列入严重违法失信企业详细信息和重大税收违法案件信息失信联合惩戒对象名单（投标人需提供网页截图，具体名单以递交投标文件截止时间“信用广州”</w:t>
      </w:r>
    </w:p>
    <w:p w14:paraId="52A42AFA">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u w:val="single"/>
        </w:rPr>
        <w:t>https://credit1.gz.gov.cn/publicity/punishGz公布的名单信息为准）。</w:t>
      </w:r>
      <w:bookmarkEnd w:id="128"/>
    </w:p>
    <w:p w14:paraId="775E0FDC">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④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64FE9885">
      <w:pPr>
        <w:pStyle w:val="4"/>
        <w:keepNext w:val="0"/>
        <w:keepLines w:val="0"/>
        <w:spacing w:before="0" w:after="0" w:line="360" w:lineRule="auto"/>
        <w:ind w:firstLine="118"/>
        <w:rPr>
          <w:rFonts w:ascii="宋体" w:hAnsi="宋体" w:eastAsia="宋体"/>
          <w:color w:val="auto"/>
          <w:sz w:val="24"/>
          <w:szCs w:val="24"/>
          <w:highlight w:val="none"/>
        </w:rPr>
      </w:pPr>
      <w:bookmarkStart w:id="129" w:name="_Toc128512479"/>
      <w:bookmarkStart w:id="130" w:name="_Toc824"/>
      <w:r>
        <w:rPr>
          <w:rFonts w:ascii="宋体" w:hAnsi="宋体" w:eastAsia="宋体"/>
          <w:color w:val="auto"/>
          <w:sz w:val="24"/>
          <w:szCs w:val="24"/>
          <w:highlight w:val="none"/>
        </w:rPr>
        <w:t>3.6 备选投标方案</w:t>
      </w:r>
      <w:bookmarkEnd w:id="129"/>
      <w:bookmarkEnd w:id="130"/>
    </w:p>
    <w:p w14:paraId="296E16A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3.6.1 除投标人须知前附表规定允许外，投标人不得递交备选投标方案，否则其投标将被否决。</w:t>
      </w:r>
    </w:p>
    <w:p w14:paraId="0C2B7B1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36429F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3.6.3 投标人提供两个或两个以上投标报价，或者在投标文件中提供一个报价，但同时提供两个或两个以上</w:t>
      </w:r>
      <w:bookmarkStart w:id="131" w:name="_Toc144974518"/>
      <w:bookmarkStart w:id="132" w:name="_Toc247513974"/>
      <w:bookmarkStart w:id="133" w:name="_Toc247527575"/>
      <w:bookmarkStart w:id="134" w:name="_Toc300834971"/>
      <w:bookmarkStart w:id="135" w:name="_Toc361508607"/>
      <w:bookmarkStart w:id="136" w:name="_Toc352691495"/>
      <w:bookmarkStart w:id="137" w:name="_Toc152045550"/>
      <w:bookmarkStart w:id="138" w:name="_Toc29902"/>
      <w:bookmarkStart w:id="139" w:name="_Toc152042326"/>
      <w:bookmarkStart w:id="140" w:name="_Toc384308232"/>
      <w:bookmarkStart w:id="141" w:name="_Toc369531538"/>
      <w:r>
        <w:rPr>
          <w:rFonts w:hint="eastAsia" w:ascii="宋体" w:hAnsi="宋体"/>
          <w:color w:val="auto"/>
          <w:sz w:val="24"/>
          <w:szCs w:val="24"/>
          <w:highlight w:val="none"/>
        </w:rPr>
        <w:t>创意设计方案</w:t>
      </w:r>
      <w:r>
        <w:rPr>
          <w:rFonts w:ascii="宋体" w:hAnsi="宋体"/>
          <w:color w:val="auto"/>
          <w:sz w:val="24"/>
          <w:szCs w:val="24"/>
          <w:highlight w:val="none"/>
        </w:rPr>
        <w:t>的</w:t>
      </w:r>
      <w:bookmarkEnd w:id="131"/>
      <w:bookmarkEnd w:id="132"/>
      <w:bookmarkEnd w:id="133"/>
      <w:bookmarkEnd w:id="134"/>
      <w:bookmarkEnd w:id="135"/>
      <w:bookmarkEnd w:id="136"/>
      <w:bookmarkEnd w:id="137"/>
      <w:bookmarkEnd w:id="138"/>
      <w:bookmarkEnd w:id="139"/>
      <w:bookmarkEnd w:id="140"/>
      <w:bookmarkEnd w:id="141"/>
      <w:r>
        <w:rPr>
          <w:rFonts w:ascii="宋体" w:hAnsi="宋体"/>
          <w:color w:val="auto"/>
          <w:sz w:val="24"/>
          <w:szCs w:val="24"/>
          <w:highlight w:val="none"/>
        </w:rPr>
        <w:t>，视为提供备选方案。</w:t>
      </w:r>
    </w:p>
    <w:p w14:paraId="48FCA093">
      <w:pPr>
        <w:pStyle w:val="4"/>
        <w:keepNext w:val="0"/>
        <w:keepLines w:val="0"/>
        <w:spacing w:before="0" w:after="0" w:line="360" w:lineRule="auto"/>
        <w:ind w:firstLine="118"/>
        <w:rPr>
          <w:rFonts w:ascii="宋体" w:hAnsi="宋体" w:eastAsia="宋体"/>
          <w:color w:val="auto"/>
          <w:sz w:val="24"/>
          <w:szCs w:val="24"/>
          <w:highlight w:val="none"/>
        </w:rPr>
      </w:pPr>
      <w:bookmarkStart w:id="142" w:name="_Toc23337"/>
      <w:bookmarkStart w:id="143" w:name="_Toc128512480"/>
      <w:r>
        <w:rPr>
          <w:rFonts w:ascii="宋体" w:hAnsi="宋体" w:eastAsia="宋体"/>
          <w:color w:val="auto"/>
          <w:sz w:val="24"/>
          <w:szCs w:val="24"/>
          <w:highlight w:val="none"/>
        </w:rPr>
        <w:t>3.7 投标文件的编制</w:t>
      </w:r>
      <w:bookmarkEnd w:id="142"/>
      <w:bookmarkEnd w:id="143"/>
    </w:p>
    <w:p w14:paraId="02AD813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40EFE21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 投标文件应当对招标文件有关服务期限、投标有效期、委托人要求、招标范围等实质性内容作出响应。</w:t>
      </w:r>
    </w:p>
    <w:p w14:paraId="709EA53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36B68075">
      <w:pPr>
        <w:pStyle w:val="3"/>
        <w:keepNext w:val="0"/>
        <w:keepLines w:val="0"/>
        <w:spacing w:before="0" w:after="0" w:line="360" w:lineRule="auto"/>
        <w:rPr>
          <w:rFonts w:ascii="宋体" w:hAnsi="宋体" w:eastAsia="宋体"/>
          <w:color w:val="auto"/>
          <w:highlight w:val="none"/>
        </w:rPr>
      </w:pPr>
      <w:bookmarkStart w:id="144" w:name="_Toc128512481"/>
      <w:bookmarkStart w:id="145" w:name="_Toc16599"/>
      <w:r>
        <w:rPr>
          <w:rFonts w:ascii="宋体" w:hAnsi="宋体" w:eastAsia="宋体"/>
          <w:color w:val="auto"/>
          <w:highlight w:val="none"/>
        </w:rPr>
        <w:t>4. 投标</w:t>
      </w:r>
      <w:bookmarkEnd w:id="144"/>
      <w:bookmarkEnd w:id="145"/>
    </w:p>
    <w:p w14:paraId="6532A987">
      <w:pPr>
        <w:pStyle w:val="4"/>
        <w:keepNext w:val="0"/>
        <w:keepLines w:val="0"/>
        <w:spacing w:before="0" w:after="0" w:line="360" w:lineRule="auto"/>
        <w:ind w:firstLine="118"/>
        <w:rPr>
          <w:rFonts w:ascii="宋体" w:hAnsi="宋体" w:eastAsia="宋体"/>
          <w:color w:val="auto"/>
          <w:sz w:val="24"/>
          <w:szCs w:val="24"/>
          <w:highlight w:val="none"/>
        </w:rPr>
      </w:pPr>
      <w:bookmarkStart w:id="146" w:name="_Toc10880"/>
      <w:bookmarkStart w:id="147" w:name="_Toc128512482"/>
      <w:r>
        <w:rPr>
          <w:rFonts w:ascii="宋体" w:hAnsi="宋体" w:eastAsia="宋体"/>
          <w:color w:val="auto"/>
          <w:sz w:val="24"/>
          <w:szCs w:val="24"/>
          <w:highlight w:val="none"/>
        </w:rPr>
        <w:t>4.1 投标文件的密封和标记</w:t>
      </w:r>
      <w:bookmarkEnd w:id="146"/>
      <w:bookmarkEnd w:id="147"/>
    </w:p>
    <w:p w14:paraId="5D8B0AE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4.1.1投标人应当按照招标文件和电子招标投标交易平台的要求加密投标文件，具体要求见投标人须知前附表。</w:t>
      </w:r>
    </w:p>
    <w:p w14:paraId="177F80A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4.1.2 投标文件封套上应写明的内容见投标人须知前附表。</w:t>
      </w:r>
    </w:p>
    <w:p w14:paraId="5919B7D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4.1.3 未按本章第4.1.1项要求密封的投标文件，招标人将予以拒收。</w:t>
      </w:r>
    </w:p>
    <w:p w14:paraId="5BA354A2">
      <w:pPr>
        <w:pStyle w:val="4"/>
        <w:keepNext w:val="0"/>
        <w:keepLines w:val="0"/>
        <w:spacing w:before="0" w:after="0" w:line="360" w:lineRule="auto"/>
        <w:ind w:firstLine="118"/>
        <w:rPr>
          <w:rFonts w:ascii="宋体" w:hAnsi="宋体" w:eastAsia="宋体"/>
          <w:color w:val="auto"/>
          <w:sz w:val="24"/>
          <w:szCs w:val="24"/>
          <w:highlight w:val="none"/>
        </w:rPr>
      </w:pPr>
      <w:bookmarkStart w:id="148" w:name="_Toc128512483"/>
      <w:bookmarkStart w:id="149" w:name="_Toc13276"/>
      <w:r>
        <w:rPr>
          <w:rFonts w:ascii="宋体" w:hAnsi="宋体" w:eastAsia="宋体"/>
          <w:color w:val="auto"/>
          <w:sz w:val="24"/>
          <w:szCs w:val="24"/>
          <w:highlight w:val="none"/>
        </w:rPr>
        <w:t>4.2 投标文件的递交</w:t>
      </w:r>
      <w:bookmarkEnd w:id="148"/>
      <w:bookmarkEnd w:id="149"/>
    </w:p>
    <w:p w14:paraId="7280CA5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4.2.1 投标人应在投标人须知前附表规定的投标截止时间前递交投标文件。</w:t>
      </w:r>
    </w:p>
    <w:p w14:paraId="0C244EB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4.2.2</w:t>
      </w:r>
      <w:r>
        <w:rPr>
          <w:rFonts w:ascii="宋体" w:hAnsi="宋体"/>
          <w:bCs/>
          <w:iCs/>
          <w:color w:val="auto"/>
          <w:sz w:val="24"/>
          <w:szCs w:val="24"/>
          <w:highlight w:val="none"/>
        </w:rPr>
        <w:t>投标人通过下载招标文件的电子招标投标交易平台递交电子投标文件。</w:t>
      </w:r>
    </w:p>
    <w:p w14:paraId="263E52B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 除投标人须知前附表另有规定外，投标人所递交的投标文件不予退还。</w:t>
      </w:r>
    </w:p>
    <w:p w14:paraId="6CED1DD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4.2.4投标人完成电子投标文件上传后，</w:t>
      </w:r>
      <w:r>
        <w:rPr>
          <w:rFonts w:ascii="宋体" w:hAnsi="宋体"/>
          <w:bCs/>
          <w:iCs/>
          <w:color w:val="auto"/>
          <w:sz w:val="24"/>
          <w:szCs w:val="24"/>
          <w:highlight w:val="none"/>
        </w:rPr>
        <w:t>电子招标投标交易平台</w:t>
      </w:r>
      <w:r>
        <w:rPr>
          <w:rFonts w:ascii="宋体" w:hAnsi="宋体"/>
          <w:color w:val="auto"/>
          <w:sz w:val="24"/>
          <w:szCs w:val="24"/>
          <w:highlight w:val="none"/>
        </w:rPr>
        <w:t>即时向投标人发出递交回执通知。递交时间以递交回执通知载明的传输完成时间为准。</w:t>
      </w:r>
    </w:p>
    <w:p w14:paraId="69F0F1AC">
      <w:pPr>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4.2.5逾期送达的投标文件，电子招标投标交易平台将予以拒收。</w:t>
      </w:r>
    </w:p>
    <w:p w14:paraId="5873DC4D">
      <w:pPr>
        <w:pStyle w:val="4"/>
        <w:keepNext w:val="0"/>
        <w:keepLines w:val="0"/>
        <w:spacing w:before="0" w:after="0" w:line="360" w:lineRule="auto"/>
        <w:ind w:firstLine="118"/>
        <w:rPr>
          <w:rFonts w:ascii="宋体" w:hAnsi="宋体" w:eastAsia="宋体"/>
          <w:color w:val="auto"/>
          <w:sz w:val="24"/>
          <w:szCs w:val="24"/>
          <w:highlight w:val="none"/>
        </w:rPr>
      </w:pPr>
      <w:bookmarkStart w:id="150" w:name="_Toc16752"/>
      <w:bookmarkStart w:id="151" w:name="_Toc128512484"/>
      <w:r>
        <w:rPr>
          <w:rFonts w:ascii="宋体" w:hAnsi="宋体" w:eastAsia="宋体"/>
          <w:color w:val="auto"/>
          <w:sz w:val="24"/>
          <w:szCs w:val="24"/>
          <w:highlight w:val="none"/>
        </w:rPr>
        <w:t>4.3 投标文件的修改与撤回</w:t>
      </w:r>
      <w:bookmarkEnd w:id="150"/>
      <w:bookmarkEnd w:id="151"/>
    </w:p>
    <w:p w14:paraId="170840E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4.3.1 在本章第4.2.1项规定的投标截止时间前，投标人可以修改或撤回已递交的投标文件，但应以书面形式通知招标人。</w:t>
      </w:r>
    </w:p>
    <w:p w14:paraId="0531291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4.3.2投标人修改或撤回已递交投标文件的通知，应按照本章第3.7.3项的要求加盖电子印章。</w:t>
      </w:r>
      <w:r>
        <w:rPr>
          <w:rFonts w:ascii="宋体" w:hAnsi="宋体"/>
          <w:bCs/>
          <w:iCs/>
          <w:color w:val="auto"/>
          <w:sz w:val="24"/>
          <w:szCs w:val="24"/>
          <w:highlight w:val="none"/>
        </w:rPr>
        <w:t>电子招标投标交易平台收到通知后，</w:t>
      </w:r>
      <w:r>
        <w:rPr>
          <w:rFonts w:ascii="宋体" w:hAnsi="宋体"/>
          <w:color w:val="auto"/>
          <w:sz w:val="24"/>
          <w:szCs w:val="24"/>
          <w:highlight w:val="none"/>
        </w:rPr>
        <w:t>即时向投标人发出确认回执通知。</w:t>
      </w:r>
    </w:p>
    <w:p w14:paraId="46471340">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4.3.3 投标人撤回投标文件的，招标人自收到投标人书面撤回通知之日起5日内退还已收取的投标保证金。</w:t>
      </w:r>
    </w:p>
    <w:p w14:paraId="30E3F91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4.3.</w:t>
      </w:r>
      <w:bookmarkStart w:id="152" w:name="_Toc369531541"/>
      <w:bookmarkStart w:id="153" w:name="_Toc19203"/>
      <w:bookmarkStart w:id="154" w:name="_Toc300834974"/>
      <w:bookmarkStart w:id="155" w:name="_Toc361508610"/>
      <w:bookmarkStart w:id="156" w:name="_Toc144974521"/>
      <w:bookmarkStart w:id="157" w:name="_Toc152042329"/>
      <w:bookmarkStart w:id="158" w:name="_Toc352691497"/>
      <w:bookmarkStart w:id="159" w:name="_Toc247527578"/>
      <w:bookmarkStart w:id="160" w:name="_Toc247513977"/>
      <w:bookmarkStart w:id="161" w:name="_Toc384308235"/>
      <w:bookmarkStart w:id="162" w:name="_Toc152045553"/>
      <w:r>
        <w:rPr>
          <w:rFonts w:ascii="宋体" w:hAnsi="宋体"/>
          <w:color w:val="auto"/>
          <w:sz w:val="24"/>
          <w:szCs w:val="24"/>
          <w:highlight w:val="none"/>
        </w:rPr>
        <w:t>4 修改的内容为投标</w:t>
      </w:r>
      <w:bookmarkEnd w:id="152"/>
      <w:bookmarkEnd w:id="153"/>
      <w:bookmarkEnd w:id="154"/>
      <w:bookmarkEnd w:id="155"/>
      <w:bookmarkEnd w:id="156"/>
      <w:bookmarkEnd w:id="157"/>
      <w:bookmarkEnd w:id="158"/>
      <w:bookmarkEnd w:id="159"/>
      <w:bookmarkEnd w:id="160"/>
      <w:bookmarkEnd w:id="161"/>
      <w:bookmarkEnd w:id="162"/>
      <w:r>
        <w:rPr>
          <w:rFonts w:ascii="宋体" w:hAnsi="宋体"/>
          <w:color w:val="auto"/>
          <w:sz w:val="24"/>
          <w:szCs w:val="24"/>
          <w:highlight w:val="none"/>
        </w:rPr>
        <w:t>文件的组成部分。修改的投标文件应按照本章第3条、第4条的规定进行编制、密封、标记和递交，并标明“修改”字样。</w:t>
      </w:r>
    </w:p>
    <w:p w14:paraId="07BB0AEE">
      <w:pPr>
        <w:pStyle w:val="3"/>
        <w:keepNext w:val="0"/>
        <w:keepLines w:val="0"/>
        <w:spacing w:before="0" w:after="0" w:line="360" w:lineRule="auto"/>
        <w:rPr>
          <w:rFonts w:ascii="宋体" w:hAnsi="宋体" w:eastAsia="宋体"/>
          <w:color w:val="auto"/>
          <w:highlight w:val="none"/>
        </w:rPr>
      </w:pPr>
      <w:bookmarkStart w:id="163" w:name="_Toc128512485"/>
      <w:bookmarkStart w:id="164" w:name="_Toc26023"/>
      <w:r>
        <w:rPr>
          <w:rFonts w:ascii="宋体" w:hAnsi="宋体" w:eastAsia="宋体"/>
          <w:color w:val="auto"/>
          <w:highlight w:val="none"/>
        </w:rPr>
        <w:t>5. 开标</w:t>
      </w:r>
      <w:bookmarkEnd w:id="163"/>
      <w:bookmarkEnd w:id="164"/>
    </w:p>
    <w:p w14:paraId="6075A958">
      <w:pPr>
        <w:pStyle w:val="4"/>
        <w:keepNext w:val="0"/>
        <w:keepLines w:val="0"/>
        <w:spacing w:before="0" w:after="0" w:line="360" w:lineRule="auto"/>
        <w:ind w:firstLine="118"/>
        <w:rPr>
          <w:rFonts w:ascii="宋体" w:hAnsi="宋体" w:eastAsia="宋体"/>
          <w:color w:val="auto"/>
          <w:sz w:val="24"/>
          <w:szCs w:val="24"/>
          <w:highlight w:val="none"/>
        </w:rPr>
      </w:pPr>
      <w:bookmarkStart w:id="165" w:name="_Toc128512486"/>
      <w:bookmarkStart w:id="166" w:name="_Toc28583"/>
      <w:r>
        <w:rPr>
          <w:rFonts w:ascii="宋体" w:hAnsi="宋体" w:eastAsia="宋体"/>
          <w:color w:val="auto"/>
          <w:sz w:val="24"/>
          <w:szCs w:val="24"/>
          <w:highlight w:val="none"/>
        </w:rPr>
        <w:t>5.1 开标时间和地点</w:t>
      </w:r>
      <w:bookmarkEnd w:id="165"/>
      <w:bookmarkEnd w:id="166"/>
    </w:p>
    <w:p w14:paraId="4BF984D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招标人在本章第4.2.1项规定的投标截止时间（开标时间）,通过电子招标投标交易平台公开开标，所有投标人的法定代表人或其委托代理人应当准时参加。</w:t>
      </w:r>
    </w:p>
    <w:p w14:paraId="3F035BB6">
      <w:pPr>
        <w:pStyle w:val="4"/>
        <w:keepNext w:val="0"/>
        <w:keepLines w:val="0"/>
        <w:spacing w:before="0" w:after="0" w:line="360" w:lineRule="auto"/>
        <w:ind w:firstLine="118"/>
        <w:rPr>
          <w:rFonts w:ascii="宋体" w:hAnsi="宋体" w:eastAsia="宋体"/>
          <w:color w:val="auto"/>
          <w:sz w:val="24"/>
          <w:szCs w:val="24"/>
          <w:highlight w:val="none"/>
        </w:rPr>
      </w:pPr>
      <w:bookmarkStart w:id="167" w:name="_Toc31545"/>
      <w:bookmarkStart w:id="168" w:name="_Toc128512487"/>
      <w:r>
        <w:rPr>
          <w:rFonts w:ascii="宋体" w:hAnsi="宋体" w:eastAsia="宋体"/>
          <w:color w:val="auto"/>
          <w:sz w:val="24"/>
          <w:szCs w:val="24"/>
          <w:highlight w:val="none"/>
        </w:rPr>
        <w:t>5.2 开标程序</w:t>
      </w:r>
      <w:bookmarkEnd w:id="167"/>
      <w:bookmarkEnd w:id="168"/>
    </w:p>
    <w:p w14:paraId="3107B40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主持人按下列程序进行开标：</w:t>
      </w:r>
    </w:p>
    <w:p w14:paraId="7D93CED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（1）宣布开标纪律；</w:t>
      </w:r>
    </w:p>
    <w:p w14:paraId="23732E4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（2）公布在投标截止时间前递交投标文件的投标人名称；</w:t>
      </w:r>
    </w:p>
    <w:p w14:paraId="3C85BAB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（3）宣布</w:t>
      </w:r>
      <w:bookmarkStart w:id="169" w:name="_Toc369531542"/>
      <w:bookmarkStart w:id="170" w:name="_Toc352691498"/>
      <w:bookmarkStart w:id="171" w:name="_Toc300834975"/>
      <w:bookmarkStart w:id="172" w:name="_Toc144974522"/>
      <w:bookmarkStart w:id="173" w:name="_Toc361508611"/>
      <w:bookmarkStart w:id="174" w:name="_Toc152045554"/>
      <w:bookmarkStart w:id="175" w:name="_Toc247527579"/>
      <w:bookmarkStart w:id="176" w:name="_Toc22119"/>
      <w:bookmarkStart w:id="177" w:name="_Toc384308236"/>
      <w:bookmarkStart w:id="178" w:name="_Toc152042330"/>
      <w:bookmarkStart w:id="179" w:name="_Toc247513978"/>
      <w:r>
        <w:rPr>
          <w:rFonts w:ascii="宋体" w:hAnsi="宋体"/>
          <w:color w:val="auto"/>
          <w:sz w:val="24"/>
          <w:szCs w:val="24"/>
          <w:highlight w:val="none"/>
        </w:rPr>
        <w:t>开标人、唱标人、记录人</w:t>
      </w:r>
      <w:bookmarkEnd w:id="169"/>
      <w:bookmarkEnd w:id="170"/>
      <w:bookmarkEnd w:id="171"/>
      <w:bookmarkEnd w:id="172"/>
      <w:bookmarkEnd w:id="173"/>
      <w:bookmarkEnd w:id="174"/>
      <w:bookmarkEnd w:id="175"/>
      <w:bookmarkEnd w:id="176"/>
      <w:bookmarkEnd w:id="177"/>
      <w:bookmarkEnd w:id="178"/>
      <w:bookmarkEnd w:id="179"/>
      <w:r>
        <w:rPr>
          <w:rFonts w:ascii="宋体" w:hAnsi="宋体"/>
          <w:color w:val="auto"/>
          <w:sz w:val="24"/>
          <w:szCs w:val="24"/>
          <w:highlight w:val="none"/>
        </w:rPr>
        <w:t>、监标人等有关人员姓名；</w:t>
      </w:r>
    </w:p>
    <w:p w14:paraId="3E97691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（4）投标人通过电子招标投标交易平台对已递交的电子投标文件进行解密，公布招标项目名称、投标人名称、投标报价、服务期限及其他内容，并记录在案；</w:t>
      </w:r>
    </w:p>
    <w:p w14:paraId="07C79C4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（5）投标人代表、招标人代表、监标人、记录人等有关人员使用本人的电子印章在开标记录上签字确认；</w:t>
      </w:r>
    </w:p>
    <w:p w14:paraId="783CF66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（6）开标结束。</w:t>
      </w:r>
    </w:p>
    <w:p w14:paraId="7BA1A03B">
      <w:pPr>
        <w:pStyle w:val="4"/>
        <w:keepNext w:val="0"/>
        <w:keepLines w:val="0"/>
        <w:spacing w:before="0" w:after="0" w:line="360" w:lineRule="auto"/>
        <w:ind w:firstLine="118"/>
        <w:rPr>
          <w:rFonts w:ascii="宋体" w:hAnsi="宋体" w:eastAsia="宋体"/>
          <w:color w:val="auto"/>
          <w:sz w:val="24"/>
          <w:szCs w:val="24"/>
          <w:highlight w:val="none"/>
        </w:rPr>
      </w:pPr>
      <w:bookmarkStart w:id="180" w:name="_Toc128512488"/>
      <w:bookmarkStart w:id="181" w:name="_Toc17685"/>
      <w:r>
        <w:rPr>
          <w:rFonts w:ascii="宋体" w:hAnsi="宋体" w:eastAsia="宋体"/>
          <w:color w:val="auto"/>
          <w:sz w:val="24"/>
          <w:szCs w:val="24"/>
          <w:highlight w:val="none"/>
        </w:rPr>
        <w:t>5.3 开标异议</w:t>
      </w:r>
      <w:bookmarkEnd w:id="180"/>
      <w:bookmarkEnd w:id="181"/>
    </w:p>
    <w:p w14:paraId="36AEDD62">
      <w:pPr>
        <w:spacing w:line="360" w:lineRule="auto"/>
        <w:ind w:firstLine="410" w:firstLineChars="171"/>
        <w:rPr>
          <w:rFonts w:ascii="宋体" w:hAnsi="宋体"/>
          <w:color w:val="auto"/>
          <w:sz w:val="24"/>
          <w:szCs w:val="24"/>
          <w:highlight w:val="none"/>
        </w:rPr>
      </w:pPr>
      <w:r>
        <w:rPr>
          <w:rFonts w:ascii="宋体" w:hAnsi="宋体"/>
          <w:color w:val="auto"/>
          <w:sz w:val="24"/>
          <w:szCs w:val="24"/>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3EA53B4">
      <w:pPr>
        <w:pStyle w:val="3"/>
        <w:keepNext w:val="0"/>
        <w:keepLines w:val="0"/>
        <w:spacing w:before="0" w:after="0" w:line="360" w:lineRule="auto"/>
        <w:rPr>
          <w:rFonts w:ascii="宋体" w:hAnsi="宋体" w:eastAsia="宋体"/>
          <w:color w:val="auto"/>
          <w:highlight w:val="none"/>
        </w:rPr>
      </w:pPr>
      <w:bookmarkStart w:id="182" w:name="_Toc128512489"/>
      <w:bookmarkStart w:id="183" w:name="_Toc13048"/>
      <w:r>
        <w:rPr>
          <w:rFonts w:ascii="宋体" w:hAnsi="宋体" w:eastAsia="宋体"/>
          <w:color w:val="auto"/>
          <w:highlight w:val="none"/>
        </w:rPr>
        <w:t>6. 评标</w:t>
      </w:r>
      <w:bookmarkEnd w:id="182"/>
      <w:bookmarkEnd w:id="183"/>
    </w:p>
    <w:p w14:paraId="511B929A">
      <w:pPr>
        <w:pStyle w:val="4"/>
        <w:keepNext w:val="0"/>
        <w:keepLines w:val="0"/>
        <w:spacing w:before="0" w:after="0" w:line="360" w:lineRule="auto"/>
        <w:ind w:firstLine="118"/>
        <w:rPr>
          <w:rFonts w:ascii="宋体" w:hAnsi="宋体" w:eastAsia="宋体"/>
          <w:color w:val="auto"/>
          <w:sz w:val="24"/>
          <w:szCs w:val="24"/>
          <w:highlight w:val="none"/>
        </w:rPr>
      </w:pPr>
      <w:bookmarkStart w:id="184" w:name="_Toc4950"/>
      <w:bookmarkStart w:id="185" w:name="_Toc128512490"/>
      <w:r>
        <w:rPr>
          <w:rFonts w:ascii="宋体" w:hAnsi="宋体" w:eastAsia="宋体"/>
          <w:color w:val="auto"/>
          <w:sz w:val="24"/>
          <w:szCs w:val="24"/>
          <w:highlight w:val="none"/>
        </w:rPr>
        <w:t>6.1 评标委员会</w:t>
      </w:r>
      <w:bookmarkEnd w:id="184"/>
      <w:bookmarkEnd w:id="185"/>
    </w:p>
    <w:p w14:paraId="55D0A67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27AFD4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6.1.2 评标委员会成员有下列情形之一的，应当回避：</w:t>
      </w:r>
    </w:p>
    <w:p w14:paraId="7B7407B7">
      <w:pPr>
        <w:spacing w:line="360" w:lineRule="auto"/>
        <w:ind w:firstLine="820" w:firstLineChars="342"/>
        <w:rPr>
          <w:rFonts w:ascii="宋体" w:hAnsi="宋体"/>
          <w:color w:val="auto"/>
          <w:sz w:val="24"/>
          <w:szCs w:val="24"/>
          <w:highlight w:val="none"/>
        </w:rPr>
      </w:pPr>
      <w:r>
        <w:rPr>
          <w:rFonts w:ascii="宋体" w:hAnsi="宋体"/>
          <w:color w:val="auto"/>
          <w:sz w:val="24"/>
          <w:szCs w:val="24"/>
          <w:highlight w:val="none"/>
        </w:rPr>
        <w:t>（1）投标人或投标人主要负责人的近亲属；</w:t>
      </w:r>
    </w:p>
    <w:p w14:paraId="51B732F3">
      <w:pPr>
        <w:spacing w:line="360" w:lineRule="auto"/>
        <w:ind w:firstLine="820" w:firstLineChars="342"/>
        <w:rPr>
          <w:rFonts w:ascii="宋体" w:hAnsi="宋体"/>
          <w:color w:val="auto"/>
          <w:sz w:val="24"/>
          <w:szCs w:val="24"/>
          <w:highlight w:val="none"/>
        </w:rPr>
      </w:pPr>
      <w:r>
        <w:rPr>
          <w:rFonts w:ascii="宋体" w:hAnsi="宋体"/>
          <w:color w:val="auto"/>
          <w:sz w:val="24"/>
          <w:szCs w:val="24"/>
          <w:highlight w:val="none"/>
        </w:rPr>
        <w:t>（2）项目主管部门或者行政监督部门的人员；</w:t>
      </w:r>
    </w:p>
    <w:p w14:paraId="52C597C5">
      <w:pPr>
        <w:spacing w:line="360" w:lineRule="auto"/>
        <w:ind w:firstLine="820" w:firstLineChars="342"/>
        <w:rPr>
          <w:rFonts w:ascii="宋体" w:hAnsi="宋体"/>
          <w:color w:val="auto"/>
          <w:sz w:val="24"/>
          <w:szCs w:val="24"/>
          <w:highlight w:val="none"/>
        </w:rPr>
      </w:pPr>
      <w:r>
        <w:rPr>
          <w:rFonts w:ascii="宋体" w:hAnsi="宋体"/>
          <w:color w:val="auto"/>
          <w:sz w:val="24"/>
          <w:szCs w:val="24"/>
          <w:highlight w:val="none"/>
        </w:rPr>
        <w:t>（3）与投标人有经济利益关系，可能影响对投标公正评审的；</w:t>
      </w:r>
    </w:p>
    <w:p w14:paraId="5BA1D752">
      <w:pPr>
        <w:spacing w:line="360" w:lineRule="auto"/>
        <w:ind w:firstLine="820" w:firstLineChars="342"/>
        <w:rPr>
          <w:rFonts w:ascii="宋体" w:hAnsi="宋体"/>
          <w:color w:val="auto"/>
          <w:sz w:val="24"/>
          <w:szCs w:val="24"/>
          <w:highlight w:val="none"/>
        </w:rPr>
      </w:pPr>
      <w:r>
        <w:rPr>
          <w:rFonts w:ascii="宋体" w:hAnsi="宋体"/>
          <w:color w:val="auto"/>
          <w:sz w:val="24"/>
          <w:szCs w:val="24"/>
          <w:highlight w:val="none"/>
        </w:rPr>
        <w:t>（4）曾因在招标、评</w:t>
      </w:r>
      <w:bookmarkStart w:id="186" w:name="_Toc300834976"/>
      <w:bookmarkStart w:id="187" w:name="_Toc361508612"/>
      <w:bookmarkStart w:id="188" w:name="_Toc247527580"/>
      <w:bookmarkStart w:id="189" w:name="_Toc144974523"/>
      <w:bookmarkStart w:id="190" w:name="_Toc152045555"/>
      <w:bookmarkStart w:id="191" w:name="_Toc384308237"/>
      <w:bookmarkStart w:id="192" w:name="_Toc6230"/>
      <w:bookmarkStart w:id="193" w:name="_Toc369531543"/>
      <w:bookmarkStart w:id="194" w:name="_Toc352691499"/>
      <w:bookmarkStart w:id="195" w:name="_Toc247513979"/>
      <w:bookmarkStart w:id="196" w:name="_Toc152042331"/>
      <w:r>
        <w:rPr>
          <w:rFonts w:ascii="宋体" w:hAnsi="宋体"/>
          <w:color w:val="auto"/>
          <w:sz w:val="24"/>
          <w:szCs w:val="24"/>
          <w:highlight w:val="none"/>
        </w:rPr>
        <w:t>标以及其他</w:t>
      </w:r>
      <w:bookmarkEnd w:id="186"/>
      <w:bookmarkEnd w:id="187"/>
      <w:bookmarkEnd w:id="188"/>
      <w:bookmarkEnd w:id="189"/>
      <w:bookmarkEnd w:id="190"/>
      <w:bookmarkEnd w:id="191"/>
      <w:bookmarkEnd w:id="192"/>
      <w:bookmarkEnd w:id="193"/>
      <w:bookmarkEnd w:id="194"/>
      <w:bookmarkEnd w:id="195"/>
      <w:bookmarkEnd w:id="196"/>
      <w:r>
        <w:rPr>
          <w:rFonts w:ascii="宋体" w:hAnsi="宋体"/>
          <w:color w:val="auto"/>
          <w:sz w:val="24"/>
          <w:szCs w:val="24"/>
          <w:highlight w:val="none"/>
        </w:rPr>
        <w:t>与</w:t>
      </w:r>
      <w:bookmarkStart w:id="197" w:name="_Toc247527581"/>
      <w:bookmarkStart w:id="198" w:name="_Toc384308238"/>
      <w:bookmarkStart w:id="199" w:name="_Toc300834977"/>
      <w:bookmarkStart w:id="200" w:name="_Toc152045556"/>
      <w:bookmarkStart w:id="201" w:name="_Toc144974524"/>
      <w:bookmarkStart w:id="202" w:name="_Toc352691500"/>
      <w:bookmarkStart w:id="203" w:name="_Toc152042332"/>
      <w:bookmarkStart w:id="204" w:name="_Toc247513980"/>
      <w:bookmarkStart w:id="205" w:name="_Toc17703"/>
      <w:bookmarkStart w:id="206" w:name="_Toc361508613"/>
      <w:bookmarkStart w:id="207" w:name="_Toc369531544"/>
      <w:r>
        <w:rPr>
          <w:rFonts w:ascii="宋体" w:hAnsi="宋体"/>
          <w:color w:val="auto"/>
          <w:sz w:val="24"/>
          <w:szCs w:val="24"/>
          <w:highlight w:val="none"/>
        </w:rPr>
        <w:t>招标投标有关活动中从事违法行</w:t>
      </w:r>
      <w:bookmarkEnd w:id="197"/>
      <w:bookmarkEnd w:id="198"/>
      <w:bookmarkEnd w:id="199"/>
      <w:bookmarkEnd w:id="200"/>
      <w:bookmarkEnd w:id="201"/>
      <w:bookmarkEnd w:id="202"/>
      <w:bookmarkEnd w:id="203"/>
      <w:bookmarkEnd w:id="204"/>
      <w:bookmarkEnd w:id="205"/>
      <w:bookmarkEnd w:id="206"/>
      <w:bookmarkEnd w:id="207"/>
      <w:r>
        <w:rPr>
          <w:rFonts w:ascii="宋体" w:hAnsi="宋体"/>
          <w:color w:val="auto"/>
          <w:sz w:val="24"/>
          <w:szCs w:val="24"/>
          <w:highlight w:val="none"/>
        </w:rPr>
        <w:t>为而受过行政处罚或刑事处罚的；</w:t>
      </w:r>
    </w:p>
    <w:p w14:paraId="0697D859">
      <w:pPr>
        <w:spacing w:line="360" w:lineRule="auto"/>
        <w:ind w:firstLine="820" w:firstLineChars="342"/>
        <w:rPr>
          <w:rFonts w:ascii="宋体" w:hAnsi="宋体"/>
          <w:color w:val="auto"/>
          <w:sz w:val="24"/>
          <w:szCs w:val="24"/>
          <w:highlight w:val="none"/>
        </w:rPr>
      </w:pPr>
      <w:r>
        <w:rPr>
          <w:rFonts w:ascii="宋体" w:hAnsi="宋体"/>
          <w:color w:val="auto"/>
          <w:sz w:val="24"/>
          <w:szCs w:val="24"/>
          <w:highlight w:val="none"/>
        </w:rPr>
        <w:t>（5）与投标人有其他利害关系。</w:t>
      </w:r>
    </w:p>
    <w:p w14:paraId="7ACCD7E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2546CB8D">
      <w:pPr>
        <w:pStyle w:val="4"/>
        <w:keepNext w:val="0"/>
        <w:keepLines w:val="0"/>
        <w:spacing w:before="0" w:after="0" w:line="360" w:lineRule="auto"/>
        <w:ind w:firstLine="118"/>
        <w:rPr>
          <w:rFonts w:ascii="宋体" w:hAnsi="宋体" w:eastAsia="宋体"/>
          <w:color w:val="auto"/>
          <w:sz w:val="24"/>
          <w:szCs w:val="24"/>
          <w:highlight w:val="none"/>
        </w:rPr>
      </w:pPr>
      <w:bookmarkStart w:id="208" w:name="_Toc128512491"/>
      <w:bookmarkStart w:id="209" w:name="_Toc3800"/>
      <w:r>
        <w:rPr>
          <w:rFonts w:ascii="宋体" w:hAnsi="宋体" w:eastAsia="宋体"/>
          <w:color w:val="auto"/>
          <w:sz w:val="24"/>
          <w:szCs w:val="24"/>
          <w:highlight w:val="none"/>
        </w:rPr>
        <w:t>6.2 评标原则</w:t>
      </w:r>
      <w:bookmarkEnd w:id="208"/>
      <w:bookmarkEnd w:id="209"/>
    </w:p>
    <w:p w14:paraId="53088BD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评标活动遵循公平、公正、科学和择优的原</w:t>
      </w:r>
      <w:bookmarkStart w:id="210" w:name="_Toc152042333"/>
      <w:bookmarkStart w:id="211" w:name="_Toc384308239"/>
      <w:bookmarkStart w:id="212" w:name="_Toc152045557"/>
      <w:bookmarkStart w:id="213" w:name="_Toc144974525"/>
      <w:bookmarkStart w:id="214" w:name="_Toc247513981"/>
      <w:bookmarkStart w:id="215" w:name="_Toc352691501"/>
      <w:bookmarkStart w:id="216" w:name="_Toc369531545"/>
      <w:bookmarkStart w:id="217" w:name="_Toc300834978"/>
      <w:bookmarkStart w:id="218" w:name="_Toc361508614"/>
      <w:bookmarkStart w:id="219" w:name="_Toc18949"/>
      <w:bookmarkStart w:id="220" w:name="_Toc247527582"/>
      <w:r>
        <w:rPr>
          <w:rFonts w:ascii="宋体" w:hAnsi="宋体"/>
          <w:color w:val="auto"/>
          <w:sz w:val="24"/>
          <w:szCs w:val="24"/>
          <w:highlight w:val="none"/>
        </w:rPr>
        <w:t>则。</w:t>
      </w:r>
    </w:p>
    <w:p w14:paraId="466EB564">
      <w:pPr>
        <w:pStyle w:val="4"/>
        <w:keepNext w:val="0"/>
        <w:keepLines w:val="0"/>
        <w:spacing w:before="0" w:after="0" w:line="360" w:lineRule="auto"/>
        <w:ind w:firstLine="118"/>
        <w:rPr>
          <w:rFonts w:ascii="宋体" w:hAnsi="宋体" w:eastAsia="宋体"/>
          <w:color w:val="auto"/>
          <w:sz w:val="24"/>
          <w:szCs w:val="24"/>
          <w:highlight w:val="none"/>
        </w:rPr>
      </w:pPr>
      <w:bookmarkStart w:id="221" w:name="_Toc13935"/>
      <w:bookmarkStart w:id="222" w:name="_Toc128512492"/>
      <w:r>
        <w:rPr>
          <w:rFonts w:ascii="宋体" w:hAnsi="宋体" w:eastAsia="宋体"/>
          <w:color w:val="auto"/>
          <w:sz w:val="24"/>
          <w:szCs w:val="24"/>
          <w:highlight w:val="none"/>
        </w:rPr>
        <w:t>6.3 评标</w:t>
      </w:r>
      <w:bookmarkEnd w:id="221"/>
      <w:bookmarkEnd w:id="222"/>
    </w:p>
    <w:p w14:paraId="4AE7090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bookmarkEnd w:id="210"/>
      <w:bookmarkEnd w:id="211"/>
      <w:bookmarkEnd w:id="212"/>
      <w:bookmarkEnd w:id="213"/>
      <w:bookmarkEnd w:id="214"/>
      <w:bookmarkEnd w:id="215"/>
      <w:bookmarkEnd w:id="216"/>
      <w:bookmarkEnd w:id="217"/>
      <w:bookmarkEnd w:id="218"/>
      <w:bookmarkEnd w:id="219"/>
      <w:bookmarkEnd w:id="220"/>
      <w:r>
        <w:rPr>
          <w:rFonts w:ascii="宋体" w:hAnsi="宋体"/>
          <w:color w:val="auto"/>
          <w:sz w:val="24"/>
          <w:szCs w:val="24"/>
          <w:highlight w:val="none"/>
        </w:rPr>
        <w:t>.3.1评标委员会按照第三章“评标办法”规定的方法、评审因素、标准和程序对投标文件进行评审。第三章“评标办法”没有规定的方法、评审因素和标准，不作为评标依据。</w:t>
      </w:r>
    </w:p>
    <w:p w14:paraId="70FDDFD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6.3.2评标完成后，评标委员会应当向招标人提交书面评标报告和</w:t>
      </w:r>
      <w:r>
        <w:rPr>
          <w:rFonts w:hint="eastAsia" w:ascii="宋体" w:hAnsi="宋体"/>
          <w:color w:val="auto"/>
          <w:sz w:val="24"/>
          <w:szCs w:val="24"/>
          <w:highlight w:val="none"/>
        </w:rPr>
        <w:t>合格的中标候选人</w:t>
      </w:r>
      <w:r>
        <w:rPr>
          <w:rFonts w:ascii="宋体" w:hAnsi="宋体"/>
          <w:color w:val="auto"/>
          <w:sz w:val="24"/>
          <w:szCs w:val="24"/>
          <w:highlight w:val="none"/>
        </w:rPr>
        <w:t>名单。评标委员会推荐</w:t>
      </w:r>
      <w:bookmarkStart w:id="223" w:name="_Toc247513982"/>
      <w:bookmarkStart w:id="224" w:name="_Toc352691502"/>
      <w:bookmarkStart w:id="225" w:name="_Toc12259"/>
      <w:bookmarkStart w:id="226" w:name="_Toc300834979"/>
      <w:bookmarkStart w:id="227" w:name="_Toc384308240"/>
      <w:bookmarkStart w:id="228" w:name="_Toc247527583"/>
      <w:bookmarkStart w:id="229" w:name="_Toc361508615"/>
      <w:bookmarkStart w:id="230" w:name="_Toc152042334"/>
      <w:bookmarkStart w:id="231" w:name="_Toc369531546"/>
      <w:bookmarkStart w:id="232" w:name="_Toc152045558"/>
      <w:bookmarkStart w:id="233" w:name="_Toc144974526"/>
      <w:r>
        <w:rPr>
          <w:rFonts w:hint="eastAsia" w:ascii="宋体" w:hAnsi="宋体"/>
          <w:color w:val="auto"/>
          <w:sz w:val="24"/>
          <w:szCs w:val="24"/>
          <w:highlight w:val="none"/>
        </w:rPr>
        <w:t>合格的中标候选人</w:t>
      </w:r>
      <w:r>
        <w:rPr>
          <w:rFonts w:ascii="宋体" w:hAnsi="宋体"/>
          <w:color w:val="auto"/>
          <w:sz w:val="24"/>
          <w:szCs w:val="24"/>
          <w:highlight w:val="none"/>
        </w:rPr>
        <w:t>的人数见投标人须知前附</w:t>
      </w:r>
      <w:bookmarkEnd w:id="223"/>
      <w:bookmarkEnd w:id="224"/>
      <w:bookmarkEnd w:id="225"/>
      <w:bookmarkEnd w:id="226"/>
      <w:bookmarkEnd w:id="227"/>
      <w:bookmarkEnd w:id="228"/>
      <w:bookmarkEnd w:id="229"/>
      <w:bookmarkEnd w:id="230"/>
      <w:bookmarkEnd w:id="231"/>
      <w:bookmarkEnd w:id="232"/>
      <w:bookmarkEnd w:id="233"/>
      <w:r>
        <w:rPr>
          <w:rFonts w:ascii="宋体" w:hAnsi="宋体"/>
          <w:color w:val="auto"/>
          <w:sz w:val="24"/>
          <w:szCs w:val="24"/>
          <w:highlight w:val="none"/>
        </w:rPr>
        <w:t>表。</w:t>
      </w:r>
    </w:p>
    <w:p w14:paraId="4EF24462">
      <w:pPr>
        <w:pStyle w:val="3"/>
        <w:keepNext w:val="0"/>
        <w:keepLines w:val="0"/>
        <w:spacing w:before="0" w:after="0" w:line="360" w:lineRule="auto"/>
        <w:rPr>
          <w:rFonts w:ascii="宋体" w:hAnsi="宋体" w:eastAsia="宋体"/>
          <w:color w:val="auto"/>
          <w:highlight w:val="none"/>
        </w:rPr>
      </w:pPr>
      <w:bookmarkStart w:id="234" w:name="_Toc128512493"/>
      <w:bookmarkStart w:id="235" w:name="_Toc24960"/>
      <w:r>
        <w:rPr>
          <w:rFonts w:ascii="宋体" w:hAnsi="宋体" w:eastAsia="宋体"/>
          <w:color w:val="auto"/>
          <w:highlight w:val="none"/>
        </w:rPr>
        <w:t>7. 合同授予</w:t>
      </w:r>
      <w:bookmarkEnd w:id="234"/>
      <w:bookmarkEnd w:id="235"/>
    </w:p>
    <w:p w14:paraId="5472F878">
      <w:pPr>
        <w:pStyle w:val="4"/>
        <w:keepNext w:val="0"/>
        <w:keepLines w:val="0"/>
        <w:spacing w:before="0" w:after="0" w:line="360" w:lineRule="auto"/>
        <w:ind w:firstLine="118"/>
        <w:rPr>
          <w:rFonts w:ascii="宋体" w:hAnsi="宋体" w:eastAsia="宋体"/>
          <w:color w:val="auto"/>
          <w:sz w:val="24"/>
          <w:szCs w:val="24"/>
          <w:highlight w:val="none"/>
        </w:rPr>
      </w:pPr>
      <w:bookmarkStart w:id="236" w:name="_Toc128512494"/>
      <w:bookmarkStart w:id="237" w:name="_Toc27199"/>
      <w:r>
        <w:rPr>
          <w:rFonts w:ascii="宋体" w:hAnsi="宋体" w:eastAsia="宋体"/>
          <w:color w:val="auto"/>
          <w:sz w:val="24"/>
          <w:szCs w:val="24"/>
          <w:highlight w:val="none"/>
        </w:rPr>
        <w:t xml:space="preserve">7.1 </w:t>
      </w:r>
      <w:r>
        <w:rPr>
          <w:rFonts w:hint="eastAsia" w:ascii="宋体" w:hAnsi="宋体" w:eastAsia="宋体"/>
          <w:color w:val="auto"/>
          <w:sz w:val="24"/>
          <w:szCs w:val="24"/>
          <w:highlight w:val="none"/>
        </w:rPr>
        <w:t>合格的中标候选人</w:t>
      </w:r>
      <w:r>
        <w:rPr>
          <w:rFonts w:ascii="宋体" w:hAnsi="宋体" w:eastAsia="宋体"/>
          <w:color w:val="auto"/>
          <w:sz w:val="24"/>
          <w:szCs w:val="24"/>
          <w:highlight w:val="none"/>
        </w:rPr>
        <w:t>公示</w:t>
      </w:r>
      <w:bookmarkEnd w:id="236"/>
      <w:bookmarkEnd w:id="237"/>
    </w:p>
    <w:p w14:paraId="211FB01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招标人在收到评标报告之日起3日内，按照投标人须知前附表规定的公示媒介和期限公示</w:t>
      </w:r>
      <w:r>
        <w:rPr>
          <w:rFonts w:hint="eastAsia" w:ascii="宋体" w:hAnsi="宋体"/>
          <w:color w:val="auto"/>
          <w:sz w:val="24"/>
          <w:szCs w:val="24"/>
          <w:highlight w:val="none"/>
        </w:rPr>
        <w:t>合格的中标候选人</w:t>
      </w:r>
      <w:r>
        <w:rPr>
          <w:rFonts w:ascii="宋体" w:hAnsi="宋体"/>
          <w:color w:val="auto"/>
          <w:sz w:val="24"/>
          <w:szCs w:val="24"/>
          <w:highlight w:val="none"/>
        </w:rPr>
        <w:t>，公示期3天</w:t>
      </w:r>
      <w:r>
        <w:rPr>
          <w:rFonts w:hint="eastAsia" w:ascii="宋体" w:hAnsi="宋体"/>
          <w:color w:val="auto"/>
          <w:sz w:val="24"/>
          <w:szCs w:val="24"/>
          <w:highlight w:val="none"/>
          <w:u w:val="single"/>
        </w:rPr>
        <w:t>（最后一天为工作天）</w:t>
      </w:r>
      <w:r>
        <w:rPr>
          <w:rFonts w:ascii="宋体" w:hAnsi="宋体"/>
          <w:color w:val="auto"/>
          <w:sz w:val="24"/>
          <w:szCs w:val="24"/>
          <w:highlight w:val="none"/>
        </w:rPr>
        <w:t>。</w:t>
      </w:r>
    </w:p>
    <w:p w14:paraId="49EFC4A4">
      <w:pPr>
        <w:pStyle w:val="4"/>
        <w:keepNext w:val="0"/>
        <w:keepLines w:val="0"/>
        <w:spacing w:before="0" w:after="0" w:line="360" w:lineRule="auto"/>
        <w:ind w:firstLine="118"/>
        <w:rPr>
          <w:rFonts w:ascii="宋体" w:hAnsi="宋体" w:eastAsia="宋体"/>
          <w:color w:val="auto"/>
          <w:sz w:val="24"/>
          <w:szCs w:val="24"/>
          <w:highlight w:val="none"/>
        </w:rPr>
      </w:pPr>
      <w:bookmarkStart w:id="238" w:name="_Toc9184"/>
      <w:bookmarkStart w:id="239" w:name="_Toc128512495"/>
      <w:r>
        <w:rPr>
          <w:rFonts w:ascii="宋体" w:hAnsi="宋体" w:eastAsia="宋体"/>
          <w:color w:val="auto"/>
          <w:sz w:val="24"/>
          <w:szCs w:val="24"/>
          <w:highlight w:val="none"/>
        </w:rPr>
        <w:t>7.2 评标结果异议</w:t>
      </w:r>
      <w:bookmarkEnd w:id="238"/>
      <w:bookmarkEnd w:id="239"/>
    </w:p>
    <w:p w14:paraId="44CC2EA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w:t>
      </w:r>
      <w:r>
        <w:rPr>
          <w:rFonts w:ascii="宋体" w:hAnsi="宋体"/>
          <w:color w:val="auto"/>
          <w:sz w:val="24"/>
          <w:szCs w:val="24"/>
          <w:highlight w:val="none"/>
          <w:u w:val="single"/>
        </w:rPr>
        <w:t>招标人将在收到异议之日起 3 日内作出答复；</w:t>
      </w:r>
      <w:r>
        <w:rPr>
          <w:rFonts w:hint="eastAsia" w:ascii="宋体" w:hAnsi="宋体"/>
          <w:color w:val="auto"/>
          <w:sz w:val="24"/>
          <w:szCs w:val="24"/>
          <w:highlight w:val="none"/>
          <w:u w:val="single"/>
        </w:rPr>
        <w:t>作出答复前，应当暂停招标投标活动。</w:t>
      </w:r>
    </w:p>
    <w:p w14:paraId="4B107F89">
      <w:pPr>
        <w:pStyle w:val="4"/>
        <w:keepNext w:val="0"/>
        <w:keepLines w:val="0"/>
        <w:spacing w:before="0" w:after="0" w:line="360" w:lineRule="auto"/>
        <w:ind w:firstLine="118"/>
        <w:rPr>
          <w:rFonts w:ascii="宋体" w:hAnsi="宋体" w:eastAsia="宋体"/>
          <w:color w:val="auto"/>
          <w:sz w:val="24"/>
          <w:szCs w:val="24"/>
          <w:highlight w:val="none"/>
        </w:rPr>
      </w:pPr>
      <w:bookmarkStart w:id="240" w:name="_Toc26195"/>
      <w:bookmarkStart w:id="241" w:name="_Toc128512496"/>
      <w:r>
        <w:rPr>
          <w:rFonts w:ascii="宋体" w:hAnsi="宋体" w:eastAsia="宋体"/>
          <w:color w:val="auto"/>
          <w:sz w:val="24"/>
          <w:szCs w:val="24"/>
          <w:highlight w:val="none"/>
        </w:rPr>
        <w:t xml:space="preserve">7.3 </w:t>
      </w:r>
      <w:r>
        <w:rPr>
          <w:rFonts w:hint="eastAsia" w:ascii="宋体" w:hAnsi="宋体" w:eastAsia="宋体"/>
          <w:color w:val="auto"/>
          <w:sz w:val="24"/>
          <w:szCs w:val="24"/>
          <w:highlight w:val="none"/>
        </w:rPr>
        <w:t>合格的中标候选人</w:t>
      </w:r>
      <w:r>
        <w:rPr>
          <w:rFonts w:ascii="宋体" w:hAnsi="宋体" w:eastAsia="宋体"/>
          <w:color w:val="auto"/>
          <w:sz w:val="24"/>
          <w:szCs w:val="24"/>
          <w:highlight w:val="none"/>
        </w:rPr>
        <w:t>履约能力审查</w:t>
      </w:r>
      <w:bookmarkEnd w:id="240"/>
      <w:bookmarkEnd w:id="241"/>
    </w:p>
    <w:p w14:paraId="3FE3FB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合格的中标候选人</w:t>
      </w:r>
      <w:r>
        <w:rPr>
          <w:rFonts w:ascii="宋体" w:hAnsi="宋体"/>
          <w:color w:val="auto"/>
          <w:sz w:val="24"/>
          <w:szCs w:val="24"/>
          <w:highlight w:val="none"/>
        </w:rPr>
        <w:t>的经营、财务状况发生较大变化或存在违法行为，招标人认为可能影响其履约能力的，将在发出中标通知书前提请原评标委员会按照招标文件规定的标准和方法进行审查确认。</w:t>
      </w:r>
    </w:p>
    <w:p w14:paraId="45F0DAA3">
      <w:pPr>
        <w:pStyle w:val="4"/>
        <w:keepNext w:val="0"/>
        <w:keepLines w:val="0"/>
        <w:spacing w:before="0" w:after="0" w:line="360" w:lineRule="auto"/>
        <w:ind w:firstLine="118"/>
        <w:rPr>
          <w:rFonts w:ascii="宋体" w:hAnsi="宋体" w:eastAsia="宋体"/>
          <w:color w:val="auto"/>
          <w:sz w:val="24"/>
          <w:szCs w:val="24"/>
          <w:highlight w:val="none"/>
        </w:rPr>
      </w:pPr>
      <w:bookmarkStart w:id="242" w:name="_Toc128512497"/>
      <w:bookmarkStart w:id="243" w:name="_Toc20519"/>
      <w:r>
        <w:rPr>
          <w:rFonts w:ascii="宋体" w:hAnsi="宋体" w:eastAsia="宋体"/>
          <w:color w:val="auto"/>
          <w:sz w:val="24"/>
          <w:szCs w:val="24"/>
          <w:highlight w:val="none"/>
        </w:rPr>
        <w:t>7.4 定标</w:t>
      </w:r>
      <w:bookmarkEnd w:id="242"/>
      <w:bookmarkEnd w:id="243"/>
    </w:p>
    <w:p w14:paraId="098522B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按照投标人须知前附表的规定，招标人依法确定中标人。</w:t>
      </w:r>
    </w:p>
    <w:p w14:paraId="739B4876">
      <w:pPr>
        <w:pStyle w:val="4"/>
        <w:keepNext w:val="0"/>
        <w:keepLines w:val="0"/>
        <w:spacing w:before="0" w:after="0" w:line="360" w:lineRule="auto"/>
        <w:ind w:firstLine="118"/>
        <w:rPr>
          <w:rFonts w:ascii="宋体" w:hAnsi="宋体" w:eastAsia="宋体"/>
          <w:color w:val="auto"/>
          <w:sz w:val="24"/>
          <w:szCs w:val="24"/>
          <w:highlight w:val="none"/>
        </w:rPr>
      </w:pPr>
      <w:bookmarkStart w:id="244" w:name="_Toc16786"/>
      <w:bookmarkStart w:id="245" w:name="_Toc128512498"/>
      <w:r>
        <w:rPr>
          <w:rFonts w:ascii="宋体" w:hAnsi="宋体" w:eastAsia="宋体"/>
          <w:color w:val="auto"/>
          <w:sz w:val="24"/>
          <w:szCs w:val="24"/>
          <w:highlight w:val="none"/>
        </w:rPr>
        <w:t>7.5 中标通知</w:t>
      </w:r>
      <w:bookmarkEnd w:id="244"/>
      <w:bookmarkEnd w:id="245"/>
    </w:p>
    <w:p w14:paraId="3A18289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在本章第3.3款规定的投标有效期内，招标人以书面形式向中标人发出中标</w:t>
      </w:r>
      <w:bookmarkStart w:id="246" w:name="_Toc352691506"/>
      <w:bookmarkStart w:id="247" w:name="_Toc361508619"/>
      <w:bookmarkStart w:id="248" w:name="_Toc369531550"/>
      <w:bookmarkStart w:id="249" w:name="_Toc384308244"/>
      <w:bookmarkStart w:id="250" w:name="_Toc5668"/>
      <w:bookmarkStart w:id="251" w:name="_Toc300834983"/>
      <w:r>
        <w:rPr>
          <w:rFonts w:ascii="宋体" w:hAnsi="宋体"/>
          <w:color w:val="auto"/>
          <w:sz w:val="24"/>
          <w:szCs w:val="24"/>
          <w:highlight w:val="none"/>
        </w:rPr>
        <w:t>通知书，同时将中</w:t>
      </w:r>
      <w:bookmarkEnd w:id="246"/>
      <w:bookmarkEnd w:id="247"/>
      <w:bookmarkEnd w:id="248"/>
      <w:bookmarkEnd w:id="249"/>
      <w:bookmarkEnd w:id="250"/>
      <w:bookmarkEnd w:id="251"/>
      <w:r>
        <w:rPr>
          <w:rFonts w:ascii="宋体" w:hAnsi="宋体"/>
          <w:color w:val="auto"/>
          <w:sz w:val="24"/>
          <w:szCs w:val="24"/>
          <w:highlight w:val="none"/>
        </w:rPr>
        <w:t>标结果通知未中标的投标人。</w:t>
      </w:r>
    </w:p>
    <w:p w14:paraId="230F24ED">
      <w:pPr>
        <w:pStyle w:val="4"/>
        <w:keepNext w:val="0"/>
        <w:keepLines w:val="0"/>
        <w:spacing w:before="0" w:after="0" w:line="360" w:lineRule="auto"/>
        <w:ind w:firstLine="118"/>
        <w:rPr>
          <w:rFonts w:ascii="宋体" w:hAnsi="宋体" w:eastAsia="宋体"/>
          <w:color w:val="auto"/>
          <w:sz w:val="24"/>
          <w:szCs w:val="24"/>
          <w:highlight w:val="none"/>
        </w:rPr>
      </w:pPr>
      <w:bookmarkStart w:id="252" w:name="_Toc22862"/>
      <w:bookmarkStart w:id="253" w:name="_Toc128512499"/>
      <w:r>
        <w:rPr>
          <w:rFonts w:ascii="宋体" w:hAnsi="宋体" w:eastAsia="宋体"/>
          <w:color w:val="auto"/>
          <w:sz w:val="24"/>
          <w:szCs w:val="24"/>
          <w:highlight w:val="none"/>
        </w:rPr>
        <w:t>7.6 履约保证金</w:t>
      </w:r>
      <w:bookmarkEnd w:id="252"/>
      <w:bookmarkEnd w:id="253"/>
    </w:p>
    <w:p w14:paraId="5A02767D">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按合同约定执行。</w:t>
      </w:r>
    </w:p>
    <w:p w14:paraId="1D854216">
      <w:pPr>
        <w:pStyle w:val="4"/>
        <w:keepNext w:val="0"/>
        <w:keepLines w:val="0"/>
        <w:spacing w:before="0" w:after="0" w:line="360" w:lineRule="auto"/>
        <w:ind w:firstLine="118"/>
        <w:rPr>
          <w:rFonts w:ascii="宋体" w:hAnsi="宋体" w:eastAsia="宋体"/>
          <w:color w:val="auto"/>
          <w:sz w:val="24"/>
          <w:szCs w:val="24"/>
          <w:highlight w:val="none"/>
        </w:rPr>
      </w:pPr>
      <w:bookmarkStart w:id="254" w:name="_Toc9236"/>
      <w:bookmarkStart w:id="255" w:name="_Toc128512500"/>
      <w:r>
        <w:rPr>
          <w:rFonts w:ascii="宋体" w:hAnsi="宋体" w:eastAsia="宋体"/>
          <w:color w:val="auto"/>
          <w:sz w:val="24"/>
          <w:szCs w:val="24"/>
          <w:highlight w:val="none"/>
        </w:rPr>
        <w:t>7.7 签订合同</w:t>
      </w:r>
      <w:bookmarkEnd w:id="254"/>
      <w:bookmarkEnd w:id="255"/>
    </w:p>
    <w:p w14:paraId="731CA10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p>
    <w:p w14:paraId="4830DA3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7.7.2 发出中标通知书后，招标人无正当理由拒签合同，或者在签订合同时向中标人提出附加条件的，给中标人造成损失的，还应当赔偿损失。</w:t>
      </w:r>
    </w:p>
    <w:p w14:paraId="40BE10B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7.7.3联合体中标的，联合体各方应当共同与招标人签订合同，就中标项目向招标人承担连带责任。</w:t>
      </w:r>
    </w:p>
    <w:p w14:paraId="7AA6634E">
      <w:pPr>
        <w:pStyle w:val="3"/>
        <w:keepNext w:val="0"/>
        <w:keepLines w:val="0"/>
        <w:spacing w:before="0" w:after="0" w:line="360" w:lineRule="auto"/>
        <w:rPr>
          <w:rFonts w:ascii="宋体" w:hAnsi="宋体" w:eastAsia="宋体"/>
          <w:color w:val="auto"/>
          <w:highlight w:val="none"/>
        </w:rPr>
      </w:pPr>
      <w:bookmarkStart w:id="256" w:name="_Toc24067"/>
      <w:bookmarkStart w:id="257" w:name="_Toc361508627"/>
      <w:bookmarkStart w:id="258" w:name="_Toc384308252"/>
      <w:bookmarkStart w:id="259" w:name="_Toc128512501"/>
      <w:bookmarkStart w:id="260" w:name="_Toc19459"/>
      <w:bookmarkStart w:id="261" w:name="_Toc144974536"/>
      <w:bookmarkStart w:id="262" w:name="_Toc247527593"/>
      <w:bookmarkStart w:id="263" w:name="_Toc300834991"/>
      <w:bookmarkStart w:id="264" w:name="_Toc152045568"/>
      <w:bookmarkStart w:id="265" w:name="_Toc247513992"/>
      <w:bookmarkStart w:id="266" w:name="_Toc152042344"/>
      <w:r>
        <w:rPr>
          <w:rFonts w:ascii="宋体" w:hAnsi="宋体" w:eastAsia="宋体"/>
          <w:color w:val="auto"/>
          <w:highlight w:val="none"/>
        </w:rPr>
        <w:t>8.</w:t>
      </w:r>
      <w:bookmarkEnd w:id="256"/>
      <w:bookmarkEnd w:id="257"/>
      <w:bookmarkEnd w:id="258"/>
      <w:r>
        <w:rPr>
          <w:rFonts w:ascii="宋体" w:hAnsi="宋体" w:eastAsia="宋体"/>
          <w:color w:val="auto"/>
          <w:highlight w:val="none"/>
        </w:rPr>
        <w:t>纪律和监督</w:t>
      </w:r>
      <w:bookmarkEnd w:id="259"/>
      <w:bookmarkEnd w:id="260"/>
    </w:p>
    <w:p w14:paraId="244C23A9">
      <w:pPr>
        <w:pStyle w:val="4"/>
        <w:keepNext w:val="0"/>
        <w:keepLines w:val="0"/>
        <w:spacing w:before="0" w:after="0" w:line="360" w:lineRule="auto"/>
        <w:ind w:firstLine="118"/>
        <w:rPr>
          <w:rFonts w:ascii="宋体" w:hAnsi="宋体" w:eastAsia="宋体"/>
          <w:color w:val="auto"/>
          <w:sz w:val="24"/>
          <w:szCs w:val="24"/>
          <w:highlight w:val="none"/>
        </w:rPr>
      </w:pPr>
      <w:bookmarkStart w:id="267" w:name="_Toc128512502"/>
      <w:bookmarkStart w:id="268" w:name="_Toc16607"/>
      <w:r>
        <w:rPr>
          <w:rFonts w:ascii="宋体" w:hAnsi="宋体" w:eastAsia="宋体"/>
          <w:color w:val="auto"/>
          <w:sz w:val="24"/>
          <w:szCs w:val="24"/>
          <w:highlight w:val="none"/>
        </w:rPr>
        <w:t>8.1 对招标人的纪律要求</w:t>
      </w:r>
      <w:bookmarkEnd w:id="267"/>
      <w:bookmarkEnd w:id="268"/>
    </w:p>
    <w:p w14:paraId="07C527A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招标人不得泄露招标投标活动中应当保密的情况和资料，不得与投标人串通损害国家利益、社会公共利益或者他人合法权益。</w:t>
      </w:r>
    </w:p>
    <w:p w14:paraId="30F7FCB2">
      <w:pPr>
        <w:pStyle w:val="4"/>
        <w:keepNext w:val="0"/>
        <w:keepLines w:val="0"/>
        <w:spacing w:before="0" w:after="0" w:line="360" w:lineRule="auto"/>
        <w:ind w:firstLine="118"/>
        <w:rPr>
          <w:rFonts w:ascii="宋体" w:hAnsi="宋体" w:eastAsia="宋体"/>
          <w:color w:val="auto"/>
          <w:sz w:val="24"/>
          <w:szCs w:val="24"/>
          <w:highlight w:val="none"/>
        </w:rPr>
      </w:pPr>
      <w:bookmarkStart w:id="269" w:name="_Toc7775"/>
      <w:bookmarkStart w:id="270" w:name="_Toc128512503"/>
      <w:r>
        <w:rPr>
          <w:rFonts w:ascii="宋体" w:hAnsi="宋体" w:eastAsia="宋体"/>
          <w:color w:val="auto"/>
          <w:sz w:val="24"/>
          <w:szCs w:val="24"/>
          <w:highlight w:val="none"/>
        </w:rPr>
        <w:t>8.2 对投标人的纪律要求</w:t>
      </w:r>
      <w:bookmarkEnd w:id="269"/>
      <w:bookmarkEnd w:id="270"/>
    </w:p>
    <w:p w14:paraId="4B3B371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04249D2">
      <w:pPr>
        <w:pStyle w:val="4"/>
        <w:keepNext w:val="0"/>
        <w:keepLines w:val="0"/>
        <w:spacing w:before="0" w:after="0" w:line="360" w:lineRule="auto"/>
        <w:ind w:firstLine="118"/>
        <w:rPr>
          <w:rFonts w:ascii="宋体" w:hAnsi="宋体" w:eastAsia="宋体"/>
          <w:color w:val="auto"/>
          <w:sz w:val="24"/>
          <w:szCs w:val="24"/>
          <w:highlight w:val="none"/>
        </w:rPr>
      </w:pPr>
      <w:bookmarkStart w:id="271" w:name="_Toc31006"/>
      <w:bookmarkStart w:id="272" w:name="_Toc128512504"/>
      <w:r>
        <w:rPr>
          <w:rFonts w:ascii="宋体" w:hAnsi="宋体" w:eastAsia="宋体"/>
          <w:color w:val="auto"/>
          <w:sz w:val="24"/>
          <w:szCs w:val="24"/>
          <w:highlight w:val="none"/>
        </w:rPr>
        <w:t>8.3 对评标委员会成员的纪律要求</w:t>
      </w:r>
      <w:bookmarkEnd w:id="271"/>
      <w:bookmarkEnd w:id="272"/>
    </w:p>
    <w:p w14:paraId="53FB0FA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评标委员会成员不得收受他人的财物或者其他好处，不得向他人透露对投标文件的评审</w:t>
      </w:r>
      <w:bookmarkStart w:id="273" w:name="_Toc384308253"/>
      <w:bookmarkStart w:id="274" w:name="_Toc13644"/>
      <w:bookmarkStart w:id="275" w:name="_Toc352691515"/>
      <w:bookmarkStart w:id="276" w:name="_Toc361508628"/>
      <w:bookmarkStart w:id="277" w:name="_Toc369531559"/>
      <w:r>
        <w:rPr>
          <w:rFonts w:ascii="宋体" w:hAnsi="宋体"/>
          <w:color w:val="auto"/>
          <w:sz w:val="24"/>
          <w:szCs w:val="24"/>
          <w:highlight w:val="none"/>
        </w:rPr>
        <w:t>和比较、</w:t>
      </w:r>
      <w:bookmarkEnd w:id="261"/>
      <w:bookmarkEnd w:id="262"/>
      <w:bookmarkEnd w:id="263"/>
      <w:bookmarkEnd w:id="264"/>
      <w:bookmarkEnd w:id="265"/>
      <w:bookmarkEnd w:id="266"/>
      <w:bookmarkEnd w:id="273"/>
      <w:bookmarkEnd w:id="274"/>
      <w:bookmarkEnd w:id="275"/>
      <w:bookmarkEnd w:id="276"/>
      <w:bookmarkEnd w:id="277"/>
      <w:r>
        <w:rPr>
          <w:rFonts w:hint="eastAsia" w:ascii="宋体" w:hAnsi="宋体"/>
          <w:color w:val="auto"/>
          <w:sz w:val="24"/>
          <w:szCs w:val="24"/>
          <w:highlight w:val="none"/>
        </w:rPr>
        <w:t>合格的中标候选人</w:t>
      </w:r>
      <w:r>
        <w:rPr>
          <w:rFonts w:ascii="宋体" w:hAnsi="宋体"/>
          <w:color w:val="auto"/>
          <w:sz w:val="24"/>
          <w:szCs w:val="24"/>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DAD1B32">
      <w:pPr>
        <w:pStyle w:val="4"/>
        <w:keepNext w:val="0"/>
        <w:keepLines w:val="0"/>
        <w:spacing w:before="0" w:after="0" w:line="360" w:lineRule="auto"/>
        <w:ind w:firstLine="118"/>
        <w:rPr>
          <w:rFonts w:ascii="宋体" w:hAnsi="宋体" w:eastAsia="宋体"/>
          <w:color w:val="auto"/>
          <w:sz w:val="24"/>
          <w:szCs w:val="24"/>
          <w:highlight w:val="none"/>
        </w:rPr>
      </w:pPr>
      <w:bookmarkStart w:id="278" w:name="_Toc128512505"/>
      <w:bookmarkStart w:id="279" w:name="_Toc11224"/>
      <w:r>
        <w:rPr>
          <w:rFonts w:ascii="宋体" w:hAnsi="宋体" w:eastAsia="宋体"/>
          <w:color w:val="auto"/>
          <w:sz w:val="24"/>
          <w:szCs w:val="24"/>
          <w:highlight w:val="none"/>
        </w:rPr>
        <w:t>8.4 对与评标活动有关的工作人员的纪律要求</w:t>
      </w:r>
      <w:bookmarkEnd w:id="278"/>
      <w:bookmarkEnd w:id="279"/>
    </w:p>
    <w:p w14:paraId="2E46EB0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与评标活动有关的工作人员不得收受他人的财物或者其他好处，不得向他人透露对投标文件</w:t>
      </w:r>
      <w:bookmarkStart w:id="280" w:name="_Toc361508629"/>
      <w:bookmarkStart w:id="281" w:name="_Toc152042345"/>
      <w:bookmarkStart w:id="282" w:name="_Toc152045569"/>
      <w:bookmarkStart w:id="283" w:name="_Toc352691516"/>
      <w:bookmarkStart w:id="284" w:name="_Toc384308254"/>
      <w:bookmarkStart w:id="285" w:name="_Toc144974537"/>
      <w:bookmarkStart w:id="286" w:name="_Toc369531560"/>
      <w:bookmarkStart w:id="287" w:name="_Toc247513993"/>
      <w:bookmarkStart w:id="288" w:name="_Toc300834992"/>
      <w:bookmarkStart w:id="289" w:name="_Toc247527594"/>
      <w:bookmarkStart w:id="290" w:name="_Toc19429"/>
      <w:r>
        <w:rPr>
          <w:rFonts w:ascii="宋体" w:hAnsi="宋体"/>
          <w:color w:val="auto"/>
          <w:sz w:val="24"/>
          <w:szCs w:val="24"/>
          <w:highlight w:val="none"/>
        </w:rPr>
        <w:t>的评审和比较、</w:t>
      </w:r>
      <w:bookmarkEnd w:id="280"/>
      <w:bookmarkEnd w:id="281"/>
      <w:bookmarkEnd w:id="282"/>
      <w:bookmarkEnd w:id="283"/>
      <w:bookmarkEnd w:id="284"/>
      <w:bookmarkEnd w:id="285"/>
      <w:bookmarkEnd w:id="286"/>
      <w:bookmarkEnd w:id="287"/>
      <w:bookmarkEnd w:id="288"/>
      <w:bookmarkEnd w:id="289"/>
      <w:bookmarkEnd w:id="290"/>
      <w:r>
        <w:rPr>
          <w:rFonts w:hint="eastAsia" w:ascii="宋体" w:hAnsi="宋体"/>
          <w:color w:val="auto"/>
          <w:sz w:val="24"/>
          <w:szCs w:val="24"/>
          <w:highlight w:val="none"/>
        </w:rPr>
        <w:t>合格的中标候选人</w:t>
      </w:r>
      <w:r>
        <w:rPr>
          <w:rFonts w:ascii="宋体" w:hAnsi="宋体"/>
          <w:color w:val="auto"/>
          <w:sz w:val="24"/>
          <w:szCs w:val="24"/>
          <w:highlight w:val="none"/>
        </w:rPr>
        <w:t>的推荐情况以及评标有关的其他情况。在评标活动中，与评标活动有关的工作人员不得擅离职守，影响评标程序正常进行。</w:t>
      </w:r>
    </w:p>
    <w:p w14:paraId="2D70EEDE">
      <w:pPr>
        <w:pStyle w:val="4"/>
        <w:keepNext w:val="0"/>
        <w:keepLines w:val="0"/>
        <w:spacing w:before="0" w:after="0" w:line="360" w:lineRule="auto"/>
        <w:ind w:firstLine="118"/>
        <w:rPr>
          <w:rFonts w:ascii="宋体" w:hAnsi="宋体" w:eastAsia="宋体"/>
          <w:color w:val="auto"/>
          <w:sz w:val="24"/>
          <w:szCs w:val="24"/>
          <w:highlight w:val="none"/>
        </w:rPr>
      </w:pPr>
      <w:bookmarkStart w:id="291" w:name="_Toc128512506"/>
      <w:bookmarkStart w:id="292" w:name="_Toc24952"/>
      <w:r>
        <w:rPr>
          <w:rFonts w:ascii="宋体" w:hAnsi="宋体" w:eastAsia="宋体"/>
          <w:color w:val="auto"/>
          <w:sz w:val="24"/>
          <w:szCs w:val="24"/>
          <w:highlight w:val="none"/>
        </w:rPr>
        <w:t>8.5 投诉</w:t>
      </w:r>
      <w:bookmarkEnd w:id="291"/>
      <w:bookmarkEnd w:id="292"/>
    </w:p>
    <w:p w14:paraId="436581C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248DB4F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8.5.2 投标人或者其他利害关系人对招标文件、开标和评标结果提出投诉的，应当按照投标人须知第2.4款、第5.3款和第7.2款的规定先向招标人提出异议。异议答复期间</w:t>
      </w:r>
      <w:bookmarkStart w:id="293" w:name="_Toc300834993"/>
      <w:bookmarkStart w:id="294" w:name="_Toc247513994"/>
      <w:bookmarkStart w:id="295" w:name="_Toc361508630"/>
      <w:bookmarkStart w:id="296" w:name="_Toc384308255"/>
      <w:bookmarkStart w:id="297" w:name="_Toc12776"/>
      <w:bookmarkStart w:id="298" w:name="_Toc247527595"/>
      <w:bookmarkStart w:id="299" w:name="_Toc369531561"/>
      <w:bookmarkStart w:id="300" w:name="_Toc152042346"/>
      <w:bookmarkStart w:id="301" w:name="_Toc152045570"/>
      <w:bookmarkStart w:id="302" w:name="_Toc352691517"/>
      <w:bookmarkStart w:id="303" w:name="_Toc144974538"/>
      <w:r>
        <w:rPr>
          <w:rFonts w:ascii="宋体" w:hAnsi="宋体"/>
          <w:color w:val="auto"/>
          <w:sz w:val="24"/>
          <w:szCs w:val="24"/>
          <w:highlight w:val="none"/>
        </w:rPr>
        <w:t>不计算在第8.5.</w:t>
      </w:r>
      <w:bookmarkEnd w:id="293"/>
      <w:bookmarkEnd w:id="294"/>
      <w:bookmarkEnd w:id="295"/>
      <w:bookmarkEnd w:id="296"/>
      <w:bookmarkEnd w:id="297"/>
      <w:bookmarkEnd w:id="298"/>
      <w:bookmarkEnd w:id="299"/>
      <w:bookmarkEnd w:id="300"/>
      <w:bookmarkEnd w:id="301"/>
      <w:bookmarkEnd w:id="302"/>
      <w:bookmarkEnd w:id="303"/>
      <w:r>
        <w:rPr>
          <w:rFonts w:ascii="宋体" w:hAnsi="宋体"/>
          <w:color w:val="auto"/>
          <w:sz w:val="24"/>
          <w:szCs w:val="24"/>
          <w:highlight w:val="none"/>
        </w:rPr>
        <w:t>1项规定的期限内。</w:t>
      </w:r>
    </w:p>
    <w:p w14:paraId="415B9E15">
      <w:pPr>
        <w:pStyle w:val="3"/>
        <w:keepNext w:val="0"/>
        <w:keepLines w:val="0"/>
        <w:spacing w:before="0" w:after="0" w:line="360" w:lineRule="auto"/>
        <w:rPr>
          <w:rFonts w:ascii="宋体" w:hAnsi="宋体" w:eastAsia="宋体"/>
          <w:color w:val="auto"/>
          <w:highlight w:val="none"/>
        </w:rPr>
      </w:pPr>
      <w:bookmarkStart w:id="304" w:name="_Toc21279"/>
      <w:bookmarkStart w:id="305" w:name="_Toc128512507"/>
      <w:bookmarkStart w:id="306" w:name="_Toc477134992"/>
      <w:r>
        <w:rPr>
          <w:rFonts w:ascii="宋体" w:hAnsi="宋体" w:eastAsia="宋体"/>
          <w:color w:val="auto"/>
          <w:highlight w:val="none"/>
        </w:rPr>
        <w:t>9. 是否采用电子招标投标</w:t>
      </w:r>
      <w:bookmarkEnd w:id="304"/>
      <w:bookmarkEnd w:id="305"/>
      <w:bookmarkEnd w:id="306"/>
    </w:p>
    <w:p w14:paraId="51C9626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本招标项目采用电子招标投标方式。</w:t>
      </w:r>
    </w:p>
    <w:p w14:paraId="51A36CB8">
      <w:pPr>
        <w:pStyle w:val="3"/>
        <w:keepNext w:val="0"/>
        <w:keepLines w:val="0"/>
        <w:spacing w:before="0" w:after="0" w:line="360" w:lineRule="auto"/>
        <w:rPr>
          <w:rFonts w:ascii="宋体" w:hAnsi="宋体" w:eastAsia="宋体"/>
          <w:color w:val="auto"/>
          <w:sz w:val="24"/>
          <w:szCs w:val="24"/>
          <w:highlight w:val="none"/>
        </w:rPr>
      </w:pPr>
      <w:bookmarkStart w:id="307" w:name="_Toc4810"/>
      <w:bookmarkStart w:id="308" w:name="_Toc128512508"/>
      <w:r>
        <w:rPr>
          <w:rFonts w:ascii="宋体" w:hAnsi="宋体" w:eastAsia="宋体"/>
          <w:color w:val="auto"/>
          <w:highlight w:val="none"/>
        </w:rPr>
        <w:t>10. 需要补充的其他内容</w:t>
      </w:r>
      <w:bookmarkEnd w:id="307"/>
      <w:bookmarkEnd w:id="308"/>
    </w:p>
    <w:bookmarkEnd w:id="15"/>
    <w:bookmarkEnd w:id="16"/>
    <w:bookmarkEnd w:id="17"/>
    <w:bookmarkEnd w:id="18"/>
    <w:p w14:paraId="67FA7941">
      <w:pPr>
        <w:spacing w:line="360" w:lineRule="auto"/>
        <w:ind w:firstLine="480" w:firstLineChars="200"/>
        <w:rPr>
          <w:rFonts w:ascii="宋体" w:hAnsi="宋体"/>
          <w:color w:val="auto"/>
          <w:sz w:val="24"/>
          <w:szCs w:val="24"/>
          <w:highlight w:val="none"/>
        </w:rPr>
      </w:pPr>
      <w:bookmarkStart w:id="309" w:name="_Toc527028503"/>
      <w:r>
        <w:rPr>
          <w:rFonts w:hint="eastAsia" w:ascii="宋体" w:hAnsi="宋体"/>
          <w:color w:val="auto"/>
          <w:sz w:val="24"/>
          <w:szCs w:val="24"/>
          <w:highlight w:val="none"/>
        </w:rPr>
        <w:t>见投标人须知前附表。</w:t>
      </w:r>
    </w:p>
    <w:p w14:paraId="211AA293">
      <w:pPr>
        <w:rPr>
          <w:rFonts w:ascii="黑体" w:eastAsia="黑体"/>
          <w:color w:val="auto"/>
          <w:highlight w:val="none"/>
        </w:rPr>
      </w:pPr>
    </w:p>
    <w:p w14:paraId="661B86A6">
      <w:pPr>
        <w:pStyle w:val="12"/>
        <w:rPr>
          <w:color w:val="auto"/>
          <w:highlight w:val="none"/>
        </w:rPr>
      </w:pPr>
    </w:p>
    <w:p w14:paraId="16FFE165">
      <w:pPr>
        <w:pStyle w:val="4"/>
        <w:keepNext w:val="0"/>
        <w:keepLines w:val="0"/>
        <w:ind w:firstLine="0" w:firstLineChars="0"/>
        <w:rPr>
          <w:rFonts w:ascii="宋体" w:hAnsi="宋体" w:eastAsia="宋体"/>
          <w:color w:val="auto"/>
          <w:highlight w:val="none"/>
        </w:rPr>
      </w:pPr>
      <w:bookmarkStart w:id="310" w:name="_Toc128512509"/>
      <w:r>
        <w:rPr>
          <w:rFonts w:ascii="宋体" w:hAnsi="宋体" w:eastAsia="宋体"/>
          <w:color w:val="auto"/>
          <w:highlight w:val="none"/>
        </w:rPr>
        <w:br w:type="page"/>
      </w:r>
      <w:r>
        <w:rPr>
          <w:rFonts w:ascii="宋体" w:hAnsi="宋体" w:eastAsia="宋体"/>
          <w:color w:val="auto"/>
          <w:highlight w:val="none"/>
        </w:rPr>
        <w:t>附件一：开标记录表</w:t>
      </w:r>
      <w:bookmarkEnd w:id="309"/>
      <w:bookmarkEnd w:id="310"/>
    </w:p>
    <w:p w14:paraId="228E88C6">
      <w:pPr>
        <w:spacing w:line="440" w:lineRule="exact"/>
        <w:jc w:val="center"/>
        <w:rPr>
          <w:rFonts w:ascii="宋体" w:hAnsi="宋体"/>
          <w:color w:val="auto"/>
          <w:sz w:val="28"/>
          <w:highlight w:val="none"/>
        </w:rPr>
      </w:pPr>
      <w:r>
        <w:rPr>
          <w:rFonts w:ascii="宋体" w:hAnsi="宋体"/>
          <w:color w:val="auto"/>
          <w:sz w:val="28"/>
          <w:highlight w:val="none"/>
        </w:rPr>
        <w:t>开标记录表</w:t>
      </w:r>
    </w:p>
    <w:p w14:paraId="5C588503">
      <w:pPr>
        <w:spacing w:before="120" w:beforeLines="50" w:after="120" w:afterLines="50" w:line="400" w:lineRule="exact"/>
        <w:ind w:right="420"/>
        <w:jc w:val="right"/>
        <w:rPr>
          <w:rFonts w:ascii="宋体" w:hAnsi="宋体"/>
          <w:color w:val="auto"/>
          <w:highlight w:val="none"/>
        </w:rPr>
      </w:pPr>
      <w:r>
        <w:rPr>
          <w:rFonts w:ascii="宋体" w:hAnsi="宋体"/>
          <w:color w:val="auto"/>
          <w:highlight w:val="none"/>
        </w:rPr>
        <w:t>开标时间：</w:t>
      </w: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r>
        <w:rPr>
          <w:rFonts w:ascii="宋体" w:hAnsi="宋体"/>
          <w:color w:val="auto"/>
          <w:highlight w:val="none"/>
          <w:u w:val="single"/>
        </w:rPr>
        <w:t xml:space="preserve">         </w:t>
      </w:r>
      <w:r>
        <w:rPr>
          <w:rFonts w:ascii="宋体" w:hAnsi="宋体"/>
          <w:color w:val="auto"/>
          <w:highlight w:val="none"/>
        </w:rPr>
        <w:t>时</w:t>
      </w:r>
      <w:r>
        <w:rPr>
          <w:rFonts w:ascii="宋体" w:hAnsi="宋体"/>
          <w:color w:val="auto"/>
          <w:highlight w:val="none"/>
          <w:u w:val="single"/>
        </w:rPr>
        <w:t xml:space="preserve">         </w:t>
      </w:r>
      <w:r>
        <w:rPr>
          <w:rFonts w:ascii="宋体" w:hAnsi="宋体"/>
          <w:color w:val="auto"/>
          <w:highlight w:val="none"/>
        </w:rPr>
        <w:t>分</w:t>
      </w:r>
    </w:p>
    <w:tbl>
      <w:tblPr>
        <w:tblStyle w:val="37"/>
        <w:tblW w:w="9109" w:type="dxa"/>
        <w:tblInd w:w="0" w:type="dxa"/>
        <w:tblLayout w:type="fixed"/>
        <w:tblCellMar>
          <w:top w:w="0" w:type="dxa"/>
          <w:left w:w="108" w:type="dxa"/>
          <w:bottom w:w="0" w:type="dxa"/>
          <w:right w:w="108" w:type="dxa"/>
        </w:tblCellMar>
      </w:tblPr>
      <w:tblGrid>
        <w:gridCol w:w="649"/>
        <w:gridCol w:w="1019"/>
        <w:gridCol w:w="992"/>
        <w:gridCol w:w="1424"/>
        <w:gridCol w:w="1188"/>
        <w:gridCol w:w="1037"/>
        <w:gridCol w:w="1063"/>
        <w:gridCol w:w="1737"/>
      </w:tblGrid>
      <w:tr w14:paraId="7AE0B530">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14:paraId="01B50F81">
            <w:pPr>
              <w:keepNext w:val="0"/>
              <w:keepLines w:val="0"/>
              <w:suppressLineNumbers w:val="0"/>
              <w:spacing w:before="0" w:beforeAutospacing="0" w:after="0" w:afterAutospacing="0" w:line="240" w:lineRule="atLeast"/>
              <w:ind w:left="0" w:right="0"/>
              <w:jc w:val="center"/>
              <w:rPr>
                <w:rFonts w:hint="default" w:ascii="宋体" w:hAnsi="宋体"/>
                <w:color w:val="auto"/>
                <w:sz w:val="18"/>
                <w:highlight w:val="none"/>
              </w:rPr>
            </w:pPr>
            <w:r>
              <w:rPr>
                <w:rFonts w:hint="default" w:ascii="宋体" w:hAnsi="宋体"/>
                <w:color w:val="auto"/>
                <w:sz w:val="18"/>
                <w:highlight w:val="none"/>
              </w:rPr>
              <w:t>序号</w:t>
            </w:r>
          </w:p>
        </w:tc>
        <w:tc>
          <w:tcPr>
            <w:tcW w:w="1019" w:type="dxa"/>
            <w:tcBorders>
              <w:top w:val="single" w:color="auto" w:sz="4" w:space="0"/>
              <w:left w:val="single" w:color="auto" w:sz="4" w:space="0"/>
              <w:bottom w:val="single" w:color="auto" w:sz="4" w:space="0"/>
              <w:right w:val="single" w:color="auto" w:sz="4" w:space="0"/>
            </w:tcBorders>
            <w:vAlign w:val="center"/>
          </w:tcPr>
          <w:p w14:paraId="219A4803">
            <w:pPr>
              <w:keepNext w:val="0"/>
              <w:keepLines w:val="0"/>
              <w:suppressLineNumbers w:val="0"/>
              <w:spacing w:before="0" w:beforeAutospacing="0" w:after="0" w:afterAutospacing="0" w:line="240" w:lineRule="atLeast"/>
              <w:ind w:left="0" w:right="0"/>
              <w:jc w:val="center"/>
              <w:rPr>
                <w:rFonts w:hint="default" w:ascii="宋体" w:hAnsi="宋体"/>
                <w:color w:val="auto"/>
                <w:sz w:val="18"/>
                <w:highlight w:val="none"/>
              </w:rPr>
            </w:pPr>
            <w:r>
              <w:rPr>
                <w:rFonts w:hint="default" w:ascii="宋体" w:hAnsi="宋体"/>
                <w:color w:val="auto"/>
                <w:sz w:val="18"/>
                <w:highlight w:val="none"/>
              </w:rPr>
              <w:t>投标人</w:t>
            </w:r>
          </w:p>
        </w:tc>
        <w:tc>
          <w:tcPr>
            <w:tcW w:w="992" w:type="dxa"/>
            <w:tcBorders>
              <w:top w:val="single" w:color="auto" w:sz="4" w:space="0"/>
              <w:left w:val="single" w:color="auto" w:sz="4" w:space="0"/>
              <w:bottom w:val="single" w:color="auto" w:sz="4" w:space="0"/>
              <w:right w:val="single" w:color="auto" w:sz="4" w:space="0"/>
            </w:tcBorders>
            <w:vAlign w:val="center"/>
          </w:tcPr>
          <w:p w14:paraId="2F96DF31">
            <w:pPr>
              <w:keepNext w:val="0"/>
              <w:keepLines w:val="0"/>
              <w:suppressLineNumbers w:val="0"/>
              <w:spacing w:before="0" w:beforeAutospacing="0" w:after="0" w:afterAutospacing="0" w:line="240" w:lineRule="atLeast"/>
              <w:ind w:left="0" w:right="0"/>
              <w:rPr>
                <w:rFonts w:hint="default" w:ascii="宋体" w:hAnsi="宋体"/>
                <w:color w:val="auto"/>
                <w:sz w:val="18"/>
                <w:highlight w:val="none"/>
              </w:rPr>
            </w:pPr>
            <w:r>
              <w:rPr>
                <w:rFonts w:hint="default" w:ascii="宋体" w:hAnsi="宋体"/>
                <w:color w:val="auto"/>
                <w:sz w:val="18"/>
                <w:highlight w:val="none"/>
              </w:rPr>
              <w:t>密封情况</w:t>
            </w:r>
          </w:p>
        </w:tc>
        <w:tc>
          <w:tcPr>
            <w:tcW w:w="1424" w:type="dxa"/>
            <w:tcBorders>
              <w:top w:val="single" w:color="auto" w:sz="4" w:space="0"/>
              <w:left w:val="single" w:color="auto" w:sz="4" w:space="0"/>
              <w:bottom w:val="single" w:color="auto" w:sz="4" w:space="0"/>
              <w:right w:val="single" w:color="auto" w:sz="4" w:space="0"/>
            </w:tcBorders>
            <w:vAlign w:val="center"/>
          </w:tcPr>
          <w:p w14:paraId="51795E12">
            <w:pPr>
              <w:keepNext w:val="0"/>
              <w:keepLines w:val="0"/>
              <w:suppressLineNumbers w:val="0"/>
              <w:spacing w:before="0" w:beforeAutospacing="0" w:after="0" w:afterAutospacing="0" w:line="240" w:lineRule="atLeast"/>
              <w:ind w:left="0" w:right="0"/>
              <w:jc w:val="center"/>
              <w:rPr>
                <w:rFonts w:hint="default" w:ascii="宋体" w:hAnsi="宋体"/>
                <w:color w:val="auto"/>
                <w:sz w:val="18"/>
                <w:highlight w:val="none"/>
              </w:rPr>
            </w:pPr>
            <w:r>
              <w:rPr>
                <w:rFonts w:hint="default" w:ascii="宋体" w:hAnsi="宋体"/>
                <w:color w:val="auto"/>
                <w:sz w:val="18"/>
                <w:highlight w:val="none"/>
              </w:rPr>
              <w:t>投标文件递交情况</w:t>
            </w:r>
          </w:p>
        </w:tc>
        <w:tc>
          <w:tcPr>
            <w:tcW w:w="1188" w:type="dxa"/>
            <w:tcBorders>
              <w:top w:val="single" w:color="auto" w:sz="4" w:space="0"/>
              <w:left w:val="single" w:color="auto" w:sz="4" w:space="0"/>
              <w:bottom w:val="single" w:color="auto" w:sz="4" w:space="0"/>
              <w:right w:val="single" w:color="auto" w:sz="4" w:space="0"/>
            </w:tcBorders>
            <w:vAlign w:val="center"/>
          </w:tcPr>
          <w:p w14:paraId="01502260">
            <w:pPr>
              <w:keepNext w:val="0"/>
              <w:keepLines w:val="0"/>
              <w:suppressLineNumbers w:val="0"/>
              <w:spacing w:before="0" w:beforeAutospacing="0" w:after="0" w:afterAutospacing="0" w:line="240" w:lineRule="atLeast"/>
              <w:ind w:left="0" w:right="0"/>
              <w:jc w:val="center"/>
              <w:rPr>
                <w:rFonts w:hint="default" w:ascii="宋体" w:hAnsi="宋体"/>
                <w:color w:val="auto"/>
                <w:sz w:val="18"/>
                <w:highlight w:val="none"/>
              </w:rPr>
            </w:pPr>
            <w:r>
              <w:rPr>
                <w:rFonts w:hint="default" w:ascii="宋体" w:hAnsi="宋体"/>
                <w:color w:val="auto"/>
                <w:sz w:val="18"/>
                <w:highlight w:val="none"/>
              </w:rPr>
              <w:t>投标报价</w:t>
            </w:r>
          </w:p>
          <w:p w14:paraId="7EE2B954">
            <w:pPr>
              <w:keepNext w:val="0"/>
              <w:keepLines w:val="0"/>
              <w:suppressLineNumbers w:val="0"/>
              <w:spacing w:before="0" w:beforeAutospacing="0" w:after="0" w:afterAutospacing="0" w:line="240" w:lineRule="atLeast"/>
              <w:ind w:left="0" w:right="0"/>
              <w:jc w:val="center"/>
              <w:rPr>
                <w:rFonts w:hint="default" w:ascii="宋体" w:hAnsi="宋体"/>
                <w:color w:val="auto"/>
                <w:sz w:val="18"/>
                <w:highlight w:val="none"/>
              </w:rPr>
            </w:pPr>
            <w:r>
              <w:rPr>
                <w:rFonts w:hint="default" w:ascii="宋体" w:hAnsi="宋体"/>
                <w:color w:val="auto"/>
                <w:sz w:val="18"/>
                <w:highlight w:val="none"/>
              </w:rPr>
              <w:t>（元）</w:t>
            </w:r>
          </w:p>
        </w:tc>
        <w:tc>
          <w:tcPr>
            <w:tcW w:w="1037" w:type="dxa"/>
            <w:tcBorders>
              <w:top w:val="single" w:color="auto" w:sz="4" w:space="0"/>
              <w:left w:val="single" w:color="auto" w:sz="4" w:space="0"/>
              <w:bottom w:val="single" w:color="auto" w:sz="4" w:space="0"/>
              <w:right w:val="single" w:color="auto" w:sz="4" w:space="0"/>
            </w:tcBorders>
            <w:vAlign w:val="center"/>
          </w:tcPr>
          <w:p w14:paraId="79A36563">
            <w:pPr>
              <w:keepNext w:val="0"/>
              <w:keepLines w:val="0"/>
              <w:suppressLineNumbers w:val="0"/>
              <w:spacing w:before="0" w:beforeAutospacing="0" w:after="0" w:afterAutospacing="0" w:line="240" w:lineRule="atLeast"/>
              <w:ind w:left="0" w:right="0"/>
              <w:jc w:val="center"/>
              <w:rPr>
                <w:rFonts w:hint="default" w:ascii="宋体" w:hAnsi="宋体"/>
                <w:color w:val="auto"/>
                <w:sz w:val="18"/>
                <w:highlight w:val="none"/>
              </w:rPr>
            </w:pPr>
            <w:r>
              <w:rPr>
                <w:rFonts w:hint="default" w:ascii="宋体" w:hAnsi="宋体"/>
                <w:color w:val="auto"/>
                <w:sz w:val="18"/>
                <w:highlight w:val="none"/>
              </w:rPr>
              <w:t>服务期限</w:t>
            </w:r>
          </w:p>
        </w:tc>
        <w:tc>
          <w:tcPr>
            <w:tcW w:w="1063" w:type="dxa"/>
            <w:tcBorders>
              <w:top w:val="single" w:color="auto" w:sz="4" w:space="0"/>
              <w:left w:val="single" w:color="auto" w:sz="4" w:space="0"/>
              <w:bottom w:val="single" w:color="auto" w:sz="4" w:space="0"/>
              <w:right w:val="single" w:color="auto" w:sz="4" w:space="0"/>
            </w:tcBorders>
            <w:vAlign w:val="center"/>
          </w:tcPr>
          <w:p w14:paraId="022A7226">
            <w:pPr>
              <w:keepNext w:val="0"/>
              <w:keepLines w:val="0"/>
              <w:suppressLineNumbers w:val="0"/>
              <w:spacing w:before="0" w:beforeAutospacing="0" w:after="0" w:afterAutospacing="0" w:line="240" w:lineRule="atLeast"/>
              <w:ind w:left="0" w:right="0"/>
              <w:jc w:val="center"/>
              <w:rPr>
                <w:rFonts w:hint="default" w:ascii="宋体" w:hAnsi="宋体"/>
                <w:color w:val="auto"/>
                <w:sz w:val="18"/>
                <w:highlight w:val="none"/>
              </w:rPr>
            </w:pPr>
            <w:r>
              <w:rPr>
                <w:rFonts w:hint="default" w:ascii="宋体" w:hAnsi="宋体"/>
                <w:color w:val="auto"/>
                <w:sz w:val="18"/>
                <w:highlight w:val="none"/>
              </w:rPr>
              <w:t>备注</w:t>
            </w:r>
          </w:p>
        </w:tc>
        <w:tc>
          <w:tcPr>
            <w:tcW w:w="1737" w:type="dxa"/>
            <w:tcBorders>
              <w:top w:val="single" w:color="auto" w:sz="4" w:space="0"/>
              <w:left w:val="single" w:color="auto" w:sz="4" w:space="0"/>
              <w:bottom w:val="single" w:color="auto" w:sz="4" w:space="0"/>
              <w:right w:val="single" w:color="auto" w:sz="4" w:space="0"/>
            </w:tcBorders>
            <w:vAlign w:val="center"/>
          </w:tcPr>
          <w:p w14:paraId="08A0F39D">
            <w:pPr>
              <w:keepNext w:val="0"/>
              <w:keepLines w:val="0"/>
              <w:suppressLineNumbers w:val="0"/>
              <w:spacing w:before="0" w:beforeAutospacing="0" w:after="0" w:afterAutospacing="0" w:line="240" w:lineRule="atLeast"/>
              <w:ind w:left="0" w:right="0"/>
              <w:jc w:val="center"/>
              <w:rPr>
                <w:rFonts w:hint="default" w:ascii="宋体" w:hAnsi="宋体"/>
                <w:color w:val="auto"/>
                <w:sz w:val="18"/>
                <w:highlight w:val="none"/>
              </w:rPr>
            </w:pPr>
            <w:r>
              <w:rPr>
                <w:rFonts w:hint="default" w:ascii="宋体" w:hAnsi="宋体"/>
                <w:color w:val="auto"/>
                <w:sz w:val="18"/>
                <w:highlight w:val="none"/>
              </w:rPr>
              <w:t>投标人代表签名</w:t>
            </w:r>
          </w:p>
        </w:tc>
      </w:tr>
      <w:tr w14:paraId="07136A24">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688557E1">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10925C58">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5EE5195A">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0FA5B60C">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0ACDD8AB">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5FF877F2">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134C9981">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0EB7C3ED">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r>
      <w:tr w14:paraId="1B987E1B">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04CF9315">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33A4BCFD">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3DB3E197">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38F83EAF">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215AA101">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21D420FD">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4AB7C52F">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04921A5F">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r>
      <w:tr w14:paraId="59334B5C">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5695FD17">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1714A58E">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632EB998">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1E990B34">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007E039E">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53238987">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5ADEC545">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3FB8F360">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r>
      <w:tr w14:paraId="34C7FF0A">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691F682F">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21AC9E6F">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04EFD54E">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1AB401A1">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4F4D4AAB">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235C66F2">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0067D8ED">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37478B4D">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r>
      <w:tr w14:paraId="78E76EB4">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34677EC4">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7F405C93">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0E5CB019">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16C7C0DF">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66514365">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18EB5234">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4DE7B078">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495F2D62">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r>
      <w:tr w14:paraId="0DB85CD0">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697EAF16">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2C00C1C4">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4D3EC4EA">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63A83DD8">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0C04141D">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060B1D22">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40F4EB59">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446A4DE0">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r>
      <w:tr w14:paraId="4D8B7C12">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360A8BA3">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62B2571C">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4C6A0A68">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688610D7">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0F2CCC4E">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42605042">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51CDE41A">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4BB4272B">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r>
      <w:tr w14:paraId="4BE558AE">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0FB79C0F">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08AA1F24">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131841DB">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6DF0C664">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63A7A89B">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57C9549A">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314608BA">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4A4314A2">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r>
      <w:tr w14:paraId="20EB99DE">
        <w:tblPrEx>
          <w:tblCellMar>
            <w:top w:w="0" w:type="dxa"/>
            <w:left w:w="108" w:type="dxa"/>
            <w:bottom w:w="0" w:type="dxa"/>
            <w:right w:w="108" w:type="dxa"/>
          </w:tblCellMar>
        </w:tblPrEx>
        <w:trPr>
          <w:trHeight w:val="502" w:hRule="atLeast"/>
        </w:trPr>
        <w:tc>
          <w:tcPr>
            <w:tcW w:w="649" w:type="dxa"/>
            <w:tcBorders>
              <w:top w:val="single" w:color="auto" w:sz="4" w:space="0"/>
              <w:left w:val="single" w:color="auto" w:sz="4" w:space="0"/>
              <w:bottom w:val="single" w:color="auto" w:sz="4" w:space="0"/>
              <w:right w:val="single" w:color="auto" w:sz="4" w:space="0"/>
            </w:tcBorders>
          </w:tcPr>
          <w:p w14:paraId="22690749">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6A30D8DB">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5A02689C">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40D6A26D">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323018AE">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3984363B">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273BED5C">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1AA365DB">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r>
      <w:tr w14:paraId="1650368C">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2207088F">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755B47DE">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2041993C">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7B8B8AAC">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5CCEC6AB">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36FF2D34">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654F5BF7">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1EC39554">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bookmarkStart w:id="311" w:name="_Toc17638"/>
          </w:p>
        </w:tc>
      </w:tr>
      <w:tr w14:paraId="0D940857">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212E334F">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tcPr>
          <w:p w14:paraId="071958B2">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14:paraId="6FE78DB6">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424" w:type="dxa"/>
            <w:tcBorders>
              <w:top w:val="single" w:color="auto" w:sz="4" w:space="0"/>
              <w:left w:val="single" w:color="auto" w:sz="4" w:space="0"/>
              <w:bottom w:val="single" w:color="auto" w:sz="4" w:space="0"/>
              <w:right w:val="single" w:color="auto" w:sz="4" w:space="0"/>
            </w:tcBorders>
          </w:tcPr>
          <w:p w14:paraId="050EDB2E">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tcPr>
          <w:p w14:paraId="6BAEDD10">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37" w:type="dxa"/>
            <w:tcBorders>
              <w:top w:val="single" w:color="auto" w:sz="4" w:space="0"/>
              <w:left w:val="single" w:color="auto" w:sz="4" w:space="0"/>
              <w:bottom w:val="single" w:color="auto" w:sz="4" w:space="0"/>
              <w:right w:val="single" w:color="auto" w:sz="4" w:space="0"/>
            </w:tcBorders>
          </w:tcPr>
          <w:p w14:paraId="23782759">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063" w:type="dxa"/>
            <w:tcBorders>
              <w:top w:val="single" w:color="auto" w:sz="4" w:space="0"/>
              <w:left w:val="single" w:color="auto" w:sz="4" w:space="0"/>
              <w:bottom w:val="single" w:color="auto" w:sz="4" w:space="0"/>
              <w:right w:val="single" w:color="auto" w:sz="4" w:space="0"/>
            </w:tcBorders>
          </w:tcPr>
          <w:p w14:paraId="1F392293">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c>
          <w:tcPr>
            <w:tcW w:w="1737" w:type="dxa"/>
            <w:tcBorders>
              <w:top w:val="single" w:color="auto" w:sz="4" w:space="0"/>
              <w:left w:val="single" w:color="auto" w:sz="4" w:space="0"/>
              <w:bottom w:val="single" w:color="auto" w:sz="4" w:space="0"/>
              <w:right w:val="single" w:color="auto" w:sz="4" w:space="0"/>
            </w:tcBorders>
          </w:tcPr>
          <w:p w14:paraId="589103C3">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p>
        </w:tc>
      </w:tr>
      <w:bookmarkEnd w:id="311"/>
      <w:tr w14:paraId="51B853F7">
        <w:tblPrEx>
          <w:tblCellMar>
            <w:top w:w="0" w:type="dxa"/>
            <w:left w:w="108" w:type="dxa"/>
            <w:bottom w:w="0" w:type="dxa"/>
            <w:right w:w="108" w:type="dxa"/>
          </w:tblCellMar>
        </w:tblPrEx>
        <w:trPr>
          <w:gridAfter w:val="5"/>
          <w:wAfter w:w="6449" w:type="dxa"/>
        </w:trPr>
        <w:tc>
          <w:tcPr>
            <w:tcW w:w="2660" w:type="dxa"/>
            <w:gridSpan w:val="3"/>
            <w:tcBorders>
              <w:top w:val="single" w:color="auto" w:sz="4" w:space="0"/>
              <w:left w:val="single" w:color="auto" w:sz="4" w:space="0"/>
              <w:bottom w:val="single" w:color="auto" w:sz="4" w:space="0"/>
              <w:right w:val="single" w:color="auto" w:sz="4" w:space="0"/>
            </w:tcBorders>
          </w:tcPr>
          <w:p w14:paraId="40A62854">
            <w:pPr>
              <w:keepNext w:val="0"/>
              <w:keepLines w:val="0"/>
              <w:suppressLineNumbers w:val="0"/>
              <w:spacing w:before="0" w:beforeAutospacing="0" w:after="0" w:afterAutospacing="0" w:line="240" w:lineRule="atLeast"/>
              <w:ind w:left="0" w:right="0"/>
              <w:jc w:val="left"/>
              <w:rPr>
                <w:rFonts w:hint="default" w:ascii="宋体" w:hAnsi="宋体"/>
                <w:color w:val="auto"/>
                <w:highlight w:val="none"/>
              </w:rPr>
            </w:pPr>
            <w:r>
              <w:rPr>
                <w:rFonts w:hint="default" w:ascii="宋体" w:hAnsi="宋体"/>
                <w:color w:val="auto"/>
                <w:highlight w:val="none"/>
              </w:rPr>
              <w:t>最高投标限价：</w:t>
            </w:r>
          </w:p>
        </w:tc>
      </w:tr>
    </w:tbl>
    <w:p w14:paraId="156F4FA6">
      <w:pPr>
        <w:spacing w:line="440" w:lineRule="exact"/>
        <w:rPr>
          <w:rFonts w:ascii="宋体" w:hAnsi="宋体"/>
          <w:color w:val="auto"/>
          <w:highlight w:val="none"/>
        </w:rPr>
      </w:pPr>
      <w:r>
        <w:rPr>
          <w:rFonts w:ascii="宋体" w:hAnsi="宋体"/>
          <w:color w:val="auto"/>
          <w:highlight w:val="none"/>
        </w:rPr>
        <w:t>　　　</w:t>
      </w:r>
    </w:p>
    <w:p w14:paraId="6369F678">
      <w:pPr>
        <w:spacing w:line="620" w:lineRule="exact"/>
        <w:rPr>
          <w:rFonts w:ascii="宋体" w:hAnsi="宋体"/>
          <w:color w:val="auto"/>
          <w:highlight w:val="none"/>
        </w:rPr>
      </w:pPr>
      <w:r>
        <w:rPr>
          <w:rFonts w:ascii="宋体" w:hAnsi="宋体"/>
          <w:color w:val="auto"/>
          <w:highlight w:val="none"/>
        </w:rPr>
        <w:t>招标人代表：</w:t>
      </w:r>
      <w:r>
        <w:rPr>
          <w:rFonts w:ascii="宋体" w:hAnsi="宋体"/>
          <w:color w:val="auto"/>
          <w:highlight w:val="none"/>
          <w:u w:val="single"/>
        </w:rPr>
        <w:t xml:space="preserve">       </w:t>
      </w:r>
      <w:r>
        <w:rPr>
          <w:rFonts w:ascii="宋体" w:hAnsi="宋体"/>
          <w:color w:val="auto"/>
          <w:highlight w:val="none"/>
        </w:rPr>
        <w:t xml:space="preserve">        记录人：</w:t>
      </w:r>
      <w:r>
        <w:rPr>
          <w:rFonts w:ascii="宋体" w:hAnsi="宋体"/>
          <w:color w:val="auto"/>
          <w:highlight w:val="none"/>
          <w:u w:val="single"/>
        </w:rPr>
        <w:t xml:space="preserve">       </w:t>
      </w:r>
      <w:r>
        <w:rPr>
          <w:rFonts w:ascii="宋体" w:hAnsi="宋体"/>
          <w:color w:val="auto"/>
          <w:highlight w:val="none"/>
        </w:rPr>
        <w:t xml:space="preserve">       监标人：</w:t>
      </w:r>
      <w:r>
        <w:rPr>
          <w:rFonts w:ascii="宋体" w:hAnsi="宋体"/>
          <w:color w:val="auto"/>
          <w:highlight w:val="none"/>
          <w:u w:val="single"/>
        </w:rPr>
        <w:t xml:space="preserve">       </w:t>
      </w:r>
    </w:p>
    <w:p w14:paraId="3E2C4FA6">
      <w:pPr>
        <w:spacing w:line="620" w:lineRule="exact"/>
        <w:jc w:val="right"/>
        <w:rPr>
          <w:rFonts w:ascii="宋体" w:hAnsi="宋体"/>
          <w:color w:val="auto"/>
          <w:sz w:val="20"/>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1FEB9A82">
      <w:pPr>
        <w:spacing w:line="440" w:lineRule="exact"/>
        <w:rPr>
          <w:rFonts w:ascii="宋体" w:hAnsi="宋体"/>
          <w:color w:val="auto"/>
          <w:highlight w:val="none"/>
        </w:rPr>
      </w:pPr>
    </w:p>
    <w:p w14:paraId="6BE704BD">
      <w:pPr>
        <w:spacing w:line="440" w:lineRule="exact"/>
        <w:rPr>
          <w:rFonts w:ascii="宋体" w:hAnsi="宋体"/>
          <w:color w:val="auto"/>
          <w:highlight w:val="none"/>
        </w:rPr>
      </w:pPr>
    </w:p>
    <w:p w14:paraId="56361E9C">
      <w:pPr>
        <w:spacing w:line="440" w:lineRule="exact"/>
        <w:rPr>
          <w:rFonts w:ascii="宋体" w:hAnsi="宋体"/>
          <w:color w:val="auto"/>
          <w:highlight w:val="none"/>
        </w:rPr>
      </w:pPr>
    </w:p>
    <w:p w14:paraId="2280493C">
      <w:pPr>
        <w:pStyle w:val="12"/>
        <w:rPr>
          <w:color w:val="auto"/>
          <w:highlight w:val="none"/>
        </w:rPr>
      </w:pPr>
    </w:p>
    <w:p w14:paraId="664FF88E">
      <w:pPr>
        <w:pStyle w:val="12"/>
        <w:rPr>
          <w:color w:val="auto"/>
          <w:highlight w:val="none"/>
        </w:rPr>
      </w:pPr>
    </w:p>
    <w:p w14:paraId="4AAAAEDE">
      <w:pPr>
        <w:pStyle w:val="12"/>
        <w:rPr>
          <w:color w:val="auto"/>
          <w:highlight w:val="none"/>
        </w:rPr>
      </w:pPr>
    </w:p>
    <w:p w14:paraId="7197642D">
      <w:pPr>
        <w:pStyle w:val="12"/>
        <w:rPr>
          <w:color w:val="auto"/>
          <w:highlight w:val="none"/>
        </w:rPr>
      </w:pPr>
    </w:p>
    <w:p w14:paraId="66AADFDB">
      <w:pPr>
        <w:pStyle w:val="12"/>
        <w:rPr>
          <w:color w:val="auto"/>
          <w:highlight w:val="none"/>
        </w:rPr>
      </w:pPr>
    </w:p>
    <w:p w14:paraId="4D0D9131">
      <w:pPr>
        <w:pStyle w:val="12"/>
        <w:rPr>
          <w:color w:val="auto"/>
          <w:highlight w:val="none"/>
        </w:rPr>
      </w:pPr>
    </w:p>
    <w:p w14:paraId="55779C53">
      <w:pPr>
        <w:pStyle w:val="12"/>
        <w:rPr>
          <w:color w:val="auto"/>
          <w:highlight w:val="none"/>
        </w:rPr>
      </w:pPr>
    </w:p>
    <w:p w14:paraId="0A8D74FD">
      <w:pPr>
        <w:pStyle w:val="12"/>
        <w:rPr>
          <w:color w:val="auto"/>
          <w:highlight w:val="none"/>
        </w:rPr>
      </w:pPr>
    </w:p>
    <w:p w14:paraId="2A6D6AC7">
      <w:pPr>
        <w:pStyle w:val="12"/>
        <w:rPr>
          <w:color w:val="auto"/>
          <w:highlight w:val="none"/>
        </w:rPr>
      </w:pPr>
    </w:p>
    <w:p w14:paraId="00C9F224">
      <w:pPr>
        <w:pStyle w:val="12"/>
        <w:rPr>
          <w:color w:val="auto"/>
          <w:highlight w:val="none"/>
        </w:rPr>
      </w:pPr>
    </w:p>
    <w:p w14:paraId="0B142E13">
      <w:pPr>
        <w:pStyle w:val="12"/>
        <w:rPr>
          <w:color w:val="auto"/>
          <w:highlight w:val="none"/>
        </w:rPr>
      </w:pPr>
    </w:p>
    <w:p w14:paraId="1B8EF5EB">
      <w:pPr>
        <w:pStyle w:val="12"/>
        <w:rPr>
          <w:color w:val="auto"/>
          <w:highlight w:val="none"/>
        </w:rPr>
      </w:pPr>
    </w:p>
    <w:p w14:paraId="0E72BDAE">
      <w:pPr>
        <w:pStyle w:val="12"/>
        <w:rPr>
          <w:color w:val="auto"/>
          <w:highlight w:val="none"/>
        </w:rPr>
      </w:pPr>
    </w:p>
    <w:p w14:paraId="7ECDF9B9">
      <w:pPr>
        <w:pStyle w:val="12"/>
        <w:rPr>
          <w:color w:val="auto"/>
          <w:highlight w:val="none"/>
        </w:rPr>
      </w:pPr>
    </w:p>
    <w:p w14:paraId="6C1B13C8">
      <w:pPr>
        <w:pStyle w:val="12"/>
        <w:rPr>
          <w:color w:val="auto"/>
          <w:highlight w:val="none"/>
        </w:rPr>
      </w:pPr>
    </w:p>
    <w:p w14:paraId="682EE701">
      <w:pPr>
        <w:pStyle w:val="12"/>
        <w:rPr>
          <w:color w:val="auto"/>
          <w:highlight w:val="none"/>
        </w:rPr>
      </w:pPr>
    </w:p>
    <w:p w14:paraId="5CF181C0">
      <w:pPr>
        <w:pStyle w:val="12"/>
        <w:rPr>
          <w:color w:val="auto"/>
          <w:highlight w:val="none"/>
        </w:rPr>
      </w:pPr>
    </w:p>
    <w:p w14:paraId="0993FF37">
      <w:pPr>
        <w:pStyle w:val="4"/>
        <w:keepNext w:val="0"/>
        <w:keepLines w:val="0"/>
        <w:ind w:firstLine="137"/>
        <w:rPr>
          <w:rFonts w:ascii="宋体" w:hAnsi="宋体" w:eastAsia="宋体"/>
          <w:color w:val="auto"/>
          <w:highlight w:val="none"/>
        </w:rPr>
      </w:pPr>
      <w:bookmarkStart w:id="312" w:name="_Toc527028504"/>
      <w:bookmarkStart w:id="313" w:name="_Toc128512510"/>
      <w:r>
        <w:rPr>
          <w:rFonts w:ascii="宋体" w:hAnsi="宋体" w:eastAsia="宋体"/>
          <w:color w:val="auto"/>
          <w:highlight w:val="none"/>
        </w:rPr>
        <w:t>附件二：问题澄清通知</w:t>
      </w:r>
      <w:bookmarkEnd w:id="312"/>
      <w:bookmarkEnd w:id="313"/>
    </w:p>
    <w:p w14:paraId="3C6EB8C8">
      <w:pPr>
        <w:spacing w:line="440" w:lineRule="exact"/>
        <w:jc w:val="center"/>
        <w:rPr>
          <w:rFonts w:ascii="宋体" w:hAnsi="宋体"/>
          <w:color w:val="auto"/>
          <w:highlight w:val="none"/>
        </w:rPr>
      </w:pPr>
    </w:p>
    <w:p w14:paraId="391D474E">
      <w:pPr>
        <w:spacing w:line="440" w:lineRule="exact"/>
        <w:jc w:val="center"/>
        <w:rPr>
          <w:rFonts w:ascii="宋体" w:hAnsi="宋体"/>
          <w:color w:val="auto"/>
          <w:sz w:val="28"/>
          <w:highlight w:val="none"/>
        </w:rPr>
      </w:pPr>
      <w:r>
        <w:rPr>
          <w:rFonts w:ascii="宋体" w:hAnsi="宋体"/>
          <w:color w:val="auto"/>
          <w:sz w:val="28"/>
          <w:highlight w:val="none"/>
        </w:rPr>
        <w:t>问题澄清通知</w:t>
      </w:r>
    </w:p>
    <w:p w14:paraId="0D4C1282">
      <w:pPr>
        <w:spacing w:line="440" w:lineRule="exact"/>
        <w:jc w:val="center"/>
        <w:rPr>
          <w:rFonts w:ascii="宋体" w:hAnsi="宋体"/>
          <w:color w:val="auto"/>
          <w:highlight w:val="none"/>
        </w:rPr>
      </w:pPr>
      <w:r>
        <w:rPr>
          <w:rFonts w:ascii="宋体" w:hAnsi="宋体"/>
          <w:color w:val="auto"/>
          <w:highlight w:val="none"/>
        </w:rPr>
        <w:t>（编号：</w:t>
      </w:r>
      <w:r>
        <w:rPr>
          <w:rFonts w:ascii="宋体" w:hAnsi="宋体"/>
          <w:color w:val="auto"/>
          <w:sz w:val="28"/>
          <w:highlight w:val="none"/>
          <w:u w:val="single"/>
        </w:rPr>
        <w:t xml:space="preserve">               </w:t>
      </w:r>
      <w:r>
        <w:rPr>
          <w:rFonts w:ascii="宋体" w:hAnsi="宋体"/>
          <w:color w:val="auto"/>
          <w:highlight w:val="none"/>
        </w:rPr>
        <w:t>）</w:t>
      </w:r>
    </w:p>
    <w:p w14:paraId="2907D05D">
      <w:pPr>
        <w:spacing w:line="440" w:lineRule="exact"/>
        <w:rPr>
          <w:rFonts w:ascii="宋体" w:hAnsi="宋体"/>
          <w:color w:val="auto"/>
          <w:highlight w:val="none"/>
        </w:rPr>
      </w:pPr>
    </w:p>
    <w:p w14:paraId="09BB1108">
      <w:pPr>
        <w:spacing w:line="440" w:lineRule="exac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（投标人名称）：</w:t>
      </w:r>
    </w:p>
    <w:p w14:paraId="6B75F292">
      <w:pPr>
        <w:spacing w:line="440" w:lineRule="exact"/>
        <w:rPr>
          <w:rFonts w:ascii="宋体" w:hAnsi="宋体"/>
          <w:color w:val="auto"/>
          <w:highlight w:val="none"/>
        </w:rPr>
      </w:pPr>
    </w:p>
    <w:p w14:paraId="051E40FB">
      <w:pPr>
        <w:spacing w:line="440" w:lineRule="exact"/>
        <w:rPr>
          <w:rFonts w:ascii="宋体" w:hAnsi="宋体"/>
          <w:color w:val="auto"/>
          <w:highlight w:val="none"/>
        </w:rPr>
      </w:pPr>
      <w:r>
        <w:rPr>
          <w:rFonts w:ascii="宋体" w:hAnsi="宋体"/>
          <w:color w:val="auto"/>
          <w:highlight w:val="none"/>
        </w:rPr>
        <w:t>　　评标委员会对你方的投标文件进行了仔细的审查，现需你方对下列问题以书</w:t>
      </w:r>
      <w:bookmarkStart w:id="314" w:name="_Toc152042352"/>
      <w:bookmarkStart w:id="315" w:name="_Toc23050"/>
      <w:bookmarkStart w:id="316" w:name="_Toc369531565"/>
      <w:bookmarkStart w:id="317" w:name="_Toc361508634"/>
      <w:bookmarkStart w:id="318" w:name="_Toc247514000"/>
      <w:bookmarkStart w:id="319" w:name="_Toc300834996"/>
      <w:bookmarkStart w:id="320" w:name="_Toc247527601"/>
      <w:bookmarkStart w:id="321" w:name="_Toc144974544"/>
      <w:bookmarkStart w:id="322" w:name="_Toc152045576"/>
      <w:bookmarkStart w:id="323" w:name="_Toc352691521"/>
      <w:bookmarkStart w:id="324" w:name="_Toc384308260"/>
      <w:r>
        <w:rPr>
          <w:rFonts w:ascii="宋体" w:hAnsi="宋体"/>
          <w:color w:val="auto"/>
          <w:highlight w:val="none"/>
        </w:rPr>
        <w:t>面形式予以澄清、说明或补正：</w:t>
      </w:r>
    </w:p>
    <w:p w14:paraId="63E15B2C">
      <w:pPr>
        <w:spacing w:line="440" w:lineRule="exact"/>
        <w:rPr>
          <w:rFonts w:ascii="宋体" w:hAnsi="宋体"/>
          <w:color w:val="auto"/>
          <w:highlight w:val="none"/>
        </w:rPr>
      </w:pPr>
      <w:r>
        <w:rPr>
          <w:rFonts w:ascii="宋体" w:hAnsi="宋体"/>
          <w:color w:val="auto"/>
          <w:highlight w:val="none"/>
        </w:rPr>
        <w:t>　　</w:t>
      </w:r>
    </w:p>
    <w:bookmarkEnd w:id="314"/>
    <w:bookmarkEnd w:id="315"/>
    <w:bookmarkEnd w:id="316"/>
    <w:bookmarkEnd w:id="317"/>
    <w:bookmarkEnd w:id="318"/>
    <w:bookmarkEnd w:id="319"/>
    <w:bookmarkEnd w:id="320"/>
    <w:bookmarkEnd w:id="321"/>
    <w:bookmarkEnd w:id="322"/>
    <w:bookmarkEnd w:id="323"/>
    <w:bookmarkEnd w:id="324"/>
    <w:p w14:paraId="0693DB3D">
      <w:pPr>
        <w:spacing w:line="440" w:lineRule="exact"/>
        <w:rPr>
          <w:rFonts w:ascii="宋体" w:hAnsi="宋体"/>
          <w:color w:val="auto"/>
          <w:highlight w:val="none"/>
        </w:rPr>
      </w:pPr>
      <w:r>
        <w:rPr>
          <w:rFonts w:ascii="宋体" w:hAnsi="宋体"/>
          <w:color w:val="auto"/>
          <w:highlight w:val="none"/>
        </w:rPr>
        <w:t xml:space="preserve">    1.</w:t>
      </w:r>
    </w:p>
    <w:p w14:paraId="0997F9B3">
      <w:pPr>
        <w:spacing w:line="440" w:lineRule="exact"/>
        <w:rPr>
          <w:rFonts w:ascii="宋体" w:hAnsi="宋体"/>
          <w:color w:val="auto"/>
          <w:highlight w:val="none"/>
        </w:rPr>
      </w:pPr>
      <w:r>
        <w:rPr>
          <w:rFonts w:ascii="宋体" w:hAnsi="宋体"/>
          <w:color w:val="auto"/>
          <w:highlight w:val="none"/>
        </w:rPr>
        <w:t xml:space="preserve">    2.</w:t>
      </w:r>
    </w:p>
    <w:p w14:paraId="695FC003">
      <w:pPr>
        <w:spacing w:line="440" w:lineRule="exact"/>
        <w:rPr>
          <w:rFonts w:ascii="宋体" w:hAnsi="宋体"/>
          <w:color w:val="auto"/>
          <w:highlight w:val="none"/>
        </w:rPr>
      </w:pPr>
      <w:r>
        <w:rPr>
          <w:rFonts w:ascii="宋体" w:hAnsi="宋体"/>
          <w:color w:val="auto"/>
          <w:highlight w:val="none"/>
        </w:rPr>
        <w:t xml:space="preserve">     ......   </w:t>
      </w:r>
    </w:p>
    <w:p w14:paraId="181DB470">
      <w:pPr>
        <w:spacing w:line="440" w:lineRule="exact"/>
        <w:rPr>
          <w:rFonts w:ascii="宋体" w:hAnsi="宋体"/>
          <w:color w:val="auto"/>
          <w:highlight w:val="none"/>
        </w:rPr>
      </w:pPr>
      <w:r>
        <w:rPr>
          <w:rFonts w:ascii="宋体" w:hAnsi="宋体"/>
          <w:color w:val="auto"/>
          <w:highlight w:val="none"/>
        </w:rPr>
        <w:t>　　　</w:t>
      </w:r>
    </w:p>
    <w:p w14:paraId="214AC67A">
      <w:pPr>
        <w:spacing w:line="440" w:lineRule="exact"/>
        <w:ind w:firstLine="405"/>
        <w:rPr>
          <w:rFonts w:ascii="宋体" w:hAnsi="宋体"/>
          <w:color w:val="auto"/>
          <w:highlight w:val="none"/>
        </w:rPr>
      </w:pPr>
      <w:r>
        <w:rPr>
          <w:rFonts w:ascii="宋体" w:hAnsi="宋体"/>
          <w:color w:val="auto"/>
          <w:highlight w:val="none"/>
        </w:rPr>
        <w:t>请将上述问题的澄清、说明或补正于</w:t>
      </w: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r>
        <w:rPr>
          <w:rFonts w:ascii="宋体" w:hAnsi="宋体"/>
          <w:color w:val="auto"/>
          <w:highlight w:val="none"/>
          <w:u w:val="single"/>
        </w:rPr>
        <w:t xml:space="preserve">       </w:t>
      </w:r>
      <w:r>
        <w:rPr>
          <w:rFonts w:ascii="宋体" w:hAnsi="宋体"/>
          <w:color w:val="auto"/>
          <w:highlight w:val="none"/>
        </w:rPr>
        <w:t>时前递交至</w:t>
      </w:r>
      <w:bookmarkStart w:id="325" w:name="_Toc384308261"/>
      <w:bookmarkStart w:id="326" w:name="_Toc247527602"/>
      <w:bookmarkStart w:id="327" w:name="_Toc361508635"/>
      <w:bookmarkStart w:id="328" w:name="_Toc300834997"/>
      <w:bookmarkStart w:id="329" w:name="_Toc152045577"/>
      <w:bookmarkStart w:id="330" w:name="_Toc152042353"/>
      <w:bookmarkStart w:id="331" w:name="_Toc144974545"/>
      <w:bookmarkStart w:id="332" w:name="_Toc369531566"/>
      <w:bookmarkStart w:id="333" w:name="_Toc352691522"/>
      <w:bookmarkStart w:id="334" w:name="_Toc247514001"/>
      <w:bookmarkStart w:id="335" w:name="_Toc28385"/>
    </w:p>
    <w:p w14:paraId="5520BB29">
      <w:pPr>
        <w:spacing w:line="440" w:lineRule="exac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（详细地址）或传真至</w:t>
      </w:r>
      <w:bookmarkEnd w:id="325"/>
      <w:bookmarkEnd w:id="326"/>
      <w:bookmarkEnd w:id="327"/>
      <w:bookmarkEnd w:id="328"/>
      <w:bookmarkEnd w:id="329"/>
      <w:bookmarkEnd w:id="330"/>
      <w:bookmarkEnd w:id="331"/>
      <w:bookmarkEnd w:id="332"/>
      <w:bookmarkEnd w:id="333"/>
      <w:bookmarkEnd w:id="334"/>
      <w:bookmarkEnd w:id="335"/>
      <w:r>
        <w:rPr>
          <w:rFonts w:ascii="宋体" w:hAnsi="宋体"/>
          <w:color w:val="auto"/>
          <w:highlight w:val="none"/>
          <w:u w:val="single"/>
        </w:rPr>
        <w:t xml:space="preserve">                     </w:t>
      </w:r>
      <w:r>
        <w:rPr>
          <w:rFonts w:ascii="宋体" w:hAnsi="宋体"/>
          <w:color w:val="auto"/>
          <w:highlight w:val="none"/>
        </w:rPr>
        <w:t>（传真号码）或通过下载招标文件的电子招标交易平台上传。采用传真方式的，应在</w:t>
      </w: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p>
    <w:p w14:paraId="7CC7A54A">
      <w:pPr>
        <w:spacing w:line="440" w:lineRule="exac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日</w:t>
      </w:r>
      <w:r>
        <w:rPr>
          <w:rFonts w:ascii="宋体" w:hAnsi="宋体"/>
          <w:color w:val="auto"/>
          <w:highlight w:val="none"/>
          <w:u w:val="single"/>
        </w:rPr>
        <w:t xml:space="preserve">       </w:t>
      </w:r>
      <w:r>
        <w:rPr>
          <w:rFonts w:ascii="宋体" w:hAnsi="宋体"/>
          <w:color w:val="auto"/>
          <w:highlight w:val="none"/>
        </w:rPr>
        <w:t>时前将原件递交至</w:t>
      </w:r>
      <w:r>
        <w:rPr>
          <w:rFonts w:ascii="宋体" w:hAnsi="宋体"/>
          <w:color w:val="auto"/>
          <w:highlight w:val="none"/>
          <w:u w:val="single"/>
        </w:rPr>
        <w:t xml:space="preserve">                     </w:t>
      </w:r>
      <w:r>
        <w:rPr>
          <w:rFonts w:ascii="宋体" w:hAnsi="宋体"/>
          <w:color w:val="auto"/>
          <w:highlight w:val="none"/>
        </w:rPr>
        <w:t>（详细地址）。</w:t>
      </w:r>
    </w:p>
    <w:p w14:paraId="46492D7C">
      <w:pPr>
        <w:spacing w:line="440" w:lineRule="exact"/>
        <w:rPr>
          <w:rFonts w:ascii="宋体" w:hAnsi="宋体"/>
          <w:color w:val="auto"/>
          <w:highlight w:val="none"/>
        </w:rPr>
      </w:pPr>
    </w:p>
    <w:p w14:paraId="235F971D">
      <w:pPr>
        <w:spacing w:line="440" w:lineRule="exact"/>
        <w:rPr>
          <w:rFonts w:ascii="宋体" w:hAnsi="宋体"/>
          <w:color w:val="auto"/>
          <w:highlight w:val="none"/>
        </w:rPr>
      </w:pPr>
    </w:p>
    <w:p w14:paraId="3155FC29">
      <w:pPr>
        <w:spacing w:line="440" w:lineRule="exact"/>
        <w:ind w:firstLine="2100" w:firstLineChars="1000"/>
        <w:rPr>
          <w:rFonts w:ascii="宋体" w:hAnsi="宋体"/>
          <w:color w:val="auto"/>
          <w:highlight w:val="none"/>
        </w:rPr>
      </w:pPr>
      <w:r>
        <w:rPr>
          <w:rFonts w:ascii="宋体" w:hAnsi="宋体"/>
          <w:color w:val="auto"/>
          <w:highlight w:val="none"/>
        </w:rPr>
        <w:t>评标委员会授权的招标人或招标代理机构：</w:t>
      </w:r>
      <w:r>
        <w:rPr>
          <w:rFonts w:ascii="宋体" w:hAnsi="宋体"/>
          <w:color w:val="auto"/>
          <w:sz w:val="28"/>
          <w:highlight w:val="none"/>
          <w:u w:val="single"/>
        </w:rPr>
        <w:t xml:space="preserve">      </w:t>
      </w:r>
      <w:r>
        <w:rPr>
          <w:rFonts w:ascii="宋体" w:hAnsi="宋体"/>
          <w:color w:val="auto"/>
          <w:highlight w:val="none"/>
        </w:rPr>
        <w:t>（签字或盖章）</w:t>
      </w:r>
      <w:bookmarkStart w:id="336" w:name="_Toc247514002"/>
      <w:bookmarkStart w:id="337" w:name="_Toc369531567"/>
      <w:bookmarkStart w:id="338" w:name="_Toc352691523"/>
      <w:bookmarkStart w:id="339" w:name="_Toc6580"/>
      <w:bookmarkStart w:id="340" w:name="_Toc152045578"/>
      <w:bookmarkStart w:id="341" w:name="_Toc361508636"/>
      <w:bookmarkStart w:id="342" w:name="_Toc384308262"/>
      <w:bookmarkStart w:id="343" w:name="_Toc247527603"/>
      <w:bookmarkStart w:id="344" w:name="_Toc300834998"/>
      <w:bookmarkStart w:id="345" w:name="_Toc152042354"/>
      <w:bookmarkStart w:id="346" w:name="_Toc144974546"/>
    </w:p>
    <w:bookmarkEnd w:id="336"/>
    <w:bookmarkEnd w:id="337"/>
    <w:bookmarkEnd w:id="338"/>
    <w:bookmarkEnd w:id="339"/>
    <w:bookmarkEnd w:id="340"/>
    <w:bookmarkEnd w:id="341"/>
    <w:bookmarkEnd w:id="342"/>
    <w:bookmarkEnd w:id="343"/>
    <w:bookmarkEnd w:id="344"/>
    <w:bookmarkEnd w:id="345"/>
    <w:p w14:paraId="31A85EB1">
      <w:pPr>
        <w:spacing w:line="440" w:lineRule="exact"/>
        <w:rPr>
          <w:rFonts w:ascii="宋体" w:hAnsi="宋体"/>
          <w:color w:val="auto"/>
          <w:highlight w:val="none"/>
        </w:rPr>
      </w:pPr>
      <w:bookmarkStart w:id="347" w:name="_Toc152042355"/>
    </w:p>
    <w:p w14:paraId="636F202C">
      <w:pPr>
        <w:spacing w:line="440" w:lineRule="exact"/>
        <w:ind w:right="840"/>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50705C10">
      <w:pPr>
        <w:rPr>
          <w:rFonts w:ascii="黑体" w:eastAsia="黑体"/>
          <w:color w:val="auto"/>
          <w:highlight w:val="none"/>
        </w:rPr>
      </w:pPr>
    </w:p>
    <w:p w14:paraId="5587F527">
      <w:pPr>
        <w:rPr>
          <w:rFonts w:ascii="宋体" w:hAnsi="宋体"/>
          <w:color w:val="auto"/>
          <w:highlight w:val="none"/>
        </w:rPr>
      </w:pPr>
    </w:p>
    <w:p w14:paraId="5C4FED75">
      <w:pPr>
        <w:rPr>
          <w:rFonts w:ascii="黑体" w:eastAsia="黑体"/>
          <w:color w:val="auto"/>
          <w:highlight w:val="none"/>
        </w:rPr>
      </w:pPr>
      <w:bookmarkStart w:id="348" w:name="_Toc527028505"/>
    </w:p>
    <w:p w14:paraId="16636E7B">
      <w:pPr>
        <w:rPr>
          <w:rFonts w:ascii="Times New Roman" w:hAnsi="Times New Roman"/>
          <w:color w:val="auto"/>
          <w:highlight w:val="none"/>
        </w:rPr>
      </w:pPr>
    </w:p>
    <w:p w14:paraId="363F0777">
      <w:pPr>
        <w:pStyle w:val="4"/>
        <w:keepNext w:val="0"/>
        <w:keepLines w:val="0"/>
        <w:ind w:firstLine="0" w:firstLineChars="0"/>
        <w:rPr>
          <w:rFonts w:ascii="宋体" w:hAnsi="宋体" w:eastAsia="宋体"/>
          <w:color w:val="auto"/>
          <w:highlight w:val="none"/>
        </w:rPr>
      </w:pPr>
      <w:bookmarkStart w:id="349" w:name="_Toc128512511"/>
      <w:r>
        <w:rPr>
          <w:rFonts w:ascii="宋体" w:hAnsi="宋体" w:eastAsia="宋体"/>
          <w:color w:val="auto"/>
          <w:highlight w:val="none"/>
        </w:rPr>
        <w:br w:type="page"/>
      </w:r>
      <w:r>
        <w:rPr>
          <w:rFonts w:ascii="宋体" w:hAnsi="宋体" w:eastAsia="宋体"/>
          <w:color w:val="auto"/>
          <w:highlight w:val="none"/>
        </w:rPr>
        <w:t>附件三：问题的澄清</w:t>
      </w:r>
      <w:bookmarkEnd w:id="348"/>
      <w:bookmarkEnd w:id="349"/>
    </w:p>
    <w:p w14:paraId="4B61210C">
      <w:pPr>
        <w:spacing w:line="400" w:lineRule="exact"/>
        <w:jc w:val="center"/>
        <w:rPr>
          <w:rFonts w:ascii="宋体" w:hAnsi="宋体"/>
          <w:color w:val="auto"/>
          <w:sz w:val="28"/>
          <w:highlight w:val="none"/>
        </w:rPr>
      </w:pPr>
    </w:p>
    <w:p w14:paraId="2D3383F4">
      <w:pPr>
        <w:spacing w:line="400" w:lineRule="exact"/>
        <w:jc w:val="center"/>
        <w:rPr>
          <w:rFonts w:ascii="宋体" w:hAnsi="宋体"/>
          <w:color w:val="auto"/>
          <w:sz w:val="28"/>
          <w:highlight w:val="none"/>
        </w:rPr>
      </w:pPr>
      <w:r>
        <w:rPr>
          <w:rFonts w:ascii="宋体" w:hAnsi="宋体"/>
          <w:color w:val="auto"/>
          <w:sz w:val="28"/>
          <w:highlight w:val="none"/>
        </w:rPr>
        <w:t>问</w:t>
      </w:r>
      <w:bookmarkEnd w:id="347"/>
      <w:r>
        <w:rPr>
          <w:rFonts w:ascii="宋体" w:hAnsi="宋体"/>
          <w:color w:val="auto"/>
          <w:sz w:val="28"/>
          <w:highlight w:val="none"/>
        </w:rPr>
        <w:t>题</w:t>
      </w:r>
      <w:bookmarkStart w:id="350" w:name="_Toc247514003"/>
      <w:bookmarkStart w:id="351" w:name="_Toc384308263"/>
      <w:bookmarkStart w:id="352" w:name="_Toc369531568"/>
      <w:bookmarkStart w:id="353" w:name="_Toc152042356"/>
      <w:bookmarkStart w:id="354" w:name="_Toc300834999"/>
      <w:bookmarkStart w:id="355" w:name="_Toc352691524"/>
      <w:bookmarkStart w:id="356" w:name="_Toc152045579"/>
      <w:bookmarkStart w:id="357" w:name="_Toc3622"/>
      <w:bookmarkStart w:id="358" w:name="_Toc361508637"/>
      <w:bookmarkStart w:id="359" w:name="_Toc247527604"/>
      <w:r>
        <w:rPr>
          <w:rFonts w:ascii="宋体" w:hAnsi="宋体"/>
          <w:color w:val="auto"/>
          <w:sz w:val="28"/>
          <w:highlight w:val="none"/>
        </w:rPr>
        <w:t>的澄清</w:t>
      </w:r>
    </w:p>
    <w:p w14:paraId="2DECDBE2">
      <w:pPr>
        <w:spacing w:line="400" w:lineRule="exact"/>
        <w:ind w:firstLine="3465" w:firstLineChars="1650"/>
        <w:rPr>
          <w:rFonts w:ascii="宋体" w:hAnsi="宋体"/>
          <w:color w:val="auto"/>
          <w:highlight w:val="none"/>
        </w:rPr>
      </w:pPr>
      <w:r>
        <w:rPr>
          <w:rFonts w:ascii="宋体" w:hAnsi="宋体"/>
          <w:color w:val="auto"/>
          <w:highlight w:val="none"/>
        </w:rPr>
        <w:t>（编号</w:t>
      </w:r>
      <w:bookmarkEnd w:id="346"/>
      <w:bookmarkEnd w:id="350"/>
      <w:bookmarkEnd w:id="351"/>
      <w:bookmarkEnd w:id="352"/>
      <w:bookmarkEnd w:id="353"/>
      <w:bookmarkEnd w:id="354"/>
      <w:bookmarkEnd w:id="355"/>
      <w:bookmarkEnd w:id="356"/>
      <w:bookmarkEnd w:id="357"/>
      <w:bookmarkEnd w:id="358"/>
      <w:bookmarkEnd w:id="359"/>
      <w:r>
        <w:rPr>
          <w:rFonts w:ascii="宋体" w:hAnsi="宋体"/>
          <w:color w:val="auto"/>
          <w:highlight w:val="none"/>
        </w:rPr>
        <w:t>：</w:t>
      </w:r>
      <w:r>
        <w:rPr>
          <w:rFonts w:ascii="宋体" w:hAnsi="宋体"/>
          <w:color w:val="auto"/>
          <w:sz w:val="28"/>
          <w:highlight w:val="none"/>
          <w:u w:val="single"/>
        </w:rPr>
        <w:t xml:space="preserve">           </w:t>
      </w:r>
      <w:r>
        <w:rPr>
          <w:rFonts w:ascii="宋体" w:hAnsi="宋体"/>
          <w:color w:val="auto"/>
          <w:highlight w:val="none"/>
        </w:rPr>
        <w:t>）</w:t>
      </w:r>
    </w:p>
    <w:p w14:paraId="4D8B99CF">
      <w:pPr>
        <w:spacing w:line="400" w:lineRule="exact"/>
        <w:rPr>
          <w:rFonts w:ascii="宋体" w:hAnsi="宋体"/>
          <w:color w:val="auto"/>
          <w:highlight w:val="none"/>
        </w:rPr>
      </w:pPr>
    </w:p>
    <w:p w14:paraId="13BE19E1">
      <w:pPr>
        <w:spacing w:line="440" w:lineRule="exact"/>
        <w:rPr>
          <w:rFonts w:ascii="宋体" w:hAnsi="宋体"/>
          <w:color w:val="auto"/>
          <w:highlight w:val="none"/>
        </w:rPr>
      </w:pPr>
      <w:r>
        <w:rPr>
          <w:rFonts w:ascii="宋体" w:hAnsi="宋体"/>
          <w:color w:val="auto"/>
          <w:highlight w:val="none"/>
        </w:rPr>
        <w:t>评标委员会：</w:t>
      </w:r>
    </w:p>
    <w:p w14:paraId="5783813D">
      <w:pPr>
        <w:spacing w:line="440" w:lineRule="exact"/>
        <w:rPr>
          <w:rFonts w:ascii="宋体" w:hAnsi="宋体"/>
          <w:color w:val="auto"/>
          <w:highlight w:val="none"/>
        </w:rPr>
      </w:pPr>
    </w:p>
    <w:p w14:paraId="67601C90">
      <w:pPr>
        <w:spacing w:line="440" w:lineRule="exact"/>
        <w:rPr>
          <w:rFonts w:ascii="宋体" w:hAnsi="宋体"/>
          <w:color w:val="auto"/>
          <w:highlight w:val="none"/>
        </w:rPr>
      </w:pPr>
      <w:r>
        <w:rPr>
          <w:rFonts w:ascii="宋体" w:hAnsi="宋体"/>
          <w:color w:val="auto"/>
          <w:highlight w:val="none"/>
        </w:rPr>
        <w:t>　　问题澄清通知（编号：</w:t>
      </w:r>
      <w:r>
        <w:rPr>
          <w:rFonts w:ascii="宋体" w:hAnsi="宋体"/>
          <w:color w:val="auto"/>
          <w:sz w:val="28"/>
          <w:highlight w:val="none"/>
          <w:u w:val="single"/>
        </w:rPr>
        <w:t xml:space="preserve">      </w:t>
      </w:r>
      <w:r>
        <w:rPr>
          <w:rFonts w:ascii="宋体" w:hAnsi="宋体"/>
          <w:color w:val="auto"/>
          <w:highlight w:val="none"/>
        </w:rPr>
        <w:t>）已收悉，现澄清、说明或补正如下：</w:t>
      </w:r>
    </w:p>
    <w:p w14:paraId="4A10AD16">
      <w:pPr>
        <w:spacing w:line="440" w:lineRule="exact"/>
        <w:rPr>
          <w:rFonts w:ascii="宋体" w:hAnsi="宋体"/>
          <w:color w:val="auto"/>
          <w:highlight w:val="none"/>
        </w:rPr>
      </w:pPr>
      <w:r>
        <w:rPr>
          <w:rFonts w:ascii="宋体" w:hAnsi="宋体"/>
          <w:color w:val="auto"/>
          <w:highlight w:val="none"/>
        </w:rPr>
        <w:t>　     1.</w:t>
      </w:r>
    </w:p>
    <w:p w14:paraId="11CC5D72">
      <w:pPr>
        <w:spacing w:line="440" w:lineRule="exact"/>
        <w:rPr>
          <w:rFonts w:ascii="宋体" w:hAnsi="宋体"/>
          <w:color w:val="auto"/>
          <w:highlight w:val="none"/>
        </w:rPr>
      </w:pPr>
      <w:r>
        <w:rPr>
          <w:rFonts w:ascii="宋体" w:hAnsi="宋体"/>
          <w:color w:val="auto"/>
          <w:highlight w:val="none"/>
        </w:rPr>
        <w:t>　     2.</w:t>
      </w:r>
    </w:p>
    <w:p w14:paraId="5F620452">
      <w:pPr>
        <w:spacing w:line="440" w:lineRule="exact"/>
        <w:rPr>
          <w:rFonts w:ascii="宋体" w:hAnsi="宋体"/>
          <w:color w:val="auto"/>
          <w:highlight w:val="none"/>
        </w:rPr>
      </w:pPr>
      <w:r>
        <w:rPr>
          <w:rFonts w:ascii="宋体" w:hAnsi="宋体"/>
          <w:color w:val="auto"/>
          <w:highlight w:val="none"/>
        </w:rPr>
        <w:t>　    .....</w:t>
      </w:r>
    </w:p>
    <w:p w14:paraId="40754660">
      <w:pPr>
        <w:spacing w:line="440" w:lineRule="exact"/>
        <w:rPr>
          <w:rFonts w:ascii="宋体" w:hAnsi="宋体"/>
          <w:color w:val="auto"/>
          <w:highlight w:val="none"/>
        </w:rPr>
      </w:pPr>
    </w:p>
    <w:p w14:paraId="4054806D">
      <w:pPr>
        <w:spacing w:line="440" w:lineRule="exact"/>
        <w:rPr>
          <w:rFonts w:ascii="宋体" w:hAnsi="宋体"/>
          <w:color w:val="auto"/>
          <w:highlight w:val="none"/>
        </w:rPr>
      </w:pPr>
      <w:r>
        <w:rPr>
          <w:rFonts w:ascii="宋体" w:hAnsi="宋体"/>
          <w:color w:val="auto"/>
          <w:highlight w:val="none"/>
        </w:rPr>
        <w:t>　</w:t>
      </w:r>
    </w:p>
    <w:p w14:paraId="16AAC35A">
      <w:pPr>
        <w:spacing w:line="440" w:lineRule="exact"/>
        <w:rPr>
          <w:rFonts w:ascii="宋体" w:hAnsi="宋体"/>
          <w:color w:val="auto"/>
          <w:highlight w:val="none"/>
        </w:rPr>
      </w:pPr>
    </w:p>
    <w:p w14:paraId="2CA6AC0E">
      <w:pPr>
        <w:spacing w:line="440" w:lineRule="exact"/>
        <w:ind w:firstLine="420" w:firstLineChars="200"/>
        <w:rPr>
          <w:rFonts w:ascii="宋体" w:hAnsi="宋体"/>
          <w:color w:val="auto"/>
          <w:highlight w:val="none"/>
        </w:rPr>
      </w:pPr>
      <w:r>
        <w:rPr>
          <w:rFonts w:ascii="宋体" w:hAnsi="宋体"/>
          <w:color w:val="auto"/>
          <w:highlight w:val="none"/>
        </w:rPr>
        <w:t>上述问题澄清、说明或补正，不改变我方投标文件的实质性内容，构成我方投标文件的组成部分。</w:t>
      </w:r>
    </w:p>
    <w:p w14:paraId="1D87061F">
      <w:pPr>
        <w:spacing w:line="440" w:lineRule="exact"/>
        <w:rPr>
          <w:rFonts w:ascii="宋体" w:hAnsi="宋体"/>
          <w:color w:val="auto"/>
          <w:highlight w:val="none"/>
        </w:rPr>
      </w:pPr>
    </w:p>
    <w:p w14:paraId="155A980F">
      <w:pPr>
        <w:spacing w:line="440" w:lineRule="exact"/>
        <w:rPr>
          <w:rFonts w:ascii="宋体" w:hAnsi="宋体"/>
          <w:color w:val="auto"/>
          <w:highlight w:val="none"/>
        </w:rPr>
      </w:pPr>
    </w:p>
    <w:p w14:paraId="577F7DFF">
      <w:pPr>
        <w:spacing w:line="480" w:lineRule="auto"/>
        <w:rPr>
          <w:rFonts w:ascii="宋体" w:hAnsi="宋体"/>
          <w:color w:val="auto"/>
          <w:highlight w:val="none"/>
        </w:rPr>
      </w:pPr>
      <w:r>
        <w:rPr>
          <w:rFonts w:ascii="宋体" w:hAnsi="宋体"/>
          <w:color w:val="auto"/>
          <w:highlight w:val="none"/>
        </w:rPr>
        <w:t>　　　　　　　　　　　　　　投标人：</w:t>
      </w:r>
      <w:r>
        <w:rPr>
          <w:rFonts w:ascii="宋体" w:hAnsi="宋体"/>
          <w:color w:val="auto"/>
          <w:sz w:val="28"/>
          <w:highlight w:val="none"/>
          <w:u w:val="single"/>
        </w:rPr>
        <w:t xml:space="preserve">                         </w:t>
      </w:r>
      <w:r>
        <w:rPr>
          <w:rFonts w:ascii="宋体" w:hAnsi="宋体"/>
          <w:color w:val="auto"/>
          <w:highlight w:val="none"/>
        </w:rPr>
        <w:t>（盖单位章）</w:t>
      </w:r>
    </w:p>
    <w:p w14:paraId="24DD1484">
      <w:pPr>
        <w:spacing w:line="480" w:lineRule="auto"/>
        <w:ind w:firstLine="2835" w:firstLineChars="1350"/>
        <w:rPr>
          <w:rFonts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法定代表人或其委托代理人：</w:t>
      </w:r>
      <w:r>
        <w:rPr>
          <w:rFonts w:ascii="宋体" w:hAnsi="宋体"/>
          <w:color w:val="auto"/>
          <w:highlight w:val="none"/>
          <w:u w:val="single"/>
        </w:rPr>
        <w:t xml:space="preserve">        </w:t>
      </w:r>
      <w:r>
        <w:rPr>
          <w:rFonts w:ascii="宋体" w:hAnsi="宋体"/>
          <w:color w:val="auto"/>
          <w:highlight w:val="none"/>
        </w:rPr>
        <w:t>（签字）</w:t>
      </w:r>
    </w:p>
    <w:p w14:paraId="621446B2">
      <w:pPr>
        <w:spacing w:line="440" w:lineRule="exact"/>
        <w:rPr>
          <w:rFonts w:ascii="宋体" w:hAnsi="宋体"/>
          <w:color w:val="auto"/>
          <w:highlight w:val="none"/>
        </w:rPr>
      </w:pPr>
      <w:r>
        <w:rPr>
          <w:rFonts w:ascii="宋体" w:hAnsi="宋体"/>
          <w:color w:val="auto"/>
          <w:highlight w:val="none"/>
        </w:rPr>
        <w:t>　　　　　　　　　　　　　　　</w:t>
      </w:r>
    </w:p>
    <w:p w14:paraId="412271A5">
      <w:pPr>
        <w:spacing w:line="440" w:lineRule="exact"/>
        <w:jc w:val="right"/>
        <w:rPr>
          <w:rFonts w:ascii="宋体" w:hAnsi="宋体"/>
          <w:color w:val="auto"/>
          <w:highlight w:val="none"/>
        </w:rPr>
      </w:pPr>
      <w:r>
        <w:rPr>
          <w:rFonts w:ascii="宋体" w:hAnsi="宋体"/>
          <w:color w:val="auto"/>
          <w:highlight w:val="none"/>
        </w:rPr>
        <w:t>　　　　　　　　　　　　　　　</w:t>
      </w:r>
      <w:r>
        <w:rPr>
          <w:rFonts w:ascii="宋体" w:hAnsi="宋体"/>
          <w:color w:val="auto"/>
          <w:highlight w:val="none"/>
          <w:u w:val="single"/>
        </w:rPr>
        <w:t xml:space="preserve">        </w:t>
      </w:r>
      <w:r>
        <w:rPr>
          <w:rFonts w:ascii="宋体" w:hAnsi="宋体"/>
          <w:color w:val="auto"/>
          <w:highlight w:val="none"/>
        </w:rPr>
        <w:t>年</w:t>
      </w:r>
      <w:bookmarkStart w:id="360" w:name="_Toc352691527"/>
      <w:bookmarkStart w:id="361" w:name="_Toc369531571"/>
      <w:bookmarkStart w:id="362" w:name="_Toc152045581"/>
      <w:bookmarkStart w:id="363" w:name="_Toc247514005"/>
      <w:bookmarkStart w:id="364" w:name="_Toc361508640"/>
      <w:bookmarkStart w:id="365" w:name="_Toc384308266"/>
      <w:bookmarkStart w:id="366" w:name="_Toc144974548"/>
      <w:bookmarkStart w:id="367" w:name="_Toc152042358"/>
      <w:bookmarkStart w:id="368" w:name="_Toc247527606"/>
      <w:bookmarkStart w:id="369" w:name="_Toc15139"/>
      <w:bookmarkStart w:id="370" w:name="_Toc300835002"/>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bookmarkEnd w:id="360"/>
    <w:bookmarkEnd w:id="361"/>
    <w:bookmarkEnd w:id="362"/>
    <w:bookmarkEnd w:id="363"/>
    <w:bookmarkEnd w:id="364"/>
    <w:bookmarkEnd w:id="365"/>
    <w:bookmarkEnd w:id="366"/>
    <w:bookmarkEnd w:id="367"/>
    <w:bookmarkEnd w:id="368"/>
    <w:bookmarkEnd w:id="369"/>
    <w:bookmarkEnd w:id="370"/>
    <w:p w14:paraId="735ADB64">
      <w:pPr>
        <w:spacing w:line="400" w:lineRule="exact"/>
        <w:rPr>
          <w:rFonts w:ascii="宋体" w:hAnsi="宋体"/>
          <w:color w:val="auto"/>
          <w:highlight w:val="none"/>
        </w:rPr>
      </w:pPr>
    </w:p>
    <w:p w14:paraId="07B93830">
      <w:pPr>
        <w:pStyle w:val="4"/>
        <w:keepNext w:val="0"/>
        <w:keepLines w:val="0"/>
        <w:ind w:firstLine="137"/>
        <w:rPr>
          <w:rFonts w:ascii="宋体" w:hAnsi="宋体" w:eastAsia="宋体"/>
          <w:color w:val="auto"/>
          <w:highlight w:val="none"/>
        </w:rPr>
      </w:pPr>
      <w:r>
        <w:rPr>
          <w:rFonts w:ascii="宋体" w:hAnsi="宋体" w:eastAsia="宋体"/>
          <w:color w:val="auto"/>
          <w:highlight w:val="none"/>
        </w:rPr>
        <w:br w:type="page"/>
      </w:r>
      <w:bookmarkStart w:id="371" w:name="_Toc128512512"/>
      <w:bookmarkStart w:id="372" w:name="_Toc527028506"/>
      <w:r>
        <w:rPr>
          <w:rFonts w:ascii="宋体" w:hAnsi="宋体" w:eastAsia="宋体"/>
          <w:color w:val="auto"/>
          <w:highlight w:val="none"/>
        </w:rPr>
        <w:t>附件</w:t>
      </w:r>
      <w:r>
        <w:rPr>
          <w:rFonts w:hint="eastAsia" w:ascii="宋体" w:hAnsi="宋体" w:eastAsia="宋体"/>
          <w:color w:val="auto"/>
          <w:highlight w:val="none"/>
        </w:rPr>
        <w:t>四</w:t>
      </w:r>
      <w:r>
        <w:rPr>
          <w:rFonts w:ascii="宋体" w:hAnsi="宋体" w:eastAsia="宋体"/>
          <w:color w:val="auto"/>
          <w:highlight w:val="none"/>
        </w:rPr>
        <w:t>：确认通知</w:t>
      </w:r>
      <w:bookmarkEnd w:id="371"/>
      <w:bookmarkEnd w:id="372"/>
    </w:p>
    <w:p w14:paraId="1C547BDF">
      <w:pPr>
        <w:spacing w:line="400" w:lineRule="exact"/>
        <w:rPr>
          <w:rFonts w:ascii="宋体" w:hAnsi="宋体"/>
          <w:color w:val="auto"/>
          <w:highlight w:val="none"/>
        </w:rPr>
      </w:pPr>
    </w:p>
    <w:p w14:paraId="2DB91984">
      <w:pPr>
        <w:spacing w:line="400" w:lineRule="exact"/>
        <w:jc w:val="center"/>
        <w:rPr>
          <w:rFonts w:ascii="宋体" w:hAnsi="宋体"/>
          <w:color w:val="auto"/>
          <w:sz w:val="28"/>
          <w:highlight w:val="none"/>
        </w:rPr>
      </w:pPr>
      <w:r>
        <w:rPr>
          <w:rFonts w:ascii="宋体" w:hAnsi="宋体"/>
          <w:color w:val="auto"/>
          <w:sz w:val="28"/>
          <w:highlight w:val="none"/>
        </w:rPr>
        <w:t>确认通知</w:t>
      </w:r>
    </w:p>
    <w:p w14:paraId="7A8F33A5">
      <w:pPr>
        <w:spacing w:line="400" w:lineRule="exact"/>
        <w:rPr>
          <w:rFonts w:ascii="宋体" w:hAnsi="宋体"/>
          <w:color w:val="auto"/>
          <w:highlight w:val="none"/>
        </w:rPr>
      </w:pPr>
    </w:p>
    <w:p w14:paraId="4BD7441F">
      <w:pPr>
        <w:spacing w:line="440" w:lineRule="exac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（招标人名称）：</w:t>
      </w:r>
    </w:p>
    <w:p w14:paraId="0E1F60DA">
      <w:pPr>
        <w:spacing w:line="440" w:lineRule="exact"/>
        <w:rPr>
          <w:rFonts w:ascii="宋体" w:hAnsi="宋体"/>
          <w:color w:val="auto"/>
          <w:highlight w:val="none"/>
        </w:rPr>
      </w:pPr>
      <w:r>
        <w:rPr>
          <w:rFonts w:ascii="宋体" w:hAnsi="宋体"/>
          <w:color w:val="auto"/>
          <w:highlight w:val="none"/>
        </w:rPr>
        <w:t>　　</w:t>
      </w:r>
    </w:p>
    <w:p w14:paraId="600AE3E6">
      <w:pPr>
        <w:spacing w:line="440" w:lineRule="exact"/>
        <w:ind w:firstLine="420" w:firstLineChars="200"/>
        <w:rPr>
          <w:rFonts w:ascii="宋体" w:hAnsi="宋体"/>
          <w:color w:val="auto"/>
          <w:highlight w:val="none"/>
        </w:rPr>
      </w:pPr>
      <w:r>
        <w:rPr>
          <w:rFonts w:ascii="宋体" w:hAnsi="宋体"/>
          <w:color w:val="auto"/>
          <w:highlight w:val="none"/>
        </w:rPr>
        <w:t>你方于</w:t>
      </w: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日发出的</w:t>
      </w:r>
      <w:r>
        <w:rPr>
          <w:rFonts w:ascii="宋体" w:hAnsi="宋体"/>
          <w:color w:val="auto"/>
          <w:highlight w:val="none"/>
          <w:u w:val="single"/>
        </w:rPr>
        <w:t xml:space="preserve">         </w:t>
      </w:r>
      <w:r>
        <w:rPr>
          <w:rFonts w:hint="eastAsia" w:ascii="宋体" w:hAnsi="宋体"/>
          <w:color w:val="auto"/>
          <w:highlight w:val="none"/>
        </w:rPr>
        <w:t>（项目名称）</w:t>
      </w:r>
      <w:r>
        <w:rPr>
          <w:rFonts w:ascii="宋体" w:hAnsi="宋体"/>
          <w:color w:val="auto"/>
          <w:highlight w:val="none"/>
        </w:rPr>
        <w:t>招标关于</w:t>
      </w:r>
      <w:r>
        <w:rPr>
          <w:rFonts w:ascii="宋体" w:hAnsi="宋体"/>
          <w:color w:val="auto"/>
          <w:highlight w:val="none"/>
          <w:u w:val="single"/>
        </w:rPr>
        <w:t>招标文件的澄清/修改</w:t>
      </w:r>
      <w:r>
        <w:rPr>
          <w:rFonts w:ascii="宋体" w:hAnsi="宋体"/>
          <w:color w:val="auto"/>
          <w:highlight w:val="none"/>
        </w:rPr>
        <w:t>的通知，我方已于</w:t>
      </w: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日收到。</w:t>
      </w:r>
    </w:p>
    <w:p w14:paraId="74C96452">
      <w:pPr>
        <w:spacing w:line="440" w:lineRule="exact"/>
        <w:rPr>
          <w:rFonts w:ascii="宋体" w:hAnsi="宋体"/>
          <w:color w:val="auto"/>
          <w:highlight w:val="none"/>
        </w:rPr>
      </w:pPr>
      <w:r>
        <w:rPr>
          <w:rFonts w:ascii="宋体" w:hAnsi="宋体"/>
          <w:color w:val="auto"/>
          <w:highlight w:val="none"/>
        </w:rPr>
        <w:t>　　特此确认。</w:t>
      </w:r>
    </w:p>
    <w:p w14:paraId="26BF63E5">
      <w:pPr>
        <w:spacing w:line="440" w:lineRule="exact"/>
        <w:rPr>
          <w:rFonts w:ascii="宋体" w:hAnsi="宋体"/>
          <w:color w:val="auto"/>
          <w:highlight w:val="none"/>
        </w:rPr>
      </w:pPr>
    </w:p>
    <w:p w14:paraId="3A316ABE">
      <w:pPr>
        <w:spacing w:line="440" w:lineRule="exact"/>
        <w:rPr>
          <w:rFonts w:ascii="宋体" w:hAnsi="宋体"/>
          <w:color w:val="auto"/>
          <w:highlight w:val="none"/>
        </w:rPr>
      </w:pPr>
    </w:p>
    <w:p w14:paraId="3ED4A15E">
      <w:pPr>
        <w:spacing w:line="480" w:lineRule="auto"/>
        <w:ind w:firstLine="2415" w:firstLineChars="1150"/>
        <w:jc w:val="left"/>
        <w:rPr>
          <w:rFonts w:ascii="宋体" w:hAnsi="宋体"/>
          <w:color w:val="auto"/>
          <w:highlight w:val="none"/>
        </w:rPr>
      </w:pPr>
      <w:r>
        <w:rPr>
          <w:rFonts w:ascii="宋体" w:hAnsi="宋体"/>
          <w:color w:val="auto"/>
          <w:highlight w:val="none"/>
        </w:rPr>
        <w:t>投标人：</w:t>
      </w:r>
      <w:r>
        <w:rPr>
          <w:rFonts w:ascii="宋体" w:hAnsi="宋体"/>
          <w:color w:val="auto"/>
          <w:sz w:val="28"/>
          <w:highlight w:val="none"/>
          <w:u w:val="single"/>
        </w:rPr>
        <w:t xml:space="preserve">                           </w:t>
      </w:r>
      <w:r>
        <w:rPr>
          <w:rFonts w:ascii="宋体" w:hAnsi="宋体"/>
          <w:color w:val="auto"/>
          <w:highlight w:val="none"/>
        </w:rPr>
        <w:t>（盖单位章）</w:t>
      </w:r>
    </w:p>
    <w:p w14:paraId="0DB40B0A">
      <w:pPr>
        <w:spacing w:line="480" w:lineRule="auto"/>
        <w:ind w:firstLine="2415" w:firstLineChars="1150"/>
        <w:jc w:val="left"/>
        <w:rPr>
          <w:rFonts w:ascii="宋体" w:hAnsi="宋体"/>
          <w:color w:val="auto"/>
          <w:highlight w:val="none"/>
        </w:rPr>
      </w:pPr>
      <w:r>
        <w:rPr>
          <w:rFonts w:ascii="宋体" w:hAnsi="宋体"/>
          <w:color w:val="auto"/>
          <w:highlight w:val="none"/>
        </w:rPr>
        <w:t>法定代表人或委托代理人：</w:t>
      </w:r>
      <w:r>
        <w:rPr>
          <w:rFonts w:ascii="宋体" w:hAnsi="宋体"/>
          <w:color w:val="auto"/>
          <w:sz w:val="28"/>
          <w:highlight w:val="none"/>
          <w:u w:val="single"/>
        </w:rPr>
        <w:t xml:space="preserve">      </w:t>
      </w:r>
      <w:r>
        <w:rPr>
          <w:rFonts w:ascii="宋体" w:hAnsi="宋体"/>
          <w:color w:val="auto"/>
          <w:highlight w:val="none"/>
        </w:rPr>
        <w:t>（签字）</w:t>
      </w:r>
    </w:p>
    <w:p w14:paraId="4C44968B">
      <w:pPr>
        <w:spacing w:line="440" w:lineRule="exact"/>
        <w:rPr>
          <w:rFonts w:ascii="宋体" w:hAnsi="宋体"/>
          <w:color w:val="auto"/>
          <w:highlight w:val="none"/>
        </w:rPr>
      </w:pPr>
    </w:p>
    <w:p w14:paraId="41B95B24">
      <w:pPr>
        <w:spacing w:line="440" w:lineRule="exact"/>
        <w:ind w:firstLine="105" w:firstLineChars="50"/>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2BA94809">
      <w:pPr>
        <w:rPr>
          <w:rFonts w:ascii="宋体" w:hAnsi="宋体"/>
          <w:color w:val="auto"/>
          <w:highlight w:val="none"/>
        </w:rPr>
      </w:pPr>
    </w:p>
    <w:p w14:paraId="0575A578">
      <w:pPr>
        <w:rPr>
          <w:rFonts w:ascii="宋体" w:hAnsi="宋体"/>
          <w:color w:val="auto"/>
          <w:highlight w:val="none"/>
        </w:rPr>
      </w:pPr>
    </w:p>
    <w:p w14:paraId="6D0791B3">
      <w:pPr>
        <w:rPr>
          <w:rFonts w:ascii="宋体" w:hAnsi="宋体"/>
          <w:color w:val="auto"/>
          <w:highlight w:val="none"/>
        </w:rPr>
      </w:pPr>
    </w:p>
    <w:p w14:paraId="3524D8B0">
      <w:pPr>
        <w:pStyle w:val="2"/>
        <w:keepNext w:val="0"/>
        <w:keepLines w:val="0"/>
        <w:tabs>
          <w:tab w:val="left" w:pos="312"/>
          <w:tab w:val="center" w:pos="4507"/>
        </w:tabs>
        <w:spacing w:line="460" w:lineRule="exact"/>
        <w:jc w:val="center"/>
        <w:rPr>
          <w:rFonts w:ascii="宋体" w:hAnsi="宋体"/>
          <w:color w:val="auto"/>
          <w:highlight w:val="none"/>
        </w:rPr>
      </w:pPr>
      <w:r>
        <w:rPr>
          <w:rFonts w:ascii="宋体" w:hAnsi="宋体"/>
          <w:color w:val="auto"/>
          <w:highlight w:val="none"/>
        </w:rPr>
        <w:br w:type="page"/>
      </w:r>
      <w:bookmarkStart w:id="373" w:name="_Toc128512513"/>
      <w:r>
        <w:rPr>
          <w:rFonts w:ascii="宋体" w:hAnsi="宋体"/>
          <w:color w:val="auto"/>
          <w:highlight w:val="none"/>
        </w:rPr>
        <w:t>第三章</w:t>
      </w:r>
      <w:r>
        <w:rPr>
          <w:rFonts w:hint="eastAsia" w:ascii="宋体" w:hAnsi="宋体"/>
          <w:color w:val="auto"/>
          <w:highlight w:val="none"/>
        </w:rPr>
        <w:t>评标办法（“评定分离”定标办法）</w:t>
      </w:r>
      <w:bookmarkEnd w:id="373"/>
    </w:p>
    <w:p w14:paraId="6E4B0351">
      <w:pPr>
        <w:pStyle w:val="3"/>
        <w:jc w:val="center"/>
        <w:rPr>
          <w:rFonts w:ascii="宋体" w:hAnsi="宋体" w:eastAsia="宋体"/>
          <w:color w:val="auto"/>
          <w:highlight w:val="none"/>
        </w:rPr>
      </w:pPr>
      <w:bookmarkStart w:id="374" w:name="_Toc128512514"/>
      <w:bookmarkStart w:id="375" w:name="_Toc1114"/>
      <w:r>
        <w:rPr>
          <w:rFonts w:hint="eastAsia" w:ascii="宋体" w:hAnsi="宋体" w:eastAsia="宋体"/>
          <w:color w:val="auto"/>
          <w:highlight w:val="none"/>
        </w:rPr>
        <w:t>评标办法前附表</w:t>
      </w:r>
      <w:bookmarkEnd w:id="374"/>
      <w:bookmarkEnd w:id="375"/>
    </w:p>
    <w:tbl>
      <w:tblPr>
        <w:tblStyle w:val="37"/>
        <w:tblW w:w="499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981"/>
        <w:gridCol w:w="1355"/>
        <w:gridCol w:w="532"/>
        <w:gridCol w:w="5998"/>
      </w:tblGrid>
      <w:tr w14:paraId="4103B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6" w:type="pct"/>
            <w:gridSpan w:val="2"/>
            <w:tcBorders>
              <w:top w:val="single" w:color="auto" w:sz="4" w:space="0"/>
              <w:bottom w:val="single" w:color="auto" w:sz="4" w:space="0"/>
              <w:right w:val="single" w:color="auto" w:sz="4" w:space="0"/>
            </w:tcBorders>
            <w:vAlign w:val="center"/>
          </w:tcPr>
          <w:p w14:paraId="66435FB2">
            <w:pPr>
              <w:keepNext w:val="0"/>
              <w:keepLines w:val="0"/>
              <w:suppressLineNumbers w:val="0"/>
              <w:spacing w:before="0" w:beforeAutospacing="0" w:after="0" w:afterAutospacing="0" w:line="440" w:lineRule="exact"/>
              <w:ind w:left="0" w:right="0"/>
              <w:jc w:val="center"/>
              <w:rPr>
                <w:rFonts w:hint="default" w:ascii="宋体" w:hAnsi="宋体"/>
                <w:b/>
                <w:color w:val="auto"/>
                <w:highlight w:val="none"/>
              </w:rPr>
            </w:pPr>
            <w:r>
              <w:rPr>
                <w:rFonts w:hint="eastAsia" w:ascii="宋体" w:hAnsi="宋体"/>
                <w:b/>
                <w:color w:val="auto"/>
                <w:highlight w:val="none"/>
              </w:rPr>
              <w:t>条款号</w:t>
            </w:r>
          </w:p>
        </w:tc>
        <w:tc>
          <w:tcPr>
            <w:tcW w:w="982" w:type="pct"/>
            <w:gridSpan w:val="2"/>
            <w:tcBorders>
              <w:top w:val="single" w:color="auto" w:sz="4" w:space="0"/>
              <w:left w:val="single" w:color="auto" w:sz="4" w:space="0"/>
              <w:bottom w:val="single" w:color="auto" w:sz="4" w:space="0"/>
              <w:right w:val="single" w:color="auto" w:sz="4" w:space="0"/>
            </w:tcBorders>
            <w:vAlign w:val="center"/>
          </w:tcPr>
          <w:p w14:paraId="3D867837">
            <w:pPr>
              <w:keepNext w:val="0"/>
              <w:keepLines w:val="0"/>
              <w:suppressLineNumbers w:val="0"/>
              <w:spacing w:before="0" w:beforeAutospacing="0" w:after="0" w:afterAutospacing="0" w:line="440" w:lineRule="exact"/>
              <w:ind w:left="0" w:right="0"/>
              <w:jc w:val="center"/>
              <w:rPr>
                <w:rFonts w:hint="default" w:ascii="宋体" w:hAnsi="宋体"/>
                <w:b/>
                <w:color w:val="auto"/>
                <w:highlight w:val="none"/>
              </w:rPr>
            </w:pPr>
            <w:r>
              <w:rPr>
                <w:rFonts w:hint="eastAsia" w:ascii="宋体" w:hAnsi="宋体"/>
                <w:b/>
                <w:color w:val="auto"/>
                <w:highlight w:val="none"/>
              </w:rPr>
              <w:t>评审因素</w:t>
            </w:r>
          </w:p>
        </w:tc>
        <w:tc>
          <w:tcPr>
            <w:tcW w:w="3121" w:type="pct"/>
            <w:tcBorders>
              <w:top w:val="single" w:color="auto" w:sz="4" w:space="0"/>
              <w:left w:val="single" w:color="auto" w:sz="4" w:space="0"/>
              <w:bottom w:val="single" w:color="auto" w:sz="4" w:space="0"/>
              <w:right w:val="single" w:color="auto" w:sz="4" w:space="0"/>
            </w:tcBorders>
            <w:vAlign w:val="center"/>
          </w:tcPr>
          <w:p w14:paraId="738F6666">
            <w:pPr>
              <w:keepNext w:val="0"/>
              <w:keepLines w:val="0"/>
              <w:suppressLineNumbers w:val="0"/>
              <w:spacing w:before="0" w:beforeAutospacing="0" w:after="0" w:afterAutospacing="0" w:line="440" w:lineRule="exact"/>
              <w:ind w:left="0" w:right="0"/>
              <w:jc w:val="center"/>
              <w:rPr>
                <w:rFonts w:hint="default" w:ascii="宋体" w:hAnsi="宋体"/>
                <w:b/>
                <w:color w:val="auto"/>
                <w:highlight w:val="none"/>
              </w:rPr>
            </w:pPr>
            <w:r>
              <w:rPr>
                <w:rFonts w:hint="eastAsia" w:ascii="宋体" w:hAnsi="宋体"/>
                <w:b/>
                <w:color w:val="auto"/>
                <w:highlight w:val="none"/>
              </w:rPr>
              <w:t>评审标准</w:t>
            </w:r>
          </w:p>
        </w:tc>
      </w:tr>
      <w:tr w14:paraId="5CDA0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7C935AE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1</w:t>
            </w:r>
          </w:p>
        </w:tc>
        <w:tc>
          <w:tcPr>
            <w:tcW w:w="510" w:type="pct"/>
            <w:tcBorders>
              <w:top w:val="single" w:color="auto" w:sz="4" w:space="0"/>
              <w:left w:val="single" w:color="auto" w:sz="4" w:space="0"/>
              <w:bottom w:val="single" w:color="auto" w:sz="4" w:space="0"/>
              <w:right w:val="single" w:color="auto" w:sz="4" w:space="0"/>
            </w:tcBorders>
            <w:vAlign w:val="center"/>
          </w:tcPr>
          <w:p w14:paraId="1F45E2C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评标方法和定标方法</w:t>
            </w:r>
          </w:p>
        </w:tc>
        <w:tc>
          <w:tcPr>
            <w:tcW w:w="982" w:type="pct"/>
            <w:gridSpan w:val="2"/>
            <w:tcBorders>
              <w:top w:val="single" w:color="auto" w:sz="4" w:space="0"/>
              <w:left w:val="single" w:color="auto" w:sz="4" w:space="0"/>
              <w:bottom w:val="single" w:color="auto" w:sz="4" w:space="0"/>
              <w:right w:val="single" w:color="auto" w:sz="4" w:space="0"/>
            </w:tcBorders>
            <w:vAlign w:val="center"/>
          </w:tcPr>
          <w:p w14:paraId="232772C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中标候选人排序方法及定标方式</w:t>
            </w:r>
          </w:p>
        </w:tc>
        <w:tc>
          <w:tcPr>
            <w:tcW w:w="3121" w:type="pct"/>
            <w:tcBorders>
              <w:top w:val="single" w:color="auto" w:sz="4" w:space="0"/>
              <w:left w:val="single" w:color="auto" w:sz="4" w:space="0"/>
              <w:bottom w:val="single" w:color="auto" w:sz="4" w:space="0"/>
              <w:right w:val="single" w:color="auto" w:sz="4" w:space="0"/>
            </w:tcBorders>
          </w:tcPr>
          <w:p w14:paraId="7643DF87">
            <w:pPr>
              <w:keepNext w:val="0"/>
              <w:keepLines w:val="0"/>
              <w:suppressLineNumbers w:val="0"/>
              <w:spacing w:before="0" w:beforeAutospacing="0" w:after="0" w:afterAutospacing="0" w:line="440" w:lineRule="exact"/>
              <w:ind w:left="0" w:right="0"/>
              <w:rPr>
                <w:rFonts w:hint="default" w:ascii="宋体" w:hAnsi="宋体"/>
                <w:color w:val="auto"/>
                <w:szCs w:val="24"/>
                <w:highlight w:val="none"/>
              </w:rPr>
            </w:pPr>
            <w:r>
              <w:rPr>
                <w:rFonts w:hint="eastAsia" w:ascii="宋体" w:hAnsi="宋体"/>
                <w:color w:val="auto"/>
                <w:szCs w:val="24"/>
                <w:highlight w:val="none"/>
              </w:rPr>
              <w:t>（1）本项目采用“评定分离”，评标办法为定性评审法。评标委员会对投标文件进行初步评审（形式评审、资格审查、响应性评审）。若通过初步评审的合格投标人大于等于3名的，则通过评审的全部合格投标人推荐为合格的中标候选人，合格中标候选人不排序。</w:t>
            </w:r>
          </w:p>
          <w:p w14:paraId="6DE56A96">
            <w:pPr>
              <w:keepNext w:val="0"/>
              <w:keepLines w:val="0"/>
              <w:suppressLineNumbers w:val="0"/>
              <w:spacing w:before="0" w:beforeAutospacing="0" w:after="0" w:afterAutospacing="0" w:line="440" w:lineRule="exact"/>
              <w:ind w:left="0" w:right="0"/>
              <w:rPr>
                <w:rFonts w:hint="default" w:ascii="宋体" w:hAnsi="宋体"/>
                <w:color w:val="auto"/>
                <w:szCs w:val="24"/>
                <w:highlight w:val="none"/>
              </w:rPr>
            </w:pPr>
            <w:r>
              <w:rPr>
                <w:rFonts w:hint="eastAsia" w:ascii="宋体" w:hAnsi="宋体"/>
                <w:color w:val="auto"/>
                <w:szCs w:val="24"/>
                <w:highlight w:val="none"/>
              </w:rPr>
              <w:t>（2）定标委员会根据定标评审因素及定标辅助资料，对进入定标阶段的全部合格中标候选人的</w:t>
            </w:r>
            <w:r>
              <w:rPr>
                <w:rFonts w:hint="eastAsia" w:ascii="宋体" w:hAnsi="宋体"/>
                <w:color w:val="auto"/>
                <w:szCs w:val="24"/>
                <w:highlight w:val="none"/>
                <w:lang w:val="en-US" w:eastAsia="zh-CN"/>
              </w:rPr>
              <w:t>商务因素、</w:t>
            </w:r>
            <w:r>
              <w:rPr>
                <w:rFonts w:hint="eastAsia" w:ascii="宋体" w:hAnsi="宋体"/>
                <w:color w:val="auto"/>
                <w:szCs w:val="24"/>
                <w:highlight w:val="none"/>
              </w:rPr>
              <w:t>方案因素、答辩因素</w:t>
            </w:r>
            <w:r>
              <w:rPr>
                <w:rFonts w:hint="eastAsia" w:ascii="宋体" w:hAnsi="宋体"/>
                <w:color w:val="auto"/>
                <w:szCs w:val="24"/>
                <w:highlight w:val="none"/>
                <w:lang w:eastAsia="zh-CN"/>
              </w:rPr>
              <w:t>、</w:t>
            </w:r>
            <w:r>
              <w:rPr>
                <w:rFonts w:hint="eastAsia" w:ascii="宋体" w:hAnsi="宋体"/>
                <w:color w:val="auto"/>
                <w:szCs w:val="24"/>
                <w:highlight w:val="none"/>
              </w:rPr>
              <w:t>价格因素</w:t>
            </w:r>
            <w:r>
              <w:rPr>
                <w:rFonts w:hint="eastAsia" w:ascii="宋体" w:hAnsi="宋体"/>
                <w:color w:val="auto"/>
                <w:szCs w:val="24"/>
                <w:highlight w:val="none"/>
                <w:lang w:val="en-US" w:eastAsia="zh-CN"/>
              </w:rPr>
              <w:t>以及信用等级评价</w:t>
            </w:r>
            <w:r>
              <w:rPr>
                <w:rFonts w:hint="eastAsia" w:ascii="宋体" w:hAnsi="宋体"/>
                <w:color w:val="auto"/>
                <w:szCs w:val="24"/>
                <w:highlight w:val="none"/>
              </w:rPr>
              <w:t>进行评分。定标辅助资料为评标报告、投标人提交的投标文件与定标文件。将合格的中标候选人的总得分由高至低进行排序，定标委员会推荐排名第一的合格的中标候选人为中标人。</w:t>
            </w:r>
          </w:p>
          <w:p w14:paraId="7E290BE9">
            <w:pPr>
              <w:keepNext w:val="0"/>
              <w:keepLines w:val="0"/>
              <w:suppressLineNumbers w:val="0"/>
              <w:spacing w:before="0" w:beforeAutospacing="0" w:after="0" w:afterAutospacing="0" w:line="440" w:lineRule="exact"/>
              <w:ind w:left="0" w:right="0"/>
              <w:jc w:val="left"/>
              <w:rPr>
                <w:rFonts w:hint="default" w:ascii="宋体" w:hAnsi="宋体"/>
                <w:color w:val="auto"/>
                <w:highlight w:val="none"/>
              </w:rPr>
            </w:pPr>
            <w:r>
              <w:rPr>
                <w:rFonts w:hint="eastAsia" w:ascii="宋体" w:hAnsi="宋体"/>
                <w:color w:val="auto"/>
                <w:szCs w:val="21"/>
                <w:highlight w:val="none"/>
              </w:rPr>
              <w:t>（</w:t>
            </w:r>
            <w:r>
              <w:rPr>
                <w:rFonts w:hint="default"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kern w:val="0"/>
                <w:szCs w:val="21"/>
                <w:highlight w:val="none"/>
              </w:rPr>
              <w:t>满足资格审查合格条件或通过初步评审的投标人或合格的中标候选人不足</w:t>
            </w:r>
            <w:r>
              <w:rPr>
                <w:rFonts w:hint="default" w:ascii="宋体" w:hAnsi="宋体"/>
                <w:color w:val="auto"/>
                <w:kern w:val="0"/>
                <w:szCs w:val="21"/>
                <w:highlight w:val="none"/>
                <w:u w:val="single"/>
              </w:rPr>
              <w:t xml:space="preserve"> 3 </w:t>
            </w:r>
            <w:r>
              <w:rPr>
                <w:rFonts w:hint="eastAsia" w:ascii="宋体" w:hAnsi="宋体"/>
                <w:color w:val="auto"/>
                <w:kern w:val="0"/>
                <w:szCs w:val="21"/>
                <w:highlight w:val="none"/>
              </w:rPr>
              <w:t>名时为招标失败。招标人分析招标失败原因，修正招标方案，重新组织招标。</w:t>
            </w:r>
          </w:p>
        </w:tc>
      </w:tr>
      <w:tr w14:paraId="17F95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9" w:hRule="atLeast"/>
          <w:jc w:val="center"/>
        </w:trPr>
        <w:tc>
          <w:tcPr>
            <w:tcW w:w="385" w:type="pct"/>
            <w:vMerge w:val="restart"/>
            <w:tcBorders>
              <w:top w:val="single" w:color="auto" w:sz="4" w:space="0"/>
              <w:right w:val="single" w:color="auto" w:sz="4" w:space="0"/>
            </w:tcBorders>
            <w:vAlign w:val="center"/>
          </w:tcPr>
          <w:p w14:paraId="417FC52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2.1.1</w:t>
            </w:r>
          </w:p>
        </w:tc>
        <w:tc>
          <w:tcPr>
            <w:tcW w:w="510" w:type="pct"/>
            <w:vMerge w:val="restart"/>
            <w:tcBorders>
              <w:top w:val="single" w:color="auto" w:sz="4" w:space="0"/>
              <w:right w:val="single" w:color="auto" w:sz="4" w:space="0"/>
            </w:tcBorders>
            <w:vAlign w:val="center"/>
          </w:tcPr>
          <w:p w14:paraId="2DA4A52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形式评审标准</w:t>
            </w:r>
          </w:p>
        </w:tc>
        <w:tc>
          <w:tcPr>
            <w:tcW w:w="982" w:type="pct"/>
            <w:gridSpan w:val="2"/>
            <w:tcBorders>
              <w:top w:val="single" w:color="auto" w:sz="4" w:space="0"/>
              <w:left w:val="single" w:color="auto" w:sz="4" w:space="0"/>
              <w:bottom w:val="single" w:color="auto" w:sz="4" w:space="0"/>
              <w:right w:val="single" w:color="auto" w:sz="4" w:space="0"/>
            </w:tcBorders>
            <w:vAlign w:val="center"/>
          </w:tcPr>
          <w:p w14:paraId="15E5811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投标人名称</w:t>
            </w:r>
          </w:p>
        </w:tc>
        <w:tc>
          <w:tcPr>
            <w:tcW w:w="3121" w:type="pct"/>
            <w:tcBorders>
              <w:top w:val="single" w:color="auto" w:sz="4" w:space="0"/>
              <w:left w:val="single" w:color="auto" w:sz="4" w:space="0"/>
              <w:bottom w:val="single" w:color="auto" w:sz="4" w:space="0"/>
              <w:right w:val="single" w:color="auto" w:sz="4" w:space="0"/>
            </w:tcBorders>
            <w:vAlign w:val="center"/>
          </w:tcPr>
          <w:p w14:paraId="65CEA788">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eastAsia" w:ascii="宋体" w:hAnsi="宋体"/>
                <w:color w:val="auto"/>
                <w:highlight w:val="none"/>
              </w:rPr>
              <w:t>与营业执照一致</w:t>
            </w:r>
          </w:p>
        </w:tc>
      </w:tr>
      <w:tr w14:paraId="0A561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5" w:type="pct"/>
            <w:vMerge w:val="continue"/>
            <w:tcBorders>
              <w:right w:val="single" w:color="auto" w:sz="4" w:space="0"/>
            </w:tcBorders>
            <w:vAlign w:val="center"/>
          </w:tcPr>
          <w:p w14:paraId="7EDA8454">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vMerge w:val="continue"/>
            <w:tcBorders>
              <w:right w:val="single" w:color="auto" w:sz="4" w:space="0"/>
            </w:tcBorders>
            <w:vAlign w:val="center"/>
          </w:tcPr>
          <w:p w14:paraId="572CF9FE">
            <w:pPr>
              <w:keepNext w:val="0"/>
              <w:keepLines w:val="0"/>
              <w:suppressLineNumbers w:val="0"/>
              <w:spacing w:before="0" w:beforeAutospacing="0" w:after="0" w:afterAutospacing="0"/>
              <w:ind w:left="0" w:right="0"/>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right w:val="single" w:color="auto" w:sz="4" w:space="0"/>
            </w:tcBorders>
            <w:vAlign w:val="center"/>
          </w:tcPr>
          <w:p w14:paraId="76586928">
            <w:pPr>
              <w:keepNext w:val="0"/>
              <w:keepLines w:val="0"/>
              <w:suppressLineNumbers w:val="0"/>
              <w:spacing w:before="0" w:beforeAutospacing="0" w:after="0" w:afterAutospacing="0" w:line="440" w:lineRule="exact"/>
              <w:ind w:left="0" w:right="0"/>
              <w:jc w:val="center"/>
              <w:rPr>
                <w:rFonts w:hint="default"/>
                <w:color w:val="auto"/>
                <w:highlight w:val="none"/>
              </w:rPr>
            </w:pPr>
            <w:r>
              <w:rPr>
                <w:rFonts w:hint="eastAsia"/>
                <w:color w:val="auto"/>
                <w:highlight w:val="none"/>
              </w:rPr>
              <w:t>投标函及投标函附录签字盖章</w:t>
            </w:r>
          </w:p>
        </w:tc>
        <w:tc>
          <w:tcPr>
            <w:tcW w:w="3121" w:type="pct"/>
            <w:tcBorders>
              <w:top w:val="single" w:color="auto" w:sz="4" w:space="0"/>
              <w:left w:val="single" w:color="auto" w:sz="4" w:space="0"/>
              <w:bottom w:val="single" w:color="auto" w:sz="4" w:space="0"/>
              <w:right w:val="single" w:color="auto" w:sz="4" w:space="0"/>
            </w:tcBorders>
            <w:vAlign w:val="center"/>
          </w:tcPr>
          <w:p w14:paraId="3B86C7CE">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default" w:ascii="宋体" w:hAnsi="宋体"/>
                <w:color w:val="auto"/>
                <w:szCs w:val="21"/>
                <w:highlight w:val="none"/>
              </w:rPr>
              <w:t>有法定代表人</w:t>
            </w:r>
            <w:r>
              <w:rPr>
                <w:rFonts w:hint="eastAsia" w:ascii="宋体" w:hAnsi="宋体"/>
                <w:color w:val="auto"/>
                <w:szCs w:val="21"/>
                <w:highlight w:val="none"/>
              </w:rPr>
              <w:t>（</w:t>
            </w:r>
            <w:r>
              <w:rPr>
                <w:rFonts w:hint="default" w:ascii="宋体" w:hAnsi="宋体"/>
                <w:color w:val="auto"/>
                <w:szCs w:val="21"/>
                <w:highlight w:val="none"/>
              </w:rPr>
              <w:t>或其委托代理人</w:t>
            </w:r>
            <w:r>
              <w:rPr>
                <w:rFonts w:hint="eastAsia" w:ascii="宋体" w:hAnsi="宋体"/>
                <w:color w:val="auto"/>
                <w:szCs w:val="21"/>
                <w:highlight w:val="none"/>
              </w:rPr>
              <w:t>）</w:t>
            </w:r>
            <w:r>
              <w:rPr>
                <w:rFonts w:hint="default" w:ascii="宋体" w:hAnsi="宋体"/>
                <w:color w:val="auto"/>
                <w:szCs w:val="21"/>
                <w:highlight w:val="none"/>
              </w:rPr>
              <w:t>签字</w:t>
            </w:r>
            <w:r>
              <w:rPr>
                <w:rFonts w:hint="eastAsia" w:ascii="宋体" w:hAnsi="宋体"/>
                <w:color w:val="auto"/>
                <w:szCs w:val="21"/>
                <w:highlight w:val="none"/>
              </w:rPr>
              <w:t>并</w:t>
            </w:r>
            <w:r>
              <w:rPr>
                <w:rFonts w:hint="default" w:ascii="宋体" w:hAnsi="宋体"/>
                <w:color w:val="auto"/>
                <w:szCs w:val="21"/>
                <w:highlight w:val="none"/>
              </w:rPr>
              <w:t>加盖单位公章</w:t>
            </w:r>
            <w:r>
              <w:rPr>
                <w:rFonts w:hint="eastAsia" w:ascii="宋体" w:hAnsi="宋体"/>
                <w:color w:val="auto"/>
                <w:szCs w:val="21"/>
                <w:highlight w:val="none"/>
              </w:rPr>
              <w:t>。</w:t>
            </w:r>
            <w:r>
              <w:rPr>
                <w:rFonts w:hint="eastAsia" w:ascii="宋体" w:hAnsi="宋体"/>
                <w:color w:val="auto"/>
                <w:highlight w:val="none"/>
              </w:rPr>
              <w:t>由法定代表人签字的，应附法定代表人身份证明，由代理人签字的，应附授权委托书，身份证明或授权委托书应符合第六章</w:t>
            </w:r>
            <w:r>
              <w:rPr>
                <w:rFonts w:hint="default" w:ascii="宋体" w:hAnsi="宋体"/>
                <w:color w:val="auto"/>
                <w:highlight w:val="none"/>
              </w:rPr>
              <w:t>“</w:t>
            </w:r>
            <w:r>
              <w:rPr>
                <w:rFonts w:hint="eastAsia" w:ascii="宋体" w:hAnsi="宋体"/>
                <w:color w:val="auto"/>
                <w:highlight w:val="none"/>
              </w:rPr>
              <w:t>投标文件格式</w:t>
            </w:r>
            <w:r>
              <w:rPr>
                <w:rFonts w:hint="default" w:ascii="宋体" w:hAnsi="宋体"/>
                <w:color w:val="auto"/>
                <w:highlight w:val="none"/>
              </w:rPr>
              <w:t>”</w:t>
            </w:r>
            <w:r>
              <w:rPr>
                <w:rFonts w:hint="eastAsia" w:ascii="宋体" w:hAnsi="宋体"/>
                <w:color w:val="auto"/>
                <w:highlight w:val="none"/>
              </w:rPr>
              <w:t>的规定</w:t>
            </w:r>
          </w:p>
        </w:tc>
      </w:tr>
      <w:tr w14:paraId="67090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85" w:type="pct"/>
            <w:vMerge w:val="continue"/>
            <w:tcBorders>
              <w:right w:val="single" w:color="auto" w:sz="4" w:space="0"/>
            </w:tcBorders>
            <w:vAlign w:val="center"/>
          </w:tcPr>
          <w:p w14:paraId="25CEE076">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vMerge w:val="continue"/>
            <w:tcBorders>
              <w:right w:val="single" w:color="auto" w:sz="4" w:space="0"/>
            </w:tcBorders>
            <w:vAlign w:val="center"/>
          </w:tcPr>
          <w:p w14:paraId="25745F7C">
            <w:pPr>
              <w:keepNext w:val="0"/>
              <w:keepLines w:val="0"/>
              <w:suppressLineNumbers w:val="0"/>
              <w:spacing w:before="0" w:beforeAutospacing="0" w:after="0" w:afterAutospacing="0"/>
              <w:ind w:left="0" w:right="0"/>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right w:val="single" w:color="auto" w:sz="4" w:space="0"/>
            </w:tcBorders>
            <w:vAlign w:val="center"/>
          </w:tcPr>
          <w:p w14:paraId="0EC65F2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备选投标方案</w:t>
            </w:r>
          </w:p>
        </w:tc>
        <w:tc>
          <w:tcPr>
            <w:tcW w:w="3121" w:type="pct"/>
            <w:tcBorders>
              <w:top w:val="single" w:color="auto" w:sz="4" w:space="0"/>
              <w:left w:val="single" w:color="auto" w:sz="4" w:space="0"/>
              <w:bottom w:val="single" w:color="auto" w:sz="4" w:space="0"/>
              <w:right w:val="single" w:color="auto" w:sz="4" w:space="0"/>
            </w:tcBorders>
            <w:vAlign w:val="center"/>
          </w:tcPr>
          <w:p w14:paraId="7FD6A6F9">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eastAsia" w:ascii="宋体" w:hAnsi="宋体"/>
                <w:color w:val="auto"/>
                <w:highlight w:val="none"/>
              </w:rPr>
              <w:t>不得提交备选投标方案</w:t>
            </w:r>
          </w:p>
        </w:tc>
      </w:tr>
      <w:tr w14:paraId="17E1C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3" w:hRule="atLeast"/>
          <w:jc w:val="center"/>
        </w:trPr>
        <w:tc>
          <w:tcPr>
            <w:tcW w:w="385" w:type="pct"/>
            <w:vMerge w:val="continue"/>
            <w:tcBorders>
              <w:bottom w:val="single" w:color="auto" w:sz="4" w:space="0"/>
              <w:right w:val="single" w:color="auto" w:sz="4" w:space="0"/>
            </w:tcBorders>
            <w:vAlign w:val="center"/>
          </w:tcPr>
          <w:p w14:paraId="1B0FCF92">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vMerge w:val="continue"/>
            <w:tcBorders>
              <w:right w:val="single" w:color="auto" w:sz="4" w:space="0"/>
            </w:tcBorders>
            <w:vAlign w:val="center"/>
          </w:tcPr>
          <w:p w14:paraId="38C3A8D3">
            <w:pPr>
              <w:keepNext w:val="0"/>
              <w:keepLines w:val="0"/>
              <w:suppressLineNumbers w:val="0"/>
              <w:spacing w:before="0" w:beforeAutospacing="0" w:after="0" w:afterAutospacing="0"/>
              <w:ind w:left="0" w:right="0"/>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right w:val="single" w:color="auto" w:sz="4" w:space="0"/>
            </w:tcBorders>
            <w:vAlign w:val="center"/>
          </w:tcPr>
          <w:p w14:paraId="03DED2F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投标人机器码</w:t>
            </w:r>
          </w:p>
        </w:tc>
        <w:tc>
          <w:tcPr>
            <w:tcW w:w="3121" w:type="pct"/>
            <w:tcBorders>
              <w:top w:val="single" w:color="auto" w:sz="4" w:space="0"/>
              <w:left w:val="single" w:color="auto" w:sz="4" w:space="0"/>
              <w:bottom w:val="single" w:color="auto" w:sz="4" w:space="0"/>
              <w:right w:val="single" w:color="auto" w:sz="4" w:space="0"/>
            </w:tcBorders>
            <w:vAlign w:val="center"/>
          </w:tcPr>
          <w:p w14:paraId="05C9B9CE">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eastAsia" w:ascii="宋体" w:hAnsi="宋体"/>
                <w:color w:val="auto"/>
                <w:highlight w:val="none"/>
              </w:rPr>
              <w:t>不同投标人机器码相同，视为不合格</w:t>
            </w:r>
          </w:p>
        </w:tc>
      </w:tr>
      <w:tr w14:paraId="54B67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5" w:type="pct"/>
            <w:vMerge w:val="restart"/>
            <w:tcBorders>
              <w:top w:val="single" w:color="auto" w:sz="4" w:space="0"/>
              <w:bottom w:val="single" w:color="auto" w:sz="4" w:space="0"/>
              <w:right w:val="single" w:color="auto" w:sz="4" w:space="0"/>
            </w:tcBorders>
            <w:vAlign w:val="center"/>
          </w:tcPr>
          <w:p w14:paraId="32BEBD2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2.1.2</w:t>
            </w:r>
          </w:p>
        </w:tc>
        <w:tc>
          <w:tcPr>
            <w:tcW w:w="510" w:type="pct"/>
            <w:vMerge w:val="restart"/>
            <w:tcBorders>
              <w:top w:val="single" w:color="auto" w:sz="4" w:space="0"/>
              <w:left w:val="single" w:color="auto" w:sz="4" w:space="0"/>
              <w:bottom w:val="single" w:color="auto" w:sz="4" w:space="0"/>
              <w:right w:val="single" w:color="auto" w:sz="4" w:space="0"/>
            </w:tcBorders>
            <w:vAlign w:val="center"/>
          </w:tcPr>
          <w:p w14:paraId="29E7227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资格评审标准</w:t>
            </w:r>
          </w:p>
        </w:tc>
        <w:tc>
          <w:tcPr>
            <w:tcW w:w="982" w:type="pct"/>
            <w:gridSpan w:val="2"/>
            <w:tcBorders>
              <w:top w:val="single" w:color="auto" w:sz="4" w:space="0"/>
              <w:left w:val="single" w:color="auto" w:sz="4" w:space="0"/>
              <w:bottom w:val="single" w:color="auto" w:sz="4" w:space="0"/>
              <w:right w:val="single" w:color="auto" w:sz="4" w:space="0"/>
            </w:tcBorders>
            <w:vAlign w:val="center"/>
          </w:tcPr>
          <w:p w14:paraId="124B3352">
            <w:pPr>
              <w:keepNext w:val="0"/>
              <w:keepLines w:val="0"/>
              <w:suppressLineNumbers w:val="0"/>
              <w:spacing w:before="0" w:beforeAutospacing="0" w:after="0" w:afterAutospacing="0" w:line="440" w:lineRule="exact"/>
              <w:ind w:left="0" w:right="0"/>
              <w:jc w:val="center"/>
              <w:rPr>
                <w:rFonts w:hint="default" w:ascii="宋体" w:hAnsi="宋体"/>
                <w:color w:val="auto"/>
                <w:szCs w:val="21"/>
                <w:highlight w:val="none"/>
              </w:rPr>
            </w:pPr>
            <w:r>
              <w:rPr>
                <w:rFonts w:hint="eastAsia" w:ascii="宋体" w:hAnsi="宋体"/>
                <w:color w:val="auto"/>
                <w:szCs w:val="21"/>
                <w:highlight w:val="none"/>
              </w:rPr>
              <w:t>独立法人资格</w:t>
            </w:r>
          </w:p>
        </w:tc>
        <w:tc>
          <w:tcPr>
            <w:tcW w:w="3121" w:type="pct"/>
            <w:tcBorders>
              <w:top w:val="single" w:color="auto" w:sz="4" w:space="0"/>
              <w:left w:val="single" w:color="auto" w:sz="4" w:space="0"/>
              <w:bottom w:val="single" w:color="auto" w:sz="4" w:space="0"/>
              <w:right w:val="single" w:color="auto" w:sz="4" w:space="0"/>
            </w:tcBorders>
            <w:vAlign w:val="center"/>
          </w:tcPr>
          <w:p w14:paraId="71748D1C">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default" w:ascii="宋体" w:hAnsi="宋体"/>
                <w:color w:val="auto"/>
                <w:highlight w:val="none"/>
              </w:rPr>
              <w:t>符合第</w:t>
            </w:r>
            <w:r>
              <w:rPr>
                <w:rFonts w:hint="eastAsia" w:ascii="宋体" w:hAnsi="宋体"/>
                <w:color w:val="auto"/>
                <w:highlight w:val="none"/>
              </w:rPr>
              <w:t>一</w:t>
            </w:r>
            <w:r>
              <w:rPr>
                <w:rFonts w:hint="default" w:ascii="宋体" w:hAnsi="宋体"/>
                <w:color w:val="auto"/>
                <w:highlight w:val="none"/>
              </w:rPr>
              <w:t>章“</w:t>
            </w:r>
            <w:r>
              <w:rPr>
                <w:rFonts w:hint="eastAsia" w:ascii="宋体" w:hAnsi="宋体"/>
                <w:color w:val="auto"/>
                <w:highlight w:val="none"/>
              </w:rPr>
              <w:t>招标公告</w:t>
            </w:r>
            <w:r>
              <w:rPr>
                <w:rFonts w:hint="default" w:ascii="宋体" w:hAnsi="宋体"/>
                <w:color w:val="auto"/>
                <w:highlight w:val="none"/>
              </w:rPr>
              <w:t>”</w:t>
            </w:r>
            <w:r>
              <w:rPr>
                <w:rFonts w:hint="eastAsia" w:ascii="宋体" w:hAnsi="宋体"/>
                <w:color w:val="auto"/>
                <w:highlight w:val="none"/>
              </w:rPr>
              <w:t>投标人</w:t>
            </w:r>
            <w:r>
              <w:rPr>
                <w:rFonts w:hint="default" w:ascii="宋体" w:hAnsi="宋体"/>
                <w:color w:val="auto"/>
                <w:highlight w:val="none"/>
              </w:rPr>
              <w:t>资格要求第</w:t>
            </w:r>
            <w:r>
              <w:rPr>
                <w:rFonts w:hint="eastAsia" w:ascii="宋体" w:hAnsi="宋体"/>
                <w:color w:val="auto"/>
                <w:highlight w:val="none"/>
              </w:rPr>
              <w:t>3.2</w:t>
            </w:r>
            <w:r>
              <w:rPr>
                <w:rFonts w:hint="default" w:ascii="宋体" w:hAnsi="宋体"/>
                <w:color w:val="auto"/>
                <w:highlight w:val="none"/>
              </w:rPr>
              <w:t>项规定</w:t>
            </w:r>
          </w:p>
        </w:tc>
      </w:tr>
      <w:tr w14:paraId="7A11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5" w:type="pct"/>
            <w:vMerge w:val="continue"/>
            <w:tcBorders>
              <w:right w:val="single" w:color="auto" w:sz="4" w:space="0"/>
            </w:tcBorders>
            <w:vAlign w:val="center"/>
          </w:tcPr>
          <w:p w14:paraId="0DD02C4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510" w:type="pct"/>
            <w:vMerge w:val="continue"/>
            <w:tcBorders>
              <w:left w:val="single" w:color="auto" w:sz="4" w:space="0"/>
              <w:right w:val="single" w:color="auto" w:sz="4" w:space="0"/>
            </w:tcBorders>
            <w:vAlign w:val="center"/>
          </w:tcPr>
          <w:p w14:paraId="0A7A916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right w:val="single" w:color="auto" w:sz="4" w:space="0"/>
            </w:tcBorders>
            <w:vAlign w:val="center"/>
          </w:tcPr>
          <w:p w14:paraId="310D926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联合体投标人</w:t>
            </w:r>
          </w:p>
        </w:tc>
        <w:tc>
          <w:tcPr>
            <w:tcW w:w="3121" w:type="pct"/>
            <w:tcBorders>
              <w:top w:val="single" w:color="auto" w:sz="4" w:space="0"/>
              <w:left w:val="single" w:color="auto" w:sz="4" w:space="0"/>
              <w:bottom w:val="single" w:color="auto" w:sz="4" w:space="0"/>
              <w:right w:val="single" w:color="auto" w:sz="4" w:space="0"/>
            </w:tcBorders>
            <w:vAlign w:val="center"/>
          </w:tcPr>
          <w:p w14:paraId="434FE69F">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default" w:ascii="宋体" w:hAnsi="宋体"/>
                <w:color w:val="auto"/>
                <w:highlight w:val="none"/>
              </w:rPr>
              <w:t>符合第</w:t>
            </w:r>
            <w:r>
              <w:rPr>
                <w:rFonts w:hint="eastAsia" w:ascii="宋体" w:hAnsi="宋体"/>
                <w:color w:val="auto"/>
                <w:highlight w:val="none"/>
              </w:rPr>
              <w:t>一</w:t>
            </w:r>
            <w:r>
              <w:rPr>
                <w:rFonts w:hint="default" w:ascii="宋体" w:hAnsi="宋体"/>
                <w:color w:val="auto"/>
                <w:highlight w:val="none"/>
              </w:rPr>
              <w:t>章“</w:t>
            </w:r>
            <w:r>
              <w:rPr>
                <w:rFonts w:hint="eastAsia" w:ascii="宋体" w:hAnsi="宋体"/>
                <w:color w:val="auto"/>
                <w:highlight w:val="none"/>
              </w:rPr>
              <w:t>招标公告</w:t>
            </w:r>
            <w:r>
              <w:rPr>
                <w:rFonts w:hint="default" w:ascii="宋体" w:hAnsi="宋体"/>
                <w:color w:val="auto"/>
                <w:highlight w:val="none"/>
              </w:rPr>
              <w:t>”</w:t>
            </w:r>
            <w:r>
              <w:rPr>
                <w:rFonts w:hint="eastAsia" w:ascii="宋体" w:hAnsi="宋体"/>
                <w:color w:val="auto"/>
                <w:highlight w:val="none"/>
              </w:rPr>
              <w:t>投标人</w:t>
            </w:r>
            <w:r>
              <w:rPr>
                <w:rFonts w:hint="default" w:ascii="宋体" w:hAnsi="宋体"/>
                <w:color w:val="auto"/>
                <w:highlight w:val="none"/>
              </w:rPr>
              <w:t>资格要求第</w:t>
            </w:r>
            <w:r>
              <w:rPr>
                <w:rFonts w:hint="eastAsia" w:ascii="宋体" w:hAnsi="宋体"/>
                <w:color w:val="auto"/>
                <w:highlight w:val="none"/>
              </w:rPr>
              <w:t>3.3</w:t>
            </w:r>
            <w:r>
              <w:rPr>
                <w:rFonts w:hint="default" w:ascii="宋体" w:hAnsi="宋体"/>
                <w:color w:val="auto"/>
                <w:highlight w:val="none"/>
              </w:rPr>
              <w:t>项规定</w:t>
            </w:r>
          </w:p>
        </w:tc>
      </w:tr>
      <w:tr w14:paraId="22433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385" w:type="pct"/>
            <w:vMerge w:val="continue"/>
            <w:tcBorders>
              <w:top w:val="single" w:color="auto" w:sz="4" w:space="0"/>
              <w:bottom w:val="single" w:color="auto" w:sz="4" w:space="0"/>
              <w:right w:val="single" w:color="auto" w:sz="4" w:space="0"/>
            </w:tcBorders>
            <w:vAlign w:val="center"/>
          </w:tcPr>
          <w:p w14:paraId="78A3E468">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3E2957A7">
            <w:pPr>
              <w:keepNext w:val="0"/>
              <w:keepLines w:val="0"/>
              <w:suppressLineNumbers w:val="0"/>
              <w:spacing w:before="0" w:beforeAutospacing="0" w:after="0" w:afterAutospacing="0"/>
              <w:ind w:left="0" w:right="0"/>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right w:val="single" w:color="auto" w:sz="4" w:space="0"/>
            </w:tcBorders>
            <w:vAlign w:val="center"/>
          </w:tcPr>
          <w:p w14:paraId="158FBAD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其他要求</w:t>
            </w:r>
          </w:p>
        </w:tc>
        <w:tc>
          <w:tcPr>
            <w:tcW w:w="3121" w:type="pct"/>
            <w:tcBorders>
              <w:top w:val="single" w:color="auto" w:sz="4" w:space="0"/>
              <w:left w:val="single" w:color="auto" w:sz="4" w:space="0"/>
              <w:bottom w:val="single" w:color="auto" w:sz="4" w:space="0"/>
              <w:right w:val="single" w:color="auto" w:sz="4" w:space="0"/>
            </w:tcBorders>
            <w:vAlign w:val="center"/>
          </w:tcPr>
          <w:p w14:paraId="7285C453">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default" w:ascii="宋体" w:hAnsi="宋体"/>
                <w:color w:val="auto"/>
                <w:highlight w:val="none"/>
              </w:rPr>
              <w:t>符合第</w:t>
            </w:r>
            <w:r>
              <w:rPr>
                <w:rFonts w:hint="eastAsia" w:ascii="宋体" w:hAnsi="宋体"/>
                <w:color w:val="auto"/>
                <w:highlight w:val="none"/>
              </w:rPr>
              <w:t>一</w:t>
            </w:r>
            <w:r>
              <w:rPr>
                <w:rFonts w:hint="default" w:ascii="宋体" w:hAnsi="宋体"/>
                <w:color w:val="auto"/>
                <w:highlight w:val="none"/>
              </w:rPr>
              <w:t>章“</w:t>
            </w:r>
            <w:r>
              <w:rPr>
                <w:rFonts w:hint="eastAsia" w:ascii="宋体" w:hAnsi="宋体"/>
                <w:color w:val="auto"/>
                <w:highlight w:val="none"/>
              </w:rPr>
              <w:t>招标公告</w:t>
            </w:r>
            <w:r>
              <w:rPr>
                <w:rFonts w:hint="default" w:ascii="宋体" w:hAnsi="宋体"/>
                <w:color w:val="auto"/>
                <w:highlight w:val="none"/>
              </w:rPr>
              <w:t>”</w:t>
            </w:r>
            <w:r>
              <w:rPr>
                <w:rFonts w:hint="eastAsia" w:ascii="宋体" w:hAnsi="宋体"/>
                <w:color w:val="auto"/>
                <w:highlight w:val="none"/>
              </w:rPr>
              <w:t>投标人</w:t>
            </w:r>
            <w:r>
              <w:rPr>
                <w:rFonts w:hint="default" w:ascii="宋体" w:hAnsi="宋体"/>
                <w:color w:val="auto"/>
                <w:highlight w:val="none"/>
              </w:rPr>
              <w:t>资格要求第</w:t>
            </w:r>
            <w:r>
              <w:rPr>
                <w:rFonts w:hint="eastAsia" w:ascii="宋体" w:hAnsi="宋体"/>
                <w:color w:val="auto"/>
                <w:highlight w:val="none"/>
              </w:rPr>
              <w:t>3.4</w:t>
            </w:r>
            <w:r>
              <w:rPr>
                <w:rFonts w:hint="default" w:ascii="宋体" w:hAnsi="宋体"/>
                <w:color w:val="auto"/>
                <w:highlight w:val="none"/>
              </w:rPr>
              <w:t>项规定</w:t>
            </w:r>
          </w:p>
        </w:tc>
      </w:tr>
      <w:tr w14:paraId="51564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85" w:type="pct"/>
            <w:vMerge w:val="continue"/>
            <w:tcBorders>
              <w:top w:val="single" w:color="auto" w:sz="4" w:space="0"/>
              <w:bottom w:val="single" w:color="auto" w:sz="4" w:space="0"/>
              <w:right w:val="single" w:color="auto" w:sz="4" w:space="0"/>
            </w:tcBorders>
            <w:vAlign w:val="center"/>
          </w:tcPr>
          <w:p w14:paraId="408B03E8">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5E1E0E3E">
            <w:pPr>
              <w:keepNext w:val="0"/>
              <w:keepLines w:val="0"/>
              <w:suppressLineNumbers w:val="0"/>
              <w:spacing w:before="0" w:beforeAutospacing="0" w:after="0" w:afterAutospacing="0"/>
              <w:ind w:left="0" w:right="0"/>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right w:val="single" w:color="auto" w:sz="4" w:space="0"/>
            </w:tcBorders>
            <w:vAlign w:val="center"/>
          </w:tcPr>
          <w:p w14:paraId="4FC13543">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不存在禁止投标的情形</w:t>
            </w:r>
          </w:p>
        </w:tc>
        <w:tc>
          <w:tcPr>
            <w:tcW w:w="3121" w:type="pct"/>
            <w:tcBorders>
              <w:top w:val="single" w:color="auto" w:sz="4" w:space="0"/>
              <w:left w:val="single" w:color="auto" w:sz="4" w:space="0"/>
              <w:bottom w:val="single" w:color="auto" w:sz="4" w:space="0"/>
              <w:right w:val="single" w:color="auto" w:sz="4" w:space="0"/>
            </w:tcBorders>
            <w:vAlign w:val="center"/>
          </w:tcPr>
          <w:p w14:paraId="2BDEE7C9">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eastAsia" w:ascii="宋体" w:hAnsi="宋体"/>
                <w:color w:val="auto"/>
                <w:highlight w:val="none"/>
              </w:rPr>
              <w:t>不存在第二章</w:t>
            </w:r>
            <w:r>
              <w:rPr>
                <w:rFonts w:hint="default" w:ascii="宋体" w:hAnsi="宋体"/>
                <w:color w:val="auto"/>
                <w:highlight w:val="none"/>
              </w:rPr>
              <w:t>“</w:t>
            </w:r>
            <w:r>
              <w:rPr>
                <w:rFonts w:hint="eastAsia" w:ascii="宋体" w:hAnsi="宋体"/>
                <w:color w:val="auto"/>
                <w:highlight w:val="none"/>
              </w:rPr>
              <w:t>投标人须知</w:t>
            </w:r>
            <w:r>
              <w:rPr>
                <w:rFonts w:hint="default" w:ascii="宋体" w:hAnsi="宋体"/>
                <w:color w:val="auto"/>
                <w:highlight w:val="none"/>
              </w:rPr>
              <w:t>”</w:t>
            </w:r>
            <w:r>
              <w:rPr>
                <w:rFonts w:hint="eastAsia" w:ascii="宋体" w:hAnsi="宋体"/>
                <w:color w:val="auto"/>
                <w:highlight w:val="none"/>
              </w:rPr>
              <w:t>第</w:t>
            </w:r>
            <w:r>
              <w:rPr>
                <w:rFonts w:hint="default" w:ascii="宋体" w:hAnsi="宋体"/>
                <w:color w:val="auto"/>
                <w:highlight w:val="none"/>
              </w:rPr>
              <w:t>1.4.3</w:t>
            </w:r>
            <w:r>
              <w:rPr>
                <w:rFonts w:hint="eastAsia" w:ascii="宋体" w:hAnsi="宋体"/>
                <w:color w:val="auto"/>
                <w:highlight w:val="none"/>
              </w:rPr>
              <w:t>项规定的任何一种情形</w:t>
            </w:r>
          </w:p>
        </w:tc>
      </w:tr>
      <w:tr w14:paraId="1753B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4" w:hRule="atLeast"/>
          <w:jc w:val="center"/>
        </w:trPr>
        <w:tc>
          <w:tcPr>
            <w:tcW w:w="385" w:type="pct"/>
            <w:vMerge w:val="restart"/>
            <w:tcBorders>
              <w:top w:val="single" w:color="auto" w:sz="4" w:space="0"/>
              <w:bottom w:val="single" w:color="auto" w:sz="4" w:space="0"/>
              <w:right w:val="single" w:color="auto" w:sz="4" w:space="0"/>
            </w:tcBorders>
            <w:vAlign w:val="center"/>
          </w:tcPr>
          <w:p w14:paraId="2C7EA9C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2.1.3</w:t>
            </w:r>
          </w:p>
        </w:tc>
        <w:tc>
          <w:tcPr>
            <w:tcW w:w="510" w:type="pct"/>
            <w:vMerge w:val="restart"/>
            <w:tcBorders>
              <w:top w:val="single" w:color="auto" w:sz="4" w:space="0"/>
              <w:left w:val="single" w:color="auto" w:sz="4" w:space="0"/>
              <w:bottom w:val="single" w:color="auto" w:sz="4" w:space="0"/>
              <w:right w:val="single" w:color="auto" w:sz="4" w:space="0"/>
            </w:tcBorders>
            <w:vAlign w:val="center"/>
          </w:tcPr>
          <w:p w14:paraId="0B90E36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响应性评审标准</w:t>
            </w:r>
          </w:p>
        </w:tc>
        <w:tc>
          <w:tcPr>
            <w:tcW w:w="982" w:type="pct"/>
            <w:gridSpan w:val="2"/>
            <w:tcBorders>
              <w:top w:val="single" w:color="auto" w:sz="4" w:space="0"/>
              <w:left w:val="single" w:color="auto" w:sz="4" w:space="0"/>
              <w:bottom w:val="single" w:color="auto" w:sz="4" w:space="0"/>
            </w:tcBorders>
            <w:vAlign w:val="center"/>
          </w:tcPr>
          <w:p w14:paraId="4E1B55A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投标报价</w:t>
            </w:r>
          </w:p>
        </w:tc>
        <w:tc>
          <w:tcPr>
            <w:tcW w:w="3121" w:type="pct"/>
            <w:tcBorders>
              <w:top w:val="single" w:color="auto" w:sz="4" w:space="0"/>
              <w:left w:val="single" w:color="auto" w:sz="4" w:space="0"/>
              <w:bottom w:val="single" w:color="auto" w:sz="4" w:space="0"/>
            </w:tcBorders>
            <w:vAlign w:val="center"/>
          </w:tcPr>
          <w:p w14:paraId="19696FDE">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eastAsia" w:ascii="宋体" w:hAnsi="宋体"/>
                <w:color w:val="auto"/>
                <w:highlight w:val="none"/>
              </w:rPr>
              <w:t>符合第二章</w:t>
            </w:r>
            <w:r>
              <w:rPr>
                <w:rFonts w:hint="default" w:ascii="宋体" w:hAnsi="宋体"/>
                <w:color w:val="auto"/>
                <w:highlight w:val="none"/>
              </w:rPr>
              <w:t>“</w:t>
            </w:r>
            <w:r>
              <w:rPr>
                <w:rFonts w:hint="eastAsia" w:ascii="宋体" w:hAnsi="宋体"/>
                <w:color w:val="auto"/>
                <w:highlight w:val="none"/>
              </w:rPr>
              <w:t>投标人须知</w:t>
            </w:r>
            <w:r>
              <w:rPr>
                <w:rFonts w:hint="default" w:ascii="宋体" w:hAnsi="宋体"/>
                <w:color w:val="auto"/>
                <w:highlight w:val="none"/>
              </w:rPr>
              <w:t>”</w:t>
            </w:r>
            <w:r>
              <w:rPr>
                <w:rFonts w:hint="eastAsia" w:ascii="宋体" w:hAnsi="宋体"/>
                <w:color w:val="auto"/>
                <w:highlight w:val="none"/>
              </w:rPr>
              <w:t>第</w:t>
            </w:r>
            <w:r>
              <w:rPr>
                <w:rFonts w:hint="default" w:ascii="宋体" w:hAnsi="宋体"/>
                <w:color w:val="auto"/>
                <w:highlight w:val="none"/>
              </w:rPr>
              <w:t>3.2</w:t>
            </w:r>
            <w:r>
              <w:rPr>
                <w:rFonts w:hint="eastAsia" w:ascii="宋体" w:hAnsi="宋体"/>
                <w:color w:val="auto"/>
                <w:highlight w:val="none"/>
              </w:rPr>
              <w:t>.4款规定，</w:t>
            </w:r>
            <w:r>
              <w:rPr>
                <w:rFonts w:hint="default" w:ascii="宋体" w:hAnsi="宋体"/>
                <w:color w:val="auto"/>
                <w:highlight w:val="none"/>
              </w:rPr>
              <w:t>且不得超过最高投标限价</w:t>
            </w:r>
          </w:p>
        </w:tc>
      </w:tr>
      <w:tr w14:paraId="4E350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1" w:hRule="atLeast"/>
          <w:jc w:val="center"/>
        </w:trPr>
        <w:tc>
          <w:tcPr>
            <w:tcW w:w="385" w:type="pct"/>
            <w:vMerge w:val="continue"/>
            <w:tcBorders>
              <w:top w:val="single" w:color="auto" w:sz="4" w:space="0"/>
              <w:bottom w:val="single" w:color="auto" w:sz="4" w:space="0"/>
              <w:right w:val="single" w:color="auto" w:sz="4" w:space="0"/>
            </w:tcBorders>
            <w:vAlign w:val="center"/>
          </w:tcPr>
          <w:p w14:paraId="72BDCE4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1E4C349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tcBorders>
            <w:vAlign w:val="center"/>
          </w:tcPr>
          <w:p w14:paraId="47261CB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投标内容</w:t>
            </w:r>
          </w:p>
        </w:tc>
        <w:tc>
          <w:tcPr>
            <w:tcW w:w="3121" w:type="pct"/>
            <w:tcBorders>
              <w:top w:val="single" w:color="auto" w:sz="4" w:space="0"/>
              <w:left w:val="single" w:color="auto" w:sz="4" w:space="0"/>
              <w:bottom w:val="single" w:color="auto" w:sz="4" w:space="0"/>
            </w:tcBorders>
            <w:vAlign w:val="center"/>
          </w:tcPr>
          <w:p w14:paraId="29808F85">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eastAsia" w:ascii="宋体" w:hAnsi="宋体"/>
                <w:color w:val="auto"/>
                <w:highlight w:val="none"/>
              </w:rPr>
              <w:t>符合第二章</w:t>
            </w:r>
            <w:r>
              <w:rPr>
                <w:rFonts w:hint="default" w:ascii="宋体" w:hAnsi="宋体"/>
                <w:color w:val="auto"/>
                <w:highlight w:val="none"/>
              </w:rPr>
              <w:t>“</w:t>
            </w:r>
            <w:r>
              <w:rPr>
                <w:rFonts w:hint="eastAsia" w:ascii="宋体" w:hAnsi="宋体"/>
                <w:color w:val="auto"/>
                <w:highlight w:val="none"/>
              </w:rPr>
              <w:t>投标人须知</w:t>
            </w:r>
            <w:r>
              <w:rPr>
                <w:rFonts w:hint="default" w:ascii="宋体" w:hAnsi="宋体"/>
                <w:color w:val="auto"/>
                <w:highlight w:val="none"/>
              </w:rPr>
              <w:t>”</w:t>
            </w:r>
            <w:r>
              <w:rPr>
                <w:rFonts w:hint="eastAsia" w:ascii="宋体" w:hAnsi="宋体"/>
                <w:color w:val="auto"/>
                <w:highlight w:val="none"/>
              </w:rPr>
              <w:t>第</w:t>
            </w:r>
            <w:r>
              <w:rPr>
                <w:rFonts w:hint="default" w:ascii="宋体" w:hAnsi="宋体"/>
                <w:color w:val="auto"/>
                <w:highlight w:val="none"/>
              </w:rPr>
              <w:t>1.3.1</w:t>
            </w:r>
            <w:r>
              <w:rPr>
                <w:rFonts w:hint="eastAsia" w:ascii="宋体" w:hAnsi="宋体"/>
                <w:color w:val="auto"/>
                <w:highlight w:val="none"/>
              </w:rPr>
              <w:t>项规定</w:t>
            </w:r>
          </w:p>
        </w:tc>
      </w:tr>
      <w:tr w14:paraId="21E0E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8" w:hRule="atLeast"/>
          <w:jc w:val="center"/>
        </w:trPr>
        <w:tc>
          <w:tcPr>
            <w:tcW w:w="385" w:type="pct"/>
            <w:vMerge w:val="continue"/>
            <w:tcBorders>
              <w:top w:val="single" w:color="auto" w:sz="4" w:space="0"/>
              <w:bottom w:val="single" w:color="auto" w:sz="4" w:space="0"/>
              <w:right w:val="single" w:color="auto" w:sz="4" w:space="0"/>
            </w:tcBorders>
            <w:vAlign w:val="center"/>
          </w:tcPr>
          <w:p w14:paraId="3A68E73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1F5AE74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tcBorders>
            <w:vAlign w:val="center"/>
          </w:tcPr>
          <w:p w14:paraId="69A29EC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服务期限</w:t>
            </w:r>
          </w:p>
        </w:tc>
        <w:tc>
          <w:tcPr>
            <w:tcW w:w="3121" w:type="pct"/>
            <w:tcBorders>
              <w:top w:val="single" w:color="auto" w:sz="4" w:space="0"/>
              <w:left w:val="single" w:color="auto" w:sz="4" w:space="0"/>
              <w:bottom w:val="single" w:color="auto" w:sz="4" w:space="0"/>
            </w:tcBorders>
            <w:vAlign w:val="center"/>
          </w:tcPr>
          <w:p w14:paraId="61D47E28">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eastAsia" w:ascii="宋体" w:hAnsi="宋体"/>
                <w:color w:val="auto"/>
                <w:highlight w:val="none"/>
              </w:rPr>
              <w:t>符合第二章</w:t>
            </w:r>
            <w:r>
              <w:rPr>
                <w:rFonts w:hint="default" w:ascii="宋体" w:hAnsi="宋体"/>
                <w:color w:val="auto"/>
                <w:highlight w:val="none"/>
              </w:rPr>
              <w:t>“</w:t>
            </w:r>
            <w:r>
              <w:rPr>
                <w:rFonts w:hint="eastAsia" w:ascii="宋体" w:hAnsi="宋体"/>
                <w:color w:val="auto"/>
                <w:highlight w:val="none"/>
              </w:rPr>
              <w:t>投标人须知</w:t>
            </w:r>
            <w:r>
              <w:rPr>
                <w:rFonts w:hint="default" w:ascii="宋体" w:hAnsi="宋体"/>
                <w:color w:val="auto"/>
                <w:highlight w:val="none"/>
              </w:rPr>
              <w:t>”</w:t>
            </w:r>
            <w:r>
              <w:rPr>
                <w:rFonts w:hint="eastAsia" w:ascii="宋体" w:hAnsi="宋体"/>
                <w:color w:val="auto"/>
                <w:highlight w:val="none"/>
              </w:rPr>
              <w:t>第</w:t>
            </w:r>
            <w:r>
              <w:rPr>
                <w:rFonts w:hint="default" w:ascii="宋体" w:hAnsi="宋体"/>
                <w:color w:val="auto"/>
                <w:highlight w:val="none"/>
              </w:rPr>
              <w:t>1.3.2</w:t>
            </w:r>
            <w:r>
              <w:rPr>
                <w:rFonts w:hint="eastAsia" w:ascii="宋体" w:hAnsi="宋体"/>
                <w:color w:val="auto"/>
                <w:highlight w:val="none"/>
              </w:rPr>
              <w:t>项规定</w:t>
            </w:r>
          </w:p>
        </w:tc>
      </w:tr>
      <w:tr w14:paraId="47CE5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8" w:hRule="atLeast"/>
          <w:jc w:val="center"/>
        </w:trPr>
        <w:tc>
          <w:tcPr>
            <w:tcW w:w="385" w:type="pct"/>
            <w:vMerge w:val="continue"/>
            <w:tcBorders>
              <w:top w:val="single" w:color="auto" w:sz="4" w:space="0"/>
              <w:bottom w:val="single" w:color="auto" w:sz="4" w:space="0"/>
              <w:right w:val="single" w:color="auto" w:sz="4" w:space="0"/>
            </w:tcBorders>
            <w:vAlign w:val="center"/>
          </w:tcPr>
          <w:p w14:paraId="492D094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6224E48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tcBorders>
            <w:vAlign w:val="center"/>
          </w:tcPr>
          <w:p w14:paraId="04A6D9F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质量标准</w:t>
            </w:r>
          </w:p>
        </w:tc>
        <w:tc>
          <w:tcPr>
            <w:tcW w:w="3121" w:type="pct"/>
            <w:tcBorders>
              <w:top w:val="single" w:color="auto" w:sz="4" w:space="0"/>
              <w:left w:val="single" w:color="auto" w:sz="4" w:space="0"/>
              <w:bottom w:val="single" w:color="auto" w:sz="4" w:space="0"/>
            </w:tcBorders>
            <w:vAlign w:val="center"/>
          </w:tcPr>
          <w:p w14:paraId="27D64FE2">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eastAsia" w:ascii="宋体" w:hAnsi="宋体"/>
                <w:color w:val="auto"/>
                <w:highlight w:val="none"/>
              </w:rPr>
              <w:t>符合第二章</w:t>
            </w:r>
            <w:r>
              <w:rPr>
                <w:rFonts w:hint="default" w:ascii="宋体" w:hAnsi="宋体"/>
                <w:color w:val="auto"/>
                <w:highlight w:val="none"/>
              </w:rPr>
              <w:t>“</w:t>
            </w:r>
            <w:r>
              <w:rPr>
                <w:rFonts w:hint="eastAsia" w:ascii="宋体" w:hAnsi="宋体"/>
                <w:color w:val="auto"/>
                <w:highlight w:val="none"/>
              </w:rPr>
              <w:t>投标人须知</w:t>
            </w:r>
            <w:r>
              <w:rPr>
                <w:rFonts w:hint="default" w:ascii="宋体" w:hAnsi="宋体"/>
                <w:color w:val="auto"/>
                <w:highlight w:val="none"/>
              </w:rPr>
              <w:t>”</w:t>
            </w:r>
            <w:r>
              <w:rPr>
                <w:rFonts w:hint="eastAsia" w:ascii="宋体" w:hAnsi="宋体"/>
                <w:color w:val="auto"/>
                <w:highlight w:val="none"/>
              </w:rPr>
              <w:t>第</w:t>
            </w:r>
            <w:r>
              <w:rPr>
                <w:rFonts w:hint="default" w:ascii="宋体" w:hAnsi="宋体"/>
                <w:color w:val="auto"/>
                <w:highlight w:val="none"/>
              </w:rPr>
              <w:t>1.3.</w:t>
            </w:r>
            <w:r>
              <w:rPr>
                <w:rFonts w:hint="eastAsia" w:ascii="宋体" w:hAnsi="宋体"/>
                <w:color w:val="auto"/>
                <w:highlight w:val="none"/>
              </w:rPr>
              <w:t>3项规定</w:t>
            </w:r>
          </w:p>
        </w:tc>
      </w:tr>
      <w:tr w14:paraId="2775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385" w:type="pct"/>
            <w:vMerge w:val="continue"/>
            <w:tcBorders>
              <w:top w:val="single" w:color="auto" w:sz="4" w:space="0"/>
              <w:bottom w:val="single" w:color="auto" w:sz="4" w:space="0"/>
              <w:right w:val="single" w:color="auto" w:sz="4" w:space="0"/>
            </w:tcBorders>
            <w:vAlign w:val="center"/>
          </w:tcPr>
          <w:p w14:paraId="552BD655">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1631A8B1">
            <w:pPr>
              <w:keepNext w:val="0"/>
              <w:keepLines w:val="0"/>
              <w:suppressLineNumbers w:val="0"/>
              <w:spacing w:before="0" w:beforeAutospacing="0" w:after="0" w:afterAutospacing="0"/>
              <w:ind w:left="0" w:right="0"/>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tcBorders>
          </w:tcPr>
          <w:p w14:paraId="624FA513">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投标</w:t>
            </w:r>
            <w:r>
              <w:rPr>
                <w:rFonts w:hint="default" w:ascii="宋体" w:hAnsi="宋体"/>
                <w:color w:val="auto"/>
                <w:highlight w:val="none"/>
              </w:rPr>
              <w:t>有效期</w:t>
            </w:r>
          </w:p>
        </w:tc>
        <w:tc>
          <w:tcPr>
            <w:tcW w:w="3121" w:type="pct"/>
            <w:tcBorders>
              <w:top w:val="single" w:color="auto" w:sz="4" w:space="0"/>
              <w:left w:val="single" w:color="auto" w:sz="4" w:space="0"/>
              <w:bottom w:val="single" w:color="auto" w:sz="4" w:space="0"/>
            </w:tcBorders>
          </w:tcPr>
          <w:p w14:paraId="505ED6E2">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eastAsia" w:ascii="宋体" w:hAnsi="宋体"/>
                <w:color w:val="auto"/>
                <w:highlight w:val="none"/>
              </w:rPr>
              <w:t>符合第二章</w:t>
            </w:r>
            <w:r>
              <w:rPr>
                <w:rFonts w:hint="default" w:ascii="宋体" w:hAnsi="宋体"/>
                <w:color w:val="auto"/>
                <w:highlight w:val="none"/>
              </w:rPr>
              <w:t>“</w:t>
            </w:r>
            <w:r>
              <w:rPr>
                <w:rFonts w:hint="eastAsia" w:ascii="宋体" w:hAnsi="宋体"/>
                <w:color w:val="auto"/>
                <w:highlight w:val="none"/>
              </w:rPr>
              <w:t>投标人须知</w:t>
            </w:r>
            <w:r>
              <w:rPr>
                <w:rFonts w:hint="default" w:ascii="宋体" w:hAnsi="宋体"/>
                <w:color w:val="auto"/>
                <w:highlight w:val="none"/>
              </w:rPr>
              <w:t>”</w:t>
            </w:r>
            <w:r>
              <w:rPr>
                <w:rFonts w:hint="eastAsia" w:ascii="宋体" w:hAnsi="宋体"/>
                <w:color w:val="auto"/>
                <w:highlight w:val="none"/>
              </w:rPr>
              <w:t>第</w:t>
            </w:r>
            <w:r>
              <w:rPr>
                <w:rFonts w:hint="default" w:ascii="宋体" w:hAnsi="宋体"/>
                <w:color w:val="auto"/>
                <w:highlight w:val="none"/>
              </w:rPr>
              <w:t>3.3.1项规定</w:t>
            </w:r>
          </w:p>
        </w:tc>
      </w:tr>
      <w:tr w14:paraId="5F91C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2" w:hRule="atLeast"/>
          <w:jc w:val="center"/>
        </w:trPr>
        <w:tc>
          <w:tcPr>
            <w:tcW w:w="385" w:type="pct"/>
            <w:vMerge w:val="continue"/>
            <w:tcBorders>
              <w:top w:val="single" w:color="auto" w:sz="4" w:space="0"/>
              <w:bottom w:val="single" w:color="auto" w:sz="4" w:space="0"/>
              <w:right w:val="single" w:color="auto" w:sz="4" w:space="0"/>
            </w:tcBorders>
            <w:vAlign w:val="center"/>
          </w:tcPr>
          <w:p w14:paraId="12530310">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428D5A0D">
            <w:pPr>
              <w:keepNext w:val="0"/>
              <w:keepLines w:val="0"/>
              <w:suppressLineNumbers w:val="0"/>
              <w:spacing w:before="0" w:beforeAutospacing="0" w:after="0" w:afterAutospacing="0"/>
              <w:ind w:left="0" w:right="0"/>
              <w:rPr>
                <w:rFonts w:hint="default" w:ascii="宋体" w:hAnsi="宋体"/>
                <w:color w:val="auto"/>
                <w:highlight w:val="none"/>
              </w:rPr>
            </w:pPr>
          </w:p>
        </w:tc>
        <w:tc>
          <w:tcPr>
            <w:tcW w:w="982" w:type="pct"/>
            <w:gridSpan w:val="2"/>
            <w:tcBorders>
              <w:top w:val="single" w:color="auto" w:sz="4" w:space="0"/>
              <w:left w:val="single" w:color="auto" w:sz="4" w:space="0"/>
              <w:bottom w:val="single" w:color="auto" w:sz="4" w:space="0"/>
            </w:tcBorders>
            <w:vAlign w:val="center"/>
          </w:tcPr>
          <w:p w14:paraId="04064AC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串通投标情形</w:t>
            </w:r>
          </w:p>
        </w:tc>
        <w:tc>
          <w:tcPr>
            <w:tcW w:w="3121" w:type="pct"/>
            <w:tcBorders>
              <w:top w:val="single" w:color="auto" w:sz="4" w:space="0"/>
              <w:left w:val="single" w:color="auto" w:sz="4" w:space="0"/>
              <w:bottom w:val="single" w:color="auto" w:sz="4" w:space="0"/>
            </w:tcBorders>
            <w:vAlign w:val="center"/>
          </w:tcPr>
          <w:p w14:paraId="2B185D3C">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eastAsia" w:ascii="宋体" w:hAnsi="宋体"/>
                <w:color w:val="auto"/>
                <w:highlight w:val="none"/>
              </w:rPr>
              <w:t>不存在串通投标情形（串通投标情形以《中华人民共和国招标投标法实施条例》的规定为准）；</w:t>
            </w:r>
          </w:p>
        </w:tc>
      </w:tr>
      <w:tr w14:paraId="167B5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2" w:hRule="atLeast"/>
          <w:jc w:val="center"/>
        </w:trPr>
        <w:tc>
          <w:tcPr>
            <w:tcW w:w="385" w:type="pct"/>
            <w:tcBorders>
              <w:top w:val="single" w:color="auto" w:sz="4" w:space="0"/>
              <w:bottom w:val="single" w:color="auto" w:sz="4" w:space="0"/>
              <w:right w:val="single" w:color="auto" w:sz="4" w:space="0"/>
            </w:tcBorders>
            <w:vAlign w:val="center"/>
          </w:tcPr>
          <w:p w14:paraId="3E6D6A82">
            <w:pPr>
              <w:keepNext w:val="0"/>
              <w:keepLines w:val="0"/>
              <w:suppressLineNumbers w:val="0"/>
              <w:spacing w:before="0" w:beforeAutospacing="0" w:after="0" w:afterAutospacing="0"/>
              <w:ind w:left="0" w:right="0"/>
              <w:rPr>
                <w:rFonts w:hint="default" w:ascii="宋体" w:hAnsi="宋体"/>
                <w:color w:val="auto"/>
                <w:highlight w:val="none"/>
              </w:rPr>
            </w:pPr>
            <w:r>
              <w:rPr>
                <w:rFonts w:hint="default" w:ascii="宋体" w:hAnsi="宋体"/>
                <w:color w:val="auto"/>
                <w:highlight w:val="none"/>
              </w:rPr>
              <w:t>3.1.3</w:t>
            </w:r>
          </w:p>
        </w:tc>
        <w:tc>
          <w:tcPr>
            <w:tcW w:w="1493" w:type="pct"/>
            <w:gridSpan w:val="3"/>
            <w:tcBorders>
              <w:top w:val="single" w:color="auto" w:sz="4" w:space="0"/>
              <w:left w:val="single" w:color="auto" w:sz="4" w:space="0"/>
              <w:bottom w:val="single" w:color="auto" w:sz="4" w:space="0"/>
            </w:tcBorders>
            <w:vAlign w:val="center"/>
          </w:tcPr>
          <w:p w14:paraId="3CE681E6">
            <w:pPr>
              <w:keepNext w:val="0"/>
              <w:keepLines w:val="0"/>
              <w:suppressLineNumbers w:val="0"/>
              <w:spacing w:before="0" w:beforeAutospacing="0" w:after="0" w:afterAutospacing="0" w:line="440" w:lineRule="exact"/>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算术校核</w:t>
            </w:r>
          </w:p>
        </w:tc>
        <w:tc>
          <w:tcPr>
            <w:tcW w:w="3121" w:type="pct"/>
            <w:tcBorders>
              <w:top w:val="single" w:color="auto" w:sz="4" w:space="0"/>
              <w:left w:val="single" w:color="auto" w:sz="4" w:space="0"/>
              <w:bottom w:val="single" w:color="auto" w:sz="4" w:space="0"/>
            </w:tcBorders>
          </w:tcPr>
          <w:p w14:paraId="16A20C3E">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default" w:ascii="宋体" w:hAnsi="宋体"/>
                <w:color w:val="auto"/>
                <w:szCs w:val="21"/>
                <w:highlight w:val="none"/>
              </w:rPr>
              <w:t>增</w:t>
            </w:r>
            <w:r>
              <w:rPr>
                <w:rFonts w:hint="default" w:ascii="宋体" w:hAnsi="宋体"/>
                <w:color w:val="auto"/>
                <w:highlight w:val="none"/>
              </w:rPr>
              <w:t>加以下条款：</w:t>
            </w:r>
          </w:p>
          <w:p w14:paraId="21E1FF1F">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default" w:ascii="宋体" w:hAnsi="宋体"/>
                <w:color w:val="auto"/>
                <w:highlight w:val="none"/>
              </w:rPr>
              <w:t>（3）当修正后的报价小于原投标报价，中标价按修正后的报价执行；当修正后的报价大于原投标报价，中标价按原报价执行。</w:t>
            </w:r>
          </w:p>
          <w:p w14:paraId="3B782438">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default" w:ascii="宋体" w:hAnsi="宋体"/>
                <w:color w:val="auto"/>
                <w:highlight w:val="none"/>
              </w:rPr>
              <w:t>（4）投标报价评分以投标人修正后的价格进行计算。</w:t>
            </w:r>
          </w:p>
          <w:p w14:paraId="1F818393">
            <w:pPr>
              <w:keepNext w:val="0"/>
              <w:keepLines w:val="0"/>
              <w:suppressLineNumbers w:val="0"/>
              <w:spacing w:before="0" w:beforeAutospacing="0" w:after="0" w:afterAutospacing="0" w:line="440" w:lineRule="exact"/>
              <w:ind w:left="0" w:right="0"/>
              <w:rPr>
                <w:rFonts w:hint="default" w:ascii="宋体" w:hAnsi="宋体"/>
                <w:color w:val="auto"/>
                <w:highlight w:val="none"/>
              </w:rPr>
            </w:pPr>
            <w:r>
              <w:rPr>
                <w:rFonts w:hint="default" w:ascii="宋体" w:hAnsi="宋体"/>
                <w:color w:val="auto"/>
                <w:highlight w:val="none"/>
              </w:rPr>
              <w:t>（5）如果投标人不接受修正后的价格，评标委员会应当否决其投标。</w:t>
            </w:r>
          </w:p>
        </w:tc>
      </w:tr>
      <w:tr w14:paraId="64152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6" w:type="pct"/>
            <w:gridSpan w:val="2"/>
            <w:tcBorders>
              <w:top w:val="single" w:color="auto" w:sz="4" w:space="0"/>
              <w:bottom w:val="single" w:color="auto" w:sz="4" w:space="0"/>
              <w:right w:val="single" w:color="auto" w:sz="4" w:space="0"/>
            </w:tcBorders>
            <w:vAlign w:val="center"/>
          </w:tcPr>
          <w:p w14:paraId="316626A6">
            <w:pPr>
              <w:keepNext w:val="0"/>
              <w:keepLines w:val="0"/>
              <w:suppressLineNumbers w:val="0"/>
              <w:spacing w:before="0" w:beforeAutospacing="0" w:after="0" w:afterAutospacing="0" w:line="440" w:lineRule="exact"/>
              <w:ind w:left="0" w:right="0"/>
              <w:jc w:val="center"/>
              <w:rPr>
                <w:rFonts w:hint="default" w:ascii="宋体" w:hAnsi="宋体"/>
                <w:b/>
                <w:color w:val="auto"/>
                <w:highlight w:val="none"/>
              </w:rPr>
            </w:pPr>
            <w:r>
              <w:rPr>
                <w:rFonts w:hint="default" w:ascii="宋体" w:hAnsi="宋体"/>
                <w:b/>
                <w:color w:val="auto"/>
                <w:highlight w:val="none"/>
              </w:rPr>
              <w:t>条款号</w:t>
            </w:r>
          </w:p>
        </w:tc>
        <w:tc>
          <w:tcPr>
            <w:tcW w:w="705" w:type="pct"/>
            <w:tcBorders>
              <w:top w:val="single" w:color="auto" w:sz="4" w:space="0"/>
              <w:left w:val="single" w:color="auto" w:sz="4" w:space="0"/>
              <w:bottom w:val="single" w:color="auto" w:sz="4" w:space="0"/>
              <w:right w:val="single" w:color="auto" w:sz="4" w:space="0"/>
            </w:tcBorders>
            <w:vAlign w:val="center"/>
          </w:tcPr>
          <w:p w14:paraId="0A4A7A75">
            <w:pPr>
              <w:keepNext w:val="0"/>
              <w:keepLines w:val="0"/>
              <w:suppressLineNumbers w:val="0"/>
              <w:spacing w:before="0" w:beforeAutospacing="0" w:after="0" w:afterAutospacing="0" w:line="440" w:lineRule="exact"/>
              <w:ind w:left="0" w:right="0"/>
              <w:jc w:val="center"/>
              <w:rPr>
                <w:rFonts w:hint="default" w:ascii="宋体" w:hAnsi="宋体"/>
                <w:b/>
                <w:color w:val="auto"/>
                <w:highlight w:val="none"/>
              </w:rPr>
            </w:pPr>
            <w:r>
              <w:rPr>
                <w:rFonts w:hint="eastAsia" w:ascii="宋体" w:hAnsi="宋体"/>
                <w:b/>
                <w:color w:val="auto"/>
                <w:highlight w:val="none"/>
              </w:rPr>
              <w:t>定标</w:t>
            </w:r>
            <w:r>
              <w:rPr>
                <w:rFonts w:hint="default" w:ascii="宋体" w:hAnsi="宋体"/>
                <w:b/>
                <w:color w:val="auto"/>
                <w:highlight w:val="none"/>
              </w:rPr>
              <w:t>评审因素</w:t>
            </w:r>
          </w:p>
        </w:tc>
        <w:tc>
          <w:tcPr>
            <w:tcW w:w="276" w:type="pct"/>
            <w:tcBorders>
              <w:top w:val="single" w:color="auto" w:sz="4" w:space="0"/>
              <w:left w:val="single" w:color="auto" w:sz="4" w:space="0"/>
              <w:bottom w:val="single" w:color="auto" w:sz="4" w:space="0"/>
              <w:right w:val="single" w:color="auto" w:sz="4" w:space="0"/>
            </w:tcBorders>
            <w:vAlign w:val="center"/>
          </w:tcPr>
          <w:p w14:paraId="73A1053B">
            <w:pPr>
              <w:keepNext w:val="0"/>
              <w:keepLines w:val="0"/>
              <w:suppressLineNumbers w:val="0"/>
              <w:spacing w:before="0" w:beforeAutospacing="0" w:after="0" w:afterAutospacing="0" w:line="440" w:lineRule="exact"/>
              <w:ind w:left="0" w:right="0"/>
              <w:jc w:val="center"/>
              <w:rPr>
                <w:rFonts w:hint="default" w:ascii="宋体" w:hAnsi="宋体"/>
                <w:b/>
                <w:color w:val="auto"/>
                <w:highlight w:val="none"/>
              </w:rPr>
            </w:pPr>
            <w:r>
              <w:rPr>
                <w:rFonts w:hint="eastAsia" w:ascii="宋体" w:hAnsi="宋体"/>
                <w:b/>
                <w:color w:val="auto"/>
                <w:highlight w:val="none"/>
              </w:rPr>
              <w:t>分值</w:t>
            </w:r>
          </w:p>
        </w:tc>
        <w:tc>
          <w:tcPr>
            <w:tcW w:w="3121" w:type="pct"/>
            <w:tcBorders>
              <w:top w:val="single" w:color="auto" w:sz="4" w:space="0"/>
              <w:left w:val="single" w:color="auto" w:sz="4" w:space="0"/>
              <w:bottom w:val="single" w:color="auto" w:sz="4" w:space="0"/>
              <w:right w:val="single" w:color="auto" w:sz="4" w:space="0"/>
            </w:tcBorders>
            <w:vAlign w:val="center"/>
          </w:tcPr>
          <w:p w14:paraId="35580B34">
            <w:pPr>
              <w:keepNext w:val="0"/>
              <w:keepLines w:val="0"/>
              <w:suppressLineNumbers w:val="0"/>
              <w:spacing w:before="0" w:beforeAutospacing="0" w:after="0" w:afterAutospacing="0" w:line="440" w:lineRule="exact"/>
              <w:ind w:left="0" w:right="0"/>
              <w:jc w:val="center"/>
              <w:rPr>
                <w:rFonts w:hint="default" w:ascii="宋体" w:hAnsi="宋体"/>
                <w:b/>
                <w:color w:val="auto"/>
                <w:highlight w:val="none"/>
              </w:rPr>
            </w:pPr>
            <w:r>
              <w:rPr>
                <w:rFonts w:hint="eastAsia" w:ascii="宋体" w:hAnsi="宋体"/>
                <w:b/>
                <w:color w:val="auto"/>
                <w:highlight w:val="none"/>
              </w:rPr>
              <w:t>评审内容</w:t>
            </w:r>
          </w:p>
        </w:tc>
      </w:tr>
      <w:tr w14:paraId="5D8D3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3" w:hRule="atLeast"/>
          <w:jc w:val="center"/>
        </w:trPr>
        <w:tc>
          <w:tcPr>
            <w:tcW w:w="385" w:type="pct"/>
            <w:vMerge w:val="restart"/>
            <w:tcBorders>
              <w:top w:val="single" w:color="auto" w:sz="4" w:space="0"/>
              <w:right w:val="single" w:color="auto" w:sz="4" w:space="0"/>
            </w:tcBorders>
            <w:vAlign w:val="center"/>
          </w:tcPr>
          <w:p w14:paraId="2AA8437D">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7C6ACD45">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38F3FA53">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1D0DB4B7">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38DD01D4">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46B1299A">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78939026">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38BB5197">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63790C12">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6B5ECD65">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119811F1">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p w14:paraId="176A629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仿宋" w:hAnsi="仿宋" w:cs="宋体"/>
                <w:color w:val="auto"/>
                <w:szCs w:val="21"/>
                <w:highlight w:val="none"/>
              </w:rPr>
              <w:t>4.</w:t>
            </w:r>
            <w:r>
              <w:rPr>
                <w:rFonts w:hint="default" w:ascii="仿宋" w:hAnsi="仿宋" w:cs="宋体"/>
                <w:color w:val="auto"/>
                <w:szCs w:val="21"/>
                <w:highlight w:val="none"/>
              </w:rPr>
              <w:t>3</w:t>
            </w:r>
            <w:r>
              <w:rPr>
                <w:rFonts w:hint="eastAsia" w:ascii="仿宋" w:hAnsi="仿宋" w:cs="宋体"/>
                <w:color w:val="auto"/>
                <w:szCs w:val="21"/>
                <w:highlight w:val="none"/>
              </w:rPr>
              <w:t>.1</w:t>
            </w:r>
            <w:r>
              <w:rPr>
                <w:rFonts w:hint="default" w:ascii="仿宋" w:hAnsi="仿宋" w:cs="宋体"/>
                <w:color w:val="auto"/>
                <w:szCs w:val="21"/>
                <w:highlight w:val="none"/>
              </w:rPr>
              <w:t>（</w:t>
            </w:r>
            <w:r>
              <w:rPr>
                <w:rFonts w:hint="eastAsia" w:ascii="仿宋" w:hAnsi="仿宋" w:cs="宋体"/>
                <w:color w:val="auto"/>
                <w:szCs w:val="21"/>
                <w:highlight w:val="none"/>
              </w:rPr>
              <w:t>3</w:t>
            </w:r>
            <w:r>
              <w:rPr>
                <w:rFonts w:hint="default" w:ascii="仿宋" w:hAnsi="仿宋" w:cs="宋体"/>
                <w:color w:val="auto"/>
                <w:szCs w:val="21"/>
                <w:highlight w:val="none"/>
              </w:rPr>
              <w:t>）</w:t>
            </w:r>
          </w:p>
        </w:tc>
        <w:tc>
          <w:tcPr>
            <w:tcW w:w="510" w:type="pct"/>
            <w:vMerge w:val="restart"/>
            <w:tcBorders>
              <w:top w:val="single" w:color="auto" w:sz="4" w:space="0"/>
              <w:right w:val="single" w:color="auto" w:sz="4" w:space="0"/>
            </w:tcBorders>
            <w:vAlign w:val="center"/>
          </w:tcPr>
          <w:p w14:paraId="7F20668A">
            <w:pPr>
              <w:keepNext w:val="0"/>
              <w:keepLines w:val="0"/>
              <w:suppressLineNumbers w:val="0"/>
              <w:spacing w:before="0" w:beforeAutospacing="0" w:after="0" w:afterAutospacing="0"/>
              <w:ind w:left="0" w:right="0"/>
              <w:jc w:val="center"/>
              <w:rPr>
                <w:rFonts w:hint="eastAsia" w:ascii="仿宋" w:hAnsi="仿宋" w:cs="宋体"/>
                <w:color w:val="auto"/>
                <w:szCs w:val="21"/>
                <w:highlight w:val="none"/>
                <w:lang w:val="en-US" w:eastAsia="zh-CN"/>
              </w:rPr>
            </w:pPr>
            <w:r>
              <w:rPr>
                <w:rFonts w:hint="eastAsia" w:ascii="仿宋" w:hAnsi="仿宋" w:cs="宋体"/>
                <w:color w:val="auto"/>
                <w:szCs w:val="21"/>
                <w:highlight w:val="none"/>
                <w:lang w:val="en-US" w:eastAsia="zh-CN"/>
              </w:rPr>
              <w:t>商务因素</w:t>
            </w:r>
          </w:p>
          <w:p w14:paraId="08028F18">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r>
              <w:rPr>
                <w:rFonts w:hint="eastAsia" w:ascii="仿宋" w:hAnsi="仿宋" w:cs="宋体"/>
                <w:color w:val="auto"/>
                <w:szCs w:val="21"/>
                <w:highlight w:val="none"/>
                <w:lang w:val="en-US" w:eastAsia="zh-CN"/>
              </w:rPr>
              <w:t>（20分）</w:t>
            </w:r>
          </w:p>
        </w:tc>
        <w:tc>
          <w:tcPr>
            <w:tcW w:w="705" w:type="pct"/>
            <w:tcBorders>
              <w:top w:val="single" w:color="auto" w:sz="4" w:space="0"/>
              <w:left w:val="single" w:color="auto" w:sz="4" w:space="0"/>
              <w:bottom w:val="single" w:color="auto" w:sz="4" w:space="0"/>
              <w:right w:val="single" w:color="auto" w:sz="4" w:space="0"/>
            </w:tcBorders>
            <w:vAlign w:val="center"/>
          </w:tcPr>
          <w:p w14:paraId="0AEBF948">
            <w:pPr>
              <w:keepNext w:val="0"/>
              <w:keepLines w:val="0"/>
              <w:suppressLineNumbers w:val="0"/>
              <w:spacing w:before="0" w:beforeAutospacing="0" w:after="0" w:afterAutospacing="0"/>
              <w:ind w:left="0" w:right="0"/>
              <w:contextualSpacing/>
              <w:jc w:val="center"/>
              <w:rPr>
                <w:rFonts w:hint="default" w:ascii="宋体" w:hAnsi="宋体" w:eastAsia="等线"/>
                <w:color w:val="auto"/>
                <w:szCs w:val="21"/>
                <w:highlight w:val="none"/>
              </w:rPr>
            </w:pPr>
            <w:r>
              <w:rPr>
                <w:rFonts w:hint="eastAsia" w:ascii="仿宋" w:hAnsi="仿宋" w:cs="宋体"/>
                <w:color w:val="auto"/>
                <w:szCs w:val="21"/>
                <w:highlight w:val="none"/>
                <w:lang w:val="en-US" w:eastAsia="zh-CN"/>
              </w:rPr>
              <w:t>项目业绩</w:t>
            </w:r>
          </w:p>
        </w:tc>
        <w:tc>
          <w:tcPr>
            <w:tcW w:w="276" w:type="pct"/>
            <w:tcBorders>
              <w:top w:val="single" w:color="auto" w:sz="4" w:space="0"/>
              <w:left w:val="single" w:color="auto" w:sz="4" w:space="0"/>
              <w:bottom w:val="single" w:color="auto" w:sz="4" w:space="0"/>
              <w:right w:val="single" w:color="auto" w:sz="4" w:space="0"/>
            </w:tcBorders>
            <w:vAlign w:val="center"/>
          </w:tcPr>
          <w:p w14:paraId="31F4F9D2">
            <w:pPr>
              <w:keepNext w:val="0"/>
              <w:keepLines w:val="0"/>
              <w:suppressLineNumbers w:val="0"/>
              <w:spacing w:before="0" w:beforeAutospacing="0" w:after="0" w:afterAutospacing="0"/>
              <w:ind w:left="0" w:right="0"/>
              <w:contextualSpacing w:val="0"/>
              <w:jc w:val="center"/>
              <w:rPr>
                <w:rFonts w:hint="default" w:ascii="宋体" w:hAnsi="宋体" w:cs="宋体"/>
                <w:color w:val="auto"/>
                <w:szCs w:val="21"/>
                <w:highlight w:val="none"/>
              </w:rPr>
            </w:pPr>
            <w:r>
              <w:rPr>
                <w:rFonts w:hint="eastAsia" w:ascii="宋体" w:hAnsi="宋体" w:cs="宋体"/>
                <w:color w:val="auto"/>
                <w:szCs w:val="21"/>
                <w:highlight w:val="none"/>
                <w:lang w:val="en-US" w:eastAsia="zh-CN"/>
              </w:rPr>
              <w:t>5</w:t>
            </w:r>
          </w:p>
        </w:tc>
        <w:tc>
          <w:tcPr>
            <w:tcW w:w="3121" w:type="pct"/>
            <w:tcBorders>
              <w:top w:val="single" w:color="auto" w:sz="4" w:space="0"/>
              <w:left w:val="single" w:color="auto" w:sz="4" w:space="0"/>
              <w:bottom w:val="single" w:color="auto" w:sz="4" w:space="0"/>
              <w:right w:val="single" w:color="auto" w:sz="4" w:space="0"/>
            </w:tcBorders>
            <w:vAlign w:val="center"/>
          </w:tcPr>
          <w:p w14:paraId="5F1F3D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2022年</w:t>
            </w:r>
            <w:r>
              <w:rPr>
                <w:rFonts w:hint="eastAsia" w:ascii="宋体" w:hAnsi="宋体" w:eastAsia="宋体" w:cs="宋体"/>
                <w:b w:val="0"/>
                <w:color w:val="auto"/>
                <w:sz w:val="21"/>
                <w:szCs w:val="21"/>
                <w:highlight w:val="none"/>
                <w:lang w:val="en-US" w:eastAsia="zh-CN"/>
              </w:rPr>
              <w:t>1月1日</w:t>
            </w:r>
            <w:r>
              <w:rPr>
                <w:rFonts w:hint="eastAsia" w:ascii="宋体" w:hAnsi="宋体" w:eastAsia="宋体" w:cs="宋体"/>
                <w:b w:val="0"/>
                <w:color w:val="auto"/>
                <w:sz w:val="21"/>
                <w:szCs w:val="21"/>
                <w:highlight w:val="none"/>
              </w:rPr>
              <w:t>至</w:t>
            </w:r>
            <w:r>
              <w:rPr>
                <w:rFonts w:hint="eastAsia" w:ascii="宋体" w:hAnsi="宋体"/>
                <w:color w:val="auto"/>
                <w:szCs w:val="21"/>
                <w:highlight w:val="none"/>
              </w:rPr>
              <w:t>投标截止时间止</w:t>
            </w:r>
            <w:r>
              <w:rPr>
                <w:rFonts w:hint="eastAsia" w:ascii="宋体" w:hAnsi="宋体" w:eastAsia="宋体" w:cs="宋体"/>
                <w:b w:val="0"/>
                <w:color w:val="auto"/>
                <w:sz w:val="21"/>
                <w:szCs w:val="21"/>
                <w:highlight w:val="none"/>
                <w:lang w:val="en-US" w:eastAsia="zh-CN"/>
              </w:rPr>
              <w:t>完成过500万及以上的与本项目</w:t>
            </w:r>
            <w:r>
              <w:rPr>
                <w:rFonts w:hint="eastAsia" w:ascii="宋体" w:hAnsi="宋体" w:eastAsia="宋体" w:cs="宋体"/>
                <w:b w:val="0"/>
                <w:color w:val="auto"/>
                <w:sz w:val="21"/>
                <w:szCs w:val="21"/>
                <w:highlight w:val="none"/>
              </w:rPr>
              <w:t>同</w:t>
            </w:r>
            <w:r>
              <w:rPr>
                <w:rFonts w:hint="eastAsia" w:ascii="宋体" w:hAnsi="宋体" w:eastAsia="宋体" w:cs="宋体"/>
                <w:b w:val="0"/>
                <w:color w:val="auto"/>
                <w:sz w:val="21"/>
                <w:szCs w:val="21"/>
                <w:highlight w:val="none"/>
                <w:lang w:val="en-US" w:eastAsia="zh-CN"/>
              </w:rPr>
              <w:t>类型</w:t>
            </w:r>
            <w:r>
              <w:rPr>
                <w:rFonts w:hint="eastAsia" w:ascii="宋体" w:hAnsi="宋体" w:eastAsia="宋体" w:cs="宋体"/>
                <w:b w:val="0"/>
                <w:color w:val="auto"/>
                <w:sz w:val="21"/>
                <w:szCs w:val="21"/>
                <w:highlight w:val="none"/>
              </w:rPr>
              <w:t>业绩或大型活动策划执行业绩的</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得</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分。</w:t>
            </w:r>
          </w:p>
          <w:p w14:paraId="29713DFD">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eastAsia="宋体" w:cs="宋体"/>
                <w:b w:val="0"/>
                <w:color w:val="auto"/>
                <w:sz w:val="21"/>
                <w:szCs w:val="21"/>
                <w:highlight w:val="none"/>
              </w:rPr>
              <w:t>注：需提供</w:t>
            </w:r>
            <w:r>
              <w:rPr>
                <w:rFonts w:hint="eastAsia" w:ascii="宋体" w:hAnsi="宋体" w:eastAsia="宋体" w:cs="宋体"/>
                <w:b w:val="0"/>
                <w:color w:val="auto"/>
                <w:sz w:val="21"/>
                <w:szCs w:val="21"/>
                <w:highlight w:val="none"/>
                <w:lang w:val="en-US" w:eastAsia="zh-CN"/>
              </w:rPr>
              <w:t>中标通知书、</w:t>
            </w:r>
            <w:r>
              <w:rPr>
                <w:rFonts w:hint="eastAsia" w:ascii="宋体" w:hAnsi="宋体" w:eastAsia="宋体" w:cs="宋体"/>
                <w:b w:val="0"/>
                <w:color w:val="auto"/>
                <w:sz w:val="21"/>
                <w:szCs w:val="21"/>
                <w:highlight w:val="none"/>
              </w:rPr>
              <w:t>合同关键页</w:t>
            </w:r>
            <w:r>
              <w:rPr>
                <w:rFonts w:hint="eastAsia" w:ascii="宋体" w:hAnsi="宋体" w:eastAsia="宋体" w:cs="宋体"/>
                <w:b w:val="0"/>
                <w:color w:val="auto"/>
                <w:sz w:val="21"/>
                <w:szCs w:val="21"/>
                <w:highlight w:val="none"/>
                <w:lang w:val="en-US" w:eastAsia="zh-CN"/>
              </w:rPr>
              <w:t>扫描件以及</w:t>
            </w:r>
            <w:r>
              <w:rPr>
                <w:rFonts w:hint="eastAsia" w:ascii="宋体" w:hAnsi="宋体" w:cs="宋体"/>
                <w:b w:val="0"/>
                <w:color w:val="auto"/>
                <w:sz w:val="21"/>
                <w:szCs w:val="21"/>
                <w:highlight w:val="none"/>
                <w:lang w:val="en-US" w:eastAsia="zh-CN"/>
              </w:rPr>
              <w:t>验收材料</w:t>
            </w:r>
            <w:r>
              <w:rPr>
                <w:rFonts w:hint="eastAsia" w:ascii="宋体" w:hAnsi="宋体" w:eastAsia="宋体" w:cs="宋体"/>
                <w:b w:val="0"/>
                <w:color w:val="auto"/>
                <w:sz w:val="21"/>
                <w:szCs w:val="21"/>
                <w:highlight w:val="none"/>
                <w:lang w:val="en-US" w:eastAsia="zh-CN"/>
              </w:rPr>
              <w:t>，</w:t>
            </w:r>
            <w:r>
              <w:rPr>
                <w:rFonts w:hint="eastAsia" w:ascii="宋体" w:hAnsi="宋体" w:cs="宋体"/>
                <w:color w:val="auto"/>
                <w:kern w:val="0"/>
                <w:szCs w:val="21"/>
                <w:highlight w:val="none"/>
              </w:rPr>
              <w:t>时间以验收资料时间为准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金额以合同中载明的金额为准</w:t>
            </w:r>
            <w:r>
              <w:rPr>
                <w:rFonts w:hint="eastAsia" w:ascii="宋体" w:hAnsi="宋体" w:cs="宋体"/>
                <w:color w:val="auto"/>
                <w:kern w:val="0"/>
                <w:szCs w:val="21"/>
                <w:highlight w:val="none"/>
                <w:lang w:eastAsia="zh-CN"/>
              </w:rPr>
              <w:t>。</w:t>
            </w:r>
          </w:p>
        </w:tc>
      </w:tr>
      <w:tr w14:paraId="3A869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jc w:val="center"/>
        </w:trPr>
        <w:tc>
          <w:tcPr>
            <w:tcW w:w="385" w:type="pct"/>
            <w:vMerge w:val="continue"/>
            <w:tcBorders>
              <w:right w:val="single" w:color="auto" w:sz="4" w:space="0"/>
            </w:tcBorders>
            <w:vAlign w:val="center"/>
          </w:tcPr>
          <w:p w14:paraId="039B044B">
            <w:pPr>
              <w:keepNext w:val="0"/>
              <w:keepLines w:val="0"/>
              <w:suppressLineNumbers w:val="0"/>
              <w:spacing w:before="0" w:beforeAutospacing="0" w:after="0" w:afterAutospacing="0"/>
              <w:ind w:left="0" w:right="0"/>
              <w:rPr>
                <w:rFonts w:hint="default" w:ascii="仿宋" w:hAnsi="仿宋" w:cs="宋体"/>
                <w:color w:val="auto"/>
                <w:szCs w:val="21"/>
                <w:highlight w:val="none"/>
              </w:rPr>
            </w:pPr>
          </w:p>
        </w:tc>
        <w:tc>
          <w:tcPr>
            <w:tcW w:w="510" w:type="pct"/>
            <w:vMerge w:val="continue"/>
            <w:tcBorders>
              <w:right w:val="single" w:color="auto" w:sz="4" w:space="0"/>
            </w:tcBorders>
          </w:tcPr>
          <w:p w14:paraId="719B1756">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13A2DF7F">
            <w:pPr>
              <w:keepNext w:val="0"/>
              <w:keepLines w:val="0"/>
              <w:suppressLineNumbers w:val="0"/>
              <w:spacing w:before="0" w:beforeAutospacing="0" w:after="0" w:afterAutospacing="0"/>
              <w:ind w:left="0" w:right="0"/>
              <w:contextualSpacing/>
              <w:jc w:val="center"/>
              <w:rPr>
                <w:rFonts w:hint="eastAsia" w:ascii="仿宋" w:hAnsi="仿宋" w:cs="宋体"/>
                <w:color w:val="auto"/>
                <w:szCs w:val="21"/>
                <w:highlight w:val="none"/>
                <w:lang w:val="en-US" w:eastAsia="zh-CN"/>
              </w:rPr>
            </w:pPr>
            <w:r>
              <w:rPr>
                <w:rFonts w:hint="eastAsia" w:ascii="仿宋" w:hAnsi="仿宋" w:cs="宋体"/>
                <w:color w:val="auto"/>
                <w:szCs w:val="21"/>
                <w:highlight w:val="none"/>
                <w:lang w:val="en-US" w:eastAsia="zh-CN"/>
              </w:rPr>
              <w:t>项目负责人</w:t>
            </w:r>
          </w:p>
        </w:tc>
        <w:tc>
          <w:tcPr>
            <w:tcW w:w="276" w:type="pct"/>
            <w:tcBorders>
              <w:top w:val="single" w:color="auto" w:sz="4" w:space="0"/>
              <w:left w:val="single" w:color="auto" w:sz="4" w:space="0"/>
              <w:bottom w:val="single" w:color="auto" w:sz="4" w:space="0"/>
              <w:right w:val="single" w:color="auto" w:sz="4" w:space="0"/>
            </w:tcBorders>
            <w:vAlign w:val="center"/>
          </w:tcPr>
          <w:p w14:paraId="3E780588">
            <w:pPr>
              <w:keepNext w:val="0"/>
              <w:keepLines w:val="0"/>
              <w:suppressLineNumbers w:val="0"/>
              <w:spacing w:before="0" w:beforeAutospacing="0" w:after="0" w:afterAutospacing="0"/>
              <w:ind w:left="0" w:right="0"/>
              <w:contextualSpacing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121" w:type="pct"/>
            <w:tcBorders>
              <w:top w:val="single" w:color="auto" w:sz="4" w:space="0"/>
              <w:left w:val="single" w:color="auto" w:sz="4" w:space="0"/>
              <w:bottom w:val="single" w:color="auto" w:sz="4" w:space="0"/>
              <w:right w:val="single" w:color="auto" w:sz="4" w:space="0"/>
            </w:tcBorders>
            <w:vAlign w:val="center"/>
          </w:tcPr>
          <w:p w14:paraId="6706C2A3">
            <w:pPr>
              <w:keepNext w:val="0"/>
              <w:keepLines w:val="0"/>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拟委派的项目负责人</w:t>
            </w:r>
            <w:r>
              <w:rPr>
                <w:rFonts w:hint="eastAsia" w:ascii="宋体" w:hAnsi="宋体"/>
                <w:color w:val="auto"/>
                <w:szCs w:val="21"/>
                <w:highlight w:val="none"/>
              </w:rPr>
              <w:t>自202</w:t>
            </w:r>
            <w:r>
              <w:rPr>
                <w:rFonts w:hint="eastAsia" w:ascii="宋体" w:hAnsi="宋体"/>
                <w:color w:val="auto"/>
                <w:szCs w:val="21"/>
                <w:highlight w:val="none"/>
                <w:lang w:val="en-US" w:eastAsia="zh-CN"/>
              </w:rPr>
              <w:t>2</w:t>
            </w:r>
            <w:r>
              <w:rPr>
                <w:rFonts w:hint="eastAsia" w:ascii="宋体" w:hAnsi="宋体"/>
                <w:color w:val="auto"/>
                <w:szCs w:val="21"/>
                <w:highlight w:val="none"/>
              </w:rPr>
              <w:t>年1月1日至投标截止时间止</w:t>
            </w:r>
            <w:r>
              <w:rPr>
                <w:rFonts w:hint="eastAsia" w:ascii="宋体" w:hAnsi="宋体" w:cs="宋体"/>
                <w:color w:val="auto"/>
                <w:kern w:val="0"/>
                <w:szCs w:val="21"/>
                <w:highlight w:val="none"/>
              </w:rPr>
              <w:t>作为项目负责人完成过</w:t>
            </w:r>
            <w:r>
              <w:rPr>
                <w:rFonts w:hint="eastAsia" w:ascii="宋体" w:hAnsi="宋体" w:cs="宋体"/>
                <w:color w:val="auto"/>
                <w:kern w:val="0"/>
                <w:szCs w:val="21"/>
                <w:highlight w:val="none"/>
                <w:lang w:val="en-US" w:eastAsia="zh-CN"/>
              </w:rPr>
              <w:t>验收合格</w:t>
            </w:r>
            <w:r>
              <w:rPr>
                <w:rFonts w:hint="eastAsia" w:ascii="宋体" w:hAnsi="宋体" w:cs="宋体"/>
                <w:color w:val="auto"/>
                <w:kern w:val="0"/>
                <w:szCs w:val="21"/>
                <w:highlight w:val="none"/>
              </w:rPr>
              <w:t>的类似</w:t>
            </w: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分。</w:t>
            </w:r>
          </w:p>
          <w:p w14:paraId="2E347C99">
            <w:pPr>
              <w:keepNext w:val="0"/>
              <w:keepLines w:val="0"/>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16489D05">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lang w:val="en-US" w:eastAsia="zh-CN"/>
              </w:rPr>
              <w:t>①</w:t>
            </w:r>
            <w:r>
              <w:rPr>
                <w:rFonts w:hint="eastAsia" w:ascii="宋体" w:hAnsi="宋体" w:cs="宋体"/>
                <w:color w:val="auto"/>
                <w:kern w:val="0"/>
                <w:szCs w:val="21"/>
                <w:highlight w:val="none"/>
              </w:rPr>
              <w:t>类似</w:t>
            </w: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：是指</w:t>
            </w:r>
            <w:r>
              <w:rPr>
                <w:rFonts w:hint="eastAsia" w:ascii="宋体" w:hAnsi="宋体" w:cs="宋体"/>
                <w:color w:val="auto"/>
                <w:kern w:val="0"/>
                <w:szCs w:val="21"/>
                <w:highlight w:val="none"/>
                <w:lang w:val="en-US" w:eastAsia="zh-CN"/>
              </w:rPr>
              <w:t>合同</w:t>
            </w:r>
            <w:r>
              <w:rPr>
                <w:rFonts w:hint="eastAsia" w:ascii="宋体" w:hAnsi="宋体" w:cs="宋体"/>
                <w:color w:val="auto"/>
                <w:kern w:val="0"/>
                <w:szCs w:val="21"/>
                <w:highlight w:val="none"/>
              </w:rPr>
              <w:t>金额大于或等于</w:t>
            </w:r>
            <w:r>
              <w:rPr>
                <w:rFonts w:hint="eastAsia" w:ascii="宋体" w:hAnsi="宋体" w:cs="宋体"/>
                <w:color w:val="auto"/>
                <w:kern w:val="0"/>
                <w:szCs w:val="21"/>
                <w:highlight w:val="none"/>
                <w:lang w:val="en-US" w:eastAsia="zh-CN"/>
              </w:rPr>
              <w:t>500</w:t>
            </w:r>
            <w:r>
              <w:rPr>
                <w:rFonts w:hint="eastAsia" w:ascii="宋体" w:hAnsi="宋体" w:cs="宋体"/>
                <w:color w:val="auto"/>
                <w:kern w:val="0"/>
                <w:szCs w:val="21"/>
                <w:highlight w:val="none"/>
              </w:rPr>
              <w:t>万元的</w:t>
            </w:r>
            <w:r>
              <w:rPr>
                <w:rFonts w:hint="eastAsia" w:ascii="宋体" w:hAnsi="宋体" w:eastAsia="宋体" w:cs="宋体"/>
                <w:b w:val="0"/>
                <w:color w:val="auto"/>
                <w:sz w:val="21"/>
                <w:szCs w:val="21"/>
                <w:highlight w:val="none"/>
                <w:lang w:val="en-US" w:eastAsia="zh-CN"/>
              </w:rPr>
              <w:t>与本项目</w:t>
            </w:r>
            <w:r>
              <w:rPr>
                <w:rFonts w:hint="eastAsia" w:ascii="宋体" w:hAnsi="宋体" w:eastAsia="宋体" w:cs="宋体"/>
                <w:b w:val="0"/>
                <w:color w:val="auto"/>
                <w:sz w:val="21"/>
                <w:szCs w:val="21"/>
                <w:highlight w:val="none"/>
              </w:rPr>
              <w:t>同</w:t>
            </w:r>
            <w:r>
              <w:rPr>
                <w:rFonts w:hint="eastAsia" w:ascii="宋体" w:hAnsi="宋体" w:eastAsia="宋体" w:cs="宋体"/>
                <w:b w:val="0"/>
                <w:color w:val="auto"/>
                <w:sz w:val="21"/>
                <w:szCs w:val="21"/>
                <w:highlight w:val="none"/>
                <w:lang w:val="en-US" w:eastAsia="zh-CN"/>
              </w:rPr>
              <w:t>类型</w:t>
            </w:r>
            <w:r>
              <w:rPr>
                <w:rFonts w:hint="eastAsia" w:ascii="宋体" w:hAnsi="宋体" w:eastAsia="宋体" w:cs="宋体"/>
                <w:b w:val="0"/>
                <w:color w:val="auto"/>
                <w:sz w:val="21"/>
                <w:szCs w:val="21"/>
                <w:highlight w:val="none"/>
              </w:rPr>
              <w:t>业绩或大型活动策划执行</w:t>
            </w:r>
            <w:r>
              <w:rPr>
                <w:rFonts w:hint="eastAsia" w:ascii="宋体" w:hAnsi="宋体" w:eastAsia="宋体" w:cs="宋体"/>
                <w:b w:val="0"/>
                <w:color w:val="auto"/>
                <w:sz w:val="21"/>
                <w:szCs w:val="21"/>
                <w:highlight w:val="none"/>
                <w:lang w:eastAsia="zh-CN"/>
              </w:rPr>
              <w:t>，</w:t>
            </w:r>
            <w:r>
              <w:rPr>
                <w:rFonts w:hint="eastAsia" w:ascii="宋体" w:hAnsi="宋体" w:cs="宋体"/>
                <w:color w:val="auto"/>
                <w:kern w:val="0"/>
                <w:szCs w:val="21"/>
                <w:highlight w:val="none"/>
              </w:rPr>
              <w:t>金额合同中载明的金额为准，时间以验收</w:t>
            </w:r>
            <w:r>
              <w:rPr>
                <w:rFonts w:hint="eastAsia" w:ascii="宋体" w:hAnsi="宋体" w:cs="宋体"/>
                <w:color w:val="auto"/>
                <w:kern w:val="0"/>
                <w:szCs w:val="21"/>
                <w:highlight w:val="none"/>
                <w:lang w:val="en-US" w:eastAsia="zh-CN"/>
              </w:rPr>
              <w:t>材料</w:t>
            </w:r>
            <w:r>
              <w:rPr>
                <w:rFonts w:hint="eastAsia" w:ascii="宋体" w:hAnsi="宋体" w:cs="宋体"/>
                <w:color w:val="auto"/>
                <w:kern w:val="0"/>
                <w:szCs w:val="21"/>
                <w:highlight w:val="none"/>
              </w:rPr>
              <w:t>时间为准。</w:t>
            </w:r>
          </w:p>
          <w:p w14:paraId="605044DB">
            <w:pPr>
              <w:keepNext w:val="0"/>
              <w:keepLines w:val="0"/>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②</w:t>
            </w:r>
            <w:r>
              <w:rPr>
                <w:rFonts w:hint="eastAsia" w:ascii="宋体" w:hAnsi="宋体" w:cs="宋体"/>
                <w:color w:val="auto"/>
                <w:kern w:val="0"/>
                <w:szCs w:val="21"/>
                <w:highlight w:val="none"/>
              </w:rPr>
              <w:t>业绩需提供合同</w:t>
            </w:r>
            <w:r>
              <w:rPr>
                <w:rFonts w:hint="eastAsia" w:ascii="宋体" w:hAnsi="宋体" w:cs="宋体"/>
                <w:color w:val="auto"/>
                <w:kern w:val="0"/>
                <w:szCs w:val="21"/>
                <w:highlight w:val="none"/>
                <w:lang w:val="en-US" w:eastAsia="zh-CN"/>
              </w:rPr>
              <w:t>关键页扫描件以及验收材料，且合同关键页及验收材料均需显示项目负责人姓名</w:t>
            </w:r>
            <w:r>
              <w:rPr>
                <w:rFonts w:hint="eastAsia" w:ascii="宋体" w:hAnsi="宋体" w:cs="宋体"/>
                <w:color w:val="auto"/>
                <w:kern w:val="0"/>
                <w:szCs w:val="21"/>
                <w:highlight w:val="none"/>
              </w:rPr>
              <w:t>。</w:t>
            </w:r>
          </w:p>
        </w:tc>
      </w:tr>
      <w:tr w14:paraId="54F0B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jc w:val="center"/>
        </w:trPr>
        <w:tc>
          <w:tcPr>
            <w:tcW w:w="385" w:type="pct"/>
            <w:vMerge w:val="continue"/>
            <w:tcBorders>
              <w:right w:val="single" w:color="auto" w:sz="4" w:space="0"/>
            </w:tcBorders>
            <w:vAlign w:val="center"/>
          </w:tcPr>
          <w:p w14:paraId="02E4693A">
            <w:pPr>
              <w:keepNext w:val="0"/>
              <w:keepLines w:val="0"/>
              <w:suppressLineNumbers w:val="0"/>
              <w:spacing w:before="0" w:beforeAutospacing="0" w:after="0" w:afterAutospacing="0"/>
              <w:ind w:left="0" w:right="0"/>
              <w:rPr>
                <w:rFonts w:hint="default" w:ascii="仿宋" w:hAnsi="仿宋" w:cs="宋体"/>
                <w:color w:val="auto"/>
                <w:szCs w:val="21"/>
                <w:highlight w:val="none"/>
              </w:rPr>
            </w:pPr>
          </w:p>
        </w:tc>
        <w:tc>
          <w:tcPr>
            <w:tcW w:w="510" w:type="pct"/>
            <w:vMerge w:val="continue"/>
            <w:tcBorders>
              <w:right w:val="single" w:color="auto" w:sz="4" w:space="0"/>
            </w:tcBorders>
          </w:tcPr>
          <w:p w14:paraId="71B9E7F7">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7907A3EA">
            <w:pPr>
              <w:keepNext w:val="0"/>
              <w:keepLines w:val="0"/>
              <w:suppressLineNumbers w:val="0"/>
              <w:spacing w:before="0" w:beforeAutospacing="0" w:after="0" w:afterAutospacing="0"/>
              <w:ind w:left="0" w:right="0"/>
              <w:contextualSpacing/>
              <w:jc w:val="center"/>
              <w:rPr>
                <w:rFonts w:hint="eastAsia" w:ascii="仿宋" w:hAnsi="仿宋" w:eastAsia="宋体" w:cs="宋体"/>
                <w:color w:val="auto"/>
                <w:szCs w:val="21"/>
                <w:highlight w:val="none"/>
                <w:lang w:val="en-US" w:eastAsia="zh-CN"/>
              </w:rPr>
            </w:pPr>
            <w:r>
              <w:rPr>
                <w:rFonts w:hint="eastAsia" w:ascii="仿宋" w:hAnsi="仿宋" w:cs="宋体"/>
                <w:color w:val="auto"/>
                <w:szCs w:val="21"/>
                <w:highlight w:val="none"/>
                <w:lang w:val="en-US" w:eastAsia="zh-CN"/>
              </w:rPr>
              <w:t>团队人员</w:t>
            </w:r>
          </w:p>
        </w:tc>
        <w:tc>
          <w:tcPr>
            <w:tcW w:w="276" w:type="pct"/>
            <w:tcBorders>
              <w:top w:val="single" w:color="auto" w:sz="4" w:space="0"/>
              <w:left w:val="single" w:color="auto" w:sz="4" w:space="0"/>
              <w:bottom w:val="single" w:color="auto" w:sz="4" w:space="0"/>
              <w:right w:val="single" w:color="auto" w:sz="4" w:space="0"/>
            </w:tcBorders>
            <w:vAlign w:val="center"/>
          </w:tcPr>
          <w:p w14:paraId="7950287D">
            <w:pPr>
              <w:keepNext w:val="0"/>
              <w:keepLines w:val="0"/>
              <w:suppressLineNumbers w:val="0"/>
              <w:spacing w:before="0" w:beforeAutospacing="0" w:after="0" w:afterAutospacing="0"/>
              <w:ind w:left="0" w:right="0"/>
              <w:contextualSpacing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3121" w:type="pct"/>
            <w:tcBorders>
              <w:top w:val="single" w:color="auto" w:sz="4" w:space="0"/>
              <w:left w:val="single" w:color="auto" w:sz="4" w:space="0"/>
              <w:bottom w:val="single" w:color="auto" w:sz="4" w:space="0"/>
              <w:right w:val="single" w:color="auto" w:sz="4" w:space="0"/>
            </w:tcBorders>
            <w:vAlign w:val="center"/>
          </w:tcPr>
          <w:p w14:paraId="1908270D">
            <w:pPr>
              <w:keepNext w:val="0"/>
              <w:keepLines w:val="0"/>
              <w:suppressLineNumbers w:val="0"/>
              <w:spacing w:before="0" w:beforeAutospacing="0" w:after="0" w:afterAutospacing="0"/>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在满足</w:t>
            </w:r>
            <w:r>
              <w:rPr>
                <w:rFonts w:hint="eastAsia" w:ascii="宋体" w:hAnsi="宋体" w:cs="宋体"/>
                <w:color w:val="auto"/>
                <w:highlight w:val="none"/>
              </w:rPr>
              <w:t>招标文件</w:t>
            </w:r>
            <w:r>
              <w:rPr>
                <w:rFonts w:hint="eastAsia" w:ascii="宋体" w:hAnsi="宋体" w:cs="宋体"/>
                <w:color w:val="auto"/>
                <w:szCs w:val="21"/>
                <w:highlight w:val="none"/>
                <w:lang w:val="en-US" w:eastAsia="zh-CN"/>
              </w:rPr>
              <w:t>《人员配备表》的基础上，每增加一名具备2年及以上参加过与</w:t>
            </w:r>
            <w:r>
              <w:rPr>
                <w:rFonts w:hint="eastAsia" w:ascii="宋体" w:hAnsi="宋体" w:eastAsia="宋体" w:cs="宋体"/>
                <w:b w:val="0"/>
                <w:color w:val="auto"/>
                <w:sz w:val="21"/>
                <w:szCs w:val="21"/>
                <w:highlight w:val="none"/>
                <w:lang w:val="en-US" w:eastAsia="zh-CN"/>
              </w:rPr>
              <w:t>本项目</w:t>
            </w:r>
            <w:r>
              <w:rPr>
                <w:rFonts w:hint="eastAsia" w:ascii="宋体" w:hAnsi="宋体" w:eastAsia="宋体" w:cs="宋体"/>
                <w:b w:val="0"/>
                <w:color w:val="auto"/>
                <w:sz w:val="21"/>
                <w:szCs w:val="21"/>
                <w:highlight w:val="none"/>
              </w:rPr>
              <w:t>同</w:t>
            </w:r>
            <w:r>
              <w:rPr>
                <w:rFonts w:hint="eastAsia" w:ascii="宋体" w:hAnsi="宋体" w:eastAsia="宋体" w:cs="宋体"/>
                <w:b w:val="0"/>
                <w:color w:val="auto"/>
                <w:sz w:val="21"/>
                <w:szCs w:val="21"/>
                <w:highlight w:val="none"/>
                <w:lang w:val="en-US" w:eastAsia="zh-CN"/>
              </w:rPr>
              <w:t>类型</w:t>
            </w:r>
            <w:r>
              <w:rPr>
                <w:rFonts w:hint="eastAsia" w:ascii="宋体" w:hAnsi="宋体" w:eastAsia="宋体" w:cs="宋体"/>
                <w:b w:val="0"/>
                <w:color w:val="auto"/>
                <w:sz w:val="21"/>
                <w:szCs w:val="21"/>
                <w:highlight w:val="none"/>
              </w:rPr>
              <w:t>或</w:t>
            </w:r>
            <w:r>
              <w:rPr>
                <w:rFonts w:hint="eastAsia" w:ascii="宋体" w:hAnsi="宋体" w:cs="宋体"/>
                <w:b w:val="0"/>
                <w:color w:val="auto"/>
                <w:sz w:val="21"/>
                <w:szCs w:val="21"/>
                <w:highlight w:val="none"/>
                <w:lang w:val="en-US" w:eastAsia="zh-CN"/>
              </w:rPr>
              <w:t>其他</w:t>
            </w:r>
            <w:r>
              <w:rPr>
                <w:rFonts w:hint="eastAsia" w:ascii="宋体" w:hAnsi="宋体" w:eastAsia="宋体" w:cs="宋体"/>
                <w:b w:val="0"/>
                <w:color w:val="auto"/>
                <w:sz w:val="21"/>
                <w:szCs w:val="21"/>
                <w:highlight w:val="none"/>
              </w:rPr>
              <w:t>大型活动执行</w:t>
            </w:r>
            <w:r>
              <w:rPr>
                <w:rFonts w:hint="eastAsia" w:ascii="宋体" w:hAnsi="宋体" w:cs="宋体"/>
                <w:b w:val="0"/>
                <w:color w:val="auto"/>
                <w:sz w:val="21"/>
                <w:szCs w:val="21"/>
                <w:highlight w:val="none"/>
                <w:lang w:val="en-US" w:eastAsia="zh-CN"/>
              </w:rPr>
              <w:t>工作经验的，</w:t>
            </w:r>
            <w:r>
              <w:rPr>
                <w:rFonts w:hint="eastAsia" w:ascii="宋体" w:hAnsi="宋体" w:cs="宋体"/>
                <w:color w:val="auto"/>
                <w:szCs w:val="21"/>
                <w:highlight w:val="none"/>
                <w:lang w:val="en-US" w:eastAsia="zh-CN"/>
              </w:rPr>
              <w:t>得2分，最多得8分。</w:t>
            </w:r>
          </w:p>
          <w:p w14:paraId="2CC4A68D">
            <w:pPr>
              <w:keepNext w:val="0"/>
              <w:keepLines w:val="0"/>
              <w:suppressLineNumbers w:val="0"/>
              <w:spacing w:before="0" w:beforeAutospacing="0" w:after="0" w:afterAutospacing="0"/>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注：①需提供主要人员简历表，包括但不限于姓名、职位、学历、专业、工作经验年限等；</w:t>
            </w:r>
          </w:p>
          <w:p w14:paraId="16428C18">
            <w:pPr>
              <w:keepNext w:val="0"/>
              <w:keepLines w:val="0"/>
              <w:suppressLineNumbers w:val="0"/>
              <w:spacing w:before="0" w:beforeAutospacing="0" w:after="0" w:afterAutospacing="0"/>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②工作经验证明材料以投标人提供的承诺函为准（格式自拟），若无提供承诺函则不得分。</w:t>
            </w:r>
          </w:p>
        </w:tc>
      </w:tr>
      <w:tr w14:paraId="33EB0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jc w:val="center"/>
        </w:trPr>
        <w:tc>
          <w:tcPr>
            <w:tcW w:w="385" w:type="pct"/>
            <w:vMerge w:val="continue"/>
            <w:tcBorders>
              <w:right w:val="single" w:color="auto" w:sz="4" w:space="0"/>
            </w:tcBorders>
            <w:vAlign w:val="center"/>
          </w:tcPr>
          <w:p w14:paraId="62549E65">
            <w:pPr>
              <w:keepNext w:val="0"/>
              <w:keepLines w:val="0"/>
              <w:suppressLineNumbers w:val="0"/>
              <w:spacing w:before="0" w:beforeAutospacing="0" w:after="0" w:afterAutospacing="0"/>
              <w:ind w:left="0" w:right="0"/>
              <w:rPr>
                <w:rFonts w:hint="default" w:ascii="仿宋" w:hAnsi="仿宋" w:cs="宋体"/>
                <w:color w:val="auto"/>
                <w:szCs w:val="21"/>
                <w:highlight w:val="none"/>
              </w:rPr>
            </w:pPr>
          </w:p>
        </w:tc>
        <w:tc>
          <w:tcPr>
            <w:tcW w:w="510" w:type="pct"/>
            <w:vMerge w:val="restart"/>
            <w:tcBorders>
              <w:top w:val="single" w:color="auto" w:sz="4" w:space="0"/>
              <w:right w:val="single" w:color="auto" w:sz="4" w:space="0"/>
            </w:tcBorders>
            <w:vAlign w:val="center"/>
          </w:tcPr>
          <w:p w14:paraId="0B7690F3">
            <w:pPr>
              <w:keepNext w:val="0"/>
              <w:keepLines w:val="0"/>
              <w:suppressLineNumbers w:val="0"/>
              <w:spacing w:before="0" w:beforeAutospacing="0" w:after="0" w:afterAutospacing="0"/>
              <w:ind w:left="0" w:right="0"/>
              <w:jc w:val="center"/>
              <w:rPr>
                <w:rFonts w:hint="eastAsia" w:ascii="仿宋" w:hAnsi="仿宋" w:eastAsia="宋体" w:cs="宋体"/>
                <w:color w:val="auto"/>
                <w:szCs w:val="21"/>
                <w:highlight w:val="none"/>
              </w:rPr>
            </w:pPr>
            <w:r>
              <w:rPr>
                <w:rFonts w:hint="eastAsia" w:ascii="仿宋" w:hAnsi="仿宋" w:cs="宋体"/>
                <w:color w:val="auto"/>
                <w:szCs w:val="21"/>
                <w:highlight w:val="none"/>
              </w:rPr>
              <w:t>方</w:t>
            </w:r>
            <w:r>
              <w:rPr>
                <w:rFonts w:hint="eastAsia" w:ascii="仿宋" w:hAnsi="仿宋" w:eastAsia="宋体" w:cs="宋体"/>
                <w:color w:val="auto"/>
                <w:szCs w:val="21"/>
                <w:highlight w:val="none"/>
              </w:rPr>
              <w:t>案因素</w:t>
            </w:r>
          </w:p>
          <w:p w14:paraId="21C33C81">
            <w:pPr>
              <w:keepNext w:val="0"/>
              <w:keepLines w:val="0"/>
              <w:suppressLineNumbers w:val="0"/>
              <w:spacing w:before="0" w:beforeAutospacing="0" w:after="0" w:afterAutospacing="0"/>
              <w:ind w:left="0" w:right="0"/>
              <w:jc w:val="center"/>
              <w:rPr>
                <w:rFonts w:hint="eastAsia" w:ascii="仿宋" w:hAnsi="仿宋" w:eastAsia="宋体" w:cs="宋体"/>
                <w:color w:val="auto"/>
                <w:szCs w:val="21"/>
                <w:highlight w:val="none"/>
                <w:lang w:eastAsia="zh-CN"/>
              </w:rPr>
            </w:pPr>
            <w:r>
              <w:rPr>
                <w:rFonts w:hint="eastAsia" w:ascii="仿宋" w:hAnsi="仿宋" w:eastAsia="宋体" w:cs="宋体"/>
                <w:color w:val="auto"/>
                <w:szCs w:val="21"/>
                <w:highlight w:val="none"/>
                <w:lang w:eastAsia="zh-CN"/>
              </w:rPr>
              <w:t>（</w:t>
            </w:r>
            <w:r>
              <w:rPr>
                <w:rFonts w:hint="eastAsia" w:ascii="仿宋" w:hAnsi="仿宋" w:eastAsia="宋体" w:cs="宋体"/>
                <w:color w:val="auto"/>
                <w:szCs w:val="21"/>
                <w:highlight w:val="none"/>
                <w:lang w:val="en-US" w:eastAsia="zh-CN"/>
              </w:rPr>
              <w:t>45分</w:t>
            </w:r>
            <w:r>
              <w:rPr>
                <w:rFonts w:hint="eastAsia" w:ascii="仿宋" w:hAnsi="仿宋" w:cs="宋体"/>
                <w:color w:val="auto"/>
                <w:szCs w:val="21"/>
                <w:highlight w:val="none"/>
                <w:lang w:eastAsia="zh-CN"/>
              </w:rPr>
              <w:t>）</w:t>
            </w:r>
          </w:p>
        </w:tc>
        <w:tc>
          <w:tcPr>
            <w:tcW w:w="705" w:type="pct"/>
            <w:tcBorders>
              <w:top w:val="single" w:color="auto" w:sz="4" w:space="0"/>
              <w:left w:val="single" w:color="auto" w:sz="4" w:space="0"/>
              <w:bottom w:val="single" w:color="auto" w:sz="4" w:space="0"/>
              <w:right w:val="single" w:color="auto" w:sz="4" w:space="0"/>
            </w:tcBorders>
            <w:vAlign w:val="center"/>
          </w:tcPr>
          <w:p w14:paraId="15A404E2">
            <w:pPr>
              <w:keepNext w:val="0"/>
              <w:keepLines w:val="0"/>
              <w:suppressLineNumbers w:val="0"/>
              <w:spacing w:before="0" w:beforeAutospacing="0" w:after="0" w:afterAutospacing="0"/>
              <w:ind w:left="0" w:leftChars="0" w:right="0" w:rightChars="0"/>
              <w:contextualSpacing/>
              <w:jc w:val="center"/>
              <w:rPr>
                <w:rFonts w:hint="default" w:ascii="仿宋" w:hAnsi="仿宋" w:cs="宋体"/>
                <w:color w:val="auto"/>
                <w:szCs w:val="21"/>
                <w:highlight w:val="none"/>
              </w:rPr>
            </w:pPr>
            <w:r>
              <w:rPr>
                <w:rFonts w:hint="default" w:ascii="仿宋" w:hAnsi="仿宋" w:cs="宋体"/>
                <w:color w:val="auto"/>
                <w:szCs w:val="21"/>
                <w:highlight w:val="none"/>
              </w:rPr>
              <w:t>创意设计方案的</w:t>
            </w:r>
            <w:r>
              <w:rPr>
                <w:rFonts w:hint="eastAsia" w:ascii="仿宋" w:hAnsi="仿宋" w:cs="宋体"/>
                <w:color w:val="auto"/>
                <w:szCs w:val="21"/>
                <w:highlight w:val="none"/>
              </w:rPr>
              <w:t>合理性</w:t>
            </w:r>
          </w:p>
        </w:tc>
        <w:tc>
          <w:tcPr>
            <w:tcW w:w="276" w:type="pct"/>
            <w:tcBorders>
              <w:top w:val="single" w:color="auto" w:sz="4" w:space="0"/>
              <w:left w:val="single" w:color="auto" w:sz="4" w:space="0"/>
              <w:bottom w:val="single" w:color="auto" w:sz="4" w:space="0"/>
              <w:right w:val="single" w:color="auto" w:sz="4" w:space="0"/>
            </w:tcBorders>
            <w:vAlign w:val="center"/>
          </w:tcPr>
          <w:p w14:paraId="4FF88BEE">
            <w:pPr>
              <w:keepNext w:val="0"/>
              <w:keepLines w:val="0"/>
              <w:suppressLineNumbers w:val="0"/>
              <w:spacing w:before="0" w:beforeAutospacing="0" w:after="0" w:afterAutospacing="0"/>
              <w:ind w:left="0" w:leftChars="0" w:right="0" w:rightChars="0"/>
              <w:contextualSpacing w:val="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3121" w:type="pct"/>
            <w:tcBorders>
              <w:top w:val="single" w:color="auto" w:sz="4" w:space="0"/>
              <w:left w:val="single" w:color="auto" w:sz="4" w:space="0"/>
              <w:bottom w:val="single" w:color="auto" w:sz="4" w:space="0"/>
              <w:right w:val="single" w:color="auto" w:sz="4" w:space="0"/>
            </w:tcBorders>
            <w:vAlign w:val="center"/>
          </w:tcPr>
          <w:p w14:paraId="2C33D651">
            <w:pPr>
              <w:keepNext w:val="0"/>
              <w:keepLines w:val="0"/>
              <w:suppressLineNumbers w:val="0"/>
              <w:spacing w:before="0" w:beforeAutospacing="0" w:after="0" w:afterAutospacing="0"/>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对合格中标候选人提供的布展工作进度计划表、人员配置，应急方案等合理性进行综合评审。优得[10-8)分，良得[8-6)分，中得[6-4)分，差或者未提供相关内容得0分。</w:t>
            </w:r>
          </w:p>
        </w:tc>
      </w:tr>
      <w:tr w14:paraId="5C416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jc w:val="center"/>
        </w:trPr>
        <w:tc>
          <w:tcPr>
            <w:tcW w:w="385" w:type="pct"/>
            <w:vMerge w:val="continue"/>
            <w:tcBorders>
              <w:right w:val="single" w:color="auto" w:sz="4" w:space="0"/>
            </w:tcBorders>
            <w:vAlign w:val="center"/>
          </w:tcPr>
          <w:p w14:paraId="60A974E9">
            <w:pPr>
              <w:keepNext w:val="0"/>
              <w:keepLines w:val="0"/>
              <w:suppressLineNumbers w:val="0"/>
              <w:spacing w:before="0" w:beforeAutospacing="0" w:after="0" w:afterAutospacing="0"/>
              <w:ind w:left="0" w:right="0"/>
              <w:rPr>
                <w:rFonts w:hint="default" w:ascii="仿宋" w:hAnsi="仿宋" w:cs="宋体"/>
                <w:color w:val="auto"/>
                <w:szCs w:val="21"/>
                <w:highlight w:val="none"/>
              </w:rPr>
            </w:pPr>
          </w:p>
        </w:tc>
        <w:tc>
          <w:tcPr>
            <w:tcW w:w="510" w:type="pct"/>
            <w:vMerge w:val="continue"/>
            <w:tcBorders>
              <w:right w:val="single" w:color="auto" w:sz="4" w:space="0"/>
            </w:tcBorders>
          </w:tcPr>
          <w:p w14:paraId="2ACA0AF8">
            <w:pPr>
              <w:keepNext w:val="0"/>
              <w:keepLines w:val="0"/>
              <w:suppressLineNumbers w:val="0"/>
              <w:spacing w:before="0" w:beforeAutospacing="0" w:after="0" w:afterAutospacing="0"/>
              <w:ind w:left="0" w:right="0"/>
              <w:jc w:val="center"/>
              <w:rPr>
                <w:rFonts w:hint="default" w:ascii="仿宋" w:hAnsi="仿宋" w:cs="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7D277290">
            <w:pPr>
              <w:keepNext w:val="0"/>
              <w:keepLines w:val="0"/>
              <w:suppressLineNumbers w:val="0"/>
              <w:spacing w:before="0" w:beforeAutospacing="0" w:after="0" w:afterAutospacing="0"/>
              <w:ind w:left="0" w:right="0"/>
              <w:contextualSpacing/>
              <w:jc w:val="center"/>
              <w:rPr>
                <w:rFonts w:hint="default" w:ascii="仿宋" w:hAnsi="仿宋" w:cs="宋体"/>
                <w:color w:val="auto"/>
                <w:szCs w:val="21"/>
                <w:highlight w:val="none"/>
              </w:rPr>
            </w:pPr>
            <w:r>
              <w:rPr>
                <w:rFonts w:hint="default" w:ascii="仿宋" w:hAnsi="仿宋" w:cs="宋体"/>
                <w:color w:val="auto"/>
                <w:szCs w:val="21"/>
                <w:highlight w:val="none"/>
              </w:rPr>
              <w:t>创意设计方案的完整度</w:t>
            </w:r>
          </w:p>
        </w:tc>
        <w:tc>
          <w:tcPr>
            <w:tcW w:w="276" w:type="pct"/>
            <w:tcBorders>
              <w:top w:val="single" w:color="auto" w:sz="4" w:space="0"/>
              <w:left w:val="single" w:color="auto" w:sz="4" w:space="0"/>
              <w:bottom w:val="single" w:color="auto" w:sz="4" w:space="0"/>
              <w:right w:val="single" w:color="auto" w:sz="4" w:space="0"/>
            </w:tcBorders>
            <w:vAlign w:val="center"/>
          </w:tcPr>
          <w:p w14:paraId="6F20212A">
            <w:pPr>
              <w:keepNext w:val="0"/>
              <w:keepLines w:val="0"/>
              <w:suppressLineNumbers w:val="0"/>
              <w:spacing w:before="0" w:beforeAutospacing="0" w:after="0" w:afterAutospacing="0"/>
              <w:ind w:left="0" w:right="0"/>
              <w:contextualSpacing w:val="0"/>
              <w:jc w:val="center"/>
              <w:rPr>
                <w:rFonts w:hint="default" w:ascii="宋体" w:hAnsi="宋体" w:cs="宋体"/>
                <w:color w:val="auto"/>
                <w:szCs w:val="21"/>
                <w:highlight w:val="none"/>
              </w:rPr>
            </w:pPr>
            <w:r>
              <w:rPr>
                <w:rFonts w:hint="eastAsia" w:ascii="宋体" w:hAnsi="宋体" w:cs="宋体"/>
                <w:color w:val="auto"/>
                <w:szCs w:val="21"/>
                <w:highlight w:val="none"/>
              </w:rPr>
              <w:t>1</w:t>
            </w:r>
            <w:r>
              <w:rPr>
                <w:rFonts w:hint="default" w:ascii="宋体" w:hAnsi="宋体" w:cs="宋体"/>
                <w:color w:val="auto"/>
                <w:szCs w:val="21"/>
                <w:highlight w:val="none"/>
              </w:rPr>
              <w:t>5</w:t>
            </w:r>
          </w:p>
        </w:tc>
        <w:tc>
          <w:tcPr>
            <w:tcW w:w="3121" w:type="pct"/>
            <w:tcBorders>
              <w:top w:val="single" w:color="auto" w:sz="4" w:space="0"/>
              <w:left w:val="single" w:color="auto" w:sz="4" w:space="0"/>
              <w:bottom w:val="single" w:color="auto" w:sz="4" w:space="0"/>
              <w:right w:val="single" w:color="auto" w:sz="4" w:space="0"/>
            </w:tcBorders>
            <w:vAlign w:val="center"/>
          </w:tcPr>
          <w:p w14:paraId="52010426">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对合格中标候选人提供的方案的灯光作品的空间规划、布点合理性、各个作品的创作理念与本届灯光节主题的适配度等进行综合评审。优得[1</w:t>
            </w:r>
            <w:r>
              <w:rPr>
                <w:rFonts w:hint="default" w:ascii="宋体" w:hAnsi="宋体" w:cs="宋体"/>
                <w:color w:val="auto"/>
                <w:szCs w:val="21"/>
                <w:highlight w:val="none"/>
              </w:rPr>
              <w:t>5</w:t>
            </w:r>
            <w:r>
              <w:rPr>
                <w:rFonts w:hint="eastAsia" w:ascii="宋体" w:hAnsi="宋体" w:cs="宋体"/>
                <w:color w:val="auto"/>
                <w:szCs w:val="21"/>
                <w:highlight w:val="none"/>
              </w:rPr>
              <w:t>-</w:t>
            </w:r>
            <w:r>
              <w:rPr>
                <w:rFonts w:hint="default" w:ascii="宋体" w:hAnsi="宋体" w:cs="宋体"/>
                <w:color w:val="auto"/>
                <w:szCs w:val="21"/>
                <w:highlight w:val="none"/>
              </w:rPr>
              <w:t>11</w:t>
            </w:r>
            <w:r>
              <w:rPr>
                <w:rFonts w:hint="eastAsia" w:ascii="宋体" w:hAnsi="宋体" w:cs="宋体"/>
                <w:color w:val="auto"/>
                <w:szCs w:val="21"/>
                <w:highlight w:val="none"/>
              </w:rPr>
              <w:t>)分，良得[</w:t>
            </w:r>
            <w:r>
              <w:rPr>
                <w:rFonts w:hint="default" w:ascii="宋体" w:hAnsi="宋体" w:cs="宋体"/>
                <w:color w:val="auto"/>
                <w:szCs w:val="21"/>
                <w:highlight w:val="none"/>
              </w:rPr>
              <w:t>11</w:t>
            </w:r>
            <w:r>
              <w:rPr>
                <w:rFonts w:hint="eastAsia" w:ascii="宋体" w:hAnsi="宋体" w:cs="宋体"/>
                <w:color w:val="auto"/>
                <w:szCs w:val="21"/>
                <w:highlight w:val="none"/>
              </w:rPr>
              <w:t>-</w:t>
            </w:r>
            <w:r>
              <w:rPr>
                <w:rFonts w:hint="default" w:ascii="宋体" w:hAnsi="宋体" w:cs="宋体"/>
                <w:color w:val="auto"/>
                <w:szCs w:val="21"/>
                <w:highlight w:val="none"/>
              </w:rPr>
              <w:t>7</w:t>
            </w:r>
            <w:r>
              <w:rPr>
                <w:rFonts w:hint="eastAsia" w:ascii="宋体" w:hAnsi="宋体" w:cs="宋体"/>
                <w:color w:val="auto"/>
                <w:szCs w:val="21"/>
                <w:highlight w:val="none"/>
              </w:rPr>
              <w:t>)分，中得[</w:t>
            </w:r>
            <w:r>
              <w:rPr>
                <w:rFonts w:hint="default" w:ascii="宋体" w:hAnsi="宋体" w:cs="宋体"/>
                <w:color w:val="auto"/>
                <w:szCs w:val="21"/>
                <w:highlight w:val="none"/>
              </w:rPr>
              <w:t>7</w:t>
            </w:r>
            <w:r>
              <w:rPr>
                <w:rFonts w:hint="eastAsia" w:ascii="宋体" w:hAnsi="宋体" w:cs="宋体"/>
                <w:color w:val="auto"/>
                <w:szCs w:val="21"/>
                <w:highlight w:val="none"/>
              </w:rPr>
              <w:t>-</w:t>
            </w:r>
            <w:r>
              <w:rPr>
                <w:rFonts w:hint="default" w:ascii="宋体" w:hAnsi="宋体" w:cs="宋体"/>
                <w:color w:val="auto"/>
                <w:szCs w:val="21"/>
                <w:highlight w:val="none"/>
              </w:rPr>
              <w:t>3</w:t>
            </w:r>
            <w:r>
              <w:rPr>
                <w:rFonts w:hint="eastAsia" w:ascii="宋体" w:hAnsi="宋体" w:cs="宋体"/>
                <w:color w:val="auto"/>
                <w:szCs w:val="21"/>
                <w:highlight w:val="none"/>
              </w:rPr>
              <w:t>)分，差或者未提供相关内容得0分。</w:t>
            </w:r>
          </w:p>
        </w:tc>
      </w:tr>
      <w:tr w14:paraId="60A20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45" w:hRule="atLeast"/>
          <w:jc w:val="center"/>
        </w:trPr>
        <w:tc>
          <w:tcPr>
            <w:tcW w:w="385" w:type="pct"/>
            <w:vMerge w:val="continue"/>
            <w:tcBorders>
              <w:right w:val="single" w:color="auto" w:sz="4" w:space="0"/>
            </w:tcBorders>
            <w:vAlign w:val="center"/>
          </w:tcPr>
          <w:p w14:paraId="742907DC">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vMerge w:val="continue"/>
            <w:tcBorders>
              <w:bottom w:val="single" w:color="auto" w:sz="4" w:space="0"/>
              <w:right w:val="single" w:color="auto" w:sz="4" w:space="0"/>
            </w:tcBorders>
          </w:tcPr>
          <w:p w14:paraId="510CFB04">
            <w:pPr>
              <w:keepNext w:val="0"/>
              <w:keepLines w:val="0"/>
              <w:suppressLineNumbers w:val="0"/>
              <w:spacing w:before="0" w:beforeAutospacing="0" w:after="0" w:afterAutospacing="0"/>
              <w:ind w:left="0" w:right="0"/>
              <w:rPr>
                <w:rFonts w:hint="default" w:ascii="宋体" w:hAnsi="宋体"/>
                <w:color w:val="auto"/>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2B93516B">
            <w:pPr>
              <w:keepNext w:val="0"/>
              <w:keepLines w:val="0"/>
              <w:suppressLineNumbers w:val="0"/>
              <w:spacing w:before="0" w:beforeAutospacing="0" w:after="0" w:afterAutospacing="0"/>
              <w:ind w:left="0" w:right="0"/>
              <w:contextualSpacing/>
              <w:jc w:val="center"/>
              <w:rPr>
                <w:rFonts w:hint="default" w:ascii="宋体" w:hAnsi="宋体"/>
                <w:color w:val="auto"/>
                <w:szCs w:val="21"/>
                <w:highlight w:val="none"/>
              </w:rPr>
            </w:pPr>
            <w:r>
              <w:rPr>
                <w:rFonts w:hint="default" w:ascii="仿宋" w:hAnsi="仿宋" w:cs="宋体"/>
                <w:color w:val="auto"/>
                <w:szCs w:val="21"/>
                <w:highlight w:val="none"/>
              </w:rPr>
              <w:t>创意</w:t>
            </w:r>
            <w:r>
              <w:rPr>
                <w:rFonts w:hint="eastAsia" w:ascii="仿宋" w:hAnsi="仿宋" w:cs="宋体"/>
                <w:color w:val="auto"/>
                <w:szCs w:val="21"/>
                <w:highlight w:val="none"/>
              </w:rPr>
              <w:t>设计方案的</w:t>
            </w:r>
            <w:r>
              <w:rPr>
                <w:rFonts w:hint="default" w:ascii="仿宋" w:hAnsi="仿宋" w:cs="宋体"/>
                <w:color w:val="auto"/>
                <w:szCs w:val="21"/>
                <w:highlight w:val="none"/>
              </w:rPr>
              <w:t>贴合度</w:t>
            </w:r>
          </w:p>
        </w:tc>
        <w:tc>
          <w:tcPr>
            <w:tcW w:w="276" w:type="pct"/>
            <w:tcBorders>
              <w:top w:val="single" w:color="auto" w:sz="4" w:space="0"/>
              <w:left w:val="single" w:color="auto" w:sz="4" w:space="0"/>
              <w:bottom w:val="single" w:color="auto" w:sz="4" w:space="0"/>
              <w:right w:val="single" w:color="auto" w:sz="4" w:space="0"/>
            </w:tcBorders>
            <w:vAlign w:val="center"/>
          </w:tcPr>
          <w:p w14:paraId="288E2F55">
            <w:pPr>
              <w:keepNext w:val="0"/>
              <w:keepLines w:val="0"/>
              <w:suppressLineNumbers w:val="0"/>
              <w:spacing w:before="0" w:beforeAutospacing="0" w:after="0" w:afterAutospacing="0"/>
              <w:ind w:left="0" w:right="0"/>
              <w:contextualSpacing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3121" w:type="pct"/>
            <w:tcBorders>
              <w:top w:val="single" w:color="auto" w:sz="4" w:space="0"/>
              <w:left w:val="single" w:color="auto" w:sz="4" w:space="0"/>
              <w:bottom w:val="single" w:color="auto" w:sz="4" w:space="0"/>
              <w:right w:val="single" w:color="auto" w:sz="4" w:space="0"/>
            </w:tcBorders>
            <w:vAlign w:val="center"/>
          </w:tcPr>
          <w:p w14:paraId="332FE106">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对合格中标候选人创意设计方案的创意要求贴合情况进行对比，包括：</w:t>
            </w:r>
          </w:p>
          <w:p w14:paraId="5EBEEEC2">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1、紧扣本届灯光节主题，充分体现全运主题，以多元化科技展现形式，畅享未来生活，展现湾区创新活力和花城广州文化多样性。</w:t>
            </w:r>
          </w:p>
          <w:p w14:paraId="433846B6">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2、作品应充分考虑其互动性和故事性，以及白天与晚上展示效果的统一性。</w:t>
            </w:r>
          </w:p>
          <w:p w14:paraId="0B173C38">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3、灯光作品的创意设计应坚持正确的政治方向、舆论导向、价值取向，弘扬社会主义核心价值观，传递真善美，传播正能量。同时，在创意设计过程中可适当结合当下时代背景和社会热点进行创作。</w:t>
            </w:r>
          </w:p>
          <w:p w14:paraId="46434754">
            <w:pPr>
              <w:pStyle w:val="20"/>
              <w:keepNext w:val="0"/>
              <w:keepLines w:val="0"/>
              <w:suppressLineNumbers w:val="0"/>
              <w:spacing w:before="0" w:beforeAutospacing="0" w:after="0" w:afterAutospacing="0"/>
              <w:ind w:left="0" w:right="0"/>
              <w:rPr>
                <w:rFonts w:hint="default"/>
                <w:color w:val="auto"/>
                <w:highlight w:val="none"/>
              </w:rPr>
            </w:pPr>
            <w:r>
              <w:rPr>
                <w:rFonts w:hint="eastAsia" w:hAnsi="宋体" w:cs="宋体"/>
                <w:color w:val="auto"/>
                <w:szCs w:val="21"/>
                <w:highlight w:val="none"/>
              </w:rPr>
              <w:t>优得[</w:t>
            </w:r>
            <w:r>
              <w:rPr>
                <w:rFonts w:hint="eastAsia" w:hAnsi="宋体" w:cs="宋体"/>
                <w:color w:val="auto"/>
                <w:szCs w:val="21"/>
                <w:highlight w:val="none"/>
                <w:lang w:val="en-US" w:eastAsia="zh-CN"/>
              </w:rPr>
              <w:t>20</w:t>
            </w:r>
            <w:r>
              <w:rPr>
                <w:rFonts w:hint="eastAsia" w:hAnsi="宋体" w:cs="宋体"/>
                <w:color w:val="auto"/>
                <w:szCs w:val="21"/>
                <w:highlight w:val="none"/>
              </w:rPr>
              <w:t>-</w:t>
            </w:r>
            <w:r>
              <w:rPr>
                <w:rFonts w:hint="eastAsia" w:hAnsi="宋体" w:cs="宋体"/>
                <w:color w:val="auto"/>
                <w:szCs w:val="21"/>
                <w:highlight w:val="none"/>
                <w:lang w:val="en-US" w:eastAsia="zh-CN"/>
              </w:rPr>
              <w:t>15</w:t>
            </w:r>
            <w:r>
              <w:rPr>
                <w:rFonts w:hint="eastAsia" w:hAnsi="宋体" w:cs="宋体"/>
                <w:color w:val="auto"/>
                <w:szCs w:val="21"/>
                <w:highlight w:val="none"/>
              </w:rPr>
              <w:t>)分，良得[</w:t>
            </w:r>
            <w:r>
              <w:rPr>
                <w:rFonts w:hint="eastAsia" w:hAnsi="宋体" w:cs="宋体"/>
                <w:color w:val="auto"/>
                <w:szCs w:val="21"/>
                <w:highlight w:val="none"/>
                <w:lang w:val="en-US" w:eastAsia="zh-CN"/>
              </w:rPr>
              <w:t>15</w:t>
            </w:r>
            <w:r>
              <w:rPr>
                <w:rFonts w:hint="eastAsia" w:hAnsi="宋体" w:cs="宋体"/>
                <w:color w:val="auto"/>
                <w:szCs w:val="21"/>
                <w:highlight w:val="none"/>
              </w:rPr>
              <w:t>-</w:t>
            </w:r>
            <w:r>
              <w:rPr>
                <w:rFonts w:hint="eastAsia" w:hAnsi="宋体" w:cs="宋体"/>
                <w:color w:val="auto"/>
                <w:szCs w:val="21"/>
                <w:highlight w:val="none"/>
                <w:lang w:val="en-US" w:eastAsia="zh-CN"/>
              </w:rPr>
              <w:t>10</w:t>
            </w:r>
            <w:r>
              <w:rPr>
                <w:rFonts w:hint="eastAsia" w:hAnsi="宋体" w:cs="宋体"/>
                <w:color w:val="auto"/>
                <w:szCs w:val="21"/>
                <w:highlight w:val="none"/>
              </w:rPr>
              <w:t>)分，</w:t>
            </w:r>
            <w:r>
              <w:rPr>
                <w:rFonts w:hint="eastAsia" w:hAnsi="宋体" w:cs="宋体"/>
                <w:color w:val="auto"/>
                <w:szCs w:val="21"/>
                <w:highlight w:val="none"/>
                <w:lang w:val="en-US"/>
              </w:rPr>
              <w:t>中</w:t>
            </w:r>
            <w:r>
              <w:rPr>
                <w:rFonts w:hint="eastAsia" w:hAnsi="宋体" w:cs="宋体"/>
                <w:color w:val="auto"/>
                <w:szCs w:val="21"/>
                <w:highlight w:val="none"/>
              </w:rPr>
              <w:t>得[</w:t>
            </w:r>
            <w:r>
              <w:rPr>
                <w:rFonts w:hint="eastAsia" w:hAnsi="宋体" w:cs="宋体"/>
                <w:color w:val="auto"/>
                <w:szCs w:val="21"/>
                <w:highlight w:val="none"/>
                <w:lang w:val="en-US" w:eastAsia="zh-CN"/>
              </w:rPr>
              <w:t>10</w:t>
            </w:r>
            <w:r>
              <w:rPr>
                <w:rFonts w:hint="eastAsia" w:hAnsi="宋体" w:cs="宋体"/>
                <w:color w:val="auto"/>
                <w:szCs w:val="21"/>
                <w:highlight w:val="none"/>
              </w:rPr>
              <w:t>-</w:t>
            </w:r>
            <w:r>
              <w:rPr>
                <w:rFonts w:hint="eastAsia" w:hAnsi="宋体" w:cs="宋体"/>
                <w:color w:val="auto"/>
                <w:szCs w:val="21"/>
                <w:highlight w:val="none"/>
                <w:lang w:val="en-US" w:eastAsia="zh-CN"/>
              </w:rPr>
              <w:t>5</w:t>
            </w:r>
            <w:r>
              <w:rPr>
                <w:rFonts w:hint="eastAsia" w:hAnsi="宋体" w:cs="宋体"/>
                <w:color w:val="auto"/>
                <w:szCs w:val="21"/>
                <w:highlight w:val="none"/>
              </w:rPr>
              <w:t>)分，</w:t>
            </w:r>
            <w:r>
              <w:rPr>
                <w:rFonts w:hint="eastAsia" w:hAnsi="宋体" w:cs="宋体"/>
                <w:color w:val="auto"/>
                <w:szCs w:val="21"/>
                <w:highlight w:val="none"/>
                <w:lang w:val="en-US"/>
              </w:rPr>
              <w:t>差或者</w:t>
            </w:r>
            <w:r>
              <w:rPr>
                <w:rFonts w:hint="eastAsia" w:hAnsi="宋体" w:cs="宋体"/>
                <w:color w:val="auto"/>
                <w:szCs w:val="21"/>
                <w:highlight w:val="none"/>
              </w:rPr>
              <w:t>未提供相关内容得0分。</w:t>
            </w:r>
          </w:p>
        </w:tc>
      </w:tr>
      <w:tr w14:paraId="65DE7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77" w:hRule="atLeast"/>
          <w:jc w:val="center"/>
        </w:trPr>
        <w:tc>
          <w:tcPr>
            <w:tcW w:w="385" w:type="pct"/>
            <w:vMerge w:val="continue"/>
            <w:tcBorders>
              <w:right w:val="single" w:color="auto" w:sz="4" w:space="0"/>
            </w:tcBorders>
            <w:vAlign w:val="center"/>
          </w:tcPr>
          <w:p w14:paraId="0BE2DCFF">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tcBorders>
              <w:bottom w:val="single" w:color="auto" w:sz="4" w:space="0"/>
              <w:right w:val="single" w:color="auto" w:sz="4" w:space="0"/>
            </w:tcBorders>
            <w:vAlign w:val="center"/>
          </w:tcPr>
          <w:p w14:paraId="7B5F7678">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zh-CN"/>
              </w:rPr>
            </w:pPr>
            <w:r>
              <w:rPr>
                <w:rFonts w:hint="default" w:ascii="宋体" w:hAnsi="宋体" w:cs="宋体"/>
                <w:color w:val="auto"/>
                <w:szCs w:val="21"/>
                <w:highlight w:val="none"/>
                <w:lang w:val="zh-CN"/>
              </w:rPr>
              <w:t>答辩因素</w:t>
            </w:r>
          </w:p>
          <w:p w14:paraId="1EAC3582">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20分</w:t>
            </w:r>
            <w:r>
              <w:rPr>
                <w:rFonts w:hint="eastAsia" w:ascii="宋体" w:hAnsi="宋体" w:cs="宋体"/>
                <w:color w:val="auto"/>
                <w:szCs w:val="21"/>
                <w:highlight w:val="none"/>
                <w:lang w:val="zh-CN"/>
              </w:rPr>
              <w:t>）</w:t>
            </w:r>
          </w:p>
        </w:tc>
        <w:tc>
          <w:tcPr>
            <w:tcW w:w="705" w:type="pct"/>
            <w:tcBorders>
              <w:top w:val="single" w:color="auto" w:sz="4" w:space="0"/>
              <w:left w:val="single" w:color="auto" w:sz="4" w:space="0"/>
              <w:bottom w:val="single" w:color="auto" w:sz="4" w:space="0"/>
              <w:right w:val="single" w:color="auto" w:sz="4" w:space="0"/>
            </w:tcBorders>
            <w:vAlign w:val="center"/>
          </w:tcPr>
          <w:p w14:paraId="64A11806">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zh-CN"/>
              </w:rPr>
            </w:pPr>
            <w:r>
              <w:rPr>
                <w:rFonts w:hint="eastAsia" w:ascii="宋体" w:hAnsi="宋体" w:cs="宋体"/>
                <w:color w:val="auto"/>
                <w:szCs w:val="21"/>
                <w:highlight w:val="none"/>
              </w:rPr>
              <w:t>合格的中标候选人</w:t>
            </w:r>
            <w:r>
              <w:rPr>
                <w:rFonts w:hint="eastAsia" w:ascii="宋体" w:hAnsi="宋体" w:cs="宋体"/>
                <w:color w:val="auto"/>
                <w:szCs w:val="21"/>
                <w:highlight w:val="none"/>
                <w:lang w:val="zh-CN"/>
              </w:rPr>
              <w:t>对项目方案的介绍及理解能力</w:t>
            </w:r>
          </w:p>
        </w:tc>
        <w:tc>
          <w:tcPr>
            <w:tcW w:w="276" w:type="pct"/>
            <w:tcBorders>
              <w:top w:val="single" w:color="auto" w:sz="4" w:space="0"/>
              <w:left w:val="single" w:color="auto" w:sz="4" w:space="0"/>
              <w:bottom w:val="single" w:color="auto" w:sz="4" w:space="0"/>
              <w:right w:val="single" w:color="auto" w:sz="4" w:space="0"/>
            </w:tcBorders>
            <w:vAlign w:val="center"/>
          </w:tcPr>
          <w:p w14:paraId="66591F8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3121" w:type="pct"/>
            <w:tcBorders>
              <w:top w:val="single" w:color="auto" w:sz="4" w:space="0"/>
              <w:left w:val="single" w:color="auto" w:sz="4" w:space="0"/>
              <w:bottom w:val="single" w:color="auto" w:sz="4" w:space="0"/>
              <w:right w:val="single" w:color="auto" w:sz="4" w:space="0"/>
            </w:tcBorders>
            <w:vAlign w:val="center"/>
          </w:tcPr>
          <w:p w14:paraId="4F40A479">
            <w:pPr>
              <w:keepNext w:val="0"/>
              <w:keepLines w:val="0"/>
              <w:suppressLineNumbers w:val="0"/>
              <w:spacing w:before="0" w:beforeAutospacing="0" w:after="0" w:afterAutospacing="0"/>
              <w:ind w:left="0" w:right="0"/>
              <w:jc w:val="left"/>
              <w:rPr>
                <w:rFonts w:hint="default" w:ascii="宋体" w:hAnsi="宋体" w:cs="宋体"/>
                <w:color w:val="auto"/>
                <w:szCs w:val="21"/>
                <w:highlight w:val="none"/>
                <w:lang w:val="zh-CN"/>
              </w:rPr>
            </w:pPr>
            <w:r>
              <w:rPr>
                <w:rFonts w:hint="eastAsia" w:ascii="宋体" w:hAnsi="宋体" w:cs="宋体"/>
                <w:color w:val="auto"/>
                <w:szCs w:val="21"/>
                <w:highlight w:val="none"/>
              </w:rPr>
              <w:t>合格的中标候选人的拟派项目负责人对</w:t>
            </w:r>
            <w:r>
              <w:rPr>
                <w:rFonts w:hint="eastAsia" w:ascii="宋体" w:hAnsi="宋体" w:cs="宋体"/>
                <w:color w:val="auto"/>
                <w:szCs w:val="21"/>
                <w:highlight w:val="none"/>
                <w:lang w:val="zh-CN"/>
              </w:rPr>
              <w:t>方案进一步介绍、陈述方案亮点，评委可针对陈述内容及方案提问，由答辩人员进行解答。</w:t>
            </w:r>
          </w:p>
          <w:p w14:paraId="49A76763">
            <w:pPr>
              <w:keepNext w:val="0"/>
              <w:keepLines w:val="0"/>
              <w:suppressLineNumbers w:val="0"/>
              <w:spacing w:before="0" w:beforeAutospacing="0" w:after="0" w:afterAutospacing="0"/>
              <w:ind w:left="0" w:right="0"/>
              <w:jc w:val="left"/>
              <w:rPr>
                <w:rFonts w:hint="default" w:ascii="宋体" w:hAnsi="宋体" w:cs="宋体"/>
                <w:color w:val="auto"/>
                <w:szCs w:val="21"/>
                <w:highlight w:val="none"/>
                <w:lang w:val="zh-CN"/>
              </w:rPr>
            </w:pPr>
            <w:r>
              <w:rPr>
                <w:rFonts w:hint="eastAsia" w:ascii="宋体" w:hAnsi="宋体" w:cs="宋体"/>
                <w:color w:val="auto"/>
                <w:szCs w:val="21"/>
                <w:highlight w:val="none"/>
                <w:lang w:val="zh-CN"/>
              </w:rPr>
              <w:t>【优】</w:t>
            </w:r>
            <w:r>
              <w:rPr>
                <w:rFonts w:hint="eastAsia" w:ascii="宋体" w:hAnsi="宋体" w:cs="宋体"/>
                <w:color w:val="auto"/>
                <w:szCs w:val="21"/>
                <w:highlight w:val="none"/>
              </w:rPr>
              <w:t>投标人对</w:t>
            </w:r>
            <w:r>
              <w:rPr>
                <w:rFonts w:hint="default" w:ascii="仿宋" w:hAnsi="仿宋" w:cs="宋体"/>
                <w:color w:val="auto"/>
                <w:szCs w:val="21"/>
                <w:highlight w:val="none"/>
              </w:rPr>
              <w:t>创意</w:t>
            </w:r>
            <w:r>
              <w:rPr>
                <w:rFonts w:hint="eastAsia" w:ascii="仿宋" w:hAnsi="仿宋" w:cs="宋体"/>
                <w:color w:val="auto"/>
                <w:szCs w:val="21"/>
                <w:highlight w:val="none"/>
              </w:rPr>
              <w:t>设计</w:t>
            </w:r>
            <w:r>
              <w:rPr>
                <w:rFonts w:hint="eastAsia" w:ascii="宋体" w:hAnsi="宋体" w:cs="宋体"/>
                <w:color w:val="auto"/>
                <w:szCs w:val="21"/>
                <w:highlight w:val="none"/>
              </w:rPr>
              <w:t>方案总体思路明确，</w:t>
            </w:r>
            <w:r>
              <w:rPr>
                <w:rFonts w:hint="eastAsia" w:ascii="宋体" w:hAnsi="宋体"/>
                <w:color w:val="auto"/>
                <w:highlight w:val="none"/>
              </w:rPr>
              <w:t>项目的重难点分析逻辑清楚、对评委的提问回答清晰，合理可行。</w:t>
            </w:r>
          </w:p>
          <w:p w14:paraId="157B3890">
            <w:pPr>
              <w:keepNext w:val="0"/>
              <w:keepLines w:val="0"/>
              <w:suppressLineNumbers w:val="0"/>
              <w:spacing w:before="0" w:beforeAutospacing="0" w:after="0" w:afterAutospacing="0"/>
              <w:ind w:left="0" w:right="0"/>
              <w:jc w:val="left"/>
              <w:rPr>
                <w:rFonts w:hint="default" w:ascii="宋体" w:hAnsi="宋体" w:cs="宋体"/>
                <w:color w:val="auto"/>
                <w:szCs w:val="21"/>
                <w:highlight w:val="none"/>
                <w:lang w:val="zh-CN"/>
              </w:rPr>
            </w:pPr>
            <w:r>
              <w:rPr>
                <w:rFonts w:hint="eastAsia" w:ascii="宋体" w:hAnsi="宋体" w:cs="宋体"/>
                <w:color w:val="auto"/>
                <w:szCs w:val="21"/>
                <w:highlight w:val="none"/>
                <w:lang w:val="zh-CN"/>
              </w:rPr>
              <w:t>【良】</w:t>
            </w:r>
            <w:r>
              <w:rPr>
                <w:rFonts w:hint="eastAsia" w:ascii="宋体" w:hAnsi="宋体" w:cs="宋体"/>
                <w:color w:val="auto"/>
                <w:szCs w:val="21"/>
                <w:highlight w:val="none"/>
              </w:rPr>
              <w:t>投标人对</w:t>
            </w:r>
            <w:r>
              <w:rPr>
                <w:rFonts w:hint="default" w:ascii="仿宋" w:hAnsi="仿宋" w:cs="宋体"/>
                <w:color w:val="auto"/>
                <w:szCs w:val="21"/>
                <w:highlight w:val="none"/>
              </w:rPr>
              <w:t>创意</w:t>
            </w:r>
            <w:r>
              <w:rPr>
                <w:rFonts w:hint="eastAsia" w:ascii="仿宋" w:hAnsi="仿宋" w:cs="宋体"/>
                <w:color w:val="auto"/>
                <w:szCs w:val="21"/>
                <w:highlight w:val="none"/>
              </w:rPr>
              <w:t>设计</w:t>
            </w:r>
            <w:r>
              <w:rPr>
                <w:rFonts w:hint="eastAsia" w:ascii="宋体" w:hAnsi="宋体" w:cs="宋体"/>
                <w:color w:val="auto"/>
                <w:szCs w:val="21"/>
                <w:highlight w:val="none"/>
              </w:rPr>
              <w:t>方案总体思路较明确，</w:t>
            </w:r>
            <w:r>
              <w:rPr>
                <w:rFonts w:hint="eastAsia" w:ascii="宋体" w:hAnsi="宋体"/>
                <w:color w:val="auto"/>
                <w:highlight w:val="none"/>
              </w:rPr>
              <w:t>项目的重难点分析逻辑较清楚、对评委的提问回答较清晰。</w:t>
            </w:r>
          </w:p>
          <w:p w14:paraId="61C57CD1">
            <w:pPr>
              <w:keepNext w:val="0"/>
              <w:keepLines w:val="0"/>
              <w:suppressLineNumbers w:val="0"/>
              <w:spacing w:before="0" w:beforeAutospacing="0" w:after="0" w:afterAutospacing="0"/>
              <w:ind w:left="0" w:right="0"/>
              <w:jc w:val="left"/>
              <w:rPr>
                <w:rFonts w:hint="default" w:ascii="宋体" w:hAnsi="宋体"/>
                <w:color w:val="auto"/>
                <w:highlight w:val="none"/>
              </w:rPr>
            </w:pPr>
            <w:r>
              <w:rPr>
                <w:rFonts w:hint="eastAsia" w:ascii="宋体" w:hAnsi="宋体" w:cs="宋体"/>
                <w:color w:val="auto"/>
                <w:szCs w:val="21"/>
                <w:highlight w:val="none"/>
                <w:lang w:val="zh-CN"/>
              </w:rPr>
              <w:t>【中】</w:t>
            </w:r>
            <w:r>
              <w:rPr>
                <w:rFonts w:hint="eastAsia" w:ascii="宋体" w:hAnsi="宋体" w:cs="宋体"/>
                <w:color w:val="auto"/>
                <w:szCs w:val="21"/>
                <w:highlight w:val="none"/>
              </w:rPr>
              <w:t>投标人对</w:t>
            </w:r>
            <w:r>
              <w:rPr>
                <w:rFonts w:hint="default" w:ascii="仿宋" w:hAnsi="仿宋" w:cs="宋体"/>
                <w:color w:val="auto"/>
                <w:szCs w:val="21"/>
                <w:highlight w:val="none"/>
              </w:rPr>
              <w:t>创意</w:t>
            </w:r>
            <w:r>
              <w:rPr>
                <w:rFonts w:hint="eastAsia" w:ascii="仿宋" w:hAnsi="仿宋" w:cs="宋体"/>
                <w:color w:val="auto"/>
                <w:szCs w:val="21"/>
                <w:highlight w:val="none"/>
              </w:rPr>
              <w:t>设计</w:t>
            </w:r>
            <w:r>
              <w:rPr>
                <w:rFonts w:hint="eastAsia" w:ascii="宋体" w:hAnsi="宋体" w:cs="宋体"/>
                <w:color w:val="auto"/>
                <w:szCs w:val="21"/>
                <w:highlight w:val="none"/>
              </w:rPr>
              <w:t>方案总体思路一般，</w:t>
            </w:r>
            <w:r>
              <w:rPr>
                <w:rFonts w:hint="eastAsia" w:ascii="宋体" w:hAnsi="宋体"/>
                <w:color w:val="auto"/>
                <w:highlight w:val="none"/>
              </w:rPr>
              <w:t>项目的重难点分析逻辑一般、对评委的提问回答一般。</w:t>
            </w:r>
          </w:p>
          <w:p w14:paraId="3080CFBA">
            <w:pPr>
              <w:pStyle w:val="20"/>
              <w:keepNext w:val="0"/>
              <w:keepLines w:val="0"/>
              <w:suppressLineNumbers w:val="0"/>
              <w:spacing w:before="0" w:beforeAutospacing="0" w:after="0" w:afterAutospacing="0"/>
              <w:ind w:left="0" w:right="0"/>
              <w:rPr>
                <w:rFonts w:hint="default"/>
                <w:color w:val="auto"/>
                <w:highlight w:val="none"/>
              </w:rPr>
            </w:pPr>
            <w:r>
              <w:rPr>
                <w:rFonts w:hint="eastAsia" w:hAnsi="宋体" w:cs="宋体"/>
                <w:color w:val="auto"/>
                <w:szCs w:val="21"/>
                <w:highlight w:val="none"/>
              </w:rPr>
              <w:t>优得[</w:t>
            </w:r>
            <w:r>
              <w:rPr>
                <w:rFonts w:hint="eastAsia" w:hAnsi="宋体" w:cs="宋体"/>
                <w:color w:val="auto"/>
                <w:szCs w:val="21"/>
                <w:highlight w:val="none"/>
                <w:lang w:val="en-US" w:eastAsia="zh-CN"/>
              </w:rPr>
              <w:t>20</w:t>
            </w:r>
            <w:r>
              <w:rPr>
                <w:rFonts w:hint="eastAsia" w:hAnsi="宋体" w:cs="宋体"/>
                <w:color w:val="auto"/>
                <w:szCs w:val="21"/>
                <w:highlight w:val="none"/>
              </w:rPr>
              <w:t>-</w:t>
            </w:r>
            <w:r>
              <w:rPr>
                <w:rFonts w:hint="eastAsia" w:hAnsi="宋体" w:cs="宋体"/>
                <w:color w:val="auto"/>
                <w:szCs w:val="21"/>
                <w:highlight w:val="none"/>
                <w:lang w:val="en-US" w:eastAsia="zh-CN"/>
              </w:rPr>
              <w:t>15</w:t>
            </w:r>
            <w:r>
              <w:rPr>
                <w:rFonts w:hint="eastAsia" w:hAnsi="宋体" w:cs="宋体"/>
                <w:color w:val="auto"/>
                <w:szCs w:val="21"/>
                <w:highlight w:val="none"/>
              </w:rPr>
              <w:t>)分，良得[</w:t>
            </w:r>
            <w:r>
              <w:rPr>
                <w:rFonts w:hint="eastAsia" w:hAnsi="宋体" w:cs="宋体"/>
                <w:color w:val="auto"/>
                <w:szCs w:val="21"/>
                <w:highlight w:val="none"/>
                <w:lang w:val="en-US" w:eastAsia="zh-CN"/>
              </w:rPr>
              <w:t>15</w:t>
            </w:r>
            <w:r>
              <w:rPr>
                <w:rFonts w:hint="eastAsia" w:hAnsi="宋体" w:cs="宋体"/>
                <w:color w:val="auto"/>
                <w:szCs w:val="21"/>
                <w:highlight w:val="none"/>
              </w:rPr>
              <w:t>-</w:t>
            </w:r>
            <w:r>
              <w:rPr>
                <w:rFonts w:hint="eastAsia" w:hAnsi="宋体" w:cs="宋体"/>
                <w:color w:val="auto"/>
                <w:szCs w:val="21"/>
                <w:highlight w:val="none"/>
                <w:lang w:val="en-US" w:eastAsia="zh-CN"/>
              </w:rPr>
              <w:t>10</w:t>
            </w:r>
            <w:r>
              <w:rPr>
                <w:rFonts w:hint="eastAsia" w:hAnsi="宋体" w:cs="宋体"/>
                <w:color w:val="auto"/>
                <w:szCs w:val="21"/>
                <w:highlight w:val="none"/>
              </w:rPr>
              <w:t>)分，</w:t>
            </w:r>
            <w:r>
              <w:rPr>
                <w:rFonts w:hint="eastAsia" w:hAnsi="宋体" w:cs="宋体"/>
                <w:color w:val="auto"/>
                <w:szCs w:val="21"/>
                <w:highlight w:val="none"/>
                <w:lang w:val="en-US"/>
              </w:rPr>
              <w:t>中</w:t>
            </w:r>
            <w:r>
              <w:rPr>
                <w:rFonts w:hint="eastAsia" w:hAnsi="宋体" w:cs="宋体"/>
                <w:color w:val="auto"/>
                <w:szCs w:val="21"/>
                <w:highlight w:val="none"/>
              </w:rPr>
              <w:t>得[</w:t>
            </w:r>
            <w:r>
              <w:rPr>
                <w:rFonts w:hint="eastAsia" w:hAnsi="宋体" w:cs="宋体"/>
                <w:color w:val="auto"/>
                <w:szCs w:val="21"/>
                <w:highlight w:val="none"/>
                <w:lang w:val="en-US" w:eastAsia="zh-CN"/>
              </w:rPr>
              <w:t>10</w:t>
            </w:r>
            <w:r>
              <w:rPr>
                <w:rFonts w:hint="eastAsia" w:hAnsi="宋体" w:cs="宋体"/>
                <w:color w:val="auto"/>
                <w:szCs w:val="21"/>
                <w:highlight w:val="none"/>
              </w:rPr>
              <w:t>-</w:t>
            </w:r>
            <w:r>
              <w:rPr>
                <w:rFonts w:hint="eastAsia" w:hAnsi="宋体" w:cs="宋体"/>
                <w:color w:val="auto"/>
                <w:szCs w:val="21"/>
                <w:highlight w:val="none"/>
                <w:lang w:val="en-US" w:eastAsia="zh-CN"/>
              </w:rPr>
              <w:t>5</w:t>
            </w:r>
            <w:r>
              <w:rPr>
                <w:rFonts w:hint="eastAsia" w:hAnsi="宋体" w:cs="宋体"/>
                <w:color w:val="auto"/>
                <w:szCs w:val="21"/>
                <w:highlight w:val="none"/>
              </w:rPr>
              <w:t>)分，</w:t>
            </w:r>
            <w:r>
              <w:rPr>
                <w:rFonts w:hint="eastAsia" w:hAnsi="宋体" w:cs="宋体"/>
                <w:color w:val="auto"/>
                <w:szCs w:val="21"/>
                <w:highlight w:val="none"/>
                <w:lang w:val="en-US"/>
              </w:rPr>
              <w:t>差或者</w:t>
            </w:r>
            <w:r>
              <w:rPr>
                <w:rFonts w:hint="eastAsia" w:hAnsi="宋体" w:cs="宋体"/>
                <w:color w:val="auto"/>
                <w:szCs w:val="21"/>
                <w:highlight w:val="none"/>
              </w:rPr>
              <w:t>未提供相关内容得0分。</w:t>
            </w:r>
          </w:p>
        </w:tc>
      </w:tr>
      <w:tr w14:paraId="5EDDD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72" w:hRule="atLeast"/>
          <w:jc w:val="center"/>
        </w:trPr>
        <w:tc>
          <w:tcPr>
            <w:tcW w:w="385" w:type="pct"/>
            <w:vMerge w:val="continue"/>
            <w:tcBorders>
              <w:right w:val="single" w:color="auto" w:sz="4" w:space="0"/>
            </w:tcBorders>
            <w:vAlign w:val="center"/>
          </w:tcPr>
          <w:p w14:paraId="6A745E61">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tcBorders>
              <w:bottom w:val="single" w:color="auto" w:sz="4" w:space="0"/>
              <w:right w:val="single" w:color="auto" w:sz="4" w:space="0"/>
            </w:tcBorders>
            <w:vAlign w:val="center"/>
          </w:tcPr>
          <w:p w14:paraId="260C729E">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价格因素</w:t>
            </w:r>
          </w:p>
          <w:p w14:paraId="667C3289">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（10分）</w:t>
            </w:r>
          </w:p>
        </w:tc>
        <w:tc>
          <w:tcPr>
            <w:tcW w:w="705" w:type="pct"/>
            <w:tcBorders>
              <w:top w:val="single" w:color="auto" w:sz="4" w:space="0"/>
              <w:left w:val="single" w:color="auto" w:sz="4" w:space="0"/>
              <w:bottom w:val="single" w:color="auto" w:sz="4" w:space="0"/>
              <w:right w:val="single" w:color="auto" w:sz="4" w:space="0"/>
            </w:tcBorders>
            <w:vAlign w:val="center"/>
          </w:tcPr>
          <w:p w14:paraId="7726736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价格得分</w:t>
            </w:r>
          </w:p>
        </w:tc>
        <w:tc>
          <w:tcPr>
            <w:tcW w:w="276" w:type="pct"/>
            <w:tcBorders>
              <w:top w:val="single" w:color="auto" w:sz="4" w:space="0"/>
              <w:left w:val="single" w:color="auto" w:sz="4" w:space="0"/>
              <w:bottom w:val="single" w:color="auto" w:sz="4" w:space="0"/>
              <w:right w:val="single" w:color="auto" w:sz="4" w:space="0"/>
            </w:tcBorders>
            <w:vAlign w:val="center"/>
          </w:tcPr>
          <w:p w14:paraId="77AAC09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1</w:t>
            </w:r>
            <w:r>
              <w:rPr>
                <w:rFonts w:hint="eastAsia" w:ascii="宋体" w:hAnsi="宋体" w:cs="宋体"/>
                <w:color w:val="auto"/>
                <w:szCs w:val="21"/>
                <w:highlight w:val="none"/>
              </w:rPr>
              <w:t>0</w:t>
            </w:r>
          </w:p>
        </w:tc>
        <w:tc>
          <w:tcPr>
            <w:tcW w:w="3121" w:type="pct"/>
            <w:tcBorders>
              <w:top w:val="single" w:color="auto" w:sz="4" w:space="0"/>
              <w:left w:val="single" w:color="auto" w:sz="4" w:space="0"/>
              <w:bottom w:val="single" w:color="auto" w:sz="4" w:space="0"/>
              <w:right w:val="single" w:color="auto" w:sz="4" w:space="0"/>
            </w:tcBorders>
            <w:vAlign w:val="center"/>
          </w:tcPr>
          <w:p w14:paraId="1E0677EE">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定标委员会对合格中标候选人投标报价进行评审：</w:t>
            </w:r>
          </w:p>
          <w:p w14:paraId="602B073C">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szCs w:val="21"/>
                <w:highlight w:val="none"/>
                <w:lang w:val="zh-CN"/>
              </w:rPr>
            </w:pPr>
            <w:r>
              <w:rPr>
                <w:rFonts w:hint="eastAsia" w:ascii="宋体" w:hAnsi="宋体" w:cs="宋体"/>
                <w:color w:val="auto"/>
                <w:kern w:val="0"/>
                <w:szCs w:val="21"/>
                <w:highlight w:val="none"/>
              </w:rPr>
              <w:t>当合格的中标候选人大于5名时，去掉一个最高价和一个最低价，剩余有效投标价的算术平均值作为评标参考价；当合格的中标候选人小于或等于5名时，取所有入围的有效投标价的算术平均值作为评标参考价。当投标价等于评标参考价时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分，投标价每高于评标参考价1%，扣1分，每低于评标参考价1%，扣0.5分，扣至0分为止，得出经济分，精确到小数点后两位。</w:t>
            </w:r>
          </w:p>
        </w:tc>
      </w:tr>
      <w:tr w14:paraId="2A6E8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72" w:hRule="atLeast"/>
          <w:jc w:val="center"/>
        </w:trPr>
        <w:tc>
          <w:tcPr>
            <w:tcW w:w="385" w:type="pct"/>
            <w:vMerge w:val="continue"/>
            <w:tcBorders>
              <w:right w:val="single" w:color="auto" w:sz="4" w:space="0"/>
            </w:tcBorders>
            <w:vAlign w:val="center"/>
          </w:tcPr>
          <w:p w14:paraId="1F9B0FF3">
            <w:pPr>
              <w:keepNext w:val="0"/>
              <w:keepLines w:val="0"/>
              <w:suppressLineNumbers w:val="0"/>
              <w:spacing w:before="0" w:beforeAutospacing="0" w:after="0" w:afterAutospacing="0"/>
              <w:ind w:left="0" w:right="0"/>
              <w:rPr>
                <w:rFonts w:hint="default" w:ascii="宋体" w:hAnsi="宋体"/>
                <w:color w:val="auto"/>
                <w:highlight w:val="none"/>
              </w:rPr>
            </w:pPr>
          </w:p>
        </w:tc>
        <w:tc>
          <w:tcPr>
            <w:tcW w:w="510" w:type="pct"/>
            <w:tcBorders>
              <w:bottom w:val="single" w:color="auto" w:sz="4" w:space="0"/>
              <w:right w:val="single" w:color="auto" w:sz="4" w:space="0"/>
            </w:tcBorders>
            <w:vAlign w:val="center"/>
          </w:tcPr>
          <w:p w14:paraId="6E85AA41">
            <w:pPr>
              <w:keepNext w:val="0"/>
              <w:keepLines w:val="0"/>
              <w:suppressLineNumbers w:val="0"/>
              <w:spacing w:before="0" w:beforeAutospacing="0" w:after="0" w:afterAutospacing="0"/>
              <w:ind w:left="0" w:right="0"/>
              <w:jc w:val="center"/>
              <w:rPr>
                <w:rFonts w:hint="eastAsia" w:ascii="宋体" w:hAnsi="宋体"/>
                <w:color w:val="auto"/>
                <w:highlight w:val="none"/>
                <w:lang w:val="en-US" w:eastAsia="zh-CN"/>
              </w:rPr>
            </w:pPr>
            <w:r>
              <w:rPr>
                <w:rFonts w:hint="eastAsia" w:ascii="宋体" w:hAnsi="宋体"/>
                <w:color w:val="auto"/>
                <w:highlight w:val="none"/>
                <w:lang w:val="en-US" w:eastAsia="zh-CN"/>
              </w:rPr>
              <w:t>信用评价因素</w:t>
            </w:r>
          </w:p>
          <w:p w14:paraId="6908ED9B">
            <w:pPr>
              <w:keepNext w:val="0"/>
              <w:keepLines w:val="0"/>
              <w:suppressLineNumbers w:val="0"/>
              <w:spacing w:before="0" w:beforeAutospacing="0" w:after="0" w:afterAutospacing="0"/>
              <w:ind w:left="0" w:right="0"/>
              <w:jc w:val="center"/>
              <w:rPr>
                <w:rFonts w:hint="default" w:ascii="宋体" w:hAnsi="宋体"/>
                <w:color w:val="auto"/>
                <w:highlight w:val="none"/>
                <w:lang w:val="en-US" w:eastAsia="zh-CN"/>
              </w:rPr>
            </w:pPr>
            <w:r>
              <w:rPr>
                <w:rFonts w:hint="eastAsia" w:ascii="宋体" w:hAnsi="宋体"/>
                <w:color w:val="auto"/>
                <w:highlight w:val="none"/>
                <w:lang w:val="en-US" w:eastAsia="zh-CN"/>
              </w:rPr>
              <w:t>（5分）</w:t>
            </w:r>
          </w:p>
        </w:tc>
        <w:tc>
          <w:tcPr>
            <w:tcW w:w="705" w:type="pct"/>
            <w:tcBorders>
              <w:top w:val="single" w:color="auto" w:sz="4" w:space="0"/>
              <w:left w:val="single" w:color="auto" w:sz="4" w:space="0"/>
              <w:bottom w:val="single" w:color="auto" w:sz="4" w:space="0"/>
              <w:right w:val="single" w:color="auto" w:sz="4" w:space="0"/>
            </w:tcBorders>
            <w:vAlign w:val="center"/>
          </w:tcPr>
          <w:p w14:paraId="5C6435F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综合信用分</w:t>
            </w:r>
          </w:p>
        </w:tc>
        <w:tc>
          <w:tcPr>
            <w:tcW w:w="276" w:type="pct"/>
            <w:tcBorders>
              <w:top w:val="single" w:color="auto" w:sz="4" w:space="0"/>
              <w:left w:val="single" w:color="auto" w:sz="4" w:space="0"/>
              <w:bottom w:val="single" w:color="auto" w:sz="4" w:space="0"/>
              <w:right w:val="single" w:color="auto" w:sz="4" w:space="0"/>
            </w:tcBorders>
            <w:vAlign w:val="center"/>
          </w:tcPr>
          <w:p w14:paraId="112BA02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3121" w:type="pct"/>
            <w:tcBorders>
              <w:top w:val="single" w:color="auto" w:sz="4" w:space="0"/>
              <w:left w:val="single" w:color="auto" w:sz="4" w:space="0"/>
              <w:bottom w:val="single" w:color="auto" w:sz="4" w:space="0"/>
              <w:right w:val="single" w:color="auto" w:sz="4" w:space="0"/>
            </w:tcBorders>
            <w:vAlign w:val="center"/>
          </w:tcPr>
          <w:p w14:paraId="1C40202D">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综合信用评价得分=投标人的广州公共资源交易信用评价(政府采购供应商信用评价分)x5%。投标人的信用评价分以开标当天广州交易集团有限公司网站公布的分值为准(通过”广州交易集团有限公司网站-信用信息-广州公共资源交易信用平台</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.0”进行核实，未能在网站查询到供应商信用评价分的，以信用评价基准分计算)</w:t>
            </w:r>
            <w:r>
              <w:rPr>
                <w:rFonts w:hint="eastAsia" w:ascii="宋体" w:hAnsi="宋体" w:cs="宋体"/>
                <w:color w:val="auto"/>
                <w:kern w:val="0"/>
                <w:szCs w:val="21"/>
                <w:highlight w:val="none"/>
                <w:lang w:eastAsia="zh-CN"/>
              </w:rPr>
              <w:t>。</w:t>
            </w:r>
          </w:p>
        </w:tc>
      </w:tr>
      <w:tr w14:paraId="77E7C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4CF07E1B">
            <w:pPr>
              <w:keepNext w:val="0"/>
              <w:keepLines w:val="0"/>
              <w:suppressLineNumbers w:val="0"/>
              <w:spacing w:before="0" w:beforeAutospacing="0" w:after="0" w:afterAutospacing="0" w:line="340" w:lineRule="exact"/>
              <w:ind w:left="0" w:right="0"/>
              <w:jc w:val="center"/>
              <w:rPr>
                <w:rFonts w:hint="default" w:ascii="宋体" w:hAnsi="宋体"/>
                <w:color w:val="auto"/>
                <w:szCs w:val="21"/>
                <w:highlight w:val="none"/>
              </w:rPr>
            </w:pPr>
            <w:r>
              <w:rPr>
                <w:rFonts w:hint="eastAsia" w:ascii="宋体" w:hAnsi="宋体"/>
                <w:color w:val="auto"/>
                <w:szCs w:val="21"/>
                <w:highlight w:val="none"/>
              </w:rPr>
              <w:t>其他</w:t>
            </w:r>
          </w:p>
        </w:tc>
        <w:tc>
          <w:tcPr>
            <w:tcW w:w="4614" w:type="pct"/>
            <w:gridSpan w:val="4"/>
            <w:tcBorders>
              <w:top w:val="single" w:color="auto" w:sz="4" w:space="0"/>
              <w:left w:val="single" w:color="auto" w:sz="4" w:space="0"/>
              <w:bottom w:val="single" w:color="auto" w:sz="4" w:space="0"/>
              <w:right w:val="single" w:color="auto" w:sz="4" w:space="0"/>
            </w:tcBorders>
            <w:vAlign w:val="center"/>
          </w:tcPr>
          <w:p w14:paraId="344B34DF">
            <w:pPr>
              <w:keepNext w:val="0"/>
              <w:keepLines w:val="0"/>
              <w:widowControl/>
              <w:suppressLineNumbers w:val="0"/>
              <w:spacing w:before="0" w:beforeAutospacing="0" w:after="0" w:afterAutospacing="0" w:line="400" w:lineRule="exact"/>
              <w:ind w:left="0" w:right="0"/>
              <w:jc w:val="left"/>
              <w:rPr>
                <w:rFonts w:hint="default" w:ascii="宋体" w:hAnsi="宋体"/>
                <w:color w:val="auto"/>
                <w:highlight w:val="none"/>
              </w:rPr>
            </w:pPr>
            <w:r>
              <w:rPr>
                <w:rFonts w:hint="eastAsia" w:ascii="宋体" w:hAnsi="宋体"/>
                <w:color w:val="auto"/>
                <w:highlight w:val="none"/>
              </w:rPr>
              <w:t>（</w:t>
            </w:r>
            <w:r>
              <w:rPr>
                <w:rFonts w:hint="default" w:ascii="宋体" w:hAnsi="宋体"/>
                <w:color w:val="auto"/>
                <w:highlight w:val="none"/>
              </w:rPr>
              <w:t>1）下列情形之一的，视为投标人相互串通投标，做</w:t>
            </w:r>
            <w:r>
              <w:rPr>
                <w:rFonts w:hint="eastAsia" w:ascii="宋体" w:hAnsi="宋体"/>
                <w:color w:val="auto"/>
                <w:highlight w:val="none"/>
              </w:rPr>
              <w:t>无效</w:t>
            </w:r>
            <w:r>
              <w:rPr>
                <w:rFonts w:hint="default" w:ascii="宋体" w:hAnsi="宋体"/>
                <w:color w:val="auto"/>
                <w:highlight w:val="none"/>
              </w:rPr>
              <w:t>标处理。</w:t>
            </w:r>
          </w:p>
          <w:p w14:paraId="1B6FE484">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color w:val="auto"/>
                <w:highlight w:val="none"/>
              </w:rPr>
            </w:pPr>
            <w:r>
              <w:rPr>
                <w:rFonts w:hint="default" w:ascii="宋体" w:hAnsi="宋体"/>
                <w:color w:val="auto"/>
                <w:highlight w:val="none"/>
              </w:rPr>
              <w:t>A)不同投标人的投标文件由同一单位或者个人编制；</w:t>
            </w:r>
          </w:p>
          <w:p w14:paraId="6A58D166">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color w:val="auto"/>
                <w:highlight w:val="none"/>
              </w:rPr>
            </w:pPr>
            <w:r>
              <w:rPr>
                <w:rFonts w:hint="default" w:ascii="宋体" w:hAnsi="宋体"/>
                <w:color w:val="auto"/>
                <w:highlight w:val="none"/>
              </w:rPr>
              <w:t>B)不同投标人委托同一单位或者个人办理投标事宜；</w:t>
            </w:r>
          </w:p>
          <w:p w14:paraId="0763FF0D">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color w:val="auto"/>
                <w:highlight w:val="none"/>
              </w:rPr>
            </w:pPr>
            <w:r>
              <w:rPr>
                <w:rFonts w:hint="default" w:ascii="宋体" w:hAnsi="宋体"/>
                <w:color w:val="auto"/>
                <w:highlight w:val="none"/>
              </w:rPr>
              <w:t>C)不同投标人的投标文件载明的项目管理成员为同一人；</w:t>
            </w:r>
          </w:p>
          <w:p w14:paraId="70079105">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color w:val="auto"/>
                <w:highlight w:val="none"/>
              </w:rPr>
            </w:pPr>
            <w:r>
              <w:rPr>
                <w:rFonts w:hint="default" w:ascii="宋体" w:hAnsi="宋体"/>
                <w:color w:val="auto"/>
                <w:highlight w:val="none"/>
              </w:rPr>
              <w:t>D)不同投标人的投标文件异常一致或者投标报价呈规律性差异；</w:t>
            </w:r>
          </w:p>
          <w:p w14:paraId="499EB5B6">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color w:val="auto"/>
                <w:highlight w:val="none"/>
              </w:rPr>
            </w:pPr>
            <w:r>
              <w:rPr>
                <w:rFonts w:hint="default" w:ascii="宋体" w:hAnsi="宋体"/>
                <w:color w:val="auto"/>
                <w:highlight w:val="none"/>
              </w:rPr>
              <w:t>E)不同投标人的投标文件相互混装</w:t>
            </w:r>
            <w:r>
              <w:rPr>
                <w:rFonts w:hint="eastAsia" w:ascii="宋体" w:hAnsi="宋体"/>
                <w:color w:val="auto"/>
                <w:highlight w:val="none"/>
              </w:rPr>
              <w:t>。</w:t>
            </w:r>
          </w:p>
          <w:p w14:paraId="13B28F79">
            <w:pPr>
              <w:keepNext w:val="0"/>
              <w:keepLines w:val="0"/>
              <w:widowControl/>
              <w:suppressLineNumbers w:val="0"/>
              <w:spacing w:before="0" w:beforeAutospacing="0" w:after="0" w:afterAutospacing="0" w:line="400" w:lineRule="exact"/>
              <w:ind w:left="0" w:right="0"/>
              <w:jc w:val="left"/>
              <w:rPr>
                <w:rFonts w:hint="default" w:ascii="宋体" w:hAnsi="宋体"/>
                <w:color w:val="auto"/>
                <w:highlight w:val="none"/>
              </w:rPr>
            </w:pPr>
            <w:r>
              <w:rPr>
                <w:rFonts w:hint="eastAsia" w:ascii="宋体" w:hAnsi="宋体"/>
                <w:color w:val="auto"/>
                <w:highlight w:val="none"/>
              </w:rPr>
              <w:t>（</w:t>
            </w:r>
            <w:r>
              <w:rPr>
                <w:rFonts w:hint="default" w:ascii="宋体" w:hAnsi="宋体"/>
                <w:color w:val="auto"/>
                <w:highlight w:val="none"/>
              </w:rPr>
              <w:t>2</w:t>
            </w:r>
            <w:r>
              <w:rPr>
                <w:rFonts w:hint="eastAsia" w:ascii="宋体" w:hAnsi="宋体"/>
                <w:color w:val="auto"/>
                <w:highlight w:val="none"/>
              </w:rPr>
              <w:t>）未集中载明的否决投标条款，评标时不予认可。</w:t>
            </w:r>
          </w:p>
          <w:p w14:paraId="1364428C">
            <w:pPr>
              <w:pStyle w:val="36"/>
              <w:keepNext w:val="0"/>
              <w:keepLines w:val="0"/>
              <w:suppressLineNumbers w:val="0"/>
              <w:spacing w:before="0" w:beforeAutospacing="0" w:afterAutospacing="0"/>
              <w:ind w:left="0" w:right="0" w:firstLine="0"/>
              <w:rPr>
                <w:rFonts w:hint="default" w:ascii="宋体" w:hAnsi="宋体"/>
                <w:color w:val="auto"/>
                <w:highlight w:val="none"/>
                <w:lang w:val="en-US"/>
              </w:rPr>
            </w:pPr>
            <w:r>
              <w:rPr>
                <w:rFonts w:hint="eastAsia" w:ascii="宋体" w:hAnsi="宋体"/>
                <w:color w:val="auto"/>
                <w:highlight w:val="none"/>
                <w:lang w:val="en-US"/>
              </w:rPr>
              <w:t>（3）评标过程中如出现意见不统一的情形，以少数服从多数原则进行评审，半数评委通过则为通过。</w:t>
            </w:r>
          </w:p>
        </w:tc>
      </w:tr>
    </w:tbl>
    <w:p w14:paraId="51E48567">
      <w:pPr>
        <w:spacing w:line="300" w:lineRule="exact"/>
        <w:ind w:right="-325" w:rightChars="-155"/>
        <w:rPr>
          <w:rFonts w:ascii="宋体" w:hAnsi="宋体" w:cs="宋体"/>
          <w:color w:val="auto"/>
          <w:szCs w:val="21"/>
          <w:highlight w:val="none"/>
        </w:rPr>
      </w:pPr>
      <w:r>
        <w:rPr>
          <w:rFonts w:hint="eastAsia" w:ascii="宋体" w:hAnsi="宋体" w:cs="宋体"/>
          <w:color w:val="auto"/>
          <w:szCs w:val="21"/>
          <w:highlight w:val="none"/>
        </w:rPr>
        <w:t>注：</w:t>
      </w:r>
    </w:p>
    <w:p w14:paraId="3967C2BA">
      <w:pPr>
        <w:spacing w:line="400" w:lineRule="exact"/>
        <w:rPr>
          <w:rFonts w:ascii="宋体" w:hAnsi="宋体" w:cs="宋体"/>
          <w:color w:val="auto"/>
          <w:szCs w:val="21"/>
          <w:highlight w:val="none"/>
        </w:rPr>
      </w:pPr>
      <w:r>
        <w:rPr>
          <w:rFonts w:hint="eastAsia" w:ascii="宋体" w:hAnsi="宋体" w:cs="宋体"/>
          <w:color w:val="auto"/>
          <w:szCs w:val="21"/>
          <w:highlight w:val="none"/>
        </w:rPr>
        <w:t>1、各合格的中标候选人最多可拟派两位，即项目负责人和</w:t>
      </w:r>
      <w:r>
        <w:rPr>
          <w:rFonts w:hint="eastAsia" w:ascii="宋体" w:hAnsi="宋体" w:cs="宋体"/>
          <w:color w:val="auto"/>
          <w:szCs w:val="21"/>
          <w:highlight w:val="none"/>
          <w:lang w:val="en-US" w:eastAsia="zh-CN"/>
        </w:rPr>
        <w:t>策划负责人</w:t>
      </w:r>
      <w:r>
        <w:rPr>
          <w:rFonts w:hint="eastAsia" w:ascii="宋体" w:hAnsi="宋体" w:cs="宋体"/>
          <w:color w:val="auto"/>
          <w:szCs w:val="21"/>
          <w:highlight w:val="none"/>
        </w:rPr>
        <w:t>参加答辩，或只拟派项目负责人参加答辩（</w:t>
      </w:r>
      <w:r>
        <w:rPr>
          <w:rFonts w:hint="eastAsia" w:ascii="宋体" w:hAnsi="宋体" w:cs="宋体"/>
          <w:color w:val="auto"/>
          <w:szCs w:val="21"/>
          <w:highlight w:val="none"/>
          <w:lang w:val="en-US" w:eastAsia="zh-CN"/>
        </w:rPr>
        <w:t>策划</w:t>
      </w:r>
      <w:r>
        <w:rPr>
          <w:rFonts w:hint="eastAsia" w:ascii="宋体" w:hAnsi="宋体" w:cs="宋体"/>
          <w:color w:val="auto"/>
          <w:szCs w:val="21"/>
          <w:highlight w:val="none"/>
        </w:rPr>
        <w:t>负责人不可单独参与答辩）。答辩人员必须携带本单位法定代表人证明书原件、法定代表人授权委托证明书原件，本人身份证原件参与答辩。</w:t>
      </w:r>
    </w:p>
    <w:p w14:paraId="51270C6A">
      <w:pPr>
        <w:spacing w:line="400" w:lineRule="exact"/>
        <w:rPr>
          <w:rFonts w:ascii="宋体" w:hAnsi="宋体" w:cs="宋体"/>
          <w:color w:val="auto"/>
          <w:szCs w:val="21"/>
          <w:highlight w:val="none"/>
        </w:rPr>
      </w:pPr>
      <w:r>
        <w:rPr>
          <w:rFonts w:hint="eastAsia" w:ascii="宋体" w:hAnsi="宋体" w:cs="宋体"/>
          <w:color w:val="auto"/>
          <w:szCs w:val="21"/>
          <w:highlight w:val="none"/>
        </w:rPr>
        <w:t>2、答辩进场顺序：合格的中标候选人按其在本招标项目《开标记录表》中的序号，由小到大依次排序进行答辩,参与答辩人员采用现场口述</w:t>
      </w:r>
      <w:r>
        <w:rPr>
          <w:rFonts w:ascii="宋体" w:hAnsi="宋体" w:cs="宋体"/>
          <w:color w:val="auto"/>
          <w:szCs w:val="21"/>
          <w:highlight w:val="none"/>
        </w:rPr>
        <w:t>方式进行</w:t>
      </w:r>
      <w:r>
        <w:rPr>
          <w:rFonts w:hint="eastAsia" w:ascii="宋体" w:hAnsi="宋体" w:cs="宋体"/>
          <w:color w:val="auto"/>
          <w:szCs w:val="21"/>
          <w:highlight w:val="none"/>
        </w:rPr>
        <w:t>。</w:t>
      </w:r>
    </w:p>
    <w:p w14:paraId="1335B6F1">
      <w:pPr>
        <w:spacing w:line="400" w:lineRule="exact"/>
        <w:rPr>
          <w:rFonts w:ascii="宋体" w:hAnsi="宋体" w:cs="宋体"/>
          <w:color w:val="auto"/>
          <w:szCs w:val="21"/>
          <w:highlight w:val="none"/>
        </w:rPr>
      </w:pPr>
      <w:r>
        <w:rPr>
          <w:rFonts w:hint="eastAsia" w:ascii="宋体" w:hAnsi="宋体" w:cs="宋体"/>
          <w:color w:val="auto"/>
          <w:szCs w:val="21"/>
          <w:highlight w:val="none"/>
        </w:rPr>
        <w:t>3、各合格的中标候选人参与答辩时间不得超过15分钟。</w:t>
      </w:r>
    </w:p>
    <w:p w14:paraId="6F60EA6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4、各合格中标候选人总得分为各评委评分的算术平均值，若分数出现小数点时，保留小数点后二位，第三位小数四舍五入。</w:t>
      </w:r>
    </w:p>
    <w:p w14:paraId="0AECC7F0">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br w:type="page"/>
      </w:r>
    </w:p>
    <w:p w14:paraId="3B9D2E28">
      <w:pPr>
        <w:spacing w:line="360" w:lineRule="auto"/>
        <w:jc w:val="center"/>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《人员配备表》</w:t>
      </w:r>
    </w:p>
    <w:tbl>
      <w:tblPr>
        <w:tblStyle w:val="38"/>
        <w:tblW w:w="0" w:type="auto"/>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4462"/>
        <w:gridCol w:w="1813"/>
        <w:gridCol w:w="1537"/>
      </w:tblGrid>
      <w:tr w14:paraId="6DAF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14:paraId="38C511C1">
            <w:pPr>
              <w:keepNext w:val="0"/>
              <w:keepLines w:val="0"/>
              <w:suppressLineNumbers w:val="0"/>
              <w:spacing w:before="0" w:beforeAutospacing="0" w:after="0" w:afterAutospacing="0"/>
              <w:ind w:left="0" w:right="0"/>
              <w:jc w:val="center"/>
              <w:rPr>
                <w:rFonts w:hint="eastAsia"/>
                <w:color w:val="auto"/>
                <w:highlight w:val="none"/>
              </w:rPr>
            </w:pPr>
            <w:bookmarkStart w:id="376" w:name="_Toc25252"/>
            <w:bookmarkStart w:id="377" w:name="_Toc128512515"/>
            <w:bookmarkStart w:id="378" w:name="_Toc36632379"/>
            <w:r>
              <w:rPr>
                <w:rFonts w:hint="eastAsia"/>
                <w:color w:val="auto"/>
                <w:highlight w:val="none"/>
              </w:rPr>
              <w:t>序号</w:t>
            </w:r>
          </w:p>
        </w:tc>
        <w:tc>
          <w:tcPr>
            <w:tcW w:w="4462" w:type="dxa"/>
            <w:vAlign w:val="center"/>
          </w:tcPr>
          <w:p w14:paraId="181D57DE">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本项目任职</w:t>
            </w:r>
          </w:p>
        </w:tc>
        <w:tc>
          <w:tcPr>
            <w:tcW w:w="1813" w:type="dxa"/>
            <w:vAlign w:val="center"/>
          </w:tcPr>
          <w:p w14:paraId="38C0A3C2">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数量</w:t>
            </w:r>
          </w:p>
        </w:tc>
        <w:tc>
          <w:tcPr>
            <w:tcW w:w="1537" w:type="dxa"/>
            <w:vAlign w:val="center"/>
          </w:tcPr>
          <w:p w14:paraId="083ED649">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备注</w:t>
            </w:r>
          </w:p>
        </w:tc>
      </w:tr>
      <w:tr w14:paraId="468C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14:paraId="7C0488AB">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1</w:t>
            </w:r>
          </w:p>
        </w:tc>
        <w:tc>
          <w:tcPr>
            <w:tcW w:w="4462" w:type="dxa"/>
            <w:vAlign w:val="center"/>
          </w:tcPr>
          <w:p w14:paraId="66689A1F">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项目负责人</w:t>
            </w:r>
          </w:p>
        </w:tc>
        <w:tc>
          <w:tcPr>
            <w:tcW w:w="1813" w:type="dxa"/>
            <w:vAlign w:val="center"/>
          </w:tcPr>
          <w:p w14:paraId="0DF5EC02">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1名</w:t>
            </w:r>
          </w:p>
        </w:tc>
        <w:tc>
          <w:tcPr>
            <w:tcW w:w="1537" w:type="dxa"/>
            <w:vAlign w:val="center"/>
          </w:tcPr>
          <w:p w14:paraId="361A2FB1">
            <w:pPr>
              <w:keepNext w:val="0"/>
              <w:keepLines w:val="0"/>
              <w:suppressLineNumbers w:val="0"/>
              <w:spacing w:before="0" w:beforeAutospacing="0" w:after="0" w:afterAutospacing="0"/>
              <w:ind w:left="0" w:right="0"/>
              <w:jc w:val="center"/>
              <w:rPr>
                <w:rFonts w:hint="eastAsia"/>
                <w:color w:val="auto"/>
                <w:highlight w:val="none"/>
              </w:rPr>
            </w:pPr>
          </w:p>
        </w:tc>
      </w:tr>
      <w:tr w14:paraId="260D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14:paraId="31E7A8FC">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2</w:t>
            </w:r>
          </w:p>
        </w:tc>
        <w:tc>
          <w:tcPr>
            <w:tcW w:w="4462" w:type="dxa"/>
            <w:vAlign w:val="center"/>
          </w:tcPr>
          <w:p w14:paraId="2D8547ED">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lang w:val="en-US" w:eastAsia="zh-CN"/>
              </w:rPr>
              <w:t>策划</w:t>
            </w:r>
            <w:r>
              <w:rPr>
                <w:rFonts w:hint="eastAsia"/>
                <w:color w:val="auto"/>
                <w:highlight w:val="none"/>
              </w:rPr>
              <w:t>负责人</w:t>
            </w:r>
          </w:p>
        </w:tc>
        <w:tc>
          <w:tcPr>
            <w:tcW w:w="1813" w:type="dxa"/>
            <w:vAlign w:val="center"/>
          </w:tcPr>
          <w:p w14:paraId="7612F9A1">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1名</w:t>
            </w:r>
          </w:p>
        </w:tc>
        <w:tc>
          <w:tcPr>
            <w:tcW w:w="1537" w:type="dxa"/>
            <w:vAlign w:val="center"/>
          </w:tcPr>
          <w:p w14:paraId="4E6AA2C7">
            <w:pPr>
              <w:keepNext w:val="0"/>
              <w:keepLines w:val="0"/>
              <w:suppressLineNumbers w:val="0"/>
              <w:spacing w:before="0" w:beforeAutospacing="0" w:after="0" w:afterAutospacing="0"/>
              <w:ind w:left="0" w:right="0"/>
              <w:jc w:val="center"/>
              <w:rPr>
                <w:rFonts w:hint="eastAsia"/>
                <w:color w:val="auto"/>
                <w:highlight w:val="none"/>
              </w:rPr>
            </w:pPr>
          </w:p>
        </w:tc>
      </w:tr>
      <w:tr w14:paraId="59BB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14:paraId="7BDD3072">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3</w:t>
            </w:r>
          </w:p>
        </w:tc>
        <w:tc>
          <w:tcPr>
            <w:tcW w:w="4462" w:type="dxa"/>
            <w:vAlign w:val="center"/>
          </w:tcPr>
          <w:p w14:paraId="0F62C21C">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lang w:val="en-US" w:eastAsia="zh-CN"/>
              </w:rPr>
              <w:t>制作</w:t>
            </w:r>
            <w:r>
              <w:rPr>
                <w:rFonts w:hint="eastAsia"/>
                <w:color w:val="auto"/>
                <w:highlight w:val="none"/>
              </w:rPr>
              <w:t>总监</w:t>
            </w:r>
          </w:p>
        </w:tc>
        <w:tc>
          <w:tcPr>
            <w:tcW w:w="1813" w:type="dxa"/>
            <w:vAlign w:val="center"/>
          </w:tcPr>
          <w:p w14:paraId="104B74F0">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1名</w:t>
            </w:r>
          </w:p>
        </w:tc>
        <w:tc>
          <w:tcPr>
            <w:tcW w:w="1537" w:type="dxa"/>
            <w:vAlign w:val="center"/>
          </w:tcPr>
          <w:p w14:paraId="20F8863D">
            <w:pPr>
              <w:keepNext w:val="0"/>
              <w:keepLines w:val="0"/>
              <w:suppressLineNumbers w:val="0"/>
              <w:spacing w:before="0" w:beforeAutospacing="0" w:after="0" w:afterAutospacing="0"/>
              <w:ind w:left="0" w:right="0"/>
              <w:jc w:val="center"/>
              <w:rPr>
                <w:rFonts w:hint="eastAsia"/>
                <w:color w:val="auto"/>
                <w:highlight w:val="none"/>
              </w:rPr>
            </w:pPr>
          </w:p>
        </w:tc>
      </w:tr>
      <w:tr w14:paraId="74D0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14:paraId="7940CD03">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lang w:val="en-US" w:eastAsia="zh-CN"/>
              </w:rPr>
              <w:t>4</w:t>
            </w:r>
          </w:p>
        </w:tc>
        <w:tc>
          <w:tcPr>
            <w:tcW w:w="4462" w:type="dxa"/>
            <w:shd w:val="clear" w:color="auto" w:fill="auto"/>
            <w:vAlign w:val="center"/>
          </w:tcPr>
          <w:p w14:paraId="03B41CE2">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color w:val="auto"/>
                <w:kern w:val="2"/>
                <w:sz w:val="21"/>
                <w:szCs w:val="22"/>
                <w:highlight w:val="none"/>
                <w:lang w:val="en-US" w:eastAsia="zh-CN" w:bidi="ar-SA"/>
              </w:rPr>
            </w:pPr>
            <w:r>
              <w:rPr>
                <w:rFonts w:hint="eastAsia"/>
                <w:color w:val="auto"/>
                <w:highlight w:val="none"/>
              </w:rPr>
              <w:t>平面总设计</w:t>
            </w:r>
          </w:p>
        </w:tc>
        <w:tc>
          <w:tcPr>
            <w:tcW w:w="1813" w:type="dxa"/>
            <w:shd w:val="clear" w:color="auto" w:fill="auto"/>
            <w:vAlign w:val="center"/>
          </w:tcPr>
          <w:p w14:paraId="4FA2F576">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color w:val="auto"/>
                <w:kern w:val="2"/>
                <w:sz w:val="21"/>
                <w:szCs w:val="22"/>
                <w:highlight w:val="none"/>
                <w:lang w:val="en-US" w:eastAsia="zh-CN" w:bidi="ar-SA"/>
              </w:rPr>
            </w:pPr>
            <w:r>
              <w:rPr>
                <w:rFonts w:hint="eastAsia"/>
                <w:color w:val="auto"/>
                <w:highlight w:val="none"/>
              </w:rPr>
              <w:t>1名</w:t>
            </w:r>
          </w:p>
        </w:tc>
        <w:tc>
          <w:tcPr>
            <w:tcW w:w="1537" w:type="dxa"/>
            <w:vAlign w:val="center"/>
          </w:tcPr>
          <w:p w14:paraId="2F208E01">
            <w:pPr>
              <w:keepNext w:val="0"/>
              <w:keepLines w:val="0"/>
              <w:suppressLineNumbers w:val="0"/>
              <w:spacing w:before="0" w:beforeAutospacing="0" w:after="0" w:afterAutospacing="0"/>
              <w:ind w:left="0" w:right="0"/>
              <w:jc w:val="center"/>
              <w:rPr>
                <w:rFonts w:hint="eastAsia"/>
                <w:color w:val="auto"/>
                <w:highlight w:val="none"/>
              </w:rPr>
            </w:pPr>
          </w:p>
        </w:tc>
      </w:tr>
      <w:tr w14:paraId="1753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14:paraId="59511B0A">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5</w:t>
            </w:r>
          </w:p>
        </w:tc>
        <w:tc>
          <w:tcPr>
            <w:tcW w:w="4462" w:type="dxa"/>
            <w:shd w:val="clear" w:color="auto" w:fill="auto"/>
            <w:vAlign w:val="center"/>
          </w:tcPr>
          <w:p w14:paraId="2EC55F86">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color w:val="auto"/>
                <w:kern w:val="2"/>
                <w:sz w:val="21"/>
                <w:szCs w:val="22"/>
                <w:highlight w:val="none"/>
                <w:lang w:val="en-US" w:eastAsia="zh-CN" w:bidi="ar-SA"/>
              </w:rPr>
            </w:pPr>
            <w:r>
              <w:rPr>
                <w:rFonts w:hint="eastAsia"/>
                <w:color w:val="auto"/>
                <w:highlight w:val="none"/>
              </w:rPr>
              <w:t>视觉总设计</w:t>
            </w:r>
          </w:p>
        </w:tc>
        <w:tc>
          <w:tcPr>
            <w:tcW w:w="1813" w:type="dxa"/>
            <w:shd w:val="clear" w:color="auto" w:fill="auto"/>
            <w:vAlign w:val="center"/>
          </w:tcPr>
          <w:p w14:paraId="500CA2A1">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color w:val="auto"/>
                <w:kern w:val="2"/>
                <w:sz w:val="21"/>
                <w:szCs w:val="22"/>
                <w:highlight w:val="none"/>
                <w:lang w:val="en-US" w:eastAsia="zh-CN" w:bidi="ar-SA"/>
              </w:rPr>
            </w:pPr>
            <w:r>
              <w:rPr>
                <w:rFonts w:hint="eastAsia"/>
                <w:color w:val="auto"/>
                <w:highlight w:val="none"/>
              </w:rPr>
              <w:t>1名</w:t>
            </w:r>
          </w:p>
        </w:tc>
        <w:tc>
          <w:tcPr>
            <w:tcW w:w="1537" w:type="dxa"/>
            <w:vAlign w:val="center"/>
          </w:tcPr>
          <w:p w14:paraId="626C94D0">
            <w:pPr>
              <w:keepNext w:val="0"/>
              <w:keepLines w:val="0"/>
              <w:suppressLineNumbers w:val="0"/>
              <w:spacing w:before="0" w:beforeAutospacing="0" w:after="0" w:afterAutospacing="0"/>
              <w:ind w:left="0" w:right="0"/>
              <w:jc w:val="center"/>
              <w:rPr>
                <w:rFonts w:hint="eastAsia"/>
                <w:color w:val="auto"/>
                <w:highlight w:val="none"/>
              </w:rPr>
            </w:pPr>
          </w:p>
        </w:tc>
      </w:tr>
    </w:tbl>
    <w:p w14:paraId="2123F08B">
      <w:pPr>
        <w:rPr>
          <w:rFonts w:ascii="宋体" w:hAnsi="宋体"/>
          <w:color w:val="auto"/>
          <w:highlight w:val="none"/>
        </w:rPr>
      </w:pPr>
      <w:r>
        <w:rPr>
          <w:rFonts w:ascii="宋体" w:hAnsi="宋体"/>
          <w:color w:val="auto"/>
          <w:highlight w:val="none"/>
        </w:rPr>
        <w:br w:type="page"/>
      </w:r>
    </w:p>
    <w:p w14:paraId="6E26C7AD">
      <w:pPr>
        <w:pStyle w:val="3"/>
        <w:spacing w:before="0" w:after="0" w:line="360" w:lineRule="auto"/>
        <w:rPr>
          <w:rFonts w:ascii="宋体" w:hAnsi="宋体" w:eastAsia="宋体"/>
          <w:color w:val="auto"/>
          <w:highlight w:val="none"/>
        </w:rPr>
      </w:pPr>
      <w:r>
        <w:rPr>
          <w:rFonts w:ascii="宋体" w:hAnsi="宋体" w:eastAsia="宋体"/>
          <w:color w:val="auto"/>
          <w:highlight w:val="none"/>
        </w:rPr>
        <w:t>1. 评标方法</w:t>
      </w:r>
      <w:bookmarkEnd w:id="376"/>
      <w:bookmarkEnd w:id="377"/>
      <w:bookmarkEnd w:id="378"/>
    </w:p>
    <w:p w14:paraId="3BF8F61E">
      <w:pPr>
        <w:spacing w:line="360" w:lineRule="auto"/>
        <w:ind w:firstLine="420" w:firstLineChars="200"/>
        <w:rPr>
          <w:rFonts w:ascii="宋体" w:hAnsi="宋体"/>
          <w:color w:val="auto"/>
          <w:highlight w:val="none"/>
        </w:rPr>
      </w:pPr>
      <w:r>
        <w:rPr>
          <w:rFonts w:hint="eastAsia" w:ascii="宋体" w:hAnsi="宋体"/>
          <w:color w:val="auto"/>
          <w:highlight w:val="none"/>
        </w:rPr>
        <w:t>本次评标采用</w:t>
      </w:r>
      <w:r>
        <w:rPr>
          <w:rFonts w:ascii="宋体" w:hAnsi="宋体"/>
          <w:color w:val="auto"/>
          <w:highlight w:val="none"/>
          <w:u w:val="single"/>
        </w:rPr>
        <w:t>“</w:t>
      </w:r>
      <w:r>
        <w:rPr>
          <w:rFonts w:hint="eastAsia" w:ascii="宋体" w:hAnsi="宋体"/>
          <w:color w:val="auto"/>
          <w:highlight w:val="none"/>
          <w:u w:val="single"/>
        </w:rPr>
        <w:t>评定分离</w:t>
      </w:r>
      <w:r>
        <w:rPr>
          <w:rFonts w:ascii="宋体" w:hAnsi="宋体"/>
          <w:color w:val="auto"/>
          <w:highlight w:val="none"/>
          <w:u w:val="single"/>
        </w:rPr>
        <w:t>”</w:t>
      </w:r>
      <w:r>
        <w:rPr>
          <w:rFonts w:hint="eastAsia" w:ascii="宋体" w:hAnsi="宋体"/>
          <w:color w:val="auto"/>
          <w:highlight w:val="none"/>
          <w:u w:val="single"/>
        </w:rPr>
        <w:t>定标办法，评标办法为定性评审法。合格的中标候选人推荐的排序方法按照评标办法前附表的规定进行。</w:t>
      </w:r>
    </w:p>
    <w:p w14:paraId="2CFA593F">
      <w:pPr>
        <w:pStyle w:val="3"/>
        <w:spacing w:before="0" w:after="0" w:line="360" w:lineRule="auto"/>
        <w:rPr>
          <w:rFonts w:ascii="宋体" w:hAnsi="宋体" w:eastAsia="宋体"/>
          <w:color w:val="auto"/>
          <w:highlight w:val="none"/>
        </w:rPr>
      </w:pPr>
      <w:bookmarkStart w:id="379" w:name="_Toc533603382"/>
      <w:bookmarkStart w:id="380" w:name="_Toc18870605"/>
      <w:bookmarkStart w:id="381" w:name="_Toc18870816"/>
      <w:bookmarkStart w:id="382" w:name="_Toc128512516"/>
      <w:bookmarkStart w:id="383" w:name="_Toc13205"/>
      <w:bookmarkStart w:id="384" w:name="_Toc18870701"/>
      <w:bookmarkStart w:id="385" w:name="_Toc36632380"/>
      <w:bookmarkStart w:id="386" w:name="_Toc2608080"/>
      <w:r>
        <w:rPr>
          <w:rFonts w:ascii="宋体" w:hAnsi="宋体" w:eastAsia="宋体"/>
          <w:color w:val="auto"/>
          <w:highlight w:val="none"/>
        </w:rPr>
        <w:t>2. 评审标准</w:t>
      </w:r>
      <w:bookmarkEnd w:id="379"/>
      <w:bookmarkEnd w:id="380"/>
      <w:bookmarkEnd w:id="381"/>
      <w:bookmarkEnd w:id="382"/>
      <w:bookmarkEnd w:id="383"/>
      <w:bookmarkEnd w:id="384"/>
      <w:bookmarkEnd w:id="385"/>
      <w:bookmarkEnd w:id="386"/>
    </w:p>
    <w:p w14:paraId="07E2E513">
      <w:pPr>
        <w:pStyle w:val="4"/>
        <w:spacing w:before="0" w:after="0" w:line="360" w:lineRule="auto"/>
        <w:ind w:firstLine="137"/>
        <w:rPr>
          <w:rFonts w:ascii="宋体" w:hAnsi="宋体" w:eastAsia="宋体"/>
          <w:color w:val="auto"/>
          <w:highlight w:val="none"/>
        </w:rPr>
      </w:pPr>
      <w:bookmarkStart w:id="387" w:name="_Toc128512517"/>
      <w:bookmarkStart w:id="388" w:name="_Toc36632381"/>
      <w:bookmarkStart w:id="389" w:name="_Toc18870606"/>
      <w:bookmarkStart w:id="390" w:name="_Toc49510024"/>
      <w:bookmarkStart w:id="391" w:name="_Toc18871012"/>
      <w:bookmarkStart w:id="392" w:name="_Toc49506189"/>
      <w:bookmarkStart w:id="393" w:name="_Toc31047"/>
      <w:bookmarkStart w:id="394" w:name="_Toc18870817"/>
      <w:bookmarkStart w:id="395" w:name="_Toc533603383"/>
      <w:bookmarkStart w:id="396" w:name="_Toc2608081"/>
      <w:bookmarkStart w:id="397" w:name="_Toc18870702"/>
      <w:r>
        <w:rPr>
          <w:rFonts w:ascii="宋体" w:hAnsi="宋体" w:eastAsia="宋体"/>
          <w:color w:val="auto"/>
          <w:highlight w:val="none"/>
        </w:rPr>
        <w:t>2.1 初步评审标准</w:t>
      </w:r>
      <w:bookmarkEnd w:id="387"/>
      <w:bookmarkEnd w:id="388"/>
      <w:bookmarkEnd w:id="389"/>
      <w:bookmarkEnd w:id="390"/>
      <w:bookmarkEnd w:id="391"/>
      <w:bookmarkEnd w:id="392"/>
      <w:bookmarkEnd w:id="393"/>
      <w:bookmarkEnd w:id="394"/>
      <w:bookmarkEnd w:id="395"/>
      <w:bookmarkEnd w:id="396"/>
      <w:bookmarkEnd w:id="397"/>
    </w:p>
    <w:p w14:paraId="53A7F79D">
      <w:pPr>
        <w:spacing w:line="360" w:lineRule="auto"/>
        <w:ind w:firstLine="420" w:firstLineChars="200"/>
        <w:rPr>
          <w:rFonts w:ascii="宋体" w:hAnsi="宋体"/>
          <w:color w:val="auto"/>
          <w:highlight w:val="none"/>
        </w:rPr>
      </w:pPr>
      <w:r>
        <w:rPr>
          <w:rFonts w:ascii="宋体" w:hAnsi="宋体"/>
          <w:color w:val="auto"/>
          <w:highlight w:val="none"/>
        </w:rPr>
        <w:t>2.1.1 形式评审标准：见评标办法前附表。</w:t>
      </w:r>
    </w:p>
    <w:p w14:paraId="21A1F996">
      <w:pPr>
        <w:spacing w:line="360" w:lineRule="auto"/>
        <w:ind w:firstLine="420" w:firstLineChars="200"/>
        <w:rPr>
          <w:rFonts w:ascii="宋体" w:hAnsi="宋体"/>
          <w:color w:val="auto"/>
          <w:highlight w:val="none"/>
        </w:rPr>
      </w:pPr>
      <w:r>
        <w:rPr>
          <w:rFonts w:ascii="宋体" w:hAnsi="宋体"/>
          <w:color w:val="auto"/>
          <w:highlight w:val="none"/>
        </w:rPr>
        <w:t>2.1.2 资格评审标准：见评标办法前附表。</w:t>
      </w:r>
    </w:p>
    <w:p w14:paraId="50BB228D">
      <w:pPr>
        <w:spacing w:line="360" w:lineRule="auto"/>
        <w:ind w:firstLine="420" w:firstLineChars="200"/>
        <w:rPr>
          <w:rFonts w:ascii="宋体" w:hAnsi="宋体"/>
          <w:color w:val="auto"/>
          <w:highlight w:val="none"/>
        </w:rPr>
      </w:pPr>
      <w:r>
        <w:rPr>
          <w:rFonts w:ascii="宋体" w:hAnsi="宋体"/>
          <w:color w:val="auto"/>
          <w:highlight w:val="none"/>
        </w:rPr>
        <w:t>2.1.3 响应性评审标准：见评标办法前附表。</w:t>
      </w:r>
    </w:p>
    <w:p w14:paraId="2CD0169E">
      <w:pPr>
        <w:pStyle w:val="3"/>
        <w:spacing w:before="0" w:after="0" w:line="360" w:lineRule="auto"/>
        <w:rPr>
          <w:rFonts w:ascii="宋体" w:hAnsi="宋体" w:eastAsia="宋体"/>
          <w:color w:val="auto"/>
          <w:highlight w:val="none"/>
        </w:rPr>
      </w:pPr>
      <w:bookmarkStart w:id="398" w:name="_Toc128512519"/>
      <w:bookmarkStart w:id="399" w:name="_Toc18870819"/>
      <w:bookmarkStart w:id="400" w:name="_Toc18886"/>
      <w:bookmarkStart w:id="401" w:name="_Toc18870608"/>
      <w:bookmarkStart w:id="402" w:name="_Toc533603385"/>
      <w:bookmarkStart w:id="403" w:name="_Toc2608083"/>
      <w:bookmarkStart w:id="404" w:name="_Toc18870704"/>
      <w:bookmarkStart w:id="405" w:name="_Toc36632383"/>
      <w:r>
        <w:rPr>
          <w:rFonts w:ascii="宋体" w:hAnsi="宋体" w:eastAsia="宋体"/>
          <w:color w:val="auto"/>
          <w:highlight w:val="none"/>
        </w:rPr>
        <w:t>3. 评标程序</w:t>
      </w:r>
      <w:bookmarkEnd w:id="398"/>
      <w:bookmarkEnd w:id="399"/>
      <w:bookmarkEnd w:id="400"/>
      <w:bookmarkEnd w:id="401"/>
      <w:bookmarkEnd w:id="402"/>
      <w:bookmarkEnd w:id="403"/>
      <w:bookmarkEnd w:id="404"/>
      <w:bookmarkEnd w:id="405"/>
    </w:p>
    <w:p w14:paraId="7FC5CD1E">
      <w:pPr>
        <w:pStyle w:val="4"/>
        <w:spacing w:before="0" w:after="0" w:line="360" w:lineRule="auto"/>
        <w:ind w:firstLine="137"/>
        <w:rPr>
          <w:rFonts w:ascii="宋体" w:hAnsi="宋体" w:eastAsia="宋体"/>
          <w:color w:val="auto"/>
          <w:highlight w:val="none"/>
        </w:rPr>
      </w:pPr>
      <w:bookmarkStart w:id="406" w:name="_Toc2608084"/>
      <w:bookmarkStart w:id="407" w:name="_Toc49506192"/>
      <w:bookmarkStart w:id="408" w:name="_Toc18871015"/>
      <w:bookmarkStart w:id="409" w:name="_Toc18870820"/>
      <w:bookmarkStart w:id="410" w:name="_Toc18870609"/>
      <w:bookmarkStart w:id="411" w:name="_Toc533603386"/>
      <w:bookmarkStart w:id="412" w:name="_Toc36632384"/>
      <w:bookmarkStart w:id="413" w:name="_Toc8164"/>
      <w:bookmarkStart w:id="414" w:name="_Toc49510027"/>
      <w:bookmarkStart w:id="415" w:name="_Toc18870705"/>
      <w:bookmarkStart w:id="416" w:name="_Toc128512520"/>
      <w:r>
        <w:rPr>
          <w:rFonts w:ascii="宋体" w:hAnsi="宋体" w:eastAsia="宋体"/>
          <w:color w:val="auto"/>
          <w:highlight w:val="none"/>
        </w:rPr>
        <w:t>3.1 初步评审</w:t>
      </w:r>
      <w:bookmarkEnd w:id="406"/>
      <w:bookmarkEnd w:id="407"/>
      <w:bookmarkEnd w:id="408"/>
      <w:bookmarkEnd w:id="409"/>
      <w:bookmarkEnd w:id="410"/>
      <w:bookmarkEnd w:id="411"/>
      <w:bookmarkEnd w:id="412"/>
      <w:bookmarkEnd w:id="413"/>
      <w:bookmarkEnd w:id="414"/>
      <w:bookmarkEnd w:id="415"/>
      <w:bookmarkEnd w:id="416"/>
    </w:p>
    <w:p w14:paraId="12470182">
      <w:pPr>
        <w:spacing w:line="360" w:lineRule="auto"/>
        <w:ind w:firstLine="420" w:firstLineChars="200"/>
        <w:rPr>
          <w:rFonts w:ascii="宋体" w:hAnsi="宋体"/>
          <w:color w:val="auto"/>
          <w:highlight w:val="none"/>
        </w:rPr>
      </w:pPr>
      <w:r>
        <w:rPr>
          <w:rFonts w:ascii="宋体" w:hAnsi="宋体"/>
          <w:color w:val="auto"/>
          <w:highlight w:val="none"/>
        </w:rPr>
        <w:t>3.1.1评标委员会依据本章第2.1款规定的标准对投标文件进行初步评审。有一项不符合评审标准的，评标委员会应当否决其投标。</w:t>
      </w:r>
    </w:p>
    <w:p w14:paraId="265DC605">
      <w:pPr>
        <w:spacing w:line="360" w:lineRule="auto"/>
        <w:ind w:firstLine="420" w:firstLineChars="200"/>
        <w:rPr>
          <w:rFonts w:ascii="宋体" w:hAnsi="宋体"/>
          <w:color w:val="auto"/>
          <w:highlight w:val="none"/>
        </w:rPr>
      </w:pPr>
      <w:r>
        <w:rPr>
          <w:rFonts w:ascii="宋体" w:hAnsi="宋体"/>
          <w:color w:val="auto"/>
          <w:highlight w:val="none"/>
        </w:rPr>
        <w:t xml:space="preserve">3.1.2 </w:t>
      </w:r>
      <w:r>
        <w:rPr>
          <w:rFonts w:hint="eastAsia" w:ascii="宋体" w:hAnsi="宋体"/>
          <w:color w:val="auto"/>
          <w:highlight w:val="none"/>
        </w:rPr>
        <w:t>投标人有以下情形之一的，评标委员会应当否决其投标：</w:t>
      </w:r>
    </w:p>
    <w:p w14:paraId="5EDF436B">
      <w:pPr>
        <w:spacing w:line="360" w:lineRule="auto"/>
        <w:ind w:firstLine="420" w:firstLineChars="200"/>
        <w:rPr>
          <w:rFonts w:ascii="宋体" w:hAnsi="宋体"/>
          <w:color w:val="auto"/>
          <w:highlight w:val="none"/>
        </w:rPr>
      </w:pPr>
      <w:r>
        <w:rPr>
          <w:rFonts w:ascii="宋体" w:hAnsi="宋体"/>
          <w:color w:val="auto"/>
          <w:highlight w:val="none"/>
        </w:rPr>
        <w:t>（1）投标文件没有对招标文件的实质性要求和条件作出响应，或者对招标文件的偏差超出招标文件规定的偏差范围或最高项数；</w:t>
      </w:r>
    </w:p>
    <w:p w14:paraId="329A4C8F">
      <w:pPr>
        <w:spacing w:line="360" w:lineRule="auto"/>
        <w:ind w:firstLine="420" w:firstLineChars="200"/>
        <w:rPr>
          <w:rFonts w:ascii="宋体" w:hAnsi="宋体"/>
          <w:color w:val="auto"/>
          <w:highlight w:val="none"/>
        </w:rPr>
      </w:pPr>
      <w:r>
        <w:rPr>
          <w:rFonts w:ascii="宋体" w:hAnsi="宋体"/>
          <w:color w:val="auto"/>
          <w:highlight w:val="none"/>
        </w:rPr>
        <w:t>（2）有串通投标、弄虚作假、行贿等违法行为。</w:t>
      </w:r>
    </w:p>
    <w:p w14:paraId="613BA8CE">
      <w:pPr>
        <w:spacing w:line="360" w:lineRule="auto"/>
        <w:ind w:firstLine="420" w:firstLineChars="200"/>
        <w:rPr>
          <w:rFonts w:ascii="宋体" w:hAnsi="宋体"/>
          <w:color w:val="auto"/>
          <w:highlight w:val="none"/>
        </w:rPr>
      </w:pPr>
      <w:r>
        <w:rPr>
          <w:rFonts w:ascii="宋体" w:hAnsi="宋体"/>
          <w:color w:val="auto"/>
          <w:highlight w:val="none"/>
        </w:rPr>
        <w:t>3.1.3 投标报价有算术错误及其他错误的，评标委员会按以下原则要求投标人对投标报价进</w:t>
      </w:r>
      <w:bookmarkStart w:id="417" w:name="_Toc152045603"/>
      <w:bookmarkStart w:id="418" w:name="_Toc247514027"/>
      <w:bookmarkStart w:id="419" w:name="_Toc384308277"/>
      <w:bookmarkStart w:id="420" w:name="_Toc152042380"/>
      <w:bookmarkStart w:id="421" w:name="_Toc247527628"/>
      <w:bookmarkStart w:id="422" w:name="_Toc300835013"/>
      <w:bookmarkStart w:id="423" w:name="_Toc369531582"/>
      <w:bookmarkStart w:id="424" w:name="_Toc352691538"/>
      <w:bookmarkStart w:id="425" w:name="_Toc144974570"/>
      <w:bookmarkStart w:id="426" w:name="_Toc361508651"/>
      <w:bookmarkStart w:id="427" w:name="_Toc2907"/>
      <w:r>
        <w:rPr>
          <w:rFonts w:ascii="宋体" w:hAnsi="宋体"/>
          <w:color w:val="auto"/>
          <w:highlight w:val="none"/>
        </w:rPr>
        <w:t>行修正，并要求投标人书面澄清确认。</w:t>
      </w:r>
      <w:bookmarkEnd w:id="417"/>
      <w:bookmarkEnd w:id="418"/>
      <w:bookmarkEnd w:id="419"/>
      <w:bookmarkEnd w:id="420"/>
      <w:bookmarkEnd w:id="421"/>
      <w:bookmarkEnd w:id="422"/>
      <w:bookmarkEnd w:id="423"/>
      <w:bookmarkEnd w:id="424"/>
      <w:bookmarkEnd w:id="425"/>
      <w:bookmarkEnd w:id="426"/>
      <w:bookmarkEnd w:id="427"/>
      <w:r>
        <w:rPr>
          <w:rFonts w:ascii="宋体" w:hAnsi="宋体"/>
          <w:color w:val="auto"/>
          <w:highlight w:val="none"/>
        </w:rPr>
        <w:t>投标人拒不澄清确认的，评标委员会应当否决其投标：</w:t>
      </w:r>
    </w:p>
    <w:p w14:paraId="6F228383">
      <w:pPr>
        <w:spacing w:line="360" w:lineRule="auto"/>
        <w:ind w:firstLine="420" w:firstLineChars="200"/>
        <w:rPr>
          <w:rFonts w:ascii="宋体" w:hAnsi="宋体"/>
          <w:color w:val="auto"/>
          <w:highlight w:val="none"/>
        </w:rPr>
      </w:pPr>
      <w:r>
        <w:rPr>
          <w:rFonts w:ascii="宋体" w:hAnsi="宋体"/>
          <w:color w:val="auto"/>
          <w:highlight w:val="none"/>
        </w:rPr>
        <w:t>（1）投标文件中的大写金额与小写金额不一致的，以大写金额为准；</w:t>
      </w:r>
    </w:p>
    <w:p w14:paraId="15CD972C">
      <w:pPr>
        <w:spacing w:line="360" w:lineRule="auto"/>
        <w:ind w:firstLine="420" w:firstLineChars="200"/>
        <w:rPr>
          <w:rFonts w:ascii="宋体" w:hAnsi="宋体"/>
          <w:color w:val="auto"/>
          <w:highlight w:val="none"/>
        </w:rPr>
      </w:pPr>
      <w:r>
        <w:rPr>
          <w:rFonts w:ascii="宋体" w:hAnsi="宋体"/>
          <w:color w:val="auto"/>
          <w:highlight w:val="none"/>
        </w:rPr>
        <w:t>（2）总价金额与单价金额不一致的，以单价金额为准，但单价金额小数点有明显错误的除外。</w:t>
      </w:r>
    </w:p>
    <w:p w14:paraId="4B6A9C4D">
      <w:pPr>
        <w:spacing w:line="360" w:lineRule="auto"/>
        <w:ind w:firstLine="420" w:firstLineChars="200"/>
        <w:rPr>
          <w:rFonts w:ascii="宋体" w:hAnsi="宋体"/>
          <w:color w:val="auto"/>
          <w:highlight w:val="none"/>
        </w:rPr>
      </w:pPr>
      <w:r>
        <w:rPr>
          <w:rFonts w:ascii="宋体" w:hAnsi="宋体"/>
          <w:color w:val="auto"/>
          <w:highlight w:val="none"/>
        </w:rPr>
        <w:t>（3）当修正后的报价小于原投标报价，中标价按修正后的报价执行；当修正后的报价大于原投标报价，中标价按原报价执行。</w:t>
      </w:r>
    </w:p>
    <w:p w14:paraId="3CCA0836">
      <w:pPr>
        <w:spacing w:line="360" w:lineRule="auto"/>
        <w:ind w:firstLine="420" w:firstLineChars="200"/>
        <w:rPr>
          <w:rFonts w:ascii="宋体" w:hAnsi="宋体"/>
          <w:color w:val="auto"/>
          <w:highlight w:val="none"/>
        </w:rPr>
      </w:pPr>
      <w:r>
        <w:rPr>
          <w:rFonts w:ascii="宋体" w:hAnsi="宋体"/>
          <w:color w:val="auto"/>
          <w:highlight w:val="none"/>
        </w:rPr>
        <w:t>（4）投标报价评分以投标人修正后的价格进行计算。</w:t>
      </w:r>
    </w:p>
    <w:p w14:paraId="5CADA30A">
      <w:pPr>
        <w:pStyle w:val="12"/>
        <w:spacing w:line="360" w:lineRule="auto"/>
        <w:ind w:firstLineChars="200"/>
        <w:rPr>
          <w:color w:val="auto"/>
          <w:highlight w:val="none"/>
        </w:rPr>
      </w:pPr>
      <w:r>
        <w:rPr>
          <w:rFonts w:ascii="宋体" w:hAnsi="宋体"/>
          <w:color w:val="auto"/>
          <w:highlight w:val="none"/>
        </w:rPr>
        <w:t>（5）如果投标人不接受修正后的价格，评标委员会应当否决其投标。</w:t>
      </w:r>
    </w:p>
    <w:p w14:paraId="7D0B16F0">
      <w:pPr>
        <w:pStyle w:val="4"/>
        <w:spacing w:before="0" w:after="0" w:line="360" w:lineRule="auto"/>
        <w:ind w:firstLine="137"/>
        <w:rPr>
          <w:rFonts w:ascii="宋体" w:hAnsi="宋体" w:eastAsia="宋体"/>
          <w:color w:val="auto"/>
          <w:highlight w:val="none"/>
        </w:rPr>
      </w:pPr>
      <w:bookmarkStart w:id="428" w:name="_Toc128512522"/>
      <w:bookmarkStart w:id="429" w:name="_Toc49506194"/>
      <w:bookmarkStart w:id="430" w:name="_Toc18871017"/>
      <w:bookmarkStart w:id="431" w:name="_Toc18870822"/>
      <w:bookmarkStart w:id="432" w:name="_Toc49510029"/>
      <w:bookmarkStart w:id="433" w:name="_Toc2596"/>
      <w:bookmarkStart w:id="434" w:name="_Toc18870707"/>
      <w:bookmarkStart w:id="435" w:name="_Toc36632386"/>
      <w:bookmarkStart w:id="436" w:name="_Toc18870611"/>
      <w:bookmarkStart w:id="437" w:name="_Toc533603388"/>
      <w:bookmarkStart w:id="438" w:name="_Toc2608086"/>
      <w:r>
        <w:rPr>
          <w:rFonts w:ascii="宋体" w:hAnsi="宋体" w:eastAsia="宋体"/>
          <w:color w:val="auto"/>
          <w:highlight w:val="none"/>
        </w:rPr>
        <w:t>3.</w:t>
      </w:r>
      <w:r>
        <w:rPr>
          <w:rFonts w:hint="eastAsia" w:ascii="宋体" w:hAnsi="宋体" w:eastAsia="宋体"/>
          <w:color w:val="auto"/>
          <w:highlight w:val="none"/>
          <w:lang w:val="en-US"/>
        </w:rPr>
        <w:t>2</w:t>
      </w:r>
      <w:r>
        <w:rPr>
          <w:rFonts w:ascii="宋体" w:hAnsi="宋体" w:eastAsia="宋体"/>
          <w:color w:val="auto"/>
          <w:highlight w:val="none"/>
        </w:rPr>
        <w:t xml:space="preserve"> 投标文件的澄清</w:t>
      </w:r>
      <w:bookmarkEnd w:id="428"/>
      <w:bookmarkEnd w:id="429"/>
      <w:bookmarkEnd w:id="430"/>
      <w:bookmarkEnd w:id="431"/>
      <w:bookmarkEnd w:id="432"/>
      <w:bookmarkEnd w:id="433"/>
      <w:bookmarkEnd w:id="434"/>
      <w:bookmarkEnd w:id="435"/>
      <w:bookmarkEnd w:id="436"/>
      <w:bookmarkEnd w:id="437"/>
      <w:bookmarkEnd w:id="438"/>
    </w:p>
    <w:p w14:paraId="2E97AFE7">
      <w:pPr>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2</w:t>
      </w:r>
      <w:r>
        <w:rPr>
          <w:rFonts w:ascii="宋体" w:hAnsi="宋体"/>
          <w:color w:val="auto"/>
          <w:highlight w:val="none"/>
        </w:rPr>
        <w:t>.1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65748FE">
      <w:pPr>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2</w:t>
      </w:r>
      <w:r>
        <w:rPr>
          <w:rFonts w:ascii="宋体" w:hAnsi="宋体"/>
          <w:color w:val="auto"/>
          <w:highlight w:val="none"/>
        </w:rPr>
        <w:t>.2 澄清、说明或补正不得超出投标文件的范围且不得改变投标文件的实质性内容，并构成投标文件的组成部分。</w:t>
      </w:r>
    </w:p>
    <w:p w14:paraId="2CE3E3C9">
      <w:pPr>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2</w:t>
      </w:r>
      <w:r>
        <w:rPr>
          <w:rFonts w:ascii="宋体" w:hAnsi="宋体"/>
          <w:color w:val="auto"/>
          <w:highlight w:val="none"/>
        </w:rPr>
        <w:t>.3 评标委员会对投标人提交的澄清、说明或补正有疑问的，可以要求投标人进一步澄清、说明或补正，直至满足评标委员会的要求。</w:t>
      </w:r>
    </w:p>
    <w:p w14:paraId="7D572D2E">
      <w:pPr>
        <w:pStyle w:val="4"/>
        <w:spacing w:before="0" w:after="0" w:line="360" w:lineRule="auto"/>
        <w:ind w:firstLine="137"/>
        <w:rPr>
          <w:rFonts w:ascii="宋体" w:hAnsi="宋体" w:eastAsia="宋体"/>
          <w:color w:val="auto"/>
          <w:highlight w:val="none"/>
        </w:rPr>
      </w:pPr>
      <w:bookmarkStart w:id="439" w:name="_Toc36632387"/>
      <w:bookmarkStart w:id="440" w:name="_Toc18871018"/>
      <w:bookmarkStart w:id="441" w:name="_Toc18870708"/>
      <w:bookmarkStart w:id="442" w:name="_Toc128512523"/>
      <w:bookmarkStart w:id="443" w:name="_Toc533603389"/>
      <w:bookmarkStart w:id="444" w:name="_Toc2608087"/>
      <w:bookmarkStart w:id="445" w:name="_Toc18517"/>
      <w:bookmarkStart w:id="446" w:name="_Toc18870823"/>
      <w:bookmarkStart w:id="447" w:name="_Toc49510030"/>
      <w:bookmarkStart w:id="448" w:name="_Toc18870612"/>
      <w:bookmarkStart w:id="449" w:name="_Toc49506195"/>
      <w:r>
        <w:rPr>
          <w:rFonts w:ascii="宋体" w:hAnsi="宋体" w:eastAsia="宋体"/>
          <w:color w:val="auto"/>
          <w:highlight w:val="none"/>
        </w:rPr>
        <w:t>3.</w:t>
      </w:r>
      <w:r>
        <w:rPr>
          <w:rFonts w:hint="eastAsia" w:ascii="宋体" w:hAnsi="宋体" w:eastAsia="宋体"/>
          <w:color w:val="auto"/>
          <w:highlight w:val="none"/>
          <w:lang w:val="en-US"/>
        </w:rPr>
        <w:t>3</w:t>
      </w:r>
      <w:r>
        <w:rPr>
          <w:rFonts w:ascii="宋体" w:hAnsi="宋体" w:eastAsia="宋体"/>
          <w:color w:val="auto"/>
          <w:highlight w:val="none"/>
        </w:rPr>
        <w:t xml:space="preserve"> </w:t>
      </w:r>
      <w:r>
        <w:rPr>
          <w:rFonts w:hint="eastAsia" w:ascii="宋体" w:hAnsi="宋体" w:eastAsia="宋体"/>
          <w:color w:val="auto"/>
          <w:highlight w:val="none"/>
        </w:rPr>
        <w:t>评标结果</w:t>
      </w:r>
      <w:bookmarkEnd w:id="439"/>
      <w:bookmarkEnd w:id="440"/>
      <w:bookmarkEnd w:id="441"/>
      <w:bookmarkEnd w:id="442"/>
      <w:bookmarkEnd w:id="443"/>
      <w:bookmarkEnd w:id="444"/>
      <w:bookmarkEnd w:id="445"/>
      <w:bookmarkEnd w:id="446"/>
      <w:bookmarkEnd w:id="447"/>
      <w:bookmarkEnd w:id="448"/>
      <w:bookmarkEnd w:id="449"/>
    </w:p>
    <w:p w14:paraId="659D08C5">
      <w:pPr>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3</w:t>
      </w:r>
      <w:r>
        <w:rPr>
          <w:rFonts w:ascii="宋体" w:hAnsi="宋体"/>
          <w:color w:val="auto"/>
          <w:highlight w:val="none"/>
        </w:rPr>
        <w:t xml:space="preserve">.1 </w:t>
      </w:r>
      <w:r>
        <w:rPr>
          <w:rFonts w:hint="eastAsia" w:ascii="宋体" w:hAnsi="宋体"/>
          <w:color w:val="auto"/>
          <w:highlight w:val="none"/>
          <w:u w:val="single"/>
        </w:rPr>
        <w:t>评标委员会按照招标文件规定，向招标人推荐合格的中标候选人，合格的中标候选人不排序。合格的中标候选人少于</w:t>
      </w:r>
      <w:r>
        <w:rPr>
          <w:rFonts w:ascii="宋体" w:hAnsi="宋体"/>
          <w:color w:val="auto"/>
          <w:highlight w:val="none"/>
          <w:u w:val="single"/>
        </w:rPr>
        <w:t>3</w:t>
      </w:r>
      <w:r>
        <w:rPr>
          <w:rFonts w:hint="eastAsia" w:ascii="宋体" w:hAnsi="宋体"/>
          <w:color w:val="auto"/>
          <w:highlight w:val="none"/>
          <w:u w:val="single"/>
        </w:rPr>
        <w:t>家的，应当重新招标。</w:t>
      </w:r>
    </w:p>
    <w:p w14:paraId="1B7FA09E">
      <w:pPr>
        <w:spacing w:line="360" w:lineRule="auto"/>
        <w:ind w:firstLine="420" w:firstLineChars="200"/>
        <w:rPr>
          <w:rFonts w:ascii="宋体" w:hAnsi="宋体"/>
          <w:color w:val="auto"/>
          <w:highlight w:val="none"/>
        </w:rPr>
      </w:pPr>
      <w:r>
        <w:rPr>
          <w:rFonts w:ascii="宋体" w:hAnsi="宋体"/>
          <w:color w:val="auto"/>
          <w:highlight w:val="none"/>
        </w:rPr>
        <w:t xml:space="preserve">3.4.2 </w:t>
      </w:r>
      <w:r>
        <w:rPr>
          <w:rFonts w:hint="eastAsia" w:ascii="宋体" w:hAnsi="宋体"/>
          <w:color w:val="auto"/>
          <w:highlight w:val="none"/>
        </w:rPr>
        <w:t>评标委员会完成评标后，应当向招标人提交书面评标报告。</w:t>
      </w:r>
    </w:p>
    <w:p w14:paraId="68BF2096">
      <w:pPr>
        <w:pStyle w:val="3"/>
        <w:spacing w:before="0" w:after="0" w:line="360" w:lineRule="auto"/>
        <w:rPr>
          <w:rFonts w:ascii="宋体" w:hAnsi="宋体" w:eastAsia="宋体"/>
          <w:color w:val="auto"/>
          <w:highlight w:val="none"/>
        </w:rPr>
      </w:pPr>
      <w:bookmarkStart w:id="450" w:name="_Toc128512524"/>
      <w:bookmarkStart w:id="451" w:name="_Toc9171"/>
      <w:r>
        <w:rPr>
          <w:rFonts w:ascii="宋体" w:hAnsi="宋体" w:eastAsia="宋体"/>
          <w:color w:val="auto"/>
          <w:highlight w:val="none"/>
        </w:rPr>
        <w:t xml:space="preserve">4. </w:t>
      </w:r>
      <w:r>
        <w:rPr>
          <w:rFonts w:hint="eastAsia" w:ascii="宋体" w:hAnsi="宋体" w:eastAsia="宋体"/>
          <w:color w:val="auto"/>
          <w:highlight w:val="none"/>
        </w:rPr>
        <w:t>定标程序</w:t>
      </w:r>
      <w:bookmarkEnd w:id="450"/>
      <w:bookmarkEnd w:id="451"/>
    </w:p>
    <w:p w14:paraId="6F7AB0E5">
      <w:pPr>
        <w:pStyle w:val="4"/>
        <w:spacing w:before="0" w:after="0" w:line="360" w:lineRule="auto"/>
        <w:ind w:firstLine="137"/>
        <w:rPr>
          <w:rFonts w:ascii="宋体" w:hAnsi="宋体" w:eastAsia="宋体"/>
          <w:color w:val="auto"/>
          <w:highlight w:val="none"/>
        </w:rPr>
      </w:pPr>
      <w:bookmarkStart w:id="452" w:name="_Toc49510032"/>
      <w:bookmarkStart w:id="453" w:name="_Toc128512525"/>
      <w:bookmarkStart w:id="454" w:name="_Toc49506197"/>
      <w:bookmarkStart w:id="455" w:name="_Toc12569"/>
      <w:r>
        <w:rPr>
          <w:rFonts w:ascii="宋体" w:hAnsi="宋体" w:eastAsia="宋体"/>
          <w:color w:val="auto"/>
          <w:highlight w:val="none"/>
        </w:rPr>
        <w:t xml:space="preserve">4.1 </w:t>
      </w:r>
      <w:r>
        <w:rPr>
          <w:rFonts w:hint="eastAsia" w:ascii="宋体" w:hAnsi="宋体" w:eastAsia="宋体"/>
          <w:color w:val="auto"/>
          <w:highlight w:val="none"/>
        </w:rPr>
        <w:t>定标委员会</w:t>
      </w:r>
      <w:bookmarkEnd w:id="452"/>
      <w:bookmarkEnd w:id="453"/>
      <w:bookmarkEnd w:id="454"/>
      <w:bookmarkEnd w:id="455"/>
    </w:p>
    <w:p w14:paraId="591DB9B2">
      <w:pPr>
        <w:spacing w:line="360" w:lineRule="auto"/>
        <w:ind w:firstLine="420" w:firstLineChars="200"/>
        <w:rPr>
          <w:rFonts w:ascii="宋体" w:hAnsi="宋体"/>
          <w:color w:val="auto"/>
          <w:highlight w:val="none"/>
        </w:rPr>
      </w:pPr>
      <w:r>
        <w:rPr>
          <w:rFonts w:hint="eastAsia" w:ascii="宋体" w:hAnsi="宋体"/>
          <w:color w:val="auto"/>
          <w:highlight w:val="none"/>
        </w:rPr>
        <w:t>评标结束后，招标人按以下规定组建定标委员会，在评标委员会推荐的合格的中标候选人中选定中标人：</w:t>
      </w:r>
    </w:p>
    <w:p w14:paraId="450B9434">
      <w:pPr>
        <w:spacing w:line="360" w:lineRule="auto"/>
        <w:ind w:firstLine="420" w:firstLineChars="200"/>
        <w:rPr>
          <w:rFonts w:ascii="宋体" w:hAnsi="宋体"/>
          <w:color w:val="auto"/>
          <w:highlight w:val="none"/>
        </w:rPr>
      </w:pPr>
      <w:r>
        <w:rPr>
          <w:rFonts w:hint="eastAsia" w:ascii="宋体" w:hAnsi="宋体"/>
          <w:color w:val="auto"/>
          <w:highlight w:val="none"/>
        </w:rPr>
        <w:t>定标由招标人依法组建的定标委员会负责，成员数量为</w:t>
      </w:r>
      <w:r>
        <w:rPr>
          <w:rFonts w:ascii="宋体" w:hAnsi="宋体"/>
          <w:color w:val="auto"/>
          <w:highlight w:val="none"/>
        </w:rPr>
        <w:t>5</w:t>
      </w:r>
      <w:r>
        <w:rPr>
          <w:rFonts w:hint="eastAsia" w:ascii="宋体" w:hAnsi="宋体"/>
          <w:color w:val="auto"/>
          <w:highlight w:val="none"/>
        </w:rPr>
        <w:t>人或以上单数。成员可由招标人工作人员担任，也可由招标人邀请外单位人员担任，除招标人领导班子成员担任定标委员会成员外，定标委员会成员需具备相应专业能力。</w:t>
      </w:r>
    </w:p>
    <w:p w14:paraId="17FB64E6">
      <w:pPr>
        <w:pStyle w:val="4"/>
        <w:spacing w:before="0" w:after="0" w:line="360" w:lineRule="auto"/>
        <w:ind w:firstLine="137"/>
        <w:rPr>
          <w:rFonts w:ascii="宋体" w:hAnsi="宋体" w:eastAsia="宋体"/>
          <w:color w:val="auto"/>
          <w:highlight w:val="none"/>
        </w:rPr>
      </w:pPr>
      <w:bookmarkStart w:id="456" w:name="_Toc128512528"/>
      <w:bookmarkStart w:id="457" w:name="_Toc49510033"/>
      <w:bookmarkStart w:id="458" w:name="_Toc49506198"/>
      <w:bookmarkStart w:id="459" w:name="_Toc24405"/>
      <w:r>
        <w:rPr>
          <w:rFonts w:ascii="宋体" w:hAnsi="宋体" w:eastAsia="宋体"/>
          <w:color w:val="auto"/>
          <w:highlight w:val="none"/>
        </w:rPr>
        <w:t>4.</w:t>
      </w:r>
      <w:r>
        <w:rPr>
          <w:rFonts w:hint="eastAsia" w:ascii="宋体" w:hAnsi="宋体" w:eastAsia="宋体"/>
          <w:color w:val="auto"/>
          <w:highlight w:val="none"/>
        </w:rPr>
        <w:t>2</w:t>
      </w:r>
      <w:r>
        <w:rPr>
          <w:rFonts w:ascii="宋体" w:hAnsi="宋体" w:eastAsia="宋体"/>
          <w:color w:val="auto"/>
          <w:highlight w:val="none"/>
        </w:rPr>
        <w:t xml:space="preserve"> </w:t>
      </w:r>
      <w:r>
        <w:rPr>
          <w:rFonts w:hint="eastAsia" w:ascii="宋体" w:hAnsi="宋体" w:eastAsia="宋体"/>
          <w:color w:val="auto"/>
          <w:highlight w:val="none"/>
        </w:rPr>
        <w:t>定标时间和地点</w:t>
      </w:r>
      <w:bookmarkEnd w:id="456"/>
      <w:bookmarkEnd w:id="457"/>
      <w:bookmarkEnd w:id="458"/>
      <w:bookmarkEnd w:id="459"/>
    </w:p>
    <w:p w14:paraId="6884F22F">
      <w:pPr>
        <w:spacing w:line="360" w:lineRule="auto"/>
        <w:ind w:firstLine="420" w:firstLineChars="200"/>
        <w:rPr>
          <w:rFonts w:ascii="宋体" w:hAnsi="宋体"/>
          <w:color w:val="auto"/>
          <w:highlight w:val="none"/>
        </w:rPr>
      </w:pPr>
      <w:r>
        <w:rPr>
          <w:rFonts w:hint="eastAsia" w:ascii="宋体" w:hAnsi="宋体"/>
          <w:color w:val="auto"/>
          <w:highlight w:val="none"/>
        </w:rPr>
        <w:t>招标人在合格的中标候选人公示完成后10个工作日内进入本项目招标投标交易场所开展定标工作，在广州交易集团有限公司（广州公共资源交易中心）举行定标会议，招标人按规定程序在投标人须知的时间和地点完成定标工作。</w:t>
      </w:r>
    </w:p>
    <w:p w14:paraId="04159AF1">
      <w:pPr>
        <w:pStyle w:val="4"/>
        <w:spacing w:before="0" w:after="0" w:line="360" w:lineRule="auto"/>
        <w:ind w:firstLine="137"/>
        <w:rPr>
          <w:rFonts w:ascii="宋体" w:hAnsi="宋体" w:eastAsia="宋体"/>
          <w:color w:val="auto"/>
          <w:highlight w:val="none"/>
        </w:rPr>
      </w:pPr>
      <w:bookmarkStart w:id="460" w:name="_Toc128512529"/>
      <w:bookmarkStart w:id="461" w:name="_Toc49506199"/>
      <w:bookmarkStart w:id="462" w:name="_Toc9123"/>
      <w:bookmarkStart w:id="463" w:name="_Toc49510034"/>
      <w:r>
        <w:rPr>
          <w:rFonts w:ascii="宋体" w:hAnsi="宋体" w:eastAsia="宋体"/>
          <w:color w:val="auto"/>
          <w:highlight w:val="none"/>
        </w:rPr>
        <w:t>4.</w:t>
      </w:r>
      <w:r>
        <w:rPr>
          <w:rFonts w:hint="eastAsia" w:ascii="宋体" w:hAnsi="宋体" w:eastAsia="宋体"/>
          <w:color w:val="auto"/>
          <w:highlight w:val="none"/>
          <w:lang w:val="en-US"/>
        </w:rPr>
        <w:t>3</w:t>
      </w:r>
      <w:r>
        <w:rPr>
          <w:rFonts w:ascii="宋体" w:hAnsi="宋体" w:eastAsia="宋体"/>
          <w:color w:val="auto"/>
          <w:highlight w:val="none"/>
        </w:rPr>
        <w:t xml:space="preserve"> </w:t>
      </w:r>
      <w:r>
        <w:rPr>
          <w:rFonts w:hint="eastAsia" w:ascii="宋体" w:hAnsi="宋体" w:eastAsia="宋体"/>
          <w:color w:val="auto"/>
          <w:highlight w:val="none"/>
        </w:rPr>
        <w:t>定标规则</w:t>
      </w:r>
      <w:bookmarkEnd w:id="460"/>
      <w:bookmarkEnd w:id="461"/>
      <w:bookmarkEnd w:id="462"/>
      <w:bookmarkEnd w:id="463"/>
    </w:p>
    <w:p w14:paraId="1636DD2E">
      <w:pPr>
        <w:spacing w:line="360" w:lineRule="auto"/>
        <w:ind w:firstLine="420" w:firstLineChars="200"/>
        <w:rPr>
          <w:rFonts w:ascii="宋体" w:hAnsi="宋体"/>
          <w:color w:val="auto"/>
          <w:highlight w:val="none"/>
        </w:rPr>
      </w:pPr>
      <w:r>
        <w:rPr>
          <w:rFonts w:hint="eastAsia" w:ascii="宋体" w:hAnsi="宋体"/>
          <w:color w:val="auto"/>
          <w:highlight w:val="none"/>
        </w:rPr>
        <w:t>本项目采用</w:t>
      </w:r>
      <w:r>
        <w:rPr>
          <w:rFonts w:hint="eastAsia" w:ascii="宋体" w:hAnsi="宋体"/>
          <w:color w:val="auto"/>
          <w:highlight w:val="none"/>
          <w:u w:val="single"/>
        </w:rPr>
        <w:t>“评分”</w:t>
      </w:r>
      <w:r>
        <w:rPr>
          <w:rFonts w:hint="eastAsia" w:ascii="宋体" w:hAnsi="宋体"/>
          <w:color w:val="auto"/>
          <w:highlight w:val="none"/>
        </w:rPr>
        <w:t>定标，定标方法如下：</w:t>
      </w:r>
    </w:p>
    <w:p w14:paraId="5238A8B7">
      <w:pPr>
        <w:spacing w:line="360" w:lineRule="auto"/>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3</w:t>
      </w:r>
      <w:r>
        <w:rPr>
          <w:rFonts w:ascii="宋体" w:hAnsi="宋体"/>
          <w:color w:val="auto"/>
          <w:highlight w:val="none"/>
        </w:rPr>
        <w:t xml:space="preserve">.1 </w:t>
      </w:r>
      <w:r>
        <w:rPr>
          <w:rFonts w:hint="eastAsia" w:ascii="宋体" w:hAnsi="宋体"/>
          <w:color w:val="auto"/>
          <w:highlight w:val="none"/>
        </w:rPr>
        <w:t>定标程序</w:t>
      </w:r>
    </w:p>
    <w:p w14:paraId="5ADBD0BF">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）定标委员会应推荐一人为定标委员会组长，主持当次定标会议。</w:t>
      </w:r>
    </w:p>
    <w:p w14:paraId="4ADFE275">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）定标参考资料为评标阶段的评标报告、投标人提交的投标文件及定标前期工作小组出具的复核报告等资料。</w:t>
      </w:r>
    </w:p>
    <w:p w14:paraId="4ED93E0D">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）定标委员会根据定标因素的评审标准进行打分：</w:t>
      </w:r>
    </w:p>
    <w:p w14:paraId="78ADC895">
      <w:pPr>
        <w:spacing w:line="360" w:lineRule="auto"/>
        <w:ind w:firstLine="840" w:firstLineChars="400"/>
        <w:rPr>
          <w:rFonts w:hint="default" w:ascii="宋体" w:hAnsi="宋体" w:eastAsia="宋体"/>
          <w:color w:val="auto"/>
          <w:highlight w:val="none"/>
          <w:lang w:val="en-US" w:eastAsia="zh-CN"/>
        </w:rPr>
      </w:pPr>
      <w:r>
        <w:rPr>
          <w:rFonts w:hint="eastAsia" w:ascii="宋体" w:hAnsi="宋体"/>
          <w:color w:val="auto"/>
          <w:highlight w:val="none"/>
          <w:lang w:val="en-US" w:eastAsia="zh-CN"/>
        </w:rPr>
        <w:t>1</w:t>
      </w:r>
      <w:r>
        <w:rPr>
          <w:rFonts w:hint="eastAsia" w:ascii="宋体" w:hAnsi="宋体"/>
          <w:color w:val="auto"/>
          <w:highlight w:val="none"/>
          <w:lang w:eastAsia="zh-CN"/>
        </w:rPr>
        <w:t>）</w:t>
      </w:r>
      <w:r>
        <w:rPr>
          <w:rFonts w:hint="eastAsia" w:ascii="宋体" w:hAnsi="宋体"/>
          <w:color w:val="auto"/>
          <w:highlight w:val="none"/>
          <w:lang w:val="en-US" w:eastAsia="zh-CN"/>
        </w:rPr>
        <w:t>商务因素：</w:t>
      </w:r>
      <w:r>
        <w:rPr>
          <w:rFonts w:ascii="宋体" w:hAnsi="宋体"/>
          <w:color w:val="auto"/>
          <w:highlight w:val="none"/>
        </w:rPr>
        <w:t>见评标办法前附表</w:t>
      </w:r>
      <w:r>
        <w:rPr>
          <w:rFonts w:hint="eastAsia" w:ascii="宋体" w:hAnsi="宋体"/>
          <w:color w:val="auto"/>
          <w:highlight w:val="none"/>
        </w:rPr>
        <w:t>。</w:t>
      </w:r>
    </w:p>
    <w:p w14:paraId="7DA07168">
      <w:pPr>
        <w:spacing w:line="360" w:lineRule="auto"/>
        <w:ind w:firstLine="840" w:firstLineChars="400"/>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）方案</w:t>
      </w:r>
      <w:r>
        <w:rPr>
          <w:rFonts w:hint="eastAsia" w:ascii="仿宋" w:hAnsi="仿宋" w:cs="宋体"/>
          <w:color w:val="auto"/>
          <w:szCs w:val="21"/>
          <w:highlight w:val="none"/>
        </w:rPr>
        <w:t>因素</w:t>
      </w:r>
      <w:r>
        <w:rPr>
          <w:rFonts w:hint="eastAsia" w:ascii="宋体" w:hAnsi="宋体"/>
          <w:color w:val="auto"/>
          <w:highlight w:val="none"/>
        </w:rPr>
        <w:t>：</w:t>
      </w:r>
      <w:r>
        <w:rPr>
          <w:rFonts w:ascii="宋体" w:hAnsi="宋体"/>
          <w:color w:val="auto"/>
          <w:highlight w:val="none"/>
        </w:rPr>
        <w:t>见评标办法前附表</w:t>
      </w:r>
      <w:r>
        <w:rPr>
          <w:rFonts w:hint="eastAsia" w:ascii="宋体" w:hAnsi="宋体"/>
          <w:color w:val="auto"/>
          <w:highlight w:val="none"/>
        </w:rPr>
        <w:t>。</w:t>
      </w:r>
    </w:p>
    <w:p w14:paraId="5BE16935">
      <w:pPr>
        <w:spacing w:line="360" w:lineRule="auto"/>
        <w:ind w:firstLine="840" w:firstLineChars="400"/>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w:t>
      </w:r>
      <w:r>
        <w:rPr>
          <w:rFonts w:hint="eastAsia" w:ascii="仿宋" w:hAnsi="仿宋" w:cs="宋体"/>
          <w:color w:val="auto"/>
          <w:szCs w:val="21"/>
          <w:highlight w:val="none"/>
        </w:rPr>
        <w:t>答辩因素</w:t>
      </w:r>
      <w:r>
        <w:rPr>
          <w:rFonts w:hint="eastAsia" w:ascii="宋体" w:hAnsi="宋体"/>
          <w:color w:val="auto"/>
          <w:highlight w:val="none"/>
        </w:rPr>
        <w:t>：</w:t>
      </w:r>
      <w:r>
        <w:rPr>
          <w:rFonts w:ascii="宋体" w:hAnsi="宋体"/>
          <w:color w:val="auto"/>
          <w:highlight w:val="none"/>
        </w:rPr>
        <w:t>见评标办法前附表</w:t>
      </w:r>
      <w:r>
        <w:rPr>
          <w:rFonts w:hint="eastAsia" w:ascii="宋体" w:hAnsi="宋体"/>
          <w:color w:val="auto"/>
          <w:highlight w:val="none"/>
        </w:rPr>
        <w:t>。</w:t>
      </w:r>
    </w:p>
    <w:p w14:paraId="3B302EE2">
      <w:pPr>
        <w:spacing w:line="360" w:lineRule="auto"/>
        <w:ind w:firstLine="840" w:firstLineChars="400"/>
        <w:rPr>
          <w:rFonts w:hint="default" w:ascii="宋体" w:hAnsi="宋体"/>
          <w:color w:val="auto"/>
          <w:highlight w:val="none"/>
          <w:lang w:val="en-US"/>
        </w:rPr>
      </w:pPr>
      <w:r>
        <w:rPr>
          <w:rFonts w:hint="eastAsia" w:ascii="宋体" w:hAnsi="宋体"/>
          <w:color w:val="auto"/>
          <w:highlight w:val="none"/>
          <w:lang w:val="en-US" w:eastAsia="zh-CN"/>
        </w:rPr>
        <w:t>4</w:t>
      </w:r>
      <w:r>
        <w:rPr>
          <w:rFonts w:hint="eastAsia" w:ascii="宋体" w:hAnsi="宋体"/>
          <w:color w:val="auto"/>
          <w:highlight w:val="none"/>
        </w:rPr>
        <w:t>）价格因素：</w:t>
      </w:r>
      <w:r>
        <w:rPr>
          <w:rFonts w:ascii="宋体" w:hAnsi="宋体"/>
          <w:color w:val="auto"/>
          <w:highlight w:val="none"/>
        </w:rPr>
        <w:t>见评标办法前附表</w:t>
      </w:r>
      <w:r>
        <w:rPr>
          <w:rFonts w:hint="eastAsia" w:ascii="宋体" w:hAnsi="宋体"/>
          <w:color w:val="auto"/>
          <w:highlight w:val="none"/>
        </w:rPr>
        <w:t>。</w:t>
      </w:r>
    </w:p>
    <w:p w14:paraId="1D2898E4">
      <w:pPr>
        <w:spacing w:line="360" w:lineRule="auto"/>
        <w:ind w:firstLine="840" w:firstLineChars="4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w:t>
      </w:r>
      <w:r>
        <w:rPr>
          <w:rFonts w:hint="eastAsia" w:ascii="宋体" w:hAnsi="宋体"/>
          <w:color w:val="auto"/>
          <w:highlight w:val="none"/>
          <w:lang w:val="en-US" w:eastAsia="zh-CN"/>
        </w:rPr>
        <w:t>信用评价因素</w:t>
      </w:r>
      <w:r>
        <w:rPr>
          <w:rFonts w:hint="eastAsia" w:ascii="宋体" w:hAnsi="宋体"/>
          <w:color w:val="auto"/>
          <w:highlight w:val="none"/>
        </w:rPr>
        <w:t>：</w:t>
      </w:r>
      <w:r>
        <w:rPr>
          <w:rFonts w:ascii="宋体" w:hAnsi="宋体"/>
          <w:color w:val="auto"/>
          <w:highlight w:val="none"/>
        </w:rPr>
        <w:t>见评标办法前附表</w:t>
      </w:r>
      <w:r>
        <w:rPr>
          <w:rFonts w:hint="eastAsia" w:ascii="宋体" w:hAnsi="宋体"/>
          <w:color w:val="auto"/>
          <w:highlight w:val="none"/>
        </w:rPr>
        <w:t>。</w:t>
      </w:r>
    </w:p>
    <w:p w14:paraId="72C2185C">
      <w:pPr>
        <w:spacing w:line="360" w:lineRule="auto"/>
        <w:ind w:firstLine="420" w:firstLineChars="200"/>
        <w:rPr>
          <w:rFonts w:ascii="宋体" w:hAnsi="宋体"/>
          <w:color w:val="auto"/>
          <w:highlight w:val="none"/>
        </w:rPr>
      </w:pPr>
      <w:r>
        <w:rPr>
          <w:rFonts w:hint="eastAsia" w:ascii="宋体" w:hAnsi="宋体"/>
          <w:color w:val="auto"/>
          <w:highlight w:val="none"/>
        </w:rPr>
        <w:t>（4）总得分（满分100分）=</w:t>
      </w:r>
      <w:r>
        <w:rPr>
          <w:rFonts w:hint="eastAsia" w:ascii="宋体" w:hAnsi="宋体"/>
          <w:color w:val="auto"/>
          <w:highlight w:val="none"/>
          <w:lang w:val="en-US" w:eastAsia="zh-CN"/>
        </w:rPr>
        <w:t>商务因素得分（满分20分）+</w:t>
      </w:r>
      <w:r>
        <w:rPr>
          <w:rFonts w:hint="eastAsia" w:ascii="宋体" w:hAnsi="宋体"/>
          <w:color w:val="auto"/>
          <w:highlight w:val="none"/>
        </w:rPr>
        <w:t>方案因素得分（满分</w:t>
      </w:r>
      <w:r>
        <w:rPr>
          <w:rFonts w:hint="eastAsia" w:ascii="宋体" w:hAnsi="宋体"/>
          <w:color w:val="auto"/>
          <w:highlight w:val="none"/>
          <w:lang w:val="en-US" w:eastAsia="zh-CN"/>
        </w:rPr>
        <w:t>45</w:t>
      </w:r>
      <w:r>
        <w:rPr>
          <w:rFonts w:hint="eastAsia" w:ascii="宋体" w:hAnsi="宋体"/>
          <w:color w:val="auto"/>
          <w:highlight w:val="none"/>
        </w:rPr>
        <w:t>分）+答辩因素得分（满分</w:t>
      </w:r>
      <w:r>
        <w:rPr>
          <w:rFonts w:hint="eastAsia" w:ascii="宋体" w:hAnsi="宋体"/>
          <w:color w:val="auto"/>
          <w:highlight w:val="none"/>
          <w:lang w:val="en-US" w:eastAsia="zh-CN"/>
        </w:rPr>
        <w:t>20</w:t>
      </w:r>
      <w:r>
        <w:rPr>
          <w:rFonts w:hint="eastAsia" w:ascii="宋体" w:hAnsi="宋体"/>
          <w:color w:val="auto"/>
          <w:highlight w:val="none"/>
        </w:rPr>
        <w:t>分）+价格因素得分（满分</w:t>
      </w:r>
      <w:r>
        <w:rPr>
          <w:rFonts w:hint="eastAsia" w:ascii="宋体" w:hAnsi="宋体"/>
          <w:color w:val="auto"/>
          <w:highlight w:val="none"/>
          <w:lang w:val="en-US" w:eastAsia="zh-CN"/>
        </w:rPr>
        <w:t>10</w:t>
      </w:r>
      <w:r>
        <w:rPr>
          <w:rFonts w:hint="eastAsia" w:ascii="宋体" w:hAnsi="宋体"/>
          <w:color w:val="auto"/>
          <w:highlight w:val="none"/>
        </w:rPr>
        <w:t>分）</w:t>
      </w:r>
      <w:r>
        <w:rPr>
          <w:rFonts w:hint="eastAsia" w:ascii="宋体" w:hAnsi="宋体"/>
          <w:color w:val="auto"/>
          <w:highlight w:val="none"/>
          <w:lang w:val="en-US" w:eastAsia="zh-CN"/>
        </w:rPr>
        <w:t>+信用评价因素（满分5分）</w:t>
      </w:r>
      <w:r>
        <w:rPr>
          <w:rFonts w:hint="eastAsia" w:ascii="宋体" w:hAnsi="宋体"/>
          <w:color w:val="auto"/>
          <w:highlight w:val="none"/>
        </w:rPr>
        <w:t>。总得分四舍五入保留两位小数。将合格的中标候选人的总得分由高至低进行排序，定标委员会推荐排名第一的合格的中标候选人为中标人。</w:t>
      </w:r>
    </w:p>
    <w:p w14:paraId="68381BE9">
      <w:pPr>
        <w:spacing w:line="360" w:lineRule="auto"/>
        <w:ind w:firstLine="840" w:firstLineChars="400"/>
        <w:rPr>
          <w:rFonts w:ascii="宋体" w:hAnsi="宋体"/>
          <w:color w:val="auto"/>
          <w:highlight w:val="none"/>
        </w:rPr>
      </w:pPr>
      <w:r>
        <w:rPr>
          <w:rFonts w:hint="eastAsia" w:ascii="宋体" w:hAnsi="宋体"/>
          <w:color w:val="auto"/>
          <w:highlight w:val="none"/>
        </w:rPr>
        <w:t>注：</w:t>
      </w:r>
      <w:r>
        <w:rPr>
          <w:rFonts w:hint="eastAsia" w:ascii="宋体" w:hAnsi="宋体" w:cs="宋体"/>
          <w:color w:val="auto"/>
          <w:szCs w:val="21"/>
          <w:highlight w:val="none"/>
        </w:rPr>
        <w:t>若合格中标候选人总得分相同且影响定标排序的，以答辩因素得分较高的排前；总得分与答辩因素得分均相同的，</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方案因素得分较高的排前；总得分与答辩因素得分、方案因素得分均相同的，</w:t>
      </w:r>
      <w:r>
        <w:rPr>
          <w:rFonts w:hint="eastAsia" w:ascii="宋体" w:hAnsi="宋体" w:cs="宋体"/>
          <w:color w:val="auto"/>
          <w:szCs w:val="21"/>
          <w:highlight w:val="none"/>
          <w:lang w:val="en-US" w:eastAsia="zh-CN"/>
        </w:rPr>
        <w:t>以商务因素得分较高的排前；</w:t>
      </w:r>
      <w:r>
        <w:rPr>
          <w:rFonts w:hint="eastAsia" w:ascii="宋体" w:hAnsi="宋体" w:cs="宋体"/>
          <w:color w:val="auto"/>
          <w:szCs w:val="21"/>
          <w:highlight w:val="none"/>
        </w:rPr>
        <w:t>总得分与答辩因素得分、方案因素</w:t>
      </w:r>
      <w:r>
        <w:rPr>
          <w:rFonts w:hint="eastAsia" w:ascii="宋体" w:hAnsi="宋体" w:cs="宋体"/>
          <w:color w:val="auto"/>
          <w:szCs w:val="21"/>
          <w:highlight w:val="none"/>
          <w:lang w:val="en-US" w:eastAsia="zh-CN"/>
        </w:rPr>
        <w:t>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商务因素</w:t>
      </w:r>
      <w:r>
        <w:rPr>
          <w:rFonts w:hint="eastAsia" w:ascii="宋体" w:hAnsi="宋体" w:cs="宋体"/>
          <w:color w:val="auto"/>
          <w:szCs w:val="21"/>
          <w:highlight w:val="none"/>
        </w:rPr>
        <w:t>得分均相同的，</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投标报价低的排前；总得分、答辩因素得分、</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rPr>
        <w:t>因素得分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商务因素得分</w:t>
      </w:r>
      <w:r>
        <w:rPr>
          <w:rFonts w:hint="eastAsia" w:ascii="宋体" w:hAnsi="宋体" w:cs="宋体"/>
          <w:color w:val="auto"/>
          <w:szCs w:val="21"/>
          <w:highlight w:val="none"/>
        </w:rPr>
        <w:t>与投标报价均相同的，则由定标委员会采用投票方式，确定合格中标候选人的排序。</w:t>
      </w:r>
    </w:p>
    <w:p w14:paraId="1543311E">
      <w:pPr>
        <w:spacing w:line="360" w:lineRule="auto"/>
        <w:ind w:firstLine="420" w:firstLineChars="200"/>
        <w:rPr>
          <w:rFonts w:ascii="宋体" w:hAnsi="宋体"/>
          <w:color w:val="auto"/>
          <w:highlight w:val="none"/>
        </w:rPr>
      </w:pPr>
      <w:r>
        <w:rPr>
          <w:rFonts w:hint="eastAsia" w:ascii="宋体" w:hAnsi="宋体"/>
          <w:color w:val="auto"/>
          <w:highlight w:val="none"/>
        </w:rPr>
        <w:t>记名投票方式确定排序的具体操作步骤为：由定标委员会对出现该情况的合格中标候选人进行编号，然后通过记名投票方式依次确定投标人的排序。</w:t>
      </w:r>
    </w:p>
    <w:p w14:paraId="5EF5EB82">
      <w:pPr>
        <w:spacing w:line="360" w:lineRule="auto"/>
        <w:ind w:firstLine="420" w:firstLineChars="200"/>
        <w:rPr>
          <w:rFonts w:ascii="宋体" w:hAnsi="宋体"/>
          <w:color w:val="auto"/>
          <w:highlight w:val="none"/>
        </w:rPr>
      </w:pPr>
      <w:r>
        <w:rPr>
          <w:rFonts w:hint="eastAsia" w:ascii="宋体" w:hAnsi="宋体"/>
          <w:color w:val="auto"/>
          <w:highlight w:val="none"/>
        </w:rPr>
        <w:t>（5）定标委员会撰写、签署定标报告。定标报告由定标委员会全体成员签字，对定标结论持有异议的评委可以书面方式阐述其不同意见和理由。</w:t>
      </w:r>
    </w:p>
    <w:p w14:paraId="0DC6E60D">
      <w:pPr>
        <w:spacing w:line="360" w:lineRule="auto"/>
        <w:ind w:firstLine="420" w:firstLineChars="200"/>
        <w:rPr>
          <w:rFonts w:ascii="宋体" w:hAnsi="宋体"/>
          <w:color w:val="auto"/>
          <w:highlight w:val="none"/>
        </w:rPr>
      </w:pPr>
      <w:r>
        <w:rPr>
          <w:rFonts w:hint="eastAsia" w:ascii="宋体" w:hAnsi="宋体"/>
          <w:color w:val="auto"/>
          <w:highlight w:val="none"/>
        </w:rPr>
        <w:t>（6）定标委员会向招标人提交书面定标报告后即解散，定标过程中使用的文件、表格以及其他资料不得私自带离。</w:t>
      </w:r>
    </w:p>
    <w:p w14:paraId="607A7374">
      <w:pPr>
        <w:spacing w:line="360" w:lineRule="auto"/>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3</w:t>
      </w:r>
      <w:r>
        <w:rPr>
          <w:rFonts w:ascii="宋体" w:hAnsi="宋体"/>
          <w:color w:val="auto"/>
          <w:highlight w:val="none"/>
        </w:rPr>
        <w:t>.2</w:t>
      </w:r>
      <w:r>
        <w:rPr>
          <w:rFonts w:hint="eastAsia" w:ascii="宋体" w:hAnsi="宋体"/>
          <w:color w:val="auto"/>
          <w:highlight w:val="none"/>
        </w:rPr>
        <w:t>招标人应当在定标工作完成后的</w:t>
      </w:r>
      <w:r>
        <w:rPr>
          <w:rFonts w:ascii="宋体" w:hAnsi="宋体"/>
          <w:color w:val="auto"/>
          <w:highlight w:val="none"/>
        </w:rPr>
        <w:t>3</w:t>
      </w:r>
      <w:r>
        <w:rPr>
          <w:rFonts w:hint="eastAsia" w:ascii="宋体" w:hAnsi="宋体"/>
          <w:color w:val="auto"/>
          <w:highlight w:val="none"/>
        </w:rPr>
        <w:t>日内公示中标结果。公示内容包括：定标时间、所有合格的中标候选人的评分结果、中标人等内容。</w:t>
      </w:r>
    </w:p>
    <w:p w14:paraId="54D5A64C">
      <w:pPr>
        <w:spacing w:line="360" w:lineRule="auto"/>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3</w:t>
      </w:r>
      <w:r>
        <w:rPr>
          <w:rFonts w:ascii="宋体" w:hAnsi="宋体"/>
          <w:color w:val="auto"/>
          <w:highlight w:val="none"/>
        </w:rPr>
        <w:t>.</w:t>
      </w:r>
      <w:r>
        <w:rPr>
          <w:rFonts w:hint="eastAsia" w:ascii="宋体" w:hAnsi="宋体"/>
          <w:color w:val="auto"/>
          <w:highlight w:val="none"/>
        </w:rPr>
        <w:t>3因异议或投诉生效，需要重新评标或定标的，评标、定标信息仍以投标截止时投标人的信息为准。因特殊原因需要延长投标有效期，投标人拒绝延长投标有效期的，仍参与重新评标、定标，但不被推荐为合格的中标候选人或不被票决确定为中标人。</w:t>
      </w:r>
    </w:p>
    <w:p w14:paraId="6434CBBA">
      <w:pPr>
        <w:spacing w:line="360" w:lineRule="auto"/>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3</w:t>
      </w:r>
      <w:r>
        <w:rPr>
          <w:rFonts w:ascii="宋体" w:hAnsi="宋体"/>
          <w:color w:val="auto"/>
          <w:highlight w:val="none"/>
        </w:rPr>
        <w:t>.</w:t>
      </w:r>
      <w:r>
        <w:rPr>
          <w:rFonts w:hint="eastAsia" w:ascii="宋体" w:hAnsi="宋体"/>
          <w:color w:val="auto"/>
          <w:highlight w:val="none"/>
        </w:rPr>
        <w:t>4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r>
        <w:rPr>
          <w:rFonts w:ascii="宋体" w:hAnsi="宋体"/>
          <w:color w:val="auto"/>
          <w:highlight w:val="none"/>
        </w:rPr>
        <w:br w:type="page"/>
      </w:r>
    </w:p>
    <w:p w14:paraId="46C56DE0">
      <w:pPr>
        <w:rPr>
          <w:rFonts w:hint="eastAsia" w:ascii="宋体" w:hAnsi="宋体" w:eastAsia="宋体" w:cs="Times New Roman"/>
          <w:b/>
          <w:bCs/>
          <w:color w:val="auto"/>
          <w:szCs w:val="32"/>
          <w:highlight w:val="none"/>
        </w:rPr>
      </w:pPr>
      <w:r>
        <w:rPr>
          <w:rFonts w:hint="eastAsia" w:ascii="宋体" w:hAnsi="宋体" w:eastAsia="宋体" w:cs="Times New Roman"/>
          <w:b/>
          <w:bCs/>
          <w:color w:val="auto"/>
          <w:szCs w:val="32"/>
          <w:highlight w:val="none"/>
        </w:rPr>
        <w:t>附表1</w:t>
      </w:r>
    </w:p>
    <w:p w14:paraId="523B51D8">
      <w:pPr>
        <w:rPr>
          <w:rFonts w:hint="eastAsia" w:ascii="宋体" w:hAnsi="宋体" w:eastAsia="宋体" w:cs="Times New Roman"/>
          <w:b/>
          <w:bCs/>
          <w:color w:val="auto"/>
          <w:szCs w:val="32"/>
          <w:highlight w:val="none"/>
        </w:rPr>
      </w:pPr>
    </w:p>
    <w:p w14:paraId="64371E3C">
      <w:pPr>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定标阶段（</w:t>
      </w:r>
      <w:r>
        <w:rPr>
          <w:rFonts w:hint="eastAsia" w:ascii="宋体" w:hAnsi="宋体" w:cs="宋体"/>
          <w:b/>
          <w:color w:val="auto"/>
          <w:sz w:val="30"/>
          <w:szCs w:val="30"/>
          <w:highlight w:val="none"/>
          <w:lang w:val="en-US" w:eastAsia="zh-CN"/>
        </w:rPr>
        <w:t>商务</w:t>
      </w:r>
      <w:r>
        <w:rPr>
          <w:rFonts w:hint="eastAsia" w:ascii="宋体" w:hAnsi="宋体" w:cs="宋体"/>
          <w:b/>
          <w:color w:val="auto"/>
          <w:sz w:val="30"/>
          <w:szCs w:val="30"/>
          <w:highlight w:val="none"/>
        </w:rPr>
        <w:t>因素）评审得分表</w:t>
      </w:r>
    </w:p>
    <w:p w14:paraId="751915A1">
      <w:pPr>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（定标委员个人用表）</w:t>
      </w:r>
    </w:p>
    <w:p w14:paraId="0401A5A4">
      <w:pPr>
        <w:ind w:left="210"/>
        <w:jc w:val="left"/>
        <w:rPr>
          <w:smallCaps/>
          <w:color w:val="auto"/>
          <w:sz w:val="20"/>
          <w:szCs w:val="20"/>
          <w:highlight w:val="none"/>
        </w:rPr>
      </w:pPr>
    </w:p>
    <w:p w14:paraId="0311164E">
      <w:pPr>
        <w:snapToGrid w:val="0"/>
        <w:spacing w:line="240" w:lineRule="atLeast"/>
        <w:rPr>
          <w:rFonts w:ascii="宋体" w:hAnsi="宋体" w:cs="宋体"/>
          <w:color w:val="auto"/>
          <w:sz w:val="24"/>
          <w:highlight w:val="none"/>
        </w:rPr>
      </w:pPr>
      <w:r>
        <w:rPr>
          <w:rFonts w:hint="eastAsia" w:ascii="宋体" w:hAnsi="宋体" w:cs="宋体"/>
          <w:bCs/>
          <w:color w:val="auto"/>
          <w:sz w:val="24"/>
          <w:highlight w:val="none"/>
        </w:rPr>
        <w:t xml:space="preserve">  </w:t>
      </w:r>
      <w:r>
        <w:rPr>
          <w:rFonts w:hint="eastAsia" w:ascii="宋体" w:hAnsi="宋体" w:cs="宋体"/>
          <w:color w:val="auto"/>
          <w:sz w:val="24"/>
          <w:highlight w:val="none"/>
        </w:rPr>
        <w:t>工程名称：</w:t>
      </w:r>
    </w:p>
    <w:tbl>
      <w:tblPr>
        <w:tblStyle w:val="37"/>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19"/>
        <w:gridCol w:w="2386"/>
        <w:gridCol w:w="1212"/>
        <w:gridCol w:w="1050"/>
      </w:tblGrid>
      <w:tr w14:paraId="4705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1605D0">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3119" w:type="dxa"/>
            <w:tcBorders>
              <w:top w:val="single" w:color="auto" w:sz="4" w:space="0"/>
              <w:left w:val="single" w:color="auto" w:sz="4" w:space="0"/>
              <w:bottom w:val="single" w:color="auto" w:sz="4" w:space="0"/>
              <w:right w:val="single" w:color="auto" w:sz="4" w:space="0"/>
            </w:tcBorders>
            <w:vAlign w:val="center"/>
          </w:tcPr>
          <w:p w14:paraId="35F62C23">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合格中标候选人名称</w:t>
            </w:r>
          </w:p>
        </w:tc>
        <w:tc>
          <w:tcPr>
            <w:tcW w:w="2386" w:type="dxa"/>
            <w:tcBorders>
              <w:top w:val="single" w:color="auto" w:sz="4" w:space="0"/>
              <w:left w:val="single" w:color="auto" w:sz="4" w:space="0"/>
              <w:bottom w:val="single" w:color="auto" w:sz="4" w:space="0"/>
              <w:right w:val="single" w:color="auto" w:sz="4" w:space="0"/>
            </w:tcBorders>
            <w:vAlign w:val="center"/>
          </w:tcPr>
          <w:p w14:paraId="03267ED9">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评审项</w:t>
            </w:r>
          </w:p>
        </w:tc>
        <w:tc>
          <w:tcPr>
            <w:tcW w:w="1212" w:type="dxa"/>
            <w:tcBorders>
              <w:top w:val="single" w:color="auto" w:sz="4" w:space="0"/>
              <w:left w:val="single" w:color="auto" w:sz="4" w:space="0"/>
              <w:bottom w:val="single" w:color="auto" w:sz="4" w:space="0"/>
              <w:right w:val="single" w:color="auto" w:sz="4" w:space="0"/>
            </w:tcBorders>
            <w:vAlign w:val="center"/>
          </w:tcPr>
          <w:p w14:paraId="47DFD409">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 w:val="24"/>
                <w:highlight w:val="none"/>
              </w:rPr>
              <w:t>得分</w:t>
            </w:r>
          </w:p>
        </w:tc>
        <w:tc>
          <w:tcPr>
            <w:tcW w:w="1050" w:type="dxa"/>
            <w:tcBorders>
              <w:top w:val="single" w:color="auto" w:sz="4" w:space="0"/>
              <w:left w:val="single" w:color="auto" w:sz="4" w:space="0"/>
              <w:bottom w:val="single" w:color="auto" w:sz="4" w:space="0"/>
              <w:right w:val="single" w:color="auto" w:sz="4" w:space="0"/>
            </w:tcBorders>
            <w:vAlign w:val="center"/>
          </w:tcPr>
          <w:p w14:paraId="31084B15">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lang w:val="en-US" w:eastAsia="zh-CN"/>
              </w:rPr>
              <w:t>商务</w:t>
            </w:r>
            <w:r>
              <w:rPr>
                <w:rFonts w:hint="eastAsia" w:ascii="宋体" w:hAnsi="宋体" w:cs="宋体"/>
                <w:b/>
                <w:bCs/>
                <w:color w:val="auto"/>
                <w:szCs w:val="21"/>
                <w:highlight w:val="none"/>
              </w:rPr>
              <w:t>因素得分</w:t>
            </w:r>
          </w:p>
        </w:tc>
      </w:tr>
      <w:tr w14:paraId="080E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1" w:type="dxa"/>
            <w:vMerge w:val="restart"/>
            <w:tcBorders>
              <w:top w:val="single" w:color="auto" w:sz="4" w:space="0"/>
              <w:left w:val="single" w:color="auto" w:sz="4" w:space="0"/>
              <w:right w:val="single" w:color="auto" w:sz="4" w:space="0"/>
            </w:tcBorders>
            <w:vAlign w:val="center"/>
          </w:tcPr>
          <w:p w14:paraId="70956266">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3119" w:type="dxa"/>
            <w:vMerge w:val="restart"/>
            <w:tcBorders>
              <w:top w:val="single" w:color="auto" w:sz="4" w:space="0"/>
              <w:left w:val="single" w:color="auto" w:sz="4" w:space="0"/>
              <w:right w:val="single" w:color="auto" w:sz="4" w:space="0"/>
            </w:tcBorders>
            <w:vAlign w:val="center"/>
          </w:tcPr>
          <w:p w14:paraId="6E534F61">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171877BC">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eastAsia" w:ascii="仿宋" w:hAnsi="仿宋" w:cs="宋体"/>
                <w:color w:val="auto"/>
                <w:szCs w:val="21"/>
                <w:highlight w:val="none"/>
                <w:lang w:val="en-US" w:eastAsia="zh-CN"/>
              </w:rPr>
              <w:t>项目业绩</w:t>
            </w:r>
          </w:p>
        </w:tc>
        <w:tc>
          <w:tcPr>
            <w:tcW w:w="1212" w:type="dxa"/>
            <w:tcBorders>
              <w:top w:val="single" w:color="auto" w:sz="4" w:space="0"/>
              <w:left w:val="single" w:color="auto" w:sz="4" w:space="0"/>
              <w:bottom w:val="single" w:color="auto" w:sz="4" w:space="0"/>
              <w:right w:val="single" w:color="auto" w:sz="4" w:space="0"/>
            </w:tcBorders>
            <w:vAlign w:val="center"/>
          </w:tcPr>
          <w:p w14:paraId="2A2000CD">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restart"/>
            <w:tcBorders>
              <w:top w:val="single" w:color="auto" w:sz="4" w:space="0"/>
              <w:left w:val="single" w:color="auto" w:sz="4" w:space="0"/>
              <w:right w:val="single" w:color="auto" w:sz="4" w:space="0"/>
            </w:tcBorders>
            <w:vAlign w:val="center"/>
          </w:tcPr>
          <w:p w14:paraId="21930814">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09A2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1" w:type="dxa"/>
            <w:vMerge w:val="continue"/>
            <w:tcBorders>
              <w:left w:val="single" w:color="auto" w:sz="4" w:space="0"/>
              <w:right w:val="single" w:color="auto" w:sz="4" w:space="0"/>
            </w:tcBorders>
            <w:vAlign w:val="center"/>
          </w:tcPr>
          <w:p w14:paraId="541B9278">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3119" w:type="dxa"/>
            <w:vMerge w:val="continue"/>
            <w:tcBorders>
              <w:left w:val="single" w:color="auto" w:sz="4" w:space="0"/>
              <w:right w:val="single" w:color="auto" w:sz="4" w:space="0"/>
            </w:tcBorders>
            <w:vAlign w:val="center"/>
          </w:tcPr>
          <w:p w14:paraId="6C1CF70E">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632FBCBB">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eastAsia" w:ascii="仿宋" w:hAnsi="仿宋" w:cs="宋体"/>
                <w:color w:val="auto"/>
                <w:szCs w:val="21"/>
                <w:highlight w:val="none"/>
                <w:lang w:val="en-US" w:eastAsia="zh-CN"/>
              </w:rPr>
              <w:t>项目负责人</w:t>
            </w:r>
          </w:p>
        </w:tc>
        <w:tc>
          <w:tcPr>
            <w:tcW w:w="1212" w:type="dxa"/>
            <w:tcBorders>
              <w:top w:val="single" w:color="auto" w:sz="4" w:space="0"/>
              <w:left w:val="single" w:color="auto" w:sz="4" w:space="0"/>
              <w:bottom w:val="single" w:color="auto" w:sz="4" w:space="0"/>
              <w:right w:val="single" w:color="auto" w:sz="4" w:space="0"/>
            </w:tcBorders>
            <w:vAlign w:val="center"/>
          </w:tcPr>
          <w:p w14:paraId="2C79C565">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continue"/>
            <w:tcBorders>
              <w:left w:val="single" w:color="auto" w:sz="4" w:space="0"/>
              <w:right w:val="single" w:color="auto" w:sz="4" w:space="0"/>
            </w:tcBorders>
            <w:vAlign w:val="center"/>
          </w:tcPr>
          <w:p w14:paraId="1B11B464">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26D8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Merge w:val="continue"/>
            <w:tcBorders>
              <w:left w:val="single" w:color="auto" w:sz="4" w:space="0"/>
              <w:right w:val="single" w:color="auto" w:sz="4" w:space="0"/>
            </w:tcBorders>
            <w:vAlign w:val="center"/>
          </w:tcPr>
          <w:p w14:paraId="6A2D5EDD">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3119" w:type="dxa"/>
            <w:vMerge w:val="continue"/>
            <w:tcBorders>
              <w:left w:val="single" w:color="auto" w:sz="4" w:space="0"/>
              <w:right w:val="single" w:color="auto" w:sz="4" w:space="0"/>
            </w:tcBorders>
            <w:vAlign w:val="center"/>
          </w:tcPr>
          <w:p w14:paraId="743D9B0B">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28455392">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eastAsia" w:ascii="仿宋" w:hAnsi="仿宋" w:cs="宋体"/>
                <w:color w:val="auto"/>
                <w:szCs w:val="21"/>
                <w:highlight w:val="none"/>
                <w:lang w:val="en-US" w:eastAsia="zh-CN"/>
              </w:rPr>
              <w:t>团队人员</w:t>
            </w:r>
          </w:p>
        </w:tc>
        <w:tc>
          <w:tcPr>
            <w:tcW w:w="1212" w:type="dxa"/>
            <w:tcBorders>
              <w:top w:val="single" w:color="auto" w:sz="4" w:space="0"/>
              <w:left w:val="single" w:color="auto" w:sz="4" w:space="0"/>
              <w:bottom w:val="single" w:color="auto" w:sz="4" w:space="0"/>
              <w:right w:val="single" w:color="auto" w:sz="4" w:space="0"/>
            </w:tcBorders>
            <w:vAlign w:val="center"/>
          </w:tcPr>
          <w:p w14:paraId="214D123E">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continue"/>
            <w:tcBorders>
              <w:left w:val="single" w:color="auto" w:sz="4" w:space="0"/>
              <w:right w:val="single" w:color="auto" w:sz="4" w:space="0"/>
            </w:tcBorders>
            <w:vAlign w:val="center"/>
          </w:tcPr>
          <w:p w14:paraId="60CE151B">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785A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restart"/>
            <w:tcBorders>
              <w:top w:val="single" w:color="auto" w:sz="4" w:space="0"/>
              <w:left w:val="single" w:color="auto" w:sz="4" w:space="0"/>
              <w:right w:val="single" w:color="auto" w:sz="4" w:space="0"/>
            </w:tcBorders>
            <w:vAlign w:val="center"/>
          </w:tcPr>
          <w:p w14:paraId="4DCD5AE6">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3119" w:type="dxa"/>
            <w:vMerge w:val="restart"/>
            <w:tcBorders>
              <w:top w:val="single" w:color="auto" w:sz="4" w:space="0"/>
              <w:left w:val="single" w:color="auto" w:sz="4" w:space="0"/>
              <w:right w:val="single" w:color="auto" w:sz="4" w:space="0"/>
            </w:tcBorders>
            <w:vAlign w:val="center"/>
          </w:tcPr>
          <w:p w14:paraId="6A848453">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59F637E6">
            <w:pPr>
              <w:keepNext w:val="0"/>
              <w:keepLines w:val="0"/>
              <w:suppressLineNumbers w:val="0"/>
              <w:spacing w:before="0" w:beforeAutospacing="0" w:after="0" w:afterAutospacing="0" w:line="360" w:lineRule="atLeast"/>
              <w:ind w:left="0" w:leftChars="0" w:right="0" w:rightChars="0"/>
              <w:jc w:val="center"/>
              <w:rPr>
                <w:rFonts w:hint="default" w:ascii="宋体" w:hAnsi="宋体" w:cs="宋体"/>
                <w:color w:val="auto"/>
                <w:sz w:val="24"/>
                <w:highlight w:val="none"/>
              </w:rPr>
            </w:pPr>
            <w:r>
              <w:rPr>
                <w:rFonts w:hint="eastAsia" w:ascii="仿宋" w:hAnsi="仿宋" w:cs="宋体"/>
                <w:color w:val="auto"/>
                <w:szCs w:val="21"/>
                <w:highlight w:val="none"/>
                <w:lang w:val="en-US" w:eastAsia="zh-CN"/>
              </w:rPr>
              <w:t>项目业绩</w:t>
            </w:r>
          </w:p>
        </w:tc>
        <w:tc>
          <w:tcPr>
            <w:tcW w:w="1212" w:type="dxa"/>
            <w:tcBorders>
              <w:top w:val="single" w:color="auto" w:sz="4" w:space="0"/>
              <w:left w:val="single" w:color="auto" w:sz="4" w:space="0"/>
              <w:bottom w:val="single" w:color="auto" w:sz="4" w:space="0"/>
              <w:right w:val="single" w:color="auto" w:sz="4" w:space="0"/>
            </w:tcBorders>
            <w:vAlign w:val="center"/>
          </w:tcPr>
          <w:p w14:paraId="56EAB549">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restart"/>
            <w:tcBorders>
              <w:top w:val="single" w:color="auto" w:sz="4" w:space="0"/>
              <w:left w:val="single" w:color="auto" w:sz="4" w:space="0"/>
              <w:right w:val="single" w:color="auto" w:sz="4" w:space="0"/>
            </w:tcBorders>
            <w:vAlign w:val="center"/>
          </w:tcPr>
          <w:p w14:paraId="3DEA5EC7">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3F91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vAlign w:val="center"/>
          </w:tcPr>
          <w:p w14:paraId="256EA368">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3119" w:type="dxa"/>
            <w:vMerge w:val="continue"/>
            <w:tcBorders>
              <w:left w:val="single" w:color="auto" w:sz="4" w:space="0"/>
              <w:right w:val="single" w:color="auto" w:sz="4" w:space="0"/>
            </w:tcBorders>
            <w:vAlign w:val="center"/>
          </w:tcPr>
          <w:p w14:paraId="3BBBB28E">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77D22DBA">
            <w:pPr>
              <w:keepNext w:val="0"/>
              <w:keepLines w:val="0"/>
              <w:suppressLineNumbers w:val="0"/>
              <w:spacing w:before="0" w:beforeAutospacing="0" w:after="0" w:afterAutospacing="0" w:line="360" w:lineRule="atLeast"/>
              <w:ind w:left="0" w:leftChars="0" w:right="0" w:rightChars="0"/>
              <w:jc w:val="center"/>
              <w:rPr>
                <w:rFonts w:hint="default"/>
                <w:color w:val="auto"/>
                <w:highlight w:val="none"/>
              </w:rPr>
            </w:pPr>
            <w:r>
              <w:rPr>
                <w:rFonts w:hint="eastAsia" w:ascii="仿宋" w:hAnsi="仿宋" w:cs="宋体"/>
                <w:color w:val="auto"/>
                <w:szCs w:val="21"/>
                <w:highlight w:val="none"/>
                <w:lang w:val="en-US" w:eastAsia="zh-CN"/>
              </w:rPr>
              <w:t>项目负责人</w:t>
            </w:r>
          </w:p>
        </w:tc>
        <w:tc>
          <w:tcPr>
            <w:tcW w:w="1212" w:type="dxa"/>
            <w:tcBorders>
              <w:top w:val="single" w:color="auto" w:sz="4" w:space="0"/>
              <w:left w:val="single" w:color="auto" w:sz="4" w:space="0"/>
              <w:bottom w:val="single" w:color="auto" w:sz="4" w:space="0"/>
              <w:right w:val="single" w:color="auto" w:sz="4" w:space="0"/>
            </w:tcBorders>
            <w:vAlign w:val="center"/>
          </w:tcPr>
          <w:p w14:paraId="7D84573C">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1050" w:type="dxa"/>
            <w:vMerge w:val="continue"/>
            <w:tcBorders>
              <w:left w:val="single" w:color="auto" w:sz="4" w:space="0"/>
              <w:right w:val="single" w:color="auto" w:sz="4" w:space="0"/>
            </w:tcBorders>
            <w:vAlign w:val="center"/>
          </w:tcPr>
          <w:p w14:paraId="28AD85B0">
            <w:pPr>
              <w:keepNext w:val="0"/>
              <w:keepLines w:val="0"/>
              <w:suppressLineNumbers w:val="0"/>
              <w:spacing w:before="0" w:beforeAutospacing="0" w:after="0" w:afterAutospacing="0" w:line="360" w:lineRule="atLeast"/>
              <w:ind w:left="0" w:right="0"/>
              <w:jc w:val="center"/>
              <w:rPr>
                <w:rFonts w:hint="default"/>
                <w:color w:val="auto"/>
                <w:highlight w:val="none"/>
              </w:rPr>
            </w:pPr>
          </w:p>
        </w:tc>
      </w:tr>
      <w:tr w14:paraId="2DF1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vAlign w:val="center"/>
          </w:tcPr>
          <w:p w14:paraId="4C2B75CB">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3119" w:type="dxa"/>
            <w:vMerge w:val="continue"/>
            <w:tcBorders>
              <w:left w:val="single" w:color="auto" w:sz="4" w:space="0"/>
              <w:right w:val="single" w:color="auto" w:sz="4" w:space="0"/>
            </w:tcBorders>
            <w:vAlign w:val="center"/>
          </w:tcPr>
          <w:p w14:paraId="27F128B1">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4B135D2C">
            <w:pPr>
              <w:keepNext w:val="0"/>
              <w:keepLines w:val="0"/>
              <w:suppressLineNumbers w:val="0"/>
              <w:spacing w:before="0" w:beforeAutospacing="0" w:after="0" w:afterAutospacing="0" w:line="360" w:lineRule="atLeast"/>
              <w:ind w:left="0" w:leftChars="0" w:right="0" w:rightChars="0"/>
              <w:jc w:val="center"/>
              <w:rPr>
                <w:rFonts w:hint="default"/>
                <w:color w:val="auto"/>
                <w:highlight w:val="none"/>
              </w:rPr>
            </w:pPr>
            <w:r>
              <w:rPr>
                <w:rFonts w:hint="eastAsia" w:ascii="仿宋" w:hAnsi="仿宋" w:cs="宋体"/>
                <w:color w:val="auto"/>
                <w:szCs w:val="21"/>
                <w:highlight w:val="none"/>
                <w:lang w:val="en-US" w:eastAsia="zh-CN"/>
              </w:rPr>
              <w:t>团队人员</w:t>
            </w:r>
          </w:p>
        </w:tc>
        <w:tc>
          <w:tcPr>
            <w:tcW w:w="1212" w:type="dxa"/>
            <w:tcBorders>
              <w:top w:val="single" w:color="auto" w:sz="4" w:space="0"/>
              <w:left w:val="single" w:color="auto" w:sz="4" w:space="0"/>
              <w:bottom w:val="single" w:color="auto" w:sz="4" w:space="0"/>
              <w:right w:val="single" w:color="auto" w:sz="4" w:space="0"/>
            </w:tcBorders>
            <w:vAlign w:val="center"/>
          </w:tcPr>
          <w:p w14:paraId="7691D823">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1050" w:type="dxa"/>
            <w:vMerge w:val="continue"/>
            <w:tcBorders>
              <w:left w:val="single" w:color="auto" w:sz="4" w:space="0"/>
              <w:right w:val="single" w:color="auto" w:sz="4" w:space="0"/>
            </w:tcBorders>
            <w:vAlign w:val="center"/>
          </w:tcPr>
          <w:p w14:paraId="55A147CB">
            <w:pPr>
              <w:keepNext w:val="0"/>
              <w:keepLines w:val="0"/>
              <w:suppressLineNumbers w:val="0"/>
              <w:spacing w:before="0" w:beforeAutospacing="0" w:after="0" w:afterAutospacing="0" w:line="360" w:lineRule="atLeast"/>
              <w:ind w:left="0" w:right="0"/>
              <w:jc w:val="center"/>
              <w:rPr>
                <w:rFonts w:hint="default"/>
                <w:color w:val="auto"/>
                <w:highlight w:val="none"/>
              </w:rPr>
            </w:pPr>
          </w:p>
        </w:tc>
      </w:tr>
      <w:tr w14:paraId="0E8F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restart"/>
            <w:tcBorders>
              <w:top w:val="single" w:color="auto" w:sz="4" w:space="0"/>
              <w:left w:val="single" w:color="auto" w:sz="4" w:space="0"/>
              <w:right w:val="single" w:color="auto" w:sz="4" w:space="0"/>
            </w:tcBorders>
            <w:vAlign w:val="center"/>
          </w:tcPr>
          <w:p w14:paraId="3F9487DE">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3119" w:type="dxa"/>
            <w:vMerge w:val="restart"/>
            <w:tcBorders>
              <w:top w:val="single" w:color="auto" w:sz="4" w:space="0"/>
              <w:left w:val="single" w:color="auto" w:sz="4" w:space="0"/>
              <w:right w:val="single" w:color="auto" w:sz="4" w:space="0"/>
            </w:tcBorders>
            <w:vAlign w:val="center"/>
          </w:tcPr>
          <w:p w14:paraId="3EB06C81">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1AF3EC04">
            <w:pPr>
              <w:keepNext w:val="0"/>
              <w:keepLines w:val="0"/>
              <w:suppressLineNumbers w:val="0"/>
              <w:spacing w:before="0" w:beforeAutospacing="0" w:after="0" w:afterAutospacing="0" w:line="360" w:lineRule="atLeast"/>
              <w:ind w:left="0" w:leftChars="0" w:right="0" w:rightChars="0"/>
              <w:jc w:val="center"/>
              <w:rPr>
                <w:rFonts w:hint="default" w:ascii="宋体" w:hAnsi="宋体" w:cs="宋体"/>
                <w:color w:val="auto"/>
                <w:sz w:val="24"/>
                <w:highlight w:val="none"/>
              </w:rPr>
            </w:pPr>
            <w:r>
              <w:rPr>
                <w:rFonts w:hint="eastAsia" w:ascii="仿宋" w:hAnsi="仿宋" w:cs="宋体"/>
                <w:color w:val="auto"/>
                <w:szCs w:val="21"/>
                <w:highlight w:val="none"/>
                <w:lang w:val="en-US" w:eastAsia="zh-CN"/>
              </w:rPr>
              <w:t>项目业绩</w:t>
            </w:r>
          </w:p>
        </w:tc>
        <w:tc>
          <w:tcPr>
            <w:tcW w:w="1212" w:type="dxa"/>
            <w:tcBorders>
              <w:top w:val="single" w:color="auto" w:sz="4" w:space="0"/>
              <w:left w:val="single" w:color="auto" w:sz="4" w:space="0"/>
              <w:bottom w:val="single" w:color="auto" w:sz="4" w:space="0"/>
              <w:right w:val="single" w:color="auto" w:sz="4" w:space="0"/>
            </w:tcBorders>
            <w:vAlign w:val="center"/>
          </w:tcPr>
          <w:p w14:paraId="765E6F27">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restart"/>
            <w:tcBorders>
              <w:top w:val="single" w:color="auto" w:sz="4" w:space="0"/>
              <w:left w:val="single" w:color="auto" w:sz="4" w:space="0"/>
              <w:right w:val="single" w:color="auto" w:sz="4" w:space="0"/>
            </w:tcBorders>
            <w:vAlign w:val="center"/>
          </w:tcPr>
          <w:p w14:paraId="374F8E4B">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5933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vAlign w:val="center"/>
          </w:tcPr>
          <w:p w14:paraId="5371EB85">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3119" w:type="dxa"/>
            <w:vMerge w:val="continue"/>
            <w:tcBorders>
              <w:left w:val="single" w:color="auto" w:sz="4" w:space="0"/>
              <w:right w:val="single" w:color="auto" w:sz="4" w:space="0"/>
            </w:tcBorders>
            <w:vAlign w:val="center"/>
          </w:tcPr>
          <w:p w14:paraId="40AD674F">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02BFA93F">
            <w:pPr>
              <w:keepNext w:val="0"/>
              <w:keepLines w:val="0"/>
              <w:suppressLineNumbers w:val="0"/>
              <w:spacing w:before="0" w:beforeAutospacing="0" w:after="0" w:afterAutospacing="0" w:line="360" w:lineRule="atLeast"/>
              <w:ind w:left="0" w:leftChars="0" w:right="0" w:rightChars="0"/>
              <w:jc w:val="center"/>
              <w:rPr>
                <w:rFonts w:hint="default"/>
                <w:color w:val="auto"/>
                <w:highlight w:val="none"/>
              </w:rPr>
            </w:pPr>
            <w:r>
              <w:rPr>
                <w:rFonts w:hint="eastAsia" w:ascii="仿宋" w:hAnsi="仿宋" w:cs="宋体"/>
                <w:color w:val="auto"/>
                <w:szCs w:val="21"/>
                <w:highlight w:val="none"/>
                <w:lang w:val="en-US" w:eastAsia="zh-CN"/>
              </w:rPr>
              <w:t>项目负责人</w:t>
            </w:r>
          </w:p>
        </w:tc>
        <w:tc>
          <w:tcPr>
            <w:tcW w:w="1212" w:type="dxa"/>
            <w:tcBorders>
              <w:top w:val="single" w:color="auto" w:sz="4" w:space="0"/>
              <w:left w:val="single" w:color="auto" w:sz="4" w:space="0"/>
              <w:bottom w:val="single" w:color="auto" w:sz="4" w:space="0"/>
              <w:right w:val="single" w:color="auto" w:sz="4" w:space="0"/>
            </w:tcBorders>
            <w:vAlign w:val="center"/>
          </w:tcPr>
          <w:p w14:paraId="37CB1CCE">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1050" w:type="dxa"/>
            <w:vMerge w:val="continue"/>
            <w:tcBorders>
              <w:left w:val="single" w:color="auto" w:sz="4" w:space="0"/>
              <w:right w:val="single" w:color="auto" w:sz="4" w:space="0"/>
            </w:tcBorders>
            <w:vAlign w:val="center"/>
          </w:tcPr>
          <w:p w14:paraId="49C93A8A">
            <w:pPr>
              <w:keepNext w:val="0"/>
              <w:keepLines w:val="0"/>
              <w:suppressLineNumbers w:val="0"/>
              <w:spacing w:before="0" w:beforeAutospacing="0" w:after="0" w:afterAutospacing="0" w:line="360" w:lineRule="atLeast"/>
              <w:ind w:left="0" w:right="0"/>
              <w:jc w:val="center"/>
              <w:rPr>
                <w:rFonts w:hint="default"/>
                <w:color w:val="auto"/>
                <w:highlight w:val="none"/>
              </w:rPr>
            </w:pPr>
          </w:p>
        </w:tc>
      </w:tr>
      <w:tr w14:paraId="3AD1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vAlign w:val="center"/>
          </w:tcPr>
          <w:p w14:paraId="61A5D418">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3119" w:type="dxa"/>
            <w:vMerge w:val="continue"/>
            <w:tcBorders>
              <w:left w:val="single" w:color="auto" w:sz="4" w:space="0"/>
              <w:right w:val="single" w:color="auto" w:sz="4" w:space="0"/>
            </w:tcBorders>
            <w:vAlign w:val="center"/>
          </w:tcPr>
          <w:p w14:paraId="3F85D9A6">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749DB885">
            <w:pPr>
              <w:keepNext w:val="0"/>
              <w:keepLines w:val="0"/>
              <w:suppressLineNumbers w:val="0"/>
              <w:spacing w:before="0" w:beforeAutospacing="0" w:after="0" w:afterAutospacing="0" w:line="360" w:lineRule="atLeast"/>
              <w:ind w:left="0" w:leftChars="0" w:right="0" w:rightChars="0"/>
              <w:jc w:val="center"/>
              <w:rPr>
                <w:rFonts w:hint="default"/>
                <w:color w:val="auto"/>
                <w:highlight w:val="none"/>
              </w:rPr>
            </w:pPr>
            <w:r>
              <w:rPr>
                <w:rFonts w:hint="eastAsia" w:ascii="仿宋" w:hAnsi="仿宋" w:cs="宋体"/>
                <w:color w:val="auto"/>
                <w:szCs w:val="21"/>
                <w:highlight w:val="none"/>
                <w:lang w:val="en-US" w:eastAsia="zh-CN"/>
              </w:rPr>
              <w:t>团队人员</w:t>
            </w:r>
          </w:p>
        </w:tc>
        <w:tc>
          <w:tcPr>
            <w:tcW w:w="1212" w:type="dxa"/>
            <w:tcBorders>
              <w:top w:val="single" w:color="auto" w:sz="4" w:space="0"/>
              <w:left w:val="single" w:color="auto" w:sz="4" w:space="0"/>
              <w:bottom w:val="single" w:color="auto" w:sz="4" w:space="0"/>
              <w:right w:val="single" w:color="auto" w:sz="4" w:space="0"/>
            </w:tcBorders>
            <w:vAlign w:val="center"/>
          </w:tcPr>
          <w:p w14:paraId="28D5756E">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1050" w:type="dxa"/>
            <w:vMerge w:val="continue"/>
            <w:tcBorders>
              <w:left w:val="single" w:color="auto" w:sz="4" w:space="0"/>
              <w:right w:val="single" w:color="auto" w:sz="4" w:space="0"/>
            </w:tcBorders>
            <w:vAlign w:val="center"/>
          </w:tcPr>
          <w:p w14:paraId="11EEEF35">
            <w:pPr>
              <w:keepNext w:val="0"/>
              <w:keepLines w:val="0"/>
              <w:suppressLineNumbers w:val="0"/>
              <w:spacing w:before="0" w:beforeAutospacing="0" w:after="0" w:afterAutospacing="0" w:line="360" w:lineRule="atLeast"/>
              <w:ind w:left="0" w:right="0"/>
              <w:jc w:val="center"/>
              <w:rPr>
                <w:rFonts w:hint="default"/>
                <w:color w:val="auto"/>
                <w:highlight w:val="none"/>
              </w:rPr>
            </w:pPr>
          </w:p>
        </w:tc>
      </w:tr>
      <w:tr w14:paraId="0DA0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46342DC">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default" w:ascii="Arial" w:hAnsi="Arial" w:cs="Arial"/>
                <w:color w:val="auto"/>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428B5129">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2F0498D7">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362FF1B1">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BE12762">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bl>
    <w:p w14:paraId="4E4476A7">
      <w:pPr>
        <w:spacing w:line="0" w:lineRule="atLeast"/>
        <w:rPr>
          <w:rFonts w:ascii="宋体" w:hAnsi="宋体" w:cs="宋体"/>
          <w:color w:val="auto"/>
          <w:szCs w:val="21"/>
          <w:highlight w:val="none"/>
        </w:rPr>
      </w:pPr>
      <w:r>
        <w:rPr>
          <w:rFonts w:hint="eastAsia" w:ascii="宋体" w:hAnsi="宋体" w:cs="宋体"/>
          <w:color w:val="auto"/>
          <w:szCs w:val="21"/>
          <w:highlight w:val="none"/>
        </w:rPr>
        <w:t>备注：</w:t>
      </w:r>
    </w:p>
    <w:p w14:paraId="23681460">
      <w:pPr>
        <w:spacing w:line="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1、本表格用于定标阶段方</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因素评审计分，每行限填一个合格中标候选人，定标委员会成员应当独立打分；</w:t>
      </w:r>
    </w:p>
    <w:p w14:paraId="6F97E778">
      <w:pPr>
        <w:spacing w:line="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2、定标委员会各成员对所有进入定标程序的合格中标候选人按评标办法前附表4.3.1（3）</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因素评分标准进行打分。</w:t>
      </w:r>
    </w:p>
    <w:p w14:paraId="24DDCF05">
      <w:pPr>
        <w:spacing w:line="0" w:lineRule="atLeast"/>
        <w:jc w:val="left"/>
        <w:rPr>
          <w:smallCaps/>
          <w:color w:val="auto"/>
          <w:sz w:val="20"/>
          <w:szCs w:val="20"/>
          <w:highlight w:val="none"/>
        </w:rPr>
      </w:pPr>
    </w:p>
    <w:p w14:paraId="2F92FC74">
      <w:pPr>
        <w:snapToGrid w:val="0"/>
        <w:spacing w:line="0" w:lineRule="atLeast"/>
        <w:jc w:val="left"/>
        <w:rPr>
          <w:rFonts w:ascii="宋体" w:hAnsi="宋体" w:cs="宋体"/>
          <w:color w:val="auto"/>
          <w:szCs w:val="21"/>
          <w:highlight w:val="none"/>
        </w:rPr>
      </w:pPr>
      <w:r>
        <w:rPr>
          <w:rFonts w:hint="eastAsia" w:ascii="宋体" w:hAnsi="宋体" w:cs="宋体"/>
          <w:color w:val="auto"/>
          <w:szCs w:val="21"/>
          <w:highlight w:val="none"/>
        </w:rPr>
        <w:t>定标委员签名：</w:t>
      </w:r>
    </w:p>
    <w:p w14:paraId="08FB55D0">
      <w:pPr>
        <w:rPr>
          <w:rFonts w:hint="eastAsia" w:ascii="宋体" w:hAnsi="宋体"/>
          <w:b/>
          <w:bCs/>
          <w:color w:val="auto"/>
          <w:szCs w:val="32"/>
          <w:highlight w:val="none"/>
        </w:rPr>
      </w:pPr>
      <w:r>
        <w:rPr>
          <w:rFonts w:hint="eastAsia" w:ascii="宋体" w:hAnsi="宋体" w:cs="宋体"/>
          <w:color w:val="auto"/>
          <w:szCs w:val="21"/>
          <w:highlight w:val="none"/>
        </w:rPr>
        <w:t>日期：     年   月   日</w:t>
      </w:r>
      <w:r>
        <w:rPr>
          <w:rFonts w:hint="eastAsia" w:ascii="宋体" w:hAnsi="宋体"/>
          <w:b/>
          <w:bCs/>
          <w:color w:val="auto"/>
          <w:szCs w:val="32"/>
          <w:highlight w:val="none"/>
        </w:rPr>
        <w:br w:type="page"/>
      </w:r>
    </w:p>
    <w:p w14:paraId="2B9C58A4">
      <w:pPr>
        <w:rPr>
          <w:rFonts w:hint="eastAsia" w:ascii="宋体" w:hAnsi="宋体"/>
          <w:b/>
          <w:bCs/>
          <w:color w:val="auto"/>
          <w:szCs w:val="32"/>
          <w:highlight w:val="none"/>
        </w:rPr>
      </w:pPr>
    </w:p>
    <w:p w14:paraId="2BB58C57">
      <w:pPr>
        <w:rPr>
          <w:rFonts w:hint="eastAsia" w:ascii="宋体" w:hAnsi="宋体" w:eastAsia="宋体"/>
          <w:b/>
          <w:bCs/>
          <w:color w:val="auto"/>
          <w:szCs w:val="32"/>
          <w:highlight w:val="none"/>
          <w:lang w:eastAsia="zh-CN"/>
        </w:rPr>
      </w:pPr>
      <w:r>
        <w:rPr>
          <w:rFonts w:hint="eastAsia" w:ascii="宋体" w:hAnsi="宋体"/>
          <w:b/>
          <w:bCs/>
          <w:color w:val="auto"/>
          <w:szCs w:val="32"/>
          <w:highlight w:val="none"/>
        </w:rPr>
        <w:t>附表</w:t>
      </w:r>
      <w:r>
        <w:rPr>
          <w:rFonts w:hint="eastAsia" w:ascii="宋体" w:hAnsi="宋体"/>
          <w:b/>
          <w:bCs/>
          <w:color w:val="auto"/>
          <w:szCs w:val="32"/>
          <w:highlight w:val="none"/>
          <w:lang w:val="en-US" w:eastAsia="zh-CN"/>
        </w:rPr>
        <w:t>2</w:t>
      </w:r>
    </w:p>
    <w:p w14:paraId="4B1969A1">
      <w:pPr>
        <w:pStyle w:val="20"/>
        <w:jc w:val="center"/>
        <w:rPr>
          <w:rFonts w:hAnsi="宋体"/>
          <w:b/>
          <w:color w:val="auto"/>
          <w:sz w:val="36"/>
          <w:szCs w:val="36"/>
          <w:highlight w:val="none"/>
        </w:rPr>
      </w:pPr>
    </w:p>
    <w:p w14:paraId="56C98023">
      <w:pPr>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定标阶段（方案因素）评审得分表</w:t>
      </w:r>
    </w:p>
    <w:p w14:paraId="109FDB19">
      <w:pPr>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（定标委员个人用表）</w:t>
      </w:r>
    </w:p>
    <w:p w14:paraId="5D2F8920">
      <w:pPr>
        <w:ind w:left="210"/>
        <w:jc w:val="left"/>
        <w:rPr>
          <w:smallCaps/>
          <w:color w:val="auto"/>
          <w:sz w:val="20"/>
          <w:szCs w:val="20"/>
          <w:highlight w:val="none"/>
        </w:rPr>
      </w:pPr>
    </w:p>
    <w:p w14:paraId="0A0891D3">
      <w:pPr>
        <w:snapToGrid w:val="0"/>
        <w:spacing w:line="240" w:lineRule="atLeast"/>
        <w:rPr>
          <w:rFonts w:ascii="宋体" w:hAnsi="宋体" w:cs="宋体"/>
          <w:color w:val="auto"/>
          <w:sz w:val="24"/>
          <w:highlight w:val="none"/>
        </w:rPr>
      </w:pPr>
      <w:r>
        <w:rPr>
          <w:rFonts w:hint="eastAsia" w:ascii="宋体" w:hAnsi="宋体" w:cs="宋体"/>
          <w:bCs/>
          <w:color w:val="auto"/>
          <w:sz w:val="24"/>
          <w:highlight w:val="none"/>
        </w:rPr>
        <w:t xml:space="preserve">  </w:t>
      </w:r>
      <w:r>
        <w:rPr>
          <w:rFonts w:hint="eastAsia" w:ascii="宋体" w:hAnsi="宋体" w:cs="宋体"/>
          <w:color w:val="auto"/>
          <w:sz w:val="24"/>
          <w:highlight w:val="none"/>
        </w:rPr>
        <w:t>工程名称：</w:t>
      </w:r>
    </w:p>
    <w:tbl>
      <w:tblPr>
        <w:tblStyle w:val="37"/>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19"/>
        <w:gridCol w:w="2386"/>
        <w:gridCol w:w="1212"/>
        <w:gridCol w:w="1050"/>
      </w:tblGrid>
      <w:tr w14:paraId="655E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D2396AE">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3119" w:type="dxa"/>
            <w:tcBorders>
              <w:top w:val="single" w:color="auto" w:sz="4" w:space="0"/>
              <w:left w:val="single" w:color="auto" w:sz="4" w:space="0"/>
              <w:bottom w:val="single" w:color="auto" w:sz="4" w:space="0"/>
              <w:right w:val="single" w:color="auto" w:sz="4" w:space="0"/>
            </w:tcBorders>
            <w:vAlign w:val="center"/>
          </w:tcPr>
          <w:p w14:paraId="0B0100C1">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合格中标候选人名称</w:t>
            </w:r>
          </w:p>
        </w:tc>
        <w:tc>
          <w:tcPr>
            <w:tcW w:w="2386" w:type="dxa"/>
            <w:tcBorders>
              <w:top w:val="single" w:color="auto" w:sz="4" w:space="0"/>
              <w:left w:val="single" w:color="auto" w:sz="4" w:space="0"/>
              <w:bottom w:val="single" w:color="auto" w:sz="4" w:space="0"/>
              <w:right w:val="single" w:color="auto" w:sz="4" w:space="0"/>
            </w:tcBorders>
            <w:vAlign w:val="center"/>
          </w:tcPr>
          <w:p w14:paraId="2B7D1684">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评审项</w:t>
            </w:r>
          </w:p>
        </w:tc>
        <w:tc>
          <w:tcPr>
            <w:tcW w:w="1212" w:type="dxa"/>
            <w:tcBorders>
              <w:top w:val="single" w:color="auto" w:sz="4" w:space="0"/>
              <w:left w:val="single" w:color="auto" w:sz="4" w:space="0"/>
              <w:bottom w:val="single" w:color="auto" w:sz="4" w:space="0"/>
              <w:right w:val="single" w:color="auto" w:sz="4" w:space="0"/>
            </w:tcBorders>
            <w:vAlign w:val="center"/>
          </w:tcPr>
          <w:p w14:paraId="25B6BBA9">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 w:val="24"/>
                <w:highlight w:val="none"/>
              </w:rPr>
              <w:t>得分</w:t>
            </w:r>
          </w:p>
        </w:tc>
        <w:tc>
          <w:tcPr>
            <w:tcW w:w="1050" w:type="dxa"/>
            <w:tcBorders>
              <w:top w:val="single" w:color="auto" w:sz="4" w:space="0"/>
              <w:left w:val="single" w:color="auto" w:sz="4" w:space="0"/>
              <w:bottom w:val="single" w:color="auto" w:sz="4" w:space="0"/>
              <w:right w:val="single" w:color="auto" w:sz="4" w:space="0"/>
            </w:tcBorders>
            <w:vAlign w:val="center"/>
          </w:tcPr>
          <w:p w14:paraId="351B7AEA">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方案因素得分</w:t>
            </w:r>
          </w:p>
        </w:tc>
      </w:tr>
      <w:tr w14:paraId="35AB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1" w:type="dxa"/>
            <w:vMerge w:val="restart"/>
            <w:tcBorders>
              <w:top w:val="single" w:color="auto" w:sz="4" w:space="0"/>
              <w:left w:val="single" w:color="auto" w:sz="4" w:space="0"/>
              <w:right w:val="single" w:color="auto" w:sz="4" w:space="0"/>
            </w:tcBorders>
            <w:vAlign w:val="center"/>
          </w:tcPr>
          <w:p w14:paraId="0BEE43A2">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3119" w:type="dxa"/>
            <w:vMerge w:val="restart"/>
            <w:tcBorders>
              <w:top w:val="single" w:color="auto" w:sz="4" w:space="0"/>
              <w:left w:val="single" w:color="auto" w:sz="4" w:space="0"/>
              <w:right w:val="single" w:color="auto" w:sz="4" w:space="0"/>
            </w:tcBorders>
            <w:vAlign w:val="center"/>
          </w:tcPr>
          <w:p w14:paraId="76C1BDFE">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7728CAA9">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default" w:ascii="仿宋" w:hAnsi="仿宋" w:cs="宋体"/>
                <w:color w:val="auto"/>
                <w:szCs w:val="21"/>
                <w:highlight w:val="none"/>
              </w:rPr>
              <w:t>创意设计方案的</w:t>
            </w:r>
            <w:r>
              <w:rPr>
                <w:rFonts w:hint="eastAsia" w:ascii="仿宋" w:hAnsi="仿宋" w:cs="宋体"/>
                <w:color w:val="auto"/>
                <w:szCs w:val="21"/>
                <w:highlight w:val="none"/>
              </w:rPr>
              <w:t>合理性</w:t>
            </w:r>
          </w:p>
        </w:tc>
        <w:tc>
          <w:tcPr>
            <w:tcW w:w="1212" w:type="dxa"/>
            <w:tcBorders>
              <w:top w:val="single" w:color="auto" w:sz="4" w:space="0"/>
              <w:left w:val="single" w:color="auto" w:sz="4" w:space="0"/>
              <w:bottom w:val="single" w:color="auto" w:sz="4" w:space="0"/>
              <w:right w:val="single" w:color="auto" w:sz="4" w:space="0"/>
            </w:tcBorders>
            <w:vAlign w:val="center"/>
          </w:tcPr>
          <w:p w14:paraId="3CD1F82F">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restart"/>
            <w:tcBorders>
              <w:top w:val="single" w:color="auto" w:sz="4" w:space="0"/>
              <w:left w:val="single" w:color="auto" w:sz="4" w:space="0"/>
              <w:right w:val="single" w:color="auto" w:sz="4" w:space="0"/>
            </w:tcBorders>
            <w:vAlign w:val="center"/>
          </w:tcPr>
          <w:p w14:paraId="3609D549">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2C4B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1" w:type="dxa"/>
            <w:vMerge w:val="continue"/>
            <w:tcBorders>
              <w:left w:val="single" w:color="auto" w:sz="4" w:space="0"/>
              <w:right w:val="single" w:color="auto" w:sz="4" w:space="0"/>
            </w:tcBorders>
            <w:vAlign w:val="center"/>
          </w:tcPr>
          <w:p w14:paraId="1BEFBDFE">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3119" w:type="dxa"/>
            <w:vMerge w:val="continue"/>
            <w:tcBorders>
              <w:left w:val="single" w:color="auto" w:sz="4" w:space="0"/>
              <w:right w:val="single" w:color="auto" w:sz="4" w:space="0"/>
            </w:tcBorders>
            <w:vAlign w:val="center"/>
          </w:tcPr>
          <w:p w14:paraId="7D74A2CB">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7885D62A">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default" w:ascii="仿宋" w:hAnsi="仿宋" w:cs="宋体"/>
                <w:color w:val="auto"/>
                <w:szCs w:val="21"/>
                <w:highlight w:val="none"/>
              </w:rPr>
              <w:t>创意设计方案的完整度</w:t>
            </w:r>
          </w:p>
        </w:tc>
        <w:tc>
          <w:tcPr>
            <w:tcW w:w="1212" w:type="dxa"/>
            <w:tcBorders>
              <w:top w:val="single" w:color="auto" w:sz="4" w:space="0"/>
              <w:left w:val="single" w:color="auto" w:sz="4" w:space="0"/>
              <w:bottom w:val="single" w:color="auto" w:sz="4" w:space="0"/>
              <w:right w:val="single" w:color="auto" w:sz="4" w:space="0"/>
            </w:tcBorders>
            <w:vAlign w:val="center"/>
          </w:tcPr>
          <w:p w14:paraId="0120B96C">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continue"/>
            <w:tcBorders>
              <w:left w:val="single" w:color="auto" w:sz="4" w:space="0"/>
              <w:right w:val="single" w:color="auto" w:sz="4" w:space="0"/>
            </w:tcBorders>
            <w:vAlign w:val="center"/>
          </w:tcPr>
          <w:p w14:paraId="2E2723C7">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088E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1" w:type="dxa"/>
            <w:vMerge w:val="continue"/>
            <w:tcBorders>
              <w:left w:val="single" w:color="auto" w:sz="4" w:space="0"/>
              <w:right w:val="single" w:color="auto" w:sz="4" w:space="0"/>
            </w:tcBorders>
            <w:vAlign w:val="center"/>
          </w:tcPr>
          <w:p w14:paraId="1882770B">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3119" w:type="dxa"/>
            <w:vMerge w:val="continue"/>
            <w:tcBorders>
              <w:left w:val="single" w:color="auto" w:sz="4" w:space="0"/>
              <w:right w:val="single" w:color="auto" w:sz="4" w:space="0"/>
            </w:tcBorders>
            <w:vAlign w:val="center"/>
          </w:tcPr>
          <w:p w14:paraId="0D6750F7">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31C2A161">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default" w:ascii="仿宋" w:hAnsi="仿宋" w:cs="宋体"/>
                <w:color w:val="auto"/>
                <w:szCs w:val="21"/>
                <w:highlight w:val="none"/>
              </w:rPr>
              <w:t>创意</w:t>
            </w:r>
            <w:r>
              <w:rPr>
                <w:rFonts w:hint="eastAsia" w:ascii="仿宋" w:hAnsi="仿宋" w:cs="宋体"/>
                <w:color w:val="auto"/>
                <w:szCs w:val="21"/>
                <w:highlight w:val="none"/>
              </w:rPr>
              <w:t>设计方案的</w:t>
            </w:r>
            <w:r>
              <w:rPr>
                <w:rFonts w:hint="default" w:ascii="仿宋" w:hAnsi="仿宋" w:cs="宋体"/>
                <w:color w:val="auto"/>
                <w:szCs w:val="21"/>
                <w:highlight w:val="none"/>
              </w:rPr>
              <w:t>贴合度</w:t>
            </w:r>
          </w:p>
        </w:tc>
        <w:tc>
          <w:tcPr>
            <w:tcW w:w="1212" w:type="dxa"/>
            <w:tcBorders>
              <w:top w:val="single" w:color="auto" w:sz="4" w:space="0"/>
              <w:left w:val="single" w:color="auto" w:sz="4" w:space="0"/>
              <w:bottom w:val="single" w:color="auto" w:sz="4" w:space="0"/>
              <w:right w:val="single" w:color="auto" w:sz="4" w:space="0"/>
            </w:tcBorders>
            <w:vAlign w:val="center"/>
          </w:tcPr>
          <w:p w14:paraId="76141FA7">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continue"/>
            <w:tcBorders>
              <w:left w:val="single" w:color="auto" w:sz="4" w:space="0"/>
              <w:right w:val="single" w:color="auto" w:sz="4" w:space="0"/>
            </w:tcBorders>
            <w:vAlign w:val="center"/>
          </w:tcPr>
          <w:p w14:paraId="6FA0F78F">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565B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restart"/>
            <w:tcBorders>
              <w:top w:val="single" w:color="auto" w:sz="4" w:space="0"/>
              <w:left w:val="single" w:color="auto" w:sz="4" w:space="0"/>
              <w:right w:val="single" w:color="auto" w:sz="4" w:space="0"/>
            </w:tcBorders>
            <w:vAlign w:val="center"/>
          </w:tcPr>
          <w:p w14:paraId="6FE18E0B">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3119" w:type="dxa"/>
            <w:vMerge w:val="restart"/>
            <w:tcBorders>
              <w:top w:val="single" w:color="auto" w:sz="4" w:space="0"/>
              <w:left w:val="single" w:color="auto" w:sz="4" w:space="0"/>
              <w:right w:val="single" w:color="auto" w:sz="4" w:space="0"/>
            </w:tcBorders>
            <w:vAlign w:val="center"/>
          </w:tcPr>
          <w:p w14:paraId="603B2C8F">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33BC86F6">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default" w:ascii="仿宋" w:hAnsi="仿宋" w:cs="宋体"/>
                <w:color w:val="auto"/>
                <w:szCs w:val="21"/>
                <w:highlight w:val="none"/>
              </w:rPr>
              <w:t>创意设计方案的</w:t>
            </w:r>
            <w:r>
              <w:rPr>
                <w:rFonts w:hint="eastAsia" w:ascii="仿宋" w:hAnsi="仿宋" w:cs="宋体"/>
                <w:color w:val="auto"/>
                <w:szCs w:val="21"/>
                <w:highlight w:val="none"/>
              </w:rPr>
              <w:t>合理性</w:t>
            </w:r>
          </w:p>
        </w:tc>
        <w:tc>
          <w:tcPr>
            <w:tcW w:w="1212" w:type="dxa"/>
            <w:tcBorders>
              <w:top w:val="single" w:color="auto" w:sz="4" w:space="0"/>
              <w:left w:val="single" w:color="auto" w:sz="4" w:space="0"/>
              <w:bottom w:val="single" w:color="auto" w:sz="4" w:space="0"/>
              <w:right w:val="single" w:color="auto" w:sz="4" w:space="0"/>
            </w:tcBorders>
            <w:vAlign w:val="center"/>
          </w:tcPr>
          <w:p w14:paraId="0A07CEC2">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restart"/>
            <w:tcBorders>
              <w:top w:val="single" w:color="auto" w:sz="4" w:space="0"/>
              <w:left w:val="single" w:color="auto" w:sz="4" w:space="0"/>
              <w:right w:val="single" w:color="auto" w:sz="4" w:space="0"/>
            </w:tcBorders>
            <w:vAlign w:val="center"/>
          </w:tcPr>
          <w:p w14:paraId="38FF21D9">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621B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vAlign w:val="center"/>
          </w:tcPr>
          <w:p w14:paraId="2152D533">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3119" w:type="dxa"/>
            <w:vMerge w:val="continue"/>
            <w:tcBorders>
              <w:left w:val="single" w:color="auto" w:sz="4" w:space="0"/>
              <w:right w:val="single" w:color="auto" w:sz="4" w:space="0"/>
            </w:tcBorders>
            <w:vAlign w:val="center"/>
          </w:tcPr>
          <w:p w14:paraId="664CCE6E">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33074969">
            <w:pPr>
              <w:keepNext w:val="0"/>
              <w:keepLines w:val="0"/>
              <w:suppressLineNumbers w:val="0"/>
              <w:spacing w:before="0" w:beforeAutospacing="0" w:after="0" w:afterAutospacing="0" w:line="360" w:lineRule="atLeast"/>
              <w:ind w:left="0" w:right="0"/>
              <w:jc w:val="center"/>
              <w:rPr>
                <w:rFonts w:hint="default"/>
                <w:color w:val="auto"/>
                <w:highlight w:val="none"/>
              </w:rPr>
            </w:pPr>
            <w:r>
              <w:rPr>
                <w:rFonts w:hint="default" w:ascii="仿宋" w:hAnsi="仿宋" w:cs="宋体"/>
                <w:color w:val="auto"/>
                <w:szCs w:val="21"/>
                <w:highlight w:val="none"/>
              </w:rPr>
              <w:t>创意设计方案的完整度</w:t>
            </w:r>
          </w:p>
        </w:tc>
        <w:tc>
          <w:tcPr>
            <w:tcW w:w="1212" w:type="dxa"/>
            <w:tcBorders>
              <w:top w:val="single" w:color="auto" w:sz="4" w:space="0"/>
              <w:left w:val="single" w:color="auto" w:sz="4" w:space="0"/>
              <w:bottom w:val="single" w:color="auto" w:sz="4" w:space="0"/>
              <w:right w:val="single" w:color="auto" w:sz="4" w:space="0"/>
            </w:tcBorders>
            <w:vAlign w:val="center"/>
          </w:tcPr>
          <w:p w14:paraId="5191515F">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1050" w:type="dxa"/>
            <w:vMerge w:val="continue"/>
            <w:tcBorders>
              <w:left w:val="single" w:color="auto" w:sz="4" w:space="0"/>
              <w:right w:val="single" w:color="auto" w:sz="4" w:space="0"/>
            </w:tcBorders>
            <w:vAlign w:val="center"/>
          </w:tcPr>
          <w:p w14:paraId="28C1F22C">
            <w:pPr>
              <w:keepNext w:val="0"/>
              <w:keepLines w:val="0"/>
              <w:suppressLineNumbers w:val="0"/>
              <w:spacing w:before="0" w:beforeAutospacing="0" w:after="0" w:afterAutospacing="0" w:line="360" w:lineRule="atLeast"/>
              <w:ind w:left="0" w:right="0"/>
              <w:jc w:val="center"/>
              <w:rPr>
                <w:rFonts w:hint="default"/>
                <w:color w:val="auto"/>
                <w:highlight w:val="none"/>
              </w:rPr>
            </w:pPr>
          </w:p>
        </w:tc>
      </w:tr>
      <w:tr w14:paraId="31DE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vAlign w:val="center"/>
          </w:tcPr>
          <w:p w14:paraId="2DBCDD27">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3119" w:type="dxa"/>
            <w:vMerge w:val="continue"/>
            <w:tcBorders>
              <w:left w:val="single" w:color="auto" w:sz="4" w:space="0"/>
              <w:right w:val="single" w:color="auto" w:sz="4" w:space="0"/>
            </w:tcBorders>
            <w:vAlign w:val="center"/>
          </w:tcPr>
          <w:p w14:paraId="24F6BC14">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336C4A2A">
            <w:pPr>
              <w:keepNext w:val="0"/>
              <w:keepLines w:val="0"/>
              <w:suppressLineNumbers w:val="0"/>
              <w:spacing w:before="0" w:beforeAutospacing="0" w:after="0" w:afterAutospacing="0" w:line="360" w:lineRule="atLeast"/>
              <w:ind w:left="0" w:right="0"/>
              <w:jc w:val="center"/>
              <w:rPr>
                <w:rFonts w:hint="default"/>
                <w:color w:val="auto"/>
                <w:highlight w:val="none"/>
              </w:rPr>
            </w:pPr>
            <w:r>
              <w:rPr>
                <w:rFonts w:hint="default" w:ascii="仿宋" w:hAnsi="仿宋" w:cs="宋体"/>
                <w:color w:val="auto"/>
                <w:szCs w:val="21"/>
                <w:highlight w:val="none"/>
              </w:rPr>
              <w:t>创意</w:t>
            </w:r>
            <w:r>
              <w:rPr>
                <w:rFonts w:hint="eastAsia" w:ascii="仿宋" w:hAnsi="仿宋" w:cs="宋体"/>
                <w:color w:val="auto"/>
                <w:szCs w:val="21"/>
                <w:highlight w:val="none"/>
              </w:rPr>
              <w:t>设计方案的</w:t>
            </w:r>
            <w:r>
              <w:rPr>
                <w:rFonts w:hint="default" w:ascii="仿宋" w:hAnsi="仿宋" w:cs="宋体"/>
                <w:color w:val="auto"/>
                <w:szCs w:val="21"/>
                <w:highlight w:val="none"/>
              </w:rPr>
              <w:t>贴合度</w:t>
            </w:r>
          </w:p>
        </w:tc>
        <w:tc>
          <w:tcPr>
            <w:tcW w:w="1212" w:type="dxa"/>
            <w:tcBorders>
              <w:top w:val="single" w:color="auto" w:sz="4" w:space="0"/>
              <w:left w:val="single" w:color="auto" w:sz="4" w:space="0"/>
              <w:bottom w:val="single" w:color="auto" w:sz="4" w:space="0"/>
              <w:right w:val="single" w:color="auto" w:sz="4" w:space="0"/>
            </w:tcBorders>
            <w:vAlign w:val="center"/>
          </w:tcPr>
          <w:p w14:paraId="0C3CFB9C">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1050" w:type="dxa"/>
            <w:vMerge w:val="continue"/>
            <w:tcBorders>
              <w:left w:val="single" w:color="auto" w:sz="4" w:space="0"/>
              <w:right w:val="single" w:color="auto" w:sz="4" w:space="0"/>
            </w:tcBorders>
            <w:vAlign w:val="center"/>
          </w:tcPr>
          <w:p w14:paraId="109D4DCD">
            <w:pPr>
              <w:keepNext w:val="0"/>
              <w:keepLines w:val="0"/>
              <w:suppressLineNumbers w:val="0"/>
              <w:spacing w:before="0" w:beforeAutospacing="0" w:after="0" w:afterAutospacing="0" w:line="360" w:lineRule="atLeast"/>
              <w:ind w:left="0" w:right="0"/>
              <w:jc w:val="center"/>
              <w:rPr>
                <w:rFonts w:hint="default"/>
                <w:color w:val="auto"/>
                <w:highlight w:val="none"/>
              </w:rPr>
            </w:pPr>
          </w:p>
        </w:tc>
      </w:tr>
      <w:tr w14:paraId="6CCA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restart"/>
            <w:tcBorders>
              <w:top w:val="single" w:color="auto" w:sz="4" w:space="0"/>
              <w:left w:val="single" w:color="auto" w:sz="4" w:space="0"/>
              <w:right w:val="single" w:color="auto" w:sz="4" w:space="0"/>
            </w:tcBorders>
            <w:vAlign w:val="center"/>
          </w:tcPr>
          <w:p w14:paraId="2DBEDA5B">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3119" w:type="dxa"/>
            <w:vMerge w:val="restart"/>
            <w:tcBorders>
              <w:top w:val="single" w:color="auto" w:sz="4" w:space="0"/>
              <w:left w:val="single" w:color="auto" w:sz="4" w:space="0"/>
              <w:right w:val="single" w:color="auto" w:sz="4" w:space="0"/>
            </w:tcBorders>
            <w:vAlign w:val="center"/>
          </w:tcPr>
          <w:p w14:paraId="7370F0BE">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3BCFE7B8">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default" w:ascii="仿宋" w:hAnsi="仿宋" w:cs="宋体"/>
                <w:color w:val="auto"/>
                <w:szCs w:val="21"/>
                <w:highlight w:val="none"/>
              </w:rPr>
              <w:t>创意设计方案的</w:t>
            </w:r>
            <w:r>
              <w:rPr>
                <w:rFonts w:hint="eastAsia" w:ascii="仿宋" w:hAnsi="仿宋" w:cs="宋体"/>
                <w:color w:val="auto"/>
                <w:szCs w:val="21"/>
                <w:highlight w:val="none"/>
              </w:rPr>
              <w:t>合理性</w:t>
            </w:r>
          </w:p>
        </w:tc>
        <w:tc>
          <w:tcPr>
            <w:tcW w:w="1212" w:type="dxa"/>
            <w:tcBorders>
              <w:top w:val="single" w:color="auto" w:sz="4" w:space="0"/>
              <w:left w:val="single" w:color="auto" w:sz="4" w:space="0"/>
              <w:bottom w:val="single" w:color="auto" w:sz="4" w:space="0"/>
              <w:right w:val="single" w:color="auto" w:sz="4" w:space="0"/>
            </w:tcBorders>
            <w:vAlign w:val="center"/>
          </w:tcPr>
          <w:p w14:paraId="64CAAA3A">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restart"/>
            <w:tcBorders>
              <w:top w:val="single" w:color="auto" w:sz="4" w:space="0"/>
              <w:left w:val="single" w:color="auto" w:sz="4" w:space="0"/>
              <w:right w:val="single" w:color="auto" w:sz="4" w:space="0"/>
            </w:tcBorders>
            <w:vAlign w:val="center"/>
          </w:tcPr>
          <w:p w14:paraId="04F3F14F">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3E87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vAlign w:val="center"/>
          </w:tcPr>
          <w:p w14:paraId="12EC4937">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3119" w:type="dxa"/>
            <w:vMerge w:val="continue"/>
            <w:tcBorders>
              <w:left w:val="single" w:color="auto" w:sz="4" w:space="0"/>
              <w:right w:val="single" w:color="auto" w:sz="4" w:space="0"/>
            </w:tcBorders>
            <w:vAlign w:val="center"/>
          </w:tcPr>
          <w:p w14:paraId="735862DD">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06E62248">
            <w:pPr>
              <w:keepNext w:val="0"/>
              <w:keepLines w:val="0"/>
              <w:suppressLineNumbers w:val="0"/>
              <w:spacing w:before="0" w:beforeAutospacing="0" w:after="0" w:afterAutospacing="0" w:line="360" w:lineRule="atLeast"/>
              <w:ind w:left="0" w:right="0"/>
              <w:jc w:val="center"/>
              <w:rPr>
                <w:rFonts w:hint="default"/>
                <w:color w:val="auto"/>
                <w:highlight w:val="none"/>
              </w:rPr>
            </w:pPr>
            <w:r>
              <w:rPr>
                <w:rFonts w:hint="default" w:ascii="仿宋" w:hAnsi="仿宋" w:cs="宋体"/>
                <w:color w:val="auto"/>
                <w:szCs w:val="21"/>
                <w:highlight w:val="none"/>
              </w:rPr>
              <w:t>创意设计方案的完整度</w:t>
            </w:r>
          </w:p>
        </w:tc>
        <w:tc>
          <w:tcPr>
            <w:tcW w:w="1212" w:type="dxa"/>
            <w:tcBorders>
              <w:top w:val="single" w:color="auto" w:sz="4" w:space="0"/>
              <w:left w:val="single" w:color="auto" w:sz="4" w:space="0"/>
              <w:bottom w:val="single" w:color="auto" w:sz="4" w:space="0"/>
              <w:right w:val="single" w:color="auto" w:sz="4" w:space="0"/>
            </w:tcBorders>
            <w:vAlign w:val="center"/>
          </w:tcPr>
          <w:p w14:paraId="1C4E3B33">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1050" w:type="dxa"/>
            <w:vMerge w:val="continue"/>
            <w:tcBorders>
              <w:left w:val="single" w:color="auto" w:sz="4" w:space="0"/>
              <w:right w:val="single" w:color="auto" w:sz="4" w:space="0"/>
            </w:tcBorders>
            <w:vAlign w:val="center"/>
          </w:tcPr>
          <w:p w14:paraId="380783F3">
            <w:pPr>
              <w:keepNext w:val="0"/>
              <w:keepLines w:val="0"/>
              <w:suppressLineNumbers w:val="0"/>
              <w:spacing w:before="0" w:beforeAutospacing="0" w:after="0" w:afterAutospacing="0" w:line="360" w:lineRule="atLeast"/>
              <w:ind w:left="0" w:right="0"/>
              <w:jc w:val="center"/>
              <w:rPr>
                <w:rFonts w:hint="default"/>
                <w:color w:val="auto"/>
                <w:highlight w:val="none"/>
              </w:rPr>
            </w:pPr>
          </w:p>
        </w:tc>
      </w:tr>
      <w:tr w14:paraId="697E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vAlign w:val="center"/>
          </w:tcPr>
          <w:p w14:paraId="1ECFDBCB">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3119" w:type="dxa"/>
            <w:vMerge w:val="continue"/>
            <w:tcBorders>
              <w:left w:val="single" w:color="auto" w:sz="4" w:space="0"/>
              <w:right w:val="single" w:color="auto" w:sz="4" w:space="0"/>
            </w:tcBorders>
            <w:vAlign w:val="center"/>
          </w:tcPr>
          <w:p w14:paraId="04695B92">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08AD342E">
            <w:pPr>
              <w:keepNext w:val="0"/>
              <w:keepLines w:val="0"/>
              <w:suppressLineNumbers w:val="0"/>
              <w:spacing w:before="0" w:beforeAutospacing="0" w:after="0" w:afterAutospacing="0" w:line="360" w:lineRule="atLeast"/>
              <w:ind w:left="0" w:right="0"/>
              <w:jc w:val="center"/>
              <w:rPr>
                <w:rFonts w:hint="default"/>
                <w:color w:val="auto"/>
                <w:highlight w:val="none"/>
              </w:rPr>
            </w:pPr>
            <w:r>
              <w:rPr>
                <w:rFonts w:hint="default" w:ascii="仿宋" w:hAnsi="仿宋" w:cs="宋体"/>
                <w:color w:val="auto"/>
                <w:szCs w:val="21"/>
                <w:highlight w:val="none"/>
              </w:rPr>
              <w:t>创意</w:t>
            </w:r>
            <w:r>
              <w:rPr>
                <w:rFonts w:hint="eastAsia" w:ascii="仿宋" w:hAnsi="仿宋" w:cs="宋体"/>
                <w:color w:val="auto"/>
                <w:szCs w:val="21"/>
                <w:highlight w:val="none"/>
              </w:rPr>
              <w:t>设计方案的</w:t>
            </w:r>
            <w:r>
              <w:rPr>
                <w:rFonts w:hint="default" w:ascii="仿宋" w:hAnsi="仿宋" w:cs="宋体"/>
                <w:color w:val="auto"/>
                <w:szCs w:val="21"/>
                <w:highlight w:val="none"/>
              </w:rPr>
              <w:t>贴合度</w:t>
            </w:r>
          </w:p>
        </w:tc>
        <w:tc>
          <w:tcPr>
            <w:tcW w:w="1212" w:type="dxa"/>
            <w:tcBorders>
              <w:top w:val="single" w:color="auto" w:sz="4" w:space="0"/>
              <w:left w:val="single" w:color="auto" w:sz="4" w:space="0"/>
              <w:bottom w:val="single" w:color="auto" w:sz="4" w:space="0"/>
              <w:right w:val="single" w:color="auto" w:sz="4" w:space="0"/>
            </w:tcBorders>
            <w:vAlign w:val="center"/>
          </w:tcPr>
          <w:p w14:paraId="03E452C7">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1050" w:type="dxa"/>
            <w:vMerge w:val="continue"/>
            <w:tcBorders>
              <w:left w:val="single" w:color="auto" w:sz="4" w:space="0"/>
              <w:right w:val="single" w:color="auto" w:sz="4" w:space="0"/>
            </w:tcBorders>
            <w:vAlign w:val="center"/>
          </w:tcPr>
          <w:p w14:paraId="36FF561C">
            <w:pPr>
              <w:keepNext w:val="0"/>
              <w:keepLines w:val="0"/>
              <w:suppressLineNumbers w:val="0"/>
              <w:spacing w:before="0" w:beforeAutospacing="0" w:after="0" w:afterAutospacing="0" w:line="360" w:lineRule="atLeast"/>
              <w:ind w:left="0" w:right="0"/>
              <w:jc w:val="center"/>
              <w:rPr>
                <w:rFonts w:hint="default"/>
                <w:color w:val="auto"/>
                <w:highlight w:val="none"/>
              </w:rPr>
            </w:pPr>
          </w:p>
        </w:tc>
      </w:tr>
      <w:tr w14:paraId="5517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1D0951">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default" w:ascii="Arial" w:hAnsi="Arial" w:cs="Arial"/>
                <w:color w:val="auto"/>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2063A779">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386" w:type="dxa"/>
            <w:tcBorders>
              <w:top w:val="single" w:color="auto" w:sz="4" w:space="0"/>
              <w:left w:val="single" w:color="auto" w:sz="4" w:space="0"/>
              <w:bottom w:val="single" w:color="auto" w:sz="4" w:space="0"/>
              <w:right w:val="single" w:color="auto" w:sz="4" w:space="0"/>
            </w:tcBorders>
            <w:vAlign w:val="center"/>
          </w:tcPr>
          <w:p w14:paraId="14013DB8">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707940FA">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5A5F6FF">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bl>
    <w:p w14:paraId="5EB28B6C">
      <w:pPr>
        <w:spacing w:line="0" w:lineRule="atLeast"/>
        <w:rPr>
          <w:rFonts w:ascii="宋体" w:hAnsi="宋体" w:cs="宋体"/>
          <w:color w:val="auto"/>
          <w:szCs w:val="21"/>
          <w:highlight w:val="none"/>
        </w:rPr>
      </w:pPr>
      <w:r>
        <w:rPr>
          <w:rFonts w:hint="eastAsia" w:ascii="宋体" w:hAnsi="宋体" w:cs="宋体"/>
          <w:color w:val="auto"/>
          <w:szCs w:val="21"/>
          <w:highlight w:val="none"/>
        </w:rPr>
        <w:t>备注：</w:t>
      </w:r>
    </w:p>
    <w:p w14:paraId="1E4C2B44">
      <w:pPr>
        <w:spacing w:line="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1、本表格用于定标阶段方案因素评审计分，每行限填一个合格中标候选人，定标委员会成员应当独立打分；</w:t>
      </w:r>
    </w:p>
    <w:p w14:paraId="7A2D0EE6">
      <w:pPr>
        <w:spacing w:line="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2、定标委员会各成员对所有进入定标程序的合格中标候选人按评标办法前附表4.3.1（3）方案因素评分标准进行打分。</w:t>
      </w:r>
    </w:p>
    <w:p w14:paraId="455BA914">
      <w:pPr>
        <w:spacing w:line="0" w:lineRule="atLeast"/>
        <w:jc w:val="left"/>
        <w:rPr>
          <w:smallCaps/>
          <w:color w:val="auto"/>
          <w:sz w:val="20"/>
          <w:szCs w:val="20"/>
          <w:highlight w:val="none"/>
        </w:rPr>
      </w:pPr>
    </w:p>
    <w:p w14:paraId="0348A13B">
      <w:pPr>
        <w:snapToGrid w:val="0"/>
        <w:spacing w:line="0" w:lineRule="atLeast"/>
        <w:jc w:val="left"/>
        <w:rPr>
          <w:rFonts w:ascii="宋体" w:hAnsi="宋体" w:cs="宋体"/>
          <w:color w:val="auto"/>
          <w:szCs w:val="21"/>
          <w:highlight w:val="none"/>
        </w:rPr>
      </w:pPr>
      <w:r>
        <w:rPr>
          <w:rFonts w:hint="eastAsia" w:ascii="宋体" w:hAnsi="宋体" w:cs="宋体"/>
          <w:color w:val="auto"/>
          <w:szCs w:val="21"/>
          <w:highlight w:val="none"/>
        </w:rPr>
        <w:t>定标委员签名：</w:t>
      </w:r>
    </w:p>
    <w:p w14:paraId="0A2C81FA">
      <w:pPr>
        <w:spacing w:line="360" w:lineRule="auto"/>
        <w:rPr>
          <w:color w:val="auto"/>
          <w:szCs w:val="21"/>
          <w:highlight w:val="none"/>
        </w:rPr>
      </w:pPr>
      <w:r>
        <w:rPr>
          <w:rFonts w:hint="eastAsia" w:ascii="宋体" w:hAnsi="宋体" w:cs="宋体"/>
          <w:color w:val="auto"/>
          <w:szCs w:val="21"/>
          <w:highlight w:val="none"/>
        </w:rPr>
        <w:t>日期：     年   月   日</w:t>
      </w:r>
    </w:p>
    <w:p w14:paraId="5A7A4F29">
      <w:pPr>
        <w:spacing w:line="360" w:lineRule="auto"/>
        <w:rPr>
          <w:rFonts w:ascii="宋体" w:hAnsi="宋体"/>
          <w:color w:val="auto"/>
          <w:szCs w:val="21"/>
          <w:highlight w:val="none"/>
        </w:rPr>
      </w:pPr>
    </w:p>
    <w:p w14:paraId="5053804F">
      <w:pPr>
        <w:adjustRightInd w:val="0"/>
        <w:snapToGrid w:val="0"/>
        <w:spacing w:line="360" w:lineRule="auto"/>
        <w:ind w:firstLine="422" w:firstLineChars="200"/>
        <w:jc w:val="left"/>
        <w:rPr>
          <w:rFonts w:ascii="宋体" w:hAnsi="宋体"/>
          <w:b/>
          <w:bCs/>
          <w:color w:val="auto"/>
          <w:szCs w:val="32"/>
          <w:highlight w:val="none"/>
        </w:rPr>
      </w:pPr>
    </w:p>
    <w:p w14:paraId="3027E8D0">
      <w:pPr>
        <w:rPr>
          <w:rFonts w:hint="eastAsia" w:ascii="宋体" w:hAnsi="宋体" w:eastAsia="宋体"/>
          <w:b/>
          <w:bCs/>
          <w:color w:val="auto"/>
          <w:szCs w:val="32"/>
          <w:highlight w:val="none"/>
          <w:lang w:eastAsia="zh-CN"/>
        </w:rPr>
      </w:pPr>
      <w:r>
        <w:rPr>
          <w:rFonts w:ascii="宋体" w:hAnsi="宋体"/>
          <w:b/>
          <w:color w:val="auto"/>
          <w:szCs w:val="21"/>
          <w:highlight w:val="none"/>
          <w:shd w:val="clear" w:color="auto" w:fill="FFFFFF"/>
        </w:rPr>
        <w:br w:type="page"/>
      </w:r>
      <w:r>
        <w:rPr>
          <w:rFonts w:hint="eastAsia" w:ascii="宋体" w:hAnsi="宋体"/>
          <w:b/>
          <w:bCs/>
          <w:color w:val="auto"/>
          <w:szCs w:val="32"/>
          <w:highlight w:val="none"/>
        </w:rPr>
        <w:t>附表</w:t>
      </w:r>
      <w:r>
        <w:rPr>
          <w:rFonts w:hint="eastAsia" w:ascii="宋体" w:hAnsi="宋体"/>
          <w:b/>
          <w:bCs/>
          <w:color w:val="auto"/>
          <w:szCs w:val="32"/>
          <w:highlight w:val="none"/>
          <w:lang w:val="en-US" w:eastAsia="zh-CN"/>
        </w:rPr>
        <w:t>3</w:t>
      </w:r>
    </w:p>
    <w:p w14:paraId="56F5E00F">
      <w:pPr>
        <w:jc w:val="center"/>
        <w:rPr>
          <w:rFonts w:ascii="宋体" w:hAnsi="宋体"/>
          <w:b/>
          <w:color w:val="auto"/>
          <w:sz w:val="32"/>
          <w:szCs w:val="32"/>
          <w:highlight w:val="none"/>
        </w:rPr>
      </w:pPr>
    </w:p>
    <w:p w14:paraId="2CBA5E63">
      <w:pPr>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定标阶段（答辩因素）评审得分表</w:t>
      </w:r>
    </w:p>
    <w:p w14:paraId="25CD3AE9">
      <w:pPr>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（定标委员个人用表）</w:t>
      </w:r>
    </w:p>
    <w:p w14:paraId="01FBA1A5">
      <w:pPr>
        <w:ind w:left="210"/>
        <w:jc w:val="left"/>
        <w:rPr>
          <w:smallCaps/>
          <w:color w:val="auto"/>
          <w:sz w:val="20"/>
          <w:szCs w:val="20"/>
          <w:highlight w:val="none"/>
        </w:rPr>
      </w:pPr>
    </w:p>
    <w:p w14:paraId="7C529A8F">
      <w:pPr>
        <w:snapToGrid w:val="0"/>
        <w:spacing w:line="240" w:lineRule="atLeast"/>
        <w:rPr>
          <w:rFonts w:ascii="宋体" w:hAnsi="宋体" w:cs="宋体"/>
          <w:color w:val="auto"/>
          <w:sz w:val="24"/>
          <w:highlight w:val="none"/>
        </w:rPr>
      </w:pPr>
      <w:r>
        <w:rPr>
          <w:rFonts w:hint="eastAsia" w:ascii="宋体" w:hAnsi="宋体" w:cs="宋体"/>
          <w:bCs/>
          <w:color w:val="auto"/>
          <w:sz w:val="24"/>
          <w:highlight w:val="none"/>
        </w:rPr>
        <w:t xml:space="preserve">  </w:t>
      </w:r>
      <w:r>
        <w:rPr>
          <w:rFonts w:hint="eastAsia" w:ascii="宋体" w:hAnsi="宋体" w:cs="宋体"/>
          <w:color w:val="auto"/>
          <w:sz w:val="24"/>
          <w:highlight w:val="none"/>
        </w:rPr>
        <w:t>工程名称：</w:t>
      </w:r>
    </w:p>
    <w:tbl>
      <w:tblPr>
        <w:tblStyle w:val="37"/>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909"/>
        <w:gridCol w:w="2596"/>
        <w:gridCol w:w="1212"/>
        <w:gridCol w:w="1050"/>
      </w:tblGrid>
      <w:tr w14:paraId="7F98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4E6D14D">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2909" w:type="dxa"/>
            <w:tcBorders>
              <w:top w:val="single" w:color="auto" w:sz="4" w:space="0"/>
              <w:left w:val="single" w:color="auto" w:sz="4" w:space="0"/>
              <w:bottom w:val="single" w:color="auto" w:sz="4" w:space="0"/>
              <w:right w:val="single" w:color="auto" w:sz="4" w:space="0"/>
            </w:tcBorders>
            <w:vAlign w:val="center"/>
          </w:tcPr>
          <w:p w14:paraId="0D4AA43C">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合格中标候选人名称</w:t>
            </w:r>
          </w:p>
        </w:tc>
        <w:tc>
          <w:tcPr>
            <w:tcW w:w="2596" w:type="dxa"/>
            <w:tcBorders>
              <w:top w:val="single" w:color="auto" w:sz="4" w:space="0"/>
              <w:left w:val="single" w:color="auto" w:sz="4" w:space="0"/>
              <w:bottom w:val="single" w:color="auto" w:sz="4" w:space="0"/>
              <w:right w:val="single" w:color="auto" w:sz="4" w:space="0"/>
            </w:tcBorders>
            <w:vAlign w:val="center"/>
          </w:tcPr>
          <w:p w14:paraId="21025EBF">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评审项</w:t>
            </w:r>
          </w:p>
        </w:tc>
        <w:tc>
          <w:tcPr>
            <w:tcW w:w="1212" w:type="dxa"/>
            <w:tcBorders>
              <w:top w:val="single" w:color="auto" w:sz="4" w:space="0"/>
              <w:left w:val="single" w:color="auto" w:sz="4" w:space="0"/>
              <w:bottom w:val="single" w:color="auto" w:sz="4" w:space="0"/>
              <w:right w:val="single" w:color="auto" w:sz="4" w:space="0"/>
            </w:tcBorders>
            <w:vAlign w:val="center"/>
          </w:tcPr>
          <w:p w14:paraId="0FB71BDE">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 w:val="24"/>
                <w:highlight w:val="none"/>
              </w:rPr>
              <w:t>得分</w:t>
            </w:r>
          </w:p>
        </w:tc>
        <w:tc>
          <w:tcPr>
            <w:tcW w:w="1050" w:type="dxa"/>
            <w:tcBorders>
              <w:top w:val="single" w:color="auto" w:sz="4" w:space="0"/>
              <w:left w:val="single" w:color="auto" w:sz="4" w:space="0"/>
              <w:bottom w:val="single" w:color="auto" w:sz="4" w:space="0"/>
              <w:right w:val="single" w:color="auto" w:sz="4" w:space="0"/>
            </w:tcBorders>
            <w:vAlign w:val="center"/>
          </w:tcPr>
          <w:p w14:paraId="44D2CF4C">
            <w:pPr>
              <w:keepNext w:val="0"/>
              <w:keepLines w:val="0"/>
              <w:suppressLineNumbers w:val="0"/>
              <w:spacing w:before="0" w:beforeAutospacing="0" w:after="0" w:afterAutospacing="0" w:line="360" w:lineRule="atLeas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答辩因素得分</w:t>
            </w:r>
          </w:p>
        </w:tc>
      </w:tr>
      <w:tr w14:paraId="40C4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1" w:type="dxa"/>
            <w:vMerge w:val="continue"/>
            <w:tcBorders>
              <w:left w:val="single" w:color="auto" w:sz="4" w:space="0"/>
              <w:right w:val="single" w:color="auto" w:sz="4" w:space="0"/>
            </w:tcBorders>
            <w:vAlign w:val="center"/>
          </w:tcPr>
          <w:p w14:paraId="3CB7F1F2">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909" w:type="dxa"/>
            <w:vMerge w:val="continue"/>
            <w:tcBorders>
              <w:left w:val="single" w:color="auto" w:sz="4" w:space="0"/>
              <w:right w:val="single" w:color="auto" w:sz="4" w:space="0"/>
            </w:tcBorders>
            <w:vAlign w:val="center"/>
          </w:tcPr>
          <w:p w14:paraId="23883B20">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596" w:type="dxa"/>
            <w:tcBorders>
              <w:top w:val="single" w:color="auto" w:sz="4" w:space="0"/>
              <w:left w:val="single" w:color="auto" w:sz="4" w:space="0"/>
              <w:bottom w:val="single" w:color="auto" w:sz="4" w:space="0"/>
              <w:right w:val="single" w:color="auto" w:sz="4" w:space="0"/>
            </w:tcBorders>
            <w:vAlign w:val="center"/>
          </w:tcPr>
          <w:p w14:paraId="77E84BF7">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eastAsia" w:ascii="宋体" w:hAnsi="宋体" w:cs="宋体"/>
                <w:color w:val="auto"/>
                <w:szCs w:val="21"/>
                <w:highlight w:val="none"/>
              </w:rPr>
              <w:t>合格的中标候选人</w:t>
            </w:r>
            <w:r>
              <w:rPr>
                <w:rFonts w:hint="eastAsia" w:ascii="宋体" w:hAnsi="宋体" w:cs="宋体"/>
                <w:color w:val="auto"/>
                <w:szCs w:val="21"/>
                <w:highlight w:val="none"/>
                <w:lang w:val="zh-CN"/>
              </w:rPr>
              <w:t>对项目方案的介绍及理解能力</w:t>
            </w:r>
          </w:p>
        </w:tc>
        <w:tc>
          <w:tcPr>
            <w:tcW w:w="1212" w:type="dxa"/>
            <w:tcBorders>
              <w:top w:val="single" w:color="auto" w:sz="4" w:space="0"/>
              <w:left w:val="single" w:color="auto" w:sz="4" w:space="0"/>
              <w:bottom w:val="single" w:color="auto" w:sz="4" w:space="0"/>
              <w:right w:val="single" w:color="auto" w:sz="4" w:space="0"/>
            </w:tcBorders>
            <w:vAlign w:val="center"/>
          </w:tcPr>
          <w:p w14:paraId="46717DE9">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vMerge w:val="continue"/>
            <w:tcBorders>
              <w:left w:val="single" w:color="auto" w:sz="4" w:space="0"/>
              <w:right w:val="single" w:color="auto" w:sz="4" w:space="0"/>
            </w:tcBorders>
            <w:vAlign w:val="center"/>
          </w:tcPr>
          <w:p w14:paraId="6194E9F9">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r w14:paraId="0542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vAlign w:val="center"/>
          </w:tcPr>
          <w:p w14:paraId="310F7A2B">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909" w:type="dxa"/>
            <w:vMerge w:val="continue"/>
            <w:tcBorders>
              <w:left w:val="single" w:color="auto" w:sz="4" w:space="0"/>
              <w:right w:val="single" w:color="auto" w:sz="4" w:space="0"/>
            </w:tcBorders>
            <w:vAlign w:val="center"/>
          </w:tcPr>
          <w:p w14:paraId="4CEB8FF0">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596" w:type="dxa"/>
            <w:tcBorders>
              <w:top w:val="single" w:color="auto" w:sz="4" w:space="0"/>
              <w:left w:val="single" w:color="auto" w:sz="4" w:space="0"/>
              <w:bottom w:val="single" w:color="auto" w:sz="4" w:space="0"/>
              <w:right w:val="single" w:color="auto" w:sz="4" w:space="0"/>
            </w:tcBorders>
            <w:vAlign w:val="center"/>
          </w:tcPr>
          <w:p w14:paraId="0A134F36">
            <w:pPr>
              <w:keepNext w:val="0"/>
              <w:keepLines w:val="0"/>
              <w:suppressLineNumbers w:val="0"/>
              <w:spacing w:before="0" w:beforeAutospacing="0" w:after="0" w:afterAutospacing="0" w:line="360" w:lineRule="atLeast"/>
              <w:ind w:left="0" w:right="0"/>
              <w:jc w:val="center"/>
              <w:rPr>
                <w:rFonts w:hint="default"/>
                <w:color w:val="auto"/>
                <w:highlight w:val="none"/>
              </w:rPr>
            </w:pPr>
            <w:r>
              <w:rPr>
                <w:rFonts w:hint="eastAsia" w:ascii="宋体" w:hAnsi="宋体" w:cs="宋体"/>
                <w:color w:val="auto"/>
                <w:szCs w:val="21"/>
                <w:highlight w:val="none"/>
              </w:rPr>
              <w:t>合格的中标候选人</w:t>
            </w:r>
            <w:r>
              <w:rPr>
                <w:rFonts w:hint="eastAsia" w:ascii="宋体" w:hAnsi="宋体" w:cs="宋体"/>
                <w:color w:val="auto"/>
                <w:szCs w:val="21"/>
                <w:highlight w:val="none"/>
                <w:lang w:val="zh-CN"/>
              </w:rPr>
              <w:t>对项目方案的介绍及理解能力</w:t>
            </w:r>
          </w:p>
        </w:tc>
        <w:tc>
          <w:tcPr>
            <w:tcW w:w="1212" w:type="dxa"/>
            <w:tcBorders>
              <w:top w:val="single" w:color="auto" w:sz="4" w:space="0"/>
              <w:left w:val="single" w:color="auto" w:sz="4" w:space="0"/>
              <w:bottom w:val="single" w:color="auto" w:sz="4" w:space="0"/>
              <w:right w:val="single" w:color="auto" w:sz="4" w:space="0"/>
            </w:tcBorders>
            <w:vAlign w:val="center"/>
          </w:tcPr>
          <w:p w14:paraId="43398128">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1050" w:type="dxa"/>
            <w:vMerge w:val="continue"/>
            <w:tcBorders>
              <w:left w:val="single" w:color="auto" w:sz="4" w:space="0"/>
              <w:right w:val="single" w:color="auto" w:sz="4" w:space="0"/>
            </w:tcBorders>
            <w:vAlign w:val="center"/>
          </w:tcPr>
          <w:p w14:paraId="7CD1BFFE">
            <w:pPr>
              <w:keepNext w:val="0"/>
              <w:keepLines w:val="0"/>
              <w:suppressLineNumbers w:val="0"/>
              <w:spacing w:before="0" w:beforeAutospacing="0" w:after="0" w:afterAutospacing="0" w:line="360" w:lineRule="atLeast"/>
              <w:ind w:left="0" w:right="0"/>
              <w:jc w:val="center"/>
              <w:rPr>
                <w:rFonts w:hint="default"/>
                <w:color w:val="auto"/>
                <w:highlight w:val="none"/>
              </w:rPr>
            </w:pPr>
          </w:p>
        </w:tc>
      </w:tr>
      <w:tr w14:paraId="30FC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vAlign w:val="center"/>
          </w:tcPr>
          <w:p w14:paraId="414B9DDB">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909" w:type="dxa"/>
            <w:vMerge w:val="continue"/>
            <w:tcBorders>
              <w:left w:val="single" w:color="auto" w:sz="4" w:space="0"/>
              <w:right w:val="single" w:color="auto" w:sz="4" w:space="0"/>
            </w:tcBorders>
            <w:vAlign w:val="center"/>
          </w:tcPr>
          <w:p w14:paraId="7F76D693">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2596" w:type="dxa"/>
            <w:tcBorders>
              <w:top w:val="single" w:color="auto" w:sz="4" w:space="0"/>
              <w:left w:val="single" w:color="auto" w:sz="4" w:space="0"/>
              <w:bottom w:val="single" w:color="auto" w:sz="4" w:space="0"/>
              <w:right w:val="single" w:color="auto" w:sz="4" w:space="0"/>
            </w:tcBorders>
            <w:vAlign w:val="center"/>
          </w:tcPr>
          <w:p w14:paraId="5B00E4EF">
            <w:pPr>
              <w:keepNext w:val="0"/>
              <w:keepLines w:val="0"/>
              <w:suppressLineNumbers w:val="0"/>
              <w:spacing w:before="0" w:beforeAutospacing="0" w:after="0" w:afterAutospacing="0" w:line="360" w:lineRule="atLeast"/>
              <w:ind w:left="0" w:right="0"/>
              <w:jc w:val="center"/>
              <w:rPr>
                <w:rFonts w:hint="default"/>
                <w:color w:val="auto"/>
                <w:highlight w:val="none"/>
              </w:rPr>
            </w:pPr>
            <w:r>
              <w:rPr>
                <w:rFonts w:hint="eastAsia" w:ascii="宋体" w:hAnsi="宋体" w:cs="宋体"/>
                <w:color w:val="auto"/>
                <w:szCs w:val="21"/>
                <w:highlight w:val="none"/>
              </w:rPr>
              <w:t>合格的中标候选人</w:t>
            </w:r>
            <w:r>
              <w:rPr>
                <w:rFonts w:hint="eastAsia" w:ascii="宋体" w:hAnsi="宋体" w:cs="宋体"/>
                <w:color w:val="auto"/>
                <w:szCs w:val="21"/>
                <w:highlight w:val="none"/>
                <w:lang w:val="zh-CN"/>
              </w:rPr>
              <w:t>对项目方案的介绍及理解能力</w:t>
            </w:r>
          </w:p>
        </w:tc>
        <w:tc>
          <w:tcPr>
            <w:tcW w:w="1212" w:type="dxa"/>
            <w:tcBorders>
              <w:top w:val="single" w:color="auto" w:sz="4" w:space="0"/>
              <w:left w:val="single" w:color="auto" w:sz="4" w:space="0"/>
              <w:bottom w:val="single" w:color="auto" w:sz="4" w:space="0"/>
              <w:right w:val="single" w:color="auto" w:sz="4" w:space="0"/>
            </w:tcBorders>
            <w:vAlign w:val="center"/>
          </w:tcPr>
          <w:p w14:paraId="57E12600">
            <w:pPr>
              <w:keepNext w:val="0"/>
              <w:keepLines w:val="0"/>
              <w:suppressLineNumbers w:val="0"/>
              <w:spacing w:before="0" w:beforeAutospacing="0" w:after="0" w:afterAutospacing="0" w:line="360" w:lineRule="atLeast"/>
              <w:ind w:left="0" w:right="0"/>
              <w:jc w:val="center"/>
              <w:rPr>
                <w:rFonts w:hint="default"/>
                <w:color w:val="auto"/>
                <w:highlight w:val="none"/>
              </w:rPr>
            </w:pPr>
          </w:p>
        </w:tc>
        <w:tc>
          <w:tcPr>
            <w:tcW w:w="1050" w:type="dxa"/>
            <w:vMerge w:val="continue"/>
            <w:tcBorders>
              <w:left w:val="single" w:color="auto" w:sz="4" w:space="0"/>
              <w:right w:val="single" w:color="auto" w:sz="4" w:space="0"/>
            </w:tcBorders>
            <w:vAlign w:val="center"/>
          </w:tcPr>
          <w:p w14:paraId="5BD30502">
            <w:pPr>
              <w:keepNext w:val="0"/>
              <w:keepLines w:val="0"/>
              <w:suppressLineNumbers w:val="0"/>
              <w:spacing w:before="0" w:beforeAutospacing="0" w:after="0" w:afterAutospacing="0" w:line="360" w:lineRule="atLeast"/>
              <w:ind w:left="0" w:right="0"/>
              <w:jc w:val="center"/>
              <w:rPr>
                <w:rFonts w:hint="default"/>
                <w:color w:val="auto"/>
                <w:highlight w:val="none"/>
              </w:rPr>
            </w:pPr>
          </w:p>
        </w:tc>
      </w:tr>
      <w:tr w14:paraId="4F7E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CAA2B40">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r>
              <w:rPr>
                <w:rFonts w:hint="default" w:ascii="Arial" w:hAnsi="Arial" w:cs="Arial"/>
                <w:color w:val="auto"/>
                <w:sz w:val="24"/>
                <w:highlight w:val="none"/>
              </w:rPr>
              <w:t>…</w:t>
            </w:r>
          </w:p>
        </w:tc>
        <w:tc>
          <w:tcPr>
            <w:tcW w:w="2909" w:type="dxa"/>
            <w:tcBorders>
              <w:top w:val="single" w:color="auto" w:sz="4" w:space="0"/>
              <w:left w:val="single" w:color="auto" w:sz="4" w:space="0"/>
              <w:bottom w:val="single" w:color="auto" w:sz="4" w:space="0"/>
              <w:right w:val="single" w:color="auto" w:sz="4" w:space="0"/>
            </w:tcBorders>
            <w:vAlign w:val="center"/>
          </w:tcPr>
          <w:p w14:paraId="01947C20">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2596" w:type="dxa"/>
            <w:tcBorders>
              <w:top w:val="single" w:color="auto" w:sz="4" w:space="0"/>
              <w:left w:val="single" w:color="auto" w:sz="4" w:space="0"/>
              <w:bottom w:val="single" w:color="auto" w:sz="4" w:space="0"/>
              <w:right w:val="single" w:color="auto" w:sz="4" w:space="0"/>
            </w:tcBorders>
            <w:vAlign w:val="center"/>
          </w:tcPr>
          <w:p w14:paraId="140F0ECF">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68CC33CC">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B63E97F">
            <w:pPr>
              <w:keepNext w:val="0"/>
              <w:keepLines w:val="0"/>
              <w:suppressLineNumbers w:val="0"/>
              <w:spacing w:before="0" w:beforeAutospacing="0" w:after="0" w:afterAutospacing="0" w:line="360" w:lineRule="atLeast"/>
              <w:ind w:left="0" w:right="0"/>
              <w:jc w:val="center"/>
              <w:rPr>
                <w:rFonts w:hint="default" w:ascii="宋体" w:hAnsi="宋体" w:cs="宋体"/>
                <w:color w:val="auto"/>
                <w:sz w:val="24"/>
                <w:highlight w:val="none"/>
              </w:rPr>
            </w:pPr>
          </w:p>
        </w:tc>
      </w:tr>
    </w:tbl>
    <w:p w14:paraId="4907C526">
      <w:pPr>
        <w:spacing w:line="0" w:lineRule="atLeast"/>
        <w:rPr>
          <w:rFonts w:ascii="宋体" w:hAnsi="宋体" w:cs="宋体"/>
          <w:color w:val="auto"/>
          <w:szCs w:val="21"/>
          <w:highlight w:val="none"/>
        </w:rPr>
      </w:pPr>
      <w:r>
        <w:rPr>
          <w:rFonts w:hint="eastAsia" w:ascii="宋体" w:hAnsi="宋体" w:cs="宋体"/>
          <w:color w:val="auto"/>
          <w:szCs w:val="21"/>
          <w:highlight w:val="none"/>
        </w:rPr>
        <w:t>备注：</w:t>
      </w:r>
    </w:p>
    <w:p w14:paraId="14AF65BE">
      <w:pPr>
        <w:spacing w:line="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1、本表格用于定标阶段答辩因素评审计分，每行限填一个合格中标候选人，定标委员会成员应当独立打分；</w:t>
      </w:r>
    </w:p>
    <w:p w14:paraId="3272E10A">
      <w:pPr>
        <w:spacing w:line="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2、定标委员会各成员对所有进入定标程序的合格中标候选人按评标办法前附表4.3.1（3）方案因素评分标准进行打分。</w:t>
      </w:r>
    </w:p>
    <w:p w14:paraId="3D871926">
      <w:pPr>
        <w:spacing w:line="0" w:lineRule="atLeast"/>
        <w:jc w:val="left"/>
        <w:rPr>
          <w:smallCaps/>
          <w:color w:val="auto"/>
          <w:sz w:val="20"/>
          <w:szCs w:val="20"/>
          <w:highlight w:val="none"/>
        </w:rPr>
      </w:pPr>
    </w:p>
    <w:p w14:paraId="09DC7F96">
      <w:pPr>
        <w:snapToGrid w:val="0"/>
        <w:spacing w:line="0" w:lineRule="atLeast"/>
        <w:jc w:val="left"/>
        <w:rPr>
          <w:rFonts w:ascii="宋体" w:hAnsi="宋体" w:cs="宋体"/>
          <w:color w:val="auto"/>
          <w:szCs w:val="21"/>
          <w:highlight w:val="none"/>
        </w:rPr>
      </w:pPr>
      <w:r>
        <w:rPr>
          <w:rFonts w:hint="eastAsia" w:ascii="宋体" w:hAnsi="宋体" w:cs="宋体"/>
          <w:color w:val="auto"/>
          <w:szCs w:val="21"/>
          <w:highlight w:val="none"/>
        </w:rPr>
        <w:t>定标委员签名：</w:t>
      </w:r>
    </w:p>
    <w:p w14:paraId="5BBC2CE8">
      <w:pPr>
        <w:pStyle w:val="20"/>
        <w:rPr>
          <w:rFonts w:hAnsi="宋体" w:cs="宋体"/>
          <w:color w:val="auto"/>
          <w:szCs w:val="21"/>
          <w:highlight w:val="none"/>
          <w:lang w:val="en-US"/>
        </w:rPr>
        <w:sectPr>
          <w:pgSz w:w="12240" w:h="15840"/>
          <w:pgMar w:top="1134" w:right="1418" w:bottom="1134" w:left="1418" w:header="720" w:footer="720" w:gutter="0"/>
          <w:cols w:space="720" w:num="1"/>
          <w:docGrid w:linePitch="285" w:charSpace="0"/>
        </w:sectPr>
      </w:pPr>
      <w:r>
        <w:rPr>
          <w:rFonts w:hint="eastAsia" w:hAnsi="宋体" w:cs="宋体"/>
          <w:color w:val="auto"/>
          <w:szCs w:val="21"/>
          <w:highlight w:val="none"/>
        </w:rPr>
        <w:t xml:space="preserve">日期：     年   月   </w:t>
      </w:r>
      <w:r>
        <w:rPr>
          <w:rFonts w:hint="eastAsia" w:hAnsi="宋体" w:cs="宋体"/>
          <w:color w:val="auto"/>
          <w:szCs w:val="21"/>
          <w:highlight w:val="none"/>
          <w:lang w:val="en-US"/>
        </w:rPr>
        <w:t>日</w:t>
      </w:r>
    </w:p>
    <w:p w14:paraId="20EC8806">
      <w:pPr>
        <w:rPr>
          <w:rFonts w:hint="eastAsia" w:ascii="宋体" w:hAnsi="宋体" w:eastAsia="宋体"/>
          <w:b/>
          <w:bCs/>
          <w:color w:val="auto"/>
          <w:szCs w:val="32"/>
          <w:highlight w:val="none"/>
          <w:lang w:eastAsia="zh-CN"/>
        </w:rPr>
      </w:pPr>
      <w:r>
        <w:rPr>
          <w:rFonts w:hint="eastAsia" w:ascii="宋体" w:hAnsi="宋体"/>
          <w:b/>
          <w:bCs/>
          <w:color w:val="auto"/>
          <w:szCs w:val="32"/>
          <w:highlight w:val="none"/>
        </w:rPr>
        <w:t>附表</w:t>
      </w:r>
      <w:r>
        <w:rPr>
          <w:rFonts w:hint="eastAsia" w:ascii="宋体" w:hAnsi="宋体"/>
          <w:b/>
          <w:bCs/>
          <w:color w:val="auto"/>
          <w:szCs w:val="32"/>
          <w:highlight w:val="none"/>
          <w:lang w:val="en-US" w:eastAsia="zh-CN"/>
        </w:rPr>
        <w:t>4</w:t>
      </w:r>
    </w:p>
    <w:p w14:paraId="125865C2">
      <w:pPr>
        <w:jc w:val="center"/>
        <w:rPr>
          <w:rFonts w:ascii="宋体" w:hAnsi="宋体" w:cs="宋体"/>
          <w:b/>
          <w:color w:val="auto"/>
          <w:sz w:val="30"/>
          <w:szCs w:val="30"/>
          <w:highlight w:val="none"/>
        </w:rPr>
      </w:pPr>
      <w:r>
        <w:rPr>
          <w:rFonts w:hint="eastAsia" w:ascii="宋体" w:hAnsi="宋体" w:cs="宋体"/>
          <w:b/>
          <w:color w:val="auto"/>
          <w:sz w:val="30"/>
          <w:szCs w:val="30"/>
          <w:highlight w:val="none"/>
        </w:rPr>
        <w:t>定标阶段（价格因素）评审得分表</w:t>
      </w:r>
    </w:p>
    <w:p w14:paraId="1C8FC401">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1182"/>
        <w:gridCol w:w="1173"/>
        <w:gridCol w:w="1182"/>
        <w:gridCol w:w="1182"/>
        <w:gridCol w:w="1182"/>
        <w:gridCol w:w="1173"/>
        <w:gridCol w:w="1182"/>
        <w:gridCol w:w="1173"/>
        <w:gridCol w:w="1209"/>
      </w:tblGrid>
      <w:tr w14:paraId="2EE8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137" w:type="pct"/>
            <w:tcBorders>
              <w:top w:val="single" w:color="auto" w:sz="4" w:space="0"/>
              <w:left w:val="single" w:color="auto" w:sz="4" w:space="0"/>
              <w:bottom w:val="single" w:color="auto" w:sz="4" w:space="0"/>
              <w:right w:val="single" w:color="auto" w:sz="4" w:space="0"/>
            </w:tcBorders>
            <w:vAlign w:val="center"/>
          </w:tcPr>
          <w:p w14:paraId="67D71CA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合格中标候选人名称</w:t>
            </w:r>
          </w:p>
        </w:tc>
        <w:tc>
          <w:tcPr>
            <w:tcW w:w="429" w:type="pct"/>
            <w:tcBorders>
              <w:top w:val="single" w:color="auto" w:sz="4" w:space="0"/>
              <w:left w:val="single" w:color="auto" w:sz="4" w:space="0"/>
              <w:bottom w:val="single" w:color="auto" w:sz="4" w:space="0"/>
              <w:right w:val="single" w:color="auto" w:sz="4" w:space="0"/>
            </w:tcBorders>
            <w:vAlign w:val="center"/>
          </w:tcPr>
          <w:p w14:paraId="54C2F40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0BA0D9B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2D4131E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2FEDAC0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62C6558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0FD4BE7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4FC12B8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66DF9B6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vAlign w:val="center"/>
          </w:tcPr>
          <w:p w14:paraId="7444D83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4905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37" w:type="pct"/>
            <w:tcBorders>
              <w:top w:val="single" w:color="auto" w:sz="4" w:space="0"/>
              <w:left w:val="single" w:color="auto" w:sz="4" w:space="0"/>
              <w:bottom w:val="single" w:color="auto" w:sz="4" w:space="0"/>
              <w:right w:val="single" w:color="auto" w:sz="4" w:space="0"/>
            </w:tcBorders>
            <w:vAlign w:val="center"/>
          </w:tcPr>
          <w:p w14:paraId="2E715AB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投标报价PT（元）</w:t>
            </w:r>
          </w:p>
        </w:tc>
        <w:tc>
          <w:tcPr>
            <w:tcW w:w="429" w:type="pct"/>
            <w:tcBorders>
              <w:top w:val="single" w:color="auto" w:sz="4" w:space="0"/>
              <w:left w:val="single" w:color="auto" w:sz="4" w:space="0"/>
              <w:bottom w:val="single" w:color="auto" w:sz="4" w:space="0"/>
              <w:right w:val="single" w:color="auto" w:sz="4" w:space="0"/>
            </w:tcBorders>
            <w:vAlign w:val="center"/>
          </w:tcPr>
          <w:p w14:paraId="37D6F05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4FA24E1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3EBE52D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385E7C3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22456F5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5682C346">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0674A41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77A8993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vAlign w:val="center"/>
          </w:tcPr>
          <w:p w14:paraId="796ED78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5174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137" w:type="pct"/>
            <w:tcBorders>
              <w:top w:val="single" w:color="auto" w:sz="4" w:space="0"/>
              <w:left w:val="single" w:color="auto" w:sz="4" w:space="0"/>
              <w:bottom w:val="single" w:color="auto" w:sz="4" w:space="0"/>
              <w:right w:val="single" w:color="auto" w:sz="4" w:space="0"/>
            </w:tcBorders>
            <w:vAlign w:val="center"/>
          </w:tcPr>
          <w:p w14:paraId="039AAE9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评标参考价PC（元）</w:t>
            </w:r>
          </w:p>
        </w:tc>
        <w:tc>
          <w:tcPr>
            <w:tcW w:w="3862" w:type="pct"/>
            <w:gridSpan w:val="9"/>
            <w:tcBorders>
              <w:top w:val="single" w:color="auto" w:sz="4" w:space="0"/>
              <w:left w:val="single" w:color="auto" w:sz="4" w:space="0"/>
              <w:bottom w:val="single" w:color="auto" w:sz="4" w:space="0"/>
              <w:right w:val="single" w:color="auto" w:sz="4" w:space="0"/>
            </w:tcBorders>
            <w:vAlign w:val="center"/>
          </w:tcPr>
          <w:p w14:paraId="525E5ED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06EE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37" w:type="pct"/>
            <w:tcBorders>
              <w:top w:val="single" w:color="auto" w:sz="4" w:space="0"/>
              <w:left w:val="single" w:color="auto" w:sz="4" w:space="0"/>
              <w:bottom w:val="single" w:color="auto" w:sz="4" w:space="0"/>
              <w:right w:val="single" w:color="auto" w:sz="4" w:space="0"/>
            </w:tcBorders>
            <w:vAlign w:val="center"/>
          </w:tcPr>
          <w:p w14:paraId="31BFD37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偏差（（PT-PC）/PC）（%）</w:t>
            </w:r>
          </w:p>
        </w:tc>
        <w:tc>
          <w:tcPr>
            <w:tcW w:w="429" w:type="pct"/>
            <w:tcBorders>
              <w:top w:val="single" w:color="auto" w:sz="4" w:space="0"/>
              <w:left w:val="single" w:color="auto" w:sz="4" w:space="0"/>
              <w:bottom w:val="single" w:color="auto" w:sz="4" w:space="0"/>
              <w:right w:val="single" w:color="auto" w:sz="4" w:space="0"/>
            </w:tcBorders>
            <w:vAlign w:val="center"/>
          </w:tcPr>
          <w:p w14:paraId="3F135E0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17BDB39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46C43BC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31EAF966">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54AE374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21A3181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4DA35D8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52E1B2D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vAlign w:val="center"/>
          </w:tcPr>
          <w:p w14:paraId="42FEDBB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3FFB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137" w:type="pct"/>
            <w:tcBorders>
              <w:top w:val="single" w:color="auto" w:sz="4" w:space="0"/>
              <w:left w:val="single" w:color="auto" w:sz="4" w:space="0"/>
              <w:bottom w:val="single" w:color="auto" w:sz="4" w:space="0"/>
              <w:right w:val="single" w:color="auto" w:sz="4" w:space="0"/>
            </w:tcBorders>
            <w:vAlign w:val="center"/>
          </w:tcPr>
          <w:p w14:paraId="58C33DD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减分（A）</w:t>
            </w:r>
          </w:p>
        </w:tc>
        <w:tc>
          <w:tcPr>
            <w:tcW w:w="429" w:type="pct"/>
            <w:tcBorders>
              <w:top w:val="single" w:color="auto" w:sz="4" w:space="0"/>
              <w:left w:val="single" w:color="auto" w:sz="4" w:space="0"/>
              <w:bottom w:val="single" w:color="auto" w:sz="4" w:space="0"/>
              <w:right w:val="single" w:color="auto" w:sz="4" w:space="0"/>
            </w:tcBorders>
            <w:vAlign w:val="center"/>
          </w:tcPr>
          <w:p w14:paraId="199C459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16C7C41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6162987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39E4B43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7B4D79F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21AA686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1BA0905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1EB44D4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vAlign w:val="center"/>
          </w:tcPr>
          <w:p w14:paraId="616BABD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2636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137" w:type="pct"/>
            <w:tcBorders>
              <w:top w:val="single" w:color="auto" w:sz="4" w:space="0"/>
              <w:left w:val="single" w:color="auto" w:sz="4" w:space="0"/>
              <w:bottom w:val="single" w:color="auto" w:sz="4" w:space="0"/>
              <w:right w:val="single" w:color="auto" w:sz="4" w:space="0"/>
            </w:tcBorders>
            <w:vAlign w:val="center"/>
          </w:tcPr>
          <w:p w14:paraId="2BBE95B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u w:val="single"/>
              </w:rPr>
              <w:t>评审得分(PF=</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-A)</w:t>
            </w:r>
          </w:p>
        </w:tc>
        <w:tc>
          <w:tcPr>
            <w:tcW w:w="429" w:type="pct"/>
            <w:tcBorders>
              <w:top w:val="single" w:color="auto" w:sz="4" w:space="0"/>
              <w:left w:val="single" w:color="auto" w:sz="4" w:space="0"/>
              <w:bottom w:val="single" w:color="auto" w:sz="4" w:space="0"/>
              <w:right w:val="single" w:color="auto" w:sz="4" w:space="0"/>
            </w:tcBorders>
            <w:vAlign w:val="center"/>
          </w:tcPr>
          <w:p w14:paraId="132E78B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25E504C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035BFDF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28C3FB7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1F57CE1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4E51A9B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3519587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7335A3E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436" w:type="pct"/>
            <w:tcBorders>
              <w:top w:val="single" w:color="auto" w:sz="4" w:space="0"/>
              <w:left w:val="single" w:color="auto" w:sz="4" w:space="0"/>
              <w:bottom w:val="single" w:color="auto" w:sz="4" w:space="0"/>
              <w:right w:val="single" w:color="auto" w:sz="4" w:space="0"/>
            </w:tcBorders>
            <w:vAlign w:val="center"/>
          </w:tcPr>
          <w:p w14:paraId="21780D3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bl>
    <w:p w14:paraId="0B78332D">
      <w:pPr>
        <w:spacing w:line="0" w:lineRule="atLeast"/>
        <w:jc w:val="left"/>
        <w:rPr>
          <w:rFonts w:ascii="宋体" w:hAnsi="宋体" w:cs="宋体"/>
          <w:color w:val="auto"/>
          <w:szCs w:val="21"/>
          <w:highlight w:val="none"/>
        </w:rPr>
      </w:pPr>
      <w:r>
        <w:rPr>
          <w:rFonts w:hint="eastAsia" w:ascii="宋体" w:hAnsi="宋体" w:cs="宋体"/>
          <w:color w:val="auto"/>
          <w:szCs w:val="21"/>
          <w:highlight w:val="none"/>
        </w:rPr>
        <w:t>定标委员会全体成员签名：</w:t>
      </w:r>
    </w:p>
    <w:p w14:paraId="549C6DE6">
      <w:pPr>
        <w:widowControl/>
        <w:jc w:val="left"/>
        <w:rPr>
          <w:rFonts w:ascii="宋体" w:hAnsi="宋体" w:cs="宋体"/>
          <w:color w:val="auto"/>
          <w:szCs w:val="21"/>
          <w:highlight w:val="none"/>
        </w:rPr>
        <w:sectPr>
          <w:pgSz w:w="15840" w:h="12240" w:orient="landscape"/>
          <w:pgMar w:top="1418" w:right="1134" w:bottom="1418" w:left="1134" w:header="720" w:footer="720" w:gutter="0"/>
          <w:cols w:space="720" w:num="1"/>
          <w:docGrid w:linePitch="285" w:charSpace="0"/>
        </w:sectPr>
      </w:pPr>
      <w:r>
        <w:rPr>
          <w:rFonts w:hint="eastAsia" w:ascii="宋体" w:hAnsi="宋体" w:cs="宋体"/>
          <w:color w:val="auto"/>
          <w:szCs w:val="21"/>
          <w:highlight w:val="none"/>
        </w:rPr>
        <w:t>日期：     年   月   日</w:t>
      </w:r>
    </w:p>
    <w:p w14:paraId="62BB6AA9">
      <w:pPr>
        <w:spacing w:line="360" w:lineRule="auto"/>
        <w:ind w:left="276" w:hanging="276" w:hangingChars="131"/>
        <w:jc w:val="left"/>
        <w:rPr>
          <w:rFonts w:hint="eastAsia" w:ascii="宋体" w:hAnsi="宋体" w:eastAsia="宋体"/>
          <w:b/>
          <w:bCs/>
          <w:color w:val="auto"/>
          <w:szCs w:val="32"/>
          <w:highlight w:val="none"/>
          <w:lang w:eastAsia="zh-CN"/>
        </w:rPr>
      </w:pPr>
      <w:r>
        <w:rPr>
          <w:rFonts w:hint="eastAsia" w:ascii="宋体" w:hAnsi="宋体"/>
          <w:b/>
          <w:bCs/>
          <w:color w:val="auto"/>
          <w:szCs w:val="32"/>
          <w:highlight w:val="none"/>
        </w:rPr>
        <w:t>附表</w:t>
      </w:r>
      <w:r>
        <w:rPr>
          <w:rFonts w:hint="eastAsia" w:ascii="宋体" w:hAnsi="宋体"/>
          <w:b/>
          <w:bCs/>
          <w:color w:val="auto"/>
          <w:szCs w:val="32"/>
          <w:highlight w:val="none"/>
          <w:lang w:val="en-US" w:eastAsia="zh-CN"/>
        </w:rPr>
        <w:t>5</w:t>
      </w:r>
    </w:p>
    <w:p w14:paraId="3BED72FD">
      <w:pPr>
        <w:jc w:val="center"/>
        <w:rPr>
          <w:rFonts w:ascii="宋体" w:hAnsi="宋体" w:cs="宋体"/>
          <w:b/>
          <w:color w:val="auto"/>
          <w:sz w:val="30"/>
          <w:szCs w:val="30"/>
          <w:highlight w:val="none"/>
        </w:rPr>
      </w:pPr>
      <w:bookmarkStart w:id="464" w:name="_Toc3110"/>
      <w:r>
        <w:rPr>
          <w:rFonts w:hint="eastAsia" w:ascii="宋体" w:hAnsi="宋体" w:cs="宋体"/>
          <w:b/>
          <w:color w:val="auto"/>
          <w:sz w:val="30"/>
          <w:szCs w:val="30"/>
          <w:highlight w:val="none"/>
        </w:rPr>
        <w:t>定标因素得分汇总及排序表</w:t>
      </w:r>
      <w:bookmarkEnd w:id="464"/>
    </w:p>
    <w:p w14:paraId="68D8A71E">
      <w:pPr>
        <w:ind w:firstLine="602" w:firstLineChars="200"/>
        <w:jc w:val="center"/>
        <w:rPr>
          <w:rFonts w:hAnsi="宋体"/>
          <w:b/>
          <w:color w:val="auto"/>
          <w:sz w:val="36"/>
          <w:szCs w:val="36"/>
          <w:highlight w:val="none"/>
        </w:rPr>
      </w:pPr>
      <w:r>
        <w:rPr>
          <w:rFonts w:hint="eastAsia" w:ascii="宋体" w:hAnsi="宋体"/>
          <w:b/>
          <w:smallCaps/>
          <w:color w:val="auto"/>
          <w:sz w:val="30"/>
          <w:szCs w:val="30"/>
          <w:highlight w:val="none"/>
        </w:rPr>
        <w:t>（定标委员会汇总用表）</w:t>
      </w:r>
    </w:p>
    <w:p w14:paraId="5904B16D">
      <w:pPr>
        <w:rPr>
          <w:rFonts w:ascii="宋体" w:hAnsi="宋体" w:cs="宋体"/>
          <w:color w:val="auto"/>
          <w:szCs w:val="21"/>
          <w:highlight w:val="none"/>
        </w:rPr>
      </w:pPr>
      <w:r>
        <w:rPr>
          <w:rFonts w:hint="eastAsia" w:ascii="宋体" w:hAnsi="宋体" w:cs="宋体"/>
          <w:color w:val="auto"/>
          <w:szCs w:val="21"/>
          <w:highlight w:val="none"/>
        </w:rPr>
        <w:t>项目名称：</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38"/>
        <w:gridCol w:w="1041"/>
        <w:gridCol w:w="1041"/>
        <w:gridCol w:w="1093"/>
        <w:gridCol w:w="1068"/>
        <w:gridCol w:w="935"/>
        <w:gridCol w:w="935"/>
        <w:gridCol w:w="686"/>
      </w:tblGrid>
      <w:tr w14:paraId="2833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73F183C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1111" w:type="pct"/>
            <w:tcBorders>
              <w:top w:val="single" w:color="auto" w:sz="4" w:space="0"/>
              <w:left w:val="single" w:color="auto" w:sz="4" w:space="0"/>
              <w:bottom w:val="single" w:color="auto" w:sz="4" w:space="0"/>
              <w:right w:val="single" w:color="auto" w:sz="4" w:space="0"/>
            </w:tcBorders>
            <w:vAlign w:val="center"/>
          </w:tcPr>
          <w:p w14:paraId="126A452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合格的中标候选人</w:t>
            </w:r>
          </w:p>
        </w:tc>
        <w:tc>
          <w:tcPr>
            <w:tcW w:w="541" w:type="pct"/>
            <w:tcBorders>
              <w:top w:val="single" w:color="auto" w:sz="4" w:space="0"/>
              <w:left w:val="single" w:color="auto" w:sz="4" w:space="0"/>
              <w:bottom w:val="single" w:color="auto" w:sz="4" w:space="0"/>
              <w:right w:val="single" w:color="auto" w:sz="4" w:space="0"/>
            </w:tcBorders>
            <w:vAlign w:val="center"/>
          </w:tcPr>
          <w:p w14:paraId="688A77B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商务因素得分</w:t>
            </w:r>
          </w:p>
        </w:tc>
        <w:tc>
          <w:tcPr>
            <w:tcW w:w="541" w:type="pct"/>
            <w:tcBorders>
              <w:top w:val="single" w:color="auto" w:sz="4" w:space="0"/>
              <w:left w:val="single" w:color="auto" w:sz="4" w:space="0"/>
              <w:bottom w:val="single" w:color="auto" w:sz="4" w:space="0"/>
              <w:right w:val="single" w:color="auto" w:sz="4" w:space="0"/>
            </w:tcBorders>
            <w:vAlign w:val="center"/>
          </w:tcPr>
          <w:p w14:paraId="507CE20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方案因素得分</w:t>
            </w:r>
          </w:p>
        </w:tc>
        <w:tc>
          <w:tcPr>
            <w:tcW w:w="568" w:type="pct"/>
            <w:tcBorders>
              <w:top w:val="single" w:color="auto" w:sz="4" w:space="0"/>
              <w:left w:val="single" w:color="auto" w:sz="4" w:space="0"/>
              <w:bottom w:val="single" w:color="auto" w:sz="4" w:space="0"/>
              <w:right w:val="single" w:color="auto" w:sz="4" w:space="0"/>
            </w:tcBorders>
            <w:vAlign w:val="center"/>
          </w:tcPr>
          <w:p w14:paraId="2ED5552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答辩因素得分</w:t>
            </w:r>
          </w:p>
        </w:tc>
        <w:tc>
          <w:tcPr>
            <w:tcW w:w="555" w:type="pct"/>
            <w:tcBorders>
              <w:top w:val="single" w:color="auto" w:sz="4" w:space="0"/>
              <w:left w:val="single" w:color="auto" w:sz="4" w:space="0"/>
              <w:bottom w:val="single" w:color="auto" w:sz="4" w:space="0"/>
              <w:right w:val="single" w:color="auto" w:sz="4" w:space="0"/>
            </w:tcBorders>
            <w:vAlign w:val="center"/>
          </w:tcPr>
          <w:p w14:paraId="304B371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价格因素得分</w:t>
            </w:r>
          </w:p>
        </w:tc>
        <w:tc>
          <w:tcPr>
            <w:tcW w:w="486" w:type="pct"/>
            <w:tcBorders>
              <w:top w:val="single" w:color="auto" w:sz="4" w:space="0"/>
              <w:left w:val="single" w:color="auto" w:sz="4" w:space="0"/>
              <w:bottom w:val="single" w:color="auto" w:sz="4" w:space="0"/>
              <w:right w:val="single" w:color="auto" w:sz="4" w:space="0"/>
            </w:tcBorders>
            <w:vAlign w:val="center"/>
          </w:tcPr>
          <w:p w14:paraId="43D6E434">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rPr>
            </w:pPr>
            <w:r>
              <w:rPr>
                <w:rFonts w:hint="eastAsia" w:ascii="宋体" w:hAnsi="宋体"/>
                <w:color w:val="auto"/>
                <w:highlight w:val="none"/>
                <w:lang w:val="en-US" w:eastAsia="zh-CN"/>
              </w:rPr>
              <w:t>信用评价因素得分</w:t>
            </w:r>
          </w:p>
        </w:tc>
        <w:tc>
          <w:tcPr>
            <w:tcW w:w="486" w:type="pct"/>
            <w:tcBorders>
              <w:top w:val="single" w:color="auto" w:sz="4" w:space="0"/>
              <w:left w:val="single" w:color="auto" w:sz="4" w:space="0"/>
              <w:bottom w:val="single" w:color="auto" w:sz="4" w:space="0"/>
              <w:right w:val="single" w:color="auto" w:sz="4" w:space="0"/>
            </w:tcBorders>
            <w:vAlign w:val="center"/>
          </w:tcPr>
          <w:p w14:paraId="3C7624B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总得分</w:t>
            </w:r>
          </w:p>
        </w:tc>
        <w:tc>
          <w:tcPr>
            <w:tcW w:w="356" w:type="pct"/>
            <w:tcBorders>
              <w:top w:val="single" w:color="auto" w:sz="4" w:space="0"/>
              <w:left w:val="single" w:color="auto" w:sz="4" w:space="0"/>
              <w:bottom w:val="single" w:color="auto" w:sz="4" w:space="0"/>
              <w:right w:val="single" w:color="auto" w:sz="4" w:space="0"/>
            </w:tcBorders>
            <w:vAlign w:val="center"/>
          </w:tcPr>
          <w:p w14:paraId="00E54B15">
            <w:pPr>
              <w:keepNext w:val="0"/>
              <w:keepLines w:val="0"/>
              <w:suppressLineNumbers w:val="0"/>
              <w:tabs>
                <w:tab w:val="left" w:pos="0"/>
              </w:tabs>
              <w:snapToGrid w:val="0"/>
              <w:spacing w:before="0" w:beforeAutospacing="0" w:after="0" w:afterAutospacing="0"/>
              <w:ind w:left="-2" w:right="0"/>
              <w:jc w:val="center"/>
              <w:rPr>
                <w:rFonts w:hint="default" w:ascii="宋体" w:hAnsi="宋体" w:cs="宋体"/>
                <w:color w:val="auto"/>
                <w:szCs w:val="21"/>
                <w:highlight w:val="none"/>
              </w:rPr>
            </w:pPr>
            <w:r>
              <w:rPr>
                <w:rFonts w:hint="eastAsia" w:ascii="宋体" w:hAnsi="宋体" w:cs="宋体"/>
                <w:color w:val="auto"/>
                <w:szCs w:val="21"/>
                <w:highlight w:val="none"/>
              </w:rPr>
              <w:t>名次</w:t>
            </w:r>
          </w:p>
          <w:p w14:paraId="3DE6989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排序</w:t>
            </w:r>
          </w:p>
        </w:tc>
      </w:tr>
      <w:tr w14:paraId="0EAB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5359F09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111" w:type="pct"/>
            <w:tcBorders>
              <w:top w:val="single" w:color="auto" w:sz="4" w:space="0"/>
              <w:left w:val="single" w:color="auto" w:sz="4" w:space="0"/>
              <w:bottom w:val="single" w:color="auto" w:sz="4" w:space="0"/>
              <w:right w:val="single" w:color="auto" w:sz="4" w:space="0"/>
            </w:tcBorders>
            <w:vAlign w:val="center"/>
          </w:tcPr>
          <w:p w14:paraId="29C9097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24E7A48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1DC9C4D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410F726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55" w:type="pct"/>
            <w:tcBorders>
              <w:top w:val="single" w:color="auto" w:sz="4" w:space="0"/>
              <w:left w:val="single" w:color="auto" w:sz="4" w:space="0"/>
              <w:bottom w:val="single" w:color="auto" w:sz="4" w:space="0"/>
              <w:right w:val="single" w:color="auto" w:sz="4" w:space="0"/>
            </w:tcBorders>
          </w:tcPr>
          <w:p w14:paraId="157AD53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tcPr>
          <w:p w14:paraId="45AF888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tcPr>
          <w:p w14:paraId="3392D8E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tcPr>
          <w:p w14:paraId="50066CA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2F80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4542486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1111" w:type="pct"/>
            <w:tcBorders>
              <w:top w:val="single" w:color="auto" w:sz="4" w:space="0"/>
              <w:left w:val="single" w:color="auto" w:sz="4" w:space="0"/>
              <w:bottom w:val="single" w:color="auto" w:sz="4" w:space="0"/>
              <w:right w:val="single" w:color="auto" w:sz="4" w:space="0"/>
            </w:tcBorders>
            <w:vAlign w:val="center"/>
          </w:tcPr>
          <w:p w14:paraId="7459F31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0B7DFAA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6211832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3737B9C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55" w:type="pct"/>
            <w:tcBorders>
              <w:top w:val="single" w:color="auto" w:sz="4" w:space="0"/>
              <w:left w:val="single" w:color="auto" w:sz="4" w:space="0"/>
              <w:bottom w:val="single" w:color="auto" w:sz="4" w:space="0"/>
              <w:right w:val="single" w:color="auto" w:sz="4" w:space="0"/>
            </w:tcBorders>
          </w:tcPr>
          <w:p w14:paraId="541AAD5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tcPr>
          <w:p w14:paraId="319C0EF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tcPr>
          <w:p w14:paraId="3B543BF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tcPr>
          <w:p w14:paraId="738D50A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624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2C5E0DFE">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1111" w:type="pct"/>
            <w:tcBorders>
              <w:top w:val="single" w:color="auto" w:sz="4" w:space="0"/>
              <w:left w:val="single" w:color="auto" w:sz="4" w:space="0"/>
              <w:bottom w:val="single" w:color="auto" w:sz="4" w:space="0"/>
              <w:right w:val="single" w:color="auto" w:sz="4" w:space="0"/>
            </w:tcBorders>
            <w:vAlign w:val="center"/>
          </w:tcPr>
          <w:p w14:paraId="3EF2190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09438D9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28FF2D1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4A38A0E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55" w:type="pct"/>
            <w:tcBorders>
              <w:top w:val="single" w:color="auto" w:sz="4" w:space="0"/>
              <w:left w:val="single" w:color="auto" w:sz="4" w:space="0"/>
              <w:bottom w:val="single" w:color="auto" w:sz="4" w:space="0"/>
              <w:right w:val="single" w:color="auto" w:sz="4" w:space="0"/>
            </w:tcBorders>
          </w:tcPr>
          <w:p w14:paraId="2261941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tcPr>
          <w:p w14:paraId="13926B4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tcPr>
          <w:p w14:paraId="230AF98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tcPr>
          <w:p w14:paraId="687FDCB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2200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2AD7FE1B">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w:t>
            </w:r>
          </w:p>
        </w:tc>
        <w:tc>
          <w:tcPr>
            <w:tcW w:w="1111" w:type="pct"/>
            <w:tcBorders>
              <w:top w:val="single" w:color="auto" w:sz="4" w:space="0"/>
              <w:left w:val="single" w:color="auto" w:sz="4" w:space="0"/>
              <w:bottom w:val="single" w:color="auto" w:sz="4" w:space="0"/>
              <w:right w:val="single" w:color="auto" w:sz="4" w:space="0"/>
            </w:tcBorders>
            <w:vAlign w:val="center"/>
          </w:tcPr>
          <w:p w14:paraId="236FDBA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54C7B85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3D8D6DE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331C1E4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55" w:type="pct"/>
            <w:tcBorders>
              <w:top w:val="single" w:color="auto" w:sz="4" w:space="0"/>
              <w:left w:val="single" w:color="auto" w:sz="4" w:space="0"/>
              <w:bottom w:val="single" w:color="auto" w:sz="4" w:space="0"/>
              <w:right w:val="single" w:color="auto" w:sz="4" w:space="0"/>
            </w:tcBorders>
          </w:tcPr>
          <w:p w14:paraId="2212F04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tcPr>
          <w:p w14:paraId="0529C16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tcPr>
          <w:p w14:paraId="42E5D8E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tcPr>
          <w:p w14:paraId="7985347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6E12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07E045E5">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N</w:t>
            </w:r>
          </w:p>
        </w:tc>
        <w:tc>
          <w:tcPr>
            <w:tcW w:w="1111" w:type="pct"/>
            <w:tcBorders>
              <w:top w:val="single" w:color="auto" w:sz="4" w:space="0"/>
              <w:left w:val="single" w:color="auto" w:sz="4" w:space="0"/>
              <w:bottom w:val="single" w:color="auto" w:sz="4" w:space="0"/>
              <w:right w:val="single" w:color="auto" w:sz="4" w:space="0"/>
            </w:tcBorders>
            <w:vAlign w:val="center"/>
          </w:tcPr>
          <w:p w14:paraId="645A33E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2C47782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0E231B4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4CECBE5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55" w:type="pct"/>
            <w:tcBorders>
              <w:top w:val="single" w:color="auto" w:sz="4" w:space="0"/>
              <w:left w:val="single" w:color="auto" w:sz="4" w:space="0"/>
              <w:bottom w:val="single" w:color="auto" w:sz="4" w:space="0"/>
              <w:right w:val="single" w:color="auto" w:sz="4" w:space="0"/>
            </w:tcBorders>
          </w:tcPr>
          <w:p w14:paraId="1196FCF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tcPr>
          <w:p w14:paraId="77F4CBE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tcPr>
          <w:p w14:paraId="36170F2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tcPr>
          <w:p w14:paraId="3A90F99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bl>
    <w:p w14:paraId="35038C73">
      <w:pPr>
        <w:spacing w:line="360" w:lineRule="auto"/>
        <w:ind w:right="420"/>
        <w:rPr>
          <w:rFonts w:ascii="宋体" w:hAnsi="宋体" w:cs="宋体"/>
          <w:color w:val="auto"/>
          <w:szCs w:val="21"/>
          <w:highlight w:val="none"/>
        </w:rPr>
      </w:pPr>
      <w:r>
        <w:rPr>
          <w:rFonts w:hint="eastAsia" w:ascii="宋体" w:hAnsi="宋体" w:cs="宋体"/>
          <w:color w:val="auto"/>
          <w:szCs w:val="21"/>
          <w:highlight w:val="none"/>
        </w:rPr>
        <w:t>注：</w:t>
      </w:r>
    </w:p>
    <w:p w14:paraId="57F52D0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1、若合格中标候选人总得分相同且影响定标排序的，以答辩因素得分较高的排前；总得分与答辩因素得分均相同的，</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方案因素得分较高的排前；总得分与答辩因素得分、方案因素得分均相同的，</w:t>
      </w:r>
      <w:r>
        <w:rPr>
          <w:rFonts w:hint="eastAsia" w:ascii="宋体" w:hAnsi="宋体" w:cs="宋体"/>
          <w:color w:val="auto"/>
          <w:szCs w:val="21"/>
          <w:highlight w:val="none"/>
          <w:lang w:val="en-US" w:eastAsia="zh-CN"/>
        </w:rPr>
        <w:t>以商务因素得分较高的排前；</w:t>
      </w:r>
      <w:r>
        <w:rPr>
          <w:rFonts w:hint="eastAsia" w:ascii="宋体" w:hAnsi="宋体" w:cs="宋体"/>
          <w:color w:val="auto"/>
          <w:szCs w:val="21"/>
          <w:highlight w:val="none"/>
        </w:rPr>
        <w:t>总得分与答辩因素得分、方案因素</w:t>
      </w:r>
      <w:r>
        <w:rPr>
          <w:rFonts w:hint="eastAsia" w:ascii="宋体" w:hAnsi="宋体" w:cs="宋体"/>
          <w:color w:val="auto"/>
          <w:szCs w:val="21"/>
          <w:highlight w:val="none"/>
          <w:lang w:val="en-US" w:eastAsia="zh-CN"/>
        </w:rPr>
        <w:t>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商务因素</w:t>
      </w:r>
      <w:r>
        <w:rPr>
          <w:rFonts w:hint="eastAsia" w:ascii="宋体" w:hAnsi="宋体" w:cs="宋体"/>
          <w:color w:val="auto"/>
          <w:szCs w:val="21"/>
          <w:highlight w:val="none"/>
        </w:rPr>
        <w:t>得分均相同的，</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投标报价低的排前；总得分、答辩因素得分、</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rPr>
        <w:t>因素得分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商务因素得分</w:t>
      </w:r>
      <w:r>
        <w:rPr>
          <w:rFonts w:hint="eastAsia" w:ascii="宋体" w:hAnsi="宋体" w:cs="宋体"/>
          <w:color w:val="auto"/>
          <w:szCs w:val="21"/>
          <w:highlight w:val="none"/>
        </w:rPr>
        <w:t>与投标报价均相同的，则由定标委员会采用投票方式，确定合格中标候选人的排序。</w:t>
      </w:r>
    </w:p>
    <w:p w14:paraId="0375337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2、总得分（满分100分）=</w:t>
      </w:r>
      <w:r>
        <w:rPr>
          <w:rFonts w:hint="eastAsia" w:ascii="宋体" w:hAnsi="宋体"/>
          <w:color w:val="auto"/>
          <w:highlight w:val="none"/>
          <w:lang w:val="en-US" w:eastAsia="zh-CN"/>
        </w:rPr>
        <w:t>商务因素得分（满分20分）+</w:t>
      </w:r>
      <w:r>
        <w:rPr>
          <w:rFonts w:hint="eastAsia" w:ascii="宋体" w:hAnsi="宋体"/>
          <w:color w:val="auto"/>
          <w:highlight w:val="none"/>
        </w:rPr>
        <w:t>方案因素得分（满分</w:t>
      </w:r>
      <w:r>
        <w:rPr>
          <w:rFonts w:hint="eastAsia" w:ascii="宋体" w:hAnsi="宋体"/>
          <w:color w:val="auto"/>
          <w:highlight w:val="none"/>
          <w:lang w:val="en-US" w:eastAsia="zh-CN"/>
        </w:rPr>
        <w:t>45</w:t>
      </w:r>
      <w:r>
        <w:rPr>
          <w:rFonts w:hint="eastAsia" w:ascii="宋体" w:hAnsi="宋体"/>
          <w:color w:val="auto"/>
          <w:highlight w:val="none"/>
        </w:rPr>
        <w:t>分）+答辩因素得分（满分</w:t>
      </w:r>
      <w:r>
        <w:rPr>
          <w:rFonts w:hint="eastAsia" w:ascii="宋体" w:hAnsi="宋体"/>
          <w:color w:val="auto"/>
          <w:highlight w:val="none"/>
          <w:lang w:val="en-US" w:eastAsia="zh-CN"/>
        </w:rPr>
        <w:t>20</w:t>
      </w:r>
      <w:r>
        <w:rPr>
          <w:rFonts w:hint="eastAsia" w:ascii="宋体" w:hAnsi="宋体"/>
          <w:color w:val="auto"/>
          <w:highlight w:val="none"/>
        </w:rPr>
        <w:t>分）+价格因素得分（满分</w:t>
      </w:r>
      <w:r>
        <w:rPr>
          <w:rFonts w:hint="eastAsia" w:ascii="宋体" w:hAnsi="宋体"/>
          <w:color w:val="auto"/>
          <w:highlight w:val="none"/>
          <w:lang w:val="en-US" w:eastAsia="zh-CN"/>
        </w:rPr>
        <w:t>10</w:t>
      </w:r>
      <w:r>
        <w:rPr>
          <w:rFonts w:hint="eastAsia" w:ascii="宋体" w:hAnsi="宋体"/>
          <w:color w:val="auto"/>
          <w:highlight w:val="none"/>
        </w:rPr>
        <w:t>分）</w:t>
      </w:r>
      <w:r>
        <w:rPr>
          <w:rFonts w:hint="eastAsia" w:ascii="宋体" w:hAnsi="宋体"/>
          <w:color w:val="auto"/>
          <w:highlight w:val="none"/>
          <w:lang w:val="en-US" w:eastAsia="zh-CN"/>
        </w:rPr>
        <w:t>+信用评价因素（满分5分）</w:t>
      </w:r>
      <w:r>
        <w:rPr>
          <w:rFonts w:hint="eastAsia" w:ascii="宋体" w:hAnsi="宋体" w:cs="宋体"/>
          <w:color w:val="auto"/>
          <w:szCs w:val="21"/>
          <w:highlight w:val="none"/>
        </w:rPr>
        <w:t>（若分数出现小数点时，保留小数点后二位，第三位小数四舍五入）。</w:t>
      </w:r>
    </w:p>
    <w:p w14:paraId="7EDD389D">
      <w:pPr>
        <w:pStyle w:val="12"/>
        <w:rPr>
          <w:color w:val="auto"/>
          <w:highlight w:val="none"/>
        </w:rPr>
      </w:pPr>
    </w:p>
    <w:p w14:paraId="2BD8303E">
      <w:pPr>
        <w:spacing w:line="360" w:lineRule="auto"/>
        <w:ind w:left="275" w:hanging="275" w:hangingChars="131"/>
        <w:jc w:val="left"/>
        <w:rPr>
          <w:rFonts w:hint="eastAsia" w:ascii="宋体" w:hAnsi="宋体" w:cs="宋体"/>
          <w:color w:val="auto"/>
          <w:szCs w:val="21"/>
          <w:highlight w:val="none"/>
        </w:rPr>
      </w:pPr>
      <w:r>
        <w:rPr>
          <w:rFonts w:hint="eastAsia" w:ascii="宋体" w:hAnsi="宋体" w:eastAsia="宋体" w:cs="宋体"/>
          <w:color w:val="auto"/>
          <w:szCs w:val="21"/>
          <w:highlight w:val="none"/>
        </w:rPr>
        <w:t>定标委员会全体成员签名</w:t>
      </w:r>
      <w:r>
        <w:rPr>
          <w:rFonts w:hint="eastAsia" w:ascii="宋体" w:hAnsi="宋体" w:cs="宋体"/>
          <w:color w:val="auto"/>
          <w:szCs w:val="21"/>
          <w:highlight w:val="none"/>
        </w:rPr>
        <w:t xml:space="preserve">：                                              </w:t>
      </w:r>
    </w:p>
    <w:p w14:paraId="5BDC2AE9">
      <w:pPr>
        <w:spacing w:line="360" w:lineRule="auto"/>
        <w:ind w:left="275" w:hanging="275" w:hangingChars="131"/>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0157DE16">
      <w:pPr>
        <w:rPr>
          <w:rFonts w:ascii="宋体" w:hAnsi="宋体"/>
          <w:b/>
          <w:bCs/>
          <w:color w:val="auto"/>
          <w:szCs w:val="32"/>
          <w:highlight w:val="none"/>
        </w:rPr>
      </w:pPr>
    </w:p>
    <w:p w14:paraId="15CD2D6B">
      <w:pPr>
        <w:rPr>
          <w:rFonts w:ascii="宋体" w:hAnsi="宋体"/>
          <w:b/>
          <w:bCs/>
          <w:color w:val="auto"/>
          <w:szCs w:val="32"/>
          <w:highlight w:val="none"/>
        </w:rPr>
      </w:pPr>
    </w:p>
    <w:p w14:paraId="6EE8FB2F">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br w:type="page"/>
      </w:r>
    </w:p>
    <w:p w14:paraId="3E55F5A0">
      <w:pPr>
        <w:rPr>
          <w:rFonts w:hint="eastAsia" w:ascii="宋体" w:hAnsi="宋体" w:eastAsia="宋体"/>
          <w:b/>
          <w:bCs/>
          <w:color w:val="auto"/>
          <w:szCs w:val="32"/>
          <w:highlight w:val="none"/>
          <w:lang w:eastAsia="zh-CN"/>
        </w:rPr>
      </w:pPr>
      <w:r>
        <w:rPr>
          <w:rFonts w:hint="eastAsia" w:ascii="宋体" w:hAnsi="宋体"/>
          <w:b/>
          <w:bCs/>
          <w:color w:val="auto"/>
          <w:szCs w:val="32"/>
          <w:highlight w:val="none"/>
        </w:rPr>
        <w:t>附表</w:t>
      </w:r>
      <w:r>
        <w:rPr>
          <w:rFonts w:hint="eastAsia" w:ascii="宋体" w:hAnsi="宋体"/>
          <w:b/>
          <w:bCs/>
          <w:color w:val="auto"/>
          <w:szCs w:val="32"/>
          <w:highlight w:val="none"/>
          <w:lang w:val="en-US" w:eastAsia="zh-CN"/>
        </w:rPr>
        <w:t>6</w:t>
      </w:r>
    </w:p>
    <w:p w14:paraId="0C52ED90">
      <w:pPr>
        <w:jc w:val="center"/>
        <w:rPr>
          <w:rFonts w:ascii="宋体" w:hAnsi="宋体"/>
          <w:b/>
          <w:color w:val="auto"/>
          <w:sz w:val="30"/>
          <w:szCs w:val="30"/>
          <w:highlight w:val="none"/>
        </w:rPr>
      </w:pPr>
      <w:r>
        <w:rPr>
          <w:rFonts w:hint="eastAsia" w:ascii="宋体" w:hAnsi="宋体"/>
          <w:b/>
          <w:color w:val="auto"/>
          <w:sz w:val="30"/>
          <w:szCs w:val="30"/>
          <w:highlight w:val="none"/>
        </w:rPr>
        <w:t>定标情况汇总表（定标阶段）</w:t>
      </w:r>
    </w:p>
    <w:p w14:paraId="720D003B">
      <w:pPr>
        <w:ind w:left="210"/>
        <w:jc w:val="left"/>
        <w:rPr>
          <w:smallCaps/>
          <w:color w:val="auto"/>
          <w:sz w:val="20"/>
          <w:szCs w:val="20"/>
          <w:highlight w:val="none"/>
        </w:rPr>
      </w:pPr>
    </w:p>
    <w:p w14:paraId="60E5C66D">
      <w:pPr>
        <w:rPr>
          <w:rFonts w:ascii="宋体" w:hAnsi="宋体" w:cs="宋体"/>
          <w:color w:val="auto"/>
          <w:sz w:val="24"/>
          <w:highlight w:val="none"/>
        </w:rPr>
      </w:pPr>
      <w:r>
        <w:rPr>
          <w:rFonts w:hint="eastAsia" w:ascii="宋体" w:hAnsi="宋体" w:cs="宋体"/>
          <w:color w:val="auto"/>
          <w:sz w:val="24"/>
          <w:highlight w:val="none"/>
        </w:rPr>
        <w:t>工程名称：</w:t>
      </w:r>
    </w:p>
    <w:tbl>
      <w:tblPr>
        <w:tblStyle w:val="37"/>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3574"/>
        <w:gridCol w:w="1491"/>
        <w:gridCol w:w="1468"/>
        <w:gridCol w:w="2349"/>
      </w:tblGrid>
      <w:tr w14:paraId="55E7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0" w:type="pct"/>
            <w:tcBorders>
              <w:top w:val="single" w:color="auto" w:sz="4" w:space="0"/>
              <w:left w:val="single" w:color="auto" w:sz="4" w:space="0"/>
              <w:bottom w:val="single" w:color="auto" w:sz="4" w:space="0"/>
              <w:right w:val="single" w:color="auto" w:sz="4" w:space="0"/>
            </w:tcBorders>
            <w:vAlign w:val="center"/>
          </w:tcPr>
          <w:p w14:paraId="476BFF21">
            <w:pPr>
              <w:keepNext w:val="0"/>
              <w:keepLines w:val="0"/>
              <w:suppressLineNumbers w:val="0"/>
              <w:spacing w:before="0" w:beforeAutospacing="0" w:after="0" w:afterAutospacing="0"/>
              <w:ind w:left="0" w:right="0"/>
              <w:jc w:val="center"/>
              <w:rPr>
                <w:rFonts w:hint="default" w:ascii="宋体" w:hAnsi="宋体" w:cs="宋体"/>
                <w:b/>
                <w:color w:val="auto"/>
                <w:highlight w:val="none"/>
              </w:rPr>
            </w:pPr>
            <w:r>
              <w:rPr>
                <w:rFonts w:hint="eastAsia" w:ascii="宋体" w:hAnsi="宋体" w:cs="宋体"/>
                <w:b/>
                <w:color w:val="auto"/>
                <w:highlight w:val="none"/>
              </w:rPr>
              <w:t>序号</w:t>
            </w:r>
          </w:p>
        </w:tc>
        <w:tc>
          <w:tcPr>
            <w:tcW w:w="1879" w:type="pct"/>
            <w:tcBorders>
              <w:top w:val="single" w:color="auto" w:sz="4" w:space="0"/>
              <w:left w:val="nil"/>
              <w:bottom w:val="single" w:color="auto" w:sz="4" w:space="0"/>
              <w:right w:val="single" w:color="auto" w:sz="4" w:space="0"/>
            </w:tcBorders>
            <w:vAlign w:val="center"/>
          </w:tcPr>
          <w:p w14:paraId="768742E1">
            <w:pPr>
              <w:keepNext w:val="0"/>
              <w:keepLines w:val="0"/>
              <w:suppressLineNumbers w:val="0"/>
              <w:spacing w:before="0" w:beforeAutospacing="0" w:after="0" w:afterAutospacing="0"/>
              <w:ind w:left="0" w:right="0"/>
              <w:jc w:val="center"/>
              <w:rPr>
                <w:rFonts w:hint="default" w:ascii="宋体" w:hAnsi="宋体" w:cs="宋体"/>
                <w:b/>
                <w:color w:val="auto"/>
                <w:highlight w:val="none"/>
              </w:rPr>
            </w:pPr>
            <w:r>
              <w:rPr>
                <w:rFonts w:hint="eastAsia" w:ascii="宋体" w:hAnsi="宋体" w:cs="宋体"/>
                <w:b/>
                <w:color w:val="auto"/>
                <w:highlight w:val="none"/>
              </w:rPr>
              <w:t>合格中标候选人名称</w:t>
            </w:r>
          </w:p>
        </w:tc>
        <w:tc>
          <w:tcPr>
            <w:tcW w:w="784" w:type="pct"/>
            <w:tcBorders>
              <w:top w:val="single" w:color="auto" w:sz="4" w:space="0"/>
              <w:left w:val="nil"/>
              <w:bottom w:val="single" w:color="auto" w:sz="4" w:space="0"/>
              <w:right w:val="single" w:color="auto" w:sz="4" w:space="0"/>
            </w:tcBorders>
            <w:vAlign w:val="center"/>
          </w:tcPr>
          <w:p w14:paraId="0546E72F">
            <w:pPr>
              <w:keepNext w:val="0"/>
              <w:keepLines w:val="0"/>
              <w:suppressLineNumbers w:val="0"/>
              <w:spacing w:before="0" w:beforeAutospacing="0" w:after="0" w:afterAutospacing="0"/>
              <w:ind w:left="0" w:right="0"/>
              <w:jc w:val="center"/>
              <w:rPr>
                <w:rFonts w:hint="default" w:ascii="宋体" w:hAnsi="宋体" w:cs="宋体"/>
                <w:b/>
                <w:color w:val="auto"/>
                <w:highlight w:val="none"/>
              </w:rPr>
            </w:pPr>
            <w:r>
              <w:rPr>
                <w:rFonts w:hint="eastAsia" w:ascii="宋体" w:hAnsi="宋体" w:cs="宋体"/>
                <w:b/>
                <w:color w:val="auto"/>
                <w:highlight w:val="none"/>
              </w:rPr>
              <w:t>总得分</w:t>
            </w:r>
          </w:p>
        </w:tc>
        <w:tc>
          <w:tcPr>
            <w:tcW w:w="772" w:type="pct"/>
            <w:tcBorders>
              <w:top w:val="single" w:color="auto" w:sz="4" w:space="0"/>
              <w:left w:val="nil"/>
              <w:bottom w:val="single" w:color="auto" w:sz="4" w:space="0"/>
              <w:right w:val="single" w:color="auto" w:sz="4" w:space="0"/>
            </w:tcBorders>
          </w:tcPr>
          <w:p w14:paraId="6437977C">
            <w:pPr>
              <w:keepNext w:val="0"/>
              <w:keepLines w:val="0"/>
              <w:suppressLineNumbers w:val="0"/>
              <w:spacing w:before="0" w:beforeAutospacing="0" w:after="0" w:afterAutospacing="0"/>
              <w:ind w:left="0" w:right="0"/>
              <w:jc w:val="center"/>
              <w:rPr>
                <w:rFonts w:hint="default" w:ascii="宋体" w:hAnsi="宋体" w:cs="宋体"/>
                <w:b/>
                <w:color w:val="auto"/>
                <w:highlight w:val="none"/>
              </w:rPr>
            </w:pPr>
            <w:r>
              <w:rPr>
                <w:rFonts w:hint="eastAsia" w:ascii="宋体" w:hAnsi="宋体" w:cs="宋体"/>
                <w:b/>
                <w:color w:val="auto"/>
                <w:highlight w:val="none"/>
              </w:rPr>
              <w:t>附加得票数</w:t>
            </w:r>
          </w:p>
          <w:p w14:paraId="12F5CF92">
            <w:pPr>
              <w:keepNext w:val="0"/>
              <w:keepLines w:val="0"/>
              <w:suppressLineNumbers w:val="0"/>
              <w:spacing w:before="0" w:beforeAutospacing="0" w:after="0" w:afterAutospacing="0"/>
              <w:ind w:left="0" w:right="0"/>
              <w:jc w:val="center"/>
              <w:rPr>
                <w:rFonts w:hint="default" w:ascii="宋体" w:hAnsi="宋体" w:cs="宋体"/>
                <w:b/>
                <w:color w:val="auto"/>
                <w:highlight w:val="none"/>
              </w:rPr>
            </w:pPr>
            <w:r>
              <w:rPr>
                <w:rFonts w:hint="eastAsia" w:ascii="宋体" w:hAnsi="宋体" w:cs="宋体"/>
                <w:b/>
                <w:color w:val="auto"/>
                <w:highlight w:val="none"/>
              </w:rPr>
              <w:t>（如有）</w:t>
            </w:r>
          </w:p>
        </w:tc>
        <w:tc>
          <w:tcPr>
            <w:tcW w:w="1235" w:type="pct"/>
            <w:tcBorders>
              <w:top w:val="single" w:color="auto" w:sz="4" w:space="0"/>
              <w:left w:val="nil"/>
              <w:bottom w:val="single" w:color="auto" w:sz="4" w:space="0"/>
              <w:right w:val="single" w:color="auto" w:sz="4" w:space="0"/>
            </w:tcBorders>
            <w:vAlign w:val="center"/>
          </w:tcPr>
          <w:p w14:paraId="302A4040">
            <w:pPr>
              <w:keepNext w:val="0"/>
              <w:keepLines w:val="0"/>
              <w:suppressLineNumbers w:val="0"/>
              <w:spacing w:before="0" w:beforeAutospacing="0" w:after="0" w:afterAutospacing="0"/>
              <w:ind w:left="0" w:right="0"/>
              <w:jc w:val="center"/>
              <w:rPr>
                <w:rFonts w:hint="default" w:ascii="宋体" w:hAnsi="宋体" w:cs="宋体"/>
                <w:b/>
                <w:color w:val="auto"/>
                <w:highlight w:val="none"/>
              </w:rPr>
            </w:pPr>
            <w:r>
              <w:rPr>
                <w:rFonts w:hint="eastAsia" w:ascii="宋体" w:hAnsi="宋体" w:cs="宋体"/>
                <w:b/>
                <w:color w:val="auto"/>
                <w:highlight w:val="none"/>
              </w:rPr>
              <w:t>是否被确定为中标人</w:t>
            </w:r>
          </w:p>
        </w:tc>
      </w:tr>
      <w:tr w14:paraId="5DFC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vAlign w:val="center"/>
          </w:tcPr>
          <w:p w14:paraId="035A9C3A">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1879" w:type="pct"/>
            <w:tcBorders>
              <w:top w:val="single" w:color="auto" w:sz="4" w:space="0"/>
              <w:left w:val="nil"/>
              <w:bottom w:val="single" w:color="auto" w:sz="4" w:space="0"/>
              <w:right w:val="single" w:color="auto" w:sz="4" w:space="0"/>
            </w:tcBorders>
            <w:vAlign w:val="center"/>
          </w:tcPr>
          <w:p w14:paraId="6CEA2E40">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784" w:type="pct"/>
            <w:tcBorders>
              <w:top w:val="single" w:color="auto" w:sz="4" w:space="0"/>
              <w:left w:val="nil"/>
              <w:bottom w:val="single" w:color="auto" w:sz="4" w:space="0"/>
              <w:right w:val="single" w:color="auto" w:sz="4" w:space="0"/>
            </w:tcBorders>
            <w:vAlign w:val="center"/>
          </w:tcPr>
          <w:p w14:paraId="09E3F48C">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772" w:type="pct"/>
            <w:tcBorders>
              <w:top w:val="single" w:color="auto" w:sz="4" w:space="0"/>
              <w:left w:val="nil"/>
              <w:bottom w:val="single" w:color="auto" w:sz="4" w:space="0"/>
              <w:right w:val="single" w:color="auto" w:sz="4" w:space="0"/>
            </w:tcBorders>
          </w:tcPr>
          <w:p w14:paraId="3769B0E9">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17F3434A">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14:paraId="7E3A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vAlign w:val="center"/>
          </w:tcPr>
          <w:p w14:paraId="4B92D31F">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1879" w:type="pct"/>
            <w:tcBorders>
              <w:top w:val="single" w:color="auto" w:sz="4" w:space="0"/>
              <w:left w:val="nil"/>
              <w:bottom w:val="single" w:color="auto" w:sz="4" w:space="0"/>
              <w:right w:val="single" w:color="auto" w:sz="4" w:space="0"/>
            </w:tcBorders>
            <w:vAlign w:val="center"/>
          </w:tcPr>
          <w:p w14:paraId="38DA1000">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784" w:type="pct"/>
            <w:tcBorders>
              <w:top w:val="single" w:color="auto" w:sz="4" w:space="0"/>
              <w:left w:val="nil"/>
              <w:bottom w:val="single" w:color="auto" w:sz="4" w:space="0"/>
              <w:right w:val="single" w:color="auto" w:sz="4" w:space="0"/>
            </w:tcBorders>
            <w:vAlign w:val="center"/>
          </w:tcPr>
          <w:p w14:paraId="26A8F1BE">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772" w:type="pct"/>
            <w:tcBorders>
              <w:top w:val="single" w:color="auto" w:sz="4" w:space="0"/>
              <w:left w:val="nil"/>
              <w:bottom w:val="single" w:color="auto" w:sz="4" w:space="0"/>
              <w:right w:val="single" w:color="auto" w:sz="4" w:space="0"/>
            </w:tcBorders>
          </w:tcPr>
          <w:p w14:paraId="42C27EAF">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696325A9">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14:paraId="6FC8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vAlign w:val="center"/>
          </w:tcPr>
          <w:p w14:paraId="2163987A">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1879" w:type="pct"/>
            <w:tcBorders>
              <w:top w:val="single" w:color="auto" w:sz="4" w:space="0"/>
              <w:left w:val="nil"/>
              <w:bottom w:val="single" w:color="auto" w:sz="4" w:space="0"/>
              <w:right w:val="single" w:color="auto" w:sz="4" w:space="0"/>
            </w:tcBorders>
            <w:vAlign w:val="center"/>
          </w:tcPr>
          <w:p w14:paraId="1206738C">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784" w:type="pct"/>
            <w:tcBorders>
              <w:top w:val="single" w:color="auto" w:sz="4" w:space="0"/>
              <w:left w:val="nil"/>
              <w:bottom w:val="single" w:color="auto" w:sz="4" w:space="0"/>
              <w:right w:val="single" w:color="auto" w:sz="4" w:space="0"/>
            </w:tcBorders>
            <w:vAlign w:val="center"/>
          </w:tcPr>
          <w:p w14:paraId="33C475D8">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772" w:type="pct"/>
            <w:tcBorders>
              <w:top w:val="single" w:color="auto" w:sz="4" w:space="0"/>
              <w:left w:val="nil"/>
              <w:bottom w:val="single" w:color="auto" w:sz="4" w:space="0"/>
              <w:right w:val="single" w:color="auto" w:sz="4" w:space="0"/>
            </w:tcBorders>
          </w:tcPr>
          <w:p w14:paraId="033DA896">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11260E93">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bl>
    <w:p w14:paraId="7E0A81D4">
      <w:pPr>
        <w:spacing w:line="360" w:lineRule="exact"/>
        <w:rPr>
          <w:rFonts w:ascii="宋体" w:hAnsi="宋体" w:cs="宋体"/>
          <w:color w:val="auto"/>
          <w:szCs w:val="21"/>
          <w:highlight w:val="none"/>
        </w:rPr>
      </w:pPr>
      <w:r>
        <w:rPr>
          <w:rFonts w:hint="eastAsia" w:ascii="宋体" w:hAnsi="宋体" w:cs="宋体"/>
          <w:color w:val="auto"/>
          <w:szCs w:val="21"/>
          <w:highlight w:val="none"/>
        </w:rPr>
        <w:t>备注：得分最高的合格中标候选人直接确定为中标人。</w:t>
      </w:r>
    </w:p>
    <w:p w14:paraId="24A341B3">
      <w:pPr>
        <w:spacing w:line="400" w:lineRule="exact"/>
        <w:rPr>
          <w:rFonts w:ascii="宋体" w:hAnsi="宋体"/>
          <w:color w:val="auto"/>
          <w:szCs w:val="21"/>
          <w:highlight w:val="none"/>
        </w:rPr>
      </w:pPr>
    </w:p>
    <w:p w14:paraId="266B0C91">
      <w:pPr>
        <w:spacing w:line="400" w:lineRule="exact"/>
        <w:rPr>
          <w:rFonts w:ascii="宋体" w:hAnsi="宋体"/>
          <w:color w:val="auto"/>
          <w:szCs w:val="21"/>
          <w:highlight w:val="none"/>
        </w:rPr>
      </w:pPr>
    </w:p>
    <w:p w14:paraId="462A537F">
      <w:pPr>
        <w:spacing w:line="360" w:lineRule="auto"/>
        <w:rPr>
          <w:rFonts w:ascii="宋体" w:hAnsi="宋体" w:cs="宋体"/>
          <w:color w:val="auto"/>
          <w:szCs w:val="21"/>
          <w:highlight w:val="none"/>
        </w:rPr>
      </w:pPr>
      <w:r>
        <w:rPr>
          <w:rFonts w:hint="eastAsia" w:ascii="宋体" w:hAnsi="宋体" w:cs="宋体"/>
          <w:color w:val="auto"/>
          <w:szCs w:val="21"/>
          <w:highlight w:val="none"/>
        </w:rPr>
        <w:t>定标委员会全体成员签名：</w:t>
      </w:r>
    </w:p>
    <w:p w14:paraId="4023D6F4">
      <w:pPr>
        <w:pStyle w:val="113"/>
        <w:spacing w:line="360" w:lineRule="auto"/>
        <w:ind w:firstLine="480" w:firstLineChars="200"/>
        <w:jc w:val="center"/>
        <w:rPr>
          <w:rFonts w:ascii="宋体" w:hAnsi="宋体"/>
          <w:color w:val="auto"/>
          <w:highlight w:val="none"/>
        </w:rPr>
      </w:pPr>
      <w:r>
        <w:rPr>
          <w:rFonts w:hint="eastAsia" w:ascii="宋体" w:hAnsi="宋体"/>
          <w:color w:val="auto"/>
          <w:highlight w:val="none"/>
        </w:rPr>
        <w:t>日期：  年  月  日</w:t>
      </w:r>
      <w:r>
        <w:rPr>
          <w:color w:val="auto"/>
          <w:highlight w:val="none"/>
        </w:rPr>
        <w:br w:type="page"/>
      </w:r>
      <w:bookmarkStart w:id="465" w:name="_Toc128512530"/>
      <w:r>
        <w:rPr>
          <w:rFonts w:ascii="宋体" w:hAnsi="宋体"/>
          <w:b/>
          <w:color w:val="auto"/>
          <w:kern w:val="44"/>
          <w:sz w:val="44"/>
          <w:szCs w:val="20"/>
          <w:highlight w:val="none"/>
          <w:lang w:val="zh-CN"/>
        </w:rPr>
        <w:t>第四章合同条款及格式</w:t>
      </w:r>
      <w:bookmarkEnd w:id="465"/>
    </w:p>
    <w:p w14:paraId="3A039AE2">
      <w:pPr>
        <w:wordWrap w:val="0"/>
        <w:spacing w:line="360" w:lineRule="auto"/>
        <w:ind w:firstLine="0" w:firstLineChars="0"/>
        <w:jc w:val="center"/>
        <w:rPr>
          <w:rFonts w:hint="eastAsia" w:ascii="宋体" w:hAnsi="宋体" w:cs="宋体"/>
          <w:color w:val="auto"/>
          <w:sz w:val="24"/>
          <w:szCs w:val="24"/>
          <w:highlight w:val="none"/>
        </w:rPr>
      </w:pPr>
      <w:r>
        <w:rPr>
          <w:rFonts w:hint="eastAsia" w:ascii="宋体" w:hAnsi="宋体"/>
          <w:color w:val="auto"/>
          <w:sz w:val="32"/>
          <w:szCs w:val="32"/>
          <w:highlight w:val="none"/>
          <w:lang w:val="en-US" w:eastAsia="zh-CN"/>
        </w:rPr>
        <w:t>合同</w:t>
      </w:r>
      <w:r>
        <w:rPr>
          <w:rFonts w:hint="eastAsia" w:ascii="宋体" w:hAnsi="宋体"/>
          <w:color w:val="auto"/>
          <w:sz w:val="32"/>
          <w:szCs w:val="32"/>
          <w:highlight w:val="none"/>
        </w:rPr>
        <w:t>另册</w:t>
      </w:r>
    </w:p>
    <w:p w14:paraId="46B32562">
      <w:pPr>
        <w:rPr>
          <w:rFonts w:ascii="宋体" w:hAnsi="宋体"/>
          <w:color w:val="auto"/>
          <w:highlight w:val="none"/>
        </w:rPr>
      </w:pPr>
    </w:p>
    <w:p w14:paraId="33FE4D09">
      <w:pPr>
        <w:rPr>
          <w:rFonts w:ascii="宋体" w:hAnsi="宋体"/>
          <w:b/>
          <w:color w:val="auto"/>
          <w:kern w:val="44"/>
          <w:sz w:val="44"/>
          <w:szCs w:val="20"/>
          <w:highlight w:val="none"/>
        </w:rPr>
      </w:pPr>
      <w:bookmarkStart w:id="466" w:name="_Toc179632787"/>
      <w:bookmarkStart w:id="467" w:name="_Toc246996338"/>
      <w:bookmarkStart w:id="468" w:name="_Toc246997081"/>
      <w:bookmarkStart w:id="469" w:name="_Toc247085853"/>
      <w:bookmarkStart w:id="470" w:name="_Toc152045610"/>
      <w:bookmarkStart w:id="471" w:name="_Toc152042549"/>
      <w:bookmarkStart w:id="472" w:name="_Toc184635122"/>
      <w:bookmarkStart w:id="473" w:name="_Toc247527798"/>
      <w:bookmarkStart w:id="474" w:name="_Toc144974578"/>
      <w:bookmarkStart w:id="475" w:name="_Toc247514197"/>
      <w:bookmarkStart w:id="476" w:name="_Toc152042388"/>
      <w:bookmarkStart w:id="477" w:name="_Toc144974829"/>
      <w:bookmarkStart w:id="478" w:name="_Toc300835199"/>
    </w:p>
    <w:p w14:paraId="7B680594">
      <w:pPr>
        <w:rPr>
          <w:rFonts w:ascii="宋体" w:hAnsi="宋体"/>
          <w:b/>
          <w:color w:val="auto"/>
          <w:kern w:val="44"/>
          <w:sz w:val="44"/>
          <w:szCs w:val="20"/>
          <w:highlight w:val="none"/>
        </w:rPr>
      </w:pPr>
    </w:p>
    <w:p w14:paraId="05395155">
      <w:pPr>
        <w:rPr>
          <w:rFonts w:ascii="宋体" w:hAnsi="宋体"/>
          <w:b/>
          <w:color w:val="auto"/>
          <w:kern w:val="44"/>
          <w:sz w:val="44"/>
          <w:szCs w:val="20"/>
          <w:highlight w:val="none"/>
        </w:rPr>
      </w:pPr>
    </w:p>
    <w:p w14:paraId="075449B4">
      <w:pPr>
        <w:rPr>
          <w:rFonts w:ascii="宋体" w:hAnsi="宋体"/>
          <w:b/>
          <w:color w:val="auto"/>
          <w:kern w:val="44"/>
          <w:sz w:val="44"/>
          <w:szCs w:val="20"/>
          <w:highlight w:val="none"/>
        </w:rPr>
      </w:pPr>
    </w:p>
    <w:p w14:paraId="02F5F363">
      <w:pPr>
        <w:rPr>
          <w:rFonts w:ascii="宋体" w:hAnsi="宋体"/>
          <w:b/>
          <w:color w:val="auto"/>
          <w:kern w:val="44"/>
          <w:sz w:val="44"/>
          <w:szCs w:val="20"/>
          <w:highlight w:val="none"/>
        </w:rPr>
      </w:pPr>
    </w:p>
    <w:p w14:paraId="42075501">
      <w:pPr>
        <w:rPr>
          <w:rFonts w:ascii="宋体" w:hAnsi="宋体"/>
          <w:b/>
          <w:color w:val="auto"/>
          <w:kern w:val="44"/>
          <w:sz w:val="44"/>
          <w:szCs w:val="20"/>
          <w:highlight w:val="none"/>
        </w:rPr>
      </w:pPr>
    </w:p>
    <w:p w14:paraId="1FEEBB44">
      <w:pPr>
        <w:jc w:val="center"/>
        <w:rPr>
          <w:color w:val="auto"/>
          <w:highlight w:val="none"/>
        </w:rPr>
      </w:pPr>
      <w:bookmarkStart w:id="479" w:name="_Toc128512531"/>
    </w:p>
    <w:p w14:paraId="39DE8FF2">
      <w:pPr>
        <w:pStyle w:val="12"/>
        <w:ind w:firstLine="0"/>
        <w:rPr>
          <w:color w:val="auto"/>
          <w:highlight w:val="none"/>
        </w:rPr>
      </w:pPr>
    </w:p>
    <w:p w14:paraId="70F05E5B">
      <w:pPr>
        <w:pStyle w:val="12"/>
        <w:rPr>
          <w:color w:val="auto"/>
          <w:highlight w:val="none"/>
        </w:rPr>
      </w:pPr>
    </w:p>
    <w:p w14:paraId="2485024E">
      <w:pPr>
        <w:pStyle w:val="12"/>
        <w:rPr>
          <w:color w:val="auto"/>
          <w:highlight w:val="none"/>
        </w:rPr>
      </w:pPr>
    </w:p>
    <w:p w14:paraId="492B82F5">
      <w:pPr>
        <w:pStyle w:val="12"/>
        <w:rPr>
          <w:color w:val="auto"/>
          <w:highlight w:val="none"/>
        </w:rPr>
      </w:pPr>
    </w:p>
    <w:p w14:paraId="10FC7CA4">
      <w:pPr>
        <w:pStyle w:val="12"/>
        <w:rPr>
          <w:color w:val="auto"/>
          <w:highlight w:val="none"/>
        </w:rPr>
      </w:pPr>
    </w:p>
    <w:p w14:paraId="6DDCEA2A">
      <w:pPr>
        <w:pStyle w:val="12"/>
        <w:rPr>
          <w:color w:val="auto"/>
          <w:highlight w:val="none"/>
        </w:rPr>
      </w:pPr>
    </w:p>
    <w:p w14:paraId="01C7D0FC">
      <w:pPr>
        <w:pStyle w:val="12"/>
        <w:rPr>
          <w:color w:val="auto"/>
          <w:highlight w:val="none"/>
        </w:rPr>
      </w:pPr>
    </w:p>
    <w:p w14:paraId="3E4FECBB">
      <w:pPr>
        <w:pStyle w:val="12"/>
        <w:rPr>
          <w:color w:val="auto"/>
          <w:highlight w:val="none"/>
        </w:rPr>
      </w:pPr>
    </w:p>
    <w:p w14:paraId="0563E5E1">
      <w:pPr>
        <w:pStyle w:val="12"/>
        <w:rPr>
          <w:color w:val="auto"/>
          <w:highlight w:val="none"/>
        </w:rPr>
      </w:pPr>
    </w:p>
    <w:p w14:paraId="75BCCB02">
      <w:pPr>
        <w:pStyle w:val="12"/>
        <w:rPr>
          <w:color w:val="auto"/>
          <w:highlight w:val="none"/>
        </w:rPr>
      </w:pPr>
    </w:p>
    <w:p w14:paraId="1A241427">
      <w:pPr>
        <w:rPr>
          <w:rFonts w:ascii="宋体" w:hAnsi="宋体"/>
          <w:color w:val="auto"/>
          <w:highlight w:val="none"/>
        </w:rPr>
      </w:pPr>
      <w:r>
        <w:rPr>
          <w:rFonts w:ascii="宋体" w:hAnsi="宋体"/>
          <w:color w:val="auto"/>
          <w:highlight w:val="none"/>
        </w:rPr>
        <w:br w:type="page"/>
      </w:r>
    </w:p>
    <w:p w14:paraId="295A16A8">
      <w:pPr>
        <w:pStyle w:val="2"/>
        <w:keepNext w:val="0"/>
        <w:keepLines w:val="0"/>
        <w:spacing w:line="440" w:lineRule="exact"/>
        <w:jc w:val="center"/>
        <w:rPr>
          <w:rFonts w:ascii="宋体" w:hAnsi="宋体"/>
          <w:color w:val="auto"/>
          <w:highlight w:val="none"/>
        </w:rPr>
      </w:pPr>
    </w:p>
    <w:p w14:paraId="09E69392">
      <w:pPr>
        <w:pStyle w:val="2"/>
        <w:keepNext w:val="0"/>
        <w:keepLines w:val="0"/>
        <w:spacing w:line="440" w:lineRule="exact"/>
        <w:jc w:val="center"/>
        <w:rPr>
          <w:rFonts w:ascii="宋体" w:hAnsi="宋体"/>
          <w:color w:val="auto"/>
          <w:highlight w:val="none"/>
        </w:rPr>
      </w:pPr>
    </w:p>
    <w:p w14:paraId="7AE8153A">
      <w:pPr>
        <w:pStyle w:val="2"/>
        <w:keepNext w:val="0"/>
        <w:keepLines w:val="0"/>
        <w:spacing w:line="440" w:lineRule="exact"/>
        <w:jc w:val="center"/>
        <w:rPr>
          <w:rFonts w:ascii="宋体" w:hAnsi="宋体"/>
          <w:color w:val="auto"/>
          <w:highlight w:val="none"/>
        </w:rPr>
      </w:pPr>
    </w:p>
    <w:p w14:paraId="4234BC28">
      <w:pPr>
        <w:pStyle w:val="2"/>
        <w:keepNext w:val="0"/>
        <w:keepLines w:val="0"/>
        <w:spacing w:line="440" w:lineRule="exact"/>
        <w:jc w:val="center"/>
        <w:rPr>
          <w:rFonts w:ascii="宋体" w:hAnsi="宋体"/>
          <w:color w:val="auto"/>
          <w:highlight w:val="none"/>
        </w:rPr>
      </w:pPr>
    </w:p>
    <w:p w14:paraId="281FBC34">
      <w:pPr>
        <w:pStyle w:val="2"/>
        <w:keepNext w:val="0"/>
        <w:keepLines w:val="0"/>
        <w:spacing w:line="440" w:lineRule="exact"/>
        <w:jc w:val="center"/>
        <w:rPr>
          <w:rFonts w:ascii="宋体" w:hAnsi="宋体"/>
          <w:color w:val="auto"/>
          <w:highlight w:val="none"/>
        </w:rPr>
      </w:pPr>
    </w:p>
    <w:p w14:paraId="018D229F">
      <w:pPr>
        <w:pStyle w:val="2"/>
        <w:keepNext w:val="0"/>
        <w:keepLines w:val="0"/>
        <w:spacing w:line="440" w:lineRule="exact"/>
        <w:jc w:val="center"/>
        <w:rPr>
          <w:rFonts w:ascii="宋体" w:hAnsi="宋体"/>
          <w:color w:val="auto"/>
          <w:highlight w:val="none"/>
        </w:rPr>
      </w:pPr>
    </w:p>
    <w:p w14:paraId="10FA0673">
      <w:pPr>
        <w:pStyle w:val="2"/>
        <w:keepNext w:val="0"/>
        <w:keepLines w:val="0"/>
        <w:spacing w:line="440" w:lineRule="exact"/>
        <w:jc w:val="center"/>
        <w:rPr>
          <w:rFonts w:ascii="宋体" w:hAnsi="宋体"/>
          <w:color w:val="auto"/>
          <w:highlight w:val="none"/>
        </w:rPr>
      </w:pPr>
    </w:p>
    <w:p w14:paraId="19267C7F">
      <w:pPr>
        <w:pStyle w:val="2"/>
        <w:keepNext w:val="0"/>
        <w:keepLines w:val="0"/>
        <w:spacing w:line="440" w:lineRule="exact"/>
        <w:jc w:val="center"/>
        <w:rPr>
          <w:rFonts w:ascii="宋体" w:hAnsi="宋体"/>
          <w:color w:val="auto"/>
          <w:highlight w:val="none"/>
          <w:lang w:val="en-US"/>
        </w:rPr>
      </w:pPr>
      <w:r>
        <w:rPr>
          <w:rFonts w:ascii="宋体" w:hAnsi="宋体"/>
          <w:color w:val="auto"/>
          <w:highlight w:val="none"/>
        </w:rPr>
        <w:t>第</w:t>
      </w:r>
      <w:r>
        <w:rPr>
          <w:rFonts w:hint="eastAsia" w:ascii="宋体" w:hAnsi="宋体"/>
          <w:color w:val="auto"/>
          <w:highlight w:val="none"/>
        </w:rPr>
        <w:t>二</w:t>
      </w:r>
      <w:r>
        <w:rPr>
          <w:rFonts w:ascii="宋体" w:hAnsi="宋体"/>
          <w:color w:val="auto"/>
          <w:highlight w:val="none"/>
        </w:rPr>
        <w:t>卷</w:t>
      </w:r>
      <w:bookmarkEnd w:id="479"/>
    </w:p>
    <w:p w14:paraId="757D2654">
      <w:pPr>
        <w:jc w:val="center"/>
        <w:rPr>
          <w:rFonts w:ascii="宋体" w:hAnsi="宋体"/>
          <w:color w:val="auto"/>
          <w:highlight w:val="none"/>
        </w:rPr>
      </w:pPr>
      <w:bookmarkStart w:id="480" w:name="_Toc128512532"/>
      <w:r>
        <w:rPr>
          <w:rFonts w:ascii="宋体" w:hAnsi="宋体"/>
          <w:color w:val="auto"/>
          <w:highlight w:val="none"/>
        </w:rPr>
        <w:br w:type="page"/>
      </w:r>
    </w:p>
    <w:p w14:paraId="291AA47C">
      <w:pPr>
        <w:pStyle w:val="2"/>
        <w:keepNext w:val="0"/>
        <w:keepLines w:val="0"/>
        <w:jc w:val="center"/>
        <w:rPr>
          <w:rFonts w:ascii="宋体" w:hAnsi="宋体"/>
          <w:color w:val="auto"/>
          <w:highlight w:val="none"/>
          <w:lang w:val="en-US"/>
        </w:rPr>
      </w:pPr>
      <w:r>
        <w:rPr>
          <w:rFonts w:ascii="宋体" w:hAnsi="宋体"/>
          <w:color w:val="auto"/>
          <w:highlight w:val="none"/>
        </w:rPr>
        <w:t>第五章委托人要求</w:t>
      </w:r>
      <w:bookmarkEnd w:id="466"/>
      <w:bookmarkEnd w:id="467"/>
      <w:bookmarkEnd w:id="468"/>
      <w:bookmarkEnd w:id="469"/>
      <w:bookmarkEnd w:id="480"/>
    </w:p>
    <w:p w14:paraId="329D985C">
      <w:pPr>
        <w:jc w:val="center"/>
        <w:rPr>
          <w:color w:val="auto"/>
          <w:highlight w:val="none"/>
        </w:rPr>
      </w:pPr>
      <w:r>
        <w:rPr>
          <w:rFonts w:hint="eastAsia" w:ascii="宋体" w:hAnsi="宋体"/>
          <w:color w:val="auto"/>
          <w:sz w:val="32"/>
          <w:szCs w:val="32"/>
          <w:highlight w:val="none"/>
        </w:rPr>
        <w:t>另册（详见用户需求书）</w:t>
      </w:r>
    </w:p>
    <w:p w14:paraId="4E3F5BCC">
      <w:pPr>
        <w:tabs>
          <w:tab w:val="left" w:pos="2980"/>
        </w:tabs>
        <w:topLinePunct/>
        <w:spacing w:line="360" w:lineRule="auto"/>
        <w:ind w:firstLine="369" w:firstLineChars="176"/>
        <w:jc w:val="left"/>
        <w:rPr>
          <w:rFonts w:ascii="宋体" w:hAnsi="宋体" w:cs="宋体"/>
          <w:color w:val="auto"/>
          <w:szCs w:val="21"/>
          <w:highlight w:val="none"/>
          <w:lang w:bidi="mn-Mong-CN"/>
        </w:rPr>
      </w:pPr>
    </w:p>
    <w:p w14:paraId="569485C6">
      <w:pPr>
        <w:rPr>
          <w:rFonts w:ascii="Times New Roman" w:hAnsi="Times New Roman"/>
          <w:color w:val="auto"/>
          <w:highlight w:val="none"/>
        </w:rPr>
      </w:pPr>
      <w:r>
        <w:rPr>
          <w:rFonts w:ascii="Times New Roman" w:hAnsi="Times New Roman"/>
          <w:color w:val="auto"/>
          <w:highlight w:val="none"/>
        </w:rPr>
        <w:br w:type="page"/>
      </w:r>
    </w:p>
    <w:p w14:paraId="45630994">
      <w:pPr>
        <w:rPr>
          <w:rFonts w:ascii="Times New Roman" w:hAnsi="Times New Roman"/>
          <w:color w:val="auto"/>
          <w:highlight w:val="none"/>
        </w:rPr>
      </w:pPr>
    </w:p>
    <w:p w14:paraId="16B111FC">
      <w:pPr>
        <w:pStyle w:val="12"/>
        <w:rPr>
          <w:color w:val="auto"/>
          <w:highlight w:val="none"/>
        </w:rPr>
      </w:pPr>
    </w:p>
    <w:p w14:paraId="2680FA71">
      <w:pPr>
        <w:pStyle w:val="12"/>
        <w:rPr>
          <w:color w:val="auto"/>
          <w:highlight w:val="none"/>
        </w:rPr>
      </w:pPr>
    </w:p>
    <w:p w14:paraId="406339E8">
      <w:pPr>
        <w:pStyle w:val="12"/>
        <w:rPr>
          <w:color w:val="auto"/>
          <w:highlight w:val="none"/>
        </w:rPr>
      </w:pPr>
    </w:p>
    <w:p w14:paraId="6BA3A534">
      <w:pPr>
        <w:pStyle w:val="12"/>
        <w:rPr>
          <w:color w:val="auto"/>
          <w:highlight w:val="none"/>
        </w:rPr>
      </w:pPr>
    </w:p>
    <w:p w14:paraId="4EF49567">
      <w:pPr>
        <w:pStyle w:val="12"/>
        <w:rPr>
          <w:color w:val="auto"/>
          <w:highlight w:val="none"/>
        </w:rPr>
      </w:pPr>
    </w:p>
    <w:p w14:paraId="0A7A5254">
      <w:pPr>
        <w:pStyle w:val="12"/>
        <w:rPr>
          <w:color w:val="auto"/>
          <w:highlight w:val="none"/>
        </w:rPr>
      </w:pPr>
    </w:p>
    <w:p w14:paraId="3EF4F559">
      <w:pPr>
        <w:pStyle w:val="12"/>
        <w:rPr>
          <w:color w:val="auto"/>
          <w:highlight w:val="none"/>
        </w:rPr>
      </w:pPr>
    </w:p>
    <w:p w14:paraId="209F68E4">
      <w:pPr>
        <w:pStyle w:val="12"/>
        <w:rPr>
          <w:color w:val="auto"/>
          <w:highlight w:val="none"/>
        </w:rPr>
      </w:pPr>
    </w:p>
    <w:p w14:paraId="0903A759">
      <w:pPr>
        <w:pStyle w:val="12"/>
        <w:rPr>
          <w:color w:val="auto"/>
          <w:highlight w:val="none"/>
        </w:rPr>
      </w:pPr>
    </w:p>
    <w:p w14:paraId="04E577AB">
      <w:pPr>
        <w:pStyle w:val="12"/>
        <w:rPr>
          <w:color w:val="auto"/>
          <w:highlight w:val="none"/>
        </w:rPr>
      </w:pPr>
    </w:p>
    <w:p w14:paraId="30F2DE15">
      <w:pPr>
        <w:pStyle w:val="12"/>
        <w:rPr>
          <w:color w:val="auto"/>
          <w:highlight w:val="none"/>
        </w:rPr>
      </w:pPr>
    </w:p>
    <w:p w14:paraId="471FBEEE">
      <w:pPr>
        <w:pStyle w:val="12"/>
        <w:rPr>
          <w:color w:val="auto"/>
          <w:highlight w:val="none"/>
        </w:rPr>
      </w:pPr>
    </w:p>
    <w:p w14:paraId="0EC2AFE0">
      <w:pPr>
        <w:pStyle w:val="12"/>
        <w:rPr>
          <w:color w:val="auto"/>
          <w:highlight w:val="none"/>
        </w:rPr>
      </w:pPr>
    </w:p>
    <w:p w14:paraId="57DEDF15">
      <w:pPr>
        <w:pStyle w:val="12"/>
        <w:rPr>
          <w:color w:val="auto"/>
          <w:highlight w:val="none"/>
        </w:rPr>
      </w:pPr>
    </w:p>
    <w:p w14:paraId="25018058">
      <w:pPr>
        <w:pStyle w:val="12"/>
        <w:rPr>
          <w:color w:val="auto"/>
          <w:highlight w:val="none"/>
        </w:rPr>
      </w:pPr>
    </w:p>
    <w:p w14:paraId="05983E99">
      <w:pPr>
        <w:pStyle w:val="12"/>
        <w:rPr>
          <w:color w:val="auto"/>
          <w:highlight w:val="none"/>
        </w:rPr>
      </w:pPr>
      <w:r>
        <w:rPr>
          <w:color w:val="auto"/>
          <w:highlight w:val="none"/>
        </w:rPr>
        <w:t xml:space="preserve"> </w:t>
      </w:r>
    </w:p>
    <w:p w14:paraId="4AADAC35">
      <w:pPr>
        <w:pStyle w:val="12"/>
        <w:rPr>
          <w:color w:val="auto"/>
          <w:highlight w:val="none"/>
        </w:rPr>
      </w:pPr>
    </w:p>
    <w:p w14:paraId="614C0CFB">
      <w:pPr>
        <w:pStyle w:val="2"/>
        <w:keepNext w:val="0"/>
        <w:keepLines w:val="0"/>
        <w:jc w:val="center"/>
        <w:rPr>
          <w:rFonts w:ascii="宋体" w:hAnsi="宋体"/>
          <w:color w:val="auto"/>
          <w:highlight w:val="none"/>
        </w:rPr>
      </w:pPr>
      <w:bookmarkStart w:id="481" w:name="_Toc128512533"/>
      <w:r>
        <w:rPr>
          <w:rFonts w:ascii="宋体" w:hAnsi="宋体"/>
          <w:color w:val="auto"/>
          <w:highlight w:val="none"/>
        </w:rPr>
        <w:t>第</w:t>
      </w:r>
      <w:r>
        <w:rPr>
          <w:rFonts w:hint="eastAsia" w:ascii="宋体" w:hAnsi="宋体"/>
          <w:color w:val="auto"/>
          <w:highlight w:val="none"/>
        </w:rPr>
        <w:t>三</w:t>
      </w:r>
      <w:r>
        <w:rPr>
          <w:rFonts w:ascii="宋体" w:hAnsi="宋体"/>
          <w:color w:val="auto"/>
          <w:highlight w:val="none"/>
        </w:rPr>
        <w:t>卷</w:t>
      </w:r>
      <w:bookmarkEnd w:id="481"/>
    </w:p>
    <w:p w14:paraId="2B27780B">
      <w:pPr>
        <w:rPr>
          <w:rFonts w:ascii="宋体" w:hAnsi="宋体"/>
          <w:color w:val="auto"/>
          <w:highlight w:val="none"/>
        </w:rPr>
      </w:pPr>
    </w:p>
    <w:p w14:paraId="710F2041">
      <w:pPr>
        <w:spacing w:line="400" w:lineRule="exact"/>
        <w:jc w:val="center"/>
        <w:rPr>
          <w:rFonts w:ascii="宋体" w:hAnsi="宋体"/>
          <w:color w:val="auto"/>
          <w:highlight w:val="none"/>
        </w:rPr>
      </w:pPr>
    </w:p>
    <w:p w14:paraId="176FFF37">
      <w:pPr>
        <w:pStyle w:val="2"/>
        <w:keepNext w:val="0"/>
        <w:keepLines w:val="0"/>
        <w:jc w:val="center"/>
        <w:rPr>
          <w:rFonts w:ascii="宋体" w:hAnsi="宋体"/>
          <w:color w:val="auto"/>
          <w:highlight w:val="none"/>
        </w:rPr>
      </w:pPr>
      <w:bookmarkStart w:id="482" w:name="_Toc128512534"/>
      <w:r>
        <w:rPr>
          <w:rFonts w:ascii="宋体" w:hAnsi="宋体"/>
          <w:color w:val="auto"/>
          <w:highlight w:val="none"/>
        </w:rPr>
        <w:br w:type="page"/>
      </w:r>
      <w:r>
        <w:rPr>
          <w:rFonts w:ascii="宋体" w:hAnsi="宋体"/>
          <w:color w:val="auto"/>
          <w:highlight w:val="none"/>
        </w:rPr>
        <w:t>第六章</w:t>
      </w:r>
      <w:r>
        <w:rPr>
          <w:rFonts w:hint="eastAsia" w:ascii="宋体" w:hAnsi="宋体"/>
          <w:color w:val="auto"/>
          <w:highlight w:val="none"/>
        </w:rPr>
        <w:t xml:space="preserve"> </w:t>
      </w:r>
      <w:r>
        <w:rPr>
          <w:rFonts w:ascii="宋体" w:hAnsi="宋体"/>
          <w:color w:val="auto"/>
          <w:highlight w:val="none"/>
        </w:rPr>
        <w:t>投标文件格式</w:t>
      </w:r>
      <w:bookmarkEnd w:id="482"/>
    </w:p>
    <w:p w14:paraId="3FA709D0">
      <w:pPr>
        <w:autoSpaceDE w:val="0"/>
        <w:autoSpaceDN w:val="0"/>
        <w:adjustRightInd w:val="0"/>
        <w:jc w:val="center"/>
        <w:rPr>
          <w:rFonts w:ascii="宋体" w:hAnsi="宋体"/>
          <w:b/>
          <w:color w:val="auto"/>
          <w:sz w:val="44"/>
          <w:szCs w:val="44"/>
          <w:highlight w:val="none"/>
        </w:rPr>
      </w:pPr>
      <w:r>
        <w:rPr>
          <w:rFonts w:hint="eastAsia" w:ascii="宋体" w:hAnsi="宋体"/>
          <w:b/>
          <w:color w:val="auto"/>
          <w:sz w:val="44"/>
          <w:szCs w:val="44"/>
          <w:highlight w:val="none"/>
        </w:rPr>
        <w:t>2025年广州国际灯光节作品创意策划及执行团队服务项目</w:t>
      </w:r>
    </w:p>
    <w:p w14:paraId="726E9CE1">
      <w:pPr>
        <w:rPr>
          <w:rFonts w:ascii="宋体" w:hAnsi="宋体"/>
          <w:color w:val="auto"/>
          <w:sz w:val="20"/>
          <w:highlight w:val="none"/>
        </w:rPr>
      </w:pPr>
    </w:p>
    <w:p w14:paraId="02B9F117">
      <w:pPr>
        <w:rPr>
          <w:rFonts w:ascii="宋体" w:hAnsi="宋体"/>
          <w:color w:val="auto"/>
          <w:sz w:val="20"/>
          <w:highlight w:val="none"/>
        </w:rPr>
      </w:pPr>
    </w:p>
    <w:p w14:paraId="02CAA394">
      <w:pPr>
        <w:rPr>
          <w:rFonts w:ascii="宋体" w:hAnsi="宋体"/>
          <w:color w:val="auto"/>
          <w:sz w:val="20"/>
          <w:highlight w:val="none"/>
        </w:rPr>
      </w:pPr>
    </w:p>
    <w:p w14:paraId="175FDFC8">
      <w:pPr>
        <w:rPr>
          <w:rFonts w:ascii="宋体" w:hAnsi="宋体"/>
          <w:color w:val="auto"/>
          <w:sz w:val="20"/>
          <w:highlight w:val="none"/>
        </w:rPr>
      </w:pPr>
    </w:p>
    <w:p w14:paraId="5AA9E7E1">
      <w:pPr>
        <w:rPr>
          <w:rFonts w:ascii="宋体" w:hAnsi="宋体"/>
          <w:color w:val="auto"/>
          <w:sz w:val="20"/>
          <w:highlight w:val="none"/>
        </w:rPr>
      </w:pPr>
    </w:p>
    <w:p w14:paraId="04A1055E">
      <w:pPr>
        <w:jc w:val="center"/>
        <w:rPr>
          <w:rFonts w:ascii="宋体" w:hAnsi="宋体"/>
          <w:color w:val="auto"/>
          <w:sz w:val="84"/>
          <w:szCs w:val="84"/>
          <w:highlight w:val="none"/>
        </w:rPr>
      </w:pPr>
    </w:p>
    <w:p w14:paraId="08E8D268">
      <w:pPr>
        <w:pStyle w:val="12"/>
        <w:rPr>
          <w:color w:val="auto"/>
          <w:highlight w:val="none"/>
        </w:rPr>
      </w:pPr>
    </w:p>
    <w:p w14:paraId="7A30B45A">
      <w:pPr>
        <w:pStyle w:val="12"/>
        <w:rPr>
          <w:color w:val="auto"/>
          <w:highlight w:val="none"/>
        </w:rPr>
      </w:pPr>
    </w:p>
    <w:p w14:paraId="24F4265B">
      <w:pPr>
        <w:pStyle w:val="12"/>
        <w:rPr>
          <w:color w:val="auto"/>
          <w:highlight w:val="none"/>
        </w:rPr>
      </w:pPr>
    </w:p>
    <w:p w14:paraId="6D36DDB3">
      <w:pPr>
        <w:jc w:val="center"/>
        <w:rPr>
          <w:rFonts w:ascii="宋体" w:hAnsi="宋体"/>
          <w:color w:val="auto"/>
          <w:sz w:val="84"/>
          <w:szCs w:val="84"/>
          <w:highlight w:val="none"/>
        </w:rPr>
      </w:pPr>
      <w:r>
        <w:rPr>
          <w:rFonts w:ascii="宋体" w:hAnsi="宋体"/>
          <w:color w:val="auto"/>
          <w:sz w:val="84"/>
          <w:szCs w:val="84"/>
          <w:highlight w:val="none"/>
        </w:rPr>
        <w:t>投 标 文 件</w:t>
      </w:r>
    </w:p>
    <w:p w14:paraId="127FD9DD">
      <w:pPr>
        <w:jc w:val="center"/>
        <w:rPr>
          <w:rFonts w:ascii="宋体" w:hAnsi="宋体"/>
          <w:color w:val="auto"/>
          <w:sz w:val="44"/>
          <w:highlight w:val="none"/>
        </w:rPr>
      </w:pPr>
    </w:p>
    <w:p w14:paraId="1287BDE6">
      <w:pPr>
        <w:rPr>
          <w:rFonts w:ascii="宋体" w:hAnsi="宋体"/>
          <w:color w:val="auto"/>
          <w:sz w:val="28"/>
          <w:highlight w:val="none"/>
        </w:rPr>
      </w:pPr>
    </w:p>
    <w:p w14:paraId="44BF722C">
      <w:pPr>
        <w:rPr>
          <w:rFonts w:ascii="宋体" w:hAnsi="宋体"/>
          <w:color w:val="auto"/>
          <w:sz w:val="28"/>
          <w:highlight w:val="none"/>
        </w:rPr>
      </w:pPr>
    </w:p>
    <w:p w14:paraId="6E1295A4">
      <w:pPr>
        <w:rPr>
          <w:rFonts w:ascii="宋体" w:hAnsi="宋体"/>
          <w:color w:val="auto"/>
          <w:sz w:val="28"/>
          <w:highlight w:val="none"/>
        </w:rPr>
      </w:pPr>
    </w:p>
    <w:p w14:paraId="7894694E">
      <w:pPr>
        <w:rPr>
          <w:rFonts w:ascii="宋体" w:hAnsi="宋体"/>
          <w:color w:val="auto"/>
          <w:sz w:val="28"/>
          <w:highlight w:val="none"/>
        </w:rPr>
      </w:pPr>
    </w:p>
    <w:p w14:paraId="2F0BBF1B">
      <w:pPr>
        <w:rPr>
          <w:rFonts w:ascii="宋体" w:hAnsi="宋体"/>
          <w:color w:val="auto"/>
          <w:sz w:val="28"/>
          <w:highlight w:val="none"/>
        </w:rPr>
      </w:pPr>
    </w:p>
    <w:p w14:paraId="0103DFA3">
      <w:pPr>
        <w:rPr>
          <w:rFonts w:ascii="宋体" w:hAnsi="宋体"/>
          <w:color w:val="auto"/>
          <w:sz w:val="28"/>
          <w:highlight w:val="none"/>
        </w:rPr>
      </w:pPr>
    </w:p>
    <w:p w14:paraId="6DEE7AED">
      <w:pPr>
        <w:rPr>
          <w:rFonts w:ascii="宋体" w:hAnsi="宋体"/>
          <w:color w:val="auto"/>
          <w:sz w:val="28"/>
          <w:highlight w:val="none"/>
        </w:rPr>
      </w:pPr>
    </w:p>
    <w:p w14:paraId="56083E8A">
      <w:pPr>
        <w:spacing w:line="360" w:lineRule="auto"/>
        <w:rPr>
          <w:rFonts w:ascii="宋体" w:hAnsi="宋体"/>
          <w:color w:val="auto"/>
          <w:sz w:val="28"/>
          <w:highlight w:val="none"/>
        </w:rPr>
      </w:pPr>
    </w:p>
    <w:p w14:paraId="360ED3FC">
      <w:pPr>
        <w:spacing w:line="36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（盖单位章）</w:t>
      </w:r>
    </w:p>
    <w:p w14:paraId="6E2B16A8">
      <w:pPr>
        <w:spacing w:line="36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ascii="宋体" w:hAnsi="宋体"/>
          <w:color w:val="auto"/>
          <w:sz w:val="28"/>
          <w:highlight w:val="none"/>
        </w:rPr>
        <w:t>（签字</w:t>
      </w:r>
      <w:r>
        <w:rPr>
          <w:rFonts w:hint="eastAsia" w:ascii="宋体" w:hAnsi="宋体"/>
          <w:color w:val="auto"/>
          <w:sz w:val="28"/>
          <w:highlight w:val="none"/>
        </w:rPr>
        <w:t>或盖章</w:t>
      </w:r>
      <w:r>
        <w:rPr>
          <w:rFonts w:ascii="宋体" w:hAnsi="宋体"/>
          <w:color w:val="auto"/>
          <w:sz w:val="28"/>
          <w:highlight w:val="none"/>
        </w:rPr>
        <w:t>）</w:t>
      </w:r>
    </w:p>
    <w:p w14:paraId="48FFD72D">
      <w:pPr>
        <w:jc w:val="center"/>
        <w:rPr>
          <w:rFonts w:ascii="宋体" w:hAnsi="宋体"/>
          <w:color w:val="auto"/>
          <w:sz w:val="28"/>
          <w:highlight w:val="none"/>
        </w:rPr>
      </w:pPr>
    </w:p>
    <w:p w14:paraId="583A63C9">
      <w:pPr>
        <w:spacing w:line="400" w:lineRule="exact"/>
        <w:jc w:val="center"/>
        <w:rPr>
          <w:rFonts w:ascii="宋体" w:hAnsi="宋体"/>
          <w:color w:val="auto"/>
          <w:sz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p>
    <w:p w14:paraId="43D0827D">
      <w:pPr>
        <w:rPr>
          <w:rFonts w:ascii="Arial" w:hAnsi="Arial" w:eastAsia="黑体"/>
          <w:color w:val="auto"/>
          <w:highlight w:val="none"/>
        </w:rPr>
      </w:pPr>
    </w:p>
    <w:p w14:paraId="764094B0">
      <w:pPr>
        <w:rPr>
          <w:rFonts w:ascii="宋体" w:hAnsi="宋体"/>
          <w:color w:val="auto"/>
          <w:highlight w:val="none"/>
        </w:rPr>
      </w:pPr>
    </w:p>
    <w:bookmarkEnd w:id="470"/>
    <w:bookmarkEnd w:id="471"/>
    <w:bookmarkEnd w:id="472"/>
    <w:bookmarkEnd w:id="473"/>
    <w:bookmarkEnd w:id="474"/>
    <w:bookmarkEnd w:id="475"/>
    <w:bookmarkEnd w:id="476"/>
    <w:bookmarkEnd w:id="477"/>
    <w:bookmarkEnd w:id="478"/>
    <w:p w14:paraId="642E8663">
      <w:pPr>
        <w:pStyle w:val="3"/>
        <w:jc w:val="center"/>
        <w:rPr>
          <w:rFonts w:ascii="宋体" w:hAnsi="宋体" w:eastAsia="宋体"/>
          <w:color w:val="auto"/>
          <w:highlight w:val="none"/>
        </w:rPr>
      </w:pPr>
      <w:bookmarkStart w:id="483" w:name="_Toc128512535"/>
      <w:bookmarkStart w:id="484" w:name="_Toc28161"/>
      <w:r>
        <w:rPr>
          <w:rFonts w:hint="eastAsia" w:ascii="宋体" w:hAnsi="宋体" w:eastAsia="宋体"/>
          <w:bCs/>
          <w:color w:val="auto"/>
          <w:highlight w:val="none"/>
        </w:rPr>
        <w:t>评标目录索引</w:t>
      </w:r>
      <w:bookmarkEnd w:id="483"/>
      <w:bookmarkEnd w:id="484"/>
    </w:p>
    <w:tbl>
      <w:tblPr>
        <w:tblStyle w:val="3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551"/>
        <w:gridCol w:w="1701"/>
        <w:gridCol w:w="1418"/>
        <w:gridCol w:w="1559"/>
        <w:gridCol w:w="1337"/>
      </w:tblGrid>
      <w:tr w14:paraId="3A95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0A91B2F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序号</w:t>
            </w:r>
          </w:p>
        </w:tc>
        <w:tc>
          <w:tcPr>
            <w:tcW w:w="2551" w:type="dxa"/>
            <w:vAlign w:val="center"/>
          </w:tcPr>
          <w:p w14:paraId="741C9C4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评审项目</w:t>
            </w:r>
          </w:p>
        </w:tc>
        <w:tc>
          <w:tcPr>
            <w:tcW w:w="1701" w:type="dxa"/>
            <w:vAlign w:val="center"/>
          </w:tcPr>
          <w:p w14:paraId="74B53E3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合格或通过与否</w:t>
            </w:r>
          </w:p>
        </w:tc>
        <w:tc>
          <w:tcPr>
            <w:tcW w:w="1418" w:type="dxa"/>
            <w:vAlign w:val="center"/>
          </w:tcPr>
          <w:p w14:paraId="4361B37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自评分</w:t>
            </w:r>
          </w:p>
        </w:tc>
        <w:tc>
          <w:tcPr>
            <w:tcW w:w="1559" w:type="dxa"/>
            <w:vAlign w:val="center"/>
          </w:tcPr>
          <w:p w14:paraId="12A837E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响应资料页码</w:t>
            </w:r>
          </w:p>
        </w:tc>
        <w:tc>
          <w:tcPr>
            <w:tcW w:w="1337" w:type="dxa"/>
            <w:vAlign w:val="center"/>
          </w:tcPr>
          <w:p w14:paraId="64078CA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备注</w:t>
            </w:r>
          </w:p>
        </w:tc>
      </w:tr>
      <w:tr w14:paraId="7CDC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2F26CD2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一</w:t>
            </w:r>
          </w:p>
        </w:tc>
        <w:tc>
          <w:tcPr>
            <w:tcW w:w="7229" w:type="dxa"/>
            <w:gridSpan w:val="4"/>
            <w:vAlign w:val="center"/>
          </w:tcPr>
          <w:p w14:paraId="3E698504">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default" w:ascii="宋体" w:hAnsi="宋体"/>
                <w:color w:val="auto"/>
                <w:szCs w:val="21"/>
                <w:highlight w:val="none"/>
              </w:rPr>
              <w:t>形式评审</w:t>
            </w:r>
          </w:p>
        </w:tc>
        <w:tc>
          <w:tcPr>
            <w:tcW w:w="1337" w:type="dxa"/>
            <w:vAlign w:val="center"/>
          </w:tcPr>
          <w:p w14:paraId="460C3DDE">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p>
        </w:tc>
      </w:tr>
      <w:tr w14:paraId="2D18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3AD5C1F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2551" w:type="dxa"/>
            <w:vAlign w:val="center"/>
          </w:tcPr>
          <w:p w14:paraId="5EE97042">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36D5845D">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418" w:type="dxa"/>
            <w:vAlign w:val="center"/>
          </w:tcPr>
          <w:p w14:paraId="64F3D33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559" w:type="dxa"/>
            <w:vAlign w:val="center"/>
          </w:tcPr>
          <w:p w14:paraId="38A98E2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425AE243">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r>
      <w:tr w14:paraId="3B0E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22C180F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2551" w:type="dxa"/>
            <w:vAlign w:val="center"/>
          </w:tcPr>
          <w:p w14:paraId="74A8982E">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30832D03">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418" w:type="dxa"/>
            <w:vAlign w:val="center"/>
          </w:tcPr>
          <w:p w14:paraId="7B9F73A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559" w:type="dxa"/>
            <w:vAlign w:val="center"/>
          </w:tcPr>
          <w:p w14:paraId="687DD70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4A0B3F89">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r>
      <w:tr w14:paraId="520E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665DDC0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2551" w:type="dxa"/>
            <w:vAlign w:val="center"/>
          </w:tcPr>
          <w:p w14:paraId="0CCCFF11">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49C79AD0">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418" w:type="dxa"/>
            <w:vAlign w:val="center"/>
          </w:tcPr>
          <w:p w14:paraId="6B4421C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559" w:type="dxa"/>
            <w:vAlign w:val="center"/>
          </w:tcPr>
          <w:p w14:paraId="79C7948F">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43E7EE4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r>
      <w:tr w14:paraId="0675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35F11A4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二</w:t>
            </w:r>
          </w:p>
        </w:tc>
        <w:tc>
          <w:tcPr>
            <w:tcW w:w="7229" w:type="dxa"/>
            <w:gridSpan w:val="4"/>
            <w:vAlign w:val="center"/>
          </w:tcPr>
          <w:p w14:paraId="63F4103E">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default" w:ascii="宋体" w:hAnsi="宋体"/>
                <w:color w:val="auto"/>
                <w:szCs w:val="21"/>
                <w:highlight w:val="none"/>
              </w:rPr>
              <w:t>资格评审</w:t>
            </w:r>
          </w:p>
        </w:tc>
        <w:tc>
          <w:tcPr>
            <w:tcW w:w="1337" w:type="dxa"/>
            <w:vAlign w:val="center"/>
          </w:tcPr>
          <w:p w14:paraId="10CF2097">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p>
        </w:tc>
      </w:tr>
      <w:tr w14:paraId="5A58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0968E09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2551" w:type="dxa"/>
            <w:vAlign w:val="center"/>
          </w:tcPr>
          <w:p w14:paraId="3E9301A8">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6596428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1418" w:type="dxa"/>
            <w:vAlign w:val="center"/>
          </w:tcPr>
          <w:p w14:paraId="54DE584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szCs w:val="21"/>
                <w:highlight w:val="none"/>
              </w:rPr>
              <w:t>/</w:t>
            </w:r>
          </w:p>
        </w:tc>
        <w:tc>
          <w:tcPr>
            <w:tcW w:w="1559" w:type="dxa"/>
            <w:vAlign w:val="center"/>
          </w:tcPr>
          <w:p w14:paraId="19D21F6F">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1458EFA1">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r>
      <w:tr w14:paraId="7EE9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1924E22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2551" w:type="dxa"/>
            <w:vAlign w:val="center"/>
          </w:tcPr>
          <w:p w14:paraId="79FFD371">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43AF111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1418" w:type="dxa"/>
            <w:vAlign w:val="center"/>
          </w:tcPr>
          <w:p w14:paraId="6AFB587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szCs w:val="21"/>
                <w:highlight w:val="none"/>
              </w:rPr>
              <w:t>/</w:t>
            </w:r>
          </w:p>
        </w:tc>
        <w:tc>
          <w:tcPr>
            <w:tcW w:w="1559" w:type="dxa"/>
            <w:vAlign w:val="center"/>
          </w:tcPr>
          <w:p w14:paraId="67761796">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0F0392F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r>
      <w:tr w14:paraId="53BF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39567ED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2551" w:type="dxa"/>
            <w:vAlign w:val="center"/>
          </w:tcPr>
          <w:p w14:paraId="2FB8B654">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17B882C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1418" w:type="dxa"/>
            <w:vAlign w:val="center"/>
          </w:tcPr>
          <w:p w14:paraId="17EEEED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szCs w:val="21"/>
                <w:highlight w:val="none"/>
              </w:rPr>
              <w:t>/</w:t>
            </w:r>
          </w:p>
        </w:tc>
        <w:tc>
          <w:tcPr>
            <w:tcW w:w="1559" w:type="dxa"/>
            <w:vAlign w:val="center"/>
          </w:tcPr>
          <w:p w14:paraId="2681609B">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4F882709">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r>
      <w:tr w14:paraId="5AF2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5A9D7AC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三</w:t>
            </w:r>
          </w:p>
        </w:tc>
        <w:tc>
          <w:tcPr>
            <w:tcW w:w="7229" w:type="dxa"/>
            <w:gridSpan w:val="4"/>
            <w:vAlign w:val="center"/>
          </w:tcPr>
          <w:p w14:paraId="1DEE7D0D">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default" w:ascii="宋体" w:hAnsi="宋体"/>
                <w:color w:val="auto"/>
                <w:szCs w:val="21"/>
                <w:highlight w:val="none"/>
              </w:rPr>
              <w:t>响应性评审</w:t>
            </w:r>
          </w:p>
        </w:tc>
        <w:tc>
          <w:tcPr>
            <w:tcW w:w="1337" w:type="dxa"/>
            <w:vAlign w:val="center"/>
          </w:tcPr>
          <w:p w14:paraId="43879349">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p>
        </w:tc>
      </w:tr>
      <w:tr w14:paraId="7FDD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7E56B49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2551" w:type="dxa"/>
            <w:vAlign w:val="center"/>
          </w:tcPr>
          <w:p w14:paraId="671B815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53AAAE5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1418" w:type="dxa"/>
            <w:vAlign w:val="center"/>
          </w:tcPr>
          <w:p w14:paraId="5430F63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szCs w:val="21"/>
                <w:highlight w:val="none"/>
              </w:rPr>
              <w:t>/</w:t>
            </w:r>
          </w:p>
        </w:tc>
        <w:tc>
          <w:tcPr>
            <w:tcW w:w="1559" w:type="dxa"/>
            <w:vAlign w:val="center"/>
          </w:tcPr>
          <w:p w14:paraId="02384CB2">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3D02EA2B">
            <w:pPr>
              <w:keepNext w:val="0"/>
              <w:keepLines w:val="0"/>
              <w:suppressLineNumbers w:val="0"/>
              <w:snapToGrid w:val="0"/>
              <w:spacing w:before="0" w:beforeAutospacing="0" w:after="0" w:afterAutospacing="0"/>
              <w:ind w:left="0" w:right="0"/>
              <w:rPr>
                <w:rFonts w:hint="default" w:ascii="宋体" w:hAnsi="宋体"/>
                <w:color w:val="auto"/>
                <w:sz w:val="18"/>
                <w:szCs w:val="18"/>
                <w:highlight w:val="none"/>
              </w:rPr>
            </w:pPr>
          </w:p>
        </w:tc>
      </w:tr>
      <w:tr w14:paraId="1F06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6E66EC3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2551" w:type="dxa"/>
            <w:vAlign w:val="center"/>
          </w:tcPr>
          <w:p w14:paraId="4FA091A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278177A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1418" w:type="dxa"/>
            <w:vAlign w:val="center"/>
          </w:tcPr>
          <w:p w14:paraId="2522010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szCs w:val="21"/>
                <w:highlight w:val="none"/>
              </w:rPr>
              <w:t>/</w:t>
            </w:r>
          </w:p>
        </w:tc>
        <w:tc>
          <w:tcPr>
            <w:tcW w:w="1559" w:type="dxa"/>
            <w:vAlign w:val="center"/>
          </w:tcPr>
          <w:p w14:paraId="682A0376">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04FA378D">
            <w:pPr>
              <w:keepNext w:val="0"/>
              <w:keepLines w:val="0"/>
              <w:suppressLineNumbers w:val="0"/>
              <w:snapToGrid w:val="0"/>
              <w:spacing w:before="0" w:beforeAutospacing="0" w:after="0" w:afterAutospacing="0"/>
              <w:ind w:left="0" w:right="0"/>
              <w:rPr>
                <w:rFonts w:hint="default" w:ascii="宋体" w:hAnsi="宋体"/>
                <w:color w:val="auto"/>
                <w:sz w:val="18"/>
                <w:szCs w:val="18"/>
                <w:highlight w:val="none"/>
              </w:rPr>
            </w:pPr>
          </w:p>
        </w:tc>
      </w:tr>
      <w:tr w14:paraId="2DE0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644C1A6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2551" w:type="dxa"/>
            <w:vAlign w:val="center"/>
          </w:tcPr>
          <w:p w14:paraId="2FCC103F">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5981C43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p>
        </w:tc>
        <w:tc>
          <w:tcPr>
            <w:tcW w:w="1418" w:type="dxa"/>
            <w:vAlign w:val="center"/>
          </w:tcPr>
          <w:p w14:paraId="7F621C6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szCs w:val="21"/>
                <w:highlight w:val="none"/>
              </w:rPr>
              <w:t>/</w:t>
            </w:r>
          </w:p>
        </w:tc>
        <w:tc>
          <w:tcPr>
            <w:tcW w:w="1559" w:type="dxa"/>
            <w:vAlign w:val="center"/>
          </w:tcPr>
          <w:p w14:paraId="54B8F8C2">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47D7D0FA">
            <w:pPr>
              <w:keepNext w:val="0"/>
              <w:keepLines w:val="0"/>
              <w:suppressLineNumbers w:val="0"/>
              <w:snapToGrid w:val="0"/>
              <w:spacing w:before="0" w:beforeAutospacing="0" w:after="0" w:afterAutospacing="0"/>
              <w:ind w:left="0" w:right="0"/>
              <w:rPr>
                <w:rFonts w:hint="default" w:ascii="宋体" w:hAnsi="宋体"/>
                <w:color w:val="auto"/>
                <w:sz w:val="18"/>
                <w:szCs w:val="18"/>
                <w:highlight w:val="none"/>
              </w:rPr>
            </w:pPr>
          </w:p>
        </w:tc>
      </w:tr>
      <w:tr w14:paraId="0878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258888F6">
            <w:pPr>
              <w:keepNext w:val="0"/>
              <w:keepLines w:val="0"/>
              <w:suppressLineNumbers w:val="0"/>
              <w:snapToGrid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四</w:t>
            </w:r>
          </w:p>
        </w:tc>
        <w:tc>
          <w:tcPr>
            <w:tcW w:w="7229" w:type="dxa"/>
            <w:gridSpan w:val="4"/>
            <w:vAlign w:val="center"/>
          </w:tcPr>
          <w:p w14:paraId="7A9FF753">
            <w:pPr>
              <w:keepNext w:val="0"/>
              <w:keepLines w:val="0"/>
              <w:suppressLineNumbers w:val="0"/>
              <w:snapToGrid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商务因素</w:t>
            </w:r>
          </w:p>
        </w:tc>
        <w:tc>
          <w:tcPr>
            <w:tcW w:w="1337" w:type="dxa"/>
            <w:vAlign w:val="center"/>
          </w:tcPr>
          <w:p w14:paraId="3887B649">
            <w:pPr>
              <w:keepNext w:val="0"/>
              <w:keepLines w:val="0"/>
              <w:suppressLineNumbers w:val="0"/>
              <w:snapToGrid w:val="0"/>
              <w:spacing w:before="0" w:beforeAutospacing="0" w:after="0" w:afterAutospacing="0"/>
              <w:ind w:left="0" w:right="0"/>
              <w:rPr>
                <w:rFonts w:hint="default" w:ascii="宋体" w:hAnsi="宋体"/>
                <w:color w:val="auto"/>
                <w:sz w:val="18"/>
                <w:szCs w:val="18"/>
                <w:highlight w:val="none"/>
              </w:rPr>
            </w:pPr>
          </w:p>
        </w:tc>
      </w:tr>
      <w:tr w14:paraId="570F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37C4B566">
            <w:pPr>
              <w:keepNext w:val="0"/>
              <w:keepLines w:val="0"/>
              <w:suppressLineNumbers w:val="0"/>
              <w:snapToGrid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2551" w:type="dxa"/>
            <w:vAlign w:val="center"/>
          </w:tcPr>
          <w:p w14:paraId="3A17C9D2">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14AAF06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418" w:type="dxa"/>
            <w:vAlign w:val="center"/>
          </w:tcPr>
          <w:p w14:paraId="194B22B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559" w:type="dxa"/>
            <w:vAlign w:val="center"/>
          </w:tcPr>
          <w:p w14:paraId="2AF47DFF">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2C8B9B40">
            <w:pPr>
              <w:keepNext w:val="0"/>
              <w:keepLines w:val="0"/>
              <w:suppressLineNumbers w:val="0"/>
              <w:snapToGrid w:val="0"/>
              <w:spacing w:before="0" w:beforeAutospacing="0" w:after="0" w:afterAutospacing="0"/>
              <w:ind w:left="0" w:right="0"/>
              <w:rPr>
                <w:rFonts w:hint="default" w:ascii="宋体" w:hAnsi="宋体"/>
                <w:color w:val="auto"/>
                <w:sz w:val="18"/>
                <w:szCs w:val="18"/>
                <w:highlight w:val="none"/>
              </w:rPr>
            </w:pPr>
          </w:p>
        </w:tc>
      </w:tr>
      <w:tr w14:paraId="5206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60E5301A">
            <w:pPr>
              <w:keepNext w:val="0"/>
              <w:keepLines w:val="0"/>
              <w:suppressLineNumbers w:val="0"/>
              <w:snapToGrid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551" w:type="dxa"/>
            <w:vAlign w:val="center"/>
          </w:tcPr>
          <w:p w14:paraId="2374CEB6">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502BD18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418" w:type="dxa"/>
            <w:vAlign w:val="center"/>
          </w:tcPr>
          <w:p w14:paraId="0A70E2F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559" w:type="dxa"/>
            <w:vAlign w:val="center"/>
          </w:tcPr>
          <w:p w14:paraId="0ED93F64">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2FC35C55">
            <w:pPr>
              <w:keepNext w:val="0"/>
              <w:keepLines w:val="0"/>
              <w:suppressLineNumbers w:val="0"/>
              <w:snapToGrid w:val="0"/>
              <w:spacing w:before="0" w:beforeAutospacing="0" w:after="0" w:afterAutospacing="0"/>
              <w:ind w:left="0" w:right="0"/>
              <w:rPr>
                <w:rFonts w:hint="default" w:ascii="宋体" w:hAnsi="宋体"/>
                <w:color w:val="auto"/>
                <w:sz w:val="18"/>
                <w:szCs w:val="18"/>
                <w:highlight w:val="none"/>
              </w:rPr>
            </w:pPr>
          </w:p>
        </w:tc>
      </w:tr>
      <w:tr w14:paraId="4FB4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679070C8">
            <w:pPr>
              <w:keepNext w:val="0"/>
              <w:keepLines w:val="0"/>
              <w:suppressLineNumbers w:val="0"/>
              <w:snapToGrid w:val="0"/>
              <w:spacing w:before="0" w:beforeAutospacing="0" w:after="0" w:afterAutospacing="0"/>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551" w:type="dxa"/>
            <w:vAlign w:val="center"/>
          </w:tcPr>
          <w:p w14:paraId="765D625E">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701" w:type="dxa"/>
            <w:vAlign w:val="center"/>
          </w:tcPr>
          <w:p w14:paraId="559869C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418" w:type="dxa"/>
            <w:vAlign w:val="center"/>
          </w:tcPr>
          <w:p w14:paraId="6F04CF3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559" w:type="dxa"/>
            <w:vAlign w:val="center"/>
          </w:tcPr>
          <w:p w14:paraId="126EF658">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4FAAE7F0">
            <w:pPr>
              <w:keepNext w:val="0"/>
              <w:keepLines w:val="0"/>
              <w:suppressLineNumbers w:val="0"/>
              <w:snapToGrid w:val="0"/>
              <w:spacing w:before="0" w:beforeAutospacing="0" w:after="0" w:afterAutospacing="0"/>
              <w:ind w:left="0" w:right="0"/>
              <w:rPr>
                <w:rFonts w:hint="default" w:ascii="宋体" w:hAnsi="宋体"/>
                <w:color w:val="auto"/>
                <w:sz w:val="18"/>
                <w:szCs w:val="18"/>
                <w:highlight w:val="none"/>
              </w:rPr>
            </w:pPr>
          </w:p>
        </w:tc>
      </w:tr>
      <w:tr w14:paraId="39CF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7662A35E">
            <w:pPr>
              <w:keepNext w:val="0"/>
              <w:keepLines w:val="0"/>
              <w:suppressLineNumbers w:val="0"/>
              <w:snapToGrid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五</w:t>
            </w:r>
          </w:p>
        </w:tc>
        <w:tc>
          <w:tcPr>
            <w:tcW w:w="7229" w:type="dxa"/>
            <w:gridSpan w:val="4"/>
            <w:vAlign w:val="center"/>
          </w:tcPr>
          <w:p w14:paraId="5E963F56">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方案因素</w:t>
            </w:r>
          </w:p>
        </w:tc>
        <w:tc>
          <w:tcPr>
            <w:tcW w:w="1337" w:type="dxa"/>
            <w:vAlign w:val="center"/>
          </w:tcPr>
          <w:p w14:paraId="7A826802">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p>
        </w:tc>
      </w:tr>
      <w:tr w14:paraId="36E3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53C0060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2551" w:type="dxa"/>
            <w:vAlign w:val="center"/>
          </w:tcPr>
          <w:p w14:paraId="000BAFAD">
            <w:pPr>
              <w:keepNext w:val="0"/>
              <w:keepLines w:val="0"/>
              <w:widowControl/>
              <w:suppressLineNumbers w:val="0"/>
              <w:spacing w:before="0" w:beforeAutospacing="0" w:after="0" w:afterAutospacing="0"/>
              <w:ind w:left="0" w:right="0"/>
              <w:jc w:val="left"/>
              <w:textAlignment w:val="center"/>
              <w:rPr>
                <w:rFonts w:hint="default" w:ascii="宋体" w:hAnsi="宋体"/>
                <w:color w:val="auto"/>
                <w:szCs w:val="21"/>
                <w:highlight w:val="none"/>
              </w:rPr>
            </w:pPr>
          </w:p>
        </w:tc>
        <w:tc>
          <w:tcPr>
            <w:tcW w:w="1701" w:type="dxa"/>
            <w:vAlign w:val="center"/>
          </w:tcPr>
          <w:p w14:paraId="61FC49A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418" w:type="dxa"/>
            <w:vAlign w:val="center"/>
          </w:tcPr>
          <w:p w14:paraId="6312B78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559" w:type="dxa"/>
            <w:vAlign w:val="center"/>
          </w:tcPr>
          <w:p w14:paraId="46F9CB3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3DAB135A">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r>
      <w:tr w14:paraId="2492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43F6A16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2551" w:type="dxa"/>
            <w:vAlign w:val="center"/>
          </w:tcPr>
          <w:p w14:paraId="15D0ED2D">
            <w:pPr>
              <w:keepNext w:val="0"/>
              <w:keepLines w:val="0"/>
              <w:widowControl/>
              <w:suppressLineNumbers w:val="0"/>
              <w:spacing w:before="0" w:beforeAutospacing="0" w:after="0" w:afterAutospacing="0"/>
              <w:ind w:left="0" w:right="0"/>
              <w:textAlignment w:val="center"/>
              <w:rPr>
                <w:rFonts w:hint="default" w:ascii="宋体" w:hAnsi="宋体"/>
                <w:color w:val="auto"/>
                <w:szCs w:val="21"/>
                <w:highlight w:val="none"/>
              </w:rPr>
            </w:pPr>
          </w:p>
        </w:tc>
        <w:tc>
          <w:tcPr>
            <w:tcW w:w="1701" w:type="dxa"/>
            <w:vAlign w:val="center"/>
          </w:tcPr>
          <w:p w14:paraId="74E11D0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szCs w:val="21"/>
                <w:highlight w:val="none"/>
              </w:rPr>
              <w:t>/</w:t>
            </w:r>
          </w:p>
        </w:tc>
        <w:tc>
          <w:tcPr>
            <w:tcW w:w="1418" w:type="dxa"/>
            <w:vAlign w:val="center"/>
          </w:tcPr>
          <w:p w14:paraId="0B8BA3A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559" w:type="dxa"/>
            <w:vAlign w:val="center"/>
          </w:tcPr>
          <w:p w14:paraId="761699E9">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410142DE">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r>
      <w:tr w14:paraId="5100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vAlign w:val="center"/>
          </w:tcPr>
          <w:p w14:paraId="173D65A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2551" w:type="dxa"/>
            <w:vAlign w:val="center"/>
          </w:tcPr>
          <w:p w14:paraId="7C7995E0">
            <w:pPr>
              <w:keepNext w:val="0"/>
              <w:keepLines w:val="0"/>
              <w:widowControl/>
              <w:suppressLineNumbers w:val="0"/>
              <w:spacing w:before="0" w:beforeAutospacing="0" w:after="0" w:afterAutospacing="0"/>
              <w:ind w:left="0" w:right="0"/>
              <w:textAlignment w:val="center"/>
              <w:rPr>
                <w:rFonts w:hint="default" w:ascii="宋体" w:hAnsi="宋体"/>
                <w:color w:val="auto"/>
                <w:szCs w:val="21"/>
                <w:highlight w:val="none"/>
              </w:rPr>
            </w:pPr>
          </w:p>
        </w:tc>
        <w:tc>
          <w:tcPr>
            <w:tcW w:w="1701" w:type="dxa"/>
            <w:vAlign w:val="center"/>
          </w:tcPr>
          <w:p w14:paraId="2390950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szCs w:val="21"/>
                <w:highlight w:val="none"/>
              </w:rPr>
              <w:t>/</w:t>
            </w:r>
          </w:p>
        </w:tc>
        <w:tc>
          <w:tcPr>
            <w:tcW w:w="1418" w:type="dxa"/>
            <w:vAlign w:val="center"/>
          </w:tcPr>
          <w:p w14:paraId="3D83024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p>
        </w:tc>
        <w:tc>
          <w:tcPr>
            <w:tcW w:w="1559" w:type="dxa"/>
            <w:vAlign w:val="center"/>
          </w:tcPr>
          <w:p w14:paraId="707D4DFD">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c>
          <w:tcPr>
            <w:tcW w:w="1337" w:type="dxa"/>
            <w:vAlign w:val="center"/>
          </w:tcPr>
          <w:p w14:paraId="0AC40A9B">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p>
        </w:tc>
      </w:tr>
    </w:tbl>
    <w:p w14:paraId="19A037DB">
      <w:pPr>
        <w:spacing w:line="540" w:lineRule="exact"/>
        <w:rPr>
          <w:rFonts w:ascii="宋体" w:hAnsi="宋体"/>
          <w:color w:val="auto"/>
          <w:highlight w:val="none"/>
        </w:rPr>
      </w:pPr>
      <w:r>
        <w:rPr>
          <w:rFonts w:hint="eastAsia" w:ascii="宋体" w:hAnsi="宋体"/>
          <w:color w:val="auto"/>
          <w:highlight w:val="none"/>
        </w:rPr>
        <w:t>注</w:t>
      </w:r>
      <w:r>
        <w:rPr>
          <w:rFonts w:ascii="宋体" w:hAnsi="宋体"/>
          <w:color w:val="auto"/>
          <w:highlight w:val="none"/>
        </w:rPr>
        <w:t>：</w:t>
      </w:r>
      <w:r>
        <w:rPr>
          <w:rFonts w:hint="eastAsia" w:ascii="宋体" w:hAnsi="宋体"/>
          <w:color w:val="auto"/>
          <w:highlight w:val="none"/>
        </w:rPr>
        <w:t>投标人根据评标办法前附表及评分细则编制评标要素索引表，上表仅为参考，投标人可自行增减；</w:t>
      </w:r>
    </w:p>
    <w:p w14:paraId="7167BC9A">
      <w:pPr>
        <w:spacing w:line="540" w:lineRule="exact"/>
        <w:rPr>
          <w:rFonts w:ascii="宋体" w:hAnsi="宋体"/>
          <w:color w:val="auto"/>
          <w:highlight w:val="none"/>
        </w:rPr>
      </w:pPr>
    </w:p>
    <w:p w14:paraId="4FFCA9D5">
      <w:pPr>
        <w:spacing w:line="540" w:lineRule="exact"/>
        <w:rPr>
          <w:rFonts w:ascii="宋体" w:hAnsi="宋体"/>
          <w:color w:val="auto"/>
          <w:highlight w:val="none"/>
        </w:rPr>
      </w:pPr>
      <w:bookmarkStart w:id="485" w:name="_Toc369531691"/>
      <w:bookmarkStart w:id="486" w:name="_Toc352691655"/>
      <w:bookmarkStart w:id="487" w:name="_Toc7039"/>
      <w:r>
        <w:rPr>
          <w:rFonts w:ascii="宋体" w:hAnsi="宋体"/>
          <w:color w:val="auto"/>
          <w:highlight w:val="none"/>
        </w:rPr>
        <w:br w:type="page"/>
      </w:r>
      <w:bookmarkEnd w:id="485"/>
      <w:bookmarkEnd w:id="486"/>
      <w:bookmarkEnd w:id="487"/>
      <w:bookmarkStart w:id="488" w:name="_Toc3653"/>
      <w:r>
        <w:rPr>
          <w:rFonts w:ascii="宋体" w:hAnsi="宋体"/>
          <w:color w:val="auto"/>
          <w:highlight w:val="none"/>
        </w:rPr>
        <w:t xml:space="preserve"> </w:t>
      </w:r>
      <w:bookmarkEnd w:id="488"/>
    </w:p>
    <w:p w14:paraId="1F3CC646">
      <w:pPr>
        <w:pStyle w:val="3"/>
        <w:jc w:val="center"/>
        <w:rPr>
          <w:rFonts w:ascii="宋体" w:hAnsi="宋体" w:eastAsia="宋体"/>
          <w:color w:val="auto"/>
          <w:highlight w:val="none"/>
        </w:rPr>
      </w:pPr>
      <w:bookmarkStart w:id="489" w:name="_Toc18879"/>
      <w:bookmarkStart w:id="490" w:name="_Toc128512536"/>
      <w:r>
        <w:rPr>
          <w:rFonts w:ascii="宋体" w:hAnsi="宋体" w:eastAsia="宋体"/>
          <w:color w:val="auto"/>
          <w:highlight w:val="none"/>
        </w:rPr>
        <w:t>一、投标</w:t>
      </w:r>
      <w:bookmarkStart w:id="491" w:name="_Toc6931"/>
      <w:bookmarkStart w:id="492" w:name="_Toc352691656"/>
      <w:bookmarkStart w:id="493" w:name="_Toc369531692"/>
      <w:r>
        <w:rPr>
          <w:rFonts w:ascii="宋体" w:hAnsi="宋体" w:eastAsia="宋体"/>
          <w:color w:val="auto"/>
          <w:highlight w:val="none"/>
        </w:rPr>
        <w:t>函及投标函附录</w:t>
      </w:r>
      <w:bookmarkEnd w:id="489"/>
      <w:bookmarkEnd w:id="490"/>
    </w:p>
    <w:bookmarkEnd w:id="491"/>
    <w:bookmarkEnd w:id="492"/>
    <w:bookmarkEnd w:id="493"/>
    <w:p w14:paraId="0C02F9D9">
      <w:pPr>
        <w:pStyle w:val="4"/>
        <w:ind w:firstLine="137"/>
        <w:jc w:val="center"/>
        <w:rPr>
          <w:rFonts w:ascii="宋体" w:hAnsi="宋体" w:eastAsia="宋体"/>
          <w:color w:val="auto"/>
          <w:highlight w:val="none"/>
        </w:rPr>
      </w:pPr>
      <w:bookmarkStart w:id="494" w:name="_Toc391394111"/>
      <w:bookmarkStart w:id="495" w:name="_Toc359594235"/>
      <w:bookmarkStart w:id="496" w:name="_Toc370676426"/>
      <w:bookmarkStart w:id="497" w:name="_Toc13108"/>
      <w:bookmarkStart w:id="498" w:name="_Toc385943065"/>
      <w:bookmarkStart w:id="499" w:name="_Toc482188651"/>
      <w:bookmarkStart w:id="500" w:name="_Toc49506222"/>
      <w:bookmarkStart w:id="501" w:name="_Toc128512537"/>
      <w:r>
        <w:rPr>
          <w:rFonts w:ascii="宋体" w:hAnsi="宋体" w:eastAsia="宋体"/>
          <w:color w:val="auto"/>
          <w:highlight w:val="none"/>
        </w:rPr>
        <w:t>（一）投标函</w:t>
      </w:r>
      <w:bookmarkEnd w:id="494"/>
      <w:bookmarkEnd w:id="495"/>
      <w:bookmarkEnd w:id="496"/>
      <w:bookmarkEnd w:id="497"/>
      <w:bookmarkEnd w:id="498"/>
      <w:bookmarkEnd w:id="499"/>
      <w:bookmarkEnd w:id="500"/>
      <w:bookmarkEnd w:id="501"/>
    </w:p>
    <w:p w14:paraId="483B0C4A">
      <w:pPr>
        <w:spacing w:line="440" w:lineRule="exact"/>
        <w:rPr>
          <w:rFonts w:ascii="宋体" w:hAnsi="宋体"/>
          <w:color w:val="auto"/>
          <w:szCs w:val="21"/>
          <w:highlight w:val="none"/>
        </w:rPr>
      </w:pPr>
      <w:r>
        <w:rPr>
          <w:rFonts w:hint="eastAsia" w:ascii="仿宋" w:hAnsi="仿宋" w:eastAsia="仿宋"/>
          <w:color w:val="auto"/>
          <w:szCs w:val="21"/>
          <w:highlight w:val="none"/>
          <w:u w:val="single"/>
        </w:rPr>
        <w:t xml:space="preserve">                  </w:t>
      </w:r>
      <w:r>
        <w:rPr>
          <w:rFonts w:ascii="宋体" w:hAnsi="宋体"/>
          <w:color w:val="auto"/>
          <w:szCs w:val="21"/>
          <w:highlight w:val="none"/>
        </w:rPr>
        <w:t>（招标人名称）：</w:t>
      </w:r>
    </w:p>
    <w:p w14:paraId="0B7DBB96">
      <w:pPr>
        <w:spacing w:line="440" w:lineRule="exact"/>
        <w:ind w:firstLine="405"/>
        <w:rPr>
          <w:rFonts w:ascii="宋体" w:hAnsi="宋体"/>
          <w:color w:val="auto"/>
          <w:highlight w:val="none"/>
        </w:rPr>
      </w:pPr>
      <w:r>
        <w:rPr>
          <w:rFonts w:ascii="宋体" w:hAnsi="宋体"/>
          <w:color w:val="auto"/>
          <w:szCs w:val="21"/>
          <w:highlight w:val="none"/>
        </w:rPr>
        <w:t>1．我方已仔细研究了</w:t>
      </w:r>
      <w:r>
        <w:rPr>
          <w:rFonts w:hint="eastAsia" w:ascii="宋体" w:hAnsi="宋体"/>
          <w:color w:val="auto"/>
          <w:szCs w:val="21"/>
          <w:highlight w:val="none"/>
          <w:u w:val="single"/>
        </w:rPr>
        <w:t>2025年广州国际灯光节作品创意策划及执行团队服务项目</w:t>
      </w:r>
      <w:r>
        <w:rPr>
          <w:rFonts w:hint="eastAsia" w:ascii="宋体" w:hAnsi="宋体"/>
          <w:color w:val="auto"/>
          <w:highlight w:val="none"/>
        </w:rPr>
        <w:t>招标项目</w:t>
      </w:r>
      <w:r>
        <w:rPr>
          <w:rFonts w:ascii="宋体" w:hAnsi="宋体"/>
          <w:color w:val="auto"/>
          <w:szCs w:val="21"/>
          <w:highlight w:val="none"/>
        </w:rPr>
        <w:t>招标文件的全部内容</w:t>
      </w:r>
      <w:r>
        <w:rPr>
          <w:rFonts w:ascii="宋体" w:hAnsi="宋体"/>
          <w:color w:val="auto"/>
          <w:highlight w:val="none"/>
        </w:rPr>
        <w:t>，</w:t>
      </w:r>
      <w:r>
        <w:rPr>
          <w:rFonts w:hint="eastAsia" w:ascii="宋体" w:hAnsi="宋体"/>
          <w:color w:val="auto"/>
          <w:highlight w:val="none"/>
        </w:rPr>
        <w:t>愿意以《报价清单》中的投标报价和服务期限，按合同约定完成</w:t>
      </w:r>
      <w:r>
        <w:rPr>
          <w:rFonts w:hint="eastAsia" w:ascii="Times New Roman" w:hAnsi="Times New Roman"/>
          <w:color w:val="auto"/>
          <w:szCs w:val="21"/>
          <w:highlight w:val="none"/>
          <w:u w:val="single"/>
        </w:rPr>
        <w:t>服务</w:t>
      </w:r>
      <w:r>
        <w:rPr>
          <w:rFonts w:hint="eastAsia" w:ascii="宋体" w:hAnsi="宋体"/>
          <w:color w:val="auto"/>
          <w:highlight w:val="none"/>
        </w:rPr>
        <w:t>工作。</w:t>
      </w:r>
    </w:p>
    <w:p w14:paraId="1469BC62">
      <w:pPr>
        <w:spacing w:line="440" w:lineRule="exact"/>
        <w:ind w:firstLine="420" w:firstLineChars="200"/>
        <w:rPr>
          <w:rFonts w:ascii="宋体" w:hAnsi="宋体"/>
          <w:color w:val="auto"/>
          <w:szCs w:val="21"/>
          <w:highlight w:val="none"/>
        </w:rPr>
      </w:pPr>
      <w:r>
        <w:rPr>
          <w:rFonts w:ascii="宋体" w:hAnsi="宋体"/>
          <w:color w:val="auto"/>
          <w:szCs w:val="21"/>
          <w:highlight w:val="none"/>
        </w:rPr>
        <w:t>2. 我方的投标文件包括下列内容：</w:t>
      </w:r>
    </w:p>
    <w:p w14:paraId="3DC04112">
      <w:pPr>
        <w:spacing w:line="400" w:lineRule="exact"/>
        <w:ind w:firstLine="405"/>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）投标函</w:t>
      </w:r>
      <w:r>
        <w:rPr>
          <w:rFonts w:ascii="宋体" w:hAnsi="宋体"/>
          <w:color w:val="auto"/>
          <w:highlight w:val="none"/>
        </w:rPr>
        <w:t>及投标函附录</w:t>
      </w:r>
      <w:r>
        <w:rPr>
          <w:rFonts w:hint="eastAsia" w:ascii="宋体" w:hAnsi="宋体"/>
          <w:color w:val="auto"/>
          <w:highlight w:val="none"/>
        </w:rPr>
        <w:t>；</w:t>
      </w:r>
    </w:p>
    <w:p w14:paraId="2371CEC6">
      <w:pPr>
        <w:spacing w:line="400" w:lineRule="exact"/>
        <w:ind w:firstLine="405"/>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）法定代表人身份证明及授权委托书；</w:t>
      </w:r>
    </w:p>
    <w:p w14:paraId="33FA0617">
      <w:pPr>
        <w:spacing w:line="400" w:lineRule="exact"/>
        <w:ind w:firstLine="405"/>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）报价清单；</w:t>
      </w:r>
    </w:p>
    <w:p w14:paraId="5D52EB1B">
      <w:pPr>
        <w:spacing w:line="400" w:lineRule="exact"/>
        <w:ind w:firstLine="405"/>
        <w:rPr>
          <w:rFonts w:ascii="宋体" w:hAnsi="宋体"/>
          <w:color w:val="auto"/>
          <w:highlight w:val="none"/>
        </w:rPr>
      </w:pPr>
      <w:r>
        <w:rPr>
          <w:rFonts w:hint="eastAsia" w:ascii="宋体" w:hAnsi="宋体"/>
          <w:color w:val="auto"/>
          <w:highlight w:val="none"/>
        </w:rPr>
        <w:t>（4）技术偏离表</w:t>
      </w:r>
    </w:p>
    <w:p w14:paraId="2F5ABAE1">
      <w:pPr>
        <w:spacing w:line="400" w:lineRule="exact"/>
        <w:ind w:firstLine="405"/>
        <w:rPr>
          <w:rFonts w:ascii="宋体" w:hAnsi="宋体"/>
          <w:color w:val="auto"/>
          <w:highlight w:val="none"/>
        </w:rPr>
      </w:pPr>
      <w:r>
        <w:rPr>
          <w:rFonts w:hint="eastAsia" w:ascii="宋体" w:hAnsi="宋体"/>
          <w:color w:val="auto"/>
          <w:highlight w:val="none"/>
        </w:rPr>
        <w:t>（5）资格审查资料；</w:t>
      </w:r>
    </w:p>
    <w:p w14:paraId="309ECA91">
      <w:pPr>
        <w:spacing w:line="400" w:lineRule="exact"/>
        <w:ind w:firstLine="405"/>
        <w:rPr>
          <w:rFonts w:ascii="宋体" w:hAnsi="宋体"/>
          <w:color w:val="auto"/>
          <w:highlight w:val="none"/>
        </w:rPr>
      </w:pPr>
      <w:r>
        <w:rPr>
          <w:rFonts w:hint="eastAsia" w:ascii="宋体" w:hAnsi="宋体"/>
          <w:color w:val="auto"/>
          <w:highlight w:val="none"/>
        </w:rPr>
        <w:t>（6）创意设计方案；</w:t>
      </w:r>
    </w:p>
    <w:p w14:paraId="6BDD0A3F">
      <w:pPr>
        <w:spacing w:line="400" w:lineRule="exact"/>
        <w:ind w:firstLine="405"/>
        <w:rPr>
          <w:rFonts w:ascii="宋体" w:hAnsi="宋体"/>
          <w:color w:val="auto"/>
          <w:highlight w:val="none"/>
        </w:rPr>
      </w:pPr>
      <w:r>
        <w:rPr>
          <w:rFonts w:ascii="宋体" w:hAnsi="宋体"/>
          <w:color w:val="auto"/>
          <w:highlight w:val="none"/>
        </w:rPr>
        <w:t>（</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投标人认为需补充的其他资料</w:t>
      </w:r>
      <w:r>
        <w:rPr>
          <w:rFonts w:ascii="宋体" w:hAnsi="宋体"/>
          <w:color w:val="auto"/>
          <w:highlight w:val="none"/>
        </w:rPr>
        <w:t>。</w:t>
      </w:r>
    </w:p>
    <w:p w14:paraId="4318199C">
      <w:pPr>
        <w:spacing w:line="440" w:lineRule="exact"/>
        <w:ind w:firstLine="420" w:firstLineChars="200"/>
        <w:rPr>
          <w:rFonts w:ascii="宋体" w:hAnsi="宋体"/>
          <w:color w:val="auto"/>
          <w:szCs w:val="21"/>
          <w:highlight w:val="none"/>
        </w:rPr>
      </w:pPr>
      <w:r>
        <w:rPr>
          <w:rFonts w:ascii="宋体" w:hAnsi="宋体"/>
          <w:color w:val="auto"/>
          <w:szCs w:val="21"/>
          <w:highlight w:val="none"/>
        </w:rPr>
        <w:t>投标文件的上述组成部分如存在内容不一致的，以投标函为准。</w:t>
      </w:r>
    </w:p>
    <w:p w14:paraId="37103C11">
      <w:pPr>
        <w:spacing w:line="440" w:lineRule="exact"/>
        <w:ind w:firstLine="420" w:firstLineChars="200"/>
        <w:rPr>
          <w:rFonts w:ascii="宋体" w:hAnsi="宋体"/>
          <w:color w:val="auto"/>
          <w:szCs w:val="21"/>
          <w:highlight w:val="none"/>
        </w:rPr>
      </w:pPr>
      <w:r>
        <w:rPr>
          <w:rFonts w:ascii="宋体" w:hAnsi="宋体"/>
          <w:color w:val="auto"/>
          <w:szCs w:val="21"/>
          <w:highlight w:val="none"/>
        </w:rPr>
        <w:t>3．我方承诺在招标文件规定的投标有效期内不撤销投标文件。</w:t>
      </w:r>
    </w:p>
    <w:p w14:paraId="4FA9F0AE">
      <w:pPr>
        <w:spacing w:line="440" w:lineRule="exact"/>
        <w:ind w:firstLine="420" w:firstLineChars="200"/>
        <w:rPr>
          <w:rFonts w:ascii="宋体" w:hAnsi="宋体"/>
          <w:color w:val="auto"/>
          <w:szCs w:val="21"/>
          <w:highlight w:val="none"/>
        </w:rPr>
      </w:pPr>
      <w:r>
        <w:rPr>
          <w:rFonts w:ascii="宋体" w:hAnsi="宋体"/>
          <w:color w:val="auto"/>
          <w:szCs w:val="21"/>
          <w:highlight w:val="none"/>
        </w:rPr>
        <w:t>4．如我方中标，我方承诺：</w:t>
      </w:r>
    </w:p>
    <w:p w14:paraId="26CFD989">
      <w:pPr>
        <w:spacing w:line="440" w:lineRule="exact"/>
        <w:ind w:left="945" w:leftChars="400" w:hanging="105" w:hangingChars="50"/>
        <w:rPr>
          <w:rFonts w:ascii="宋体" w:hAnsi="宋体"/>
          <w:color w:val="auto"/>
          <w:szCs w:val="21"/>
          <w:highlight w:val="none"/>
        </w:rPr>
      </w:pPr>
      <w:r>
        <w:rPr>
          <w:rFonts w:ascii="宋体" w:hAnsi="宋体"/>
          <w:color w:val="auto"/>
          <w:szCs w:val="21"/>
          <w:highlight w:val="none"/>
        </w:rPr>
        <w:t>（1）在收到中标通知书后，在中标通知书规定的期限内与你方签订合同；</w:t>
      </w:r>
    </w:p>
    <w:p w14:paraId="0008174A">
      <w:pPr>
        <w:spacing w:line="440" w:lineRule="exact"/>
        <w:ind w:left="945" w:leftChars="400" w:hanging="105" w:hangingChars="50"/>
        <w:rPr>
          <w:rFonts w:ascii="宋体" w:hAnsi="宋体"/>
          <w:color w:val="auto"/>
          <w:szCs w:val="21"/>
          <w:highlight w:val="none"/>
        </w:rPr>
      </w:pPr>
      <w:r>
        <w:rPr>
          <w:rFonts w:ascii="宋体" w:hAnsi="宋体"/>
          <w:color w:val="auto"/>
          <w:szCs w:val="21"/>
          <w:highlight w:val="none"/>
        </w:rPr>
        <w:t>（2）在签订合同时不向你方提出附加条件；</w:t>
      </w:r>
    </w:p>
    <w:p w14:paraId="2C119739">
      <w:pPr>
        <w:spacing w:line="440" w:lineRule="exact"/>
        <w:ind w:left="945" w:leftChars="400" w:hanging="105" w:hangingChars="50"/>
        <w:rPr>
          <w:rFonts w:ascii="宋体" w:hAnsi="宋体"/>
          <w:color w:val="auto"/>
          <w:szCs w:val="21"/>
          <w:highlight w:val="none"/>
        </w:rPr>
      </w:pPr>
      <w:r>
        <w:rPr>
          <w:rFonts w:ascii="宋体" w:hAnsi="宋体"/>
          <w:color w:val="auto"/>
          <w:szCs w:val="21"/>
          <w:highlight w:val="none"/>
        </w:rPr>
        <w:t>（3）按照招标文件要求提交履约保证金；</w:t>
      </w:r>
      <w:bookmarkStart w:id="502" w:name="_Toc1187"/>
      <w:bookmarkStart w:id="503" w:name="_Toc369531694"/>
      <w:bookmarkStart w:id="504" w:name="_Toc352691658"/>
    </w:p>
    <w:p w14:paraId="5A94A667">
      <w:pPr>
        <w:spacing w:line="440" w:lineRule="exact"/>
        <w:ind w:left="945" w:leftChars="400" w:hanging="105" w:hangingChars="50"/>
        <w:rPr>
          <w:rFonts w:ascii="宋体" w:hAnsi="宋体"/>
          <w:color w:val="auto"/>
          <w:szCs w:val="21"/>
          <w:highlight w:val="none"/>
        </w:rPr>
      </w:pPr>
      <w:r>
        <w:rPr>
          <w:rFonts w:ascii="宋体" w:hAnsi="宋体"/>
          <w:color w:val="auto"/>
          <w:szCs w:val="21"/>
          <w:highlight w:val="none"/>
        </w:rPr>
        <w:t>（4）在合</w:t>
      </w:r>
      <w:bookmarkEnd w:id="502"/>
      <w:bookmarkEnd w:id="503"/>
      <w:bookmarkEnd w:id="504"/>
      <w:r>
        <w:rPr>
          <w:rFonts w:ascii="宋体" w:hAnsi="宋体"/>
          <w:color w:val="auto"/>
          <w:szCs w:val="21"/>
          <w:highlight w:val="none"/>
        </w:rPr>
        <w:t>同约定的期限内完成合同规定的全部义务。</w:t>
      </w:r>
    </w:p>
    <w:p w14:paraId="5D8A2027">
      <w:pPr>
        <w:spacing w:line="440" w:lineRule="exact"/>
        <w:ind w:firstLine="840" w:firstLineChars="400"/>
        <w:rPr>
          <w:rFonts w:ascii="宋体" w:hAnsi="宋体"/>
          <w:color w:val="auto"/>
          <w:szCs w:val="21"/>
          <w:highlight w:val="none"/>
        </w:rPr>
      </w:pPr>
      <w:r>
        <w:rPr>
          <w:rFonts w:hint="eastAsia" w:ascii="宋体" w:hAnsi="宋体"/>
          <w:color w:val="auto"/>
          <w:szCs w:val="21"/>
          <w:highlight w:val="none"/>
        </w:rPr>
        <w:t>（5）若合同签订内容与用户需求书和招标文件不一致的话，以终于与你方签订的合同内容为准。</w:t>
      </w:r>
    </w:p>
    <w:p w14:paraId="0DECD22D">
      <w:pPr>
        <w:spacing w:line="440" w:lineRule="exact"/>
        <w:ind w:firstLine="420" w:firstLineChars="200"/>
        <w:rPr>
          <w:rFonts w:ascii="宋体" w:hAnsi="宋体"/>
          <w:color w:val="auto"/>
          <w:szCs w:val="21"/>
          <w:highlight w:val="none"/>
        </w:rPr>
      </w:pPr>
      <w:r>
        <w:rPr>
          <w:rFonts w:ascii="宋体" w:hAnsi="宋体"/>
          <w:color w:val="auto"/>
          <w:szCs w:val="21"/>
          <w:highlight w:val="none"/>
        </w:rPr>
        <w:t>5．我方在此声明，所递交的投标文件及有关资料内容完整、真实和准确，且不存在第二章“投标人须知”第1.4.3项规定的任何一种情形。</w:t>
      </w:r>
    </w:p>
    <w:p w14:paraId="36490B1A">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6．我方认同招标文件规定的评标和定标规则，遵守评标委员会和定标委员会的裁决结果，并且不会采取妨碍项目进展的行为。我方理解你方没有必须接受你方可能收到的最低标或任何投标的义务。</w:t>
      </w:r>
    </w:p>
    <w:p w14:paraId="052DBA59">
      <w:pPr>
        <w:spacing w:line="440" w:lineRule="exact"/>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．我方承诺在招标文件规定的投标有效期内不撤销投标文件，在此期间内我方的投标有可能中标，我方将受此约束。</w:t>
      </w:r>
    </w:p>
    <w:p w14:paraId="76680D4A">
      <w:pPr>
        <w:spacing w:line="440" w:lineRule="exact"/>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．我方保证投标文件内容无任何虚假。若评定标过程中查有虚假，同意作无效标或被否决处理。</w:t>
      </w:r>
    </w:p>
    <w:p w14:paraId="4DD57F4C">
      <w:pPr>
        <w:spacing w:line="440" w:lineRule="exact"/>
        <w:ind w:firstLine="420" w:firstLineChars="200"/>
        <w:rPr>
          <w:rFonts w:ascii="宋体" w:hAnsi="宋体"/>
          <w:color w:val="auto"/>
          <w:szCs w:val="21"/>
          <w:highlight w:val="none"/>
        </w:rPr>
      </w:pPr>
    </w:p>
    <w:p w14:paraId="5C5BD7AB">
      <w:pPr>
        <w:spacing w:line="440" w:lineRule="exact"/>
        <w:ind w:firstLine="420" w:firstLineChars="200"/>
        <w:rPr>
          <w:rFonts w:ascii="宋体" w:hAnsi="宋体"/>
          <w:color w:val="auto"/>
          <w:szCs w:val="21"/>
          <w:highlight w:val="none"/>
        </w:rPr>
      </w:pPr>
    </w:p>
    <w:p w14:paraId="7C70D485">
      <w:pPr>
        <w:spacing w:line="440" w:lineRule="exact"/>
        <w:ind w:firstLine="420" w:firstLineChars="200"/>
        <w:rPr>
          <w:rFonts w:ascii="宋体" w:hAnsi="宋体"/>
          <w:color w:val="auto"/>
          <w:szCs w:val="21"/>
          <w:highlight w:val="none"/>
        </w:rPr>
      </w:pPr>
    </w:p>
    <w:p w14:paraId="3AC7F2D5">
      <w:pPr>
        <w:spacing w:line="360" w:lineRule="auto"/>
        <w:ind w:firstLine="2520" w:firstLineChars="1200"/>
        <w:jc w:val="left"/>
        <w:rPr>
          <w:rFonts w:ascii="宋体" w:hAnsi="宋体"/>
          <w:color w:val="auto"/>
          <w:szCs w:val="21"/>
          <w:highlight w:val="none"/>
        </w:rPr>
      </w:pPr>
      <w:bookmarkStart w:id="505" w:name="_Toc352691659"/>
      <w:bookmarkEnd w:id="505"/>
      <w:bookmarkStart w:id="506" w:name="_Toc352691660"/>
      <w:bookmarkEnd w:id="506"/>
      <w:bookmarkStart w:id="507" w:name="_Toc16568"/>
      <w:bookmarkEnd w:id="507"/>
      <w:bookmarkStart w:id="508" w:name="_Toc369531695"/>
      <w:bookmarkEnd w:id="508"/>
      <w:bookmarkStart w:id="509" w:name="_Toc16824"/>
      <w:bookmarkEnd w:id="509"/>
      <w:bookmarkStart w:id="510" w:name="_Toc369531696"/>
      <w:bookmarkEnd w:id="510"/>
      <w:r>
        <w:rPr>
          <w:rFonts w:hint="eastAsia" w:ascii="宋体" w:hAnsi="宋体"/>
          <w:color w:val="auto"/>
          <w:szCs w:val="21"/>
          <w:highlight w:val="none"/>
        </w:rPr>
        <w:t>投</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人：</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（盖单位章）</w:t>
      </w:r>
    </w:p>
    <w:p w14:paraId="09A9EBCD">
      <w:pPr>
        <w:spacing w:line="360" w:lineRule="auto"/>
        <w:ind w:firstLine="2520" w:firstLineChars="1200"/>
        <w:jc w:val="left"/>
        <w:rPr>
          <w:rFonts w:ascii="宋体" w:hAnsi="宋体"/>
          <w:color w:val="auto"/>
          <w:szCs w:val="21"/>
          <w:highlight w:val="none"/>
        </w:rPr>
      </w:pPr>
    </w:p>
    <w:p w14:paraId="1F729050">
      <w:pPr>
        <w:spacing w:line="360" w:lineRule="auto"/>
        <w:jc w:val="lef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（签字或盖章）</w:t>
      </w:r>
    </w:p>
    <w:p w14:paraId="3780E77E">
      <w:pPr>
        <w:spacing w:line="360" w:lineRule="auto"/>
        <w:ind w:firstLine="2520" w:firstLineChars="1200"/>
        <w:jc w:val="left"/>
        <w:rPr>
          <w:rFonts w:ascii="宋体" w:hAnsi="宋体"/>
          <w:color w:val="auto"/>
          <w:highlight w:val="none"/>
        </w:rPr>
      </w:pPr>
    </w:p>
    <w:p w14:paraId="6E4C66C4">
      <w:pPr>
        <w:spacing w:line="360" w:lineRule="auto"/>
        <w:ind w:firstLine="2520" w:firstLineChars="1200"/>
        <w:jc w:val="left"/>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CC8BB1">
      <w:pPr>
        <w:spacing w:line="360" w:lineRule="auto"/>
        <w:ind w:firstLine="2520" w:firstLineChars="1200"/>
        <w:jc w:val="left"/>
        <w:rPr>
          <w:rFonts w:ascii="宋体" w:hAnsi="宋体"/>
          <w:color w:val="auto"/>
          <w:szCs w:val="21"/>
          <w:highlight w:val="none"/>
        </w:rPr>
      </w:pPr>
      <w:r>
        <w:rPr>
          <w:rFonts w:hint="eastAsia" w:ascii="宋体" w:hAnsi="宋体"/>
          <w:color w:val="auto"/>
          <w:szCs w:val="21"/>
          <w:highlight w:val="none"/>
        </w:rPr>
        <w:t>网</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u w:val="single"/>
        </w:rPr>
        <w:t xml:space="preserve">    </w:t>
      </w:r>
    </w:p>
    <w:p w14:paraId="2D19F81D">
      <w:pPr>
        <w:spacing w:line="360" w:lineRule="auto"/>
        <w:ind w:firstLine="2520" w:firstLineChars="1200"/>
        <w:jc w:val="left"/>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u w:val="single"/>
        </w:rPr>
        <w:t xml:space="preserve">    </w:t>
      </w:r>
    </w:p>
    <w:p w14:paraId="604DBDFA">
      <w:pPr>
        <w:spacing w:line="360" w:lineRule="auto"/>
        <w:ind w:firstLine="2520" w:firstLineChars="1200"/>
        <w:jc w:val="left"/>
        <w:rPr>
          <w:rFonts w:ascii="宋体" w:hAns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u w:val="single"/>
        </w:rPr>
        <w:t xml:space="preserve">                                </w:t>
      </w:r>
    </w:p>
    <w:p w14:paraId="41FC6FF9">
      <w:pPr>
        <w:spacing w:line="360" w:lineRule="auto"/>
        <w:ind w:firstLine="2520" w:firstLineChars="1200"/>
        <w:jc w:val="left"/>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u w:val="single"/>
        </w:rPr>
        <w:t xml:space="preserve">                                </w:t>
      </w:r>
    </w:p>
    <w:p w14:paraId="1DDA2D07">
      <w:pPr>
        <w:spacing w:line="360" w:lineRule="auto"/>
        <w:ind w:firstLine="4725" w:firstLineChars="2250"/>
        <w:jc w:val="right"/>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23195253">
      <w:pPr>
        <w:spacing w:line="440" w:lineRule="exact"/>
        <w:rPr>
          <w:rFonts w:ascii="宋体" w:hAnsi="宋体"/>
          <w:color w:val="auto"/>
          <w:szCs w:val="21"/>
          <w:highlight w:val="none"/>
        </w:rPr>
      </w:pPr>
    </w:p>
    <w:p w14:paraId="79CF4CCF">
      <w:pPr>
        <w:spacing w:line="440" w:lineRule="exact"/>
        <w:rPr>
          <w:rFonts w:ascii="宋体" w:hAnsi="宋体"/>
          <w:color w:val="auto"/>
          <w:szCs w:val="21"/>
          <w:highlight w:val="none"/>
        </w:rPr>
      </w:pPr>
    </w:p>
    <w:p w14:paraId="530901D9">
      <w:pPr>
        <w:spacing w:line="440" w:lineRule="exact"/>
        <w:rPr>
          <w:rFonts w:ascii="宋体" w:hAnsi="宋体"/>
          <w:color w:val="auto"/>
          <w:sz w:val="20"/>
          <w:highlight w:val="none"/>
        </w:rPr>
      </w:pPr>
      <w:bookmarkStart w:id="511" w:name="_Toc247527827"/>
      <w:bookmarkStart w:id="512" w:name="_Toc352691661"/>
      <w:bookmarkStart w:id="513" w:name="_Toc17960"/>
      <w:bookmarkStart w:id="514" w:name="_Toc247514246"/>
      <w:bookmarkStart w:id="515" w:name="_Toc361508752"/>
      <w:bookmarkStart w:id="516" w:name="_Toc369531697"/>
      <w:bookmarkStart w:id="517" w:name="_Toc152042576"/>
      <w:bookmarkStart w:id="518" w:name="_Toc152045787"/>
      <w:bookmarkStart w:id="519" w:name="_Toc300835209"/>
      <w:bookmarkStart w:id="520" w:name="_Toc144974856"/>
      <w:bookmarkStart w:id="521" w:name="_Toc384308375"/>
    </w:p>
    <w:p w14:paraId="6B237499">
      <w:pPr>
        <w:pStyle w:val="3"/>
        <w:jc w:val="center"/>
        <w:rPr>
          <w:rFonts w:ascii="宋体" w:hAnsi="宋体" w:eastAsia="宋体"/>
          <w:color w:val="auto"/>
          <w:highlight w:val="none"/>
        </w:rPr>
      </w:pPr>
      <w:r>
        <w:rPr>
          <w:rFonts w:ascii="宋体" w:hAnsi="宋体"/>
          <w:color w:val="auto"/>
          <w:szCs w:val="21"/>
          <w:highlight w:val="none"/>
        </w:rPr>
        <w:br w:type="page"/>
      </w:r>
      <w:bookmarkStart w:id="522" w:name="_Toc359594236"/>
      <w:bookmarkStart w:id="523" w:name="_Toc391394112"/>
      <w:bookmarkStart w:id="524" w:name="_Toc49506223"/>
      <w:bookmarkStart w:id="525" w:name="_Toc370676427"/>
      <w:bookmarkStart w:id="526" w:name="_Toc482188652"/>
      <w:bookmarkStart w:id="527" w:name="_Toc4379"/>
      <w:bookmarkStart w:id="528" w:name="_Toc128512538"/>
      <w:bookmarkStart w:id="529" w:name="_Toc385943066"/>
      <w:r>
        <w:rPr>
          <w:rFonts w:ascii="宋体" w:hAnsi="宋体" w:eastAsia="宋体"/>
          <w:color w:val="auto"/>
          <w:highlight w:val="none"/>
        </w:rPr>
        <w:t>（二）投标函附录</w:t>
      </w:r>
      <w:bookmarkEnd w:id="522"/>
      <w:bookmarkEnd w:id="523"/>
      <w:bookmarkEnd w:id="524"/>
      <w:bookmarkEnd w:id="525"/>
      <w:bookmarkEnd w:id="526"/>
      <w:bookmarkEnd w:id="527"/>
      <w:bookmarkEnd w:id="528"/>
      <w:bookmarkEnd w:id="529"/>
    </w:p>
    <w:tbl>
      <w:tblPr>
        <w:tblStyle w:val="3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088"/>
        <w:gridCol w:w="3375"/>
        <w:gridCol w:w="2290"/>
      </w:tblGrid>
      <w:tr w14:paraId="788A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31AA7E63">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2088" w:type="dxa"/>
            <w:tcBorders>
              <w:top w:val="single" w:color="auto" w:sz="4" w:space="0"/>
              <w:left w:val="single" w:color="auto" w:sz="4" w:space="0"/>
              <w:bottom w:val="single" w:color="auto" w:sz="4" w:space="0"/>
              <w:right w:val="single" w:color="auto" w:sz="4" w:space="0"/>
            </w:tcBorders>
            <w:vAlign w:val="center"/>
          </w:tcPr>
          <w:p w14:paraId="7278B9BF">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条款名称</w:t>
            </w:r>
          </w:p>
        </w:tc>
        <w:tc>
          <w:tcPr>
            <w:tcW w:w="3375" w:type="dxa"/>
            <w:tcBorders>
              <w:top w:val="single" w:color="auto" w:sz="4" w:space="0"/>
              <w:left w:val="single" w:color="auto" w:sz="4" w:space="0"/>
              <w:bottom w:val="single" w:color="auto" w:sz="4" w:space="0"/>
              <w:right w:val="single" w:color="auto" w:sz="4" w:space="0"/>
            </w:tcBorders>
            <w:vAlign w:val="center"/>
          </w:tcPr>
          <w:p w14:paraId="4D6CD044">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约定内容</w:t>
            </w:r>
          </w:p>
        </w:tc>
        <w:tc>
          <w:tcPr>
            <w:tcW w:w="2290" w:type="dxa"/>
            <w:tcBorders>
              <w:top w:val="single" w:color="auto" w:sz="4" w:space="0"/>
              <w:left w:val="single" w:color="auto" w:sz="4" w:space="0"/>
              <w:bottom w:val="single" w:color="auto" w:sz="4" w:space="0"/>
              <w:right w:val="single" w:color="auto" w:sz="4" w:space="0"/>
            </w:tcBorders>
            <w:vAlign w:val="center"/>
          </w:tcPr>
          <w:p w14:paraId="4B700914">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default" w:ascii="宋体" w:hAnsi="宋体"/>
                <w:color w:val="auto"/>
                <w:szCs w:val="21"/>
                <w:highlight w:val="none"/>
              </w:rPr>
              <w:t>备注</w:t>
            </w:r>
          </w:p>
        </w:tc>
      </w:tr>
      <w:tr w14:paraId="1720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02F8FEF6">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2088" w:type="dxa"/>
            <w:tcBorders>
              <w:top w:val="single" w:color="auto" w:sz="4" w:space="0"/>
              <w:left w:val="single" w:color="auto" w:sz="4" w:space="0"/>
              <w:bottom w:val="single" w:color="auto" w:sz="4" w:space="0"/>
              <w:right w:val="single" w:color="auto" w:sz="4" w:space="0"/>
            </w:tcBorders>
            <w:vAlign w:val="center"/>
          </w:tcPr>
          <w:p w14:paraId="1C809284">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投标报价</w:t>
            </w:r>
          </w:p>
        </w:tc>
        <w:tc>
          <w:tcPr>
            <w:tcW w:w="3375" w:type="dxa"/>
            <w:tcBorders>
              <w:top w:val="single" w:color="auto" w:sz="4" w:space="0"/>
              <w:left w:val="single" w:color="auto" w:sz="4" w:space="0"/>
              <w:bottom w:val="single" w:color="auto" w:sz="4" w:space="0"/>
              <w:right w:val="single" w:color="auto" w:sz="4" w:space="0"/>
            </w:tcBorders>
            <w:vAlign w:val="center"/>
          </w:tcPr>
          <w:p w14:paraId="2EA504A2">
            <w:pPr>
              <w:keepNext w:val="0"/>
              <w:keepLines w:val="0"/>
              <w:suppressLineNumbers w:val="0"/>
              <w:spacing w:before="0" w:beforeAutospacing="0" w:after="0" w:afterAutospacing="0" w:line="48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大写：</w:t>
            </w:r>
          </w:p>
          <w:p w14:paraId="4334B56C">
            <w:pPr>
              <w:keepNext w:val="0"/>
              <w:keepLines w:val="0"/>
              <w:suppressLineNumbers w:val="0"/>
              <w:spacing w:before="0" w:beforeAutospacing="0" w:after="0" w:afterAutospacing="0" w:line="480" w:lineRule="exact"/>
              <w:ind w:left="0" w:right="0"/>
              <w:jc w:val="left"/>
              <w:rPr>
                <w:rFonts w:hint="default" w:ascii="宋体" w:hAnsi="宋体"/>
                <w:color w:val="auto"/>
                <w:szCs w:val="21"/>
                <w:highlight w:val="none"/>
              </w:rPr>
            </w:pPr>
            <w:r>
              <w:rPr>
                <w:rFonts w:hint="eastAsia" w:ascii="宋体" w:hAnsi="宋体"/>
                <w:color w:val="auto"/>
                <w:szCs w:val="21"/>
                <w:highlight w:val="none"/>
              </w:rPr>
              <w:t>小写：</w:t>
            </w:r>
          </w:p>
        </w:tc>
        <w:tc>
          <w:tcPr>
            <w:tcW w:w="2290" w:type="dxa"/>
            <w:tcBorders>
              <w:top w:val="single" w:color="auto" w:sz="4" w:space="0"/>
              <w:left w:val="single" w:color="auto" w:sz="4" w:space="0"/>
              <w:bottom w:val="single" w:color="auto" w:sz="4" w:space="0"/>
              <w:right w:val="single" w:color="auto" w:sz="4" w:space="0"/>
            </w:tcBorders>
            <w:vAlign w:val="center"/>
          </w:tcPr>
          <w:p w14:paraId="11DC8454">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p>
        </w:tc>
      </w:tr>
      <w:tr w14:paraId="3813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58F05AE9">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2088" w:type="dxa"/>
            <w:tcBorders>
              <w:top w:val="single" w:color="auto" w:sz="4" w:space="0"/>
              <w:left w:val="single" w:color="auto" w:sz="4" w:space="0"/>
              <w:bottom w:val="single" w:color="auto" w:sz="4" w:space="0"/>
              <w:right w:val="single" w:color="auto" w:sz="4" w:space="0"/>
            </w:tcBorders>
            <w:vAlign w:val="center"/>
          </w:tcPr>
          <w:p w14:paraId="70C022DB">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服务</w:t>
            </w:r>
            <w:r>
              <w:rPr>
                <w:rFonts w:hint="default" w:ascii="宋体" w:hAnsi="宋体"/>
                <w:color w:val="auto"/>
                <w:szCs w:val="21"/>
                <w:highlight w:val="none"/>
              </w:rPr>
              <w:t>期限</w:t>
            </w:r>
          </w:p>
        </w:tc>
        <w:tc>
          <w:tcPr>
            <w:tcW w:w="3375" w:type="dxa"/>
            <w:tcBorders>
              <w:top w:val="single" w:color="auto" w:sz="4" w:space="0"/>
              <w:left w:val="single" w:color="auto" w:sz="4" w:space="0"/>
              <w:bottom w:val="single" w:color="auto" w:sz="4" w:space="0"/>
              <w:right w:val="single" w:color="auto" w:sz="4" w:space="0"/>
            </w:tcBorders>
            <w:vAlign w:val="center"/>
          </w:tcPr>
          <w:p w14:paraId="68407879">
            <w:pPr>
              <w:keepNext w:val="0"/>
              <w:keepLines w:val="0"/>
              <w:suppressLineNumbers w:val="0"/>
              <w:spacing w:before="0" w:beforeAutospacing="0" w:after="0" w:afterAutospacing="0" w:line="480" w:lineRule="exact"/>
              <w:ind w:left="0" w:right="0"/>
              <w:jc w:val="left"/>
              <w:rPr>
                <w:rFonts w:hint="default" w:ascii="宋体" w:hAnsi="宋体"/>
                <w:color w:val="auto"/>
                <w:szCs w:val="21"/>
                <w:highlight w:val="none"/>
              </w:rPr>
            </w:pPr>
            <w:r>
              <w:rPr>
                <w:rFonts w:hint="eastAsia" w:ascii="宋体" w:hAnsi="宋体"/>
                <w:color w:val="auto"/>
                <w:szCs w:val="21"/>
                <w:highlight w:val="none"/>
              </w:rPr>
              <w:t>按招标文件要求</w:t>
            </w:r>
          </w:p>
        </w:tc>
        <w:tc>
          <w:tcPr>
            <w:tcW w:w="2290" w:type="dxa"/>
            <w:tcBorders>
              <w:top w:val="single" w:color="auto" w:sz="4" w:space="0"/>
              <w:left w:val="single" w:color="auto" w:sz="4" w:space="0"/>
              <w:bottom w:val="single" w:color="auto" w:sz="4" w:space="0"/>
              <w:right w:val="single" w:color="auto" w:sz="4" w:space="0"/>
            </w:tcBorders>
            <w:vAlign w:val="center"/>
          </w:tcPr>
          <w:p w14:paraId="004295EB">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p>
        </w:tc>
      </w:tr>
      <w:tr w14:paraId="7C26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19CF62FD">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2088" w:type="dxa"/>
            <w:tcBorders>
              <w:top w:val="single" w:color="auto" w:sz="4" w:space="0"/>
              <w:left w:val="single" w:color="auto" w:sz="4" w:space="0"/>
              <w:bottom w:val="single" w:color="auto" w:sz="4" w:space="0"/>
              <w:right w:val="single" w:color="auto" w:sz="4" w:space="0"/>
            </w:tcBorders>
            <w:vAlign w:val="center"/>
          </w:tcPr>
          <w:p w14:paraId="175969A7">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质量标准</w:t>
            </w:r>
          </w:p>
        </w:tc>
        <w:tc>
          <w:tcPr>
            <w:tcW w:w="3375" w:type="dxa"/>
            <w:tcBorders>
              <w:top w:val="single" w:color="auto" w:sz="4" w:space="0"/>
              <w:left w:val="single" w:color="auto" w:sz="4" w:space="0"/>
              <w:bottom w:val="single" w:color="auto" w:sz="4" w:space="0"/>
              <w:right w:val="single" w:color="auto" w:sz="4" w:space="0"/>
            </w:tcBorders>
            <w:vAlign w:val="center"/>
          </w:tcPr>
          <w:p w14:paraId="05586D3A">
            <w:pPr>
              <w:keepNext w:val="0"/>
              <w:keepLines w:val="0"/>
              <w:suppressLineNumbers w:val="0"/>
              <w:spacing w:before="0" w:beforeAutospacing="0" w:after="0" w:afterAutospacing="0" w:line="480" w:lineRule="exact"/>
              <w:ind w:left="0" w:right="0"/>
              <w:jc w:val="left"/>
              <w:rPr>
                <w:rFonts w:hint="default" w:ascii="宋体" w:hAnsi="宋体"/>
                <w:color w:val="auto"/>
                <w:szCs w:val="21"/>
                <w:highlight w:val="none"/>
              </w:rPr>
            </w:pPr>
            <w:r>
              <w:rPr>
                <w:rFonts w:hint="eastAsia" w:ascii="宋体" w:hAnsi="宋体"/>
                <w:color w:val="auto"/>
                <w:szCs w:val="21"/>
                <w:highlight w:val="none"/>
              </w:rPr>
              <w:t>按招标文件要求</w:t>
            </w:r>
          </w:p>
        </w:tc>
        <w:tc>
          <w:tcPr>
            <w:tcW w:w="2290" w:type="dxa"/>
            <w:tcBorders>
              <w:top w:val="single" w:color="auto" w:sz="4" w:space="0"/>
              <w:left w:val="single" w:color="auto" w:sz="4" w:space="0"/>
              <w:bottom w:val="single" w:color="auto" w:sz="4" w:space="0"/>
              <w:right w:val="single" w:color="auto" w:sz="4" w:space="0"/>
            </w:tcBorders>
            <w:vAlign w:val="center"/>
          </w:tcPr>
          <w:p w14:paraId="441B6841">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p>
        </w:tc>
      </w:tr>
      <w:tr w14:paraId="3A90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429901E1">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4</w:t>
            </w:r>
          </w:p>
        </w:tc>
        <w:tc>
          <w:tcPr>
            <w:tcW w:w="2088" w:type="dxa"/>
            <w:tcBorders>
              <w:top w:val="single" w:color="auto" w:sz="4" w:space="0"/>
              <w:left w:val="single" w:color="auto" w:sz="4" w:space="0"/>
              <w:bottom w:val="single" w:color="auto" w:sz="4" w:space="0"/>
              <w:right w:val="single" w:color="auto" w:sz="4" w:space="0"/>
            </w:tcBorders>
            <w:vAlign w:val="center"/>
          </w:tcPr>
          <w:p w14:paraId="063D9C8C">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投标有效期</w:t>
            </w:r>
          </w:p>
        </w:tc>
        <w:tc>
          <w:tcPr>
            <w:tcW w:w="3375" w:type="dxa"/>
            <w:tcBorders>
              <w:top w:val="single" w:color="auto" w:sz="4" w:space="0"/>
              <w:left w:val="single" w:color="auto" w:sz="4" w:space="0"/>
              <w:bottom w:val="single" w:color="auto" w:sz="4" w:space="0"/>
              <w:right w:val="single" w:color="auto" w:sz="4" w:space="0"/>
            </w:tcBorders>
            <w:vAlign w:val="center"/>
          </w:tcPr>
          <w:p w14:paraId="078DDDAB">
            <w:pPr>
              <w:keepNext w:val="0"/>
              <w:keepLines w:val="0"/>
              <w:suppressLineNumbers w:val="0"/>
              <w:spacing w:before="0" w:beforeAutospacing="0" w:after="0" w:afterAutospacing="0" w:line="480" w:lineRule="exact"/>
              <w:ind w:left="0" w:right="0"/>
              <w:jc w:val="left"/>
              <w:rPr>
                <w:rFonts w:hint="default" w:ascii="宋体" w:hAnsi="宋体"/>
                <w:color w:val="auto"/>
                <w:szCs w:val="21"/>
                <w:highlight w:val="none"/>
              </w:rPr>
            </w:pPr>
            <w:r>
              <w:rPr>
                <w:rFonts w:hint="eastAsia" w:ascii="宋体" w:hAnsi="宋体"/>
                <w:color w:val="auto"/>
                <w:szCs w:val="21"/>
                <w:highlight w:val="none"/>
              </w:rPr>
              <w:t>90</w:t>
            </w:r>
            <w:r>
              <w:rPr>
                <w:rFonts w:hint="default" w:ascii="宋体" w:hAnsi="宋体"/>
                <w:color w:val="auto"/>
                <w:szCs w:val="21"/>
                <w:highlight w:val="none"/>
              </w:rPr>
              <w:t>日历天</w:t>
            </w:r>
          </w:p>
        </w:tc>
        <w:tc>
          <w:tcPr>
            <w:tcW w:w="2290" w:type="dxa"/>
            <w:tcBorders>
              <w:top w:val="single" w:color="auto" w:sz="4" w:space="0"/>
              <w:left w:val="single" w:color="auto" w:sz="4" w:space="0"/>
              <w:bottom w:val="single" w:color="auto" w:sz="4" w:space="0"/>
              <w:right w:val="single" w:color="auto" w:sz="4" w:space="0"/>
            </w:tcBorders>
            <w:vAlign w:val="center"/>
          </w:tcPr>
          <w:p w14:paraId="44234605">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p>
        </w:tc>
      </w:tr>
      <w:tr w14:paraId="4628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5F18A193">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5</w:t>
            </w:r>
          </w:p>
        </w:tc>
        <w:tc>
          <w:tcPr>
            <w:tcW w:w="2088" w:type="dxa"/>
            <w:tcBorders>
              <w:top w:val="single" w:color="auto" w:sz="4" w:space="0"/>
              <w:left w:val="single" w:color="auto" w:sz="4" w:space="0"/>
              <w:bottom w:val="single" w:color="auto" w:sz="4" w:space="0"/>
              <w:right w:val="single" w:color="auto" w:sz="4" w:space="0"/>
            </w:tcBorders>
            <w:vAlign w:val="center"/>
          </w:tcPr>
          <w:p w14:paraId="18E47590">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权利义务</w:t>
            </w:r>
          </w:p>
        </w:tc>
        <w:tc>
          <w:tcPr>
            <w:tcW w:w="3375" w:type="dxa"/>
            <w:tcBorders>
              <w:top w:val="single" w:color="auto" w:sz="4" w:space="0"/>
              <w:left w:val="single" w:color="auto" w:sz="4" w:space="0"/>
              <w:bottom w:val="single" w:color="auto" w:sz="4" w:space="0"/>
              <w:right w:val="single" w:color="auto" w:sz="4" w:space="0"/>
            </w:tcBorders>
            <w:vAlign w:val="center"/>
          </w:tcPr>
          <w:p w14:paraId="32DE6EAD">
            <w:pPr>
              <w:keepNext w:val="0"/>
              <w:keepLines w:val="0"/>
              <w:suppressLineNumbers w:val="0"/>
              <w:spacing w:before="0" w:beforeAutospacing="0" w:after="0" w:afterAutospacing="0" w:line="480" w:lineRule="exact"/>
              <w:ind w:left="0" w:right="0"/>
              <w:jc w:val="left"/>
              <w:rPr>
                <w:rFonts w:hint="default" w:ascii="宋体" w:hAnsi="宋体"/>
                <w:color w:val="auto"/>
                <w:szCs w:val="21"/>
                <w:highlight w:val="none"/>
              </w:rPr>
            </w:pPr>
            <w:r>
              <w:rPr>
                <w:rFonts w:hint="eastAsia" w:ascii="宋体" w:hAnsi="宋体"/>
                <w:color w:val="auto"/>
                <w:szCs w:val="21"/>
                <w:highlight w:val="none"/>
              </w:rPr>
              <w:t>完全响应招标文件相关要求，无负偏离</w:t>
            </w:r>
          </w:p>
        </w:tc>
        <w:tc>
          <w:tcPr>
            <w:tcW w:w="2290" w:type="dxa"/>
            <w:tcBorders>
              <w:top w:val="single" w:color="auto" w:sz="4" w:space="0"/>
              <w:left w:val="single" w:color="auto" w:sz="4" w:space="0"/>
              <w:bottom w:val="single" w:color="auto" w:sz="4" w:space="0"/>
              <w:right w:val="single" w:color="auto" w:sz="4" w:space="0"/>
            </w:tcBorders>
            <w:vAlign w:val="center"/>
          </w:tcPr>
          <w:p w14:paraId="2434394E">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p>
        </w:tc>
      </w:tr>
      <w:tr w14:paraId="6A8B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1FEE862C">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6</w:t>
            </w:r>
          </w:p>
        </w:tc>
        <w:tc>
          <w:tcPr>
            <w:tcW w:w="2088" w:type="dxa"/>
            <w:tcBorders>
              <w:top w:val="single" w:color="auto" w:sz="4" w:space="0"/>
              <w:left w:val="single" w:color="auto" w:sz="4" w:space="0"/>
              <w:bottom w:val="single" w:color="auto" w:sz="4" w:space="0"/>
              <w:right w:val="single" w:color="auto" w:sz="4" w:space="0"/>
            </w:tcBorders>
            <w:vAlign w:val="center"/>
          </w:tcPr>
          <w:p w14:paraId="2BD76CC3">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r>
              <w:rPr>
                <w:rFonts w:hint="eastAsia" w:ascii="宋体" w:hAnsi="宋体"/>
                <w:color w:val="auto"/>
                <w:szCs w:val="21"/>
                <w:highlight w:val="none"/>
              </w:rPr>
              <w:t>创意设计方案</w:t>
            </w:r>
          </w:p>
        </w:tc>
        <w:tc>
          <w:tcPr>
            <w:tcW w:w="3375" w:type="dxa"/>
            <w:tcBorders>
              <w:top w:val="single" w:color="auto" w:sz="4" w:space="0"/>
              <w:left w:val="single" w:color="auto" w:sz="4" w:space="0"/>
              <w:bottom w:val="single" w:color="auto" w:sz="4" w:space="0"/>
              <w:right w:val="single" w:color="auto" w:sz="4" w:space="0"/>
            </w:tcBorders>
            <w:vAlign w:val="center"/>
          </w:tcPr>
          <w:p w14:paraId="1D0912C3">
            <w:pPr>
              <w:keepNext w:val="0"/>
              <w:keepLines w:val="0"/>
              <w:suppressLineNumbers w:val="0"/>
              <w:spacing w:before="0" w:beforeAutospacing="0" w:after="0" w:afterAutospacing="0" w:line="480" w:lineRule="exact"/>
              <w:ind w:left="0" w:right="0"/>
              <w:jc w:val="left"/>
              <w:rPr>
                <w:rFonts w:hint="default" w:ascii="宋体" w:hAnsi="宋体"/>
                <w:color w:val="auto"/>
                <w:szCs w:val="21"/>
                <w:highlight w:val="none"/>
              </w:rPr>
            </w:pPr>
            <w:r>
              <w:rPr>
                <w:rFonts w:hint="eastAsia" w:ascii="宋体" w:hAnsi="宋体"/>
                <w:color w:val="auto"/>
                <w:szCs w:val="21"/>
                <w:highlight w:val="none"/>
              </w:rPr>
              <w:t>完全响应招标文件相关要求</w:t>
            </w:r>
          </w:p>
        </w:tc>
        <w:tc>
          <w:tcPr>
            <w:tcW w:w="2290" w:type="dxa"/>
            <w:tcBorders>
              <w:top w:val="single" w:color="auto" w:sz="4" w:space="0"/>
              <w:left w:val="single" w:color="auto" w:sz="4" w:space="0"/>
              <w:bottom w:val="single" w:color="auto" w:sz="4" w:space="0"/>
              <w:right w:val="single" w:color="auto" w:sz="4" w:space="0"/>
            </w:tcBorders>
            <w:vAlign w:val="center"/>
          </w:tcPr>
          <w:p w14:paraId="7C5DD523">
            <w:pPr>
              <w:keepNext w:val="0"/>
              <w:keepLines w:val="0"/>
              <w:suppressLineNumbers w:val="0"/>
              <w:spacing w:before="0" w:beforeAutospacing="0" w:after="0" w:afterAutospacing="0" w:line="480" w:lineRule="exact"/>
              <w:ind w:left="0" w:right="0"/>
              <w:jc w:val="center"/>
              <w:rPr>
                <w:rFonts w:hint="default" w:ascii="宋体" w:hAnsi="宋体"/>
                <w:color w:val="auto"/>
                <w:szCs w:val="21"/>
                <w:highlight w:val="none"/>
              </w:rPr>
            </w:pPr>
          </w:p>
        </w:tc>
      </w:tr>
    </w:tbl>
    <w:p w14:paraId="318CAF52">
      <w:pPr>
        <w:spacing w:line="440" w:lineRule="exact"/>
        <w:jc w:val="left"/>
        <w:rPr>
          <w:rFonts w:ascii="宋体" w:hAnsi="宋体"/>
          <w:color w:val="auto"/>
          <w:szCs w:val="21"/>
          <w:highlight w:val="none"/>
        </w:rPr>
      </w:pPr>
    </w:p>
    <w:p w14:paraId="515D5B4A">
      <w:pPr>
        <w:spacing w:line="440" w:lineRule="exact"/>
        <w:ind w:firstLine="2520" w:firstLineChars="1200"/>
        <w:jc w:val="left"/>
        <w:rPr>
          <w:rFonts w:ascii="宋体" w:hAnsi="宋体"/>
          <w:color w:val="auto"/>
          <w:szCs w:val="21"/>
          <w:highlight w:val="none"/>
        </w:rPr>
      </w:pPr>
      <w:r>
        <w:rPr>
          <w:rFonts w:hint="eastAsia" w:ascii="宋体" w:hAnsi="宋体"/>
          <w:color w:val="auto"/>
          <w:szCs w:val="21"/>
          <w:highlight w:val="none"/>
        </w:rPr>
        <w:t>投</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人：</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（盖单位章）</w:t>
      </w:r>
    </w:p>
    <w:p w14:paraId="5772E6B8">
      <w:pPr>
        <w:spacing w:line="440" w:lineRule="exact"/>
        <w:jc w:val="left"/>
        <w:rPr>
          <w:rFonts w:ascii="宋体" w:hAnsi="宋体"/>
          <w:color w:val="auto"/>
          <w:szCs w:val="21"/>
          <w:highlight w:val="none"/>
        </w:rPr>
      </w:pPr>
      <w:r>
        <w:rPr>
          <w:rFonts w:ascii="宋体" w:hAnsi="宋体"/>
          <w:color w:val="auto"/>
          <w:highlight w:val="none"/>
        </w:rPr>
        <w:t xml:space="preserve">                        </w:t>
      </w:r>
      <w:r>
        <w:rPr>
          <w:rFonts w:hint="eastAsia" w:ascii="宋体" w:hAnsi="宋体"/>
          <w:color w:val="auto"/>
          <w:highlight w:val="none"/>
        </w:rPr>
        <w:t>法定代表人</w:t>
      </w:r>
      <w:r>
        <w:rPr>
          <w:rFonts w:hint="eastAsia" w:ascii="宋体" w:hAnsi="宋体"/>
          <w:color w:val="auto"/>
          <w:szCs w:val="21"/>
          <w:highlight w:val="none"/>
        </w:rPr>
        <w:t>或其委托代理人：</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（签字或盖章）</w:t>
      </w:r>
    </w:p>
    <w:p w14:paraId="356FC887">
      <w:pPr>
        <w:wordWrap w:val="0"/>
        <w:spacing w:line="440" w:lineRule="exact"/>
        <w:ind w:right="420" w:firstLine="4305" w:firstLineChars="2050"/>
        <w:rPr>
          <w:rFonts w:ascii="宋体" w:hAnsi="宋体"/>
          <w:color w:val="auto"/>
          <w:szCs w:val="21"/>
          <w:highlight w:val="none"/>
        </w:rPr>
      </w:pP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szCs w:val="21"/>
          <w:highlight w:val="none"/>
        </w:rPr>
        <w:t>年</w:t>
      </w:r>
      <w:r>
        <w:rPr>
          <w:rFonts w:ascii="宋体" w:hAnsi="宋体"/>
          <w:color w:val="auto"/>
          <w:highlight w:val="none"/>
          <w:u w:val="single"/>
        </w:rPr>
        <w:t xml:space="preserve">     </w:t>
      </w:r>
      <w:r>
        <w:rPr>
          <w:rFonts w:hint="eastAsia" w:ascii="宋体" w:hAnsi="宋体"/>
          <w:color w:val="auto"/>
          <w:szCs w:val="21"/>
          <w:highlight w:val="none"/>
        </w:rPr>
        <w:t>月</w:t>
      </w:r>
      <w:r>
        <w:rPr>
          <w:rFonts w:ascii="宋体" w:hAnsi="宋体"/>
          <w:color w:val="auto"/>
          <w:highlight w:val="none"/>
          <w:u w:val="single"/>
        </w:rPr>
        <w:t xml:space="preserve">     </w:t>
      </w:r>
      <w:r>
        <w:rPr>
          <w:rFonts w:hint="eastAsia" w:ascii="宋体" w:hAnsi="宋体"/>
          <w:color w:val="auto"/>
          <w:szCs w:val="21"/>
          <w:highlight w:val="none"/>
        </w:rPr>
        <w:t>日</w:t>
      </w:r>
    </w:p>
    <w:p w14:paraId="6D9C03F2">
      <w:pPr>
        <w:spacing w:line="440" w:lineRule="exact"/>
        <w:ind w:firstLine="420" w:firstLineChars="200"/>
        <w:rPr>
          <w:rFonts w:ascii="宋体" w:hAnsi="宋体"/>
          <w:color w:val="auto"/>
          <w:szCs w:val="21"/>
          <w:highlight w:val="none"/>
        </w:rPr>
      </w:pPr>
      <w:r>
        <w:rPr>
          <w:rFonts w:ascii="宋体" w:hAnsi="宋体"/>
          <w:color w:val="auto"/>
          <w:szCs w:val="21"/>
          <w:highlight w:val="none"/>
        </w:rPr>
        <w:br w:type="page"/>
      </w:r>
    </w:p>
    <w:p w14:paraId="516C0B7E">
      <w:pPr>
        <w:pStyle w:val="3"/>
        <w:jc w:val="center"/>
        <w:rPr>
          <w:rFonts w:ascii="宋体" w:hAnsi="宋体" w:eastAsia="宋体"/>
          <w:color w:val="auto"/>
          <w:highlight w:val="none"/>
        </w:rPr>
      </w:pPr>
      <w:bookmarkStart w:id="530" w:name="_Toc7870"/>
      <w:bookmarkStart w:id="531" w:name="_Toc128512539"/>
      <w:r>
        <w:rPr>
          <w:rFonts w:hint="eastAsia" w:ascii="宋体" w:hAnsi="宋体" w:eastAsia="宋体"/>
          <w:color w:val="auto"/>
          <w:highlight w:val="none"/>
        </w:rPr>
        <w:t>二</w:t>
      </w:r>
      <w:bookmarkEnd w:id="511"/>
      <w:bookmarkEnd w:id="512"/>
      <w:bookmarkEnd w:id="513"/>
      <w:bookmarkEnd w:id="514"/>
      <w:bookmarkEnd w:id="515"/>
      <w:bookmarkEnd w:id="516"/>
      <w:bookmarkEnd w:id="517"/>
      <w:bookmarkEnd w:id="518"/>
      <w:bookmarkEnd w:id="519"/>
      <w:bookmarkEnd w:id="520"/>
      <w:bookmarkEnd w:id="521"/>
      <w:r>
        <w:rPr>
          <w:rFonts w:hint="eastAsia" w:ascii="宋体" w:hAnsi="宋体" w:eastAsia="宋体"/>
          <w:color w:val="auto"/>
          <w:highlight w:val="none"/>
        </w:rPr>
        <w:t>、法定代表人身份证明</w:t>
      </w:r>
      <w:bookmarkEnd w:id="530"/>
      <w:bookmarkEnd w:id="531"/>
    </w:p>
    <w:p w14:paraId="1E79F8D4">
      <w:pPr>
        <w:spacing w:line="440" w:lineRule="exact"/>
        <w:rPr>
          <w:rFonts w:ascii="宋体" w:hAnsi="宋体"/>
          <w:color w:val="auto"/>
          <w:highlight w:val="none"/>
        </w:rPr>
      </w:pPr>
    </w:p>
    <w:p w14:paraId="47D8CD48">
      <w:pPr>
        <w:spacing w:line="440" w:lineRule="exact"/>
        <w:rPr>
          <w:rFonts w:ascii="宋体" w:hAnsi="宋体"/>
          <w:color w:val="auto"/>
          <w:highlight w:val="none"/>
        </w:rPr>
      </w:pPr>
      <w:r>
        <w:rPr>
          <w:rFonts w:hint="eastAsia" w:ascii="宋体" w:hAnsi="宋体"/>
          <w:color w:val="auto"/>
          <w:highlight w:val="none"/>
        </w:rPr>
        <w:t>投标人名称：</w:t>
      </w:r>
      <w:r>
        <w:rPr>
          <w:rFonts w:ascii="宋体" w:hAnsi="宋体"/>
          <w:color w:val="auto"/>
          <w:highlight w:val="none"/>
          <w:u w:val="single"/>
        </w:rPr>
        <w:t xml:space="preserve">                        </w:t>
      </w:r>
    </w:p>
    <w:p w14:paraId="6AF76F2D">
      <w:pPr>
        <w:spacing w:line="440" w:lineRule="exact"/>
        <w:rPr>
          <w:rFonts w:ascii="宋体" w:hAnsi="宋体"/>
          <w:color w:val="auto"/>
          <w:highlight w:val="none"/>
        </w:rPr>
      </w:pPr>
      <w:r>
        <w:rPr>
          <w:rFonts w:hint="eastAsia" w:ascii="宋体" w:hAnsi="宋体"/>
          <w:color w:val="auto"/>
          <w:highlight w:val="none"/>
        </w:rPr>
        <w:t>姓名：</w:t>
      </w:r>
      <w:r>
        <w:rPr>
          <w:rFonts w:ascii="宋体" w:hAnsi="宋体"/>
          <w:color w:val="auto"/>
          <w:highlight w:val="none"/>
          <w:u w:val="single"/>
        </w:rPr>
        <w:t xml:space="preserve">                </w:t>
      </w:r>
      <w:r>
        <w:rPr>
          <w:rFonts w:hint="eastAsia" w:ascii="宋体" w:hAnsi="宋体"/>
          <w:color w:val="auto"/>
          <w:highlight w:val="none"/>
        </w:rPr>
        <w:t>性别：</w:t>
      </w:r>
      <w:bookmarkStart w:id="532" w:name="_Toc352691662"/>
      <w:bookmarkStart w:id="533" w:name="_Toc27897"/>
      <w:bookmarkStart w:id="534" w:name="_Toc369531698"/>
      <w:r>
        <w:rPr>
          <w:rFonts w:ascii="宋体" w:hAnsi="宋体"/>
          <w:color w:val="auto"/>
          <w:highlight w:val="none"/>
          <w:u w:val="single"/>
        </w:rPr>
        <w:t xml:space="preserve">        </w:t>
      </w:r>
      <w:r>
        <w:rPr>
          <w:rFonts w:hint="eastAsia" w:ascii="宋体" w:hAnsi="宋体"/>
          <w:color w:val="auto"/>
          <w:highlight w:val="none"/>
        </w:rPr>
        <w:t>年</w:t>
      </w:r>
      <w:bookmarkEnd w:id="532"/>
      <w:bookmarkEnd w:id="533"/>
      <w:bookmarkEnd w:id="534"/>
      <w:r>
        <w:rPr>
          <w:rFonts w:hint="eastAsia" w:ascii="宋体" w:hAnsi="宋体"/>
          <w:color w:val="auto"/>
          <w:highlight w:val="none"/>
        </w:rPr>
        <w:t>龄</w:t>
      </w:r>
      <w:bookmarkStart w:id="535" w:name="_Toc352691663"/>
      <w:bookmarkStart w:id="536" w:name="_Toc300835211"/>
      <w:bookmarkStart w:id="537" w:name="_Toc361508754"/>
      <w:bookmarkStart w:id="538" w:name="_Toc152042578"/>
      <w:bookmarkStart w:id="539" w:name="_Toc369531699"/>
      <w:bookmarkStart w:id="540" w:name="_Toc247514248"/>
      <w:bookmarkStart w:id="541" w:name="_Toc152045789"/>
      <w:bookmarkStart w:id="542" w:name="_Toc15573"/>
      <w:bookmarkStart w:id="543" w:name="_Toc247527829"/>
      <w:bookmarkStart w:id="544" w:name="_Toc384308377"/>
      <w:bookmarkStart w:id="545" w:name="_Toc144974858"/>
      <w:r>
        <w:rPr>
          <w:rFonts w:hint="eastAsia" w:ascii="宋体" w:hAnsi="宋体"/>
          <w:color w:val="auto"/>
          <w:highlight w:val="none"/>
        </w:rPr>
        <w:t>：</w:t>
      </w:r>
      <w:bookmarkEnd w:id="535"/>
      <w:bookmarkEnd w:id="536"/>
      <w:bookmarkEnd w:id="537"/>
      <w:bookmarkEnd w:id="538"/>
      <w:bookmarkEnd w:id="539"/>
      <w:bookmarkEnd w:id="540"/>
      <w:bookmarkEnd w:id="541"/>
      <w:bookmarkEnd w:id="542"/>
      <w:bookmarkEnd w:id="543"/>
      <w:bookmarkEnd w:id="544"/>
      <w:bookmarkEnd w:id="545"/>
      <w:r>
        <w:rPr>
          <w:rFonts w:ascii="宋体" w:hAnsi="宋体"/>
          <w:color w:val="auto"/>
          <w:highlight w:val="none"/>
          <w:u w:val="single"/>
        </w:rPr>
        <w:t xml:space="preserve">        </w:t>
      </w:r>
      <w:r>
        <w:rPr>
          <w:rFonts w:hint="eastAsia" w:ascii="宋体" w:hAnsi="宋体"/>
          <w:color w:val="auto"/>
          <w:highlight w:val="none"/>
        </w:rPr>
        <w:t>职务：</w:t>
      </w:r>
      <w:r>
        <w:rPr>
          <w:rFonts w:ascii="宋体" w:hAnsi="宋体"/>
          <w:color w:val="auto"/>
          <w:highlight w:val="none"/>
          <w:u w:val="single"/>
        </w:rPr>
        <w:t xml:space="preserve">        </w:t>
      </w:r>
    </w:p>
    <w:p w14:paraId="672AAC65">
      <w:pPr>
        <w:spacing w:line="440" w:lineRule="exact"/>
        <w:rPr>
          <w:rFonts w:ascii="宋体" w:hAnsi="宋体"/>
          <w:color w:val="auto"/>
          <w:highlight w:val="none"/>
        </w:rPr>
      </w:pPr>
      <w:r>
        <w:rPr>
          <w:rFonts w:hint="eastAsia" w:ascii="宋体" w:hAnsi="宋体"/>
          <w:color w:val="auto"/>
          <w:highlight w:val="none"/>
        </w:rPr>
        <w:t>系</w:t>
      </w:r>
      <w:r>
        <w:rPr>
          <w:rFonts w:ascii="宋体" w:hAnsi="宋体"/>
          <w:color w:val="auto"/>
          <w:highlight w:val="none"/>
          <w:u w:val="single"/>
        </w:rPr>
        <w:t xml:space="preserve">                        </w:t>
      </w:r>
      <w:r>
        <w:rPr>
          <w:rFonts w:hint="eastAsia" w:ascii="宋体" w:hAnsi="宋体"/>
          <w:color w:val="auto"/>
          <w:highlight w:val="none"/>
        </w:rPr>
        <w:t>（投标人名称）的法定代表人。</w:t>
      </w:r>
    </w:p>
    <w:p w14:paraId="3DF6EAC3">
      <w:pPr>
        <w:spacing w:line="440" w:lineRule="exact"/>
        <w:ind w:firstLine="420" w:firstLineChars="200"/>
        <w:rPr>
          <w:rFonts w:ascii="宋体" w:hAnsi="宋体"/>
          <w:color w:val="auto"/>
          <w:highlight w:val="none"/>
        </w:rPr>
      </w:pPr>
      <w:r>
        <w:rPr>
          <w:rFonts w:hint="eastAsia" w:ascii="宋体" w:hAnsi="宋体"/>
          <w:color w:val="auto"/>
          <w:highlight w:val="none"/>
        </w:rPr>
        <w:t>特此证明。</w:t>
      </w:r>
    </w:p>
    <w:p w14:paraId="3AD8FA82">
      <w:pPr>
        <w:spacing w:line="440" w:lineRule="exact"/>
        <w:rPr>
          <w:rFonts w:ascii="宋体" w:hAnsi="宋体"/>
          <w:color w:val="auto"/>
          <w:highlight w:val="none"/>
        </w:rPr>
      </w:pPr>
    </w:p>
    <w:p w14:paraId="166A6540">
      <w:pPr>
        <w:spacing w:line="440" w:lineRule="exact"/>
        <w:rPr>
          <w:rFonts w:ascii="宋体" w:hAnsi="宋体"/>
          <w:color w:val="auto"/>
          <w:highlight w:val="none"/>
        </w:rPr>
      </w:pPr>
      <w:r>
        <w:rPr>
          <w:rFonts w:hint="eastAsia" w:ascii="宋体" w:hAnsi="宋体"/>
          <w:color w:val="auto"/>
          <w:highlight w:val="none"/>
        </w:rPr>
        <w:t>附：法定代表人身份证复印件。</w:t>
      </w:r>
    </w:p>
    <w:p w14:paraId="3D45ABCC">
      <w:pPr>
        <w:spacing w:line="440" w:lineRule="exact"/>
        <w:rPr>
          <w:rFonts w:ascii="宋体" w:hAnsi="宋体"/>
          <w:color w:val="auto"/>
          <w:highlight w:val="none"/>
        </w:rPr>
      </w:pPr>
    </w:p>
    <w:p w14:paraId="33BB1907">
      <w:pPr>
        <w:spacing w:line="440" w:lineRule="exact"/>
        <w:rPr>
          <w:rFonts w:ascii="宋体" w:hAnsi="宋体"/>
          <w:color w:val="auto"/>
          <w:highlight w:val="none"/>
        </w:rPr>
      </w:pPr>
      <w:r>
        <w:rPr>
          <w:rFonts w:hint="eastAsia" w:ascii="宋体" w:hAnsi="宋体"/>
          <w:color w:val="auto"/>
          <w:highlight w:val="none"/>
        </w:rPr>
        <w:t>注：本身份证明需由投标人加盖单位公章。</w:t>
      </w:r>
    </w:p>
    <w:p w14:paraId="15D1B8F2">
      <w:pPr>
        <w:spacing w:line="440" w:lineRule="exact"/>
        <w:rPr>
          <w:rFonts w:ascii="宋体" w:hAnsi="宋体"/>
          <w:color w:val="auto"/>
          <w:highlight w:val="none"/>
        </w:rPr>
      </w:pPr>
    </w:p>
    <w:p w14:paraId="454C4E3D">
      <w:pPr>
        <w:spacing w:line="440" w:lineRule="exact"/>
        <w:rPr>
          <w:rFonts w:ascii="宋体" w:hAnsi="宋体"/>
          <w:color w:val="auto"/>
          <w:highlight w:val="none"/>
        </w:rPr>
      </w:pPr>
    </w:p>
    <w:p w14:paraId="2C56F654">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投标人：</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highlight w:val="none"/>
        </w:rPr>
        <w:t>（盖单位章）</w:t>
      </w:r>
    </w:p>
    <w:p w14:paraId="6E369099">
      <w:pPr>
        <w:spacing w:line="440" w:lineRule="exact"/>
        <w:rPr>
          <w:rFonts w:ascii="宋体" w:hAnsi="宋体"/>
          <w:color w:val="auto"/>
          <w:highlight w:val="none"/>
        </w:rPr>
      </w:pPr>
    </w:p>
    <w:p w14:paraId="6BBD3160">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hint="eastAsia"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rPr>
        <w:t>月</w:t>
      </w:r>
      <w:r>
        <w:rPr>
          <w:rFonts w:ascii="宋体" w:hAnsi="宋体"/>
          <w:color w:val="auto"/>
          <w:highlight w:val="none"/>
          <w:u w:val="single"/>
        </w:rPr>
        <w:t xml:space="preserve">      </w:t>
      </w:r>
      <w:r>
        <w:rPr>
          <w:rFonts w:hint="eastAsia" w:ascii="宋体" w:hAnsi="宋体"/>
          <w:color w:val="auto"/>
          <w:highlight w:val="none"/>
        </w:rPr>
        <w:t>日</w:t>
      </w:r>
    </w:p>
    <w:p w14:paraId="2317EDAB">
      <w:pPr>
        <w:spacing w:line="440" w:lineRule="exact"/>
        <w:rPr>
          <w:rFonts w:ascii="宋体" w:hAnsi="宋体"/>
          <w:color w:val="auto"/>
          <w:sz w:val="20"/>
          <w:highlight w:val="none"/>
        </w:rPr>
      </w:pPr>
    </w:p>
    <w:p w14:paraId="7D6C0201">
      <w:pPr>
        <w:spacing w:line="440" w:lineRule="exact"/>
        <w:rPr>
          <w:rFonts w:ascii="宋体" w:hAnsi="宋体"/>
          <w:color w:val="auto"/>
          <w:sz w:val="20"/>
          <w:highlight w:val="none"/>
        </w:rPr>
      </w:pPr>
      <w:r>
        <w:rPr>
          <w:rFonts w:ascii="宋体" w:hAnsi="宋体"/>
          <w:color w:val="auto"/>
          <w:sz w:val="20"/>
          <w:highlight w:val="none"/>
        </w:rPr>
        <w:br w:type="page"/>
      </w:r>
    </w:p>
    <w:p w14:paraId="16DEFB7A">
      <w:pPr>
        <w:pStyle w:val="3"/>
        <w:jc w:val="center"/>
        <w:rPr>
          <w:rFonts w:ascii="宋体" w:hAnsi="宋体" w:eastAsia="宋体"/>
          <w:color w:val="auto"/>
          <w:highlight w:val="none"/>
        </w:rPr>
      </w:pPr>
      <w:bookmarkStart w:id="546" w:name="_Toc128512540"/>
      <w:bookmarkStart w:id="547" w:name="_Toc23869"/>
      <w:r>
        <w:rPr>
          <w:rFonts w:ascii="宋体" w:hAnsi="宋体" w:eastAsia="宋体"/>
          <w:color w:val="auto"/>
          <w:highlight w:val="none"/>
        </w:rPr>
        <w:t>授权委托</w:t>
      </w:r>
      <w:r>
        <w:rPr>
          <w:rFonts w:hint="eastAsia" w:ascii="宋体" w:hAnsi="宋体" w:eastAsia="宋体"/>
          <w:color w:val="auto"/>
          <w:highlight w:val="none"/>
        </w:rPr>
        <w:t>书</w:t>
      </w:r>
      <w:bookmarkEnd w:id="546"/>
      <w:bookmarkEnd w:id="547"/>
    </w:p>
    <w:p w14:paraId="37E851F9">
      <w:pPr>
        <w:spacing w:line="440" w:lineRule="exact"/>
        <w:rPr>
          <w:rFonts w:ascii="宋体" w:hAnsi="宋体"/>
          <w:color w:val="auto"/>
          <w:highlight w:val="none"/>
        </w:rPr>
      </w:pPr>
    </w:p>
    <w:p w14:paraId="07AE6126">
      <w:pPr>
        <w:topLinePunct/>
        <w:spacing w:line="440" w:lineRule="exact"/>
        <w:ind w:firstLine="420" w:firstLineChars="200"/>
        <w:rPr>
          <w:rFonts w:ascii="宋体" w:hAnsi="宋体"/>
          <w:color w:val="auto"/>
          <w:highlight w:val="none"/>
        </w:rPr>
      </w:pPr>
      <w:r>
        <w:rPr>
          <w:rFonts w:hint="eastAsia" w:ascii="宋体" w:hAnsi="宋体"/>
          <w:color w:val="auto"/>
          <w:highlight w:val="none"/>
        </w:rPr>
        <w:t>本人</w:t>
      </w:r>
      <w:r>
        <w:rPr>
          <w:rFonts w:ascii="宋体" w:hAnsi="宋体"/>
          <w:color w:val="auto"/>
          <w:highlight w:val="none"/>
          <w:u w:val="single"/>
        </w:rPr>
        <w:t xml:space="preserve">              </w:t>
      </w:r>
      <w:r>
        <w:rPr>
          <w:rFonts w:hint="eastAsia" w:ascii="宋体" w:hAnsi="宋体"/>
          <w:color w:val="auto"/>
          <w:highlight w:val="none"/>
        </w:rPr>
        <w:t>（姓名）系</w:t>
      </w:r>
      <w:r>
        <w:rPr>
          <w:rFonts w:ascii="宋体" w:hAnsi="宋体"/>
          <w:color w:val="auto"/>
          <w:highlight w:val="none"/>
          <w:u w:val="single"/>
        </w:rPr>
        <w:t xml:space="preserve">                    </w:t>
      </w:r>
      <w:r>
        <w:rPr>
          <w:rFonts w:hint="eastAsia" w:ascii="宋体" w:hAnsi="宋体"/>
          <w:color w:val="auto"/>
          <w:highlight w:val="none"/>
        </w:rPr>
        <w:t>（投标人名称）的法定代表人，现委托</w:t>
      </w:r>
      <w:r>
        <w:rPr>
          <w:rFonts w:ascii="宋体" w:hAnsi="宋体"/>
          <w:color w:val="auto"/>
          <w:highlight w:val="none"/>
          <w:u w:val="single"/>
        </w:rPr>
        <w:t xml:space="preserve">            </w:t>
      </w:r>
      <w:r>
        <w:rPr>
          <w:rFonts w:hint="eastAsia" w:ascii="宋体" w:hAnsi="宋体"/>
          <w:color w:val="auto"/>
          <w:highlight w:val="none"/>
        </w:rPr>
        <w:t>（姓名）为我方代理人。代理人根据授权，以我方名义签署、澄清确认、递交、撤回、修改本招标项目投标文件、签订合同和处理有关事宜，其法律后果由我方承担。</w:t>
      </w:r>
    </w:p>
    <w:p w14:paraId="55A88A6E">
      <w:pPr>
        <w:spacing w:line="440" w:lineRule="exact"/>
        <w:rPr>
          <w:rFonts w:ascii="宋体" w:hAnsi="宋体"/>
          <w:color w:val="auto"/>
          <w:highlight w:val="none"/>
        </w:rPr>
      </w:pPr>
      <w:r>
        <w:rPr>
          <w:rFonts w:hint="eastAsia" w:ascii="宋体" w:hAnsi="宋体"/>
          <w:color w:val="auto"/>
          <w:highlight w:val="none"/>
        </w:rPr>
        <w:t>委托期限：</w:t>
      </w:r>
      <w:r>
        <w:rPr>
          <w:rFonts w:ascii="宋体" w:hAnsi="宋体"/>
          <w:color w:val="auto"/>
          <w:highlight w:val="none"/>
          <w:u w:val="single"/>
        </w:rPr>
        <w:t xml:space="preserve">                       </w:t>
      </w:r>
      <w:r>
        <w:rPr>
          <w:rFonts w:hint="eastAsia" w:ascii="宋体" w:hAnsi="宋体"/>
          <w:color w:val="auto"/>
          <w:highlight w:val="none"/>
        </w:rPr>
        <w:t>。</w:t>
      </w:r>
    </w:p>
    <w:p w14:paraId="1233EAAE">
      <w:pPr>
        <w:spacing w:line="440" w:lineRule="exact"/>
        <w:ind w:firstLine="420" w:firstLineChars="200"/>
        <w:rPr>
          <w:rFonts w:ascii="宋体" w:hAnsi="宋体"/>
          <w:color w:val="auto"/>
          <w:highlight w:val="none"/>
        </w:rPr>
      </w:pPr>
      <w:r>
        <w:rPr>
          <w:rFonts w:hint="eastAsia" w:ascii="宋体" w:hAnsi="宋体"/>
          <w:color w:val="auto"/>
          <w:highlight w:val="none"/>
        </w:rPr>
        <w:t>代理人无转委托权。</w:t>
      </w:r>
    </w:p>
    <w:p w14:paraId="7284C295">
      <w:pPr>
        <w:spacing w:line="440" w:lineRule="exact"/>
        <w:ind w:firstLine="420" w:firstLineChars="200"/>
        <w:rPr>
          <w:rFonts w:ascii="宋体" w:hAnsi="宋体"/>
          <w:color w:val="auto"/>
          <w:highlight w:val="none"/>
        </w:rPr>
      </w:pPr>
    </w:p>
    <w:p w14:paraId="42AADD06">
      <w:pPr>
        <w:spacing w:line="440" w:lineRule="exact"/>
        <w:rPr>
          <w:rFonts w:ascii="宋体" w:hAnsi="宋体"/>
          <w:color w:val="auto"/>
          <w:highlight w:val="none"/>
        </w:rPr>
      </w:pPr>
      <w:r>
        <w:rPr>
          <w:rFonts w:hint="eastAsia" w:ascii="宋体" w:hAnsi="宋体"/>
          <w:color w:val="auto"/>
          <w:highlight w:val="none"/>
        </w:rPr>
        <w:t>附：法定代表人身份证复印件及委托代理人身份证复印件</w:t>
      </w:r>
    </w:p>
    <w:p w14:paraId="29604FCA">
      <w:pPr>
        <w:spacing w:line="440" w:lineRule="exact"/>
        <w:rPr>
          <w:rFonts w:ascii="宋体" w:hAnsi="宋体"/>
          <w:color w:val="auto"/>
          <w:highlight w:val="none"/>
        </w:rPr>
      </w:pPr>
    </w:p>
    <w:p w14:paraId="045752B7">
      <w:pPr>
        <w:spacing w:line="440" w:lineRule="exact"/>
        <w:rPr>
          <w:rFonts w:ascii="宋体" w:hAnsi="宋体"/>
          <w:color w:val="auto"/>
          <w:highlight w:val="none"/>
        </w:rPr>
      </w:pPr>
      <w:r>
        <w:rPr>
          <w:rFonts w:hint="eastAsia" w:ascii="宋体" w:hAnsi="宋体"/>
          <w:color w:val="auto"/>
          <w:highlight w:val="none"/>
        </w:rPr>
        <w:t>注：本授权委托书需由投标人加盖单位公章并由其法定代表人和委托代理人签署。法定代表人授权书仅限于法定代表人委托代理人参与投标相关事项的情况下提供</w:t>
      </w:r>
    </w:p>
    <w:p w14:paraId="6156E37D">
      <w:pPr>
        <w:spacing w:line="440" w:lineRule="exact"/>
        <w:rPr>
          <w:rFonts w:ascii="宋体" w:hAnsi="宋体"/>
          <w:color w:val="auto"/>
          <w:highlight w:val="none"/>
        </w:rPr>
      </w:pPr>
    </w:p>
    <w:p w14:paraId="6A83876A">
      <w:pPr>
        <w:spacing w:line="440" w:lineRule="exact"/>
        <w:rPr>
          <w:rFonts w:ascii="宋体" w:hAnsi="宋体"/>
          <w:color w:val="auto"/>
          <w:highlight w:val="none"/>
        </w:rPr>
      </w:pPr>
    </w:p>
    <w:p w14:paraId="08DEE353">
      <w:pPr>
        <w:spacing w:line="440" w:lineRule="exact"/>
        <w:ind w:firstLine="2692" w:firstLineChars="1282"/>
        <w:rPr>
          <w:rFonts w:ascii="宋体" w:hAnsi="宋体"/>
          <w:color w:val="auto"/>
          <w:highlight w:val="none"/>
        </w:rPr>
      </w:pPr>
      <w:r>
        <w:rPr>
          <w:rFonts w:ascii="宋体" w:hAnsi="宋体"/>
          <w:color w:val="auto"/>
          <w:highlight w:val="none"/>
        </w:rPr>
        <w:t>投  标  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章</w:t>
      </w:r>
      <w:r>
        <w:rPr>
          <w:rFonts w:ascii="宋体" w:hAnsi="宋体"/>
          <w:color w:val="auto"/>
          <w:highlight w:val="none"/>
        </w:rPr>
        <w:t>）</w:t>
      </w:r>
    </w:p>
    <w:p w14:paraId="7B4A7F41">
      <w:pPr>
        <w:spacing w:line="440" w:lineRule="exact"/>
        <w:ind w:firstLine="2692" w:firstLineChars="1282"/>
        <w:rPr>
          <w:rFonts w:ascii="宋体" w:hAnsi="宋体"/>
          <w:color w:val="auto"/>
          <w:highlight w:val="none"/>
        </w:rPr>
      </w:pPr>
    </w:p>
    <w:p w14:paraId="49FD58E8">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（签字</w:t>
      </w:r>
      <w:r>
        <w:rPr>
          <w:rFonts w:hint="eastAsia" w:ascii="宋体" w:hAnsi="宋体"/>
          <w:color w:val="auto"/>
          <w:highlight w:val="none"/>
        </w:rPr>
        <w:t>或盖章</w:t>
      </w:r>
      <w:r>
        <w:rPr>
          <w:rFonts w:ascii="宋体" w:hAnsi="宋体"/>
          <w:color w:val="auto"/>
          <w:highlight w:val="none"/>
        </w:rPr>
        <w:t>）</w:t>
      </w:r>
    </w:p>
    <w:p w14:paraId="6B0BEFED">
      <w:pPr>
        <w:spacing w:line="440" w:lineRule="exact"/>
        <w:ind w:firstLine="2692" w:firstLineChars="1282"/>
        <w:rPr>
          <w:rFonts w:ascii="宋体" w:hAnsi="宋体"/>
          <w:color w:val="auto"/>
          <w:highlight w:val="none"/>
        </w:rPr>
      </w:pPr>
    </w:p>
    <w:p w14:paraId="6D68D8F6">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48B84129">
      <w:pPr>
        <w:spacing w:line="440" w:lineRule="exact"/>
        <w:ind w:firstLine="2692" w:firstLineChars="1282"/>
        <w:rPr>
          <w:rFonts w:ascii="宋体" w:hAnsi="宋体"/>
          <w:color w:val="auto"/>
          <w:highlight w:val="none"/>
        </w:rPr>
      </w:pPr>
    </w:p>
    <w:p w14:paraId="1E9BF699">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（签字</w:t>
      </w:r>
      <w:r>
        <w:rPr>
          <w:rFonts w:hint="eastAsia" w:ascii="宋体" w:hAnsi="宋体"/>
          <w:color w:val="auto"/>
          <w:highlight w:val="none"/>
        </w:rPr>
        <w:t>或盖章</w:t>
      </w:r>
      <w:r>
        <w:rPr>
          <w:rFonts w:ascii="宋体" w:hAnsi="宋体"/>
          <w:color w:val="auto"/>
          <w:highlight w:val="none"/>
        </w:rPr>
        <w:t>）</w:t>
      </w:r>
    </w:p>
    <w:p w14:paraId="0F36CAFE">
      <w:pPr>
        <w:spacing w:line="440" w:lineRule="exact"/>
        <w:ind w:firstLine="2692" w:firstLineChars="1282"/>
        <w:rPr>
          <w:rFonts w:ascii="宋体" w:hAnsi="宋体"/>
          <w:color w:val="auto"/>
          <w:highlight w:val="none"/>
        </w:rPr>
      </w:pPr>
    </w:p>
    <w:p w14:paraId="152B25C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2235B3BB">
      <w:pPr>
        <w:spacing w:line="440" w:lineRule="exact"/>
        <w:ind w:firstLine="2692" w:firstLineChars="1282"/>
        <w:rPr>
          <w:rFonts w:ascii="宋体" w:hAnsi="宋体"/>
          <w:color w:val="auto"/>
          <w:highlight w:val="none"/>
        </w:rPr>
      </w:pPr>
    </w:p>
    <w:p w14:paraId="6D1FBD69">
      <w:pPr>
        <w:ind w:firstLine="2940" w:firstLineChars="1400"/>
        <w:rPr>
          <w:rFonts w:ascii="宋体" w:hAnsi="宋体"/>
          <w:color w:val="auto"/>
          <w:highlight w:val="none"/>
        </w:rPr>
      </w:pPr>
      <w:r>
        <w:rPr>
          <w:rFonts w:ascii="宋体" w:hAnsi="宋体"/>
          <w:color w:val="auto"/>
          <w:highlight w:val="none"/>
          <w:u w:val="single"/>
        </w:rPr>
        <w:t xml:space="preserve">       </w:t>
      </w:r>
      <w:r>
        <w:rPr>
          <w:rFonts w:hint="eastAsia"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rPr>
        <w:t>月</w:t>
      </w:r>
      <w:r>
        <w:rPr>
          <w:rFonts w:ascii="宋体" w:hAnsi="宋体"/>
          <w:color w:val="auto"/>
          <w:highlight w:val="none"/>
          <w:u w:val="single"/>
        </w:rPr>
        <w:t xml:space="preserve">       </w:t>
      </w:r>
      <w:r>
        <w:rPr>
          <w:rFonts w:hint="eastAsia" w:ascii="宋体" w:hAnsi="宋体"/>
          <w:color w:val="auto"/>
          <w:highlight w:val="none"/>
        </w:rPr>
        <w:t>日</w:t>
      </w:r>
    </w:p>
    <w:p w14:paraId="5130E360">
      <w:pPr>
        <w:spacing w:line="440" w:lineRule="exact"/>
        <w:ind w:firstLine="4057" w:firstLineChars="1932"/>
        <w:jc w:val="right"/>
        <w:rPr>
          <w:rFonts w:ascii="宋体" w:hAnsi="宋体"/>
          <w:color w:val="auto"/>
          <w:highlight w:val="none"/>
        </w:rPr>
      </w:pPr>
    </w:p>
    <w:p w14:paraId="74460B3D">
      <w:pPr>
        <w:pStyle w:val="12"/>
        <w:rPr>
          <w:color w:val="auto"/>
          <w:highlight w:val="none"/>
        </w:rPr>
      </w:pPr>
    </w:p>
    <w:p w14:paraId="2417ED43">
      <w:pPr>
        <w:pStyle w:val="12"/>
        <w:rPr>
          <w:color w:val="auto"/>
          <w:highlight w:val="none"/>
        </w:rPr>
      </w:pPr>
    </w:p>
    <w:p w14:paraId="7D582221">
      <w:pPr>
        <w:pStyle w:val="12"/>
        <w:rPr>
          <w:color w:val="auto"/>
          <w:highlight w:val="none"/>
        </w:rPr>
      </w:pPr>
    </w:p>
    <w:p w14:paraId="058E8F86">
      <w:pPr>
        <w:pStyle w:val="12"/>
        <w:rPr>
          <w:color w:val="auto"/>
          <w:highlight w:val="none"/>
        </w:rPr>
      </w:pPr>
      <w:bookmarkStart w:id="548" w:name="_Toc128512541"/>
      <w:bookmarkStart w:id="549" w:name="_Toc535938756"/>
      <w:bookmarkStart w:id="550" w:name="_Toc529196605"/>
      <w:bookmarkStart w:id="551" w:name="_Toc530470648"/>
    </w:p>
    <w:bookmarkEnd w:id="548"/>
    <w:bookmarkEnd w:id="549"/>
    <w:bookmarkEnd w:id="550"/>
    <w:bookmarkEnd w:id="551"/>
    <w:p w14:paraId="0FBB5AFD">
      <w:pPr>
        <w:widowControl/>
        <w:jc w:val="left"/>
        <w:rPr>
          <w:rFonts w:ascii="宋体" w:hAnsi="宋体"/>
          <w:color w:val="auto"/>
          <w:highlight w:val="none"/>
        </w:rPr>
        <w:sectPr>
          <w:pgSz w:w="12240" w:h="15840"/>
          <w:pgMar w:top="1134" w:right="1418" w:bottom="1134" w:left="1418" w:header="720" w:footer="720" w:gutter="0"/>
          <w:cols w:space="720" w:num="1"/>
          <w:docGrid w:linePitch="285" w:charSpace="0"/>
        </w:sectPr>
      </w:pPr>
    </w:p>
    <w:p w14:paraId="75DFBDCB">
      <w:pPr>
        <w:pStyle w:val="3"/>
        <w:jc w:val="center"/>
        <w:rPr>
          <w:rFonts w:ascii="宋体" w:hAnsi="宋体" w:eastAsia="宋体"/>
          <w:color w:val="auto"/>
          <w:highlight w:val="none"/>
        </w:rPr>
      </w:pPr>
      <w:bookmarkStart w:id="552" w:name="_Toc128512542"/>
      <w:bookmarkStart w:id="553" w:name="_Toc26035"/>
      <w:r>
        <w:rPr>
          <w:rFonts w:hint="eastAsia" w:ascii="宋体" w:hAnsi="宋体" w:eastAsia="宋体"/>
          <w:color w:val="auto"/>
          <w:highlight w:val="none"/>
        </w:rPr>
        <w:t>三</w:t>
      </w:r>
      <w:r>
        <w:rPr>
          <w:rFonts w:ascii="宋体" w:hAnsi="宋体" w:eastAsia="宋体"/>
          <w:color w:val="auto"/>
          <w:highlight w:val="none"/>
        </w:rPr>
        <w:t>、</w:t>
      </w:r>
      <w:bookmarkEnd w:id="552"/>
      <w:bookmarkEnd w:id="553"/>
      <w:bookmarkStart w:id="554" w:name="_Toc361508760"/>
      <w:r>
        <w:rPr>
          <w:rFonts w:hint="eastAsia" w:ascii="宋体" w:hAnsi="宋体" w:eastAsia="宋体"/>
          <w:color w:val="auto"/>
          <w:highlight w:val="none"/>
        </w:rPr>
        <w:t>报价清单</w:t>
      </w:r>
    </w:p>
    <w:p w14:paraId="3CBC8A8E">
      <w:pPr>
        <w:spacing w:line="360" w:lineRule="auto"/>
        <w:ind w:left="2409" w:hanging="2409" w:hangingChars="800"/>
        <w:jc w:val="center"/>
        <w:rPr>
          <w:rFonts w:ascii="宋体" w:hAnsi="宋体"/>
          <w:b/>
          <w:color w:val="auto"/>
          <w:sz w:val="30"/>
          <w:szCs w:val="30"/>
          <w:highlight w:val="none"/>
        </w:rPr>
      </w:pPr>
      <w:r>
        <w:rPr>
          <w:rFonts w:hint="eastAsia" w:ascii="宋体" w:hAnsi="宋体"/>
          <w:b/>
          <w:color w:val="auto"/>
          <w:sz w:val="30"/>
          <w:szCs w:val="30"/>
          <w:highlight w:val="none"/>
        </w:rPr>
        <w:t>（一）报价清单</w:t>
      </w:r>
    </w:p>
    <w:p w14:paraId="79884C42">
      <w:pPr>
        <w:spacing w:line="480" w:lineRule="auto"/>
        <w:rPr>
          <w:rFonts w:ascii="Times New Roman" w:hAnsi="Times New Roman" w:cs="宋体"/>
          <w:color w:val="auto"/>
          <w:highlight w:val="none"/>
          <w:u w:val="single"/>
        </w:rPr>
      </w:pPr>
      <w:r>
        <w:rPr>
          <w:rFonts w:hint="eastAsia" w:ascii="Times New Roman" w:hAnsi="Times New Roman" w:cs="宋体"/>
          <w:color w:val="auto"/>
          <w:highlight w:val="none"/>
        </w:rPr>
        <w:t>工程项目名称：</w:t>
      </w:r>
      <w:r>
        <w:rPr>
          <w:rFonts w:hint="eastAsia" w:ascii="Times New Roman" w:hAnsi="Times New Roman" w:cs="宋体"/>
          <w:color w:val="auto"/>
          <w:highlight w:val="none"/>
          <w:u w:val="single"/>
        </w:rPr>
        <w:t>2025年广州国际灯光节作品创意策划及执行团队服务项目</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168"/>
        <w:gridCol w:w="3136"/>
        <w:gridCol w:w="1896"/>
        <w:gridCol w:w="1459"/>
      </w:tblGrid>
      <w:tr w14:paraId="27D9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08" w:type="dxa"/>
            <w:vAlign w:val="center"/>
          </w:tcPr>
          <w:p w14:paraId="4057FDBC">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Times New Roman" w:hAnsi="Times New Roman" w:cs="宋体"/>
                <w:color w:val="auto"/>
                <w:highlight w:val="none"/>
              </w:rPr>
              <w:t>序号</w:t>
            </w:r>
          </w:p>
        </w:tc>
        <w:tc>
          <w:tcPr>
            <w:tcW w:w="2168" w:type="dxa"/>
            <w:vAlign w:val="center"/>
          </w:tcPr>
          <w:p w14:paraId="4C091DD5">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Times New Roman" w:hAnsi="Times New Roman" w:cs="宋体"/>
                <w:color w:val="auto"/>
                <w:spacing w:val="-11"/>
                <w:highlight w:val="none"/>
              </w:rPr>
              <w:t>项目名称</w:t>
            </w:r>
          </w:p>
        </w:tc>
        <w:tc>
          <w:tcPr>
            <w:tcW w:w="3136" w:type="dxa"/>
            <w:vAlign w:val="center"/>
          </w:tcPr>
          <w:p w14:paraId="24FCCCED">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Times New Roman" w:hAnsi="Times New Roman" w:cs="宋体"/>
                <w:color w:val="auto"/>
                <w:spacing w:val="2"/>
                <w:highlight w:val="none"/>
              </w:rPr>
              <w:t>具体内容</w:t>
            </w:r>
          </w:p>
        </w:tc>
        <w:tc>
          <w:tcPr>
            <w:tcW w:w="1896" w:type="dxa"/>
            <w:vAlign w:val="center"/>
          </w:tcPr>
          <w:p w14:paraId="5FD717E0">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Times New Roman" w:hAnsi="Times New Roman" w:cs="宋体"/>
                <w:color w:val="auto"/>
                <w:spacing w:val="1"/>
                <w:highlight w:val="none"/>
              </w:rPr>
              <w:t>投标报价</w:t>
            </w:r>
          </w:p>
          <w:p w14:paraId="40D7D231">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Times New Roman" w:hAnsi="Times New Roman" w:cs="宋体"/>
                <w:color w:val="auto"/>
                <w:highlight w:val="none"/>
              </w:rPr>
              <w:t>(元)</w:t>
            </w:r>
          </w:p>
        </w:tc>
        <w:tc>
          <w:tcPr>
            <w:tcW w:w="1459" w:type="dxa"/>
            <w:vAlign w:val="center"/>
          </w:tcPr>
          <w:p w14:paraId="528CE914">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Times New Roman" w:hAnsi="Times New Roman" w:cs="宋体"/>
                <w:color w:val="auto"/>
                <w:highlight w:val="none"/>
              </w:rPr>
              <w:t>备注</w:t>
            </w:r>
          </w:p>
        </w:tc>
      </w:tr>
      <w:tr w14:paraId="392A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08" w:type="dxa"/>
            <w:vAlign w:val="center"/>
          </w:tcPr>
          <w:p w14:paraId="33BAAFAF">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Times New Roman" w:hAnsi="Times New Roman" w:cs="宋体"/>
                <w:color w:val="auto"/>
                <w:highlight w:val="none"/>
              </w:rPr>
              <w:t>1</w:t>
            </w:r>
          </w:p>
        </w:tc>
        <w:tc>
          <w:tcPr>
            <w:tcW w:w="2168" w:type="dxa"/>
            <w:vAlign w:val="center"/>
          </w:tcPr>
          <w:p w14:paraId="26F0D719">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Times New Roman" w:hAnsi="Times New Roman" w:cs="宋体"/>
                <w:color w:val="auto"/>
                <w:highlight w:val="none"/>
              </w:rPr>
              <w:t>2025年广州国际灯光节作品创意策划及执行团队服务项目</w:t>
            </w:r>
          </w:p>
        </w:tc>
        <w:tc>
          <w:tcPr>
            <w:tcW w:w="3136" w:type="dxa"/>
            <w:vAlign w:val="center"/>
          </w:tcPr>
          <w:p w14:paraId="4F4322E7">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Times New Roman" w:hAnsi="Times New Roman" w:cs="宋体"/>
                <w:color w:val="auto"/>
                <w:highlight w:val="none"/>
              </w:rPr>
              <w:t>2025年广州国际灯光节作品创意策划及执行团队服务</w:t>
            </w:r>
          </w:p>
        </w:tc>
        <w:tc>
          <w:tcPr>
            <w:tcW w:w="1896" w:type="dxa"/>
            <w:vAlign w:val="center"/>
          </w:tcPr>
          <w:p w14:paraId="308699DB">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p>
        </w:tc>
        <w:tc>
          <w:tcPr>
            <w:tcW w:w="1459" w:type="dxa"/>
            <w:vAlign w:val="center"/>
          </w:tcPr>
          <w:p w14:paraId="4C92296F">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p>
        </w:tc>
      </w:tr>
      <w:tr w14:paraId="19F4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76" w:type="dxa"/>
            <w:gridSpan w:val="2"/>
            <w:vAlign w:val="center"/>
          </w:tcPr>
          <w:p w14:paraId="17732521">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宋体" w:hAnsi="宋体"/>
                <w:color w:val="auto"/>
                <w:szCs w:val="21"/>
                <w:highlight w:val="none"/>
              </w:rPr>
              <w:t>服务</w:t>
            </w:r>
            <w:r>
              <w:rPr>
                <w:rFonts w:hint="default" w:ascii="宋体" w:hAnsi="宋体"/>
                <w:color w:val="auto"/>
                <w:szCs w:val="21"/>
                <w:highlight w:val="none"/>
              </w:rPr>
              <w:t>期限</w:t>
            </w:r>
          </w:p>
        </w:tc>
        <w:tc>
          <w:tcPr>
            <w:tcW w:w="6491" w:type="dxa"/>
            <w:gridSpan w:val="3"/>
            <w:vAlign w:val="center"/>
          </w:tcPr>
          <w:p w14:paraId="6ABF1E1C">
            <w:pPr>
              <w:keepNext w:val="0"/>
              <w:keepLines w:val="0"/>
              <w:suppressLineNumbers w:val="0"/>
              <w:spacing w:before="0" w:beforeAutospacing="0" w:after="0" w:afterAutospacing="0"/>
              <w:ind w:left="0" w:right="0"/>
              <w:jc w:val="center"/>
              <w:rPr>
                <w:rFonts w:hint="default" w:ascii="Times New Roman" w:hAnsi="Times New Roman" w:cs="宋体"/>
                <w:color w:val="auto"/>
                <w:highlight w:val="none"/>
              </w:rPr>
            </w:pPr>
            <w:r>
              <w:rPr>
                <w:rFonts w:hint="eastAsia" w:ascii="宋体" w:hAnsi="宋体"/>
                <w:color w:val="auto"/>
                <w:szCs w:val="21"/>
                <w:highlight w:val="none"/>
              </w:rPr>
              <w:t>完全响应招标文件相关要求</w:t>
            </w:r>
          </w:p>
        </w:tc>
      </w:tr>
      <w:tr w14:paraId="362C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trPr>
        <w:tc>
          <w:tcPr>
            <w:tcW w:w="9467" w:type="dxa"/>
            <w:gridSpan w:val="5"/>
            <w:vAlign w:val="center"/>
          </w:tcPr>
          <w:p w14:paraId="24233D3F">
            <w:pPr>
              <w:keepNext w:val="0"/>
              <w:keepLines w:val="0"/>
              <w:suppressLineNumbers w:val="0"/>
              <w:snapToGrid w:val="0"/>
              <w:spacing w:before="0" w:beforeAutospacing="0" w:after="0" w:afterAutospacing="0" w:line="480" w:lineRule="auto"/>
              <w:ind w:left="0" w:right="0"/>
              <w:jc w:val="left"/>
              <w:rPr>
                <w:rFonts w:hint="default" w:ascii="宋体" w:hAnsi="宋体"/>
                <w:color w:val="auto"/>
                <w:sz w:val="24"/>
                <w:highlight w:val="none"/>
                <w:u w:val="single"/>
              </w:rPr>
            </w:pPr>
            <w:r>
              <w:rPr>
                <w:rFonts w:hint="eastAsia" w:ascii="宋体" w:hAnsi="宋体"/>
                <w:color w:val="auto"/>
                <w:sz w:val="24"/>
                <w:highlight w:val="none"/>
                <w:u w:val="single"/>
              </w:rPr>
              <w:t>备注：1.投标人结合招标文件规定自行报价（小数点后保留二位有效数字，第三位小数四舍五入）。</w:t>
            </w:r>
          </w:p>
          <w:p w14:paraId="740C0B6E">
            <w:pPr>
              <w:keepNext w:val="0"/>
              <w:keepLines w:val="0"/>
              <w:suppressLineNumbers w:val="0"/>
              <w:snapToGrid w:val="0"/>
              <w:spacing w:before="0" w:beforeAutospacing="0" w:after="0" w:afterAutospacing="0" w:line="480" w:lineRule="auto"/>
              <w:ind w:left="0" w:right="0"/>
              <w:jc w:val="left"/>
              <w:rPr>
                <w:rFonts w:hint="default" w:ascii="Times New Roman" w:hAnsi="Times New Roman" w:cs="宋体"/>
                <w:color w:val="auto"/>
                <w:highlight w:val="none"/>
              </w:rPr>
            </w:pPr>
            <w:r>
              <w:rPr>
                <w:rFonts w:hint="eastAsia" w:ascii="宋体" w:hAnsi="宋体"/>
                <w:color w:val="auto"/>
                <w:sz w:val="24"/>
                <w:highlight w:val="none"/>
                <w:u w:val="single"/>
              </w:rPr>
              <w:t>2.投标人的投标报价不得超过本项目的最高投标限价，投标报价超过招标控制价的投标文件将被否决。</w:t>
            </w:r>
          </w:p>
        </w:tc>
      </w:tr>
    </w:tbl>
    <w:p w14:paraId="3720E44E">
      <w:pPr>
        <w:rPr>
          <w:rFonts w:ascii="Times New Roman" w:hAnsi="Times New Roman"/>
          <w:color w:val="auto"/>
          <w:highlight w:val="none"/>
        </w:rPr>
      </w:pPr>
    </w:p>
    <w:p w14:paraId="4CE59B66">
      <w:pPr>
        <w:jc w:val="center"/>
        <w:rPr>
          <w:rFonts w:ascii="Times New Roman" w:hAnsi="Times New Roman"/>
          <w:color w:val="auto"/>
          <w:highlight w:val="none"/>
        </w:rPr>
      </w:pPr>
    </w:p>
    <w:p w14:paraId="739AE939">
      <w:pPr>
        <w:jc w:val="center"/>
        <w:rPr>
          <w:rFonts w:ascii="Times New Roman" w:hAnsi="Times New Roman"/>
          <w:color w:val="auto"/>
          <w:highlight w:val="none"/>
        </w:rPr>
      </w:pPr>
    </w:p>
    <w:p w14:paraId="52C2BC9B">
      <w:pPr>
        <w:spacing w:line="440" w:lineRule="exact"/>
        <w:ind w:firstLine="3360" w:firstLineChars="1600"/>
        <w:jc w:val="lef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36FD9621">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w:t>
      </w:r>
      <w:r>
        <w:rPr>
          <w:rFonts w:hint="eastAsia" w:ascii="Times New Roman" w:hAnsi="Times New Roman"/>
          <w:color w:val="auto"/>
          <w:highlight w:val="none"/>
        </w:rPr>
        <w:t xml:space="preserve">               </w:t>
      </w:r>
      <w:r>
        <w:rPr>
          <w:rFonts w:ascii="Times New Roman" w:hAnsi="Times New Roman"/>
          <w:color w:val="auto"/>
          <w:highlight w:val="none"/>
        </w:rPr>
        <w:t>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szCs w:val="21"/>
          <w:highlight w:val="none"/>
        </w:rPr>
        <w:t>）</w:t>
      </w:r>
    </w:p>
    <w:p w14:paraId="77DC20D4">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14:paraId="301DBBE1">
      <w:pPr>
        <w:rPr>
          <w:color w:val="auto"/>
          <w:highlight w:val="none"/>
        </w:rPr>
      </w:pPr>
      <w:r>
        <w:rPr>
          <w:color w:val="auto"/>
          <w:highlight w:val="none"/>
        </w:rPr>
        <w:br w:type="page"/>
      </w:r>
    </w:p>
    <w:p w14:paraId="62F51BF2">
      <w:pPr>
        <w:rPr>
          <w:color w:val="auto"/>
          <w:highlight w:val="none"/>
        </w:rPr>
      </w:pPr>
    </w:p>
    <w:p w14:paraId="75103EBD">
      <w:pPr>
        <w:numPr>
          <w:ilvl w:val="0"/>
          <w:numId w:val="2"/>
        </w:numPr>
        <w:spacing w:line="360" w:lineRule="auto"/>
        <w:ind w:left="2409" w:hanging="2409" w:hangingChars="800"/>
        <w:jc w:val="center"/>
        <w:rPr>
          <w:rFonts w:ascii="宋体" w:hAnsi="宋体"/>
          <w:b/>
          <w:color w:val="auto"/>
          <w:sz w:val="30"/>
          <w:szCs w:val="30"/>
          <w:highlight w:val="none"/>
        </w:rPr>
      </w:pPr>
      <w:r>
        <w:rPr>
          <w:rFonts w:hint="eastAsia" w:ascii="宋体" w:hAnsi="宋体"/>
          <w:b/>
          <w:color w:val="auto"/>
          <w:sz w:val="30"/>
          <w:szCs w:val="30"/>
          <w:highlight w:val="none"/>
        </w:rPr>
        <w:t>报价清单明细表</w:t>
      </w:r>
    </w:p>
    <w:p w14:paraId="0990B418">
      <w:pPr>
        <w:spacing w:line="360" w:lineRule="auto"/>
        <w:ind w:left="-1680" w:leftChars="-800"/>
        <w:rPr>
          <w:rFonts w:ascii="宋体" w:hAnsi="宋体"/>
          <w:b/>
          <w:color w:val="auto"/>
          <w:sz w:val="30"/>
          <w:szCs w:val="30"/>
          <w:highlight w:val="none"/>
        </w:rPr>
      </w:pPr>
    </w:p>
    <w:p w14:paraId="21104C5E">
      <w:pPr>
        <w:rPr>
          <w:color w:val="auto"/>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7"/>
        <w:gridCol w:w="2523"/>
        <w:gridCol w:w="2932"/>
        <w:gridCol w:w="1933"/>
        <w:gridCol w:w="1466"/>
      </w:tblGrid>
      <w:tr w14:paraId="5995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4143DE6B">
            <w:pPr>
              <w:keepNext w:val="0"/>
              <w:keepLines w:val="0"/>
              <w:widowControl/>
              <w:suppressLineNumbers w:val="0"/>
              <w:spacing w:before="0" w:beforeAutospacing="0" w:after="0" w:afterAutospacing="0"/>
              <w:ind w:left="0" w:right="0"/>
              <w:jc w:val="center"/>
              <w:rPr>
                <w:rFonts w:hint="eastAsia" w:ascii="Times New Roman" w:hAnsi="Times New Roman" w:cs="宋体"/>
                <w:b/>
                <w:bCs/>
                <w:color w:val="auto"/>
                <w:sz w:val="21"/>
                <w:szCs w:val="22"/>
                <w:highlight w:val="none"/>
                <w:lang w:val="en-US"/>
              </w:rPr>
            </w:pPr>
            <w:r>
              <w:rPr>
                <w:rFonts w:hint="eastAsia" w:ascii="Times New Roman" w:hAnsi="Times New Roman" w:eastAsia="宋体" w:cs="宋体"/>
                <w:b/>
                <w:bCs/>
                <w:color w:val="auto"/>
                <w:kern w:val="2"/>
                <w:sz w:val="21"/>
                <w:szCs w:val="22"/>
                <w:highlight w:val="none"/>
                <w:lang w:val="en-US" w:eastAsia="zh-CN" w:bidi="ar"/>
              </w:rPr>
              <w:t>序号</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14:paraId="77124189">
            <w:pPr>
              <w:keepNext w:val="0"/>
              <w:keepLines w:val="0"/>
              <w:widowControl/>
              <w:suppressLineNumbers w:val="0"/>
              <w:spacing w:before="0" w:beforeAutospacing="0" w:after="0" w:afterAutospacing="0"/>
              <w:ind w:left="0" w:right="0"/>
              <w:jc w:val="center"/>
              <w:rPr>
                <w:rFonts w:hint="eastAsia" w:ascii="Times New Roman" w:hAnsi="Times New Roman" w:cs="宋体"/>
                <w:b/>
                <w:bCs/>
                <w:color w:val="auto"/>
                <w:sz w:val="21"/>
                <w:szCs w:val="22"/>
                <w:highlight w:val="none"/>
                <w:lang w:val="en-US"/>
              </w:rPr>
            </w:pPr>
            <w:r>
              <w:rPr>
                <w:rFonts w:hint="eastAsia" w:ascii="Times New Roman" w:hAnsi="Times New Roman" w:eastAsia="宋体" w:cs="宋体"/>
                <w:b/>
                <w:bCs/>
                <w:color w:val="auto"/>
                <w:kern w:val="2"/>
                <w:sz w:val="21"/>
                <w:szCs w:val="22"/>
                <w:highlight w:val="none"/>
                <w:lang w:val="en-US" w:eastAsia="zh-CN" w:bidi="ar"/>
              </w:rPr>
              <w:t>项目名称</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0C04391D">
            <w:pPr>
              <w:keepNext w:val="0"/>
              <w:keepLines w:val="0"/>
              <w:widowControl/>
              <w:suppressLineNumbers w:val="0"/>
              <w:spacing w:before="0" w:beforeAutospacing="0" w:after="0" w:afterAutospacing="0"/>
              <w:ind w:left="0" w:right="0"/>
              <w:jc w:val="center"/>
              <w:rPr>
                <w:rFonts w:hint="eastAsia" w:ascii="Times New Roman" w:hAnsi="Times New Roman" w:cs="宋体"/>
                <w:b/>
                <w:bCs/>
                <w:color w:val="auto"/>
                <w:sz w:val="21"/>
                <w:szCs w:val="22"/>
                <w:highlight w:val="none"/>
                <w:lang w:val="en-US"/>
              </w:rPr>
            </w:pPr>
            <w:r>
              <w:rPr>
                <w:rFonts w:hint="eastAsia" w:ascii="Times New Roman" w:hAnsi="Times New Roman" w:eastAsia="宋体" w:cs="宋体"/>
                <w:b/>
                <w:bCs/>
                <w:color w:val="auto"/>
                <w:kern w:val="2"/>
                <w:sz w:val="21"/>
                <w:szCs w:val="22"/>
                <w:highlight w:val="none"/>
                <w:lang w:val="en-US" w:eastAsia="zh-CN" w:bidi="ar"/>
              </w:rPr>
              <w:t>具体内容</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2F87E6B8">
            <w:pPr>
              <w:keepNext w:val="0"/>
              <w:keepLines w:val="0"/>
              <w:widowControl/>
              <w:suppressLineNumbers w:val="0"/>
              <w:spacing w:before="0" w:beforeAutospacing="0" w:after="0" w:afterAutospacing="0"/>
              <w:ind w:left="0" w:right="0"/>
              <w:jc w:val="center"/>
              <w:rPr>
                <w:rFonts w:hint="eastAsia" w:ascii="Times New Roman" w:hAnsi="Times New Roman" w:cs="宋体"/>
                <w:b/>
                <w:bCs/>
                <w:color w:val="auto"/>
                <w:sz w:val="21"/>
                <w:szCs w:val="22"/>
                <w:highlight w:val="none"/>
                <w:lang w:val="en-US"/>
              </w:rPr>
            </w:pPr>
            <w:r>
              <w:rPr>
                <w:rFonts w:hint="eastAsia" w:ascii="Times New Roman" w:hAnsi="Times New Roman" w:eastAsia="宋体" w:cs="宋体"/>
                <w:b/>
                <w:bCs/>
                <w:color w:val="auto"/>
                <w:spacing w:val="0"/>
                <w:kern w:val="2"/>
                <w:sz w:val="21"/>
                <w:szCs w:val="22"/>
                <w:highlight w:val="none"/>
                <w:lang w:val="en-US" w:eastAsia="zh-CN" w:bidi="ar"/>
              </w:rPr>
              <w:t>投标报价</w:t>
            </w:r>
          </w:p>
          <w:p w14:paraId="6249A261">
            <w:pPr>
              <w:keepNext w:val="0"/>
              <w:keepLines w:val="0"/>
              <w:widowControl/>
              <w:suppressLineNumbers w:val="0"/>
              <w:spacing w:before="0" w:beforeAutospacing="0" w:after="0" w:afterAutospacing="0"/>
              <w:ind w:left="0" w:right="0"/>
              <w:jc w:val="center"/>
              <w:rPr>
                <w:rFonts w:hint="eastAsia" w:ascii="Times New Roman" w:hAnsi="Times New Roman" w:cs="宋体"/>
                <w:b/>
                <w:bCs/>
                <w:color w:val="auto"/>
                <w:sz w:val="21"/>
                <w:szCs w:val="22"/>
                <w:highlight w:val="none"/>
                <w:lang w:val="en-US"/>
              </w:rPr>
            </w:pPr>
            <w:r>
              <w:rPr>
                <w:rFonts w:hint="eastAsia" w:ascii="Times New Roman" w:hAnsi="Times New Roman" w:eastAsia="宋体" w:cs="宋体"/>
                <w:b/>
                <w:bCs/>
                <w:color w:val="auto"/>
                <w:kern w:val="2"/>
                <w:sz w:val="21"/>
                <w:szCs w:val="22"/>
                <w:highlight w:val="none"/>
                <w:lang w:val="en-US" w:eastAsia="zh-CN" w:bidi="ar"/>
              </w:rPr>
              <w:t>(元)</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1BC3998E">
            <w:pPr>
              <w:keepNext w:val="0"/>
              <w:keepLines w:val="0"/>
              <w:widowControl/>
              <w:suppressLineNumbers w:val="0"/>
              <w:spacing w:before="0" w:beforeAutospacing="0" w:after="0" w:afterAutospacing="0"/>
              <w:ind w:left="0" w:right="0"/>
              <w:jc w:val="center"/>
              <w:rPr>
                <w:rFonts w:hint="eastAsia" w:ascii="Times New Roman" w:hAnsi="Times New Roman" w:cs="宋体"/>
                <w:b/>
                <w:bCs/>
                <w:color w:val="auto"/>
                <w:sz w:val="21"/>
                <w:szCs w:val="22"/>
                <w:highlight w:val="none"/>
                <w:lang w:val="en-US"/>
              </w:rPr>
            </w:pPr>
            <w:r>
              <w:rPr>
                <w:rFonts w:hint="eastAsia" w:ascii="Times New Roman" w:hAnsi="Times New Roman" w:eastAsia="宋体" w:cs="宋体"/>
                <w:b/>
                <w:bCs/>
                <w:color w:val="auto"/>
                <w:kern w:val="2"/>
                <w:sz w:val="21"/>
                <w:szCs w:val="22"/>
                <w:highlight w:val="none"/>
                <w:lang w:val="en-US" w:eastAsia="zh-CN" w:bidi="ar"/>
              </w:rPr>
              <w:t>备注</w:t>
            </w:r>
          </w:p>
        </w:tc>
      </w:tr>
      <w:tr w14:paraId="55D4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44DE2CAA">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一</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14:paraId="74BAAB67">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创意策划费用</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23B7ADAD">
            <w:pPr>
              <w:keepNext w:val="0"/>
              <w:keepLines w:val="0"/>
              <w:widowControl/>
              <w:suppressLineNumbers w:val="0"/>
              <w:spacing w:before="0" w:beforeAutospacing="0" w:after="0" w:afterAutospacing="0"/>
              <w:ind w:left="0" w:right="0"/>
              <w:jc w:val="left"/>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2025年广州国际灯光节整体创意设计与布置策划方案</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5407E430">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2D85E0DC">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r>
      <w:tr w14:paraId="13F2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BA9F31">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二</w:t>
            </w:r>
          </w:p>
        </w:tc>
        <w:tc>
          <w:tcPr>
            <w:tcW w:w="25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F5311E">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灯光作品设计、制作、安装搭建、调试、维护、围蔽设施、撤场、运输等费用</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09E2243C">
            <w:pPr>
              <w:keepNext w:val="0"/>
              <w:keepLines w:val="0"/>
              <w:widowControl/>
              <w:suppressLineNumbers w:val="0"/>
              <w:spacing w:before="0" w:beforeAutospacing="0" w:after="0" w:afterAutospacing="0"/>
              <w:ind w:left="0" w:right="0"/>
              <w:jc w:val="left"/>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海心沙亚运公园区域作品</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771242E8">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0CE54ADE">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r>
      <w:tr w14:paraId="014C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5449C">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21236">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264E1E93">
            <w:pPr>
              <w:keepNext w:val="0"/>
              <w:keepLines w:val="0"/>
              <w:widowControl/>
              <w:suppressLineNumbers w:val="0"/>
              <w:spacing w:before="0" w:beforeAutospacing="0" w:after="0" w:afterAutospacing="0"/>
              <w:ind w:left="0" w:right="0"/>
              <w:jc w:val="left"/>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花城广场区域作品</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7A06649C">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259601BC">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r>
      <w:tr w14:paraId="66EE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D762E">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D5EB8">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27D4DFBC">
            <w:pPr>
              <w:keepNext w:val="0"/>
              <w:keepLines w:val="0"/>
              <w:widowControl/>
              <w:suppressLineNumbers w:val="0"/>
              <w:spacing w:before="0" w:beforeAutospacing="0" w:after="0" w:afterAutospacing="0"/>
              <w:ind w:left="0" w:right="0"/>
              <w:jc w:val="left"/>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沿江24栋建筑立面多媒体内容制作</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6E9F0F25">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5FA68900">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r>
      <w:tr w14:paraId="0EB4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B0C5D">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A7BF3">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5703C7A8">
            <w:pPr>
              <w:keepNext w:val="0"/>
              <w:keepLines w:val="0"/>
              <w:widowControl/>
              <w:suppressLineNumbers w:val="0"/>
              <w:spacing w:before="0" w:beforeAutospacing="0" w:after="0" w:afterAutospacing="0"/>
              <w:ind w:left="0" w:right="0"/>
              <w:jc w:val="left"/>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海印桥多媒体内容制作</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537BDA30">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0AB7CF18">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r>
      <w:tr w14:paraId="7460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A3B11">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AF3C8">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229A5B49">
            <w:pPr>
              <w:keepNext w:val="0"/>
              <w:keepLines w:val="0"/>
              <w:widowControl/>
              <w:suppressLineNumbers w:val="0"/>
              <w:spacing w:before="0" w:beforeAutospacing="0" w:after="0" w:afterAutospacing="0"/>
              <w:ind w:left="0" w:right="0"/>
              <w:jc w:val="left"/>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猎德大桥多媒体内容制作</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7212CBE4">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1A5CCF9C">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r>
      <w:tr w14:paraId="1974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F9488">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AA4F8">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2C35754F">
            <w:pPr>
              <w:keepNext w:val="0"/>
              <w:keepLines w:val="0"/>
              <w:widowControl/>
              <w:suppressLineNumbers w:val="0"/>
              <w:spacing w:before="0" w:beforeAutospacing="0" w:after="0" w:afterAutospacing="0"/>
              <w:ind w:left="0" w:right="0"/>
              <w:jc w:val="left"/>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琶洲西区多媒体内容制作</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741FBBA6">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1AF740CF">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r>
      <w:tr w14:paraId="356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BF550">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69104">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3CD20D2E">
            <w:pPr>
              <w:keepNext w:val="0"/>
              <w:keepLines w:val="0"/>
              <w:widowControl/>
              <w:suppressLineNumbers w:val="0"/>
              <w:spacing w:before="0" w:beforeAutospacing="0" w:after="0" w:afterAutospacing="0"/>
              <w:ind w:left="0" w:right="0"/>
              <w:jc w:val="left"/>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琶醍筒仓多媒体内容制作</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47B23A45">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00B66C6F">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r>
      <w:tr w14:paraId="7AF2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33072">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4E6B7">
            <w:pPr>
              <w:keepNext w:val="0"/>
              <w:keepLines w:val="0"/>
              <w:suppressLineNumbers w:val="0"/>
              <w:spacing w:before="0" w:beforeAutospacing="0" w:after="0" w:afterAutospacing="0"/>
              <w:ind w:left="0" w:right="0"/>
              <w:jc w:val="center"/>
              <w:rPr>
                <w:rFonts w:hint="eastAsia" w:ascii="Times New Roman" w:hAnsi="Times New Roman" w:cs="宋体"/>
                <w:color w:val="auto"/>
                <w:sz w:val="21"/>
                <w:szCs w:val="22"/>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37C88C18">
            <w:pPr>
              <w:keepNext w:val="0"/>
              <w:keepLines w:val="0"/>
              <w:widowControl/>
              <w:suppressLineNumbers w:val="0"/>
              <w:spacing w:before="0" w:beforeAutospacing="0" w:after="0" w:afterAutospacing="0"/>
              <w:ind w:left="0" w:right="0"/>
              <w:jc w:val="left"/>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面粉厂筒仓多媒体内容制作</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4EB0DB80">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5EE7E690">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r>
      <w:tr w14:paraId="6F93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2DB1386F">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三</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14:paraId="7C822FAE">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运营费用</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2F070CA7">
            <w:pPr>
              <w:keepNext w:val="0"/>
              <w:keepLines w:val="0"/>
              <w:widowControl/>
              <w:suppressLineNumbers w:val="0"/>
              <w:spacing w:before="0" w:beforeAutospacing="0" w:after="0" w:afterAutospacing="0"/>
              <w:ind w:left="0" w:right="0"/>
              <w:jc w:val="left"/>
              <w:rPr>
                <w:rFonts w:hint="eastAsia" w:ascii="Times New Roman" w:hAnsi="Times New Roman" w:cs="宋体"/>
                <w:color w:val="auto"/>
                <w:sz w:val="21"/>
                <w:szCs w:val="22"/>
                <w:highlight w:val="none"/>
                <w:lang w:val="en-US"/>
              </w:rPr>
            </w:pPr>
            <w:r>
              <w:rPr>
                <w:rFonts w:hint="eastAsia" w:ascii="Times New Roman" w:hAnsi="Times New Roman" w:eastAsia="宋体" w:cs="宋体"/>
                <w:color w:val="auto"/>
                <w:kern w:val="2"/>
                <w:sz w:val="21"/>
                <w:szCs w:val="22"/>
                <w:highlight w:val="none"/>
                <w:lang w:val="en-US" w:eastAsia="zh-CN" w:bidi="ar"/>
              </w:rPr>
              <w:t>版权使用费、专家评审费、运营费用等</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1C95313C">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264DF0DA">
            <w:pPr>
              <w:keepNext w:val="0"/>
              <w:keepLines w:val="0"/>
              <w:widowControl/>
              <w:suppressLineNumbers w:val="0"/>
              <w:spacing w:before="0" w:beforeAutospacing="0" w:after="0" w:afterAutospacing="0"/>
              <w:ind w:left="0" w:right="0"/>
              <w:jc w:val="center"/>
              <w:rPr>
                <w:rFonts w:hint="eastAsia" w:ascii="Times New Roman" w:hAnsi="Times New Roman" w:cs="宋体"/>
                <w:color w:val="auto"/>
                <w:sz w:val="21"/>
                <w:szCs w:val="22"/>
                <w:highlight w:val="none"/>
                <w:lang w:val="en-US"/>
              </w:rPr>
            </w:pPr>
          </w:p>
        </w:tc>
      </w:tr>
      <w:tr w14:paraId="3D62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AE9CDB">
            <w:pPr>
              <w:keepNext w:val="0"/>
              <w:keepLines w:val="0"/>
              <w:widowControl/>
              <w:suppressLineNumbers w:val="0"/>
              <w:spacing w:before="0" w:beforeAutospacing="0" w:after="0" w:afterAutospacing="0"/>
              <w:ind w:left="0" w:right="0"/>
              <w:jc w:val="center"/>
              <w:rPr>
                <w:rFonts w:hint="eastAsia" w:ascii="Times New Roman" w:hAnsi="Times New Roman" w:cs="宋体"/>
                <w:b w:val="0"/>
                <w:bCs w:val="0"/>
                <w:color w:val="auto"/>
                <w:sz w:val="21"/>
                <w:szCs w:val="22"/>
                <w:highlight w:val="none"/>
                <w:lang w:val="en-US"/>
              </w:rPr>
            </w:pPr>
            <w:r>
              <w:rPr>
                <w:rFonts w:hint="eastAsia" w:ascii="Times New Roman" w:hAnsi="Times New Roman" w:eastAsia="宋体" w:cs="宋体"/>
                <w:b w:val="0"/>
                <w:bCs w:val="0"/>
                <w:color w:val="auto"/>
                <w:kern w:val="2"/>
                <w:sz w:val="21"/>
                <w:szCs w:val="22"/>
                <w:highlight w:val="none"/>
                <w:lang w:val="en-US" w:eastAsia="zh-CN" w:bidi="ar"/>
              </w:rPr>
              <w:t>合计</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106C0432">
            <w:pPr>
              <w:keepNext w:val="0"/>
              <w:keepLines w:val="0"/>
              <w:widowControl/>
              <w:suppressLineNumbers w:val="0"/>
              <w:spacing w:before="0" w:beforeAutospacing="0" w:after="0" w:afterAutospacing="0"/>
              <w:ind w:left="0" w:right="0"/>
              <w:jc w:val="center"/>
              <w:rPr>
                <w:rFonts w:hint="eastAsia" w:ascii="Times New Roman" w:hAnsi="Times New Roman" w:cs="宋体"/>
                <w:b w:val="0"/>
                <w:bCs w:val="0"/>
                <w:color w:val="auto"/>
                <w:sz w:val="21"/>
                <w:szCs w:val="22"/>
                <w:highlight w:val="none"/>
                <w:lang w:val="en-US"/>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0AF6379C">
            <w:pPr>
              <w:keepNext w:val="0"/>
              <w:keepLines w:val="0"/>
              <w:widowControl/>
              <w:suppressLineNumbers w:val="0"/>
              <w:spacing w:before="0" w:beforeAutospacing="0" w:after="0" w:afterAutospacing="0"/>
              <w:ind w:left="0" w:right="0"/>
              <w:jc w:val="center"/>
              <w:rPr>
                <w:rFonts w:hint="eastAsia" w:ascii="Times New Roman" w:hAnsi="Times New Roman" w:cs="宋体"/>
                <w:b w:val="0"/>
                <w:bCs w:val="0"/>
                <w:color w:val="auto"/>
                <w:sz w:val="21"/>
                <w:szCs w:val="22"/>
                <w:highlight w:val="none"/>
                <w:lang w:val="en-US"/>
              </w:rPr>
            </w:pPr>
          </w:p>
        </w:tc>
      </w:tr>
    </w:tbl>
    <w:p w14:paraId="6372147F">
      <w:pPr>
        <w:pStyle w:val="20"/>
        <w:rPr>
          <w:color w:val="auto"/>
          <w:highlight w:val="none"/>
        </w:rPr>
      </w:pPr>
    </w:p>
    <w:p w14:paraId="6044AC8E">
      <w:pPr>
        <w:rPr>
          <w:rFonts w:ascii="宋体" w:hAnsi="宋体"/>
          <w:color w:val="auto"/>
          <w:highlight w:val="none"/>
        </w:rPr>
      </w:pPr>
      <w:bookmarkStart w:id="555" w:name="_Toc12375983"/>
      <w:bookmarkStart w:id="556" w:name="_Toc15860"/>
      <w:bookmarkStart w:id="557" w:name="_Toc45110860"/>
      <w:bookmarkStart w:id="558" w:name="_Toc18411074"/>
      <w:bookmarkStart w:id="559" w:name="_Toc128512544"/>
      <w:r>
        <w:rPr>
          <w:rFonts w:hint="eastAsia" w:ascii="宋体" w:hAnsi="宋体"/>
          <w:color w:val="auto"/>
          <w:highlight w:val="none"/>
        </w:rPr>
        <w:br w:type="page"/>
      </w:r>
    </w:p>
    <w:p w14:paraId="6138FE51">
      <w:pPr>
        <w:pStyle w:val="3"/>
        <w:jc w:val="center"/>
        <w:rPr>
          <w:rFonts w:ascii="宋体" w:hAnsi="宋体" w:eastAsia="宋体"/>
          <w:color w:val="auto"/>
          <w:highlight w:val="none"/>
        </w:rPr>
      </w:pPr>
      <w:r>
        <w:rPr>
          <w:rFonts w:hint="eastAsia" w:ascii="宋体" w:hAnsi="宋体" w:eastAsia="宋体"/>
          <w:color w:val="auto"/>
          <w:highlight w:val="none"/>
        </w:rPr>
        <w:t>四</w:t>
      </w:r>
      <w:r>
        <w:rPr>
          <w:rFonts w:ascii="宋体" w:hAnsi="宋体" w:eastAsia="宋体"/>
          <w:color w:val="auto"/>
          <w:highlight w:val="none"/>
        </w:rPr>
        <w:t>、</w:t>
      </w:r>
      <w:r>
        <w:rPr>
          <w:rFonts w:hint="eastAsia" w:ascii="宋体" w:hAnsi="宋体" w:eastAsia="宋体"/>
          <w:color w:val="auto"/>
          <w:highlight w:val="none"/>
        </w:rPr>
        <w:t>技术偏离表</w:t>
      </w:r>
      <w:bookmarkEnd w:id="555"/>
      <w:bookmarkEnd w:id="556"/>
      <w:bookmarkEnd w:id="557"/>
      <w:bookmarkEnd w:id="558"/>
      <w:bookmarkEnd w:id="559"/>
    </w:p>
    <w:p w14:paraId="11C478D8">
      <w:pPr>
        <w:pStyle w:val="12"/>
        <w:spacing w:line="360" w:lineRule="auto"/>
        <w:rPr>
          <w:rFonts w:ascii="宋体" w:hAnsi="宋体"/>
          <w:color w:val="auto"/>
          <w:szCs w:val="21"/>
          <w:highlight w:val="none"/>
        </w:rPr>
      </w:pPr>
      <w:r>
        <w:rPr>
          <w:rFonts w:hint="eastAsia" w:ascii="宋体" w:hAnsi="宋体"/>
          <w:color w:val="auto"/>
          <w:szCs w:val="21"/>
          <w:highlight w:val="none"/>
        </w:rPr>
        <w:t>投标人应对招标文件内容及委托人要求的要求做出全面响应，如有偏离必须将所有与要求有差异的内容如实在技术差异表中详细填写。</w:t>
      </w:r>
    </w:p>
    <w:p w14:paraId="4171BB86">
      <w:pPr>
        <w:pStyle w:val="12"/>
        <w:spacing w:line="360" w:lineRule="auto"/>
        <w:rPr>
          <w:rFonts w:ascii="宋体" w:hAnsi="宋体"/>
          <w:color w:val="auto"/>
          <w:szCs w:val="21"/>
          <w:highlight w:val="none"/>
        </w:rPr>
      </w:pPr>
      <w:r>
        <w:rPr>
          <w:rFonts w:hint="eastAsia" w:ascii="宋体" w:hAnsi="宋体" w:cs="Arial"/>
          <w:color w:val="auto"/>
          <w:szCs w:val="21"/>
          <w:highlight w:val="none"/>
        </w:rPr>
        <w:t>除本技术条款差异表所列明的偏离外，投标文件其它所有技术条款视为完全响应“招标文件”中的要求。我方承诺放弃在此方面提出含糊意见或误解的一切权利，招标人可以认为我方完全接受招标文件用</w:t>
      </w:r>
      <w:r>
        <w:rPr>
          <w:rFonts w:hint="eastAsia" w:ascii="宋体" w:hAnsi="宋体"/>
          <w:color w:val="auto"/>
          <w:szCs w:val="21"/>
          <w:highlight w:val="none"/>
        </w:rPr>
        <w:t>委托人要求</w:t>
      </w:r>
      <w:r>
        <w:rPr>
          <w:rFonts w:hint="eastAsia" w:ascii="宋体" w:hAnsi="宋体" w:cs="Arial"/>
          <w:color w:val="auto"/>
          <w:szCs w:val="21"/>
          <w:highlight w:val="none"/>
        </w:rPr>
        <w:t>和项目澄清修改文件（若有）其他部分的约定。</w:t>
      </w:r>
    </w:p>
    <w:tbl>
      <w:tblPr>
        <w:tblStyle w:val="37"/>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53"/>
        <w:gridCol w:w="2266"/>
        <w:gridCol w:w="2270"/>
        <w:gridCol w:w="1541"/>
      </w:tblGrid>
      <w:tr w14:paraId="50F1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0" w:type="dxa"/>
            <w:vAlign w:val="center"/>
          </w:tcPr>
          <w:p w14:paraId="067618A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招标文件对应条款序号</w:t>
            </w:r>
          </w:p>
        </w:tc>
        <w:tc>
          <w:tcPr>
            <w:tcW w:w="1753" w:type="dxa"/>
            <w:vAlign w:val="center"/>
          </w:tcPr>
          <w:p w14:paraId="39B6877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条款要求</w:t>
            </w:r>
          </w:p>
        </w:tc>
        <w:tc>
          <w:tcPr>
            <w:tcW w:w="2266" w:type="dxa"/>
            <w:vAlign w:val="center"/>
          </w:tcPr>
          <w:p w14:paraId="4205EDD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投标响应内容</w:t>
            </w:r>
          </w:p>
        </w:tc>
        <w:tc>
          <w:tcPr>
            <w:tcW w:w="2270" w:type="dxa"/>
            <w:vAlign w:val="center"/>
          </w:tcPr>
          <w:p w14:paraId="64EAA20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差异描述</w:t>
            </w:r>
          </w:p>
        </w:tc>
        <w:tc>
          <w:tcPr>
            <w:tcW w:w="1541" w:type="dxa"/>
            <w:vAlign w:val="center"/>
          </w:tcPr>
          <w:p w14:paraId="6774DF5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偏离情况说明</w:t>
            </w:r>
          </w:p>
        </w:tc>
      </w:tr>
      <w:tr w14:paraId="37EE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0" w:type="dxa"/>
            <w:vAlign w:val="center"/>
          </w:tcPr>
          <w:p w14:paraId="3130010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753" w:type="dxa"/>
            <w:vAlign w:val="center"/>
          </w:tcPr>
          <w:p w14:paraId="36A723E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66" w:type="dxa"/>
            <w:vAlign w:val="center"/>
          </w:tcPr>
          <w:p w14:paraId="31FBA2A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70" w:type="dxa"/>
            <w:vAlign w:val="center"/>
          </w:tcPr>
          <w:p w14:paraId="104483E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41" w:type="dxa"/>
            <w:vAlign w:val="center"/>
          </w:tcPr>
          <w:p w14:paraId="2A34BD5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761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40" w:type="dxa"/>
            <w:vAlign w:val="center"/>
          </w:tcPr>
          <w:p w14:paraId="1249CE5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753" w:type="dxa"/>
            <w:vAlign w:val="center"/>
          </w:tcPr>
          <w:p w14:paraId="363464F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66" w:type="dxa"/>
            <w:vAlign w:val="center"/>
          </w:tcPr>
          <w:p w14:paraId="7E778E4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70" w:type="dxa"/>
            <w:vAlign w:val="center"/>
          </w:tcPr>
          <w:p w14:paraId="1EFDAD5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41" w:type="dxa"/>
            <w:vAlign w:val="center"/>
          </w:tcPr>
          <w:p w14:paraId="368D113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C19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40" w:type="dxa"/>
            <w:vAlign w:val="center"/>
          </w:tcPr>
          <w:p w14:paraId="7F776EC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753" w:type="dxa"/>
            <w:vAlign w:val="center"/>
          </w:tcPr>
          <w:p w14:paraId="46C6664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66" w:type="dxa"/>
            <w:vAlign w:val="center"/>
          </w:tcPr>
          <w:p w14:paraId="32E39AE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70" w:type="dxa"/>
            <w:vAlign w:val="center"/>
          </w:tcPr>
          <w:p w14:paraId="2E054E5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41" w:type="dxa"/>
            <w:vAlign w:val="center"/>
          </w:tcPr>
          <w:p w14:paraId="78A78AA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22A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40" w:type="dxa"/>
            <w:vAlign w:val="center"/>
          </w:tcPr>
          <w:p w14:paraId="455970A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753" w:type="dxa"/>
            <w:vAlign w:val="center"/>
          </w:tcPr>
          <w:p w14:paraId="68C4D3C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66" w:type="dxa"/>
            <w:vAlign w:val="center"/>
          </w:tcPr>
          <w:p w14:paraId="3D26EB2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70" w:type="dxa"/>
            <w:vAlign w:val="center"/>
          </w:tcPr>
          <w:p w14:paraId="7021969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41" w:type="dxa"/>
            <w:vAlign w:val="center"/>
          </w:tcPr>
          <w:p w14:paraId="6234C86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D41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40" w:type="dxa"/>
            <w:vAlign w:val="center"/>
          </w:tcPr>
          <w:p w14:paraId="480C2A2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753" w:type="dxa"/>
            <w:vAlign w:val="center"/>
          </w:tcPr>
          <w:p w14:paraId="3B4023E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66" w:type="dxa"/>
            <w:vAlign w:val="center"/>
          </w:tcPr>
          <w:p w14:paraId="1D244D4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70" w:type="dxa"/>
            <w:vAlign w:val="center"/>
          </w:tcPr>
          <w:p w14:paraId="6C08551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41" w:type="dxa"/>
            <w:vAlign w:val="center"/>
          </w:tcPr>
          <w:p w14:paraId="6D53282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8FC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40" w:type="dxa"/>
            <w:vAlign w:val="center"/>
          </w:tcPr>
          <w:p w14:paraId="3AA6253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753" w:type="dxa"/>
            <w:vAlign w:val="center"/>
          </w:tcPr>
          <w:p w14:paraId="6EA00C6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66" w:type="dxa"/>
            <w:vAlign w:val="center"/>
          </w:tcPr>
          <w:p w14:paraId="640B443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70" w:type="dxa"/>
            <w:vAlign w:val="center"/>
          </w:tcPr>
          <w:p w14:paraId="369E9E3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41" w:type="dxa"/>
            <w:vAlign w:val="center"/>
          </w:tcPr>
          <w:p w14:paraId="69EEB47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04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40" w:type="dxa"/>
            <w:vAlign w:val="center"/>
          </w:tcPr>
          <w:p w14:paraId="212A420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753" w:type="dxa"/>
            <w:vAlign w:val="center"/>
          </w:tcPr>
          <w:p w14:paraId="0CF876E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66" w:type="dxa"/>
            <w:vAlign w:val="center"/>
          </w:tcPr>
          <w:p w14:paraId="447A78E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70" w:type="dxa"/>
            <w:vAlign w:val="center"/>
          </w:tcPr>
          <w:p w14:paraId="5C35EDA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41" w:type="dxa"/>
            <w:vAlign w:val="center"/>
          </w:tcPr>
          <w:p w14:paraId="7B3E9A2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50D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40" w:type="dxa"/>
            <w:vAlign w:val="center"/>
          </w:tcPr>
          <w:p w14:paraId="0D3DA33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753" w:type="dxa"/>
            <w:vAlign w:val="center"/>
          </w:tcPr>
          <w:p w14:paraId="7361497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66" w:type="dxa"/>
            <w:vAlign w:val="center"/>
          </w:tcPr>
          <w:p w14:paraId="1B54134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70" w:type="dxa"/>
            <w:vAlign w:val="center"/>
          </w:tcPr>
          <w:p w14:paraId="26E3D8F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41" w:type="dxa"/>
            <w:vAlign w:val="center"/>
          </w:tcPr>
          <w:p w14:paraId="4F156E0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7D9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40" w:type="dxa"/>
            <w:vAlign w:val="center"/>
          </w:tcPr>
          <w:p w14:paraId="621F373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753" w:type="dxa"/>
            <w:vAlign w:val="center"/>
          </w:tcPr>
          <w:p w14:paraId="32C133E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66" w:type="dxa"/>
            <w:vAlign w:val="center"/>
          </w:tcPr>
          <w:p w14:paraId="10C58C1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70" w:type="dxa"/>
            <w:vAlign w:val="center"/>
          </w:tcPr>
          <w:p w14:paraId="628F60C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41" w:type="dxa"/>
            <w:vAlign w:val="center"/>
          </w:tcPr>
          <w:p w14:paraId="0BC88B8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9CB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40" w:type="dxa"/>
            <w:vAlign w:val="center"/>
          </w:tcPr>
          <w:p w14:paraId="4253D30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753" w:type="dxa"/>
            <w:vAlign w:val="center"/>
          </w:tcPr>
          <w:p w14:paraId="50D5BB5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66" w:type="dxa"/>
            <w:vAlign w:val="center"/>
          </w:tcPr>
          <w:p w14:paraId="18C4B09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270" w:type="dxa"/>
            <w:vAlign w:val="center"/>
          </w:tcPr>
          <w:p w14:paraId="5B7102A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541" w:type="dxa"/>
            <w:vAlign w:val="center"/>
          </w:tcPr>
          <w:p w14:paraId="1421930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bl>
    <w:p w14:paraId="367687A8">
      <w:pPr>
        <w:spacing w:line="360" w:lineRule="auto"/>
        <w:ind w:left="424" w:hanging="424" w:hangingChars="202"/>
        <w:rPr>
          <w:rFonts w:ascii="宋体" w:hAnsi="宋体"/>
          <w:color w:val="auto"/>
          <w:szCs w:val="21"/>
          <w:highlight w:val="none"/>
        </w:rPr>
      </w:pPr>
      <w:r>
        <w:rPr>
          <w:rFonts w:hint="eastAsia" w:ascii="宋体" w:hAnsi="宋体"/>
          <w:color w:val="auto"/>
          <w:szCs w:val="21"/>
          <w:highlight w:val="none"/>
        </w:rPr>
        <w:t>注：（1）投标人应在“偏离情况说明”栏中，说明投标标的与招标要求的差异对比，分</w:t>
      </w:r>
      <w:r>
        <w:rPr>
          <w:rFonts w:hint="eastAsia" w:ascii="宋体" w:hAnsi="宋体"/>
          <w:color w:val="auto"/>
          <w:highlight w:val="none"/>
        </w:rPr>
        <w:t>正偏离/完全响应/负偏离三种</w:t>
      </w:r>
      <w:r>
        <w:rPr>
          <w:rFonts w:hint="eastAsia" w:ascii="宋体" w:hAnsi="宋体"/>
          <w:color w:val="auto"/>
          <w:szCs w:val="21"/>
          <w:highlight w:val="none"/>
        </w:rPr>
        <w:t>情况描述。</w:t>
      </w:r>
    </w:p>
    <w:p w14:paraId="7866F555">
      <w:pPr>
        <w:spacing w:line="360" w:lineRule="auto"/>
        <w:ind w:left="3604" w:leftChars="196" w:hanging="3192" w:hangingChars="1520"/>
        <w:rPr>
          <w:rFonts w:ascii="宋体" w:hAnsi="宋体"/>
          <w:color w:val="auto"/>
          <w:szCs w:val="21"/>
          <w:highlight w:val="none"/>
        </w:rPr>
      </w:pPr>
      <w:r>
        <w:rPr>
          <w:rFonts w:hint="eastAsia" w:ascii="宋体" w:hAnsi="宋体"/>
          <w:color w:val="auto"/>
          <w:szCs w:val="21"/>
          <w:highlight w:val="none"/>
        </w:rPr>
        <w:t>（2）若无任何偏离，则可在表格中注明所有内容完全响应。</w:t>
      </w:r>
    </w:p>
    <w:p w14:paraId="1450DDCC">
      <w:pPr>
        <w:spacing w:line="360" w:lineRule="auto"/>
        <w:ind w:left="3604" w:leftChars="196" w:hanging="3192" w:hangingChars="1520"/>
        <w:rPr>
          <w:rFonts w:ascii="宋体" w:hAnsi="宋体"/>
          <w:color w:val="auto"/>
          <w:szCs w:val="21"/>
          <w:highlight w:val="none"/>
        </w:rPr>
      </w:pPr>
    </w:p>
    <w:p w14:paraId="7527FE63">
      <w:pPr>
        <w:spacing w:line="440" w:lineRule="exact"/>
        <w:ind w:firstLine="2520" w:firstLineChars="1200"/>
        <w:jc w:val="left"/>
        <w:rPr>
          <w:rFonts w:ascii="宋体" w:hAnsi="宋体"/>
          <w:color w:val="auto"/>
          <w:szCs w:val="21"/>
          <w:highlight w:val="none"/>
        </w:rPr>
      </w:pPr>
      <w:r>
        <w:rPr>
          <w:rFonts w:ascii="宋体" w:hAnsi="宋体"/>
          <w:color w:val="auto"/>
          <w:szCs w:val="21"/>
          <w:highlight w:val="none"/>
        </w:rPr>
        <w:t>投 标 人：</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（盖单位章）</w:t>
      </w:r>
    </w:p>
    <w:p w14:paraId="255934FE">
      <w:pPr>
        <w:spacing w:line="440" w:lineRule="exact"/>
        <w:jc w:val="left"/>
        <w:rPr>
          <w:rFonts w:ascii="宋体" w:hAnsi="宋体"/>
          <w:color w:val="auto"/>
          <w:szCs w:val="21"/>
          <w:highlight w:val="none"/>
        </w:rPr>
      </w:pPr>
      <w:r>
        <w:rPr>
          <w:rFonts w:ascii="宋体" w:hAnsi="宋体"/>
          <w:color w:val="auto"/>
          <w:highlight w:val="none"/>
        </w:rPr>
        <w:t xml:space="preserve">                        法定代表人</w:t>
      </w:r>
      <w:r>
        <w:rPr>
          <w:rFonts w:ascii="宋体" w:hAnsi="宋体"/>
          <w:color w:val="auto"/>
          <w:szCs w:val="21"/>
          <w:highlight w:val="none"/>
        </w:rPr>
        <w:t>或其委托代理人：</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（签字</w:t>
      </w:r>
      <w:r>
        <w:rPr>
          <w:rFonts w:hint="eastAsia" w:ascii="宋体" w:hAnsi="宋体"/>
          <w:color w:val="auto"/>
          <w:szCs w:val="21"/>
          <w:highlight w:val="none"/>
        </w:rPr>
        <w:t>或盖章</w:t>
      </w:r>
      <w:r>
        <w:rPr>
          <w:rFonts w:ascii="宋体" w:hAnsi="宋体"/>
          <w:color w:val="auto"/>
          <w:szCs w:val="21"/>
          <w:highlight w:val="none"/>
        </w:rPr>
        <w:t>）</w:t>
      </w:r>
    </w:p>
    <w:p w14:paraId="63221AB9">
      <w:pPr>
        <w:spacing w:line="440" w:lineRule="exact"/>
        <w:ind w:firstLine="4725" w:firstLineChars="2250"/>
        <w:jc w:val="right"/>
        <w:rPr>
          <w:rFonts w:ascii="宋体" w:hAnsi="宋体"/>
          <w:color w:val="auto"/>
          <w:szCs w:val="21"/>
          <w:highlight w:val="none"/>
        </w:rPr>
      </w:pPr>
      <w:r>
        <w:rPr>
          <w:rFonts w:ascii="宋体" w:hAnsi="宋体"/>
          <w:color w:val="auto"/>
          <w:highlight w:val="none"/>
          <w:u w:val="single"/>
        </w:rPr>
        <w:t xml:space="preserve">      </w:t>
      </w:r>
      <w:r>
        <w:rPr>
          <w:rFonts w:ascii="宋体" w:hAnsi="宋体"/>
          <w:color w:val="auto"/>
          <w:szCs w:val="21"/>
          <w:highlight w:val="none"/>
        </w:rPr>
        <w:t>年</w:t>
      </w:r>
      <w:r>
        <w:rPr>
          <w:rFonts w:ascii="宋体" w:hAnsi="宋体"/>
          <w:color w:val="auto"/>
          <w:highlight w:val="none"/>
          <w:u w:val="single"/>
        </w:rPr>
        <w:t xml:space="preserve">      </w:t>
      </w:r>
      <w:r>
        <w:rPr>
          <w:rFonts w:ascii="宋体" w:hAnsi="宋体"/>
          <w:color w:val="auto"/>
          <w:szCs w:val="21"/>
          <w:highlight w:val="none"/>
        </w:rPr>
        <w:t>月</w:t>
      </w:r>
      <w:r>
        <w:rPr>
          <w:rFonts w:ascii="宋体" w:hAnsi="宋体"/>
          <w:color w:val="auto"/>
          <w:highlight w:val="none"/>
          <w:u w:val="single"/>
        </w:rPr>
        <w:t xml:space="preserve">      </w:t>
      </w:r>
      <w:r>
        <w:rPr>
          <w:rFonts w:ascii="宋体" w:hAnsi="宋体"/>
          <w:color w:val="auto"/>
          <w:szCs w:val="21"/>
          <w:highlight w:val="none"/>
        </w:rPr>
        <w:t>日</w:t>
      </w:r>
    </w:p>
    <w:p w14:paraId="080D74F1">
      <w:pPr>
        <w:pStyle w:val="12"/>
        <w:rPr>
          <w:color w:val="auto"/>
          <w:highlight w:val="none"/>
        </w:rPr>
      </w:pPr>
    </w:p>
    <w:p w14:paraId="6ABDF9A4">
      <w:pPr>
        <w:pStyle w:val="12"/>
        <w:rPr>
          <w:color w:val="auto"/>
          <w:highlight w:val="none"/>
        </w:rPr>
      </w:pPr>
    </w:p>
    <w:p w14:paraId="127C897A">
      <w:pPr>
        <w:pStyle w:val="12"/>
        <w:rPr>
          <w:color w:val="auto"/>
          <w:highlight w:val="none"/>
        </w:rPr>
      </w:pPr>
    </w:p>
    <w:p w14:paraId="025347FF">
      <w:pPr>
        <w:pStyle w:val="12"/>
        <w:rPr>
          <w:color w:val="auto"/>
          <w:highlight w:val="none"/>
        </w:rPr>
      </w:pPr>
    </w:p>
    <w:p w14:paraId="2BFE8746">
      <w:pPr>
        <w:pStyle w:val="3"/>
        <w:spacing w:after="0"/>
        <w:jc w:val="center"/>
        <w:rPr>
          <w:rFonts w:ascii="宋体" w:hAnsi="宋体" w:eastAsia="宋体"/>
          <w:color w:val="auto"/>
          <w:highlight w:val="none"/>
        </w:rPr>
      </w:pPr>
      <w:bookmarkStart w:id="560" w:name="_Toc2530"/>
      <w:bookmarkStart w:id="561" w:name="_Toc128512545"/>
      <w:r>
        <w:rPr>
          <w:rFonts w:hint="eastAsia" w:ascii="宋体" w:hAnsi="宋体" w:eastAsia="宋体"/>
          <w:color w:val="auto"/>
          <w:highlight w:val="none"/>
        </w:rPr>
        <w:t>五、资格审查资料</w:t>
      </w:r>
      <w:bookmarkEnd w:id="560"/>
      <w:bookmarkEnd w:id="561"/>
    </w:p>
    <w:p w14:paraId="40623BFB">
      <w:pPr>
        <w:pStyle w:val="4"/>
        <w:spacing w:before="20" w:after="0"/>
        <w:ind w:firstLine="118"/>
        <w:rPr>
          <w:rFonts w:ascii="宋体" w:hAnsi="宋体" w:eastAsia="宋体"/>
          <w:color w:val="auto"/>
          <w:sz w:val="24"/>
          <w:szCs w:val="24"/>
          <w:highlight w:val="none"/>
        </w:rPr>
      </w:pPr>
      <w:bookmarkStart w:id="562" w:name="_Toc128512546"/>
      <w:bookmarkStart w:id="563" w:name="_Toc20395"/>
      <w:r>
        <w:rPr>
          <w:rFonts w:hint="eastAsia" w:ascii="宋体" w:hAnsi="宋体" w:eastAsia="宋体"/>
          <w:color w:val="auto"/>
          <w:sz w:val="24"/>
          <w:szCs w:val="24"/>
          <w:highlight w:val="none"/>
        </w:rPr>
        <w:t>（一）基本情况表</w:t>
      </w:r>
      <w:bookmarkEnd w:id="562"/>
      <w:bookmarkEnd w:id="563"/>
    </w:p>
    <w:tbl>
      <w:tblPr>
        <w:tblStyle w:val="37"/>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3"/>
        <w:gridCol w:w="1012"/>
        <w:gridCol w:w="665"/>
        <w:gridCol w:w="1287"/>
        <w:gridCol w:w="414"/>
        <w:gridCol w:w="873"/>
        <w:gridCol w:w="828"/>
        <w:gridCol w:w="284"/>
        <w:gridCol w:w="1230"/>
      </w:tblGrid>
      <w:tr w14:paraId="3691E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44E25305">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投标人名称</w:t>
            </w:r>
          </w:p>
        </w:tc>
        <w:tc>
          <w:tcPr>
            <w:tcW w:w="6593" w:type="dxa"/>
            <w:gridSpan w:val="8"/>
            <w:tcBorders>
              <w:top w:val="single" w:color="auto" w:sz="4" w:space="0"/>
              <w:left w:val="single" w:color="auto" w:sz="4" w:space="0"/>
              <w:bottom w:val="single" w:color="auto" w:sz="4" w:space="0"/>
              <w:right w:val="single" w:color="auto" w:sz="4" w:space="0"/>
            </w:tcBorders>
            <w:vAlign w:val="center"/>
          </w:tcPr>
          <w:p w14:paraId="6603C99A">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63485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4E6F50F2">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注册地址</w:t>
            </w:r>
          </w:p>
        </w:tc>
        <w:tc>
          <w:tcPr>
            <w:tcW w:w="2964" w:type="dxa"/>
            <w:gridSpan w:val="3"/>
            <w:tcBorders>
              <w:top w:val="single" w:color="auto" w:sz="4" w:space="0"/>
              <w:left w:val="single" w:color="auto" w:sz="4" w:space="0"/>
              <w:bottom w:val="single" w:color="auto" w:sz="4" w:space="0"/>
              <w:right w:val="single" w:color="auto" w:sz="4" w:space="0"/>
            </w:tcBorders>
            <w:vAlign w:val="center"/>
          </w:tcPr>
          <w:p w14:paraId="4B1979CB">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7E7977E">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437F230">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14F34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vMerge w:val="restart"/>
            <w:tcBorders>
              <w:top w:val="single" w:color="auto" w:sz="4" w:space="0"/>
              <w:left w:val="single" w:color="auto" w:sz="4" w:space="0"/>
              <w:bottom w:val="single" w:color="auto" w:sz="4" w:space="0"/>
              <w:right w:val="single" w:color="auto" w:sz="4" w:space="0"/>
            </w:tcBorders>
            <w:vAlign w:val="center"/>
          </w:tcPr>
          <w:p w14:paraId="0B3ABEE2">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联系方式</w:t>
            </w:r>
          </w:p>
        </w:tc>
        <w:tc>
          <w:tcPr>
            <w:tcW w:w="1012" w:type="dxa"/>
            <w:tcBorders>
              <w:top w:val="single" w:color="auto" w:sz="4" w:space="0"/>
              <w:left w:val="single" w:color="auto" w:sz="4" w:space="0"/>
              <w:bottom w:val="single" w:color="auto" w:sz="4" w:space="0"/>
              <w:right w:val="single" w:color="auto" w:sz="4" w:space="0"/>
            </w:tcBorders>
            <w:vAlign w:val="center"/>
          </w:tcPr>
          <w:p w14:paraId="763BFFF7">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联系人</w:t>
            </w:r>
          </w:p>
        </w:tc>
        <w:tc>
          <w:tcPr>
            <w:tcW w:w="1952" w:type="dxa"/>
            <w:gridSpan w:val="2"/>
            <w:tcBorders>
              <w:top w:val="single" w:color="auto" w:sz="4" w:space="0"/>
              <w:left w:val="single" w:color="auto" w:sz="4" w:space="0"/>
              <w:bottom w:val="single" w:color="auto" w:sz="4" w:space="0"/>
              <w:right w:val="single" w:color="auto" w:sz="4" w:space="0"/>
            </w:tcBorders>
            <w:vAlign w:val="center"/>
          </w:tcPr>
          <w:p w14:paraId="0BA95FC4">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AED274D">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507C9BD">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3D7F7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vMerge w:val="continue"/>
            <w:tcBorders>
              <w:top w:val="single" w:color="auto" w:sz="4" w:space="0"/>
              <w:left w:val="single" w:color="auto" w:sz="4" w:space="0"/>
              <w:bottom w:val="single" w:color="auto" w:sz="4" w:space="0"/>
              <w:right w:val="single" w:color="auto" w:sz="4" w:space="0"/>
            </w:tcBorders>
            <w:vAlign w:val="center"/>
          </w:tcPr>
          <w:p w14:paraId="406BF8D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633C8102">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传真</w:t>
            </w:r>
          </w:p>
        </w:tc>
        <w:tc>
          <w:tcPr>
            <w:tcW w:w="1952" w:type="dxa"/>
            <w:gridSpan w:val="2"/>
            <w:tcBorders>
              <w:top w:val="single" w:color="auto" w:sz="4" w:space="0"/>
              <w:left w:val="single" w:color="auto" w:sz="4" w:space="0"/>
              <w:bottom w:val="single" w:color="auto" w:sz="4" w:space="0"/>
              <w:right w:val="single" w:color="auto" w:sz="4" w:space="0"/>
            </w:tcBorders>
            <w:vAlign w:val="center"/>
          </w:tcPr>
          <w:p w14:paraId="2AF105D2">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EF4AD02">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AD45A21">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074B8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3C080958">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法定代表人</w:t>
            </w:r>
          </w:p>
        </w:tc>
        <w:tc>
          <w:tcPr>
            <w:tcW w:w="1012" w:type="dxa"/>
            <w:tcBorders>
              <w:top w:val="single" w:color="auto" w:sz="4" w:space="0"/>
              <w:left w:val="single" w:color="auto" w:sz="4" w:space="0"/>
              <w:bottom w:val="single" w:color="auto" w:sz="4" w:space="0"/>
              <w:right w:val="single" w:color="auto" w:sz="4" w:space="0"/>
            </w:tcBorders>
            <w:vAlign w:val="center"/>
          </w:tcPr>
          <w:p w14:paraId="4245663D">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姓名</w:t>
            </w:r>
          </w:p>
        </w:tc>
        <w:tc>
          <w:tcPr>
            <w:tcW w:w="665" w:type="dxa"/>
            <w:tcBorders>
              <w:top w:val="single" w:color="auto" w:sz="4" w:space="0"/>
              <w:left w:val="single" w:color="auto" w:sz="4" w:space="0"/>
              <w:bottom w:val="single" w:color="auto" w:sz="4" w:space="0"/>
              <w:right w:val="single" w:color="auto" w:sz="4" w:space="0"/>
            </w:tcBorders>
            <w:vAlign w:val="center"/>
          </w:tcPr>
          <w:p w14:paraId="04E29AA3">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044E2213">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C10286B">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E3EA70E">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08F23718">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4B3A7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42DFF9D7">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szCs w:val="21"/>
                <w:highlight w:val="none"/>
              </w:rPr>
              <w:t>技术负责人</w:t>
            </w:r>
          </w:p>
        </w:tc>
        <w:tc>
          <w:tcPr>
            <w:tcW w:w="1012" w:type="dxa"/>
            <w:tcBorders>
              <w:top w:val="single" w:color="auto" w:sz="4" w:space="0"/>
              <w:left w:val="single" w:color="auto" w:sz="4" w:space="0"/>
              <w:bottom w:val="single" w:color="auto" w:sz="4" w:space="0"/>
              <w:right w:val="single" w:color="auto" w:sz="4" w:space="0"/>
            </w:tcBorders>
            <w:vAlign w:val="center"/>
          </w:tcPr>
          <w:p w14:paraId="5ADF19AD">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姓名</w:t>
            </w:r>
          </w:p>
        </w:tc>
        <w:tc>
          <w:tcPr>
            <w:tcW w:w="665" w:type="dxa"/>
            <w:tcBorders>
              <w:top w:val="single" w:color="auto" w:sz="4" w:space="0"/>
              <w:left w:val="single" w:color="auto" w:sz="4" w:space="0"/>
              <w:bottom w:val="single" w:color="auto" w:sz="4" w:space="0"/>
              <w:right w:val="single" w:color="auto" w:sz="4" w:space="0"/>
            </w:tcBorders>
            <w:vAlign w:val="center"/>
          </w:tcPr>
          <w:p w14:paraId="0C3763C0">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33741B83">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6F73394">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A0BB7">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1EFC1A17">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389AE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73700AF8">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质量管理体系证书（如有）</w:t>
            </w:r>
          </w:p>
        </w:tc>
        <w:tc>
          <w:tcPr>
            <w:tcW w:w="6593" w:type="dxa"/>
            <w:gridSpan w:val="8"/>
            <w:tcBorders>
              <w:top w:val="single" w:color="auto" w:sz="4" w:space="0"/>
              <w:left w:val="single" w:color="auto" w:sz="4" w:space="0"/>
              <w:bottom w:val="single" w:color="auto" w:sz="4" w:space="0"/>
              <w:right w:val="single" w:color="auto" w:sz="4" w:space="0"/>
            </w:tcBorders>
            <w:vAlign w:val="center"/>
          </w:tcPr>
          <w:p w14:paraId="20BCA881">
            <w:pPr>
              <w:keepNext w:val="0"/>
              <w:keepLines w:val="0"/>
              <w:suppressLineNumbers w:val="0"/>
              <w:topLinePunct/>
              <w:spacing w:before="100" w:beforeAutospacing="1" w:after="100" w:afterAutospacing="1" w:line="440" w:lineRule="exact"/>
              <w:ind w:left="0" w:right="0" w:firstLine="105" w:firstLineChars="50"/>
              <w:jc w:val="center"/>
              <w:rPr>
                <w:rFonts w:hint="default" w:ascii="宋体" w:hAnsi="宋体"/>
                <w:color w:val="auto"/>
                <w:highlight w:val="none"/>
              </w:rPr>
            </w:pPr>
            <w:r>
              <w:rPr>
                <w:rFonts w:hint="default" w:ascii="宋体" w:hAnsi="宋体"/>
                <w:color w:val="auto"/>
                <w:highlight w:val="none"/>
              </w:rPr>
              <w:t>类型：等级：证书号：</w:t>
            </w:r>
          </w:p>
        </w:tc>
      </w:tr>
      <w:tr w14:paraId="43621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7DA8D2A4">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营业执照号</w:t>
            </w:r>
          </w:p>
        </w:tc>
        <w:tc>
          <w:tcPr>
            <w:tcW w:w="2964" w:type="dxa"/>
            <w:gridSpan w:val="3"/>
            <w:tcBorders>
              <w:top w:val="single" w:color="auto" w:sz="4" w:space="0"/>
              <w:left w:val="single" w:color="auto" w:sz="4" w:space="0"/>
              <w:bottom w:val="single" w:color="auto" w:sz="4" w:space="0"/>
              <w:right w:val="single" w:color="auto" w:sz="4" w:space="0"/>
            </w:tcBorders>
            <w:vAlign w:val="center"/>
          </w:tcPr>
          <w:p w14:paraId="507A35D0">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4A606D8A">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员工总人数：</w:t>
            </w:r>
          </w:p>
        </w:tc>
      </w:tr>
      <w:tr w14:paraId="040DF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771691CA">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注册资本</w:t>
            </w:r>
          </w:p>
        </w:tc>
        <w:tc>
          <w:tcPr>
            <w:tcW w:w="2964" w:type="dxa"/>
            <w:gridSpan w:val="3"/>
            <w:tcBorders>
              <w:top w:val="single" w:color="auto" w:sz="4" w:space="0"/>
              <w:left w:val="single" w:color="auto" w:sz="4" w:space="0"/>
              <w:bottom w:val="single" w:color="auto" w:sz="4" w:space="0"/>
              <w:right w:val="single" w:color="auto" w:sz="4" w:space="0"/>
            </w:tcBorders>
            <w:vAlign w:val="center"/>
          </w:tcPr>
          <w:p w14:paraId="59575796">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7840E18D">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5315591">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C254762">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58D08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4AEEDCA0">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成立日期</w:t>
            </w:r>
          </w:p>
        </w:tc>
        <w:tc>
          <w:tcPr>
            <w:tcW w:w="2964" w:type="dxa"/>
            <w:gridSpan w:val="3"/>
            <w:tcBorders>
              <w:top w:val="single" w:color="auto" w:sz="4" w:space="0"/>
              <w:left w:val="single" w:color="auto" w:sz="4" w:space="0"/>
              <w:bottom w:val="single" w:color="auto" w:sz="4" w:space="0"/>
              <w:right w:val="single" w:color="auto" w:sz="4" w:space="0"/>
            </w:tcBorders>
            <w:vAlign w:val="center"/>
          </w:tcPr>
          <w:p w14:paraId="29FAD99D">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414" w:type="dxa"/>
            <w:vMerge w:val="continue"/>
            <w:tcBorders>
              <w:left w:val="single" w:color="auto" w:sz="4" w:space="0"/>
              <w:right w:val="single" w:color="auto" w:sz="4" w:space="0"/>
            </w:tcBorders>
            <w:vAlign w:val="center"/>
          </w:tcPr>
          <w:p w14:paraId="6164F1E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F35BBD5">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2521D21">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51561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0BC42732">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基本账户开户银行</w:t>
            </w:r>
          </w:p>
        </w:tc>
        <w:tc>
          <w:tcPr>
            <w:tcW w:w="2964" w:type="dxa"/>
            <w:gridSpan w:val="3"/>
            <w:tcBorders>
              <w:top w:val="single" w:color="auto" w:sz="4" w:space="0"/>
              <w:left w:val="single" w:color="auto" w:sz="4" w:space="0"/>
              <w:bottom w:val="single" w:color="auto" w:sz="4" w:space="0"/>
              <w:right w:val="single" w:color="auto" w:sz="4" w:space="0"/>
            </w:tcBorders>
            <w:vAlign w:val="center"/>
          </w:tcPr>
          <w:p w14:paraId="7ABEF78C">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414" w:type="dxa"/>
            <w:vMerge w:val="continue"/>
            <w:tcBorders>
              <w:left w:val="single" w:color="auto" w:sz="4" w:space="0"/>
              <w:right w:val="single" w:color="auto" w:sz="4" w:space="0"/>
            </w:tcBorders>
            <w:vAlign w:val="center"/>
          </w:tcPr>
          <w:p w14:paraId="3AAFB89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74D8C85">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2523DB6">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249C8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73A75A14">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基本账户银行账号</w:t>
            </w:r>
          </w:p>
        </w:tc>
        <w:tc>
          <w:tcPr>
            <w:tcW w:w="2964" w:type="dxa"/>
            <w:gridSpan w:val="3"/>
            <w:tcBorders>
              <w:top w:val="single" w:color="auto" w:sz="4" w:space="0"/>
              <w:left w:val="single" w:color="auto" w:sz="4" w:space="0"/>
              <w:bottom w:val="single" w:color="auto" w:sz="4" w:space="0"/>
              <w:right w:val="single" w:color="auto" w:sz="4" w:space="0"/>
            </w:tcBorders>
            <w:vAlign w:val="center"/>
          </w:tcPr>
          <w:p w14:paraId="6022BA65">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c>
          <w:tcPr>
            <w:tcW w:w="414" w:type="dxa"/>
            <w:vMerge w:val="continue"/>
            <w:tcBorders>
              <w:left w:val="single" w:color="auto" w:sz="4" w:space="0"/>
              <w:right w:val="single" w:color="auto" w:sz="4" w:space="0"/>
            </w:tcBorders>
            <w:vAlign w:val="center"/>
          </w:tcPr>
          <w:p w14:paraId="2B19665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50DD212">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036B724">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196D7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right w:val="single" w:color="auto" w:sz="4" w:space="0"/>
            </w:tcBorders>
            <w:vAlign w:val="center"/>
          </w:tcPr>
          <w:p w14:paraId="6AEFBD75">
            <w:pPr>
              <w:keepNext w:val="0"/>
              <w:keepLines w:val="0"/>
              <w:suppressLineNumbers w:val="0"/>
              <w:topLinePunct/>
              <w:spacing w:before="100" w:beforeAutospacing="1" w:after="100" w:afterAutospacing="1" w:line="440" w:lineRule="exact"/>
              <w:ind w:left="0" w:right="0" w:firstLine="210" w:firstLineChars="100"/>
              <w:jc w:val="center"/>
              <w:rPr>
                <w:rFonts w:hint="default" w:ascii="宋体" w:hAnsi="宋体"/>
                <w:color w:val="auto"/>
                <w:highlight w:val="none"/>
              </w:rPr>
            </w:pPr>
            <w:r>
              <w:rPr>
                <w:rFonts w:hint="default" w:ascii="宋体" w:hAnsi="宋体"/>
                <w:color w:val="auto"/>
                <w:highlight w:val="none"/>
              </w:rPr>
              <w:t>经营范围</w:t>
            </w:r>
          </w:p>
        </w:tc>
        <w:tc>
          <w:tcPr>
            <w:tcW w:w="6593" w:type="dxa"/>
            <w:gridSpan w:val="8"/>
            <w:tcBorders>
              <w:top w:val="single" w:color="auto" w:sz="4" w:space="0"/>
              <w:left w:val="single" w:color="auto" w:sz="4" w:space="0"/>
              <w:right w:val="single" w:color="auto" w:sz="4" w:space="0"/>
            </w:tcBorders>
            <w:vAlign w:val="center"/>
          </w:tcPr>
          <w:p w14:paraId="098D3EAC">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302A0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93" w:type="dxa"/>
            <w:tcBorders>
              <w:top w:val="single" w:color="auto" w:sz="4" w:space="0"/>
              <w:left w:val="single" w:color="auto" w:sz="4" w:space="0"/>
              <w:right w:val="single" w:color="auto" w:sz="4" w:space="0"/>
            </w:tcBorders>
            <w:vAlign w:val="center"/>
          </w:tcPr>
          <w:p w14:paraId="4C468E97">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szCs w:val="21"/>
                <w:highlight w:val="none"/>
              </w:rPr>
              <w:t>投标人关联企业情况（包括但不限于与投标人法定代表人为同一人或者存在控股、管理关系的不同单位）</w:t>
            </w:r>
          </w:p>
        </w:tc>
        <w:tc>
          <w:tcPr>
            <w:tcW w:w="6593" w:type="dxa"/>
            <w:gridSpan w:val="8"/>
            <w:tcBorders>
              <w:top w:val="single" w:color="auto" w:sz="4" w:space="0"/>
              <w:left w:val="single" w:color="auto" w:sz="4" w:space="0"/>
              <w:right w:val="single" w:color="auto" w:sz="4" w:space="0"/>
            </w:tcBorders>
            <w:vAlign w:val="center"/>
          </w:tcPr>
          <w:p w14:paraId="155A720B">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r w14:paraId="4917C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6E1CE5B1">
            <w:pPr>
              <w:keepNext w:val="0"/>
              <w:keepLines w:val="0"/>
              <w:suppressLineNumbers w:val="0"/>
              <w:topLinePunct/>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备注</w:t>
            </w:r>
          </w:p>
        </w:tc>
        <w:tc>
          <w:tcPr>
            <w:tcW w:w="6593" w:type="dxa"/>
            <w:gridSpan w:val="8"/>
            <w:tcBorders>
              <w:top w:val="single" w:color="auto" w:sz="4" w:space="0"/>
              <w:left w:val="single" w:color="auto" w:sz="4" w:space="0"/>
              <w:bottom w:val="single" w:color="auto" w:sz="4" w:space="0"/>
              <w:right w:val="single" w:color="auto" w:sz="4" w:space="0"/>
            </w:tcBorders>
            <w:vAlign w:val="center"/>
          </w:tcPr>
          <w:p w14:paraId="12908399">
            <w:pPr>
              <w:keepNext w:val="0"/>
              <w:keepLines w:val="0"/>
              <w:suppressLineNumbers w:val="0"/>
              <w:topLinePunct/>
              <w:spacing w:before="0" w:beforeAutospacing="0" w:after="0" w:afterAutospacing="0" w:line="440" w:lineRule="exact"/>
              <w:ind w:left="0" w:right="0"/>
              <w:jc w:val="center"/>
              <w:rPr>
                <w:rFonts w:hint="default" w:ascii="宋体" w:hAnsi="宋体"/>
                <w:color w:val="auto"/>
                <w:highlight w:val="none"/>
              </w:rPr>
            </w:pPr>
          </w:p>
        </w:tc>
      </w:tr>
    </w:tbl>
    <w:p w14:paraId="44B2F490">
      <w:pPr>
        <w:widowControl/>
        <w:spacing w:line="400" w:lineRule="exact"/>
        <w:jc w:val="left"/>
        <w:rPr>
          <w:rFonts w:ascii="宋体" w:hAnsi="宋体"/>
          <w:color w:val="auto"/>
          <w:highlight w:val="none"/>
        </w:rPr>
      </w:pPr>
      <w:r>
        <w:rPr>
          <w:rFonts w:hint="eastAsia" w:ascii="宋体" w:hAnsi="宋体"/>
          <w:color w:val="auto"/>
          <w:highlight w:val="none"/>
        </w:rPr>
        <w:t>注：“投标人基本情况表”应附投标人营业执照和组织机构代码证的扫描件（按照“三证合一”或“五证合一”登记制度进行登记的，可仅提供营业执照扫描件）等材料的扫描件。</w:t>
      </w:r>
    </w:p>
    <w:p w14:paraId="568DF27A">
      <w:pPr>
        <w:pStyle w:val="12"/>
        <w:rPr>
          <w:color w:val="auto"/>
          <w:highlight w:val="none"/>
        </w:rPr>
      </w:pPr>
      <w:r>
        <w:rPr>
          <w:rFonts w:ascii="宋体" w:hAnsi="宋体"/>
          <w:color w:val="auto"/>
          <w:highlight w:val="none"/>
        </w:rPr>
        <w:br w:type="page"/>
      </w:r>
      <w:r>
        <w:rPr>
          <w:rFonts w:hint="eastAsia" w:ascii="宋体" w:hAnsi="宋体"/>
          <w:color w:val="auto"/>
          <w:sz w:val="24"/>
          <w:highlight w:val="none"/>
        </w:rPr>
        <w:t>附</w:t>
      </w:r>
      <w:r>
        <w:rPr>
          <w:rFonts w:ascii="宋体" w:hAnsi="宋体"/>
          <w:color w:val="auto"/>
          <w:sz w:val="24"/>
          <w:highlight w:val="none"/>
        </w:rPr>
        <w:t>1</w:t>
      </w:r>
      <w:r>
        <w:rPr>
          <w:rFonts w:hint="eastAsia" w:ascii="宋体" w:hAnsi="宋体"/>
          <w:color w:val="auto"/>
          <w:sz w:val="24"/>
          <w:highlight w:val="none"/>
        </w:rPr>
        <w:t>：营业执照、基本账户开户许可证等扫描件</w:t>
      </w:r>
      <w:r>
        <w:rPr>
          <w:rFonts w:hint="eastAsia" w:ascii="宋体" w:hAnsi="宋体"/>
          <w:color w:val="auto"/>
          <w:sz w:val="24"/>
          <w:szCs w:val="24"/>
          <w:highlight w:val="none"/>
        </w:rPr>
        <w:t>。</w:t>
      </w:r>
    </w:p>
    <w:p w14:paraId="7891D3BD">
      <w:pPr>
        <w:widowControl/>
        <w:jc w:val="left"/>
        <w:rPr>
          <w:rFonts w:ascii="宋体" w:hAnsi="宋体"/>
          <w:color w:val="auto"/>
          <w:highlight w:val="none"/>
        </w:rPr>
      </w:pPr>
      <w:r>
        <w:rPr>
          <w:rFonts w:ascii="宋体" w:hAnsi="宋体"/>
          <w:color w:val="auto"/>
          <w:szCs w:val="21"/>
          <w:highlight w:val="none"/>
        </w:rPr>
        <w:br w:type="page"/>
      </w:r>
      <w:r>
        <w:rPr>
          <w:rFonts w:hint="eastAsia" w:ascii="宋体" w:hAnsi="宋体"/>
          <w:color w:val="auto"/>
          <w:sz w:val="24"/>
          <w:highlight w:val="none"/>
        </w:rPr>
        <w:t>附</w:t>
      </w:r>
      <w:r>
        <w:rPr>
          <w:rFonts w:ascii="宋体" w:hAnsi="宋体"/>
          <w:color w:val="auto"/>
          <w:sz w:val="24"/>
          <w:highlight w:val="none"/>
        </w:rPr>
        <w:t>2</w:t>
      </w:r>
      <w:r>
        <w:rPr>
          <w:rFonts w:hint="eastAsia" w:ascii="宋体" w:hAnsi="宋体"/>
          <w:color w:val="auto"/>
          <w:sz w:val="24"/>
          <w:highlight w:val="none"/>
        </w:rPr>
        <w:t>：按照招标公告附件</w:t>
      </w:r>
      <w:r>
        <w:rPr>
          <w:rFonts w:ascii="宋体" w:hAnsi="宋体"/>
          <w:color w:val="auto"/>
          <w:sz w:val="24"/>
          <w:highlight w:val="none"/>
        </w:rPr>
        <w:t>1</w:t>
      </w:r>
      <w:r>
        <w:rPr>
          <w:rFonts w:hint="eastAsia" w:ascii="宋体" w:hAnsi="宋体"/>
          <w:color w:val="auto"/>
          <w:sz w:val="24"/>
          <w:highlight w:val="none"/>
        </w:rPr>
        <w:t>的内容签署盖章“投标人声明”</w:t>
      </w:r>
      <w:r>
        <w:rPr>
          <w:rFonts w:ascii="宋体" w:hAnsi="宋体"/>
          <w:color w:val="auto"/>
          <w:highlight w:val="none"/>
        </w:rPr>
        <w:br w:type="page"/>
      </w:r>
    </w:p>
    <w:bookmarkEnd w:id="554"/>
    <w:p w14:paraId="506FBCA7">
      <w:pPr>
        <w:pStyle w:val="4"/>
        <w:ind w:firstLine="0" w:firstLineChars="0"/>
        <w:rPr>
          <w:rFonts w:ascii="宋体" w:hAnsi="宋体" w:eastAsia="宋体"/>
          <w:color w:val="auto"/>
          <w:highlight w:val="none"/>
        </w:rPr>
      </w:pPr>
      <w:bookmarkStart w:id="564" w:name="_Toc24260"/>
      <w:bookmarkStart w:id="565" w:name="_Toc128512547"/>
      <w:bookmarkStart w:id="566" w:name="_Toc482188667"/>
      <w:r>
        <w:rPr>
          <w:rFonts w:ascii="宋体" w:hAnsi="宋体" w:eastAsia="宋体"/>
          <w:color w:val="auto"/>
          <w:highlight w:val="none"/>
        </w:rPr>
        <w:t>（</w:t>
      </w:r>
      <w:r>
        <w:rPr>
          <w:rFonts w:hint="eastAsia" w:ascii="宋体" w:hAnsi="宋体" w:eastAsia="宋体"/>
          <w:color w:val="auto"/>
          <w:highlight w:val="none"/>
        </w:rPr>
        <w:t>二</w:t>
      </w:r>
      <w:r>
        <w:rPr>
          <w:rFonts w:ascii="宋体" w:hAnsi="宋体" w:eastAsia="宋体"/>
          <w:color w:val="auto"/>
          <w:highlight w:val="none"/>
        </w:rPr>
        <w:t>）拟委任的主要人员汇总表</w:t>
      </w:r>
      <w:bookmarkEnd w:id="564"/>
      <w:bookmarkEnd w:id="565"/>
      <w:bookmarkEnd w:id="566"/>
    </w:p>
    <w:tbl>
      <w:tblPr>
        <w:tblStyle w:val="3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01"/>
        <w:gridCol w:w="1391"/>
        <w:gridCol w:w="1737"/>
        <w:gridCol w:w="1450"/>
        <w:gridCol w:w="1700"/>
        <w:gridCol w:w="647"/>
      </w:tblGrid>
      <w:tr w14:paraId="6304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6" w:type="dxa"/>
            <w:vMerge w:val="restart"/>
            <w:vAlign w:val="center"/>
          </w:tcPr>
          <w:p w14:paraId="4284ECA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序号</w:t>
            </w:r>
          </w:p>
        </w:tc>
        <w:tc>
          <w:tcPr>
            <w:tcW w:w="1101" w:type="dxa"/>
            <w:vMerge w:val="restart"/>
            <w:vAlign w:val="center"/>
          </w:tcPr>
          <w:p w14:paraId="551CE10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姓名</w:t>
            </w:r>
          </w:p>
        </w:tc>
        <w:tc>
          <w:tcPr>
            <w:tcW w:w="1391" w:type="dxa"/>
            <w:vMerge w:val="restart"/>
            <w:vAlign w:val="center"/>
          </w:tcPr>
          <w:p w14:paraId="76F210B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本项目任职</w:t>
            </w:r>
          </w:p>
        </w:tc>
        <w:tc>
          <w:tcPr>
            <w:tcW w:w="1737" w:type="dxa"/>
            <w:vMerge w:val="restart"/>
            <w:vAlign w:val="center"/>
          </w:tcPr>
          <w:p w14:paraId="13FDB8C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最高学历</w:t>
            </w:r>
          </w:p>
        </w:tc>
        <w:tc>
          <w:tcPr>
            <w:tcW w:w="1450" w:type="dxa"/>
            <w:vMerge w:val="restart"/>
            <w:vAlign w:val="center"/>
          </w:tcPr>
          <w:p w14:paraId="5F89940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专业</w:t>
            </w:r>
          </w:p>
        </w:tc>
        <w:tc>
          <w:tcPr>
            <w:tcW w:w="1700" w:type="dxa"/>
            <w:vAlign w:val="center"/>
          </w:tcPr>
          <w:p w14:paraId="55B89EC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eastAsia" w:ascii="宋体" w:hAnsi="宋体"/>
                <w:color w:val="auto"/>
                <w:highlight w:val="none"/>
              </w:rPr>
              <w:t>身份证号</w:t>
            </w:r>
          </w:p>
        </w:tc>
        <w:tc>
          <w:tcPr>
            <w:tcW w:w="647" w:type="dxa"/>
            <w:vAlign w:val="center"/>
          </w:tcPr>
          <w:p w14:paraId="3C62508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备注</w:t>
            </w:r>
          </w:p>
        </w:tc>
      </w:tr>
      <w:tr w14:paraId="717F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23A791A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523A95E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vAlign w:val="center"/>
          </w:tcPr>
          <w:p w14:paraId="29431D1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vAlign w:val="center"/>
          </w:tcPr>
          <w:p w14:paraId="25DABF2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vAlign w:val="center"/>
          </w:tcPr>
          <w:p w14:paraId="2261BED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vAlign w:val="center"/>
          </w:tcPr>
          <w:p w14:paraId="0C2C20C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vAlign w:val="center"/>
          </w:tcPr>
          <w:p w14:paraId="09ECD60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060F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061778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44E6911A">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6E0E6B0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43BD343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41D30CE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3385A49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0C57DCF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2877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2CCE12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11D3800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733203E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481B286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5DCA8133">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6473341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288B4C0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240C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A70721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763C862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69AD3B7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7492C87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7D1A2CC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4A3A833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12CA462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59B4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6F7D115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2C3B90C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7C181F72">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57A5760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2872EBD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7D14D5C3">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6F87B83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4427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4667B92">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3F88E63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188BB88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7FD01DB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083DDE5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5BE897B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01A2CD2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1C68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BE7C94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74E243D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0FE35F2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2FCC79F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3E3B10CA">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1CCD0F0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0A204AA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5F20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EDDCED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128D8E0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3331F1C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6C78968A">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1E6667B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34690D7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6CD59C6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335F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94C4B6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1A2C561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4ACB997A">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6101637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62E1913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321D6B4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2CE018F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652F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1143D9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3B3BD28A">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0DA027D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4AF4E0A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00E585A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1F56033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21B3124A">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53E8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5BAD056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2E3F95F2">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11A0CB41">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62F410C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543AA8D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2F14C69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135668B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44AB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D2BD06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688D828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1DE2E39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01D4C71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09E97B4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707D8A6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49A95F4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70E8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2355B9A">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0B6C4AB0">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445EB7E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31353310">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088A9A8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7D49A11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3E259CAA">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2F12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5E31FB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5693D31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6DBB9D8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534D23F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652B54B3">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300204F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41BE183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7752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09190D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752DA333">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67867AB0">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08C8BA56">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29EAB61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14B65AC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50B56217">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056E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C948B92">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091E8438">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15D56000">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0525FF4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0009750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096E07C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295A5E0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1A15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BC5345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3456866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7A77F57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4E0F2B4D">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36631392">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5C2F679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1DF03DB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5DCB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7E718FA">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101" w:type="dxa"/>
          </w:tcPr>
          <w:p w14:paraId="70993C9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391" w:type="dxa"/>
          </w:tcPr>
          <w:p w14:paraId="08BDE1FF">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37" w:type="dxa"/>
          </w:tcPr>
          <w:p w14:paraId="0871AEE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450" w:type="dxa"/>
          </w:tcPr>
          <w:p w14:paraId="7F3AD9C3">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700" w:type="dxa"/>
          </w:tcPr>
          <w:p w14:paraId="5F16EBBB">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647" w:type="dxa"/>
          </w:tcPr>
          <w:p w14:paraId="41771B09">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bl>
    <w:p w14:paraId="4A9678D6">
      <w:pPr>
        <w:spacing w:line="440" w:lineRule="exact"/>
        <w:rPr>
          <w:rFonts w:ascii="宋体" w:hAnsi="宋体"/>
          <w:color w:val="auto"/>
          <w:highlight w:val="none"/>
        </w:rPr>
      </w:pPr>
      <w:r>
        <w:rPr>
          <w:rFonts w:ascii="宋体" w:hAnsi="宋体"/>
          <w:color w:val="auto"/>
          <w:highlight w:val="none"/>
        </w:rPr>
        <w:br w:type="page"/>
      </w:r>
      <w:bookmarkStart w:id="567" w:name="_Toc179632825"/>
      <w:bookmarkStart w:id="568" w:name="_Toc152045805"/>
      <w:bookmarkStart w:id="569" w:name="_Toc144974873"/>
      <w:bookmarkStart w:id="570" w:name="_Toc152042594"/>
    </w:p>
    <w:p w14:paraId="0F0B4D9A">
      <w:pPr>
        <w:pStyle w:val="4"/>
        <w:ind w:firstLine="137"/>
        <w:rPr>
          <w:rFonts w:ascii="宋体" w:hAnsi="宋体" w:eastAsia="宋体"/>
          <w:color w:val="auto"/>
          <w:highlight w:val="none"/>
        </w:rPr>
      </w:pPr>
      <w:bookmarkStart w:id="571" w:name="_Toc370676440"/>
      <w:bookmarkStart w:id="572" w:name="_Toc385943079"/>
      <w:bookmarkStart w:id="573" w:name="_Toc128512548"/>
      <w:bookmarkStart w:id="574" w:name="_Toc359594249"/>
      <w:bookmarkStart w:id="575" w:name="_Toc391394125"/>
      <w:bookmarkStart w:id="576" w:name="_Toc10091"/>
      <w:bookmarkStart w:id="577" w:name="_Toc300835232"/>
      <w:bookmarkStart w:id="578" w:name="_Toc482188668"/>
      <w:bookmarkStart w:id="579" w:name="_Toc384308390"/>
      <w:r>
        <w:rPr>
          <w:rFonts w:ascii="宋体" w:hAnsi="宋体" w:eastAsia="宋体"/>
          <w:color w:val="auto"/>
          <w:highlight w:val="none"/>
        </w:rPr>
        <w:t>（</w:t>
      </w:r>
      <w:r>
        <w:rPr>
          <w:rFonts w:hint="eastAsia" w:ascii="宋体" w:hAnsi="宋体" w:eastAsia="宋体"/>
          <w:color w:val="auto"/>
          <w:highlight w:val="none"/>
        </w:rPr>
        <w:t>三</w:t>
      </w:r>
      <w:r>
        <w:rPr>
          <w:rFonts w:ascii="宋体" w:hAnsi="宋体" w:eastAsia="宋体"/>
          <w:color w:val="auto"/>
          <w:highlight w:val="none"/>
        </w:rPr>
        <w:t>）主要人员简历表</w:t>
      </w:r>
      <w:bookmarkEnd w:id="567"/>
      <w:bookmarkEnd w:id="568"/>
      <w:bookmarkEnd w:id="569"/>
      <w:bookmarkEnd w:id="570"/>
      <w:bookmarkEnd w:id="571"/>
      <w:bookmarkEnd w:id="572"/>
      <w:bookmarkEnd w:id="573"/>
      <w:bookmarkEnd w:id="574"/>
      <w:bookmarkEnd w:id="575"/>
      <w:bookmarkEnd w:id="576"/>
      <w:bookmarkEnd w:id="577"/>
      <w:bookmarkEnd w:id="578"/>
      <w:bookmarkEnd w:id="579"/>
    </w:p>
    <w:p w14:paraId="14232207">
      <w:pPr>
        <w:topLinePunct/>
        <w:spacing w:line="440" w:lineRule="exact"/>
        <w:jc w:val="center"/>
        <w:rPr>
          <w:rFonts w:ascii="宋体" w:hAnsi="宋体"/>
          <w:color w:val="auto"/>
          <w:sz w:val="23"/>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864"/>
        <w:gridCol w:w="975"/>
        <w:gridCol w:w="1225"/>
        <w:gridCol w:w="356"/>
        <w:gridCol w:w="1631"/>
        <w:gridCol w:w="1927"/>
      </w:tblGrid>
      <w:tr w14:paraId="1286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2B34D42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姓名</w:t>
            </w:r>
          </w:p>
        </w:tc>
        <w:tc>
          <w:tcPr>
            <w:tcW w:w="1221" w:type="dxa"/>
            <w:gridSpan w:val="2"/>
            <w:vAlign w:val="center"/>
          </w:tcPr>
          <w:p w14:paraId="0E47BE5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975" w:type="dxa"/>
            <w:vAlign w:val="center"/>
          </w:tcPr>
          <w:p w14:paraId="364DCE83">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r>
              <w:rPr>
                <w:rFonts w:hint="default" w:ascii="宋体" w:hAnsi="宋体"/>
                <w:color w:val="auto"/>
                <w:highlight w:val="none"/>
              </w:rPr>
              <w:t>年龄</w:t>
            </w:r>
          </w:p>
        </w:tc>
        <w:tc>
          <w:tcPr>
            <w:tcW w:w="1225" w:type="dxa"/>
            <w:vAlign w:val="center"/>
          </w:tcPr>
          <w:p w14:paraId="5D7CDB94">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987" w:type="dxa"/>
            <w:gridSpan w:val="2"/>
            <w:vAlign w:val="center"/>
          </w:tcPr>
          <w:p w14:paraId="77A4E1DF">
            <w:pPr>
              <w:keepNext w:val="0"/>
              <w:keepLines w:val="0"/>
              <w:suppressLineNumbers w:val="0"/>
              <w:spacing w:before="0" w:beforeAutospacing="0" w:after="0" w:afterAutospacing="0" w:line="440" w:lineRule="exact"/>
              <w:ind w:left="0" w:right="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专业</w:t>
            </w:r>
          </w:p>
        </w:tc>
        <w:tc>
          <w:tcPr>
            <w:tcW w:w="1927" w:type="dxa"/>
            <w:vAlign w:val="center"/>
          </w:tcPr>
          <w:p w14:paraId="087A1C3E">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19BC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67AC5855">
            <w:pPr>
              <w:keepNext w:val="0"/>
              <w:keepLines w:val="0"/>
              <w:suppressLineNumbers w:val="0"/>
              <w:spacing w:before="0" w:beforeAutospacing="0" w:after="0" w:afterAutospacing="0" w:line="440" w:lineRule="exact"/>
              <w:ind w:left="0" w:right="0"/>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职位</w:t>
            </w:r>
          </w:p>
        </w:tc>
        <w:tc>
          <w:tcPr>
            <w:tcW w:w="1221" w:type="dxa"/>
            <w:gridSpan w:val="2"/>
            <w:vAlign w:val="center"/>
          </w:tcPr>
          <w:p w14:paraId="2AADF822">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975" w:type="dxa"/>
            <w:vAlign w:val="center"/>
          </w:tcPr>
          <w:p w14:paraId="6BE162B2">
            <w:pPr>
              <w:keepNext w:val="0"/>
              <w:keepLines w:val="0"/>
              <w:suppressLineNumbers w:val="0"/>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学历</w:t>
            </w:r>
          </w:p>
        </w:tc>
        <w:tc>
          <w:tcPr>
            <w:tcW w:w="1225" w:type="dxa"/>
            <w:vAlign w:val="center"/>
          </w:tcPr>
          <w:p w14:paraId="02E98C13">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987" w:type="dxa"/>
            <w:gridSpan w:val="2"/>
            <w:vAlign w:val="center"/>
          </w:tcPr>
          <w:p w14:paraId="779E5604">
            <w:pPr>
              <w:keepNext w:val="0"/>
              <w:keepLines w:val="0"/>
              <w:suppressLineNumbers w:val="0"/>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拟在本项目任职</w:t>
            </w:r>
          </w:p>
        </w:tc>
        <w:tc>
          <w:tcPr>
            <w:tcW w:w="1927" w:type="dxa"/>
            <w:vAlign w:val="center"/>
          </w:tcPr>
          <w:p w14:paraId="34C67DB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53DA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5CA42934">
            <w:pPr>
              <w:keepNext w:val="0"/>
              <w:keepLines w:val="0"/>
              <w:suppressLineNumbers w:val="0"/>
              <w:spacing w:before="100" w:beforeAutospacing="1" w:after="100" w:afterAutospacing="1" w:line="440" w:lineRule="exact"/>
              <w:ind w:left="0" w:right="0"/>
              <w:jc w:val="center"/>
              <w:rPr>
                <w:rFonts w:hint="default" w:ascii="宋体" w:hAnsi="宋体"/>
                <w:color w:val="auto"/>
                <w:highlight w:val="none"/>
                <w:lang w:val="en-US"/>
              </w:rPr>
            </w:pPr>
            <w:r>
              <w:rPr>
                <w:rFonts w:hint="eastAsia" w:ascii="宋体" w:hAnsi="宋体"/>
                <w:color w:val="auto"/>
                <w:highlight w:val="none"/>
                <w:lang w:val="en-US" w:eastAsia="zh-CN"/>
              </w:rPr>
              <w:t>身份证号</w:t>
            </w:r>
          </w:p>
        </w:tc>
        <w:tc>
          <w:tcPr>
            <w:tcW w:w="3421" w:type="dxa"/>
            <w:gridSpan w:val="4"/>
            <w:vAlign w:val="center"/>
          </w:tcPr>
          <w:p w14:paraId="5C5C1BDC">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c>
          <w:tcPr>
            <w:tcW w:w="1987" w:type="dxa"/>
            <w:gridSpan w:val="2"/>
            <w:vAlign w:val="center"/>
          </w:tcPr>
          <w:p w14:paraId="18B6150C">
            <w:pPr>
              <w:keepNext w:val="0"/>
              <w:keepLines w:val="0"/>
              <w:suppressLineNumbers w:val="0"/>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从事工作年限</w:t>
            </w:r>
          </w:p>
        </w:tc>
        <w:tc>
          <w:tcPr>
            <w:tcW w:w="1927" w:type="dxa"/>
            <w:vAlign w:val="center"/>
          </w:tcPr>
          <w:p w14:paraId="0E0C12A5">
            <w:pPr>
              <w:keepNext w:val="0"/>
              <w:keepLines w:val="0"/>
              <w:suppressLineNumbers w:val="0"/>
              <w:spacing w:before="0" w:beforeAutospacing="0" w:after="0" w:afterAutospacing="0" w:line="440" w:lineRule="exact"/>
              <w:ind w:left="0" w:right="0"/>
              <w:jc w:val="center"/>
              <w:rPr>
                <w:rFonts w:hint="default" w:ascii="宋体" w:hAnsi="宋体"/>
                <w:color w:val="auto"/>
                <w:highlight w:val="none"/>
              </w:rPr>
            </w:pPr>
          </w:p>
        </w:tc>
      </w:tr>
      <w:tr w14:paraId="6433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338B0FC2">
            <w:pPr>
              <w:keepNext w:val="0"/>
              <w:keepLines w:val="0"/>
              <w:suppressLineNumbers w:val="0"/>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毕业学校</w:t>
            </w:r>
          </w:p>
        </w:tc>
        <w:tc>
          <w:tcPr>
            <w:tcW w:w="7335" w:type="dxa"/>
            <w:gridSpan w:val="7"/>
            <w:vAlign w:val="center"/>
          </w:tcPr>
          <w:p w14:paraId="5CCC946B">
            <w:pPr>
              <w:keepNext w:val="0"/>
              <w:keepLines w:val="0"/>
              <w:suppressLineNumbers w:val="0"/>
              <w:spacing w:before="100" w:beforeAutospacing="1" w:after="100" w:afterAutospacing="1" w:line="440" w:lineRule="exact"/>
              <w:ind w:left="0" w:right="0" w:firstLine="1155" w:firstLineChars="550"/>
              <w:rPr>
                <w:rFonts w:hint="default" w:ascii="宋体" w:hAnsi="宋体"/>
                <w:color w:val="auto"/>
                <w:highlight w:val="none"/>
              </w:rPr>
            </w:pPr>
            <w:r>
              <w:rPr>
                <w:rFonts w:hint="default" w:ascii="宋体" w:hAnsi="宋体"/>
                <w:color w:val="auto"/>
                <w:highlight w:val="none"/>
              </w:rPr>
              <w:t>年毕业于学校专业</w:t>
            </w:r>
          </w:p>
        </w:tc>
      </w:tr>
      <w:tr w14:paraId="39C7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8"/>
            <w:vAlign w:val="center"/>
          </w:tcPr>
          <w:p w14:paraId="377CA581">
            <w:pPr>
              <w:keepNext w:val="0"/>
              <w:keepLines w:val="0"/>
              <w:suppressLineNumbers w:val="0"/>
              <w:spacing w:before="100" w:beforeAutospacing="1" w:after="100" w:afterAutospacing="1" w:line="440" w:lineRule="exact"/>
              <w:ind w:left="0" w:right="0"/>
              <w:jc w:val="left"/>
              <w:rPr>
                <w:rFonts w:hint="default" w:ascii="宋体" w:hAnsi="宋体"/>
                <w:color w:val="auto"/>
                <w:highlight w:val="none"/>
              </w:rPr>
            </w:pPr>
            <w:r>
              <w:rPr>
                <w:rFonts w:hint="default" w:ascii="宋体" w:hAnsi="宋体"/>
                <w:color w:val="auto"/>
                <w:highlight w:val="none"/>
              </w:rPr>
              <w:t>主要工作经历</w:t>
            </w:r>
          </w:p>
        </w:tc>
      </w:tr>
      <w:tr w14:paraId="5209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1CFEC47C">
            <w:pPr>
              <w:keepNext w:val="0"/>
              <w:keepLines w:val="0"/>
              <w:suppressLineNumbers w:val="0"/>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时间</w:t>
            </w:r>
          </w:p>
        </w:tc>
        <w:tc>
          <w:tcPr>
            <w:tcW w:w="3420" w:type="dxa"/>
            <w:gridSpan w:val="4"/>
            <w:vAlign w:val="center"/>
          </w:tcPr>
          <w:p w14:paraId="29BA14A5">
            <w:pPr>
              <w:keepNext w:val="0"/>
              <w:keepLines w:val="0"/>
              <w:suppressLineNumbers w:val="0"/>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参加过的类似项目</w:t>
            </w:r>
          </w:p>
        </w:tc>
        <w:tc>
          <w:tcPr>
            <w:tcW w:w="1631" w:type="dxa"/>
            <w:vAlign w:val="center"/>
          </w:tcPr>
          <w:p w14:paraId="5E69A435">
            <w:pPr>
              <w:keepNext w:val="0"/>
              <w:keepLines w:val="0"/>
              <w:suppressLineNumbers w:val="0"/>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担任职务</w:t>
            </w:r>
          </w:p>
        </w:tc>
        <w:tc>
          <w:tcPr>
            <w:tcW w:w="1927" w:type="dxa"/>
            <w:vAlign w:val="center"/>
          </w:tcPr>
          <w:p w14:paraId="58AB8694">
            <w:pPr>
              <w:keepNext w:val="0"/>
              <w:keepLines w:val="0"/>
              <w:suppressLineNumbers w:val="0"/>
              <w:spacing w:before="100" w:beforeAutospacing="1" w:after="100" w:afterAutospacing="1" w:line="440" w:lineRule="exact"/>
              <w:ind w:left="0" w:right="0"/>
              <w:jc w:val="center"/>
              <w:rPr>
                <w:rFonts w:hint="default" w:ascii="宋体" w:hAnsi="宋体"/>
                <w:color w:val="auto"/>
                <w:highlight w:val="none"/>
              </w:rPr>
            </w:pPr>
            <w:r>
              <w:rPr>
                <w:rFonts w:hint="default" w:ascii="宋体" w:hAnsi="宋体"/>
                <w:color w:val="auto"/>
                <w:highlight w:val="none"/>
              </w:rPr>
              <w:t>委托人及联系电话</w:t>
            </w:r>
          </w:p>
        </w:tc>
      </w:tr>
      <w:tr w14:paraId="6248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C48BD1D">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3420" w:type="dxa"/>
            <w:gridSpan w:val="4"/>
          </w:tcPr>
          <w:p w14:paraId="5131DEAB">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631" w:type="dxa"/>
          </w:tcPr>
          <w:p w14:paraId="3F6059BC">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927" w:type="dxa"/>
          </w:tcPr>
          <w:p w14:paraId="27D4DFD4">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r>
      <w:tr w14:paraId="4F5C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3C6A1BD">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3420" w:type="dxa"/>
            <w:gridSpan w:val="4"/>
          </w:tcPr>
          <w:p w14:paraId="438EE20E">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631" w:type="dxa"/>
          </w:tcPr>
          <w:p w14:paraId="7D3240E0">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927" w:type="dxa"/>
          </w:tcPr>
          <w:p w14:paraId="723BB7DD">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r>
      <w:tr w14:paraId="2EDF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6BF9FEF">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3420" w:type="dxa"/>
            <w:gridSpan w:val="4"/>
          </w:tcPr>
          <w:p w14:paraId="2E54E43C">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631" w:type="dxa"/>
          </w:tcPr>
          <w:p w14:paraId="409686E4">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927" w:type="dxa"/>
          </w:tcPr>
          <w:p w14:paraId="38E6F2BB">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r>
      <w:tr w14:paraId="5950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704F34B">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3420" w:type="dxa"/>
            <w:gridSpan w:val="4"/>
            <w:vAlign w:val="center"/>
          </w:tcPr>
          <w:p w14:paraId="6ECB4404">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631" w:type="dxa"/>
            <w:vAlign w:val="center"/>
          </w:tcPr>
          <w:p w14:paraId="055DDB49">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927" w:type="dxa"/>
            <w:vAlign w:val="center"/>
          </w:tcPr>
          <w:p w14:paraId="0F117AD4">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r>
      <w:tr w14:paraId="785C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F214F4A">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3420" w:type="dxa"/>
            <w:gridSpan w:val="4"/>
            <w:vAlign w:val="center"/>
          </w:tcPr>
          <w:p w14:paraId="06A9C948">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631" w:type="dxa"/>
            <w:vAlign w:val="center"/>
          </w:tcPr>
          <w:p w14:paraId="551FEA94">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927" w:type="dxa"/>
            <w:vAlign w:val="center"/>
          </w:tcPr>
          <w:p w14:paraId="355C1752">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r>
      <w:tr w14:paraId="4FD7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1A5A839">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3420" w:type="dxa"/>
            <w:gridSpan w:val="4"/>
            <w:vAlign w:val="center"/>
          </w:tcPr>
          <w:p w14:paraId="5D97F4B5">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631" w:type="dxa"/>
            <w:vAlign w:val="center"/>
          </w:tcPr>
          <w:p w14:paraId="78D3E734">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c>
          <w:tcPr>
            <w:tcW w:w="1927" w:type="dxa"/>
            <w:vAlign w:val="center"/>
          </w:tcPr>
          <w:p w14:paraId="219EDCA3">
            <w:pPr>
              <w:keepNext w:val="0"/>
              <w:keepLines w:val="0"/>
              <w:suppressLineNumbers w:val="0"/>
              <w:spacing w:before="0" w:beforeAutospacing="0" w:after="0" w:afterAutospacing="0" w:line="440" w:lineRule="exact"/>
              <w:ind w:left="0" w:right="0"/>
              <w:rPr>
                <w:rFonts w:hint="default" w:ascii="宋体" w:hAnsi="宋体"/>
                <w:color w:val="auto"/>
                <w:highlight w:val="none"/>
              </w:rPr>
            </w:pPr>
          </w:p>
        </w:tc>
      </w:tr>
    </w:tbl>
    <w:p w14:paraId="33FFAE0B">
      <w:pPr>
        <w:spacing w:line="440" w:lineRule="exact"/>
        <w:ind w:left="420" w:hanging="420" w:hangingChars="200"/>
        <w:rPr>
          <w:rFonts w:hint="default" w:eastAsia="宋体"/>
          <w:color w:val="auto"/>
          <w:highlight w:val="none"/>
          <w:lang w:val="en-US" w:eastAsia="zh-CN"/>
        </w:rPr>
      </w:pPr>
      <w:r>
        <w:rPr>
          <w:rFonts w:ascii="宋体" w:hAnsi="宋体"/>
          <w:color w:val="auto"/>
          <w:highlight w:val="none"/>
        </w:rPr>
        <w:t>注：</w:t>
      </w:r>
      <w:r>
        <w:rPr>
          <w:rFonts w:hint="eastAsia" w:ascii="宋体" w:hAnsi="宋体"/>
          <w:color w:val="auto"/>
          <w:highlight w:val="none"/>
        </w:rPr>
        <w:t>项目负责人和</w:t>
      </w:r>
      <w:r>
        <w:rPr>
          <w:rFonts w:hint="eastAsia"/>
          <w:color w:val="auto"/>
          <w:highlight w:val="none"/>
        </w:rPr>
        <w:t>其他主要人员</w:t>
      </w:r>
      <w:r>
        <w:rPr>
          <w:rFonts w:hint="eastAsia" w:ascii="宋体" w:hAnsi="宋体"/>
          <w:color w:val="auto"/>
          <w:highlight w:val="none"/>
        </w:rPr>
        <w:t>应附身份证</w:t>
      </w:r>
      <w:r>
        <w:rPr>
          <w:rFonts w:hint="eastAsia"/>
          <w:color w:val="auto"/>
          <w:highlight w:val="none"/>
        </w:rPr>
        <w:t>扫描件</w:t>
      </w:r>
      <w:r>
        <w:rPr>
          <w:rFonts w:hint="eastAsia"/>
          <w:color w:val="auto"/>
          <w:highlight w:val="none"/>
          <w:u w:val="none"/>
          <w:lang w:eastAsia="zh-CN"/>
        </w:rPr>
        <w:t>。</w:t>
      </w:r>
    </w:p>
    <w:p w14:paraId="323F9E46">
      <w:pPr>
        <w:spacing w:line="440" w:lineRule="exact"/>
        <w:ind w:left="0" w:leftChars="0" w:firstLine="420" w:firstLineChars="200"/>
        <w:rPr>
          <w:rFonts w:ascii="宋体" w:hAnsi="宋体"/>
          <w:color w:val="auto"/>
          <w:highlight w:val="none"/>
        </w:rPr>
      </w:pPr>
      <w:r>
        <w:rPr>
          <w:rFonts w:hint="eastAsia" w:ascii="宋体" w:hAnsi="宋体"/>
          <w:color w:val="auto"/>
          <w:highlight w:val="none"/>
        </w:rPr>
        <w:t>如拟投入的人员非本单位的人员，投标单位需提供聘请外单位人员为本项目服务的协议书或合作书等相关材料扫描证，格式自拟。</w:t>
      </w:r>
      <w:bookmarkStart w:id="580" w:name="_Toc352703741"/>
      <w:bookmarkStart w:id="581" w:name="_Toc300835229"/>
    </w:p>
    <w:bookmarkEnd w:id="580"/>
    <w:bookmarkEnd w:id="581"/>
    <w:p w14:paraId="29CE11E3">
      <w:pPr>
        <w:pStyle w:val="4"/>
        <w:ind w:firstLine="137"/>
        <w:rPr>
          <w:rFonts w:ascii="宋体" w:hAnsi="宋体" w:eastAsia="宋体"/>
          <w:color w:val="auto"/>
          <w:highlight w:val="none"/>
        </w:rPr>
      </w:pPr>
      <w:bookmarkStart w:id="582" w:name="_Toc128512550"/>
      <w:bookmarkStart w:id="583" w:name="_Toc18150"/>
    </w:p>
    <w:p w14:paraId="14AF42A0">
      <w:pPr>
        <w:rPr>
          <w:rFonts w:hint="eastAsia" w:ascii="宋体" w:hAnsi="宋体" w:eastAsia="宋体"/>
          <w:color w:val="auto"/>
          <w:highlight w:val="none"/>
        </w:rPr>
      </w:pPr>
      <w:r>
        <w:rPr>
          <w:rFonts w:hint="eastAsia" w:ascii="宋体" w:hAnsi="宋体" w:eastAsia="宋体"/>
          <w:color w:val="auto"/>
          <w:highlight w:val="none"/>
        </w:rPr>
        <w:br w:type="page"/>
      </w:r>
    </w:p>
    <w:p w14:paraId="39F2E6EB">
      <w:pPr>
        <w:pStyle w:val="4"/>
        <w:ind w:firstLine="137"/>
        <w:rPr>
          <w:rFonts w:ascii="宋体" w:hAnsi="宋体" w:eastAsia="宋体"/>
          <w:color w:val="auto"/>
          <w:highlight w:val="none"/>
        </w:rPr>
      </w:pPr>
      <w:r>
        <w:rPr>
          <w:rFonts w:hint="eastAsia" w:ascii="宋体" w:hAnsi="宋体" w:eastAsia="宋体"/>
          <w:color w:val="auto"/>
          <w:highlight w:val="none"/>
        </w:rPr>
        <w:t>（四）其他材料</w:t>
      </w:r>
      <w:bookmarkEnd w:id="582"/>
      <w:bookmarkEnd w:id="583"/>
    </w:p>
    <w:p w14:paraId="2D1F3F74">
      <w:pPr>
        <w:widowControl/>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1、项目业绩证明（如有）</w:t>
      </w:r>
    </w:p>
    <w:p w14:paraId="5BAA125D">
      <w:pPr>
        <w:widowControl/>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2、项目负责人业绩（如有）</w:t>
      </w:r>
    </w:p>
    <w:p w14:paraId="159DFA69">
      <w:pPr>
        <w:widowControl/>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3、拟投入本项目团队成员的经验证明承诺函（项目负责人除外，格式自拟）</w:t>
      </w:r>
    </w:p>
    <w:p w14:paraId="7E3A020D">
      <w:pPr>
        <w:widowControl/>
        <w:jc w:val="left"/>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投标人认为需要提供的其他证明材料</w:t>
      </w:r>
    </w:p>
    <w:p w14:paraId="12E2D73C">
      <w:pPr>
        <w:widowControl/>
        <w:jc w:val="left"/>
        <w:rPr>
          <w:rFonts w:ascii="宋体" w:hAnsi="宋体"/>
          <w:color w:val="auto"/>
          <w:sz w:val="28"/>
          <w:szCs w:val="28"/>
          <w:highlight w:val="none"/>
        </w:rPr>
      </w:pPr>
      <w:r>
        <w:rPr>
          <w:rFonts w:ascii="宋体" w:hAnsi="宋体"/>
          <w:color w:val="auto"/>
          <w:sz w:val="28"/>
          <w:szCs w:val="28"/>
          <w:highlight w:val="none"/>
        </w:rPr>
        <w:br w:type="page"/>
      </w:r>
      <w:bookmarkStart w:id="584" w:name="_Toc17979"/>
      <w:r>
        <w:rPr>
          <w:rFonts w:hint="eastAsia" w:ascii="宋体" w:hAnsi="宋体"/>
          <w:color w:val="auto"/>
          <w:highlight w:val="none"/>
        </w:rPr>
        <w:t xml:space="preserve"> </w:t>
      </w:r>
      <w:bookmarkEnd w:id="584"/>
    </w:p>
    <w:p w14:paraId="3D138F3B">
      <w:pPr>
        <w:pStyle w:val="3"/>
        <w:spacing w:after="0"/>
        <w:jc w:val="center"/>
        <w:rPr>
          <w:rFonts w:ascii="宋体" w:hAnsi="宋体" w:eastAsia="宋体"/>
          <w:color w:val="auto"/>
          <w:highlight w:val="none"/>
          <w:lang w:val="en-US"/>
        </w:rPr>
      </w:pPr>
      <w:bookmarkStart w:id="585" w:name="_Toc5057"/>
      <w:bookmarkStart w:id="586" w:name="_Toc128512551"/>
      <w:r>
        <w:rPr>
          <w:rFonts w:hint="eastAsia" w:ascii="宋体" w:hAnsi="宋体" w:eastAsia="宋体"/>
          <w:color w:val="auto"/>
          <w:highlight w:val="none"/>
        </w:rPr>
        <w:t>六、</w:t>
      </w:r>
      <w:bookmarkEnd w:id="585"/>
      <w:bookmarkEnd w:id="586"/>
      <w:r>
        <w:rPr>
          <w:rFonts w:hint="eastAsia" w:ascii="宋体" w:hAnsi="宋体" w:eastAsia="宋体"/>
          <w:color w:val="auto"/>
          <w:highlight w:val="none"/>
          <w:lang w:val="en-US"/>
        </w:rPr>
        <w:t>创意设计方案</w:t>
      </w:r>
    </w:p>
    <w:p w14:paraId="46EE30FA">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一、创意设计方案的合理性</w:t>
      </w:r>
    </w:p>
    <w:p w14:paraId="366B87A8">
      <w:pPr>
        <w:spacing w:line="360" w:lineRule="auto"/>
        <w:ind w:firstLine="420" w:firstLineChars="200"/>
        <w:rPr>
          <w:rFonts w:ascii="宋体" w:hAnsi="宋体"/>
          <w:color w:val="auto"/>
          <w:sz w:val="24"/>
          <w:szCs w:val="24"/>
          <w:highlight w:val="none"/>
        </w:rPr>
      </w:pPr>
      <w:r>
        <w:rPr>
          <w:rFonts w:ascii="仿宋" w:hAnsi="仿宋" w:cs="宋体"/>
          <w:color w:val="auto"/>
          <w:szCs w:val="21"/>
          <w:highlight w:val="none"/>
        </w:rPr>
        <w:t>工作进度计划表、人员配置，应急方案等</w:t>
      </w:r>
      <w:r>
        <w:rPr>
          <w:rFonts w:hint="eastAsia" w:ascii="仿宋" w:hAnsi="仿宋" w:cs="宋体"/>
          <w:color w:val="auto"/>
          <w:szCs w:val="21"/>
          <w:highlight w:val="none"/>
        </w:rPr>
        <w:t>布展内容的合理性</w:t>
      </w:r>
    </w:p>
    <w:p w14:paraId="5417445B">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二、创意设计方案的完整度</w:t>
      </w:r>
    </w:p>
    <w:p w14:paraId="6F0CB8DC">
      <w:pPr>
        <w:spacing w:line="360" w:lineRule="auto"/>
        <w:ind w:firstLine="420" w:firstLineChars="200"/>
        <w:rPr>
          <w:rFonts w:ascii="仿宋" w:hAnsi="仿宋" w:cs="宋体"/>
          <w:color w:val="auto"/>
          <w:szCs w:val="21"/>
          <w:highlight w:val="none"/>
        </w:rPr>
      </w:pPr>
      <w:r>
        <w:rPr>
          <w:rFonts w:hint="eastAsia" w:ascii="仿宋" w:hAnsi="仿宋" w:cs="宋体"/>
          <w:color w:val="auto"/>
          <w:szCs w:val="21"/>
          <w:highlight w:val="none"/>
        </w:rPr>
        <w:t>灯光作品的布点规划、创作思路、尺寸大小等方案内容的完整度</w:t>
      </w:r>
    </w:p>
    <w:p w14:paraId="0397E888">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三、创意设计方案的贴合度</w:t>
      </w:r>
    </w:p>
    <w:p w14:paraId="78933916">
      <w:pPr>
        <w:spacing w:line="360" w:lineRule="auto"/>
        <w:ind w:firstLine="420" w:firstLineChars="200"/>
        <w:rPr>
          <w:rFonts w:ascii="仿宋" w:hAnsi="仿宋" w:cs="宋体"/>
          <w:color w:val="auto"/>
          <w:szCs w:val="21"/>
          <w:highlight w:val="none"/>
        </w:rPr>
      </w:pPr>
      <w:r>
        <w:rPr>
          <w:rFonts w:hint="eastAsia" w:ascii="仿宋" w:hAnsi="仿宋" w:cs="宋体"/>
          <w:color w:val="auto"/>
          <w:szCs w:val="21"/>
          <w:highlight w:val="none"/>
        </w:rPr>
        <w:t>针对本项目的创意设计方案内容的贴合度</w:t>
      </w:r>
    </w:p>
    <w:p w14:paraId="7F71330B">
      <w:pPr>
        <w:numPr>
          <w:ilvl w:val="0"/>
          <w:numId w:val="3"/>
        </w:num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创意设计方案的效果图</w:t>
      </w:r>
    </w:p>
    <w:p w14:paraId="6F4F6928">
      <w:pPr>
        <w:spacing w:line="360" w:lineRule="auto"/>
        <w:ind w:firstLine="420" w:firstLineChars="200"/>
        <w:rPr>
          <w:rFonts w:ascii="仿宋" w:hAnsi="仿宋" w:cs="宋体"/>
          <w:color w:val="auto"/>
          <w:szCs w:val="21"/>
          <w:highlight w:val="none"/>
        </w:rPr>
      </w:pPr>
      <w:r>
        <w:rPr>
          <w:rFonts w:hint="eastAsia" w:ascii="仿宋" w:hAnsi="仿宋" w:cs="宋体"/>
          <w:color w:val="auto"/>
          <w:szCs w:val="21"/>
          <w:highlight w:val="none"/>
        </w:rPr>
        <w:t>根据用户需求书及招标文件的要求设计不少于35组的灯光作品的设计及其创意构想</w:t>
      </w:r>
    </w:p>
    <w:p w14:paraId="30EC307C">
      <w:pPr>
        <w:pStyle w:val="3"/>
        <w:spacing w:line="400" w:lineRule="exact"/>
        <w:jc w:val="center"/>
        <w:rPr>
          <w:rFonts w:ascii="宋体" w:hAnsi="宋体" w:eastAsia="宋体"/>
          <w:color w:val="auto"/>
          <w:highlight w:val="none"/>
        </w:rPr>
      </w:pPr>
      <w:r>
        <w:rPr>
          <w:rFonts w:ascii="宋体" w:hAnsi="宋体" w:eastAsia="宋体"/>
          <w:color w:val="auto"/>
          <w:highlight w:val="none"/>
        </w:rPr>
        <w:br w:type="page"/>
      </w:r>
      <w:bookmarkStart w:id="587" w:name="_Toc4627"/>
      <w:bookmarkStart w:id="588" w:name="_Toc128512552"/>
      <w:bookmarkStart w:id="589" w:name="_Toc45110873"/>
      <w:r>
        <w:rPr>
          <w:rFonts w:hint="eastAsia" w:ascii="宋体" w:hAnsi="宋体" w:eastAsia="宋体"/>
          <w:color w:val="auto"/>
          <w:highlight w:val="none"/>
        </w:rPr>
        <w:t>七</w:t>
      </w:r>
      <w:r>
        <w:rPr>
          <w:rFonts w:ascii="宋体" w:hAnsi="宋体" w:eastAsia="宋体"/>
          <w:color w:val="auto"/>
          <w:highlight w:val="none"/>
        </w:rPr>
        <w:t>、</w:t>
      </w:r>
      <w:r>
        <w:rPr>
          <w:rFonts w:hint="eastAsia" w:ascii="宋体" w:hAnsi="宋体" w:eastAsia="宋体"/>
          <w:color w:val="auto"/>
          <w:highlight w:val="none"/>
        </w:rPr>
        <w:t>投标人认为需补充的其他资料</w:t>
      </w:r>
      <w:bookmarkEnd w:id="587"/>
      <w:bookmarkEnd w:id="588"/>
      <w:bookmarkEnd w:id="589"/>
    </w:p>
    <w:p w14:paraId="7A945C88">
      <w:pPr>
        <w:pStyle w:val="3"/>
        <w:keepNext w:val="0"/>
        <w:keepLines w:val="0"/>
        <w:spacing w:after="0"/>
        <w:jc w:val="center"/>
        <w:rPr>
          <w:rFonts w:ascii="宋体" w:hAnsi="宋体" w:eastAsia="宋体"/>
          <w:color w:val="auto"/>
          <w:highlight w:val="none"/>
        </w:rPr>
      </w:pPr>
    </w:p>
    <w:p w14:paraId="4EA6DA83">
      <w:pPr>
        <w:rPr>
          <w:color w:val="auto"/>
          <w:highlight w:val="none"/>
        </w:rPr>
      </w:pPr>
    </w:p>
    <w:p w14:paraId="781611E4">
      <w:pPr>
        <w:rPr>
          <w:color w:val="auto"/>
          <w:highlight w:val="none"/>
        </w:rPr>
      </w:pPr>
    </w:p>
    <w:sectPr>
      <w:pgSz w:w="12240" w:h="15840"/>
      <w:pgMar w:top="1134" w:right="1418" w:bottom="1134" w:left="1418"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574D">
    <w:pPr>
      <w:pStyle w:val="24"/>
      <w:tabs>
        <w:tab w:val="center" w:pos="4153"/>
        <w:tab w:val="right" w:pos="8306"/>
        <w:tab w:val="clear" w:pos="4140"/>
        <w:tab w:val="clear" w:pos="8300"/>
      </w:tabs>
      <w:jc w:val="center"/>
    </w:pPr>
    <w:r>
      <w:fldChar w:fldCharType="begin"/>
    </w:r>
    <w:r>
      <w:instrText xml:space="preserve"> PAGE   \* MERGEFORMAT </w:instrText>
    </w:r>
    <w:r>
      <w:fldChar w:fldCharType="separate"/>
    </w:r>
    <w:r>
      <w:t>48</w:t>
    </w:r>
    <w:r>
      <w:fldChar w:fldCharType="end"/>
    </w:r>
  </w:p>
  <w:p w14:paraId="15C44AEE">
    <w:pPr>
      <w:pStyle w:val="24"/>
      <w:tabs>
        <w:tab w:val="center" w:pos="4153"/>
        <w:tab w:val="right" w:pos="8306"/>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E3E0">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B842D">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547E">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7F92">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E5C6">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9D2F4"/>
    <w:multiLevelType w:val="singleLevel"/>
    <w:tmpl w:val="B589D2F4"/>
    <w:lvl w:ilvl="0" w:tentative="0">
      <w:start w:val="2"/>
      <w:numFmt w:val="chineseCounting"/>
      <w:suff w:val="nothing"/>
      <w:lvlText w:val="（%1）"/>
      <w:lvlJc w:val="left"/>
      <w:rPr>
        <w:rFonts w:hint="eastAsia"/>
      </w:rPr>
    </w:lvl>
  </w:abstractNum>
  <w:abstractNum w:abstractNumId="1">
    <w:nsid w:val="00000004"/>
    <w:multiLevelType w:val="singleLevel"/>
    <w:tmpl w:val="00000004"/>
    <w:lvl w:ilvl="0" w:tentative="0">
      <w:start w:val="1"/>
      <w:numFmt w:val="decimal"/>
      <w:suff w:val="nothing"/>
      <w:lvlText w:val="%1、"/>
      <w:lvlJc w:val="left"/>
    </w:lvl>
  </w:abstractNum>
  <w:abstractNum w:abstractNumId="2">
    <w:nsid w:val="4F704911"/>
    <w:multiLevelType w:val="singleLevel"/>
    <w:tmpl w:val="4F704911"/>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YmI1MzA1YTMyZTBmY2M5NThjZWZlYThhMjBmZDAifQ=="/>
    <w:docVar w:name="KSO_WPS_MARK_KEY" w:val="fc6bf3a6-b565-422b-9773-727e0086603f"/>
  </w:docVars>
  <w:rsids>
    <w:rsidRoot w:val="00172A27"/>
    <w:rsid w:val="00002A60"/>
    <w:rsid w:val="00004603"/>
    <w:rsid w:val="00007319"/>
    <w:rsid w:val="000106AE"/>
    <w:rsid w:val="000109BA"/>
    <w:rsid w:val="00010AAF"/>
    <w:rsid w:val="000113EC"/>
    <w:rsid w:val="00011684"/>
    <w:rsid w:val="00011D12"/>
    <w:rsid w:val="00012703"/>
    <w:rsid w:val="00014188"/>
    <w:rsid w:val="00014368"/>
    <w:rsid w:val="0001485E"/>
    <w:rsid w:val="00017D70"/>
    <w:rsid w:val="00020140"/>
    <w:rsid w:val="00020F53"/>
    <w:rsid w:val="00020FD0"/>
    <w:rsid w:val="00021BFE"/>
    <w:rsid w:val="000250D6"/>
    <w:rsid w:val="00025ACC"/>
    <w:rsid w:val="00026171"/>
    <w:rsid w:val="00026AA0"/>
    <w:rsid w:val="00027297"/>
    <w:rsid w:val="0002793E"/>
    <w:rsid w:val="00027FC6"/>
    <w:rsid w:val="00030736"/>
    <w:rsid w:val="0003191C"/>
    <w:rsid w:val="00032762"/>
    <w:rsid w:val="00032C9D"/>
    <w:rsid w:val="00033010"/>
    <w:rsid w:val="00034C73"/>
    <w:rsid w:val="000351AE"/>
    <w:rsid w:val="00037EFB"/>
    <w:rsid w:val="000408E0"/>
    <w:rsid w:val="00043778"/>
    <w:rsid w:val="00045007"/>
    <w:rsid w:val="00046C42"/>
    <w:rsid w:val="00047D65"/>
    <w:rsid w:val="0005168B"/>
    <w:rsid w:val="00054897"/>
    <w:rsid w:val="00055301"/>
    <w:rsid w:val="0005567D"/>
    <w:rsid w:val="00062AC6"/>
    <w:rsid w:val="00064A67"/>
    <w:rsid w:val="000658BF"/>
    <w:rsid w:val="00065A9E"/>
    <w:rsid w:val="000668F1"/>
    <w:rsid w:val="00067035"/>
    <w:rsid w:val="000670A4"/>
    <w:rsid w:val="00067426"/>
    <w:rsid w:val="00070145"/>
    <w:rsid w:val="00070A3C"/>
    <w:rsid w:val="0007298C"/>
    <w:rsid w:val="000743FD"/>
    <w:rsid w:val="0008132B"/>
    <w:rsid w:val="00081360"/>
    <w:rsid w:val="0008253E"/>
    <w:rsid w:val="000866A3"/>
    <w:rsid w:val="00087558"/>
    <w:rsid w:val="0009240C"/>
    <w:rsid w:val="00093C39"/>
    <w:rsid w:val="000943B0"/>
    <w:rsid w:val="0009471D"/>
    <w:rsid w:val="000948F1"/>
    <w:rsid w:val="00094C66"/>
    <w:rsid w:val="000971A8"/>
    <w:rsid w:val="000A03FD"/>
    <w:rsid w:val="000A118B"/>
    <w:rsid w:val="000A1D7A"/>
    <w:rsid w:val="000A287B"/>
    <w:rsid w:val="000A2A4F"/>
    <w:rsid w:val="000A3571"/>
    <w:rsid w:val="000A59DA"/>
    <w:rsid w:val="000A5C81"/>
    <w:rsid w:val="000A5EBF"/>
    <w:rsid w:val="000A76B3"/>
    <w:rsid w:val="000A7A03"/>
    <w:rsid w:val="000B0D32"/>
    <w:rsid w:val="000B0D6B"/>
    <w:rsid w:val="000B0FDF"/>
    <w:rsid w:val="000B5954"/>
    <w:rsid w:val="000B65E2"/>
    <w:rsid w:val="000B676B"/>
    <w:rsid w:val="000B6C42"/>
    <w:rsid w:val="000C0018"/>
    <w:rsid w:val="000C0AF1"/>
    <w:rsid w:val="000C1A9B"/>
    <w:rsid w:val="000C2AB5"/>
    <w:rsid w:val="000C4710"/>
    <w:rsid w:val="000C4924"/>
    <w:rsid w:val="000C51CC"/>
    <w:rsid w:val="000C54FD"/>
    <w:rsid w:val="000C6FFB"/>
    <w:rsid w:val="000C7A74"/>
    <w:rsid w:val="000D0820"/>
    <w:rsid w:val="000D204D"/>
    <w:rsid w:val="000D2D6E"/>
    <w:rsid w:val="000D3177"/>
    <w:rsid w:val="000D4336"/>
    <w:rsid w:val="000D49B4"/>
    <w:rsid w:val="000D778C"/>
    <w:rsid w:val="000E08CB"/>
    <w:rsid w:val="000E222F"/>
    <w:rsid w:val="000E2EFB"/>
    <w:rsid w:val="000E3AC5"/>
    <w:rsid w:val="000E456B"/>
    <w:rsid w:val="000E527E"/>
    <w:rsid w:val="000E5673"/>
    <w:rsid w:val="000E6F1C"/>
    <w:rsid w:val="000E7256"/>
    <w:rsid w:val="000E7D6A"/>
    <w:rsid w:val="000F2186"/>
    <w:rsid w:val="000F2A12"/>
    <w:rsid w:val="000F2ECC"/>
    <w:rsid w:val="000F44D2"/>
    <w:rsid w:val="000F61AC"/>
    <w:rsid w:val="000F6988"/>
    <w:rsid w:val="001011FC"/>
    <w:rsid w:val="00102618"/>
    <w:rsid w:val="00102F0B"/>
    <w:rsid w:val="00105423"/>
    <w:rsid w:val="001119B6"/>
    <w:rsid w:val="00115124"/>
    <w:rsid w:val="00117E80"/>
    <w:rsid w:val="00117E88"/>
    <w:rsid w:val="00117F0F"/>
    <w:rsid w:val="001210F5"/>
    <w:rsid w:val="00121B18"/>
    <w:rsid w:val="00122090"/>
    <w:rsid w:val="00123706"/>
    <w:rsid w:val="00123791"/>
    <w:rsid w:val="00124D05"/>
    <w:rsid w:val="001258B6"/>
    <w:rsid w:val="0012660F"/>
    <w:rsid w:val="001270CD"/>
    <w:rsid w:val="001340B0"/>
    <w:rsid w:val="00135228"/>
    <w:rsid w:val="00137B3C"/>
    <w:rsid w:val="00140935"/>
    <w:rsid w:val="0014098E"/>
    <w:rsid w:val="00144BD6"/>
    <w:rsid w:val="00145049"/>
    <w:rsid w:val="00146DFC"/>
    <w:rsid w:val="001530C6"/>
    <w:rsid w:val="00154F42"/>
    <w:rsid w:val="0015559E"/>
    <w:rsid w:val="00155CA3"/>
    <w:rsid w:val="00161560"/>
    <w:rsid w:val="001616FD"/>
    <w:rsid w:val="00161E2E"/>
    <w:rsid w:val="00163534"/>
    <w:rsid w:val="00170389"/>
    <w:rsid w:val="00171D2A"/>
    <w:rsid w:val="00172A27"/>
    <w:rsid w:val="00172FB1"/>
    <w:rsid w:val="001735B4"/>
    <w:rsid w:val="00173790"/>
    <w:rsid w:val="00174673"/>
    <w:rsid w:val="001748A3"/>
    <w:rsid w:val="00174B83"/>
    <w:rsid w:val="00177DBB"/>
    <w:rsid w:val="00182B11"/>
    <w:rsid w:val="00182E81"/>
    <w:rsid w:val="00183748"/>
    <w:rsid w:val="00183B4A"/>
    <w:rsid w:val="001848CF"/>
    <w:rsid w:val="0018514B"/>
    <w:rsid w:val="0018590A"/>
    <w:rsid w:val="00186361"/>
    <w:rsid w:val="00192B40"/>
    <w:rsid w:val="0019388F"/>
    <w:rsid w:val="00193C1D"/>
    <w:rsid w:val="001A067F"/>
    <w:rsid w:val="001A093D"/>
    <w:rsid w:val="001A0CCF"/>
    <w:rsid w:val="001A10F0"/>
    <w:rsid w:val="001A2E05"/>
    <w:rsid w:val="001A304A"/>
    <w:rsid w:val="001A4491"/>
    <w:rsid w:val="001A4684"/>
    <w:rsid w:val="001A6096"/>
    <w:rsid w:val="001B1289"/>
    <w:rsid w:val="001B174D"/>
    <w:rsid w:val="001B1B15"/>
    <w:rsid w:val="001B31E5"/>
    <w:rsid w:val="001B4065"/>
    <w:rsid w:val="001B4D3F"/>
    <w:rsid w:val="001B5478"/>
    <w:rsid w:val="001B577B"/>
    <w:rsid w:val="001B5B06"/>
    <w:rsid w:val="001B7FEF"/>
    <w:rsid w:val="001B7FF9"/>
    <w:rsid w:val="001C122A"/>
    <w:rsid w:val="001C1B18"/>
    <w:rsid w:val="001C30C7"/>
    <w:rsid w:val="001C4420"/>
    <w:rsid w:val="001C54E4"/>
    <w:rsid w:val="001D414D"/>
    <w:rsid w:val="001D5324"/>
    <w:rsid w:val="001D6649"/>
    <w:rsid w:val="001E1433"/>
    <w:rsid w:val="001E2303"/>
    <w:rsid w:val="001E268F"/>
    <w:rsid w:val="001E3063"/>
    <w:rsid w:val="001E7316"/>
    <w:rsid w:val="001F125C"/>
    <w:rsid w:val="001F2006"/>
    <w:rsid w:val="001F2208"/>
    <w:rsid w:val="001F285E"/>
    <w:rsid w:val="001F3671"/>
    <w:rsid w:val="001F4134"/>
    <w:rsid w:val="001F45EE"/>
    <w:rsid w:val="001F4850"/>
    <w:rsid w:val="001F619D"/>
    <w:rsid w:val="001F7F73"/>
    <w:rsid w:val="002036D5"/>
    <w:rsid w:val="00204A5C"/>
    <w:rsid w:val="00207733"/>
    <w:rsid w:val="00207A0B"/>
    <w:rsid w:val="002109BF"/>
    <w:rsid w:val="0021226E"/>
    <w:rsid w:val="00212A53"/>
    <w:rsid w:val="0021322F"/>
    <w:rsid w:val="00213B90"/>
    <w:rsid w:val="00215AF0"/>
    <w:rsid w:val="00221FAC"/>
    <w:rsid w:val="002229E2"/>
    <w:rsid w:val="0022434B"/>
    <w:rsid w:val="00225D8F"/>
    <w:rsid w:val="00230836"/>
    <w:rsid w:val="0023254E"/>
    <w:rsid w:val="0023336D"/>
    <w:rsid w:val="00233B44"/>
    <w:rsid w:val="0023423F"/>
    <w:rsid w:val="00237B0E"/>
    <w:rsid w:val="0024140D"/>
    <w:rsid w:val="00242D6B"/>
    <w:rsid w:val="002430C2"/>
    <w:rsid w:val="00243C07"/>
    <w:rsid w:val="00245695"/>
    <w:rsid w:val="00245A95"/>
    <w:rsid w:val="00246A0E"/>
    <w:rsid w:val="00247B4F"/>
    <w:rsid w:val="00250CB7"/>
    <w:rsid w:val="00251503"/>
    <w:rsid w:val="002517BB"/>
    <w:rsid w:val="00251A49"/>
    <w:rsid w:val="002521B3"/>
    <w:rsid w:val="0025316D"/>
    <w:rsid w:val="0025460A"/>
    <w:rsid w:val="00255D0D"/>
    <w:rsid w:val="00260C77"/>
    <w:rsid w:val="00261352"/>
    <w:rsid w:val="00263372"/>
    <w:rsid w:val="00263F0B"/>
    <w:rsid w:val="00264EB1"/>
    <w:rsid w:val="0026699C"/>
    <w:rsid w:val="00271716"/>
    <w:rsid w:val="00271923"/>
    <w:rsid w:val="0027292C"/>
    <w:rsid w:val="00272A39"/>
    <w:rsid w:val="00273F92"/>
    <w:rsid w:val="00276C71"/>
    <w:rsid w:val="002778DE"/>
    <w:rsid w:val="00281526"/>
    <w:rsid w:val="0028346F"/>
    <w:rsid w:val="00285406"/>
    <w:rsid w:val="00291871"/>
    <w:rsid w:val="002930E2"/>
    <w:rsid w:val="00294A20"/>
    <w:rsid w:val="00294EB9"/>
    <w:rsid w:val="0029534F"/>
    <w:rsid w:val="00296FE3"/>
    <w:rsid w:val="002A07FC"/>
    <w:rsid w:val="002A22B8"/>
    <w:rsid w:val="002A2B6F"/>
    <w:rsid w:val="002A4926"/>
    <w:rsid w:val="002A5482"/>
    <w:rsid w:val="002A552C"/>
    <w:rsid w:val="002A65ED"/>
    <w:rsid w:val="002B03C4"/>
    <w:rsid w:val="002B27F3"/>
    <w:rsid w:val="002B47B0"/>
    <w:rsid w:val="002B4C9F"/>
    <w:rsid w:val="002B59DA"/>
    <w:rsid w:val="002B7DAC"/>
    <w:rsid w:val="002C085D"/>
    <w:rsid w:val="002C0C29"/>
    <w:rsid w:val="002C31DD"/>
    <w:rsid w:val="002C3CD8"/>
    <w:rsid w:val="002C462E"/>
    <w:rsid w:val="002C636F"/>
    <w:rsid w:val="002C678C"/>
    <w:rsid w:val="002C75E1"/>
    <w:rsid w:val="002C7B9B"/>
    <w:rsid w:val="002D0632"/>
    <w:rsid w:val="002D17D3"/>
    <w:rsid w:val="002D2B90"/>
    <w:rsid w:val="002D6292"/>
    <w:rsid w:val="002D6DBD"/>
    <w:rsid w:val="002D6F32"/>
    <w:rsid w:val="002D7A55"/>
    <w:rsid w:val="002D7B78"/>
    <w:rsid w:val="002E1DAC"/>
    <w:rsid w:val="002E2198"/>
    <w:rsid w:val="002E23F1"/>
    <w:rsid w:val="002E4BFB"/>
    <w:rsid w:val="002E6D05"/>
    <w:rsid w:val="002F0CF6"/>
    <w:rsid w:val="002F6B90"/>
    <w:rsid w:val="002F72A0"/>
    <w:rsid w:val="002F7531"/>
    <w:rsid w:val="00301312"/>
    <w:rsid w:val="00301EBE"/>
    <w:rsid w:val="00304834"/>
    <w:rsid w:val="003067B3"/>
    <w:rsid w:val="00310B05"/>
    <w:rsid w:val="00311324"/>
    <w:rsid w:val="00311BD5"/>
    <w:rsid w:val="003122C4"/>
    <w:rsid w:val="00313F80"/>
    <w:rsid w:val="00313FE9"/>
    <w:rsid w:val="00314419"/>
    <w:rsid w:val="00314AD9"/>
    <w:rsid w:val="00314AF6"/>
    <w:rsid w:val="00315327"/>
    <w:rsid w:val="003161A9"/>
    <w:rsid w:val="00317314"/>
    <w:rsid w:val="0032031D"/>
    <w:rsid w:val="00320758"/>
    <w:rsid w:val="003214BA"/>
    <w:rsid w:val="00321647"/>
    <w:rsid w:val="00321989"/>
    <w:rsid w:val="00323230"/>
    <w:rsid w:val="003243EC"/>
    <w:rsid w:val="003247CD"/>
    <w:rsid w:val="00325CA4"/>
    <w:rsid w:val="00330D54"/>
    <w:rsid w:val="003327AB"/>
    <w:rsid w:val="00332962"/>
    <w:rsid w:val="0033298B"/>
    <w:rsid w:val="003345F5"/>
    <w:rsid w:val="003362AD"/>
    <w:rsid w:val="00337B36"/>
    <w:rsid w:val="00342688"/>
    <w:rsid w:val="0034440E"/>
    <w:rsid w:val="00347899"/>
    <w:rsid w:val="00350F3E"/>
    <w:rsid w:val="0035125A"/>
    <w:rsid w:val="003518D6"/>
    <w:rsid w:val="003535C7"/>
    <w:rsid w:val="003549DD"/>
    <w:rsid w:val="00354B7A"/>
    <w:rsid w:val="00362A11"/>
    <w:rsid w:val="00363966"/>
    <w:rsid w:val="00367E33"/>
    <w:rsid w:val="00371782"/>
    <w:rsid w:val="003741B0"/>
    <w:rsid w:val="00374DEB"/>
    <w:rsid w:val="00375290"/>
    <w:rsid w:val="00375481"/>
    <w:rsid w:val="00375621"/>
    <w:rsid w:val="003765B9"/>
    <w:rsid w:val="003803F3"/>
    <w:rsid w:val="00380DDD"/>
    <w:rsid w:val="0038240C"/>
    <w:rsid w:val="0038359A"/>
    <w:rsid w:val="003858CC"/>
    <w:rsid w:val="00386226"/>
    <w:rsid w:val="003865F8"/>
    <w:rsid w:val="00386AA0"/>
    <w:rsid w:val="00387996"/>
    <w:rsid w:val="0039180F"/>
    <w:rsid w:val="00391F03"/>
    <w:rsid w:val="00392BDA"/>
    <w:rsid w:val="003937D8"/>
    <w:rsid w:val="0039407B"/>
    <w:rsid w:val="003951D0"/>
    <w:rsid w:val="003A1943"/>
    <w:rsid w:val="003A1ABC"/>
    <w:rsid w:val="003A2368"/>
    <w:rsid w:val="003A593E"/>
    <w:rsid w:val="003A6302"/>
    <w:rsid w:val="003A6618"/>
    <w:rsid w:val="003A6775"/>
    <w:rsid w:val="003B1B15"/>
    <w:rsid w:val="003B1E3A"/>
    <w:rsid w:val="003B3145"/>
    <w:rsid w:val="003C0D7D"/>
    <w:rsid w:val="003C1E16"/>
    <w:rsid w:val="003C2AB8"/>
    <w:rsid w:val="003C3BF0"/>
    <w:rsid w:val="003C417B"/>
    <w:rsid w:val="003C4858"/>
    <w:rsid w:val="003C5BB3"/>
    <w:rsid w:val="003C71C9"/>
    <w:rsid w:val="003D1170"/>
    <w:rsid w:val="003D1B8E"/>
    <w:rsid w:val="003D2D72"/>
    <w:rsid w:val="003D318F"/>
    <w:rsid w:val="003D36EE"/>
    <w:rsid w:val="003D4394"/>
    <w:rsid w:val="003D6E0A"/>
    <w:rsid w:val="003D6F01"/>
    <w:rsid w:val="003E00C3"/>
    <w:rsid w:val="003E0A2B"/>
    <w:rsid w:val="003E37A1"/>
    <w:rsid w:val="003E5A97"/>
    <w:rsid w:val="003E7A00"/>
    <w:rsid w:val="003F000F"/>
    <w:rsid w:val="003F0181"/>
    <w:rsid w:val="003F0760"/>
    <w:rsid w:val="003F2E93"/>
    <w:rsid w:val="003F2EDD"/>
    <w:rsid w:val="003F3518"/>
    <w:rsid w:val="003F504F"/>
    <w:rsid w:val="003F54D0"/>
    <w:rsid w:val="003F5B69"/>
    <w:rsid w:val="003F61DB"/>
    <w:rsid w:val="003F626F"/>
    <w:rsid w:val="003F7B17"/>
    <w:rsid w:val="00400B4D"/>
    <w:rsid w:val="00400DD6"/>
    <w:rsid w:val="00402FCE"/>
    <w:rsid w:val="00405531"/>
    <w:rsid w:val="00407637"/>
    <w:rsid w:val="004105EF"/>
    <w:rsid w:val="0041067E"/>
    <w:rsid w:val="004123C8"/>
    <w:rsid w:val="00415A1A"/>
    <w:rsid w:val="00422D26"/>
    <w:rsid w:val="0042326A"/>
    <w:rsid w:val="00423F96"/>
    <w:rsid w:val="004249F9"/>
    <w:rsid w:val="004263A2"/>
    <w:rsid w:val="00426B20"/>
    <w:rsid w:val="0043016E"/>
    <w:rsid w:val="00430CCA"/>
    <w:rsid w:val="00431F4F"/>
    <w:rsid w:val="004333F2"/>
    <w:rsid w:val="0043351E"/>
    <w:rsid w:val="00433588"/>
    <w:rsid w:val="00433676"/>
    <w:rsid w:val="004342FB"/>
    <w:rsid w:val="00435ABB"/>
    <w:rsid w:val="00435CEE"/>
    <w:rsid w:val="00436504"/>
    <w:rsid w:val="004405C7"/>
    <w:rsid w:val="00441D39"/>
    <w:rsid w:val="0044286A"/>
    <w:rsid w:val="00442AF8"/>
    <w:rsid w:val="004445C9"/>
    <w:rsid w:val="0044514A"/>
    <w:rsid w:val="00446707"/>
    <w:rsid w:val="00447E59"/>
    <w:rsid w:val="00451F60"/>
    <w:rsid w:val="00454FFC"/>
    <w:rsid w:val="00456B82"/>
    <w:rsid w:val="0045757C"/>
    <w:rsid w:val="00457DC2"/>
    <w:rsid w:val="004605FA"/>
    <w:rsid w:val="004606AF"/>
    <w:rsid w:val="00465E37"/>
    <w:rsid w:val="00466339"/>
    <w:rsid w:val="00466B02"/>
    <w:rsid w:val="0046780A"/>
    <w:rsid w:val="00470309"/>
    <w:rsid w:val="0047167A"/>
    <w:rsid w:val="00471EA4"/>
    <w:rsid w:val="00471F20"/>
    <w:rsid w:val="004722E4"/>
    <w:rsid w:val="004733D3"/>
    <w:rsid w:val="00474269"/>
    <w:rsid w:val="00474FCC"/>
    <w:rsid w:val="00480014"/>
    <w:rsid w:val="004809EB"/>
    <w:rsid w:val="00480CE4"/>
    <w:rsid w:val="004840C2"/>
    <w:rsid w:val="00484DCE"/>
    <w:rsid w:val="00487315"/>
    <w:rsid w:val="00490E89"/>
    <w:rsid w:val="004913E3"/>
    <w:rsid w:val="00494530"/>
    <w:rsid w:val="00494624"/>
    <w:rsid w:val="00495001"/>
    <w:rsid w:val="004974A0"/>
    <w:rsid w:val="0049775C"/>
    <w:rsid w:val="004977CA"/>
    <w:rsid w:val="004A112E"/>
    <w:rsid w:val="004A1EC7"/>
    <w:rsid w:val="004A76F2"/>
    <w:rsid w:val="004B4C84"/>
    <w:rsid w:val="004B51E3"/>
    <w:rsid w:val="004B5467"/>
    <w:rsid w:val="004B6ED7"/>
    <w:rsid w:val="004C101D"/>
    <w:rsid w:val="004C244A"/>
    <w:rsid w:val="004C2D32"/>
    <w:rsid w:val="004C3C8F"/>
    <w:rsid w:val="004C796F"/>
    <w:rsid w:val="004D0866"/>
    <w:rsid w:val="004D0DD7"/>
    <w:rsid w:val="004D10A4"/>
    <w:rsid w:val="004D11EC"/>
    <w:rsid w:val="004D1209"/>
    <w:rsid w:val="004D2447"/>
    <w:rsid w:val="004D2ABE"/>
    <w:rsid w:val="004D34EB"/>
    <w:rsid w:val="004D3A91"/>
    <w:rsid w:val="004D3C36"/>
    <w:rsid w:val="004D4247"/>
    <w:rsid w:val="004D7237"/>
    <w:rsid w:val="004D794D"/>
    <w:rsid w:val="004D7FCB"/>
    <w:rsid w:val="004E0C05"/>
    <w:rsid w:val="004E218B"/>
    <w:rsid w:val="004E2DA4"/>
    <w:rsid w:val="004E312B"/>
    <w:rsid w:val="004E3473"/>
    <w:rsid w:val="004E5F6F"/>
    <w:rsid w:val="004F0052"/>
    <w:rsid w:val="004F1425"/>
    <w:rsid w:val="004F1E9B"/>
    <w:rsid w:val="004F1FAB"/>
    <w:rsid w:val="004F2BD3"/>
    <w:rsid w:val="004F3309"/>
    <w:rsid w:val="00501AEF"/>
    <w:rsid w:val="005022E5"/>
    <w:rsid w:val="005034E3"/>
    <w:rsid w:val="00506A2D"/>
    <w:rsid w:val="0050739A"/>
    <w:rsid w:val="0050760D"/>
    <w:rsid w:val="005100DC"/>
    <w:rsid w:val="00510D6D"/>
    <w:rsid w:val="00511660"/>
    <w:rsid w:val="00512A0D"/>
    <w:rsid w:val="00513944"/>
    <w:rsid w:val="00517CCE"/>
    <w:rsid w:val="00517D83"/>
    <w:rsid w:val="00522404"/>
    <w:rsid w:val="005229A0"/>
    <w:rsid w:val="00522D50"/>
    <w:rsid w:val="0052647B"/>
    <w:rsid w:val="00527D92"/>
    <w:rsid w:val="00530896"/>
    <w:rsid w:val="005308A7"/>
    <w:rsid w:val="00531BAF"/>
    <w:rsid w:val="00534BB9"/>
    <w:rsid w:val="00534C41"/>
    <w:rsid w:val="00534FCF"/>
    <w:rsid w:val="005365D2"/>
    <w:rsid w:val="00537781"/>
    <w:rsid w:val="00537C89"/>
    <w:rsid w:val="00537C9A"/>
    <w:rsid w:val="0054066F"/>
    <w:rsid w:val="005409DB"/>
    <w:rsid w:val="005416F9"/>
    <w:rsid w:val="00542270"/>
    <w:rsid w:val="00542B4B"/>
    <w:rsid w:val="00542C62"/>
    <w:rsid w:val="00543B7B"/>
    <w:rsid w:val="00543F5F"/>
    <w:rsid w:val="005449EE"/>
    <w:rsid w:val="00545698"/>
    <w:rsid w:val="00545C80"/>
    <w:rsid w:val="00546149"/>
    <w:rsid w:val="0054753F"/>
    <w:rsid w:val="0055306C"/>
    <w:rsid w:val="00555089"/>
    <w:rsid w:val="0055545E"/>
    <w:rsid w:val="005565F1"/>
    <w:rsid w:val="00562259"/>
    <w:rsid w:val="00563647"/>
    <w:rsid w:val="00564211"/>
    <w:rsid w:val="005655BD"/>
    <w:rsid w:val="00570C5F"/>
    <w:rsid w:val="00571F16"/>
    <w:rsid w:val="00573105"/>
    <w:rsid w:val="00573B46"/>
    <w:rsid w:val="00573C8F"/>
    <w:rsid w:val="005752E4"/>
    <w:rsid w:val="00576C5E"/>
    <w:rsid w:val="00577C17"/>
    <w:rsid w:val="00580957"/>
    <w:rsid w:val="0058248B"/>
    <w:rsid w:val="005824FB"/>
    <w:rsid w:val="005827A7"/>
    <w:rsid w:val="00585B39"/>
    <w:rsid w:val="00586041"/>
    <w:rsid w:val="00586955"/>
    <w:rsid w:val="005918DB"/>
    <w:rsid w:val="00591B1C"/>
    <w:rsid w:val="00592695"/>
    <w:rsid w:val="0059269C"/>
    <w:rsid w:val="00592756"/>
    <w:rsid w:val="005954FE"/>
    <w:rsid w:val="005955BA"/>
    <w:rsid w:val="0059583F"/>
    <w:rsid w:val="00597CC4"/>
    <w:rsid w:val="005A0B59"/>
    <w:rsid w:val="005A245A"/>
    <w:rsid w:val="005A2631"/>
    <w:rsid w:val="005A2C7B"/>
    <w:rsid w:val="005A328C"/>
    <w:rsid w:val="005A3A2F"/>
    <w:rsid w:val="005A66D4"/>
    <w:rsid w:val="005A689F"/>
    <w:rsid w:val="005A7987"/>
    <w:rsid w:val="005B03DC"/>
    <w:rsid w:val="005B0F9A"/>
    <w:rsid w:val="005B1A42"/>
    <w:rsid w:val="005B1D03"/>
    <w:rsid w:val="005B3FBE"/>
    <w:rsid w:val="005B46BD"/>
    <w:rsid w:val="005B4DB1"/>
    <w:rsid w:val="005B6D33"/>
    <w:rsid w:val="005C0AB1"/>
    <w:rsid w:val="005C162E"/>
    <w:rsid w:val="005C1B19"/>
    <w:rsid w:val="005C25C7"/>
    <w:rsid w:val="005C38ED"/>
    <w:rsid w:val="005C417A"/>
    <w:rsid w:val="005D1C4D"/>
    <w:rsid w:val="005D22FC"/>
    <w:rsid w:val="005D3D41"/>
    <w:rsid w:val="005D7206"/>
    <w:rsid w:val="005D736F"/>
    <w:rsid w:val="005E4F70"/>
    <w:rsid w:val="005E5021"/>
    <w:rsid w:val="005E56FF"/>
    <w:rsid w:val="005E6B4C"/>
    <w:rsid w:val="005E7CE8"/>
    <w:rsid w:val="005E7E6F"/>
    <w:rsid w:val="005F162E"/>
    <w:rsid w:val="005F16C3"/>
    <w:rsid w:val="005F2BFA"/>
    <w:rsid w:val="005F328B"/>
    <w:rsid w:val="005F3E40"/>
    <w:rsid w:val="005F6547"/>
    <w:rsid w:val="005F74F3"/>
    <w:rsid w:val="0060161F"/>
    <w:rsid w:val="00601E1E"/>
    <w:rsid w:val="00602CF5"/>
    <w:rsid w:val="00605A28"/>
    <w:rsid w:val="00605F15"/>
    <w:rsid w:val="00606E85"/>
    <w:rsid w:val="00610DD1"/>
    <w:rsid w:val="00613604"/>
    <w:rsid w:val="00613C4C"/>
    <w:rsid w:val="00613CB5"/>
    <w:rsid w:val="00614E98"/>
    <w:rsid w:val="00615324"/>
    <w:rsid w:val="006164CE"/>
    <w:rsid w:val="00620577"/>
    <w:rsid w:val="0062295C"/>
    <w:rsid w:val="00623AD2"/>
    <w:rsid w:val="0062455B"/>
    <w:rsid w:val="0062592B"/>
    <w:rsid w:val="006259BD"/>
    <w:rsid w:val="00627B16"/>
    <w:rsid w:val="006322A9"/>
    <w:rsid w:val="00632B51"/>
    <w:rsid w:val="00632D57"/>
    <w:rsid w:val="00633021"/>
    <w:rsid w:val="00633CD9"/>
    <w:rsid w:val="00636962"/>
    <w:rsid w:val="00636F50"/>
    <w:rsid w:val="0063781B"/>
    <w:rsid w:val="006379AB"/>
    <w:rsid w:val="006410D9"/>
    <w:rsid w:val="00644291"/>
    <w:rsid w:val="0064474B"/>
    <w:rsid w:val="00644C71"/>
    <w:rsid w:val="00644EEC"/>
    <w:rsid w:val="006462FA"/>
    <w:rsid w:val="00653AA4"/>
    <w:rsid w:val="00654B54"/>
    <w:rsid w:val="00655599"/>
    <w:rsid w:val="006558A1"/>
    <w:rsid w:val="00660744"/>
    <w:rsid w:val="00660E13"/>
    <w:rsid w:val="00660EBB"/>
    <w:rsid w:val="00660FA8"/>
    <w:rsid w:val="00661021"/>
    <w:rsid w:val="00662CC1"/>
    <w:rsid w:val="00663CC5"/>
    <w:rsid w:val="006643F4"/>
    <w:rsid w:val="00666A14"/>
    <w:rsid w:val="00667CF2"/>
    <w:rsid w:val="00670660"/>
    <w:rsid w:val="00671377"/>
    <w:rsid w:val="00671B4A"/>
    <w:rsid w:val="00674F5A"/>
    <w:rsid w:val="00675F2F"/>
    <w:rsid w:val="00676936"/>
    <w:rsid w:val="00676D7C"/>
    <w:rsid w:val="00684D69"/>
    <w:rsid w:val="00684E55"/>
    <w:rsid w:val="00686AF3"/>
    <w:rsid w:val="00687A09"/>
    <w:rsid w:val="006928F3"/>
    <w:rsid w:val="00692FC6"/>
    <w:rsid w:val="006933BA"/>
    <w:rsid w:val="00693B0E"/>
    <w:rsid w:val="00694DCB"/>
    <w:rsid w:val="006952F5"/>
    <w:rsid w:val="0069614A"/>
    <w:rsid w:val="00697A7A"/>
    <w:rsid w:val="006A0423"/>
    <w:rsid w:val="006A22BA"/>
    <w:rsid w:val="006A350C"/>
    <w:rsid w:val="006A5596"/>
    <w:rsid w:val="006A57C4"/>
    <w:rsid w:val="006A682D"/>
    <w:rsid w:val="006A6CCB"/>
    <w:rsid w:val="006A73FD"/>
    <w:rsid w:val="006B390B"/>
    <w:rsid w:val="006B436B"/>
    <w:rsid w:val="006B4620"/>
    <w:rsid w:val="006B4DC2"/>
    <w:rsid w:val="006B4ED2"/>
    <w:rsid w:val="006B6E3B"/>
    <w:rsid w:val="006C0EAA"/>
    <w:rsid w:val="006C1418"/>
    <w:rsid w:val="006C1B42"/>
    <w:rsid w:val="006C285C"/>
    <w:rsid w:val="006C4BB1"/>
    <w:rsid w:val="006C56C9"/>
    <w:rsid w:val="006C67D7"/>
    <w:rsid w:val="006D0D55"/>
    <w:rsid w:val="006D0F54"/>
    <w:rsid w:val="006D144F"/>
    <w:rsid w:val="006D2145"/>
    <w:rsid w:val="006D22AA"/>
    <w:rsid w:val="006D2D85"/>
    <w:rsid w:val="006D567B"/>
    <w:rsid w:val="006D72C7"/>
    <w:rsid w:val="006E0B76"/>
    <w:rsid w:val="006E1B7C"/>
    <w:rsid w:val="006E1CF0"/>
    <w:rsid w:val="006E2EB3"/>
    <w:rsid w:val="006E3AC4"/>
    <w:rsid w:val="006E3EAB"/>
    <w:rsid w:val="006E521B"/>
    <w:rsid w:val="006E5A9D"/>
    <w:rsid w:val="006E798E"/>
    <w:rsid w:val="006F2A4A"/>
    <w:rsid w:val="006F30B4"/>
    <w:rsid w:val="006F32B3"/>
    <w:rsid w:val="006F3F8C"/>
    <w:rsid w:val="006F415A"/>
    <w:rsid w:val="006F46C3"/>
    <w:rsid w:val="006F4F15"/>
    <w:rsid w:val="006F6E12"/>
    <w:rsid w:val="007009AA"/>
    <w:rsid w:val="00701A84"/>
    <w:rsid w:val="007026E3"/>
    <w:rsid w:val="007036C3"/>
    <w:rsid w:val="007057B1"/>
    <w:rsid w:val="00705859"/>
    <w:rsid w:val="00706041"/>
    <w:rsid w:val="007123AF"/>
    <w:rsid w:val="00712A96"/>
    <w:rsid w:val="007164F2"/>
    <w:rsid w:val="00721056"/>
    <w:rsid w:val="00721377"/>
    <w:rsid w:val="007213B6"/>
    <w:rsid w:val="00722574"/>
    <w:rsid w:val="00723914"/>
    <w:rsid w:val="00723F7F"/>
    <w:rsid w:val="00724571"/>
    <w:rsid w:val="00725C94"/>
    <w:rsid w:val="00726760"/>
    <w:rsid w:val="00726A6C"/>
    <w:rsid w:val="00726B23"/>
    <w:rsid w:val="00726DB7"/>
    <w:rsid w:val="0072758C"/>
    <w:rsid w:val="00727E29"/>
    <w:rsid w:val="00730E37"/>
    <w:rsid w:val="0073129B"/>
    <w:rsid w:val="00733083"/>
    <w:rsid w:val="00733F43"/>
    <w:rsid w:val="007342E5"/>
    <w:rsid w:val="00734668"/>
    <w:rsid w:val="007360B4"/>
    <w:rsid w:val="00740F25"/>
    <w:rsid w:val="0074248F"/>
    <w:rsid w:val="00742B21"/>
    <w:rsid w:val="00744517"/>
    <w:rsid w:val="007453DD"/>
    <w:rsid w:val="00750137"/>
    <w:rsid w:val="0075114A"/>
    <w:rsid w:val="0075115C"/>
    <w:rsid w:val="007525B7"/>
    <w:rsid w:val="00752BB4"/>
    <w:rsid w:val="007534F4"/>
    <w:rsid w:val="00755157"/>
    <w:rsid w:val="0075605F"/>
    <w:rsid w:val="0075773A"/>
    <w:rsid w:val="00760CC7"/>
    <w:rsid w:val="00761B6C"/>
    <w:rsid w:val="00762B45"/>
    <w:rsid w:val="007637CD"/>
    <w:rsid w:val="00763971"/>
    <w:rsid w:val="00766147"/>
    <w:rsid w:val="00766DD4"/>
    <w:rsid w:val="0076703C"/>
    <w:rsid w:val="00767246"/>
    <w:rsid w:val="00770518"/>
    <w:rsid w:val="007708CB"/>
    <w:rsid w:val="00770F31"/>
    <w:rsid w:val="00771F84"/>
    <w:rsid w:val="007724D2"/>
    <w:rsid w:val="007728A5"/>
    <w:rsid w:val="00772E30"/>
    <w:rsid w:val="00776054"/>
    <w:rsid w:val="007769FC"/>
    <w:rsid w:val="00776C16"/>
    <w:rsid w:val="00780470"/>
    <w:rsid w:val="007804AE"/>
    <w:rsid w:val="0078130D"/>
    <w:rsid w:val="00785720"/>
    <w:rsid w:val="00787D0F"/>
    <w:rsid w:val="00790A94"/>
    <w:rsid w:val="00790C80"/>
    <w:rsid w:val="007911B2"/>
    <w:rsid w:val="00791EFE"/>
    <w:rsid w:val="00792559"/>
    <w:rsid w:val="0079436E"/>
    <w:rsid w:val="007951BA"/>
    <w:rsid w:val="007972F1"/>
    <w:rsid w:val="00797ACE"/>
    <w:rsid w:val="007A08F7"/>
    <w:rsid w:val="007A1E5B"/>
    <w:rsid w:val="007A36C9"/>
    <w:rsid w:val="007A5188"/>
    <w:rsid w:val="007A6512"/>
    <w:rsid w:val="007A67FD"/>
    <w:rsid w:val="007A7626"/>
    <w:rsid w:val="007B15ED"/>
    <w:rsid w:val="007B1679"/>
    <w:rsid w:val="007B2106"/>
    <w:rsid w:val="007B304A"/>
    <w:rsid w:val="007B3D71"/>
    <w:rsid w:val="007B5213"/>
    <w:rsid w:val="007B545E"/>
    <w:rsid w:val="007B7DDF"/>
    <w:rsid w:val="007B7FEA"/>
    <w:rsid w:val="007C25A0"/>
    <w:rsid w:val="007C292F"/>
    <w:rsid w:val="007C29D1"/>
    <w:rsid w:val="007C3755"/>
    <w:rsid w:val="007C4456"/>
    <w:rsid w:val="007C62B0"/>
    <w:rsid w:val="007C6658"/>
    <w:rsid w:val="007C6691"/>
    <w:rsid w:val="007D07A2"/>
    <w:rsid w:val="007D128B"/>
    <w:rsid w:val="007D16DC"/>
    <w:rsid w:val="007D3A9D"/>
    <w:rsid w:val="007D4C26"/>
    <w:rsid w:val="007D5CBB"/>
    <w:rsid w:val="007D6572"/>
    <w:rsid w:val="007D6E5D"/>
    <w:rsid w:val="007D78E9"/>
    <w:rsid w:val="007D7BB5"/>
    <w:rsid w:val="007E0563"/>
    <w:rsid w:val="007E1CA3"/>
    <w:rsid w:val="007E271F"/>
    <w:rsid w:val="007E60FF"/>
    <w:rsid w:val="007E6590"/>
    <w:rsid w:val="007E78FD"/>
    <w:rsid w:val="007E7F0B"/>
    <w:rsid w:val="007F33A5"/>
    <w:rsid w:val="007F36F1"/>
    <w:rsid w:val="007F661B"/>
    <w:rsid w:val="007F6A96"/>
    <w:rsid w:val="007F7BBE"/>
    <w:rsid w:val="008005E1"/>
    <w:rsid w:val="008016DA"/>
    <w:rsid w:val="00803D1B"/>
    <w:rsid w:val="00804854"/>
    <w:rsid w:val="00805D01"/>
    <w:rsid w:val="0081215D"/>
    <w:rsid w:val="00813D4A"/>
    <w:rsid w:val="00814ACE"/>
    <w:rsid w:val="00815323"/>
    <w:rsid w:val="00815E66"/>
    <w:rsid w:val="00816182"/>
    <w:rsid w:val="00817FED"/>
    <w:rsid w:val="00822B05"/>
    <w:rsid w:val="00823971"/>
    <w:rsid w:val="00825DFF"/>
    <w:rsid w:val="00826534"/>
    <w:rsid w:val="00826C28"/>
    <w:rsid w:val="008307AD"/>
    <w:rsid w:val="00830D14"/>
    <w:rsid w:val="008331F8"/>
    <w:rsid w:val="00833D30"/>
    <w:rsid w:val="00833E5B"/>
    <w:rsid w:val="00835FA1"/>
    <w:rsid w:val="00836756"/>
    <w:rsid w:val="00842D0A"/>
    <w:rsid w:val="0084602F"/>
    <w:rsid w:val="00847440"/>
    <w:rsid w:val="00847755"/>
    <w:rsid w:val="008508EA"/>
    <w:rsid w:val="00851FB3"/>
    <w:rsid w:val="0085267C"/>
    <w:rsid w:val="00853D62"/>
    <w:rsid w:val="00854ADF"/>
    <w:rsid w:val="008567AE"/>
    <w:rsid w:val="008602E0"/>
    <w:rsid w:val="008625DD"/>
    <w:rsid w:val="008625FD"/>
    <w:rsid w:val="008631FE"/>
    <w:rsid w:val="0086397B"/>
    <w:rsid w:val="008641F8"/>
    <w:rsid w:val="0086536C"/>
    <w:rsid w:val="00865A18"/>
    <w:rsid w:val="00873E21"/>
    <w:rsid w:val="00875889"/>
    <w:rsid w:val="00875E6B"/>
    <w:rsid w:val="008761D4"/>
    <w:rsid w:val="00877B50"/>
    <w:rsid w:val="00877FD7"/>
    <w:rsid w:val="00880C4E"/>
    <w:rsid w:val="0088198D"/>
    <w:rsid w:val="00881FBD"/>
    <w:rsid w:val="0088227A"/>
    <w:rsid w:val="00884568"/>
    <w:rsid w:val="00886D39"/>
    <w:rsid w:val="00887384"/>
    <w:rsid w:val="00887F0A"/>
    <w:rsid w:val="0089013C"/>
    <w:rsid w:val="008914FB"/>
    <w:rsid w:val="00891AE0"/>
    <w:rsid w:val="0089297E"/>
    <w:rsid w:val="008931EC"/>
    <w:rsid w:val="008936E5"/>
    <w:rsid w:val="008946EA"/>
    <w:rsid w:val="00896318"/>
    <w:rsid w:val="008A0C4A"/>
    <w:rsid w:val="008A104C"/>
    <w:rsid w:val="008A1FE8"/>
    <w:rsid w:val="008A2460"/>
    <w:rsid w:val="008A3781"/>
    <w:rsid w:val="008A380B"/>
    <w:rsid w:val="008A4376"/>
    <w:rsid w:val="008A4F8A"/>
    <w:rsid w:val="008A6265"/>
    <w:rsid w:val="008A6DAC"/>
    <w:rsid w:val="008B34F3"/>
    <w:rsid w:val="008B4958"/>
    <w:rsid w:val="008B68ED"/>
    <w:rsid w:val="008B6F45"/>
    <w:rsid w:val="008C44AF"/>
    <w:rsid w:val="008C4D93"/>
    <w:rsid w:val="008C5DE5"/>
    <w:rsid w:val="008D0EA5"/>
    <w:rsid w:val="008D1879"/>
    <w:rsid w:val="008D1FDE"/>
    <w:rsid w:val="008D2B4F"/>
    <w:rsid w:val="008D3054"/>
    <w:rsid w:val="008D43B6"/>
    <w:rsid w:val="008D4715"/>
    <w:rsid w:val="008E0C18"/>
    <w:rsid w:val="008E1387"/>
    <w:rsid w:val="008E4EDD"/>
    <w:rsid w:val="008E6766"/>
    <w:rsid w:val="008E7021"/>
    <w:rsid w:val="008F2649"/>
    <w:rsid w:val="008F2DB6"/>
    <w:rsid w:val="008F6AF6"/>
    <w:rsid w:val="008F78BF"/>
    <w:rsid w:val="008F7CCB"/>
    <w:rsid w:val="00900FFC"/>
    <w:rsid w:val="0090152F"/>
    <w:rsid w:val="00905AE6"/>
    <w:rsid w:val="00905D4C"/>
    <w:rsid w:val="009102B1"/>
    <w:rsid w:val="009112D5"/>
    <w:rsid w:val="009117AF"/>
    <w:rsid w:val="0091237B"/>
    <w:rsid w:val="009123F4"/>
    <w:rsid w:val="00913A8F"/>
    <w:rsid w:val="00913DA9"/>
    <w:rsid w:val="009145DD"/>
    <w:rsid w:val="00915BD0"/>
    <w:rsid w:val="009165B6"/>
    <w:rsid w:val="00916609"/>
    <w:rsid w:val="0091764F"/>
    <w:rsid w:val="00921EF2"/>
    <w:rsid w:val="00922D1D"/>
    <w:rsid w:val="00923A54"/>
    <w:rsid w:val="0092577B"/>
    <w:rsid w:val="00926831"/>
    <w:rsid w:val="00930470"/>
    <w:rsid w:val="00931126"/>
    <w:rsid w:val="009336D5"/>
    <w:rsid w:val="00934C7F"/>
    <w:rsid w:val="009358E2"/>
    <w:rsid w:val="00937163"/>
    <w:rsid w:val="00940E0F"/>
    <w:rsid w:val="00942FF5"/>
    <w:rsid w:val="00943B39"/>
    <w:rsid w:val="00943F58"/>
    <w:rsid w:val="0094443B"/>
    <w:rsid w:val="0094469F"/>
    <w:rsid w:val="009449BD"/>
    <w:rsid w:val="0094784E"/>
    <w:rsid w:val="009478B6"/>
    <w:rsid w:val="0094793B"/>
    <w:rsid w:val="00947E4D"/>
    <w:rsid w:val="009522E0"/>
    <w:rsid w:val="009523EE"/>
    <w:rsid w:val="00952B54"/>
    <w:rsid w:val="0095391B"/>
    <w:rsid w:val="00953CB5"/>
    <w:rsid w:val="00953D09"/>
    <w:rsid w:val="00956336"/>
    <w:rsid w:val="00956DBA"/>
    <w:rsid w:val="00956DCC"/>
    <w:rsid w:val="0096197F"/>
    <w:rsid w:val="00964882"/>
    <w:rsid w:val="00964BFB"/>
    <w:rsid w:val="0096573F"/>
    <w:rsid w:val="00966D4A"/>
    <w:rsid w:val="009670D7"/>
    <w:rsid w:val="009678EF"/>
    <w:rsid w:val="00970231"/>
    <w:rsid w:val="00972737"/>
    <w:rsid w:val="00972764"/>
    <w:rsid w:val="009727B4"/>
    <w:rsid w:val="00972D10"/>
    <w:rsid w:val="00973CA6"/>
    <w:rsid w:val="009758C0"/>
    <w:rsid w:val="009763A1"/>
    <w:rsid w:val="00976894"/>
    <w:rsid w:val="0098095B"/>
    <w:rsid w:val="009809CF"/>
    <w:rsid w:val="00980A8D"/>
    <w:rsid w:val="00981293"/>
    <w:rsid w:val="009816BB"/>
    <w:rsid w:val="00984168"/>
    <w:rsid w:val="009841D2"/>
    <w:rsid w:val="0098473F"/>
    <w:rsid w:val="00984D77"/>
    <w:rsid w:val="00984E29"/>
    <w:rsid w:val="00984E4F"/>
    <w:rsid w:val="00984ECE"/>
    <w:rsid w:val="0098548A"/>
    <w:rsid w:val="009857A5"/>
    <w:rsid w:val="00986168"/>
    <w:rsid w:val="00987946"/>
    <w:rsid w:val="009914DB"/>
    <w:rsid w:val="00991D25"/>
    <w:rsid w:val="00992806"/>
    <w:rsid w:val="00993933"/>
    <w:rsid w:val="00993DD3"/>
    <w:rsid w:val="00995E77"/>
    <w:rsid w:val="009960AD"/>
    <w:rsid w:val="00997573"/>
    <w:rsid w:val="0099765D"/>
    <w:rsid w:val="00997C39"/>
    <w:rsid w:val="009A1BD3"/>
    <w:rsid w:val="009A21F7"/>
    <w:rsid w:val="009A2977"/>
    <w:rsid w:val="009A6828"/>
    <w:rsid w:val="009A682E"/>
    <w:rsid w:val="009B08C9"/>
    <w:rsid w:val="009B115E"/>
    <w:rsid w:val="009B2633"/>
    <w:rsid w:val="009B28C3"/>
    <w:rsid w:val="009B42E9"/>
    <w:rsid w:val="009B46E3"/>
    <w:rsid w:val="009B54E6"/>
    <w:rsid w:val="009B63C9"/>
    <w:rsid w:val="009B6593"/>
    <w:rsid w:val="009C0579"/>
    <w:rsid w:val="009C2177"/>
    <w:rsid w:val="009C390B"/>
    <w:rsid w:val="009C3C4D"/>
    <w:rsid w:val="009C42F0"/>
    <w:rsid w:val="009C5D2B"/>
    <w:rsid w:val="009D0A6C"/>
    <w:rsid w:val="009D0E76"/>
    <w:rsid w:val="009D38D1"/>
    <w:rsid w:val="009D58A1"/>
    <w:rsid w:val="009D61E5"/>
    <w:rsid w:val="009E280D"/>
    <w:rsid w:val="009E31DA"/>
    <w:rsid w:val="009E34C6"/>
    <w:rsid w:val="009E49AE"/>
    <w:rsid w:val="009E4FF3"/>
    <w:rsid w:val="009E77CE"/>
    <w:rsid w:val="009E7EBF"/>
    <w:rsid w:val="009F0159"/>
    <w:rsid w:val="009F0922"/>
    <w:rsid w:val="009F09DE"/>
    <w:rsid w:val="009F1AC6"/>
    <w:rsid w:val="009F2A7D"/>
    <w:rsid w:val="009F3D52"/>
    <w:rsid w:val="009F46DE"/>
    <w:rsid w:val="009F557A"/>
    <w:rsid w:val="009F5F63"/>
    <w:rsid w:val="009F7053"/>
    <w:rsid w:val="009F7751"/>
    <w:rsid w:val="00A00218"/>
    <w:rsid w:val="00A01041"/>
    <w:rsid w:val="00A013E6"/>
    <w:rsid w:val="00A033ED"/>
    <w:rsid w:val="00A03AB2"/>
    <w:rsid w:val="00A03DDC"/>
    <w:rsid w:val="00A05978"/>
    <w:rsid w:val="00A059CF"/>
    <w:rsid w:val="00A061E9"/>
    <w:rsid w:val="00A0729A"/>
    <w:rsid w:val="00A07448"/>
    <w:rsid w:val="00A0759E"/>
    <w:rsid w:val="00A1079F"/>
    <w:rsid w:val="00A11152"/>
    <w:rsid w:val="00A11B78"/>
    <w:rsid w:val="00A1286D"/>
    <w:rsid w:val="00A131EC"/>
    <w:rsid w:val="00A13ED1"/>
    <w:rsid w:val="00A14161"/>
    <w:rsid w:val="00A161A9"/>
    <w:rsid w:val="00A204EB"/>
    <w:rsid w:val="00A20C87"/>
    <w:rsid w:val="00A214E6"/>
    <w:rsid w:val="00A2191E"/>
    <w:rsid w:val="00A21CD7"/>
    <w:rsid w:val="00A21F26"/>
    <w:rsid w:val="00A236AA"/>
    <w:rsid w:val="00A239C4"/>
    <w:rsid w:val="00A24AE5"/>
    <w:rsid w:val="00A25AB3"/>
    <w:rsid w:val="00A2703B"/>
    <w:rsid w:val="00A27544"/>
    <w:rsid w:val="00A278CA"/>
    <w:rsid w:val="00A27AD2"/>
    <w:rsid w:val="00A27E0E"/>
    <w:rsid w:val="00A31FBE"/>
    <w:rsid w:val="00A32E19"/>
    <w:rsid w:val="00A33350"/>
    <w:rsid w:val="00A3462F"/>
    <w:rsid w:val="00A35AD7"/>
    <w:rsid w:val="00A35B48"/>
    <w:rsid w:val="00A37696"/>
    <w:rsid w:val="00A40975"/>
    <w:rsid w:val="00A409AB"/>
    <w:rsid w:val="00A44016"/>
    <w:rsid w:val="00A443E0"/>
    <w:rsid w:val="00A45F03"/>
    <w:rsid w:val="00A46C2D"/>
    <w:rsid w:val="00A47386"/>
    <w:rsid w:val="00A47865"/>
    <w:rsid w:val="00A50BAA"/>
    <w:rsid w:val="00A51D94"/>
    <w:rsid w:val="00A52C06"/>
    <w:rsid w:val="00A53809"/>
    <w:rsid w:val="00A549E2"/>
    <w:rsid w:val="00A57A63"/>
    <w:rsid w:val="00A61744"/>
    <w:rsid w:val="00A62D74"/>
    <w:rsid w:val="00A64CFB"/>
    <w:rsid w:val="00A660F9"/>
    <w:rsid w:val="00A7108D"/>
    <w:rsid w:val="00A71467"/>
    <w:rsid w:val="00A71821"/>
    <w:rsid w:val="00A74499"/>
    <w:rsid w:val="00A747CB"/>
    <w:rsid w:val="00A74B5E"/>
    <w:rsid w:val="00A7529A"/>
    <w:rsid w:val="00A755A2"/>
    <w:rsid w:val="00A75A0E"/>
    <w:rsid w:val="00A75AAB"/>
    <w:rsid w:val="00A75B6E"/>
    <w:rsid w:val="00A77C2A"/>
    <w:rsid w:val="00A8150A"/>
    <w:rsid w:val="00A81E7B"/>
    <w:rsid w:val="00A8366F"/>
    <w:rsid w:val="00A83A80"/>
    <w:rsid w:val="00A83DE4"/>
    <w:rsid w:val="00A8455C"/>
    <w:rsid w:val="00A84C2F"/>
    <w:rsid w:val="00A856FA"/>
    <w:rsid w:val="00A86BC1"/>
    <w:rsid w:val="00A9020D"/>
    <w:rsid w:val="00A909F4"/>
    <w:rsid w:val="00A90DA8"/>
    <w:rsid w:val="00A90FFC"/>
    <w:rsid w:val="00A93366"/>
    <w:rsid w:val="00A93CEE"/>
    <w:rsid w:val="00A95DBF"/>
    <w:rsid w:val="00A96AE9"/>
    <w:rsid w:val="00A97ECB"/>
    <w:rsid w:val="00AA1CDE"/>
    <w:rsid w:val="00AA4031"/>
    <w:rsid w:val="00AA5B92"/>
    <w:rsid w:val="00AA77E6"/>
    <w:rsid w:val="00AB0584"/>
    <w:rsid w:val="00AB10CA"/>
    <w:rsid w:val="00AB134A"/>
    <w:rsid w:val="00AB22FD"/>
    <w:rsid w:val="00AB249C"/>
    <w:rsid w:val="00AB2E17"/>
    <w:rsid w:val="00AB3141"/>
    <w:rsid w:val="00AB4258"/>
    <w:rsid w:val="00AB52CA"/>
    <w:rsid w:val="00AB5EF7"/>
    <w:rsid w:val="00AB609D"/>
    <w:rsid w:val="00AB66B8"/>
    <w:rsid w:val="00AB6EDE"/>
    <w:rsid w:val="00AB74F6"/>
    <w:rsid w:val="00AC12CA"/>
    <w:rsid w:val="00AC2268"/>
    <w:rsid w:val="00AC3124"/>
    <w:rsid w:val="00AC3E69"/>
    <w:rsid w:val="00AC6253"/>
    <w:rsid w:val="00AC747E"/>
    <w:rsid w:val="00AC7D81"/>
    <w:rsid w:val="00AD045B"/>
    <w:rsid w:val="00AD0A05"/>
    <w:rsid w:val="00AD0E44"/>
    <w:rsid w:val="00AD2CD7"/>
    <w:rsid w:val="00AD34B6"/>
    <w:rsid w:val="00AD5FF4"/>
    <w:rsid w:val="00AD74F8"/>
    <w:rsid w:val="00AD75D8"/>
    <w:rsid w:val="00AD7A32"/>
    <w:rsid w:val="00AD7CAC"/>
    <w:rsid w:val="00AD7DE4"/>
    <w:rsid w:val="00AE1EBA"/>
    <w:rsid w:val="00AE3D01"/>
    <w:rsid w:val="00AE4FC4"/>
    <w:rsid w:val="00AE5260"/>
    <w:rsid w:val="00AE5CF7"/>
    <w:rsid w:val="00AE67B6"/>
    <w:rsid w:val="00AE6D53"/>
    <w:rsid w:val="00AF08A4"/>
    <w:rsid w:val="00AF0D29"/>
    <w:rsid w:val="00AF3442"/>
    <w:rsid w:val="00AF3762"/>
    <w:rsid w:val="00AF49A0"/>
    <w:rsid w:val="00AF5D13"/>
    <w:rsid w:val="00AF7CFA"/>
    <w:rsid w:val="00B01DD6"/>
    <w:rsid w:val="00B031A6"/>
    <w:rsid w:val="00B033F2"/>
    <w:rsid w:val="00B0444B"/>
    <w:rsid w:val="00B05455"/>
    <w:rsid w:val="00B0571B"/>
    <w:rsid w:val="00B05EB7"/>
    <w:rsid w:val="00B0641E"/>
    <w:rsid w:val="00B07C09"/>
    <w:rsid w:val="00B12FEA"/>
    <w:rsid w:val="00B14A65"/>
    <w:rsid w:val="00B14F9E"/>
    <w:rsid w:val="00B17226"/>
    <w:rsid w:val="00B1739F"/>
    <w:rsid w:val="00B2037B"/>
    <w:rsid w:val="00B20435"/>
    <w:rsid w:val="00B206CD"/>
    <w:rsid w:val="00B216AE"/>
    <w:rsid w:val="00B2193F"/>
    <w:rsid w:val="00B21E4A"/>
    <w:rsid w:val="00B220D0"/>
    <w:rsid w:val="00B22D70"/>
    <w:rsid w:val="00B23202"/>
    <w:rsid w:val="00B2423A"/>
    <w:rsid w:val="00B24716"/>
    <w:rsid w:val="00B26DFC"/>
    <w:rsid w:val="00B32BD7"/>
    <w:rsid w:val="00B34169"/>
    <w:rsid w:val="00B34985"/>
    <w:rsid w:val="00B4048B"/>
    <w:rsid w:val="00B40AC5"/>
    <w:rsid w:val="00B40DB4"/>
    <w:rsid w:val="00B42472"/>
    <w:rsid w:val="00B43529"/>
    <w:rsid w:val="00B45828"/>
    <w:rsid w:val="00B516E5"/>
    <w:rsid w:val="00B51807"/>
    <w:rsid w:val="00B51D11"/>
    <w:rsid w:val="00B52304"/>
    <w:rsid w:val="00B53724"/>
    <w:rsid w:val="00B537F6"/>
    <w:rsid w:val="00B53D55"/>
    <w:rsid w:val="00B55502"/>
    <w:rsid w:val="00B55F71"/>
    <w:rsid w:val="00B568D1"/>
    <w:rsid w:val="00B56F9E"/>
    <w:rsid w:val="00B6040F"/>
    <w:rsid w:val="00B60D18"/>
    <w:rsid w:val="00B6264C"/>
    <w:rsid w:val="00B63D00"/>
    <w:rsid w:val="00B64538"/>
    <w:rsid w:val="00B6610A"/>
    <w:rsid w:val="00B67987"/>
    <w:rsid w:val="00B70AB4"/>
    <w:rsid w:val="00B71EE9"/>
    <w:rsid w:val="00B756FD"/>
    <w:rsid w:val="00B811DD"/>
    <w:rsid w:val="00B82CF7"/>
    <w:rsid w:val="00B82E6C"/>
    <w:rsid w:val="00B83E5B"/>
    <w:rsid w:val="00B840FF"/>
    <w:rsid w:val="00B848F5"/>
    <w:rsid w:val="00B84A8B"/>
    <w:rsid w:val="00B850F5"/>
    <w:rsid w:val="00B866B8"/>
    <w:rsid w:val="00B869F5"/>
    <w:rsid w:val="00B8792A"/>
    <w:rsid w:val="00B87E24"/>
    <w:rsid w:val="00B91C97"/>
    <w:rsid w:val="00B923D8"/>
    <w:rsid w:val="00B924CB"/>
    <w:rsid w:val="00B96511"/>
    <w:rsid w:val="00BA1742"/>
    <w:rsid w:val="00BA40FF"/>
    <w:rsid w:val="00BA4A15"/>
    <w:rsid w:val="00BA4FF5"/>
    <w:rsid w:val="00BA63D3"/>
    <w:rsid w:val="00BA6A1E"/>
    <w:rsid w:val="00BA779B"/>
    <w:rsid w:val="00BB04EB"/>
    <w:rsid w:val="00BB06B3"/>
    <w:rsid w:val="00BB14E3"/>
    <w:rsid w:val="00BB18FF"/>
    <w:rsid w:val="00BB549F"/>
    <w:rsid w:val="00BB6955"/>
    <w:rsid w:val="00BC31D7"/>
    <w:rsid w:val="00BC3FAF"/>
    <w:rsid w:val="00BC5C17"/>
    <w:rsid w:val="00BC7BDB"/>
    <w:rsid w:val="00BD0888"/>
    <w:rsid w:val="00BD0E92"/>
    <w:rsid w:val="00BD16CC"/>
    <w:rsid w:val="00BD2382"/>
    <w:rsid w:val="00BD3201"/>
    <w:rsid w:val="00BD38A7"/>
    <w:rsid w:val="00BD430A"/>
    <w:rsid w:val="00BD4AC9"/>
    <w:rsid w:val="00BD4CB1"/>
    <w:rsid w:val="00BD4D58"/>
    <w:rsid w:val="00BD4F84"/>
    <w:rsid w:val="00BD5311"/>
    <w:rsid w:val="00BD5685"/>
    <w:rsid w:val="00BD58EC"/>
    <w:rsid w:val="00BD6AE4"/>
    <w:rsid w:val="00BD6C5E"/>
    <w:rsid w:val="00BD7122"/>
    <w:rsid w:val="00BE0628"/>
    <w:rsid w:val="00BE11E1"/>
    <w:rsid w:val="00BE1F7A"/>
    <w:rsid w:val="00BE287A"/>
    <w:rsid w:val="00BE39D0"/>
    <w:rsid w:val="00BE40A3"/>
    <w:rsid w:val="00BE52C6"/>
    <w:rsid w:val="00BE6160"/>
    <w:rsid w:val="00BE7499"/>
    <w:rsid w:val="00BF0660"/>
    <w:rsid w:val="00BF1EA6"/>
    <w:rsid w:val="00BF1F32"/>
    <w:rsid w:val="00BF2210"/>
    <w:rsid w:val="00BF42F1"/>
    <w:rsid w:val="00BF4EBD"/>
    <w:rsid w:val="00BF7CA8"/>
    <w:rsid w:val="00C000E6"/>
    <w:rsid w:val="00C02462"/>
    <w:rsid w:val="00C0379A"/>
    <w:rsid w:val="00C04D6B"/>
    <w:rsid w:val="00C10A53"/>
    <w:rsid w:val="00C11602"/>
    <w:rsid w:val="00C11B1A"/>
    <w:rsid w:val="00C12AD9"/>
    <w:rsid w:val="00C13439"/>
    <w:rsid w:val="00C136A3"/>
    <w:rsid w:val="00C13AEB"/>
    <w:rsid w:val="00C1408C"/>
    <w:rsid w:val="00C15196"/>
    <w:rsid w:val="00C1558A"/>
    <w:rsid w:val="00C16E65"/>
    <w:rsid w:val="00C17CEB"/>
    <w:rsid w:val="00C2451E"/>
    <w:rsid w:val="00C277E2"/>
    <w:rsid w:val="00C27890"/>
    <w:rsid w:val="00C31D5C"/>
    <w:rsid w:val="00C32105"/>
    <w:rsid w:val="00C33549"/>
    <w:rsid w:val="00C335A0"/>
    <w:rsid w:val="00C338AF"/>
    <w:rsid w:val="00C33ADF"/>
    <w:rsid w:val="00C36D8E"/>
    <w:rsid w:val="00C36F72"/>
    <w:rsid w:val="00C409F2"/>
    <w:rsid w:val="00C40EFF"/>
    <w:rsid w:val="00C426BD"/>
    <w:rsid w:val="00C426C6"/>
    <w:rsid w:val="00C43569"/>
    <w:rsid w:val="00C446E9"/>
    <w:rsid w:val="00C44E0D"/>
    <w:rsid w:val="00C453D4"/>
    <w:rsid w:val="00C4738A"/>
    <w:rsid w:val="00C473A5"/>
    <w:rsid w:val="00C50599"/>
    <w:rsid w:val="00C50F27"/>
    <w:rsid w:val="00C53807"/>
    <w:rsid w:val="00C53DCB"/>
    <w:rsid w:val="00C55111"/>
    <w:rsid w:val="00C55782"/>
    <w:rsid w:val="00C55FDC"/>
    <w:rsid w:val="00C561A1"/>
    <w:rsid w:val="00C56321"/>
    <w:rsid w:val="00C56458"/>
    <w:rsid w:val="00C56F55"/>
    <w:rsid w:val="00C57185"/>
    <w:rsid w:val="00C57E30"/>
    <w:rsid w:val="00C60374"/>
    <w:rsid w:val="00C636C4"/>
    <w:rsid w:val="00C65F10"/>
    <w:rsid w:val="00C66CD5"/>
    <w:rsid w:val="00C70B28"/>
    <w:rsid w:val="00C74CE6"/>
    <w:rsid w:val="00C750F1"/>
    <w:rsid w:val="00C75CB4"/>
    <w:rsid w:val="00C75D0D"/>
    <w:rsid w:val="00C769D1"/>
    <w:rsid w:val="00C77D07"/>
    <w:rsid w:val="00C8014F"/>
    <w:rsid w:val="00C828D0"/>
    <w:rsid w:val="00C84337"/>
    <w:rsid w:val="00C8459E"/>
    <w:rsid w:val="00C86039"/>
    <w:rsid w:val="00C87499"/>
    <w:rsid w:val="00C87D83"/>
    <w:rsid w:val="00C904CC"/>
    <w:rsid w:val="00C906EA"/>
    <w:rsid w:val="00C913DA"/>
    <w:rsid w:val="00C930CE"/>
    <w:rsid w:val="00C9312C"/>
    <w:rsid w:val="00C93667"/>
    <w:rsid w:val="00C93C18"/>
    <w:rsid w:val="00C95BDB"/>
    <w:rsid w:val="00C97B27"/>
    <w:rsid w:val="00CA039A"/>
    <w:rsid w:val="00CA0A07"/>
    <w:rsid w:val="00CA2447"/>
    <w:rsid w:val="00CA336F"/>
    <w:rsid w:val="00CA381A"/>
    <w:rsid w:val="00CA40EB"/>
    <w:rsid w:val="00CA54D2"/>
    <w:rsid w:val="00CA6029"/>
    <w:rsid w:val="00CA65BF"/>
    <w:rsid w:val="00CA7016"/>
    <w:rsid w:val="00CB0863"/>
    <w:rsid w:val="00CB1343"/>
    <w:rsid w:val="00CB2000"/>
    <w:rsid w:val="00CB2D7B"/>
    <w:rsid w:val="00CB3419"/>
    <w:rsid w:val="00CB48A6"/>
    <w:rsid w:val="00CB621C"/>
    <w:rsid w:val="00CB684E"/>
    <w:rsid w:val="00CB7320"/>
    <w:rsid w:val="00CC02F2"/>
    <w:rsid w:val="00CC0D28"/>
    <w:rsid w:val="00CC0D6C"/>
    <w:rsid w:val="00CC2FB6"/>
    <w:rsid w:val="00CC533C"/>
    <w:rsid w:val="00CC53E0"/>
    <w:rsid w:val="00CC54C0"/>
    <w:rsid w:val="00CC69FA"/>
    <w:rsid w:val="00CC6B34"/>
    <w:rsid w:val="00CC7C07"/>
    <w:rsid w:val="00CD09B4"/>
    <w:rsid w:val="00CD0E2D"/>
    <w:rsid w:val="00CD0E9F"/>
    <w:rsid w:val="00CD544C"/>
    <w:rsid w:val="00CD6EE8"/>
    <w:rsid w:val="00CD737F"/>
    <w:rsid w:val="00CD7773"/>
    <w:rsid w:val="00CE6809"/>
    <w:rsid w:val="00CE691B"/>
    <w:rsid w:val="00CE78B9"/>
    <w:rsid w:val="00CF0FFC"/>
    <w:rsid w:val="00CF16A0"/>
    <w:rsid w:val="00CF1A27"/>
    <w:rsid w:val="00CF48A1"/>
    <w:rsid w:val="00CF59E8"/>
    <w:rsid w:val="00CF5CD9"/>
    <w:rsid w:val="00CF67F1"/>
    <w:rsid w:val="00CF73F2"/>
    <w:rsid w:val="00CF79FA"/>
    <w:rsid w:val="00D01409"/>
    <w:rsid w:val="00D01E73"/>
    <w:rsid w:val="00D02EC1"/>
    <w:rsid w:val="00D0314D"/>
    <w:rsid w:val="00D05D5C"/>
    <w:rsid w:val="00D05F0E"/>
    <w:rsid w:val="00D060EF"/>
    <w:rsid w:val="00D07B25"/>
    <w:rsid w:val="00D1028B"/>
    <w:rsid w:val="00D13DA8"/>
    <w:rsid w:val="00D14C32"/>
    <w:rsid w:val="00D15E83"/>
    <w:rsid w:val="00D1745B"/>
    <w:rsid w:val="00D17F26"/>
    <w:rsid w:val="00D2120A"/>
    <w:rsid w:val="00D2665C"/>
    <w:rsid w:val="00D31A22"/>
    <w:rsid w:val="00D32CD6"/>
    <w:rsid w:val="00D3459E"/>
    <w:rsid w:val="00D34ACA"/>
    <w:rsid w:val="00D355AF"/>
    <w:rsid w:val="00D37D76"/>
    <w:rsid w:val="00D415B2"/>
    <w:rsid w:val="00D4185E"/>
    <w:rsid w:val="00D424F4"/>
    <w:rsid w:val="00D44EFC"/>
    <w:rsid w:val="00D511B3"/>
    <w:rsid w:val="00D53369"/>
    <w:rsid w:val="00D53670"/>
    <w:rsid w:val="00D54936"/>
    <w:rsid w:val="00D562FB"/>
    <w:rsid w:val="00D57F85"/>
    <w:rsid w:val="00D60564"/>
    <w:rsid w:val="00D61E00"/>
    <w:rsid w:val="00D63083"/>
    <w:rsid w:val="00D635BC"/>
    <w:rsid w:val="00D63B31"/>
    <w:rsid w:val="00D63EAD"/>
    <w:rsid w:val="00D64625"/>
    <w:rsid w:val="00D66F5E"/>
    <w:rsid w:val="00D70B9C"/>
    <w:rsid w:val="00D70D07"/>
    <w:rsid w:val="00D70FDA"/>
    <w:rsid w:val="00D71664"/>
    <w:rsid w:val="00D71AF2"/>
    <w:rsid w:val="00D7210C"/>
    <w:rsid w:val="00D73671"/>
    <w:rsid w:val="00D73B5C"/>
    <w:rsid w:val="00D743B5"/>
    <w:rsid w:val="00D74863"/>
    <w:rsid w:val="00D74914"/>
    <w:rsid w:val="00D763A3"/>
    <w:rsid w:val="00D7651E"/>
    <w:rsid w:val="00D765FC"/>
    <w:rsid w:val="00D76A6B"/>
    <w:rsid w:val="00D77B40"/>
    <w:rsid w:val="00D77DDB"/>
    <w:rsid w:val="00D80CDC"/>
    <w:rsid w:val="00D80EE8"/>
    <w:rsid w:val="00D81547"/>
    <w:rsid w:val="00D8264B"/>
    <w:rsid w:val="00D84135"/>
    <w:rsid w:val="00D867C0"/>
    <w:rsid w:val="00D879E6"/>
    <w:rsid w:val="00D90134"/>
    <w:rsid w:val="00D9028D"/>
    <w:rsid w:val="00D9098B"/>
    <w:rsid w:val="00D90E2B"/>
    <w:rsid w:val="00D91F21"/>
    <w:rsid w:val="00D935CD"/>
    <w:rsid w:val="00D935F1"/>
    <w:rsid w:val="00D94273"/>
    <w:rsid w:val="00D944A0"/>
    <w:rsid w:val="00D946E9"/>
    <w:rsid w:val="00D9480A"/>
    <w:rsid w:val="00D969B9"/>
    <w:rsid w:val="00D97922"/>
    <w:rsid w:val="00DA012C"/>
    <w:rsid w:val="00DA1D6D"/>
    <w:rsid w:val="00DA47F3"/>
    <w:rsid w:val="00DA6129"/>
    <w:rsid w:val="00DA7EB6"/>
    <w:rsid w:val="00DB1DBA"/>
    <w:rsid w:val="00DB2502"/>
    <w:rsid w:val="00DB3E65"/>
    <w:rsid w:val="00DB3F1A"/>
    <w:rsid w:val="00DB4171"/>
    <w:rsid w:val="00DB45CC"/>
    <w:rsid w:val="00DB585F"/>
    <w:rsid w:val="00DB5874"/>
    <w:rsid w:val="00DB6467"/>
    <w:rsid w:val="00DB7E05"/>
    <w:rsid w:val="00DB7E41"/>
    <w:rsid w:val="00DC1BF6"/>
    <w:rsid w:val="00DC2B75"/>
    <w:rsid w:val="00DC3A4D"/>
    <w:rsid w:val="00DC4FA6"/>
    <w:rsid w:val="00DC500F"/>
    <w:rsid w:val="00DC709B"/>
    <w:rsid w:val="00DC76AE"/>
    <w:rsid w:val="00DD0D9B"/>
    <w:rsid w:val="00DD230C"/>
    <w:rsid w:val="00DD2358"/>
    <w:rsid w:val="00DD3DFE"/>
    <w:rsid w:val="00DD726C"/>
    <w:rsid w:val="00DE0C34"/>
    <w:rsid w:val="00DE1DF3"/>
    <w:rsid w:val="00DE2824"/>
    <w:rsid w:val="00DE2DF3"/>
    <w:rsid w:val="00DE3A2B"/>
    <w:rsid w:val="00DE3B31"/>
    <w:rsid w:val="00DE3DF2"/>
    <w:rsid w:val="00DE4FC1"/>
    <w:rsid w:val="00DE55B4"/>
    <w:rsid w:val="00DE6A9E"/>
    <w:rsid w:val="00DE7014"/>
    <w:rsid w:val="00DE726E"/>
    <w:rsid w:val="00DE74C8"/>
    <w:rsid w:val="00DE7C50"/>
    <w:rsid w:val="00DF2343"/>
    <w:rsid w:val="00E00B48"/>
    <w:rsid w:val="00E02DBA"/>
    <w:rsid w:val="00E03046"/>
    <w:rsid w:val="00E030EE"/>
    <w:rsid w:val="00E04A1F"/>
    <w:rsid w:val="00E05326"/>
    <w:rsid w:val="00E0723B"/>
    <w:rsid w:val="00E102B8"/>
    <w:rsid w:val="00E108C3"/>
    <w:rsid w:val="00E10B16"/>
    <w:rsid w:val="00E11F03"/>
    <w:rsid w:val="00E120B9"/>
    <w:rsid w:val="00E12705"/>
    <w:rsid w:val="00E12A19"/>
    <w:rsid w:val="00E13758"/>
    <w:rsid w:val="00E148F3"/>
    <w:rsid w:val="00E151DA"/>
    <w:rsid w:val="00E15382"/>
    <w:rsid w:val="00E16D38"/>
    <w:rsid w:val="00E16EA6"/>
    <w:rsid w:val="00E17991"/>
    <w:rsid w:val="00E204EB"/>
    <w:rsid w:val="00E20944"/>
    <w:rsid w:val="00E21BC2"/>
    <w:rsid w:val="00E224DE"/>
    <w:rsid w:val="00E238A2"/>
    <w:rsid w:val="00E260F4"/>
    <w:rsid w:val="00E27B1E"/>
    <w:rsid w:val="00E3243B"/>
    <w:rsid w:val="00E335D8"/>
    <w:rsid w:val="00E33707"/>
    <w:rsid w:val="00E34005"/>
    <w:rsid w:val="00E34C86"/>
    <w:rsid w:val="00E37E76"/>
    <w:rsid w:val="00E409DD"/>
    <w:rsid w:val="00E413AB"/>
    <w:rsid w:val="00E4233C"/>
    <w:rsid w:val="00E43274"/>
    <w:rsid w:val="00E43D89"/>
    <w:rsid w:val="00E45298"/>
    <w:rsid w:val="00E4665E"/>
    <w:rsid w:val="00E50371"/>
    <w:rsid w:val="00E5169C"/>
    <w:rsid w:val="00E53F38"/>
    <w:rsid w:val="00E55C0B"/>
    <w:rsid w:val="00E6084B"/>
    <w:rsid w:val="00E61572"/>
    <w:rsid w:val="00E64E71"/>
    <w:rsid w:val="00E72D37"/>
    <w:rsid w:val="00E73AB7"/>
    <w:rsid w:val="00E73E35"/>
    <w:rsid w:val="00E740D3"/>
    <w:rsid w:val="00E77C2F"/>
    <w:rsid w:val="00E807BA"/>
    <w:rsid w:val="00E80F7E"/>
    <w:rsid w:val="00E8164C"/>
    <w:rsid w:val="00E8272D"/>
    <w:rsid w:val="00E82B5F"/>
    <w:rsid w:val="00E8456F"/>
    <w:rsid w:val="00E854D1"/>
    <w:rsid w:val="00E86C37"/>
    <w:rsid w:val="00E902D1"/>
    <w:rsid w:val="00E90D94"/>
    <w:rsid w:val="00E91219"/>
    <w:rsid w:val="00E94041"/>
    <w:rsid w:val="00E95137"/>
    <w:rsid w:val="00E95194"/>
    <w:rsid w:val="00E96102"/>
    <w:rsid w:val="00E96F65"/>
    <w:rsid w:val="00E97C94"/>
    <w:rsid w:val="00E97ED8"/>
    <w:rsid w:val="00EA06FB"/>
    <w:rsid w:val="00EA1FDA"/>
    <w:rsid w:val="00EA1FEE"/>
    <w:rsid w:val="00EA3344"/>
    <w:rsid w:val="00EA5BBB"/>
    <w:rsid w:val="00EA7115"/>
    <w:rsid w:val="00EB10A7"/>
    <w:rsid w:val="00EB2328"/>
    <w:rsid w:val="00EB24B5"/>
    <w:rsid w:val="00EB48A2"/>
    <w:rsid w:val="00EB6DE7"/>
    <w:rsid w:val="00EB71F5"/>
    <w:rsid w:val="00EB7473"/>
    <w:rsid w:val="00EC2A2F"/>
    <w:rsid w:val="00EC6890"/>
    <w:rsid w:val="00EC6A15"/>
    <w:rsid w:val="00EC72A4"/>
    <w:rsid w:val="00ED694A"/>
    <w:rsid w:val="00ED76D9"/>
    <w:rsid w:val="00EE2F28"/>
    <w:rsid w:val="00EE4722"/>
    <w:rsid w:val="00EE73B2"/>
    <w:rsid w:val="00EF4BA3"/>
    <w:rsid w:val="00F01CBB"/>
    <w:rsid w:val="00F02295"/>
    <w:rsid w:val="00F024E2"/>
    <w:rsid w:val="00F02A1E"/>
    <w:rsid w:val="00F046BE"/>
    <w:rsid w:val="00F05D04"/>
    <w:rsid w:val="00F060A4"/>
    <w:rsid w:val="00F06124"/>
    <w:rsid w:val="00F06485"/>
    <w:rsid w:val="00F07523"/>
    <w:rsid w:val="00F07A75"/>
    <w:rsid w:val="00F07E1A"/>
    <w:rsid w:val="00F10710"/>
    <w:rsid w:val="00F10F9F"/>
    <w:rsid w:val="00F11EB1"/>
    <w:rsid w:val="00F127F3"/>
    <w:rsid w:val="00F1326E"/>
    <w:rsid w:val="00F155B4"/>
    <w:rsid w:val="00F15D39"/>
    <w:rsid w:val="00F16B10"/>
    <w:rsid w:val="00F211E0"/>
    <w:rsid w:val="00F22598"/>
    <w:rsid w:val="00F231AB"/>
    <w:rsid w:val="00F24BB1"/>
    <w:rsid w:val="00F27C51"/>
    <w:rsid w:val="00F304EE"/>
    <w:rsid w:val="00F30CEA"/>
    <w:rsid w:val="00F30F6F"/>
    <w:rsid w:val="00F31887"/>
    <w:rsid w:val="00F3251D"/>
    <w:rsid w:val="00F341AE"/>
    <w:rsid w:val="00F35671"/>
    <w:rsid w:val="00F36FAB"/>
    <w:rsid w:val="00F400C4"/>
    <w:rsid w:val="00F405D8"/>
    <w:rsid w:val="00F40D7B"/>
    <w:rsid w:val="00F41E90"/>
    <w:rsid w:val="00F45368"/>
    <w:rsid w:val="00F45490"/>
    <w:rsid w:val="00F456C4"/>
    <w:rsid w:val="00F4710F"/>
    <w:rsid w:val="00F47A62"/>
    <w:rsid w:val="00F50F0D"/>
    <w:rsid w:val="00F52F18"/>
    <w:rsid w:val="00F53A81"/>
    <w:rsid w:val="00F55EF2"/>
    <w:rsid w:val="00F57D8D"/>
    <w:rsid w:val="00F60E88"/>
    <w:rsid w:val="00F615EE"/>
    <w:rsid w:val="00F65877"/>
    <w:rsid w:val="00F67B42"/>
    <w:rsid w:val="00F70C5A"/>
    <w:rsid w:val="00F725CC"/>
    <w:rsid w:val="00F725EF"/>
    <w:rsid w:val="00F73B29"/>
    <w:rsid w:val="00F74C20"/>
    <w:rsid w:val="00F74CEC"/>
    <w:rsid w:val="00F7574B"/>
    <w:rsid w:val="00F757F6"/>
    <w:rsid w:val="00F770CE"/>
    <w:rsid w:val="00F80B9F"/>
    <w:rsid w:val="00F823B7"/>
    <w:rsid w:val="00F82895"/>
    <w:rsid w:val="00F82B69"/>
    <w:rsid w:val="00F86321"/>
    <w:rsid w:val="00F87702"/>
    <w:rsid w:val="00F905C6"/>
    <w:rsid w:val="00F90A82"/>
    <w:rsid w:val="00F91188"/>
    <w:rsid w:val="00F915E6"/>
    <w:rsid w:val="00F91819"/>
    <w:rsid w:val="00F925C3"/>
    <w:rsid w:val="00F9546C"/>
    <w:rsid w:val="00F966C0"/>
    <w:rsid w:val="00F96CF9"/>
    <w:rsid w:val="00F974A1"/>
    <w:rsid w:val="00F97670"/>
    <w:rsid w:val="00F97B72"/>
    <w:rsid w:val="00FA0C6D"/>
    <w:rsid w:val="00FA0CA0"/>
    <w:rsid w:val="00FA0D12"/>
    <w:rsid w:val="00FA10A8"/>
    <w:rsid w:val="00FA1427"/>
    <w:rsid w:val="00FA161D"/>
    <w:rsid w:val="00FA2817"/>
    <w:rsid w:val="00FA45BA"/>
    <w:rsid w:val="00FA5296"/>
    <w:rsid w:val="00FA6C76"/>
    <w:rsid w:val="00FB0F84"/>
    <w:rsid w:val="00FB1F93"/>
    <w:rsid w:val="00FB48DF"/>
    <w:rsid w:val="00FB5972"/>
    <w:rsid w:val="00FB632F"/>
    <w:rsid w:val="00FB6D42"/>
    <w:rsid w:val="00FB7266"/>
    <w:rsid w:val="00FC1484"/>
    <w:rsid w:val="00FC21DC"/>
    <w:rsid w:val="00FC3BAF"/>
    <w:rsid w:val="00FC5824"/>
    <w:rsid w:val="00FC5AFE"/>
    <w:rsid w:val="00FC5D22"/>
    <w:rsid w:val="00FD01BA"/>
    <w:rsid w:val="00FD0CA5"/>
    <w:rsid w:val="00FD4012"/>
    <w:rsid w:val="00FD5A0C"/>
    <w:rsid w:val="00FD6B9D"/>
    <w:rsid w:val="00FE05B0"/>
    <w:rsid w:val="00FE20F3"/>
    <w:rsid w:val="00FE23CB"/>
    <w:rsid w:val="00FE4D45"/>
    <w:rsid w:val="00FE5279"/>
    <w:rsid w:val="00FE5412"/>
    <w:rsid w:val="00FE5553"/>
    <w:rsid w:val="00FE5B06"/>
    <w:rsid w:val="00FE6874"/>
    <w:rsid w:val="00FE71EC"/>
    <w:rsid w:val="00FF0084"/>
    <w:rsid w:val="00FF05FE"/>
    <w:rsid w:val="00FF094D"/>
    <w:rsid w:val="00FF1328"/>
    <w:rsid w:val="00FF1D69"/>
    <w:rsid w:val="00FF4F25"/>
    <w:rsid w:val="00FF5A7C"/>
    <w:rsid w:val="00FF6B57"/>
    <w:rsid w:val="014767B6"/>
    <w:rsid w:val="01770E63"/>
    <w:rsid w:val="01A0313A"/>
    <w:rsid w:val="01C653C2"/>
    <w:rsid w:val="01D00FB1"/>
    <w:rsid w:val="01DD5A33"/>
    <w:rsid w:val="023F35FE"/>
    <w:rsid w:val="02570E00"/>
    <w:rsid w:val="02694B2D"/>
    <w:rsid w:val="02841151"/>
    <w:rsid w:val="035B2C30"/>
    <w:rsid w:val="037C636C"/>
    <w:rsid w:val="0414597E"/>
    <w:rsid w:val="04283B27"/>
    <w:rsid w:val="044E0E5C"/>
    <w:rsid w:val="045A5848"/>
    <w:rsid w:val="046534CD"/>
    <w:rsid w:val="04727509"/>
    <w:rsid w:val="049B2969"/>
    <w:rsid w:val="04B17E5C"/>
    <w:rsid w:val="04C939BF"/>
    <w:rsid w:val="04D56407"/>
    <w:rsid w:val="054C4697"/>
    <w:rsid w:val="05556DD5"/>
    <w:rsid w:val="05A14786"/>
    <w:rsid w:val="062067F8"/>
    <w:rsid w:val="06452CCA"/>
    <w:rsid w:val="067F3F33"/>
    <w:rsid w:val="068E4BE7"/>
    <w:rsid w:val="06B42EC1"/>
    <w:rsid w:val="06D44959"/>
    <w:rsid w:val="073065A6"/>
    <w:rsid w:val="075067F3"/>
    <w:rsid w:val="076B3FE1"/>
    <w:rsid w:val="07840A35"/>
    <w:rsid w:val="07AA30C0"/>
    <w:rsid w:val="07F10919"/>
    <w:rsid w:val="085027AA"/>
    <w:rsid w:val="08B20355"/>
    <w:rsid w:val="08B2479B"/>
    <w:rsid w:val="08C25696"/>
    <w:rsid w:val="08C74796"/>
    <w:rsid w:val="08E56DAC"/>
    <w:rsid w:val="09045DE9"/>
    <w:rsid w:val="094D059E"/>
    <w:rsid w:val="09817B5F"/>
    <w:rsid w:val="098D3BE3"/>
    <w:rsid w:val="099D0A36"/>
    <w:rsid w:val="09D10C37"/>
    <w:rsid w:val="09FE513C"/>
    <w:rsid w:val="0A132958"/>
    <w:rsid w:val="0A1F288F"/>
    <w:rsid w:val="0A25789E"/>
    <w:rsid w:val="0A2825E7"/>
    <w:rsid w:val="0A2A5AF3"/>
    <w:rsid w:val="0A321BEA"/>
    <w:rsid w:val="0A3B4A4B"/>
    <w:rsid w:val="0A4769D3"/>
    <w:rsid w:val="0A6844E3"/>
    <w:rsid w:val="0A7357BF"/>
    <w:rsid w:val="0A7713E2"/>
    <w:rsid w:val="0A790CC3"/>
    <w:rsid w:val="0A83699C"/>
    <w:rsid w:val="0AD22393"/>
    <w:rsid w:val="0ADF3A20"/>
    <w:rsid w:val="0B0634C4"/>
    <w:rsid w:val="0B3F70F7"/>
    <w:rsid w:val="0B644A28"/>
    <w:rsid w:val="0B723482"/>
    <w:rsid w:val="0BFA3C20"/>
    <w:rsid w:val="0C013336"/>
    <w:rsid w:val="0C193E12"/>
    <w:rsid w:val="0C9342A2"/>
    <w:rsid w:val="0CC53E02"/>
    <w:rsid w:val="0CF02358"/>
    <w:rsid w:val="0D1670EA"/>
    <w:rsid w:val="0D564F23"/>
    <w:rsid w:val="0D5D04DF"/>
    <w:rsid w:val="0DDF229C"/>
    <w:rsid w:val="0DF965A1"/>
    <w:rsid w:val="0E035E5B"/>
    <w:rsid w:val="0E376602"/>
    <w:rsid w:val="0E38021B"/>
    <w:rsid w:val="0E402372"/>
    <w:rsid w:val="0E6B114E"/>
    <w:rsid w:val="0E835E65"/>
    <w:rsid w:val="0EA800D7"/>
    <w:rsid w:val="0EA9247C"/>
    <w:rsid w:val="0EB45CC7"/>
    <w:rsid w:val="0F0121D2"/>
    <w:rsid w:val="0F037051"/>
    <w:rsid w:val="0F3431A0"/>
    <w:rsid w:val="0F92764E"/>
    <w:rsid w:val="0FF25B83"/>
    <w:rsid w:val="0FFD4210"/>
    <w:rsid w:val="10474176"/>
    <w:rsid w:val="105278D9"/>
    <w:rsid w:val="1062434D"/>
    <w:rsid w:val="10AF3956"/>
    <w:rsid w:val="10BA3490"/>
    <w:rsid w:val="11192A91"/>
    <w:rsid w:val="11611B77"/>
    <w:rsid w:val="117C7EBA"/>
    <w:rsid w:val="11F74077"/>
    <w:rsid w:val="1210364F"/>
    <w:rsid w:val="126A3AA1"/>
    <w:rsid w:val="12765058"/>
    <w:rsid w:val="128E35DF"/>
    <w:rsid w:val="12B63013"/>
    <w:rsid w:val="12C74BE0"/>
    <w:rsid w:val="139B4E74"/>
    <w:rsid w:val="13B00359"/>
    <w:rsid w:val="13B309E6"/>
    <w:rsid w:val="13F15937"/>
    <w:rsid w:val="143D266C"/>
    <w:rsid w:val="146838D6"/>
    <w:rsid w:val="146F2B90"/>
    <w:rsid w:val="147111F4"/>
    <w:rsid w:val="14960D0A"/>
    <w:rsid w:val="14C01F4E"/>
    <w:rsid w:val="14C6339B"/>
    <w:rsid w:val="14E36FA6"/>
    <w:rsid w:val="150A0926"/>
    <w:rsid w:val="1513154F"/>
    <w:rsid w:val="15302CD3"/>
    <w:rsid w:val="15935F13"/>
    <w:rsid w:val="15B910B3"/>
    <w:rsid w:val="16380BB1"/>
    <w:rsid w:val="16396912"/>
    <w:rsid w:val="16AA384E"/>
    <w:rsid w:val="16BA3734"/>
    <w:rsid w:val="16C245FC"/>
    <w:rsid w:val="16F62C57"/>
    <w:rsid w:val="17115448"/>
    <w:rsid w:val="17B924F6"/>
    <w:rsid w:val="18351106"/>
    <w:rsid w:val="186E3F09"/>
    <w:rsid w:val="186E77BF"/>
    <w:rsid w:val="18AB4689"/>
    <w:rsid w:val="1900325C"/>
    <w:rsid w:val="19036A54"/>
    <w:rsid w:val="19194F7A"/>
    <w:rsid w:val="191A07AB"/>
    <w:rsid w:val="19487E37"/>
    <w:rsid w:val="196C711A"/>
    <w:rsid w:val="19890F40"/>
    <w:rsid w:val="19895781"/>
    <w:rsid w:val="19BE6134"/>
    <w:rsid w:val="19E41BC5"/>
    <w:rsid w:val="19EB51CA"/>
    <w:rsid w:val="19F0483A"/>
    <w:rsid w:val="19F83D19"/>
    <w:rsid w:val="1A3A3EC4"/>
    <w:rsid w:val="1A67219C"/>
    <w:rsid w:val="1AA959B5"/>
    <w:rsid w:val="1AE14967"/>
    <w:rsid w:val="1AE91FDA"/>
    <w:rsid w:val="1B015220"/>
    <w:rsid w:val="1B261C9E"/>
    <w:rsid w:val="1B2D3D66"/>
    <w:rsid w:val="1B7F50E1"/>
    <w:rsid w:val="1B905FB1"/>
    <w:rsid w:val="1BCD24D2"/>
    <w:rsid w:val="1C036CB4"/>
    <w:rsid w:val="1C4B5763"/>
    <w:rsid w:val="1C577731"/>
    <w:rsid w:val="1C632B9F"/>
    <w:rsid w:val="1CAC630A"/>
    <w:rsid w:val="1CC95E3C"/>
    <w:rsid w:val="1CD94455"/>
    <w:rsid w:val="1CE04D36"/>
    <w:rsid w:val="1CF33DD5"/>
    <w:rsid w:val="1CFE4DDC"/>
    <w:rsid w:val="1D2F2DBA"/>
    <w:rsid w:val="1D9C011F"/>
    <w:rsid w:val="1DA83B2E"/>
    <w:rsid w:val="1DCA4BEF"/>
    <w:rsid w:val="1DD22755"/>
    <w:rsid w:val="1DF92371"/>
    <w:rsid w:val="1E2614CA"/>
    <w:rsid w:val="1E4D275B"/>
    <w:rsid w:val="1E6B0667"/>
    <w:rsid w:val="1E8041F6"/>
    <w:rsid w:val="1E9D233F"/>
    <w:rsid w:val="1ED90E8F"/>
    <w:rsid w:val="1EF26006"/>
    <w:rsid w:val="1F21356E"/>
    <w:rsid w:val="1F255E74"/>
    <w:rsid w:val="1F6300E4"/>
    <w:rsid w:val="1F633047"/>
    <w:rsid w:val="1F7F7A64"/>
    <w:rsid w:val="1FA85074"/>
    <w:rsid w:val="1FAD194D"/>
    <w:rsid w:val="1FDA15FF"/>
    <w:rsid w:val="1FEA2FB7"/>
    <w:rsid w:val="20134A45"/>
    <w:rsid w:val="207219FA"/>
    <w:rsid w:val="20985622"/>
    <w:rsid w:val="20D931DD"/>
    <w:rsid w:val="20EB6860"/>
    <w:rsid w:val="21070572"/>
    <w:rsid w:val="210B6B5F"/>
    <w:rsid w:val="21164C90"/>
    <w:rsid w:val="21422255"/>
    <w:rsid w:val="216C60FB"/>
    <w:rsid w:val="21787B7A"/>
    <w:rsid w:val="217A53FF"/>
    <w:rsid w:val="2181579D"/>
    <w:rsid w:val="21983180"/>
    <w:rsid w:val="21AF3D45"/>
    <w:rsid w:val="2212414C"/>
    <w:rsid w:val="222251D1"/>
    <w:rsid w:val="223514E0"/>
    <w:rsid w:val="229862C5"/>
    <w:rsid w:val="229C33E2"/>
    <w:rsid w:val="22A87831"/>
    <w:rsid w:val="22AF25A0"/>
    <w:rsid w:val="22F42758"/>
    <w:rsid w:val="23107E95"/>
    <w:rsid w:val="23113070"/>
    <w:rsid w:val="23247CD7"/>
    <w:rsid w:val="232E4B6F"/>
    <w:rsid w:val="23A85F7B"/>
    <w:rsid w:val="23C93277"/>
    <w:rsid w:val="23CC5664"/>
    <w:rsid w:val="2426102C"/>
    <w:rsid w:val="242B5E2C"/>
    <w:rsid w:val="24980974"/>
    <w:rsid w:val="249C21D6"/>
    <w:rsid w:val="249C56EF"/>
    <w:rsid w:val="24E20B8E"/>
    <w:rsid w:val="25263930"/>
    <w:rsid w:val="252E1279"/>
    <w:rsid w:val="2534406E"/>
    <w:rsid w:val="25593DA8"/>
    <w:rsid w:val="25722140"/>
    <w:rsid w:val="25897589"/>
    <w:rsid w:val="2589758C"/>
    <w:rsid w:val="25963ECB"/>
    <w:rsid w:val="25BD2942"/>
    <w:rsid w:val="25DF1A4A"/>
    <w:rsid w:val="25E33073"/>
    <w:rsid w:val="25E63268"/>
    <w:rsid w:val="261E09A8"/>
    <w:rsid w:val="2651606A"/>
    <w:rsid w:val="26CE07E4"/>
    <w:rsid w:val="26CF1367"/>
    <w:rsid w:val="26D14816"/>
    <w:rsid w:val="26FD0E50"/>
    <w:rsid w:val="26FE47C1"/>
    <w:rsid w:val="27050883"/>
    <w:rsid w:val="27531F5C"/>
    <w:rsid w:val="2777667D"/>
    <w:rsid w:val="277979D1"/>
    <w:rsid w:val="277A607F"/>
    <w:rsid w:val="27950878"/>
    <w:rsid w:val="27AE42B6"/>
    <w:rsid w:val="27DA4B35"/>
    <w:rsid w:val="28001258"/>
    <w:rsid w:val="28025186"/>
    <w:rsid w:val="28164551"/>
    <w:rsid w:val="281B4AE1"/>
    <w:rsid w:val="28265D8D"/>
    <w:rsid w:val="288B443D"/>
    <w:rsid w:val="28A0773C"/>
    <w:rsid w:val="28AE3CBE"/>
    <w:rsid w:val="28B06CBB"/>
    <w:rsid w:val="28B643F4"/>
    <w:rsid w:val="28E771AD"/>
    <w:rsid w:val="28E842E0"/>
    <w:rsid w:val="28EE1233"/>
    <w:rsid w:val="291F123D"/>
    <w:rsid w:val="29250FB1"/>
    <w:rsid w:val="296D6D85"/>
    <w:rsid w:val="29895AC2"/>
    <w:rsid w:val="2991758E"/>
    <w:rsid w:val="29AD1407"/>
    <w:rsid w:val="29AE7949"/>
    <w:rsid w:val="29C3065C"/>
    <w:rsid w:val="2A190A10"/>
    <w:rsid w:val="2A3A75DF"/>
    <w:rsid w:val="2A5B439A"/>
    <w:rsid w:val="2A963028"/>
    <w:rsid w:val="2ACE28A1"/>
    <w:rsid w:val="2AFA3941"/>
    <w:rsid w:val="2B486382"/>
    <w:rsid w:val="2B4C0A1F"/>
    <w:rsid w:val="2B754B3E"/>
    <w:rsid w:val="2BA9070F"/>
    <w:rsid w:val="2BAF5D7E"/>
    <w:rsid w:val="2BB41B66"/>
    <w:rsid w:val="2BC1309B"/>
    <w:rsid w:val="2C047E87"/>
    <w:rsid w:val="2C1D17EB"/>
    <w:rsid w:val="2C550DC9"/>
    <w:rsid w:val="2C8D1C48"/>
    <w:rsid w:val="2C967346"/>
    <w:rsid w:val="2CD32211"/>
    <w:rsid w:val="2CD8769B"/>
    <w:rsid w:val="2CDD256A"/>
    <w:rsid w:val="2D181A12"/>
    <w:rsid w:val="2D21546E"/>
    <w:rsid w:val="2D677E69"/>
    <w:rsid w:val="2D817AFA"/>
    <w:rsid w:val="2DAA2054"/>
    <w:rsid w:val="2DC70BCB"/>
    <w:rsid w:val="2DE21EA0"/>
    <w:rsid w:val="2DFC445D"/>
    <w:rsid w:val="2E034719"/>
    <w:rsid w:val="2E072C4F"/>
    <w:rsid w:val="2E3D2C95"/>
    <w:rsid w:val="2E5E5DEE"/>
    <w:rsid w:val="2E60477C"/>
    <w:rsid w:val="2E9E193D"/>
    <w:rsid w:val="2EE46A2C"/>
    <w:rsid w:val="2EEF1D7E"/>
    <w:rsid w:val="2F182201"/>
    <w:rsid w:val="2F411D58"/>
    <w:rsid w:val="2F6055EA"/>
    <w:rsid w:val="2F7A4CBC"/>
    <w:rsid w:val="2FDA2D39"/>
    <w:rsid w:val="2FEB4E18"/>
    <w:rsid w:val="300F3E12"/>
    <w:rsid w:val="307A31E5"/>
    <w:rsid w:val="308773AA"/>
    <w:rsid w:val="30A53AFC"/>
    <w:rsid w:val="30E66506"/>
    <w:rsid w:val="310C2B92"/>
    <w:rsid w:val="312320E1"/>
    <w:rsid w:val="31397E8C"/>
    <w:rsid w:val="3143584B"/>
    <w:rsid w:val="31472444"/>
    <w:rsid w:val="31554727"/>
    <w:rsid w:val="315A5AB6"/>
    <w:rsid w:val="31760B36"/>
    <w:rsid w:val="31AD7D22"/>
    <w:rsid w:val="31BE0EDB"/>
    <w:rsid w:val="31E84902"/>
    <w:rsid w:val="32192751"/>
    <w:rsid w:val="321B19A6"/>
    <w:rsid w:val="32306D2A"/>
    <w:rsid w:val="326F7737"/>
    <w:rsid w:val="329014AC"/>
    <w:rsid w:val="32A00171"/>
    <w:rsid w:val="32AA0890"/>
    <w:rsid w:val="32E9654F"/>
    <w:rsid w:val="33353B07"/>
    <w:rsid w:val="333617F0"/>
    <w:rsid w:val="335B32A6"/>
    <w:rsid w:val="337E3203"/>
    <w:rsid w:val="33A77D83"/>
    <w:rsid w:val="33AA52AF"/>
    <w:rsid w:val="33C64376"/>
    <w:rsid w:val="34451A3D"/>
    <w:rsid w:val="34A637D3"/>
    <w:rsid w:val="34BD63CD"/>
    <w:rsid w:val="34EF399E"/>
    <w:rsid w:val="351D5E64"/>
    <w:rsid w:val="35326F0E"/>
    <w:rsid w:val="3544732B"/>
    <w:rsid w:val="355B1AC5"/>
    <w:rsid w:val="35C030F8"/>
    <w:rsid w:val="35C0643F"/>
    <w:rsid w:val="36225268"/>
    <w:rsid w:val="363D2322"/>
    <w:rsid w:val="363E47DD"/>
    <w:rsid w:val="36626FE1"/>
    <w:rsid w:val="369905D2"/>
    <w:rsid w:val="369D007E"/>
    <w:rsid w:val="36C56F01"/>
    <w:rsid w:val="36F02B62"/>
    <w:rsid w:val="36F54D1B"/>
    <w:rsid w:val="36FA5DC6"/>
    <w:rsid w:val="3713448B"/>
    <w:rsid w:val="37321CC5"/>
    <w:rsid w:val="37454F0D"/>
    <w:rsid w:val="374578FE"/>
    <w:rsid w:val="375210E1"/>
    <w:rsid w:val="376E07AB"/>
    <w:rsid w:val="377A3762"/>
    <w:rsid w:val="377A3F93"/>
    <w:rsid w:val="37A07FFD"/>
    <w:rsid w:val="37B81BDB"/>
    <w:rsid w:val="37BE537A"/>
    <w:rsid w:val="37F36F4A"/>
    <w:rsid w:val="38057912"/>
    <w:rsid w:val="381A3369"/>
    <w:rsid w:val="385C0A2B"/>
    <w:rsid w:val="38712BD4"/>
    <w:rsid w:val="387C2913"/>
    <w:rsid w:val="390C06DC"/>
    <w:rsid w:val="392D27D5"/>
    <w:rsid w:val="393F432E"/>
    <w:rsid w:val="39702DB8"/>
    <w:rsid w:val="39850AF4"/>
    <w:rsid w:val="39991BED"/>
    <w:rsid w:val="39AD666E"/>
    <w:rsid w:val="39D87F60"/>
    <w:rsid w:val="39E42B20"/>
    <w:rsid w:val="39F75276"/>
    <w:rsid w:val="3A3E6915"/>
    <w:rsid w:val="3A7A0D98"/>
    <w:rsid w:val="3A7F4FF6"/>
    <w:rsid w:val="3ABD298A"/>
    <w:rsid w:val="3ACA7634"/>
    <w:rsid w:val="3B354075"/>
    <w:rsid w:val="3B430B21"/>
    <w:rsid w:val="3B7C2C87"/>
    <w:rsid w:val="3B9D703D"/>
    <w:rsid w:val="3BA0034A"/>
    <w:rsid w:val="3BEE4C66"/>
    <w:rsid w:val="3BFF67A1"/>
    <w:rsid w:val="3C2B68CD"/>
    <w:rsid w:val="3C3C58EF"/>
    <w:rsid w:val="3C4B0BD6"/>
    <w:rsid w:val="3C5C462F"/>
    <w:rsid w:val="3C841665"/>
    <w:rsid w:val="3CA617D9"/>
    <w:rsid w:val="3CCE0059"/>
    <w:rsid w:val="3D191D2F"/>
    <w:rsid w:val="3D2435B6"/>
    <w:rsid w:val="3D4A3024"/>
    <w:rsid w:val="3D5B6538"/>
    <w:rsid w:val="3D66331D"/>
    <w:rsid w:val="3D86026B"/>
    <w:rsid w:val="3D8A5D12"/>
    <w:rsid w:val="3D8E6CF2"/>
    <w:rsid w:val="3D93650D"/>
    <w:rsid w:val="3DAF14AC"/>
    <w:rsid w:val="3DCA76A6"/>
    <w:rsid w:val="3DE94768"/>
    <w:rsid w:val="3DEC7967"/>
    <w:rsid w:val="3DF84970"/>
    <w:rsid w:val="3E247AC1"/>
    <w:rsid w:val="3E36666B"/>
    <w:rsid w:val="3E6425DF"/>
    <w:rsid w:val="3E755E2B"/>
    <w:rsid w:val="3E842B19"/>
    <w:rsid w:val="3E8E09C3"/>
    <w:rsid w:val="3E9B13AA"/>
    <w:rsid w:val="3EA42BC1"/>
    <w:rsid w:val="3F0408D9"/>
    <w:rsid w:val="3F1B7DCF"/>
    <w:rsid w:val="3F20762F"/>
    <w:rsid w:val="3F493D6C"/>
    <w:rsid w:val="3FA67929"/>
    <w:rsid w:val="3FBE79D3"/>
    <w:rsid w:val="3FDD0319"/>
    <w:rsid w:val="403C49AF"/>
    <w:rsid w:val="409867F4"/>
    <w:rsid w:val="409B5F4B"/>
    <w:rsid w:val="40C873CE"/>
    <w:rsid w:val="40CA6CB3"/>
    <w:rsid w:val="40E80792"/>
    <w:rsid w:val="40EE2AB2"/>
    <w:rsid w:val="415239AA"/>
    <w:rsid w:val="419B75AC"/>
    <w:rsid w:val="41AC65CA"/>
    <w:rsid w:val="41B81D35"/>
    <w:rsid w:val="41F102D0"/>
    <w:rsid w:val="41F528AF"/>
    <w:rsid w:val="42135739"/>
    <w:rsid w:val="422E47BB"/>
    <w:rsid w:val="42782555"/>
    <w:rsid w:val="427F7DA6"/>
    <w:rsid w:val="42941D1D"/>
    <w:rsid w:val="42F07949"/>
    <w:rsid w:val="43025D87"/>
    <w:rsid w:val="43867D32"/>
    <w:rsid w:val="43A36BA5"/>
    <w:rsid w:val="43C75952"/>
    <w:rsid w:val="43D562AE"/>
    <w:rsid w:val="43E628CD"/>
    <w:rsid w:val="44060CC3"/>
    <w:rsid w:val="44402811"/>
    <w:rsid w:val="444747D0"/>
    <w:rsid w:val="44671538"/>
    <w:rsid w:val="446C18E8"/>
    <w:rsid w:val="44853A0C"/>
    <w:rsid w:val="449461DA"/>
    <w:rsid w:val="44A40DED"/>
    <w:rsid w:val="44A946B3"/>
    <w:rsid w:val="44BE0117"/>
    <w:rsid w:val="4503049D"/>
    <w:rsid w:val="4512650A"/>
    <w:rsid w:val="45812FCC"/>
    <w:rsid w:val="45F9717E"/>
    <w:rsid w:val="461F173A"/>
    <w:rsid w:val="465B35AC"/>
    <w:rsid w:val="46747008"/>
    <w:rsid w:val="467E1C96"/>
    <w:rsid w:val="468D56AC"/>
    <w:rsid w:val="476A4278"/>
    <w:rsid w:val="47C52801"/>
    <w:rsid w:val="47D11518"/>
    <w:rsid w:val="48444453"/>
    <w:rsid w:val="48763E26"/>
    <w:rsid w:val="487827B4"/>
    <w:rsid w:val="489144F4"/>
    <w:rsid w:val="48DE545C"/>
    <w:rsid w:val="48ED0A0B"/>
    <w:rsid w:val="48F5782F"/>
    <w:rsid w:val="4932088F"/>
    <w:rsid w:val="493A158E"/>
    <w:rsid w:val="4959733E"/>
    <w:rsid w:val="49695B6E"/>
    <w:rsid w:val="49812852"/>
    <w:rsid w:val="49B64ED9"/>
    <w:rsid w:val="49C0479A"/>
    <w:rsid w:val="49C57AEC"/>
    <w:rsid w:val="49DC3D4C"/>
    <w:rsid w:val="49F564EF"/>
    <w:rsid w:val="4A196C64"/>
    <w:rsid w:val="4A1C6672"/>
    <w:rsid w:val="4A2E1376"/>
    <w:rsid w:val="4A6053EF"/>
    <w:rsid w:val="4A6B12A0"/>
    <w:rsid w:val="4A92235A"/>
    <w:rsid w:val="4A923BEA"/>
    <w:rsid w:val="4AB726E5"/>
    <w:rsid w:val="4AE667A0"/>
    <w:rsid w:val="4AF55A4F"/>
    <w:rsid w:val="4B0B57D5"/>
    <w:rsid w:val="4B14673C"/>
    <w:rsid w:val="4B50235E"/>
    <w:rsid w:val="4B5C5566"/>
    <w:rsid w:val="4B804A20"/>
    <w:rsid w:val="4B83761C"/>
    <w:rsid w:val="4BA52F6B"/>
    <w:rsid w:val="4BCC743D"/>
    <w:rsid w:val="4BCF6749"/>
    <w:rsid w:val="4C0407C6"/>
    <w:rsid w:val="4C591F39"/>
    <w:rsid w:val="4C6E0850"/>
    <w:rsid w:val="4C8D5161"/>
    <w:rsid w:val="4C9C444D"/>
    <w:rsid w:val="4CB7638C"/>
    <w:rsid w:val="4CD77529"/>
    <w:rsid w:val="4CEF4F68"/>
    <w:rsid w:val="4D1B01FC"/>
    <w:rsid w:val="4D556737"/>
    <w:rsid w:val="4D9C05AB"/>
    <w:rsid w:val="4DC24D30"/>
    <w:rsid w:val="4DCF4193"/>
    <w:rsid w:val="4E0831B3"/>
    <w:rsid w:val="4E0D71BF"/>
    <w:rsid w:val="4E5C02CB"/>
    <w:rsid w:val="4E642696"/>
    <w:rsid w:val="4EA22880"/>
    <w:rsid w:val="4EA86593"/>
    <w:rsid w:val="4F177DC2"/>
    <w:rsid w:val="4F262C9A"/>
    <w:rsid w:val="4F462966"/>
    <w:rsid w:val="4F694B6A"/>
    <w:rsid w:val="4F8C3CA7"/>
    <w:rsid w:val="4F9442C2"/>
    <w:rsid w:val="4FA57C7B"/>
    <w:rsid w:val="4FD63298"/>
    <w:rsid w:val="4FF40E5C"/>
    <w:rsid w:val="4FFD3891"/>
    <w:rsid w:val="504C4400"/>
    <w:rsid w:val="506B187C"/>
    <w:rsid w:val="507259E4"/>
    <w:rsid w:val="50856A3E"/>
    <w:rsid w:val="509B6E90"/>
    <w:rsid w:val="50A9794A"/>
    <w:rsid w:val="50D1562D"/>
    <w:rsid w:val="50F2766F"/>
    <w:rsid w:val="514544E3"/>
    <w:rsid w:val="51782C6C"/>
    <w:rsid w:val="518572C3"/>
    <w:rsid w:val="525F553D"/>
    <w:rsid w:val="5261665E"/>
    <w:rsid w:val="526F57F4"/>
    <w:rsid w:val="528F6A8C"/>
    <w:rsid w:val="52971DB7"/>
    <w:rsid w:val="52BA433F"/>
    <w:rsid w:val="52C87422"/>
    <w:rsid w:val="52CD0600"/>
    <w:rsid w:val="53194C5D"/>
    <w:rsid w:val="53214582"/>
    <w:rsid w:val="534E767A"/>
    <w:rsid w:val="53943502"/>
    <w:rsid w:val="53AA776B"/>
    <w:rsid w:val="53C5708C"/>
    <w:rsid w:val="53D82515"/>
    <w:rsid w:val="53DC6DC4"/>
    <w:rsid w:val="53ED10C1"/>
    <w:rsid w:val="5409442E"/>
    <w:rsid w:val="54257995"/>
    <w:rsid w:val="544273CC"/>
    <w:rsid w:val="546A29ED"/>
    <w:rsid w:val="546D5611"/>
    <w:rsid w:val="5475416C"/>
    <w:rsid w:val="54952D6C"/>
    <w:rsid w:val="5498457A"/>
    <w:rsid w:val="550108BD"/>
    <w:rsid w:val="5504091B"/>
    <w:rsid w:val="5510114B"/>
    <w:rsid w:val="55497589"/>
    <w:rsid w:val="55647ED2"/>
    <w:rsid w:val="557419DB"/>
    <w:rsid w:val="558307DF"/>
    <w:rsid w:val="5594635F"/>
    <w:rsid w:val="55D94E82"/>
    <w:rsid w:val="55EF3524"/>
    <w:rsid w:val="56147AB5"/>
    <w:rsid w:val="565100CB"/>
    <w:rsid w:val="56525530"/>
    <w:rsid w:val="56E8406D"/>
    <w:rsid w:val="56EF001B"/>
    <w:rsid w:val="572D2062"/>
    <w:rsid w:val="57C35A6D"/>
    <w:rsid w:val="57D402C2"/>
    <w:rsid w:val="57DE3EAA"/>
    <w:rsid w:val="58000C3E"/>
    <w:rsid w:val="58404892"/>
    <w:rsid w:val="58767C66"/>
    <w:rsid w:val="588553DE"/>
    <w:rsid w:val="590C1BF8"/>
    <w:rsid w:val="5929047D"/>
    <w:rsid w:val="59293CCC"/>
    <w:rsid w:val="592A219B"/>
    <w:rsid w:val="592D1F39"/>
    <w:rsid w:val="59443720"/>
    <w:rsid w:val="59780E4C"/>
    <w:rsid w:val="59C467AE"/>
    <w:rsid w:val="59F345C5"/>
    <w:rsid w:val="5A047553"/>
    <w:rsid w:val="5A0A7398"/>
    <w:rsid w:val="5A1F6164"/>
    <w:rsid w:val="5A377D53"/>
    <w:rsid w:val="5A4C493D"/>
    <w:rsid w:val="5A522DAE"/>
    <w:rsid w:val="5A647D29"/>
    <w:rsid w:val="5AA63CD0"/>
    <w:rsid w:val="5AB015BB"/>
    <w:rsid w:val="5ABE6F7C"/>
    <w:rsid w:val="5AC8261C"/>
    <w:rsid w:val="5AD15747"/>
    <w:rsid w:val="5B495676"/>
    <w:rsid w:val="5B6D50A2"/>
    <w:rsid w:val="5BA4360D"/>
    <w:rsid w:val="5BD33DCA"/>
    <w:rsid w:val="5BD922B1"/>
    <w:rsid w:val="5C067C62"/>
    <w:rsid w:val="5C0B16D9"/>
    <w:rsid w:val="5C2A4872"/>
    <w:rsid w:val="5C4839E6"/>
    <w:rsid w:val="5C6D7E46"/>
    <w:rsid w:val="5CB73BF6"/>
    <w:rsid w:val="5D03496F"/>
    <w:rsid w:val="5D2136EF"/>
    <w:rsid w:val="5D244EB4"/>
    <w:rsid w:val="5D343E07"/>
    <w:rsid w:val="5DC42D0F"/>
    <w:rsid w:val="5DD54B15"/>
    <w:rsid w:val="5E0428AE"/>
    <w:rsid w:val="5E0E451C"/>
    <w:rsid w:val="5EAF1408"/>
    <w:rsid w:val="5EB02C4C"/>
    <w:rsid w:val="5ECB0D11"/>
    <w:rsid w:val="5EDA145D"/>
    <w:rsid w:val="5EE46265"/>
    <w:rsid w:val="5EE84BB2"/>
    <w:rsid w:val="5F025DA6"/>
    <w:rsid w:val="5F114008"/>
    <w:rsid w:val="5F290B5C"/>
    <w:rsid w:val="5F877968"/>
    <w:rsid w:val="5FA31641"/>
    <w:rsid w:val="5FAD51DF"/>
    <w:rsid w:val="5FB83D95"/>
    <w:rsid w:val="604F1566"/>
    <w:rsid w:val="608011A0"/>
    <w:rsid w:val="608A45EC"/>
    <w:rsid w:val="60AD689E"/>
    <w:rsid w:val="60AF2E6C"/>
    <w:rsid w:val="60D61DF2"/>
    <w:rsid w:val="61120B59"/>
    <w:rsid w:val="617E5882"/>
    <w:rsid w:val="6192620E"/>
    <w:rsid w:val="61B26BFE"/>
    <w:rsid w:val="61CA5CDE"/>
    <w:rsid w:val="61FA123A"/>
    <w:rsid w:val="62063EE0"/>
    <w:rsid w:val="620D203E"/>
    <w:rsid w:val="625938F1"/>
    <w:rsid w:val="626D6EEB"/>
    <w:rsid w:val="62B034B9"/>
    <w:rsid w:val="62D06AC1"/>
    <w:rsid w:val="62D5574D"/>
    <w:rsid w:val="63165357"/>
    <w:rsid w:val="63624FE1"/>
    <w:rsid w:val="63791823"/>
    <w:rsid w:val="639E28DA"/>
    <w:rsid w:val="63A95DD8"/>
    <w:rsid w:val="63DF7D38"/>
    <w:rsid w:val="63ED6E27"/>
    <w:rsid w:val="63FF4E68"/>
    <w:rsid w:val="641B0559"/>
    <w:rsid w:val="641F5A1F"/>
    <w:rsid w:val="642F580A"/>
    <w:rsid w:val="64467DB0"/>
    <w:rsid w:val="64AD1906"/>
    <w:rsid w:val="64BC7A57"/>
    <w:rsid w:val="64EF0657"/>
    <w:rsid w:val="64FC5E9D"/>
    <w:rsid w:val="650D0350"/>
    <w:rsid w:val="65215958"/>
    <w:rsid w:val="652F4244"/>
    <w:rsid w:val="653F563D"/>
    <w:rsid w:val="65560B3D"/>
    <w:rsid w:val="658E1960"/>
    <w:rsid w:val="65A411EF"/>
    <w:rsid w:val="65AE3A2E"/>
    <w:rsid w:val="65B4249A"/>
    <w:rsid w:val="65E27BA7"/>
    <w:rsid w:val="65FC06F0"/>
    <w:rsid w:val="661C0FAD"/>
    <w:rsid w:val="66562132"/>
    <w:rsid w:val="66640781"/>
    <w:rsid w:val="666E174E"/>
    <w:rsid w:val="66C1342A"/>
    <w:rsid w:val="66DA5F10"/>
    <w:rsid w:val="66FD718E"/>
    <w:rsid w:val="670C60CB"/>
    <w:rsid w:val="67122824"/>
    <w:rsid w:val="672A4CF2"/>
    <w:rsid w:val="67341BCE"/>
    <w:rsid w:val="67994707"/>
    <w:rsid w:val="67E03287"/>
    <w:rsid w:val="6800370B"/>
    <w:rsid w:val="680218B5"/>
    <w:rsid w:val="6810781A"/>
    <w:rsid w:val="68127E6E"/>
    <w:rsid w:val="681A0A72"/>
    <w:rsid w:val="682E7D64"/>
    <w:rsid w:val="683177B2"/>
    <w:rsid w:val="683A4ED9"/>
    <w:rsid w:val="683B2349"/>
    <w:rsid w:val="687D1A64"/>
    <w:rsid w:val="68821D80"/>
    <w:rsid w:val="689D3B1C"/>
    <w:rsid w:val="68C3391B"/>
    <w:rsid w:val="68CC4BA4"/>
    <w:rsid w:val="68D32FA9"/>
    <w:rsid w:val="68DD47C0"/>
    <w:rsid w:val="68E01DA7"/>
    <w:rsid w:val="691B5C1D"/>
    <w:rsid w:val="6946479E"/>
    <w:rsid w:val="6965046E"/>
    <w:rsid w:val="69683A6F"/>
    <w:rsid w:val="698F6DE8"/>
    <w:rsid w:val="6A0F75F5"/>
    <w:rsid w:val="6A1920C9"/>
    <w:rsid w:val="6A4110C0"/>
    <w:rsid w:val="6A6E28F3"/>
    <w:rsid w:val="6AAA49E2"/>
    <w:rsid w:val="6AAB03A8"/>
    <w:rsid w:val="6AC27DD8"/>
    <w:rsid w:val="6AD545C3"/>
    <w:rsid w:val="6AF80DBC"/>
    <w:rsid w:val="6B1D3022"/>
    <w:rsid w:val="6B343BE7"/>
    <w:rsid w:val="6B3B7F34"/>
    <w:rsid w:val="6B42527F"/>
    <w:rsid w:val="6B451069"/>
    <w:rsid w:val="6B751873"/>
    <w:rsid w:val="6B854837"/>
    <w:rsid w:val="6B9E0328"/>
    <w:rsid w:val="6BA11F0E"/>
    <w:rsid w:val="6BC73D7C"/>
    <w:rsid w:val="6BDC3EBC"/>
    <w:rsid w:val="6BDE363C"/>
    <w:rsid w:val="6C491EEC"/>
    <w:rsid w:val="6C627DE9"/>
    <w:rsid w:val="6C827F4C"/>
    <w:rsid w:val="6C9133AA"/>
    <w:rsid w:val="6C945F01"/>
    <w:rsid w:val="6C9B1D33"/>
    <w:rsid w:val="6CB255D8"/>
    <w:rsid w:val="6CB9670A"/>
    <w:rsid w:val="6D175C6E"/>
    <w:rsid w:val="6D2267F5"/>
    <w:rsid w:val="6D2938A6"/>
    <w:rsid w:val="6D3A46D6"/>
    <w:rsid w:val="6DAC563A"/>
    <w:rsid w:val="6DC46AA5"/>
    <w:rsid w:val="6DF22CBA"/>
    <w:rsid w:val="6DFC2393"/>
    <w:rsid w:val="6E052AC9"/>
    <w:rsid w:val="6E1D2413"/>
    <w:rsid w:val="6E2C6051"/>
    <w:rsid w:val="6E367437"/>
    <w:rsid w:val="6EB603DC"/>
    <w:rsid w:val="6EBD21FE"/>
    <w:rsid w:val="6EC50436"/>
    <w:rsid w:val="6EE900D0"/>
    <w:rsid w:val="6EEF5861"/>
    <w:rsid w:val="6F243989"/>
    <w:rsid w:val="6F3F78AF"/>
    <w:rsid w:val="6F646DCD"/>
    <w:rsid w:val="6F842638"/>
    <w:rsid w:val="6FC60CE9"/>
    <w:rsid w:val="6FC96595"/>
    <w:rsid w:val="6FD60E54"/>
    <w:rsid w:val="6FE4023B"/>
    <w:rsid w:val="6FF002F6"/>
    <w:rsid w:val="70177892"/>
    <w:rsid w:val="704D2A0F"/>
    <w:rsid w:val="7060240F"/>
    <w:rsid w:val="70935F76"/>
    <w:rsid w:val="70D463E0"/>
    <w:rsid w:val="70DA55F6"/>
    <w:rsid w:val="710F24A7"/>
    <w:rsid w:val="714703AF"/>
    <w:rsid w:val="717642E9"/>
    <w:rsid w:val="71825C99"/>
    <w:rsid w:val="71F04974"/>
    <w:rsid w:val="7212290F"/>
    <w:rsid w:val="72220096"/>
    <w:rsid w:val="723D7184"/>
    <w:rsid w:val="724904C0"/>
    <w:rsid w:val="72A01E21"/>
    <w:rsid w:val="72A73FE4"/>
    <w:rsid w:val="72A92F17"/>
    <w:rsid w:val="72B74DA2"/>
    <w:rsid w:val="72DF0684"/>
    <w:rsid w:val="732C6654"/>
    <w:rsid w:val="734A6D8C"/>
    <w:rsid w:val="736960ED"/>
    <w:rsid w:val="73751307"/>
    <w:rsid w:val="73CF1E89"/>
    <w:rsid w:val="73D375BB"/>
    <w:rsid w:val="73EB4792"/>
    <w:rsid w:val="7408496C"/>
    <w:rsid w:val="741A3C70"/>
    <w:rsid w:val="745A3C0C"/>
    <w:rsid w:val="747025F3"/>
    <w:rsid w:val="74951927"/>
    <w:rsid w:val="74C16F33"/>
    <w:rsid w:val="74C227C6"/>
    <w:rsid w:val="74DD69CF"/>
    <w:rsid w:val="74E82951"/>
    <w:rsid w:val="753A3D3C"/>
    <w:rsid w:val="75452CE7"/>
    <w:rsid w:val="756E330A"/>
    <w:rsid w:val="759A545F"/>
    <w:rsid w:val="75CB1126"/>
    <w:rsid w:val="75E45044"/>
    <w:rsid w:val="76173C7F"/>
    <w:rsid w:val="761B0CE6"/>
    <w:rsid w:val="762922D7"/>
    <w:rsid w:val="765734F7"/>
    <w:rsid w:val="765E606D"/>
    <w:rsid w:val="76816453"/>
    <w:rsid w:val="76954B73"/>
    <w:rsid w:val="772342BE"/>
    <w:rsid w:val="77355B1C"/>
    <w:rsid w:val="773F40E0"/>
    <w:rsid w:val="77462B6B"/>
    <w:rsid w:val="778F51F5"/>
    <w:rsid w:val="77C61272"/>
    <w:rsid w:val="78373F30"/>
    <w:rsid w:val="785E0E6E"/>
    <w:rsid w:val="78986C24"/>
    <w:rsid w:val="78EF7A1A"/>
    <w:rsid w:val="790538AE"/>
    <w:rsid w:val="791B5E3B"/>
    <w:rsid w:val="79260D7D"/>
    <w:rsid w:val="79A411DD"/>
    <w:rsid w:val="79CB460D"/>
    <w:rsid w:val="79D87A8E"/>
    <w:rsid w:val="7A380011"/>
    <w:rsid w:val="7A6F2592"/>
    <w:rsid w:val="7B1275B8"/>
    <w:rsid w:val="7B4240A7"/>
    <w:rsid w:val="7B490839"/>
    <w:rsid w:val="7B4E43CF"/>
    <w:rsid w:val="7B7B65B2"/>
    <w:rsid w:val="7B827F77"/>
    <w:rsid w:val="7BCE078B"/>
    <w:rsid w:val="7C051E4C"/>
    <w:rsid w:val="7C3322D2"/>
    <w:rsid w:val="7C540072"/>
    <w:rsid w:val="7C7221B3"/>
    <w:rsid w:val="7C8A1E60"/>
    <w:rsid w:val="7CB64902"/>
    <w:rsid w:val="7D1E00C4"/>
    <w:rsid w:val="7D3111BD"/>
    <w:rsid w:val="7D5120D7"/>
    <w:rsid w:val="7DD17C06"/>
    <w:rsid w:val="7E120DA8"/>
    <w:rsid w:val="7E1434A7"/>
    <w:rsid w:val="7E275A4E"/>
    <w:rsid w:val="7E593DD6"/>
    <w:rsid w:val="7E675036"/>
    <w:rsid w:val="7E784301"/>
    <w:rsid w:val="7E9C5F38"/>
    <w:rsid w:val="7EAA4673"/>
    <w:rsid w:val="7ED33BD8"/>
    <w:rsid w:val="7EE26375"/>
    <w:rsid w:val="7EED27B8"/>
    <w:rsid w:val="7F076AD3"/>
    <w:rsid w:val="7F0C2F3E"/>
    <w:rsid w:val="7F2D475B"/>
    <w:rsid w:val="7F2E5CEA"/>
    <w:rsid w:val="7F3A1901"/>
    <w:rsid w:val="7FF8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0"/>
    <w:qFormat/>
    <w:uiPriority w:val="0"/>
    <w:pPr>
      <w:keepNext/>
      <w:keepLines/>
      <w:spacing w:before="340" w:after="330" w:line="576" w:lineRule="auto"/>
      <w:outlineLvl w:val="0"/>
    </w:pPr>
    <w:rPr>
      <w:rFonts w:ascii="Times New Roman" w:hAnsi="Times New Roman"/>
      <w:b/>
      <w:kern w:val="44"/>
      <w:sz w:val="44"/>
      <w:szCs w:val="20"/>
      <w:lang w:val="zh-CN"/>
    </w:rPr>
  </w:style>
  <w:style w:type="paragraph" w:styleId="3">
    <w:name w:val="heading 2"/>
    <w:basedOn w:val="1"/>
    <w:next w:val="1"/>
    <w:link w:val="51"/>
    <w:qFormat/>
    <w:uiPriority w:val="0"/>
    <w:pPr>
      <w:keepNext/>
      <w:keepLines/>
      <w:spacing w:before="260" w:after="260" w:line="412" w:lineRule="auto"/>
      <w:outlineLvl w:val="1"/>
    </w:pPr>
    <w:rPr>
      <w:rFonts w:ascii="Arial" w:hAnsi="Arial" w:eastAsia="黑体"/>
      <w:b/>
      <w:sz w:val="32"/>
      <w:szCs w:val="20"/>
      <w:lang w:val="zh-CN"/>
    </w:rPr>
  </w:style>
  <w:style w:type="paragraph" w:styleId="4">
    <w:name w:val="heading 3"/>
    <w:basedOn w:val="1"/>
    <w:next w:val="1"/>
    <w:link w:val="52"/>
    <w:qFormat/>
    <w:uiPriority w:val="0"/>
    <w:pPr>
      <w:keepNext/>
      <w:keepLines/>
      <w:spacing w:before="260" w:after="260" w:line="412" w:lineRule="auto"/>
      <w:ind w:firstLine="40" w:firstLineChars="49"/>
      <w:outlineLvl w:val="2"/>
    </w:pPr>
    <w:rPr>
      <w:rFonts w:ascii="黑体" w:eastAsia="黑体"/>
      <w:sz w:val="28"/>
      <w:szCs w:val="20"/>
      <w:lang w:val="zh-CN"/>
    </w:rPr>
  </w:style>
  <w:style w:type="paragraph" w:styleId="5">
    <w:name w:val="heading 4"/>
    <w:basedOn w:val="1"/>
    <w:next w:val="1"/>
    <w:link w:val="53"/>
    <w:qFormat/>
    <w:uiPriority w:val="0"/>
    <w:pPr>
      <w:keepNext/>
      <w:keepLines/>
      <w:spacing w:before="280" w:after="290" w:line="374" w:lineRule="auto"/>
      <w:outlineLvl w:val="3"/>
    </w:pPr>
    <w:rPr>
      <w:rFonts w:ascii="Arial" w:hAnsi="Arial" w:eastAsia="黑体"/>
      <w:b/>
      <w:bCs/>
      <w:sz w:val="28"/>
      <w:szCs w:val="28"/>
      <w:lang w:val="zh-CN"/>
    </w:rPr>
  </w:style>
  <w:style w:type="paragraph" w:styleId="6">
    <w:name w:val="heading 5"/>
    <w:basedOn w:val="1"/>
    <w:next w:val="1"/>
    <w:link w:val="54"/>
    <w:qFormat/>
    <w:uiPriority w:val="0"/>
    <w:pPr>
      <w:keepNext/>
      <w:keepLines/>
      <w:spacing w:before="280" w:after="290" w:line="376" w:lineRule="auto"/>
      <w:outlineLvl w:val="4"/>
    </w:pPr>
    <w:rPr>
      <w:rFonts w:ascii="Times New Roman" w:hAnsi="Times New Roman"/>
      <w:b/>
      <w:bCs/>
      <w:sz w:val="28"/>
      <w:szCs w:val="28"/>
      <w:lang w:val="zh-CN"/>
    </w:rPr>
  </w:style>
  <w:style w:type="paragraph" w:styleId="7">
    <w:name w:val="heading 6"/>
    <w:basedOn w:val="1"/>
    <w:next w:val="1"/>
    <w:link w:val="5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lang w:val="zh-CN"/>
    </w:rPr>
  </w:style>
  <w:style w:type="paragraph" w:styleId="8">
    <w:name w:val="heading 7"/>
    <w:basedOn w:val="1"/>
    <w:next w:val="1"/>
    <w:link w:val="56"/>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lang w:val="zh-CN"/>
    </w:rPr>
  </w:style>
  <w:style w:type="paragraph" w:styleId="9">
    <w:name w:val="heading 8"/>
    <w:basedOn w:val="1"/>
    <w:next w:val="1"/>
    <w:link w:val="57"/>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lang w:val="zh-CN"/>
    </w:rPr>
  </w:style>
  <w:style w:type="paragraph" w:styleId="10">
    <w:name w:val="heading 9"/>
    <w:basedOn w:val="1"/>
    <w:next w:val="1"/>
    <w:link w:val="5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lang w:val="zh-CN"/>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200" w:leftChars="1200"/>
    </w:pPr>
    <w:rPr>
      <w:rFonts w:ascii="Times New Roman" w:hAnsi="Times New Roman"/>
    </w:rPr>
  </w:style>
  <w:style w:type="paragraph" w:styleId="12">
    <w:name w:val="Normal Indent"/>
    <w:basedOn w:val="1"/>
    <w:qFormat/>
    <w:uiPriority w:val="0"/>
    <w:pPr>
      <w:ind w:firstLine="420"/>
    </w:pPr>
    <w:rPr>
      <w:rFonts w:ascii="Times New Roman" w:hAnsi="Times New Roman"/>
    </w:rPr>
  </w:style>
  <w:style w:type="paragraph" w:styleId="13">
    <w:name w:val="Document Map"/>
    <w:basedOn w:val="1"/>
    <w:link w:val="59"/>
    <w:qFormat/>
    <w:uiPriority w:val="0"/>
    <w:rPr>
      <w:rFonts w:ascii="宋体"/>
      <w:sz w:val="18"/>
      <w:szCs w:val="18"/>
      <w:lang w:val="zh-CN"/>
    </w:rPr>
  </w:style>
  <w:style w:type="paragraph" w:styleId="14">
    <w:name w:val="annotation text"/>
    <w:basedOn w:val="1"/>
    <w:link w:val="60"/>
    <w:qFormat/>
    <w:uiPriority w:val="99"/>
    <w:pPr>
      <w:jc w:val="left"/>
    </w:pPr>
    <w:rPr>
      <w:rFonts w:ascii="Times New Roman" w:hAnsi="Times New Roman"/>
      <w:szCs w:val="20"/>
      <w:lang w:val="zh-CN"/>
    </w:rPr>
  </w:style>
  <w:style w:type="paragraph" w:styleId="15">
    <w:name w:val="Body Text 3"/>
    <w:basedOn w:val="1"/>
    <w:link w:val="61"/>
    <w:qFormat/>
    <w:uiPriority w:val="0"/>
    <w:rPr>
      <w:rFonts w:ascii="宋体"/>
      <w:sz w:val="24"/>
      <w:szCs w:val="20"/>
      <w:lang w:val="zh-CN"/>
    </w:rPr>
  </w:style>
  <w:style w:type="paragraph" w:styleId="16">
    <w:name w:val="Body Text"/>
    <w:basedOn w:val="1"/>
    <w:link w:val="62"/>
    <w:qFormat/>
    <w:uiPriority w:val="0"/>
    <w:pPr>
      <w:spacing w:after="120"/>
    </w:pPr>
    <w:rPr>
      <w:rFonts w:ascii="Times New Roman" w:hAnsi="Times New Roman"/>
      <w:szCs w:val="20"/>
      <w:lang w:val="zh-CN"/>
    </w:rPr>
  </w:style>
  <w:style w:type="paragraph" w:styleId="17">
    <w:name w:val="Body Text Indent"/>
    <w:basedOn w:val="1"/>
    <w:link w:val="63"/>
    <w:qFormat/>
    <w:uiPriority w:val="0"/>
    <w:pPr>
      <w:spacing w:after="120"/>
      <w:ind w:left="420" w:leftChars="200"/>
    </w:pPr>
    <w:rPr>
      <w:rFonts w:ascii="Times New Roman" w:hAnsi="Times New Roman"/>
      <w:szCs w:val="20"/>
      <w:lang w:val="zh-CN"/>
    </w:rPr>
  </w:style>
  <w:style w:type="paragraph" w:styleId="18">
    <w:name w:val="toc 5"/>
    <w:basedOn w:val="1"/>
    <w:next w:val="1"/>
    <w:qFormat/>
    <w:uiPriority w:val="39"/>
    <w:pPr>
      <w:ind w:left="800" w:leftChars="800"/>
    </w:pPr>
    <w:rPr>
      <w:rFonts w:ascii="Times New Roman" w:hAnsi="Times New Roman"/>
    </w:rPr>
  </w:style>
  <w:style w:type="paragraph" w:styleId="19">
    <w:name w:val="toc 3"/>
    <w:basedOn w:val="1"/>
    <w:next w:val="1"/>
    <w:qFormat/>
    <w:uiPriority w:val="39"/>
    <w:pPr>
      <w:ind w:left="400" w:leftChars="400"/>
    </w:pPr>
  </w:style>
  <w:style w:type="paragraph" w:styleId="20">
    <w:name w:val="Plain Text"/>
    <w:basedOn w:val="1"/>
    <w:next w:val="1"/>
    <w:link w:val="64"/>
    <w:qFormat/>
    <w:uiPriority w:val="0"/>
    <w:rPr>
      <w:rFonts w:ascii="宋体"/>
      <w:lang w:val="zh-CN"/>
    </w:rPr>
  </w:style>
  <w:style w:type="paragraph" w:styleId="21">
    <w:name w:val="toc 8"/>
    <w:basedOn w:val="1"/>
    <w:next w:val="1"/>
    <w:qFormat/>
    <w:uiPriority w:val="39"/>
    <w:pPr>
      <w:ind w:left="1400" w:leftChars="1400"/>
    </w:pPr>
    <w:rPr>
      <w:rFonts w:ascii="Times New Roman" w:hAnsi="Times New Roman"/>
    </w:rPr>
  </w:style>
  <w:style w:type="paragraph" w:styleId="22">
    <w:name w:val="Date"/>
    <w:basedOn w:val="1"/>
    <w:next w:val="1"/>
    <w:link w:val="65"/>
    <w:qFormat/>
    <w:uiPriority w:val="0"/>
    <w:pPr>
      <w:ind w:left="2500" w:leftChars="2500"/>
    </w:pPr>
    <w:rPr>
      <w:rFonts w:ascii="Times New Roman" w:hAnsi="Times New Roman"/>
      <w:szCs w:val="20"/>
      <w:lang w:val="zh-CN"/>
    </w:rPr>
  </w:style>
  <w:style w:type="paragraph" w:styleId="23">
    <w:name w:val="Balloon Text"/>
    <w:basedOn w:val="1"/>
    <w:link w:val="66"/>
    <w:qFormat/>
    <w:uiPriority w:val="0"/>
    <w:rPr>
      <w:rFonts w:ascii="Times New Roman" w:hAnsi="Times New Roman"/>
      <w:sz w:val="18"/>
      <w:szCs w:val="20"/>
      <w:lang w:val="zh-CN"/>
    </w:rPr>
  </w:style>
  <w:style w:type="paragraph" w:styleId="24">
    <w:name w:val="footer"/>
    <w:basedOn w:val="1"/>
    <w:link w:val="67"/>
    <w:qFormat/>
    <w:uiPriority w:val="0"/>
    <w:pPr>
      <w:tabs>
        <w:tab w:val="center" w:pos="4140"/>
        <w:tab w:val="right" w:pos="8300"/>
      </w:tabs>
      <w:snapToGrid w:val="0"/>
      <w:jc w:val="left"/>
    </w:pPr>
    <w:rPr>
      <w:sz w:val="18"/>
      <w:lang w:val="zh-CN"/>
    </w:rPr>
  </w:style>
  <w:style w:type="paragraph" w:styleId="25">
    <w:name w:val="header"/>
    <w:basedOn w:val="1"/>
    <w:link w:val="68"/>
    <w:qFormat/>
    <w:uiPriority w:val="0"/>
    <w:pPr>
      <w:tabs>
        <w:tab w:val="center" w:pos="4153"/>
        <w:tab w:val="right" w:pos="8306"/>
      </w:tabs>
      <w:snapToGrid w:val="0"/>
    </w:pPr>
    <w:rPr>
      <w:rFonts w:ascii="Times New Roman" w:hAnsi="Times New Roman"/>
      <w:sz w:val="18"/>
      <w:szCs w:val="20"/>
      <w:lang w:val="zh-CN"/>
    </w:rPr>
  </w:style>
  <w:style w:type="paragraph" w:styleId="26">
    <w:name w:val="toc 1"/>
    <w:basedOn w:val="1"/>
    <w:next w:val="1"/>
    <w:qFormat/>
    <w:uiPriority w:val="39"/>
  </w:style>
  <w:style w:type="paragraph" w:styleId="27">
    <w:name w:val="toc 4"/>
    <w:basedOn w:val="1"/>
    <w:next w:val="1"/>
    <w:qFormat/>
    <w:uiPriority w:val="39"/>
    <w:pPr>
      <w:ind w:left="600" w:leftChars="600"/>
    </w:pPr>
    <w:rPr>
      <w:rFonts w:ascii="Times New Roman" w:hAnsi="Times New Roman"/>
    </w:rPr>
  </w:style>
  <w:style w:type="paragraph" w:styleId="28">
    <w:name w:val="toc 6"/>
    <w:basedOn w:val="1"/>
    <w:next w:val="1"/>
    <w:qFormat/>
    <w:uiPriority w:val="39"/>
    <w:pPr>
      <w:ind w:left="1000" w:leftChars="1000"/>
    </w:pPr>
    <w:rPr>
      <w:rFonts w:ascii="Times New Roman" w:hAnsi="Times New Roman"/>
    </w:rPr>
  </w:style>
  <w:style w:type="paragraph" w:styleId="29">
    <w:name w:val="Body Text Indent 3"/>
    <w:basedOn w:val="1"/>
    <w:link w:val="69"/>
    <w:qFormat/>
    <w:uiPriority w:val="0"/>
    <w:pPr>
      <w:spacing w:after="120"/>
      <w:ind w:left="200" w:leftChars="200"/>
    </w:pPr>
    <w:rPr>
      <w:sz w:val="16"/>
      <w:szCs w:val="16"/>
      <w:lang w:val="zh-CN"/>
    </w:rPr>
  </w:style>
  <w:style w:type="paragraph" w:styleId="30">
    <w:name w:val="toc 2"/>
    <w:basedOn w:val="1"/>
    <w:next w:val="1"/>
    <w:qFormat/>
    <w:uiPriority w:val="39"/>
    <w:pPr>
      <w:ind w:left="200" w:leftChars="200"/>
    </w:pPr>
  </w:style>
  <w:style w:type="paragraph" w:styleId="31">
    <w:name w:val="toc 9"/>
    <w:basedOn w:val="1"/>
    <w:next w:val="1"/>
    <w:qFormat/>
    <w:uiPriority w:val="39"/>
    <w:pPr>
      <w:ind w:left="1600" w:leftChars="1600"/>
    </w:pPr>
    <w:rPr>
      <w:rFonts w:ascii="Times New Roman" w:hAnsi="Times New Roman"/>
    </w:rPr>
  </w:style>
  <w:style w:type="paragraph" w:styleId="32">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3">
    <w:name w:val="index 1"/>
    <w:basedOn w:val="1"/>
    <w:next w:val="1"/>
    <w:qFormat/>
    <w:uiPriority w:val="0"/>
    <w:pPr>
      <w:spacing w:line="220" w:lineRule="exact"/>
      <w:jc w:val="center"/>
    </w:pPr>
    <w:rPr>
      <w:rFonts w:ascii="仿宋_GB2312" w:hAnsi="Times New Roman" w:eastAsia="仿宋_GB2312"/>
      <w:szCs w:val="21"/>
    </w:rPr>
  </w:style>
  <w:style w:type="paragraph" w:styleId="34">
    <w:name w:val="Title"/>
    <w:basedOn w:val="1"/>
    <w:link w:val="70"/>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35">
    <w:name w:val="annotation subject"/>
    <w:basedOn w:val="14"/>
    <w:next w:val="14"/>
    <w:link w:val="71"/>
    <w:qFormat/>
    <w:uiPriority w:val="0"/>
  </w:style>
  <w:style w:type="paragraph" w:styleId="36">
    <w:name w:val="Body Text First Indent"/>
    <w:basedOn w:val="16"/>
    <w:link w:val="72"/>
    <w:qFormat/>
    <w:uiPriority w:val="0"/>
    <w:pPr>
      <w:spacing w:line="312" w:lineRule="auto"/>
      <w:ind w:firstLine="420"/>
    </w:pPr>
    <w:rPr>
      <w:szCs w:val="24"/>
    </w:rPr>
  </w:style>
  <w:style w:type="table" w:styleId="38">
    <w:name w:val="Table Grid"/>
    <w:basedOn w:val="37"/>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0">
    <w:name w:val="Strong"/>
    <w:qFormat/>
    <w:uiPriority w:val="22"/>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rFonts w:ascii="Times New Roman" w:hAnsi="Times New Roman" w:eastAsia="宋体" w:cs="Times New Roman"/>
      <w:color w:val="000000"/>
      <w:u w:val="none"/>
    </w:rPr>
  </w:style>
  <w:style w:type="character" w:styleId="43">
    <w:name w:val="HTML Definition"/>
    <w:qFormat/>
    <w:uiPriority w:val="99"/>
    <w:rPr>
      <w:rFonts w:ascii="Times New Roman" w:hAnsi="Times New Roman" w:eastAsia="宋体" w:cs="Times New Roman"/>
      <w:i/>
      <w:iCs/>
    </w:rPr>
  </w:style>
  <w:style w:type="character" w:styleId="44">
    <w:name w:val="Hyperlink"/>
    <w:qFormat/>
    <w:uiPriority w:val="99"/>
    <w:rPr>
      <w:rFonts w:ascii="Times New Roman" w:hAnsi="Times New Roman" w:eastAsia="宋体" w:cs="Times New Roman"/>
      <w:color w:val="000000"/>
      <w:u w:val="none"/>
    </w:rPr>
  </w:style>
  <w:style w:type="character" w:styleId="45">
    <w:name w:val="HTML Code"/>
    <w:qFormat/>
    <w:uiPriority w:val="0"/>
    <w:rPr>
      <w:rFonts w:ascii="Consolas" w:hAnsi="Consolas" w:eastAsia="Consolas" w:cs="Consolas"/>
      <w:color w:val="C7254E"/>
      <w:sz w:val="21"/>
      <w:szCs w:val="21"/>
      <w:shd w:val="clear" w:color="auto" w:fill="F9F2F4"/>
    </w:rPr>
  </w:style>
  <w:style w:type="character" w:styleId="46">
    <w:name w:val="annotation reference"/>
    <w:qFormat/>
    <w:uiPriority w:val="99"/>
    <w:rPr>
      <w:rFonts w:ascii="Times New Roman" w:hAnsi="Times New Roman" w:eastAsia="宋体" w:cs="Times New Roman"/>
      <w:sz w:val="21"/>
    </w:rPr>
  </w:style>
  <w:style w:type="character" w:styleId="47">
    <w:name w:val="footnote reference"/>
    <w:qFormat/>
    <w:uiPriority w:val="0"/>
    <w:rPr>
      <w:rFonts w:ascii="Times New Roman" w:hAnsi="Times New Roman" w:eastAsia="宋体" w:cs="Times New Roman"/>
      <w:vertAlign w:val="superscript"/>
    </w:rPr>
  </w:style>
  <w:style w:type="character" w:styleId="48">
    <w:name w:val="HTML Keyboard"/>
    <w:qFormat/>
    <w:uiPriority w:val="0"/>
    <w:rPr>
      <w:rFonts w:hint="default" w:ascii="Consolas" w:hAnsi="Consolas" w:eastAsia="Consolas" w:cs="Consolas"/>
      <w:color w:val="FFFFFF"/>
      <w:sz w:val="21"/>
      <w:szCs w:val="21"/>
      <w:shd w:val="clear" w:color="auto" w:fill="333333"/>
    </w:rPr>
  </w:style>
  <w:style w:type="character" w:styleId="49">
    <w:name w:val="HTML Sample"/>
    <w:qFormat/>
    <w:uiPriority w:val="0"/>
    <w:rPr>
      <w:rFonts w:hint="default" w:ascii="Consolas" w:hAnsi="Consolas" w:eastAsia="Consolas" w:cs="Consolas"/>
      <w:sz w:val="21"/>
      <w:szCs w:val="21"/>
    </w:rPr>
  </w:style>
  <w:style w:type="character" w:customStyle="1" w:styleId="50">
    <w:name w:val="标题 1 字符"/>
    <w:link w:val="2"/>
    <w:qFormat/>
    <w:uiPriority w:val="0"/>
    <w:rPr>
      <w:rFonts w:ascii="Times New Roman" w:hAnsi="Times New Roman" w:eastAsia="宋体" w:cs="Times New Roman"/>
      <w:b/>
      <w:kern w:val="44"/>
      <w:sz w:val="44"/>
    </w:rPr>
  </w:style>
  <w:style w:type="character" w:customStyle="1" w:styleId="51">
    <w:name w:val="标题 2 字符"/>
    <w:link w:val="3"/>
    <w:qFormat/>
    <w:uiPriority w:val="0"/>
    <w:rPr>
      <w:rFonts w:ascii="Arial" w:hAnsi="Arial" w:eastAsia="黑体" w:cs="Times New Roman"/>
      <w:b/>
      <w:kern w:val="2"/>
      <w:sz w:val="32"/>
    </w:rPr>
  </w:style>
  <w:style w:type="character" w:customStyle="1" w:styleId="52">
    <w:name w:val="标题 3 字符"/>
    <w:link w:val="4"/>
    <w:qFormat/>
    <w:uiPriority w:val="0"/>
    <w:rPr>
      <w:rFonts w:ascii="黑体" w:hAnsi="Calibri" w:eastAsia="黑体" w:cs="Times New Roman"/>
      <w:kern w:val="2"/>
      <w:sz w:val="28"/>
    </w:rPr>
  </w:style>
  <w:style w:type="character" w:customStyle="1" w:styleId="53">
    <w:name w:val="标题 4 字符"/>
    <w:link w:val="5"/>
    <w:qFormat/>
    <w:uiPriority w:val="0"/>
    <w:rPr>
      <w:rFonts w:ascii="Arial" w:hAnsi="Arial" w:eastAsia="黑体" w:cs="Times New Roman"/>
      <w:b/>
      <w:bCs/>
      <w:kern w:val="2"/>
      <w:sz w:val="28"/>
      <w:szCs w:val="28"/>
    </w:rPr>
  </w:style>
  <w:style w:type="character" w:customStyle="1" w:styleId="54">
    <w:name w:val="标题 5 字符"/>
    <w:link w:val="6"/>
    <w:qFormat/>
    <w:uiPriority w:val="0"/>
    <w:rPr>
      <w:rFonts w:ascii="Times New Roman" w:hAnsi="Times New Roman" w:eastAsia="宋体" w:cs="Times New Roman"/>
      <w:b/>
      <w:bCs/>
      <w:kern w:val="2"/>
      <w:sz w:val="28"/>
      <w:szCs w:val="28"/>
    </w:rPr>
  </w:style>
  <w:style w:type="character" w:customStyle="1" w:styleId="55">
    <w:name w:val="标题 6 字符"/>
    <w:link w:val="7"/>
    <w:qFormat/>
    <w:uiPriority w:val="0"/>
    <w:rPr>
      <w:rFonts w:ascii="Arial" w:hAnsi="Arial" w:eastAsia="黑体" w:cs="Times New Roman"/>
      <w:b/>
      <w:bCs/>
      <w:sz w:val="24"/>
    </w:rPr>
  </w:style>
  <w:style w:type="character" w:customStyle="1" w:styleId="56">
    <w:name w:val="标题 7 字符"/>
    <w:link w:val="8"/>
    <w:qFormat/>
    <w:uiPriority w:val="0"/>
    <w:rPr>
      <w:rFonts w:ascii="Times New Roman" w:hAnsi="Times New Roman" w:eastAsia="宋体" w:cs="Times New Roman"/>
      <w:b/>
      <w:bCs/>
      <w:sz w:val="24"/>
    </w:rPr>
  </w:style>
  <w:style w:type="character" w:customStyle="1" w:styleId="57">
    <w:name w:val="标题 8 字符"/>
    <w:link w:val="9"/>
    <w:qFormat/>
    <w:uiPriority w:val="0"/>
    <w:rPr>
      <w:rFonts w:ascii="Arial" w:hAnsi="Arial" w:eastAsia="黑体" w:cs="Times New Roman"/>
      <w:sz w:val="24"/>
    </w:rPr>
  </w:style>
  <w:style w:type="character" w:customStyle="1" w:styleId="58">
    <w:name w:val="标题 9 字符"/>
    <w:link w:val="10"/>
    <w:qFormat/>
    <w:uiPriority w:val="0"/>
    <w:rPr>
      <w:rFonts w:ascii="Arial" w:hAnsi="Arial" w:eastAsia="黑体" w:cs="Times New Roman"/>
      <w:sz w:val="21"/>
      <w:szCs w:val="21"/>
    </w:rPr>
  </w:style>
  <w:style w:type="character" w:customStyle="1" w:styleId="59">
    <w:name w:val="文档结构图 字符"/>
    <w:link w:val="13"/>
    <w:qFormat/>
    <w:uiPriority w:val="0"/>
    <w:rPr>
      <w:rFonts w:ascii="宋体" w:hAnsi="Calibri" w:eastAsia="宋体" w:cs="宋体"/>
      <w:kern w:val="2"/>
      <w:sz w:val="18"/>
      <w:szCs w:val="18"/>
    </w:rPr>
  </w:style>
  <w:style w:type="character" w:customStyle="1" w:styleId="60">
    <w:name w:val="批注文字 字符1"/>
    <w:link w:val="14"/>
    <w:qFormat/>
    <w:uiPriority w:val="0"/>
    <w:rPr>
      <w:rFonts w:ascii="Times New Roman" w:hAnsi="Times New Roman" w:eastAsia="宋体" w:cs="Times New Roman"/>
      <w:kern w:val="2"/>
      <w:sz w:val="21"/>
    </w:rPr>
  </w:style>
  <w:style w:type="character" w:customStyle="1" w:styleId="61">
    <w:name w:val="正文文本 3 字符"/>
    <w:link w:val="15"/>
    <w:qFormat/>
    <w:uiPriority w:val="0"/>
    <w:rPr>
      <w:rFonts w:ascii="宋体" w:hAnsi="Calibri" w:eastAsia="宋体" w:cs="Times New Roman"/>
      <w:kern w:val="2"/>
      <w:sz w:val="24"/>
    </w:rPr>
  </w:style>
  <w:style w:type="character" w:customStyle="1" w:styleId="62">
    <w:name w:val="正文文本 字符"/>
    <w:link w:val="16"/>
    <w:qFormat/>
    <w:uiPriority w:val="0"/>
    <w:rPr>
      <w:rFonts w:ascii="Times New Roman" w:hAnsi="Times New Roman" w:eastAsia="宋体" w:cs="Times New Roman"/>
      <w:kern w:val="2"/>
      <w:sz w:val="21"/>
    </w:rPr>
  </w:style>
  <w:style w:type="character" w:customStyle="1" w:styleId="63">
    <w:name w:val="正文文本缩进 字符"/>
    <w:link w:val="17"/>
    <w:qFormat/>
    <w:uiPriority w:val="0"/>
    <w:rPr>
      <w:rFonts w:ascii="Times New Roman" w:hAnsi="Times New Roman" w:eastAsia="宋体" w:cs="Times New Roman"/>
      <w:kern w:val="2"/>
      <w:sz w:val="21"/>
    </w:rPr>
  </w:style>
  <w:style w:type="character" w:customStyle="1" w:styleId="64">
    <w:name w:val="纯文本 字符"/>
    <w:link w:val="20"/>
    <w:qFormat/>
    <w:uiPriority w:val="0"/>
    <w:rPr>
      <w:rFonts w:ascii="宋体" w:hAnsi="Calibri" w:eastAsia="宋体" w:cs="Times New Roman"/>
      <w:kern w:val="2"/>
      <w:sz w:val="21"/>
      <w:szCs w:val="22"/>
    </w:rPr>
  </w:style>
  <w:style w:type="character" w:customStyle="1" w:styleId="65">
    <w:name w:val="日期 字符"/>
    <w:link w:val="22"/>
    <w:qFormat/>
    <w:uiPriority w:val="0"/>
    <w:rPr>
      <w:rFonts w:ascii="Times New Roman" w:hAnsi="Times New Roman" w:eastAsia="宋体" w:cs="Times New Roman"/>
      <w:kern w:val="2"/>
      <w:sz w:val="21"/>
    </w:rPr>
  </w:style>
  <w:style w:type="character" w:customStyle="1" w:styleId="66">
    <w:name w:val="批注框文本 字符"/>
    <w:link w:val="23"/>
    <w:qFormat/>
    <w:uiPriority w:val="0"/>
    <w:rPr>
      <w:rFonts w:ascii="Times New Roman" w:hAnsi="Times New Roman" w:eastAsia="宋体" w:cs="Times New Roman"/>
      <w:kern w:val="2"/>
      <w:sz w:val="18"/>
    </w:rPr>
  </w:style>
  <w:style w:type="character" w:customStyle="1" w:styleId="67">
    <w:name w:val="页脚 字符"/>
    <w:link w:val="24"/>
    <w:qFormat/>
    <w:uiPriority w:val="0"/>
    <w:rPr>
      <w:rFonts w:ascii="Calibri" w:hAnsi="Calibri" w:eastAsia="宋体" w:cs="Times New Roman"/>
      <w:kern w:val="2"/>
      <w:sz w:val="18"/>
      <w:szCs w:val="22"/>
    </w:rPr>
  </w:style>
  <w:style w:type="character" w:customStyle="1" w:styleId="68">
    <w:name w:val="页眉 字符"/>
    <w:link w:val="25"/>
    <w:qFormat/>
    <w:uiPriority w:val="0"/>
    <w:rPr>
      <w:rFonts w:ascii="Times New Roman" w:hAnsi="Times New Roman" w:eastAsia="宋体" w:cs="Times New Roman"/>
      <w:kern w:val="2"/>
      <w:sz w:val="18"/>
    </w:rPr>
  </w:style>
  <w:style w:type="character" w:customStyle="1" w:styleId="69">
    <w:name w:val="正文文本缩进 3 字符"/>
    <w:link w:val="29"/>
    <w:qFormat/>
    <w:uiPriority w:val="0"/>
    <w:rPr>
      <w:rFonts w:ascii="Calibri" w:hAnsi="Calibri" w:eastAsia="宋体" w:cs="Times New Roman"/>
      <w:kern w:val="2"/>
      <w:sz w:val="16"/>
      <w:szCs w:val="16"/>
    </w:rPr>
  </w:style>
  <w:style w:type="character" w:customStyle="1" w:styleId="70">
    <w:name w:val="标题 字符"/>
    <w:link w:val="34"/>
    <w:qFormat/>
    <w:uiPriority w:val="0"/>
    <w:rPr>
      <w:rFonts w:ascii="Arial" w:hAnsi="Arial" w:eastAsia="宋体" w:cs="Times New Roman"/>
      <w:b/>
      <w:sz w:val="32"/>
    </w:rPr>
  </w:style>
  <w:style w:type="character" w:customStyle="1" w:styleId="71">
    <w:name w:val="批注主题 字符"/>
    <w:link w:val="35"/>
    <w:qFormat/>
    <w:uiPriority w:val="0"/>
    <w:rPr>
      <w:rFonts w:ascii="Times New Roman" w:hAnsi="Times New Roman" w:eastAsia="宋体" w:cs="Times New Roman"/>
      <w:kern w:val="2"/>
      <w:sz w:val="21"/>
    </w:rPr>
  </w:style>
  <w:style w:type="character" w:customStyle="1" w:styleId="72">
    <w:name w:val="正文文本首行缩进 字符"/>
    <w:link w:val="36"/>
    <w:qFormat/>
    <w:uiPriority w:val="0"/>
    <w:rPr>
      <w:rFonts w:ascii="Times New Roman" w:hAnsi="Times New Roman" w:eastAsia="宋体" w:cs="Times New Roman"/>
      <w:kern w:val="2"/>
      <w:sz w:val="21"/>
      <w:szCs w:val="24"/>
      <w:lang w:val="en-US" w:eastAsia="zh-CN" w:bidi="ar-SA"/>
    </w:rPr>
  </w:style>
  <w:style w:type="character" w:customStyle="1" w:styleId="73">
    <w:name w:val="批注框文本 Char"/>
    <w:qFormat/>
    <w:uiPriority w:val="0"/>
    <w:rPr>
      <w:rFonts w:ascii="Calibri" w:hAnsi="Calibri" w:eastAsia="宋体" w:cs="Times New Roman"/>
      <w:sz w:val="18"/>
      <w:szCs w:val="18"/>
    </w:rPr>
  </w:style>
  <w:style w:type="character" w:customStyle="1" w:styleId="74">
    <w:name w:val="times"/>
    <w:qFormat/>
    <w:uiPriority w:val="0"/>
    <w:rPr>
      <w:rFonts w:ascii="Times New Roman" w:hAnsi="Times New Roman" w:eastAsia="宋体" w:cs="Times New Roman"/>
      <w:color w:val="CDCDCD"/>
      <w:bdr w:val="single" w:color="CDCDCD" w:sz="6" w:space="0"/>
      <w:shd w:val="clear" w:color="auto" w:fill="EFEFEF"/>
    </w:rPr>
  </w:style>
  <w:style w:type="character" w:customStyle="1" w:styleId="75">
    <w:name w:val="style_kwd"/>
    <w:qFormat/>
    <w:uiPriority w:val="0"/>
    <w:rPr>
      <w:rFonts w:ascii="Times New Roman" w:hAnsi="Times New Roman" w:eastAsia="宋体" w:cs="Times New Roman"/>
    </w:rPr>
  </w:style>
  <w:style w:type="character" w:customStyle="1" w:styleId="76">
    <w:name w:val="NormalCharacter"/>
    <w:qFormat/>
    <w:uiPriority w:val="0"/>
  </w:style>
  <w:style w:type="character" w:customStyle="1" w:styleId="77">
    <w:name w:val="font161"/>
    <w:qFormat/>
    <w:uiPriority w:val="0"/>
    <w:rPr>
      <w:rFonts w:ascii="Times New Roman" w:hAnsi="Times New Roman" w:eastAsia="宋体" w:cs="Times New Roman"/>
      <w:b/>
      <w:bCs/>
      <w:sz w:val="32"/>
      <w:szCs w:val="32"/>
    </w:rPr>
  </w:style>
  <w:style w:type="character" w:customStyle="1" w:styleId="78">
    <w:name w:val="正文文本 Char"/>
    <w:qFormat/>
    <w:uiPriority w:val="0"/>
    <w:rPr>
      <w:rFonts w:ascii="Times New Roman" w:hAnsi="Times New Roman" w:eastAsia="宋体" w:cs="Times New Roman"/>
      <w:kern w:val="2"/>
      <w:sz w:val="21"/>
      <w:szCs w:val="24"/>
      <w:lang w:val="en-US" w:eastAsia="zh-CN" w:bidi="ar-SA"/>
    </w:rPr>
  </w:style>
  <w:style w:type="character" w:customStyle="1" w:styleId="79">
    <w:name w:val="正文首行缩进 Char1"/>
    <w:qFormat/>
    <w:uiPriority w:val="0"/>
    <w:rPr>
      <w:rFonts w:ascii="Times New Roman" w:hAnsi="Times New Roman" w:eastAsia="宋体" w:cs="Times New Roman"/>
      <w:kern w:val="2"/>
      <w:sz w:val="21"/>
    </w:rPr>
  </w:style>
  <w:style w:type="character" w:customStyle="1" w:styleId="80">
    <w:name w:val="文一 Char"/>
    <w:link w:val="81"/>
    <w:qFormat/>
    <w:uiPriority w:val="0"/>
    <w:rPr>
      <w:rFonts w:ascii="Times New Roman" w:hAnsi="Times New Roman" w:eastAsia="宋体" w:cs="Times New Roman"/>
      <w:snapToGrid w:val="0"/>
      <w:spacing w:val="4"/>
      <w:sz w:val="24"/>
      <w:szCs w:val="24"/>
    </w:rPr>
  </w:style>
  <w:style w:type="paragraph" w:customStyle="1" w:styleId="81">
    <w:name w:val="文一"/>
    <w:basedOn w:val="1"/>
    <w:link w:val="80"/>
    <w:qFormat/>
    <w:uiPriority w:val="0"/>
    <w:pPr>
      <w:topLinePunct/>
      <w:adjustRightInd w:val="0"/>
      <w:snapToGrid w:val="0"/>
      <w:spacing w:line="360" w:lineRule="auto"/>
      <w:ind w:firstLine="200" w:firstLineChars="200"/>
    </w:pPr>
    <w:rPr>
      <w:rFonts w:ascii="Times New Roman" w:hAnsi="Times New Roman"/>
      <w:snapToGrid w:val="0"/>
      <w:spacing w:val="4"/>
      <w:kern w:val="0"/>
      <w:sz w:val="24"/>
      <w:szCs w:val="24"/>
      <w:lang w:val="zh-CN"/>
    </w:rPr>
  </w:style>
  <w:style w:type="character" w:customStyle="1" w:styleId="82">
    <w:name w:val="Comment Text Char"/>
    <w:qFormat/>
    <w:uiPriority w:val="0"/>
    <w:rPr>
      <w:rFonts w:ascii="Times New Roman" w:hAnsi="Times New Roman" w:eastAsia="宋体" w:cs="Times New Roman"/>
    </w:rPr>
  </w:style>
  <w:style w:type="character" w:customStyle="1" w:styleId="83">
    <w:name w:val="hover36"/>
    <w:qFormat/>
    <w:uiPriority w:val="0"/>
    <w:rPr>
      <w:rFonts w:ascii="Times New Roman" w:hAnsi="Times New Roman" w:eastAsia="宋体" w:cs="Times New Roman"/>
    </w:rPr>
  </w:style>
  <w:style w:type="character" w:customStyle="1" w:styleId="84">
    <w:name w:val="times1"/>
    <w:qFormat/>
    <w:uiPriority w:val="0"/>
    <w:rPr>
      <w:rFonts w:ascii="Times New Roman" w:hAnsi="Times New Roman" w:eastAsia="宋体" w:cs="Times New Roman"/>
      <w:color w:val="3399FF"/>
      <w:bdr w:val="single" w:color="D1EDF8" w:sz="6" w:space="0"/>
      <w:shd w:val="clear" w:color="auto" w:fill="EAF9FF"/>
    </w:rPr>
  </w:style>
  <w:style w:type="character" w:customStyle="1" w:styleId="85">
    <w:name w:val="批注文字 Char2"/>
    <w:qFormat/>
    <w:uiPriority w:val="0"/>
    <w:rPr>
      <w:rFonts w:ascii="Times New Roman" w:hAnsi="Times New Roman" w:eastAsia="宋体" w:cs="Times New Roman"/>
      <w:kern w:val="2"/>
      <w:sz w:val="21"/>
      <w:szCs w:val="24"/>
    </w:rPr>
  </w:style>
  <w:style w:type="character" w:customStyle="1" w:styleId="86">
    <w:name w:val="hover26"/>
    <w:qFormat/>
    <w:uiPriority w:val="0"/>
    <w:rPr>
      <w:rFonts w:ascii="Times New Roman" w:hAnsi="Times New Roman" w:eastAsia="宋体" w:cs="Times New Roman"/>
    </w:rPr>
  </w:style>
  <w:style w:type="character" w:customStyle="1" w:styleId="87">
    <w:name w:val="fontstyle01"/>
    <w:qFormat/>
    <w:uiPriority w:val="0"/>
    <w:rPr>
      <w:rFonts w:ascii="宋体" w:hAnsi="宋体" w:eastAsia="宋体" w:cs="宋体"/>
      <w:color w:val="000000"/>
      <w:sz w:val="20"/>
      <w:szCs w:val="20"/>
    </w:rPr>
  </w:style>
  <w:style w:type="character" w:customStyle="1" w:styleId="88">
    <w:name w:val="批注文字 Char1"/>
    <w:qFormat/>
    <w:uiPriority w:val="0"/>
    <w:rPr>
      <w:rFonts w:ascii="Times New Roman" w:hAnsi="Times New Roman" w:eastAsia="宋体" w:cs="Times New Roman"/>
      <w:sz w:val="20"/>
      <w:szCs w:val="20"/>
      <w:lang w:bidi="ar-SA"/>
    </w:rPr>
  </w:style>
  <w:style w:type="paragraph" w:customStyle="1" w:styleId="8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0">
    <w:name w:val="1"/>
    <w:basedOn w:val="1"/>
    <w:qFormat/>
    <w:uiPriority w:val="0"/>
    <w:rPr>
      <w:rFonts w:ascii="Times New Roman" w:hAnsi="Times New Roman"/>
      <w:szCs w:val="20"/>
    </w:rPr>
  </w:style>
  <w:style w:type="paragraph" w:customStyle="1" w:styleId="91">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92">
    <w:name w:val="表中"/>
    <w:basedOn w:val="1"/>
    <w:qFormat/>
    <w:uiPriority w:val="0"/>
    <w:pPr>
      <w:adjustRightInd w:val="0"/>
      <w:spacing w:line="360" w:lineRule="atLeast"/>
      <w:jc w:val="center"/>
      <w:textAlignment w:val="baseline"/>
    </w:pPr>
    <w:rPr>
      <w:rFonts w:ascii="Times New Roman" w:hAnsi="Times New Roman"/>
      <w:kern w:val="0"/>
      <w:szCs w:val="20"/>
    </w:rPr>
  </w:style>
  <w:style w:type="paragraph" w:customStyle="1" w:styleId="93">
    <w:name w:val="表格"/>
    <w:basedOn w:val="1"/>
    <w:qFormat/>
    <w:uiPriority w:val="0"/>
    <w:pPr>
      <w:jc w:val="center"/>
      <w:textAlignment w:val="center"/>
    </w:pPr>
    <w:rPr>
      <w:rFonts w:ascii="华文细黑" w:hAnsi="华文细黑"/>
      <w:kern w:val="0"/>
      <w:szCs w:val="20"/>
    </w:rPr>
  </w:style>
  <w:style w:type="paragraph" w:customStyle="1" w:styleId="94">
    <w:name w:val="样式1"/>
    <w:basedOn w:val="1"/>
    <w:next w:val="5"/>
    <w:qFormat/>
    <w:uiPriority w:val="0"/>
    <w:pPr>
      <w:spacing w:line="360" w:lineRule="auto"/>
      <w:ind w:firstLine="420" w:firstLineChars="200"/>
    </w:pPr>
    <w:rPr>
      <w:rFonts w:ascii="宋体" w:hAnsi="宋体"/>
      <w:szCs w:val="21"/>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sz w:val="28"/>
    </w:rPr>
  </w:style>
  <w:style w:type="paragraph" w:customStyle="1" w:styleId="96">
    <w:name w:val="Char Char Char1 Char"/>
    <w:basedOn w:val="1"/>
    <w:qFormat/>
    <w:uiPriority w:val="0"/>
    <w:pPr>
      <w:widowControl/>
      <w:spacing w:after="160" w:line="240" w:lineRule="exact"/>
      <w:jc w:val="left"/>
    </w:pPr>
    <w:rPr>
      <w:rFonts w:ascii="Times New Roman" w:hAnsi="Times New Roman"/>
      <w:szCs w:val="24"/>
    </w:rPr>
  </w:style>
  <w:style w:type="paragraph" w:customStyle="1" w:styleId="97">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8">
    <w:name w:val="Char1"/>
    <w:basedOn w:val="1"/>
    <w:qFormat/>
    <w:uiPriority w:val="0"/>
    <w:pPr>
      <w:tabs>
        <w:tab w:val="left" w:pos="360"/>
      </w:tabs>
    </w:pPr>
    <w:rPr>
      <w:rFonts w:ascii="Times New Roman" w:hAnsi="Times New Roman"/>
      <w:sz w:val="24"/>
      <w:szCs w:val="20"/>
    </w:rPr>
  </w:style>
  <w:style w:type="paragraph" w:customStyle="1" w:styleId="99">
    <w:name w:val="_Style 23"/>
    <w:basedOn w:val="1"/>
    <w:qFormat/>
    <w:uiPriority w:val="0"/>
    <w:pPr>
      <w:widowControl/>
      <w:spacing w:after="160" w:line="240" w:lineRule="exact"/>
      <w:jc w:val="left"/>
    </w:pPr>
    <w:rPr>
      <w:rFonts w:ascii="Times New Roman" w:hAnsi="Times New Roman"/>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ascii="Times New Roman" w:hAnsi="Times New Roman" w:eastAsia="宋体" w:cs="宋体"/>
      <w:sz w:val="24"/>
    </w:rPr>
  </w:style>
  <w:style w:type="paragraph" w:styleId="101">
    <w:name w:val="List Paragraph"/>
    <w:basedOn w:val="1"/>
    <w:qFormat/>
    <w:uiPriority w:val="0"/>
    <w:pPr>
      <w:ind w:firstLine="420" w:firstLineChars="200"/>
    </w:pPr>
    <w:rPr>
      <w:rFonts w:ascii="Times New Roman" w:hAnsi="Times New Roman"/>
    </w:rPr>
  </w:style>
  <w:style w:type="paragraph" w:customStyle="1" w:styleId="102">
    <w:name w:val="修订1"/>
    <w:qFormat/>
    <w:uiPriority w:val="0"/>
    <w:rPr>
      <w:rFonts w:ascii="Times New Roman" w:hAnsi="Times New Roman" w:eastAsia="宋体" w:cs="Times New Roman"/>
      <w:kern w:val="2"/>
      <w:sz w:val="21"/>
      <w:lang w:val="en-US" w:eastAsia="zh-CN" w:bidi="ar-SA"/>
    </w:rPr>
  </w:style>
  <w:style w:type="paragraph" w:customStyle="1" w:styleId="103">
    <w:name w:val="修订11"/>
    <w:qFormat/>
    <w:uiPriority w:val="0"/>
    <w:rPr>
      <w:rFonts w:ascii="Times New Roman" w:hAnsi="Times New Roman" w:eastAsia="宋体" w:cs="Times New Roman"/>
      <w:kern w:val="2"/>
      <w:sz w:val="21"/>
      <w:szCs w:val="24"/>
      <w:lang w:val="en-US" w:eastAsia="zh-CN" w:bidi="ar-SA"/>
    </w:rPr>
  </w:style>
  <w:style w:type="paragraph" w:customStyle="1" w:styleId="104">
    <w:name w:val="修订2"/>
    <w:qFormat/>
    <w:uiPriority w:val="0"/>
    <w:rPr>
      <w:rFonts w:ascii="Times New Roman" w:hAnsi="Times New Roman" w:eastAsia="宋体" w:cs="Times New Roman"/>
      <w:kern w:val="2"/>
      <w:sz w:val="21"/>
      <w:szCs w:val="24"/>
      <w:lang w:val="en-US" w:eastAsia="zh-CN" w:bidi="ar-SA"/>
    </w:rPr>
  </w:style>
  <w:style w:type="paragraph" w:customStyle="1" w:styleId="10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0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7">
    <w:name w:val="样式2"/>
    <w:basedOn w:val="4"/>
    <w:qFormat/>
    <w:uiPriority w:val="0"/>
    <w:pPr>
      <w:spacing w:line="415" w:lineRule="auto"/>
      <w:ind w:firstLine="137"/>
    </w:pPr>
    <w:rPr>
      <w:rFonts w:ascii="Times New Roman" w:hAnsi="Times New Roman" w:eastAsia="宋体"/>
      <w:bCs/>
      <w:i/>
      <w:szCs w:val="28"/>
    </w:rPr>
  </w:style>
  <w:style w:type="paragraph" w:customStyle="1" w:styleId="10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Table Paragraph"/>
    <w:basedOn w:val="1"/>
    <w:qFormat/>
    <w:uiPriority w:val="0"/>
    <w:rPr>
      <w:rFonts w:hint="eastAsia" w:ascii="Times New Roman" w:hAnsi="Times New Roman"/>
    </w:rPr>
  </w:style>
  <w:style w:type="paragraph" w:customStyle="1" w:styleId="110">
    <w:name w:val="文二"/>
    <w:basedOn w:val="1"/>
    <w:qFormat/>
    <w:uiPriority w:val="0"/>
    <w:rPr>
      <w:rFonts w:ascii="宋体" w:hAnsi="宋体"/>
      <w:szCs w:val="21"/>
    </w:rPr>
  </w:style>
  <w:style w:type="paragraph" w:customStyle="1" w:styleId="111">
    <w:name w:val="p0"/>
    <w:basedOn w:val="1"/>
    <w:qFormat/>
    <w:uiPriority w:val="0"/>
    <w:pPr>
      <w:widowControl/>
      <w:spacing w:before="75" w:after="75"/>
      <w:jc w:val="left"/>
    </w:pPr>
    <w:rPr>
      <w:rFonts w:ascii="宋体" w:hAnsi="宋体" w:cs="宋体"/>
      <w:kern w:val="0"/>
      <w:sz w:val="24"/>
      <w:szCs w:val="24"/>
    </w:rPr>
  </w:style>
  <w:style w:type="paragraph" w:customStyle="1" w:styleId="112">
    <w:name w:val="我的正文"/>
    <w:basedOn w:val="1"/>
    <w:qFormat/>
    <w:uiPriority w:val="0"/>
    <w:rPr>
      <w:rFonts w:ascii="宋体" w:hAnsi="宋体"/>
      <w:sz w:val="24"/>
      <w:szCs w:val="24"/>
    </w:rPr>
  </w:style>
  <w:style w:type="paragraph" w:styleId="113">
    <w:name w:val="No Spacing"/>
    <w:qFormat/>
    <w:uiPriority w:val="1"/>
    <w:pPr>
      <w:widowControl w:val="0"/>
      <w:jc w:val="both"/>
    </w:pPr>
    <w:rPr>
      <w:rFonts w:ascii="Tahoma" w:hAnsi="Tahoma" w:eastAsia="宋体" w:cs="Times New Roman"/>
      <w:kern w:val="2"/>
      <w:sz w:val="24"/>
      <w:szCs w:val="24"/>
      <w:lang w:val="en-US" w:eastAsia="zh-CN" w:bidi="ar-SA"/>
    </w:rPr>
  </w:style>
  <w:style w:type="character" w:customStyle="1" w:styleId="114">
    <w:name w:val="未处理的提及1"/>
    <w:unhideWhenUsed/>
    <w:qFormat/>
    <w:uiPriority w:val="99"/>
    <w:rPr>
      <w:rFonts w:ascii="Times New Roman" w:hAnsi="Times New Roman" w:eastAsia="宋体" w:cs="Times New Roman"/>
      <w:color w:val="605E5C"/>
      <w:shd w:val="clear" w:color="auto" w:fill="E1DFDD"/>
    </w:rPr>
  </w:style>
  <w:style w:type="paragraph" w:customStyle="1" w:styleId="115">
    <w:name w:val="Normal_0"/>
    <w:qFormat/>
    <w:uiPriority w:val="0"/>
    <w:pPr>
      <w:widowControl w:val="0"/>
      <w:jc w:val="both"/>
    </w:pPr>
    <w:rPr>
      <w:rFonts w:ascii="Calibri" w:hAnsi="Calibri" w:eastAsia="宋体" w:cs="Times New Roman"/>
      <w:lang w:val="en-US" w:eastAsia="zh-CN" w:bidi="ar-SA"/>
    </w:rPr>
  </w:style>
  <w:style w:type="character" w:customStyle="1" w:styleId="116">
    <w:name w:val="批注文字 字符"/>
    <w:qFormat/>
    <w:uiPriority w:val="99"/>
    <w:rPr>
      <w:rFonts w:ascii="Calibri" w:hAnsi="Calibri"/>
    </w:rPr>
  </w:style>
  <w:style w:type="paragraph" w:customStyle="1" w:styleId="117">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A704B-C253-D54A-9B96-34F4FE9E7B6F}">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10994</Words>
  <Characters>11873</Characters>
  <Lines>203</Lines>
  <Paragraphs>57</Paragraphs>
  <TotalTime>7</TotalTime>
  <ScaleCrop>false</ScaleCrop>
  <LinksUpToDate>false</LinksUpToDate>
  <CharactersWithSpaces>12439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2023-11-24T06:33:00Z</dcterms:created>
  <dc:creator>xiewenbo</dc:creator>
  <cp:lastModifiedBy>ur-08</cp:lastModifiedBy>
  <cp:lastPrinted>2023-11-24T02:12:00Z</cp:lastPrinted>
  <dcterms:modified xsi:type="dcterms:W3CDTF">2025-09-17T04:59:25Z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C5B2EE593515483F9CDB3857B1DBA0EC_13</vt:lpwstr>
  </property>
  <property fmtid="{D5CDD505-2E9C-101B-9397-08002B2CF9AE}" pid="4" name="KSOTemplateDocerSaveRecord">
    <vt:lpwstr>eyJoZGlkIjoiN2U2MDFjOGU2N2Y0OWQ1NzY0ZTBkNzY3NWFkNTBlMTUiLCJ1c2VySWQiOiIyODI1OTA0MzYifQ==</vt:lpwstr>
  </property>
</Properties>
</file>