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C295">
      <w:pPr>
        <w:wordWrap w:val="0"/>
        <w:spacing w:line="360" w:lineRule="auto"/>
        <w:jc w:val="center"/>
        <w:rPr>
          <w:rFonts w:ascii="宋体" w:hAnsi="宋体" w:eastAsia="宋体" w:cs="宋体"/>
          <w:b/>
          <w:color w:val="auto"/>
          <w:sz w:val="48"/>
          <w:szCs w:val="48"/>
          <w:highlight w:val="none"/>
          <w:lang w:bidi="ar"/>
        </w:rPr>
      </w:pPr>
    </w:p>
    <w:p w14:paraId="0154B2F6">
      <w:pPr>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
          <w:color w:val="auto"/>
          <w:sz w:val="48"/>
          <w:szCs w:val="48"/>
          <w:highlight w:val="none"/>
          <w:lang w:eastAsia="zh-CN" w:bidi="ar"/>
        </w:rPr>
        <w:t>红棉大道工程—田心立交至风神立交段管线迁改建设管理服务</w:t>
      </w:r>
    </w:p>
    <w:p w14:paraId="3BFA8E2D">
      <w:pPr>
        <w:wordWrap w:val="0"/>
        <w:spacing w:line="360" w:lineRule="auto"/>
        <w:jc w:val="left"/>
        <w:rPr>
          <w:rFonts w:ascii="宋体" w:hAnsi="宋体" w:eastAsia="宋体" w:cs="宋体"/>
          <w:color w:val="auto"/>
          <w:sz w:val="36"/>
          <w:szCs w:val="36"/>
          <w:highlight w:val="none"/>
          <w:u w:val="single"/>
          <w:lang w:bidi="ar"/>
        </w:rPr>
      </w:pPr>
    </w:p>
    <w:p w14:paraId="77EAF7E6">
      <w:pPr>
        <w:wordWrap w:val="0"/>
        <w:spacing w:line="360" w:lineRule="auto"/>
        <w:jc w:val="left"/>
        <w:rPr>
          <w:rFonts w:ascii="宋体" w:hAnsi="宋体" w:eastAsia="宋体" w:cs="宋体"/>
          <w:color w:val="auto"/>
          <w:sz w:val="36"/>
          <w:szCs w:val="36"/>
          <w:highlight w:val="none"/>
          <w:u w:val="single"/>
        </w:rPr>
      </w:pPr>
    </w:p>
    <w:p w14:paraId="579B28A4">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4324BA1E">
      <w:pPr>
        <w:wordWrap w:val="0"/>
        <w:spacing w:line="360" w:lineRule="auto"/>
        <w:rPr>
          <w:rFonts w:ascii="宋体" w:hAnsi="宋体" w:eastAsia="宋体" w:cs="宋体"/>
          <w:color w:val="auto"/>
          <w:sz w:val="32"/>
          <w:szCs w:val="32"/>
          <w:highlight w:val="none"/>
        </w:rPr>
      </w:pPr>
    </w:p>
    <w:p w14:paraId="4D40B61E">
      <w:pPr>
        <w:wordWrap w:val="0"/>
        <w:spacing w:line="360" w:lineRule="auto"/>
        <w:rPr>
          <w:rFonts w:ascii="宋体" w:hAnsi="宋体" w:eastAsia="宋体" w:cs="宋体"/>
          <w:color w:val="auto"/>
          <w:sz w:val="52"/>
          <w:szCs w:val="52"/>
          <w:highlight w:val="none"/>
        </w:rPr>
      </w:pPr>
    </w:p>
    <w:p w14:paraId="4E1C87DA">
      <w:pPr>
        <w:wordWrap w:val="0"/>
        <w:spacing w:line="360" w:lineRule="auto"/>
        <w:rPr>
          <w:rFonts w:ascii="宋体" w:hAnsi="宋体" w:eastAsia="宋体" w:cs="宋体"/>
          <w:color w:val="auto"/>
          <w:sz w:val="52"/>
          <w:szCs w:val="52"/>
          <w:highlight w:val="none"/>
          <w:lang w:bidi="ar"/>
        </w:rPr>
      </w:pPr>
    </w:p>
    <w:p w14:paraId="735834CD">
      <w:pPr>
        <w:wordWrap w:val="0"/>
        <w:spacing w:line="360" w:lineRule="auto"/>
        <w:rPr>
          <w:rFonts w:ascii="宋体" w:hAnsi="宋体" w:eastAsia="宋体" w:cs="宋体"/>
          <w:color w:val="auto"/>
          <w:sz w:val="52"/>
          <w:szCs w:val="52"/>
          <w:highlight w:val="none"/>
          <w:lang w:bidi="ar"/>
        </w:rPr>
      </w:pPr>
    </w:p>
    <w:p w14:paraId="563AF53E">
      <w:pPr>
        <w:wordWrap w:val="0"/>
        <w:spacing w:line="360" w:lineRule="auto"/>
        <w:rPr>
          <w:rFonts w:ascii="宋体" w:hAnsi="宋体" w:eastAsia="宋体" w:cs="宋体"/>
          <w:color w:val="auto"/>
          <w:sz w:val="52"/>
          <w:szCs w:val="52"/>
          <w:highlight w:val="none"/>
          <w:lang w:bidi="ar"/>
        </w:rPr>
      </w:pPr>
    </w:p>
    <w:p w14:paraId="110A9EFA">
      <w:pPr>
        <w:wordWrap w:val="0"/>
        <w:spacing w:line="360" w:lineRule="auto"/>
        <w:rPr>
          <w:rFonts w:ascii="宋体" w:hAnsi="宋体" w:eastAsia="宋体" w:cs="宋体"/>
          <w:color w:val="auto"/>
          <w:sz w:val="52"/>
          <w:szCs w:val="52"/>
          <w:highlight w:val="none"/>
          <w:lang w:bidi="ar"/>
        </w:rPr>
      </w:pPr>
    </w:p>
    <w:p w14:paraId="6A435046">
      <w:pPr>
        <w:wordWrap w:val="0"/>
        <w:spacing w:line="360" w:lineRule="auto"/>
        <w:rPr>
          <w:rFonts w:ascii="宋体" w:hAnsi="宋体" w:eastAsia="宋体" w:cs="宋体"/>
          <w:color w:val="auto"/>
          <w:sz w:val="52"/>
          <w:szCs w:val="52"/>
          <w:highlight w:val="none"/>
          <w:lang w:bidi="ar"/>
        </w:rPr>
      </w:pPr>
    </w:p>
    <w:p w14:paraId="035EF17D">
      <w:pPr>
        <w:wordWrap w:val="0"/>
        <w:spacing w:line="360" w:lineRule="auto"/>
        <w:ind w:firstLine="992" w:firstLineChars="31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lang w:bidi="ar"/>
        </w:rPr>
        <w:t>招   标   人：</w:t>
      </w:r>
      <w:r>
        <w:rPr>
          <w:rFonts w:hint="eastAsia" w:ascii="宋体" w:hAnsi="宋体" w:eastAsia="宋体" w:cs="宋体"/>
          <w:color w:val="auto"/>
          <w:sz w:val="32"/>
          <w:szCs w:val="32"/>
          <w:highlight w:val="none"/>
          <w:u w:val="none"/>
          <w:lang w:eastAsia="zh-CN" w:bidi="ar"/>
        </w:rPr>
        <w:t>广州市花都区交通运输局</w:t>
      </w:r>
    </w:p>
    <w:p w14:paraId="3C58F21E">
      <w:pPr>
        <w:wordWrap w:val="0"/>
        <w:spacing w:line="360" w:lineRule="auto"/>
        <w:ind w:firstLine="992" w:firstLineChars="31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lang w:bidi="ar"/>
        </w:rPr>
        <w:t>招标代理机构：</w:t>
      </w:r>
      <w:r>
        <w:rPr>
          <w:rFonts w:hint="eastAsia" w:ascii="宋体" w:hAnsi="宋体" w:eastAsia="宋体" w:cs="宋体"/>
          <w:color w:val="auto"/>
          <w:sz w:val="32"/>
          <w:szCs w:val="32"/>
          <w:highlight w:val="none"/>
          <w:u w:val="none"/>
          <w:lang w:eastAsia="zh-CN" w:bidi="ar"/>
        </w:rPr>
        <w:t>北京中交建设工程咨询有限公司</w:t>
      </w:r>
    </w:p>
    <w:p w14:paraId="3E4904AB">
      <w:pPr>
        <w:wordWrap w:val="0"/>
        <w:spacing w:line="360" w:lineRule="auto"/>
        <w:ind w:firstLine="992" w:firstLineChars="310"/>
        <w:jc w:val="left"/>
        <w:rPr>
          <w:rFonts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bidi="ar"/>
        </w:rPr>
        <w:t>日        期：2025年</w:t>
      </w:r>
      <w:r>
        <w:rPr>
          <w:rFonts w:ascii="宋体" w:hAnsi="宋体" w:eastAsia="宋体" w:cs="宋体"/>
          <w:color w:val="auto"/>
          <w:sz w:val="32"/>
          <w:szCs w:val="32"/>
          <w:highlight w:val="none"/>
          <w:u w:val="none"/>
          <w:lang w:bidi="ar"/>
        </w:rPr>
        <w:t xml:space="preserve"> </w:t>
      </w:r>
      <w:r>
        <w:rPr>
          <w:rFonts w:hint="eastAsia" w:ascii="宋体" w:hAnsi="宋体" w:eastAsia="宋体" w:cs="宋体"/>
          <w:color w:val="auto"/>
          <w:sz w:val="32"/>
          <w:szCs w:val="32"/>
          <w:highlight w:val="none"/>
          <w:u w:val="none"/>
          <w:lang w:val="en-US" w:eastAsia="zh-CN" w:bidi="ar"/>
        </w:rPr>
        <w:t>9</w:t>
      </w:r>
      <w:r>
        <w:rPr>
          <w:rFonts w:ascii="宋体" w:hAnsi="宋体" w:eastAsia="宋体" w:cs="宋体"/>
          <w:color w:val="auto"/>
          <w:sz w:val="32"/>
          <w:szCs w:val="32"/>
          <w:highlight w:val="none"/>
          <w:u w:val="none"/>
          <w:lang w:bidi="ar"/>
        </w:rPr>
        <w:t xml:space="preserve"> </w:t>
      </w:r>
      <w:r>
        <w:rPr>
          <w:rFonts w:hint="eastAsia" w:ascii="宋体" w:hAnsi="宋体" w:eastAsia="宋体" w:cs="宋体"/>
          <w:color w:val="auto"/>
          <w:sz w:val="32"/>
          <w:szCs w:val="32"/>
          <w:highlight w:val="none"/>
          <w:u w:val="none"/>
          <w:lang w:bidi="ar"/>
        </w:rPr>
        <w:t>月</w:t>
      </w:r>
    </w:p>
    <w:p w14:paraId="2840A0A1">
      <w:pPr>
        <w:wordWrap w:val="0"/>
        <w:spacing w:line="360" w:lineRule="auto"/>
        <w:rPr>
          <w:rFonts w:ascii="Calibri" w:hAnsi="Calibri" w:eastAsia="宋体" w:cs="Times New Roman"/>
          <w:b/>
          <w:color w:val="auto"/>
          <w:sz w:val="36"/>
          <w:szCs w:val="36"/>
          <w:highlight w:val="none"/>
        </w:rPr>
        <w:sectPr>
          <w:footerReference r:id="rId3" w:type="default"/>
          <w:type w:val="continuous"/>
          <w:pgSz w:w="11905" w:h="16838"/>
          <w:pgMar w:top="1440" w:right="1800" w:bottom="1440" w:left="1800" w:header="720" w:footer="720" w:gutter="0"/>
          <w:pgNumType w:start="0"/>
          <w:cols w:space="425" w:num="1"/>
          <w:titlePg/>
          <w:docGrid w:type="lines" w:linePitch="312" w:charSpace="0"/>
        </w:sectPr>
      </w:pPr>
    </w:p>
    <w:p w14:paraId="3688A2E3">
      <w:pPr>
        <w:widowControl/>
        <w:wordWrap w:val="0"/>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br w:type="page"/>
      </w:r>
    </w:p>
    <w:p w14:paraId="735F8DCB">
      <w:pPr>
        <w:keepNext/>
        <w:keepLines/>
        <w:widowControl/>
        <w:wordWrap w:val="0"/>
        <w:spacing w:before="480" w:line="276"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val="zh-CN"/>
        </w:rPr>
        <w:t>目 录</w:t>
      </w:r>
    </w:p>
    <w:p w14:paraId="6D595C62">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aps w:val="0"/>
          <w:color w:val="auto"/>
          <w:sz w:val="24"/>
          <w:szCs w:val="24"/>
          <w:highlight w:val="none"/>
        </w:rPr>
        <w:fldChar w:fldCharType="begin"/>
      </w:r>
      <w:r>
        <w:rPr>
          <w:rFonts w:hint="eastAsia" w:ascii="宋体" w:hAnsi="宋体" w:eastAsia="宋体" w:cs="宋体"/>
          <w:b w:val="0"/>
          <w:bCs/>
          <w:caps w:val="0"/>
          <w:color w:val="auto"/>
          <w:sz w:val="24"/>
          <w:szCs w:val="24"/>
          <w:highlight w:val="none"/>
        </w:rPr>
        <w:instrText xml:space="preserve"> TOC \o "1-3" \h \z \u </w:instrText>
      </w:r>
      <w:r>
        <w:rPr>
          <w:rFonts w:hint="eastAsia" w:ascii="宋体" w:hAnsi="宋体" w:eastAsia="宋体" w:cs="宋体"/>
          <w:b w:val="0"/>
          <w:bCs/>
          <w:caps w:val="0"/>
          <w:color w:val="auto"/>
          <w:sz w:val="24"/>
          <w:szCs w:val="24"/>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"_Toc193357935"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第一卷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_Toc193357935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3AA9CDE6">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"_Toc193357936"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lang w:bidi="ar"/>
        </w:rPr>
        <w:t>第一章  招标公告</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_Toc193357936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7BFD7AE7">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"_Toc193357937"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lang w:bidi="ar"/>
        </w:rPr>
        <w:t xml:space="preserve">第二章  </w:t>
      </w:r>
      <w:r>
        <w:rPr>
          <w:rStyle w:val="53"/>
          <w:rFonts w:hint="eastAsia" w:ascii="宋体" w:hAnsi="宋体" w:cs="宋体"/>
          <w:b w:val="0"/>
          <w:bCs/>
          <w:color w:val="auto"/>
          <w:sz w:val="24"/>
          <w:szCs w:val="24"/>
          <w:highlight w:val="none"/>
          <w:lang w:eastAsia="zh-CN" w:bidi="ar"/>
        </w:rPr>
        <w:t>投标人</w:t>
      </w:r>
      <w:r>
        <w:rPr>
          <w:rStyle w:val="53"/>
          <w:rFonts w:hint="eastAsia" w:ascii="宋体" w:hAnsi="宋体" w:eastAsia="宋体" w:cs="宋体"/>
          <w:b w:val="0"/>
          <w:bCs/>
          <w:color w:val="auto"/>
          <w:sz w:val="24"/>
          <w:szCs w:val="24"/>
          <w:highlight w:val="none"/>
          <w:lang w:bidi="ar"/>
        </w:rPr>
        <w:t>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_Toc193357937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16C21CC0">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"_Toc193358002"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第三章  评标办法（综合评估法）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_Toc193358002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28</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5142D64A">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"_Toc193358019"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第四章  合同条款及格式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_Toc193358019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38</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785F298B">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"_Toc193358020"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第二卷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_Toc193358020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39</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28527A94">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"_Toc193358021"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第五章  发包人要求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_Toc193358021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39</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401AA6AD">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"_Toc193358022"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第三卷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_Toc193358022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42</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057BCD48">
      <w:pPr>
        <w:pStyle w:val="33"/>
        <w:keepNext w:val="0"/>
        <w:keepLines w:val="0"/>
        <w:pageBreakBefore w:val="0"/>
        <w:widowControl w:val="0"/>
        <w:tabs>
          <w:tab w:val="right" w:leader="dot" w:pos="8289"/>
        </w:tabs>
        <w:kinsoku/>
        <w:wordWrap w:val="0"/>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b w:val="0"/>
          <w:bCs/>
          <w:caps w:val="0"/>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"_Toc193358023" </w:instrText>
      </w:r>
      <w:r>
        <w:rPr>
          <w:rFonts w:hint="eastAsia" w:ascii="宋体" w:hAnsi="宋体" w:eastAsia="宋体" w:cs="宋体"/>
          <w:b w:val="0"/>
          <w:bCs/>
          <w:color w:val="auto"/>
          <w:sz w:val="24"/>
          <w:szCs w:val="24"/>
          <w:highlight w:val="none"/>
        </w:rPr>
        <w:fldChar w:fldCharType="separate"/>
      </w:r>
      <w:r>
        <w:rPr>
          <w:rStyle w:val="53"/>
          <w:rFonts w:hint="eastAsia" w:ascii="宋体" w:hAnsi="宋体" w:eastAsia="宋体" w:cs="宋体"/>
          <w:b w:val="0"/>
          <w:bCs/>
          <w:color w:val="auto"/>
          <w:sz w:val="24"/>
          <w:szCs w:val="24"/>
          <w:highlight w:val="none"/>
        </w:rPr>
        <w:t>第六章  投标文件格式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_Toc193358023 \h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42</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5882A744">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ascii="宋体" w:hAnsi="宋体" w:eastAsia="宋体" w:cs="宋体"/>
          <w:color w:val="auto"/>
          <w:kern w:val="0"/>
          <w:szCs w:val="21"/>
          <w:highlight w:val="none"/>
        </w:rPr>
      </w:pPr>
      <w:r>
        <w:rPr>
          <w:rFonts w:hint="eastAsia" w:ascii="宋体" w:hAnsi="宋体" w:eastAsia="宋体" w:cs="宋体"/>
          <w:b w:val="0"/>
          <w:bCs/>
          <w:color w:val="auto"/>
          <w:sz w:val="24"/>
          <w:szCs w:val="24"/>
          <w:highlight w:val="none"/>
          <w:lang w:val="zh-CN"/>
        </w:rPr>
        <w:fldChar w:fldCharType="end"/>
      </w:r>
    </w:p>
    <w:p w14:paraId="0CB0F439">
      <w:pPr>
        <w:wordWrap w:val="0"/>
        <w:autoSpaceDE w:val="0"/>
        <w:autoSpaceDN w:val="0"/>
        <w:spacing w:line="2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page"/>
      </w:r>
    </w:p>
    <w:p w14:paraId="71FDC52B">
      <w:pPr>
        <w:pStyle w:val="2"/>
        <w:rPr>
          <w:color w:val="auto"/>
          <w:highlight w:val="none"/>
        </w:rPr>
      </w:pPr>
      <w:bookmarkStart w:id="0" w:name="_Toc193357935"/>
      <w:bookmarkStart w:id="1" w:name="_Toc111186720"/>
      <w:r>
        <w:rPr>
          <w:rFonts w:hint="eastAsia"/>
          <w:color w:val="auto"/>
          <w:highlight w:val="none"/>
        </w:rPr>
        <w:t>第一卷</w:t>
      </w:r>
      <w:bookmarkEnd w:id="0"/>
      <w:bookmarkEnd w:id="1"/>
    </w:p>
    <w:p w14:paraId="5D67596B">
      <w:pPr>
        <w:widowControl/>
        <w:wordWrap w:val="0"/>
        <w:jc w:val="left"/>
        <w:rPr>
          <w:rFonts w:ascii="宋体" w:hAnsi="宋体" w:eastAsia="宋体" w:cs="宋体"/>
          <w:color w:val="auto"/>
          <w:spacing w:val="2"/>
          <w:kern w:val="0"/>
          <w:sz w:val="44"/>
          <w:szCs w:val="44"/>
          <w:highlight w:val="none"/>
        </w:rPr>
        <w:sectPr>
          <w:footerReference r:id="rId4" w:type="default"/>
          <w:type w:val="continuous"/>
          <w:pgSz w:w="11905" w:h="16838"/>
          <w:pgMar w:top="1440" w:right="1803" w:bottom="1440" w:left="1803" w:header="720" w:footer="720" w:gutter="0"/>
          <w:pgNumType w:start="0"/>
          <w:cols w:space="720" w:num="1"/>
          <w:titlePg/>
          <w:docGrid w:linePitch="286" w:charSpace="0"/>
        </w:sectPr>
      </w:pPr>
    </w:p>
    <w:p w14:paraId="1DDEDFEB">
      <w:pPr>
        <w:pStyle w:val="2"/>
        <w:rPr>
          <w:color w:val="auto"/>
          <w:highlight w:val="none"/>
          <w:lang w:bidi="ar"/>
        </w:rPr>
      </w:pPr>
      <w:bookmarkStart w:id="2" w:name="_Toc193357936"/>
      <w:bookmarkStart w:id="3" w:name="_Toc111186721"/>
      <w:r>
        <w:rPr>
          <w:rFonts w:hint="eastAsia"/>
          <w:color w:val="auto"/>
          <w:highlight w:val="none"/>
          <w:lang w:bidi="ar"/>
        </w:rPr>
        <w:t>第一章  招标公告</w:t>
      </w:r>
      <w:bookmarkEnd w:id="2"/>
      <w:bookmarkEnd w:id="3"/>
    </w:p>
    <w:p w14:paraId="583B4EC7">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54AAB545">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508358BA">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1A12A086">
      <w:pPr>
        <w:pStyle w:val="2"/>
        <w:rPr>
          <w:color w:val="auto"/>
          <w:highlight w:val="none"/>
          <w:lang w:bidi="ar"/>
        </w:rPr>
      </w:pPr>
      <w:bookmarkStart w:id="4" w:name="_Toc193357937"/>
      <w:bookmarkStart w:id="5" w:name="_Toc111186722"/>
      <w:r>
        <w:rPr>
          <w:rFonts w:hint="eastAsia"/>
          <w:color w:val="auto"/>
          <w:highlight w:val="none"/>
          <w:lang w:bidi="ar"/>
        </w:rPr>
        <w:t xml:space="preserve">第二章  </w:t>
      </w:r>
      <w:r>
        <w:rPr>
          <w:rFonts w:hint="eastAsia"/>
          <w:color w:val="auto"/>
          <w:highlight w:val="none"/>
          <w:lang w:eastAsia="zh-CN" w:bidi="ar"/>
        </w:rPr>
        <w:t>投标人</w:t>
      </w:r>
      <w:r>
        <w:rPr>
          <w:rFonts w:hint="eastAsia"/>
          <w:color w:val="auto"/>
          <w:highlight w:val="none"/>
          <w:lang w:bidi="ar"/>
        </w:rPr>
        <w:t>须知</w:t>
      </w:r>
      <w:bookmarkEnd w:id="4"/>
      <w:bookmarkEnd w:id="5"/>
    </w:p>
    <w:p w14:paraId="2E3FB37D">
      <w:pPr>
        <w:pStyle w:val="3"/>
        <w:wordWrap w:val="0"/>
        <w:rPr>
          <w:color w:val="auto"/>
          <w:highlight w:val="none"/>
          <w:lang w:bidi="ar"/>
        </w:rPr>
      </w:pPr>
      <w:bookmarkStart w:id="6" w:name="_Toc26350"/>
      <w:bookmarkStart w:id="7" w:name="_Toc193357938"/>
      <w:bookmarkStart w:id="8" w:name="_Toc111186723"/>
      <w:r>
        <w:rPr>
          <w:rFonts w:hint="eastAsia"/>
          <w:color w:val="auto"/>
          <w:highlight w:val="none"/>
          <w:lang w:eastAsia="zh-CN" w:bidi="ar"/>
        </w:rPr>
        <w:t>投标人</w:t>
      </w:r>
      <w:r>
        <w:rPr>
          <w:rFonts w:hint="eastAsia"/>
          <w:color w:val="auto"/>
          <w:highlight w:val="none"/>
          <w:lang w:bidi="ar"/>
        </w:rPr>
        <w:t>须知前附表</w:t>
      </w:r>
      <w:bookmarkEnd w:id="6"/>
      <w:bookmarkEnd w:id="7"/>
      <w:bookmarkEnd w:id="8"/>
    </w:p>
    <w:tbl>
      <w:tblPr>
        <w:tblStyle w:val="46"/>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821"/>
        <w:gridCol w:w="5967"/>
      </w:tblGrid>
      <w:tr w14:paraId="5886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1" w:type="pct"/>
            <w:vAlign w:val="center"/>
          </w:tcPr>
          <w:p w14:paraId="0165BB3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5" w:type="pct"/>
            <w:vAlign w:val="center"/>
          </w:tcPr>
          <w:p w14:paraId="2D743C88">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2" w:type="pct"/>
            <w:vAlign w:val="center"/>
          </w:tcPr>
          <w:p w14:paraId="7155ECC8">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6E57D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47CE2F7">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065" w:type="pct"/>
            <w:vAlign w:val="center"/>
          </w:tcPr>
          <w:p w14:paraId="2D545C85">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2" w:type="pct"/>
            <w:vAlign w:val="center"/>
          </w:tcPr>
          <w:p w14:paraId="53088A35">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广州市花都区交通运输局</w:t>
            </w:r>
          </w:p>
          <w:p w14:paraId="1D68DC5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广州市花都区紫薇路23号交通运输局</w:t>
            </w:r>
          </w:p>
          <w:p w14:paraId="68BF564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贾</w:t>
            </w:r>
            <w:r>
              <w:rPr>
                <w:rFonts w:hint="eastAsia" w:ascii="宋体" w:hAnsi="宋体" w:eastAsia="宋体" w:cs="宋体"/>
                <w:color w:val="auto"/>
                <w:szCs w:val="21"/>
                <w:highlight w:val="none"/>
                <w:u w:val="single"/>
              </w:rPr>
              <w:t>工</w:t>
            </w:r>
          </w:p>
          <w:p w14:paraId="33BC9F67">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w:t>
            </w:r>
            <w:r>
              <w:rPr>
                <w:rFonts w:hint="eastAsia" w:ascii="宋体" w:hAnsi="宋体" w:eastAsia="宋体" w:cs="宋体"/>
                <w:color w:val="auto"/>
                <w:szCs w:val="21"/>
                <w:highlight w:val="none"/>
                <w:u w:val="single"/>
              </w:rPr>
              <w:t>86970157</w:t>
            </w:r>
          </w:p>
        </w:tc>
      </w:tr>
      <w:tr w14:paraId="480E8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2BB636E">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065" w:type="pct"/>
            <w:vAlign w:val="center"/>
          </w:tcPr>
          <w:p w14:paraId="0A6E580A">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2" w:type="pct"/>
            <w:vAlign w:val="center"/>
          </w:tcPr>
          <w:p w14:paraId="3984DCDC">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北京中交建设工程咨询有限公司</w:t>
            </w:r>
          </w:p>
          <w:p w14:paraId="5638AC61">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广州市天河区黄埔大道西159号西塔7楼</w:t>
            </w:r>
          </w:p>
          <w:p w14:paraId="6ED2C78C">
            <w:pPr>
              <w:keepNext w:val="0"/>
              <w:keepLines w:val="0"/>
              <w:pageBreakBefore w:val="0"/>
              <w:kinsoku/>
              <w:wordWrap w:val="0"/>
              <w:overflowPunct/>
              <w:bidi w:val="0"/>
              <w:adjustRightInd/>
              <w:snapToGrid/>
              <w:spacing w:line="360" w:lineRule="auto"/>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罗</w:t>
            </w:r>
            <w:r>
              <w:rPr>
                <w:rFonts w:hint="eastAsia" w:ascii="宋体" w:hAnsi="宋体" w:eastAsia="宋体" w:cs="宋体"/>
                <w:color w:val="auto"/>
                <w:szCs w:val="21"/>
                <w:highlight w:val="none"/>
                <w:u w:val="single"/>
              </w:rPr>
              <w:t>工</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梁工</w:t>
            </w:r>
          </w:p>
          <w:p w14:paraId="774C26B6">
            <w:pPr>
              <w:keepNext w:val="0"/>
              <w:keepLines w:val="0"/>
              <w:pageBreakBefore w:val="0"/>
              <w:kinsoku/>
              <w:wordWrap w:val="0"/>
              <w:overflowPunct/>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w:t>
            </w:r>
            <w:r>
              <w:rPr>
                <w:rFonts w:hint="eastAsia" w:ascii="宋体" w:hAnsi="宋体" w:eastAsia="宋体" w:cs="宋体"/>
                <w:color w:val="auto"/>
                <w:szCs w:val="21"/>
                <w:highlight w:val="none"/>
                <w:u w:val="single"/>
                <w:lang w:val="en-US" w:eastAsia="zh-CN"/>
              </w:rPr>
              <w:t>87575800-810</w:t>
            </w:r>
          </w:p>
        </w:tc>
      </w:tr>
      <w:tr w14:paraId="799E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2AEFD43">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065" w:type="pct"/>
            <w:vAlign w:val="center"/>
          </w:tcPr>
          <w:p w14:paraId="3F15DE4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2" w:type="pct"/>
            <w:vAlign w:val="center"/>
          </w:tcPr>
          <w:p w14:paraId="13906087">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红棉大道工程—田心立交至风神立交段管线迁改建设管理服务</w:t>
            </w:r>
          </w:p>
        </w:tc>
      </w:tr>
      <w:tr w14:paraId="6106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3A18C30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065" w:type="pct"/>
            <w:vAlign w:val="center"/>
          </w:tcPr>
          <w:p w14:paraId="1D89E382">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2" w:type="pct"/>
            <w:vAlign w:val="center"/>
          </w:tcPr>
          <w:p w14:paraId="6F6B769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769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0DDB5EB">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065" w:type="pct"/>
            <w:vAlign w:val="center"/>
          </w:tcPr>
          <w:p w14:paraId="4E9747A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2" w:type="pct"/>
            <w:vAlign w:val="center"/>
          </w:tcPr>
          <w:p w14:paraId="18D4AED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544C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1DAD2F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1.1.7</w:t>
            </w:r>
          </w:p>
        </w:tc>
        <w:tc>
          <w:tcPr>
            <w:tcW w:w="1065" w:type="pct"/>
            <w:vAlign w:val="center"/>
          </w:tcPr>
          <w:p w14:paraId="7515C584">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2" w:type="pct"/>
            <w:vAlign w:val="center"/>
          </w:tcPr>
          <w:p w14:paraId="2A39CE9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76782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95443E7">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065" w:type="pct"/>
            <w:vAlign w:val="center"/>
          </w:tcPr>
          <w:p w14:paraId="30A8E6D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2" w:type="pct"/>
            <w:vAlign w:val="center"/>
          </w:tcPr>
          <w:p w14:paraId="098456B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CFA1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6C17617">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065" w:type="pct"/>
            <w:vAlign w:val="center"/>
          </w:tcPr>
          <w:p w14:paraId="092CEEB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2" w:type="pct"/>
            <w:vAlign w:val="center"/>
          </w:tcPr>
          <w:p w14:paraId="5D667A8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6A96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6DA986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065" w:type="pct"/>
            <w:vAlign w:val="center"/>
          </w:tcPr>
          <w:p w14:paraId="31697F2C">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2" w:type="pct"/>
            <w:vAlign w:val="center"/>
          </w:tcPr>
          <w:p w14:paraId="78E009F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7175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D790D10">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065" w:type="pct"/>
            <w:vAlign w:val="center"/>
          </w:tcPr>
          <w:p w14:paraId="7E5AEF9B">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3492" w:type="pct"/>
            <w:vAlign w:val="center"/>
          </w:tcPr>
          <w:p w14:paraId="49BC3A68">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271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B98E9B3">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065" w:type="pct"/>
            <w:vAlign w:val="center"/>
          </w:tcPr>
          <w:p w14:paraId="26B2303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2" w:type="pct"/>
            <w:vAlign w:val="center"/>
          </w:tcPr>
          <w:p w14:paraId="156660B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按国家相关规定执行的合格标准。</w:t>
            </w:r>
          </w:p>
        </w:tc>
      </w:tr>
      <w:tr w14:paraId="54B1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3DD72D5C">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065" w:type="pct"/>
            <w:vAlign w:val="center"/>
          </w:tcPr>
          <w:p w14:paraId="72C4BB7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资质条件、能力、信誉</w:t>
            </w:r>
          </w:p>
        </w:tc>
        <w:tc>
          <w:tcPr>
            <w:tcW w:w="3492" w:type="pct"/>
            <w:vAlign w:val="center"/>
          </w:tcPr>
          <w:p w14:paraId="150C2D7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60833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372F2F01">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065" w:type="pct"/>
            <w:vAlign w:val="center"/>
          </w:tcPr>
          <w:p w14:paraId="2E25A90A">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2" w:type="pct"/>
            <w:vAlign w:val="center"/>
          </w:tcPr>
          <w:p w14:paraId="5DD2EBF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3A7EB4F4">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F9D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842AE96">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065" w:type="pct"/>
            <w:vAlign w:val="center"/>
          </w:tcPr>
          <w:p w14:paraId="15A1D905">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不得存在的其他情形</w:t>
            </w:r>
          </w:p>
        </w:tc>
        <w:tc>
          <w:tcPr>
            <w:tcW w:w="3492" w:type="pct"/>
            <w:vAlign w:val="center"/>
          </w:tcPr>
          <w:p w14:paraId="2C4E425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6B4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9AEC111">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065" w:type="pct"/>
            <w:vAlign w:val="center"/>
          </w:tcPr>
          <w:p w14:paraId="5434114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2" w:type="pct"/>
            <w:vAlign w:val="center"/>
          </w:tcPr>
          <w:p w14:paraId="3FC78BD7">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■招标人不集中组织，由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自行踏勘；自</w:t>
            </w:r>
            <w:r>
              <w:rPr>
                <w:rFonts w:hint="eastAsia" w:ascii="宋体" w:hAnsi="宋体" w:eastAsia="宋体" w:cs="宋体"/>
                <w:color w:val="auto"/>
                <w:szCs w:val="21"/>
                <w:highlight w:val="none"/>
                <w:u w:val="single"/>
              </w:rPr>
              <w:t>2025年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起具备现场踏勘条件；</w:t>
            </w:r>
          </w:p>
          <w:p w14:paraId="656F608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现场详细地点：详见招标公告</w:t>
            </w:r>
          </w:p>
          <w:p w14:paraId="6018435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560E6CF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自行对工程现场和周围环境进行现场考察，</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应充分重视和仔细地进行这种考察，以获取那些须</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自己负责的有关编制投标和签署合同所需的所有资料。一旦中标，这种考察即被认为其结果已在中标文件中得到充分反映。考察现场的费用由</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自己承担。</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若认为必要时，也可以独自增加现场考察活动。</w:t>
            </w:r>
          </w:p>
          <w:p w14:paraId="5A0BC7E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及其代表进入考察的现场。</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及其代表必须承担那些进入现场后，由于他们的行为所造成的人身伤害（不管是否致命）、财产损失或损坏，以及其他任何原因造成的损失、损坏或费用。招标人在</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及其代表考察过程中不负任何责任。</w:t>
            </w:r>
          </w:p>
          <w:p w14:paraId="4C7203C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（3）由招标人提供的资料和数据，只是为了使</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能够利用招标人现有的资料。招标人对</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由此而作出的推论、解释和结论概不负责。</w:t>
            </w:r>
          </w:p>
          <w:p w14:paraId="2CD9340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（4）不论投标结果如何，</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应承担其投标文件编制与递交所涉及的一切费用，发包人对上述费用不负任何责任。</w:t>
            </w:r>
          </w:p>
          <w:p w14:paraId="2524F22F">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w:t>
            </w:r>
          </w:p>
          <w:p w14:paraId="14F9F5E7">
            <w:pPr>
              <w:keepNext w:val="0"/>
              <w:keepLines w:val="0"/>
              <w:pageBreakBefore w:val="0"/>
              <w:kinsoku/>
              <w:wordWrap w:val="0"/>
              <w:overflowPunct/>
              <w:bidi w:val="0"/>
              <w:adjustRightInd/>
              <w:snapToGrid/>
              <w:spacing w:line="360" w:lineRule="auto"/>
              <w:ind w:firstLine="840" w:firstLineChars="4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w:t>
            </w:r>
          </w:p>
        </w:tc>
      </w:tr>
      <w:tr w14:paraId="58C8B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E36D60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065" w:type="pct"/>
            <w:vAlign w:val="center"/>
          </w:tcPr>
          <w:p w14:paraId="07AC4D3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2" w:type="pct"/>
            <w:vAlign w:val="center"/>
          </w:tcPr>
          <w:p w14:paraId="0E21814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23757E6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w:t>
            </w:r>
          </w:p>
          <w:p w14:paraId="26D79D6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hint="eastAsia" w:ascii="宋体" w:hAnsi="宋体" w:eastAsia="宋体" w:cs="宋体"/>
                <w:color w:val="auto"/>
                <w:szCs w:val="21"/>
                <w:highlight w:val="none"/>
                <w:u w:val="single"/>
              </w:rPr>
              <w:t>/。</w:t>
            </w:r>
          </w:p>
        </w:tc>
      </w:tr>
      <w:tr w14:paraId="7396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Merge w:val="restart"/>
            <w:vAlign w:val="center"/>
          </w:tcPr>
          <w:p w14:paraId="0C6242EC">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1.10.2</w:t>
            </w:r>
          </w:p>
        </w:tc>
        <w:tc>
          <w:tcPr>
            <w:tcW w:w="1065" w:type="pct"/>
            <w:vMerge w:val="restart"/>
            <w:vAlign w:val="center"/>
          </w:tcPr>
          <w:p w14:paraId="7191ABCB">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在投标预备会前提出问题</w:t>
            </w:r>
          </w:p>
        </w:tc>
        <w:tc>
          <w:tcPr>
            <w:tcW w:w="3492" w:type="pct"/>
            <w:vAlign w:val="center"/>
          </w:tcPr>
          <w:p w14:paraId="31FDB8ED">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bidi="ar"/>
              </w:rPr>
              <w:t>/（本项目不召开投标预备会）。</w:t>
            </w:r>
          </w:p>
        </w:tc>
      </w:tr>
      <w:tr w14:paraId="091A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Merge w:val="continue"/>
            <w:vAlign w:val="center"/>
          </w:tcPr>
          <w:p w14:paraId="6C1A3D16">
            <w:pPr>
              <w:keepNext w:val="0"/>
              <w:keepLines w:val="0"/>
              <w:pageBreakBefore w:val="0"/>
              <w:widowControl/>
              <w:kinsoku/>
              <w:wordWrap w:val="0"/>
              <w:overflowPunct/>
              <w:bidi w:val="0"/>
              <w:adjustRightInd/>
              <w:snapToGrid/>
              <w:spacing w:line="360" w:lineRule="auto"/>
              <w:jc w:val="center"/>
              <w:textAlignment w:val="auto"/>
              <w:rPr>
                <w:rFonts w:ascii="宋体" w:hAnsi="宋体" w:eastAsia="宋体" w:cs="宋体"/>
                <w:color w:val="auto"/>
                <w:kern w:val="0"/>
                <w:szCs w:val="21"/>
                <w:highlight w:val="none"/>
              </w:rPr>
            </w:pPr>
          </w:p>
        </w:tc>
        <w:tc>
          <w:tcPr>
            <w:tcW w:w="1065" w:type="pct"/>
            <w:vMerge w:val="continue"/>
            <w:vAlign w:val="center"/>
          </w:tcPr>
          <w:p w14:paraId="66553E28">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p>
        </w:tc>
        <w:tc>
          <w:tcPr>
            <w:tcW w:w="3492" w:type="pct"/>
            <w:vAlign w:val="center"/>
          </w:tcPr>
          <w:p w14:paraId="05E1203F">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lang w:bidi="ar"/>
              </w:rPr>
              <w:t>/（本项目不召开投标预备会）。</w:t>
            </w:r>
          </w:p>
        </w:tc>
      </w:tr>
      <w:tr w14:paraId="3FD51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6F191E6">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1.10.3</w:t>
            </w:r>
          </w:p>
        </w:tc>
        <w:tc>
          <w:tcPr>
            <w:tcW w:w="1065" w:type="pct"/>
            <w:vAlign w:val="center"/>
          </w:tcPr>
          <w:p w14:paraId="01D8C724">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2" w:type="pct"/>
            <w:vAlign w:val="center"/>
          </w:tcPr>
          <w:p w14:paraId="0037E83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/（不召开投标预备会，此为投标预备会的答疑澄清）。</w:t>
            </w:r>
          </w:p>
        </w:tc>
      </w:tr>
      <w:tr w14:paraId="3B45A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72335C8">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7"/>
                <w:kern w:val="0"/>
                <w:szCs w:val="21"/>
                <w:highlight w:val="none"/>
              </w:rPr>
              <w:t>1</w:t>
            </w:r>
            <w:r>
              <w:rPr>
                <w:rFonts w:hint="eastAsia" w:ascii="宋体" w:hAnsi="宋体" w:eastAsia="宋体" w:cs="宋体"/>
                <w:color w:val="auto"/>
                <w:kern w:val="0"/>
                <w:szCs w:val="21"/>
                <w:highlight w:val="none"/>
              </w:rPr>
              <w:t>1.1</w:t>
            </w:r>
          </w:p>
        </w:tc>
        <w:tc>
          <w:tcPr>
            <w:tcW w:w="1065" w:type="pct"/>
            <w:vAlign w:val="center"/>
          </w:tcPr>
          <w:p w14:paraId="5740AD03">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2" w:type="pct"/>
            <w:vAlign w:val="center"/>
          </w:tcPr>
          <w:p w14:paraId="44589AE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w:t>
            </w:r>
          </w:p>
          <w:p w14:paraId="7AC292F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4FA8FCC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hint="eastAsia" w:ascii="宋体" w:hAnsi="宋体" w:eastAsia="宋体" w:cs="宋体"/>
                <w:color w:val="auto"/>
                <w:szCs w:val="21"/>
                <w:highlight w:val="none"/>
                <w:u w:val="single"/>
              </w:rPr>
              <w:t>/。</w:t>
            </w:r>
          </w:p>
          <w:p w14:paraId="4E7F4B4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C69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6748D9D">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1.12.1</w:t>
            </w:r>
          </w:p>
        </w:tc>
        <w:tc>
          <w:tcPr>
            <w:tcW w:w="1065" w:type="pct"/>
            <w:vAlign w:val="center"/>
          </w:tcPr>
          <w:p w14:paraId="095D4C39">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2" w:type="pct"/>
            <w:vAlign w:val="center"/>
          </w:tcPr>
          <w:p w14:paraId="038661D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13FB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CED4A9F">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065" w:type="pct"/>
            <w:vAlign w:val="center"/>
          </w:tcPr>
          <w:p w14:paraId="6117A25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2" w:type="pct"/>
            <w:vAlign w:val="center"/>
          </w:tcPr>
          <w:p w14:paraId="465C168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343AD9BF">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hint="eastAsia" w:ascii="宋体" w:hAnsi="宋体" w:eastAsia="宋体" w:cs="宋体"/>
                <w:color w:val="auto"/>
                <w:szCs w:val="21"/>
                <w:highlight w:val="none"/>
                <w:u w:val="single"/>
              </w:rPr>
              <w:t>/。</w:t>
            </w:r>
          </w:p>
          <w:p w14:paraId="5E91DA94">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hint="eastAsia" w:ascii="宋体" w:hAnsi="宋体" w:eastAsia="宋体" w:cs="宋体"/>
                <w:color w:val="auto"/>
                <w:szCs w:val="21"/>
                <w:highlight w:val="none"/>
                <w:u w:val="single"/>
              </w:rPr>
              <w:t>/。</w:t>
            </w:r>
          </w:p>
        </w:tc>
      </w:tr>
      <w:tr w14:paraId="123D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8F4162B">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065" w:type="pct"/>
            <w:vAlign w:val="center"/>
          </w:tcPr>
          <w:p w14:paraId="50BB4EB2">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2" w:type="pct"/>
            <w:vAlign w:val="center"/>
          </w:tcPr>
          <w:p w14:paraId="467A743C">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75A9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9C5968F">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065" w:type="pct"/>
            <w:vAlign w:val="center"/>
          </w:tcPr>
          <w:p w14:paraId="30DD8D0C">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2" w:type="pct"/>
            <w:vAlign w:val="center"/>
          </w:tcPr>
          <w:p w14:paraId="48B824F3">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年   月   日   时前。</w:t>
            </w:r>
          </w:p>
          <w:p w14:paraId="1BC82898">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的疑问通过广州交易集团有限公司（广州公共资源交易中心）网站提交。</w:t>
            </w:r>
          </w:p>
          <w:p w14:paraId="221D7E33">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7CC9A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1" w:type="pct"/>
            <w:vAlign w:val="center"/>
          </w:tcPr>
          <w:p w14:paraId="3115209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065" w:type="pct"/>
            <w:vAlign w:val="center"/>
          </w:tcPr>
          <w:p w14:paraId="27D67B07">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2" w:type="pct"/>
            <w:vAlign w:val="center"/>
          </w:tcPr>
          <w:p w14:paraId="69CDD70D">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 15 天前。</w:t>
            </w:r>
          </w:p>
        </w:tc>
      </w:tr>
      <w:tr w14:paraId="25090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91791B3">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065" w:type="pct"/>
            <w:vAlign w:val="center"/>
          </w:tcPr>
          <w:p w14:paraId="1B8152D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2" w:type="pct"/>
            <w:vAlign w:val="center"/>
          </w:tcPr>
          <w:p w14:paraId="52F15D21">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认为有必要提供的其他资料，格式自定。</w:t>
            </w:r>
          </w:p>
        </w:tc>
      </w:tr>
      <w:tr w14:paraId="4CE3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501CF1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065" w:type="pct"/>
            <w:vAlign w:val="center"/>
          </w:tcPr>
          <w:p w14:paraId="55A9695A">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2" w:type="pct"/>
            <w:vAlign w:val="center"/>
          </w:tcPr>
          <w:p w14:paraId="009E44EC">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的报价为含税报价。</w:t>
            </w:r>
          </w:p>
        </w:tc>
      </w:tr>
      <w:tr w14:paraId="4807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5A266D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065" w:type="pct"/>
            <w:vAlign w:val="center"/>
          </w:tcPr>
          <w:p w14:paraId="5A6B124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2" w:type="pct"/>
            <w:vAlign w:val="center"/>
          </w:tcPr>
          <w:p w14:paraId="28ECE201">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按招标文件第六章投标文件格式进行报价。</w:t>
            </w:r>
          </w:p>
        </w:tc>
      </w:tr>
      <w:tr w14:paraId="177E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DA49602">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065" w:type="pct"/>
            <w:vAlign w:val="center"/>
          </w:tcPr>
          <w:p w14:paraId="7B3B5142">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2" w:type="pct"/>
            <w:vAlign w:val="center"/>
          </w:tcPr>
          <w:p w14:paraId="408A541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475995BC">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 w:val="21"/>
                <w:szCs w:val="21"/>
                <w:highlight w:val="none"/>
                <w:u w:val="single"/>
              </w:rPr>
            </w:pPr>
            <w:r>
              <w:rPr>
                <w:rFonts w:hint="eastAsia" w:ascii="宋体" w:hAnsi="宋体" w:eastAsia="宋体" w:cs="宋体"/>
                <w:color w:val="auto"/>
                <w:szCs w:val="21"/>
                <w:highlight w:val="none"/>
              </w:rPr>
              <w:t>■有，</w:t>
            </w:r>
            <w:r>
              <w:rPr>
                <w:rFonts w:ascii="宋体" w:hAnsi="宋体" w:eastAsia="宋体" w:cs="Times New Roman"/>
                <w:color w:val="auto"/>
                <w:kern w:val="0"/>
                <w:sz w:val="21"/>
                <w:szCs w:val="21"/>
                <w:highlight w:val="none"/>
              </w:rPr>
              <w:t>最高投标限价：</w:t>
            </w:r>
            <w:r>
              <w:rPr>
                <w:rFonts w:hint="eastAsia" w:ascii="宋体" w:hAnsi="宋体" w:eastAsia="宋体" w:cs="Times New Roman"/>
                <w:b/>
                <w:bCs/>
                <w:color w:val="auto"/>
                <w:kern w:val="0"/>
                <w:sz w:val="21"/>
                <w:szCs w:val="21"/>
                <w:highlight w:val="none"/>
                <w:u w:val="single"/>
                <w:lang w:val="en-US" w:eastAsia="zh-CN"/>
              </w:rPr>
              <w:t xml:space="preserve"> 593.69 </w:t>
            </w:r>
            <w:r>
              <w:rPr>
                <w:rFonts w:hint="eastAsia" w:ascii="宋体" w:hAnsi="宋体" w:eastAsia="宋体" w:cs="Times New Roman"/>
                <w:b/>
                <w:bCs/>
                <w:color w:val="auto"/>
                <w:kern w:val="0"/>
                <w:sz w:val="21"/>
                <w:szCs w:val="21"/>
                <w:highlight w:val="none"/>
              </w:rPr>
              <w:t>万</w:t>
            </w:r>
            <w:bookmarkStart w:id="226" w:name="_GoBack"/>
            <w:bookmarkEnd w:id="226"/>
            <w:r>
              <w:rPr>
                <w:rFonts w:hint="eastAsia" w:ascii="宋体" w:hAnsi="宋体" w:eastAsia="宋体" w:cs="Times New Roman"/>
                <w:b/>
                <w:bCs/>
                <w:color w:val="auto"/>
                <w:kern w:val="0"/>
                <w:sz w:val="21"/>
                <w:szCs w:val="21"/>
                <w:highlight w:val="none"/>
              </w:rPr>
              <w:t>元</w:t>
            </w:r>
            <w:r>
              <w:rPr>
                <w:rFonts w:hint="eastAsia" w:ascii="宋体" w:hAnsi="宋体" w:eastAsia="宋体" w:cs="Times New Roman"/>
                <w:color w:val="auto"/>
                <w:kern w:val="0"/>
                <w:sz w:val="21"/>
                <w:szCs w:val="21"/>
                <w:highlight w:val="none"/>
              </w:rPr>
              <w:t>。</w:t>
            </w:r>
          </w:p>
          <w:p w14:paraId="487C40F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注：投标报价由</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根据招标文件要求以及企业自身情况填报。</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未按要求报价或投标报价超过上述相应最高投标限价的为无效标。</w:t>
            </w:r>
          </w:p>
        </w:tc>
      </w:tr>
      <w:tr w14:paraId="7CE0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78BC22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1065" w:type="pct"/>
            <w:vAlign w:val="center"/>
          </w:tcPr>
          <w:p w14:paraId="5FBD455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2" w:type="pct"/>
            <w:vAlign w:val="center"/>
          </w:tcPr>
          <w:p w14:paraId="144D0350">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lang w:bidi="ar"/>
              </w:rPr>
              <w:t>所有报价均以人民币表示，以元为单位，保留小数点后两位小数，第三位小数四舍五入。</w:t>
            </w:r>
          </w:p>
        </w:tc>
      </w:tr>
      <w:tr w14:paraId="065B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0BB27D40">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065" w:type="pct"/>
            <w:vAlign w:val="center"/>
          </w:tcPr>
          <w:p w14:paraId="4363C407">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2" w:type="pct"/>
            <w:vAlign w:val="center"/>
          </w:tcPr>
          <w:p w14:paraId="7402AF2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u w:val="single"/>
                <w:lang w:val="en-US" w:eastAsia="zh-CN"/>
              </w:rPr>
              <w:t>120</w:t>
            </w:r>
            <w:r>
              <w:rPr>
                <w:rFonts w:hint="eastAsia" w:ascii="宋体" w:hAnsi="宋体" w:eastAsia="宋体" w:cs="宋体"/>
                <w:color w:val="auto"/>
                <w:szCs w:val="21"/>
                <w:highlight w:val="none"/>
              </w:rPr>
              <w:t>日历天（从投标截止之日计起）</w:t>
            </w:r>
          </w:p>
        </w:tc>
      </w:tr>
      <w:tr w14:paraId="755A1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295EC0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065" w:type="pct"/>
            <w:vAlign w:val="center"/>
          </w:tcPr>
          <w:p w14:paraId="59914A1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2" w:type="pct"/>
            <w:vAlign w:val="center"/>
          </w:tcPr>
          <w:p w14:paraId="0331144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是否要求</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递交投标保证金：</w:t>
            </w:r>
          </w:p>
          <w:p w14:paraId="6233F81B">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，投标保证金的金额：</w:t>
            </w:r>
            <w:r>
              <w:rPr>
                <w:rFonts w:hint="eastAsia" w:ascii="宋体" w:hAnsi="宋体" w:eastAsia="宋体" w:cs="宋体"/>
                <w:color w:val="auto"/>
                <w:kern w:val="0"/>
                <w:szCs w:val="21"/>
                <w:highlight w:val="none"/>
                <w:u w:val="single"/>
                <w:lang w:val="zh-CN"/>
              </w:rPr>
              <w:t>/。</w:t>
            </w:r>
          </w:p>
          <w:p w14:paraId="60870439">
            <w:pPr>
              <w:keepNext w:val="0"/>
              <w:keepLines w:val="0"/>
              <w:pageBreakBefore w:val="0"/>
              <w:widowControl/>
              <w:kinsoku/>
              <w:wordWrap w:val="0"/>
              <w:overflowPunct/>
              <w:topLinePunct/>
              <w:bidi w:val="0"/>
              <w:adjustRightInd/>
              <w:snapToGrid/>
              <w:spacing w:line="360" w:lineRule="auto"/>
              <w:ind w:firstLine="840" w:firstLineChars="400"/>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投标保证金的形式：</w:t>
            </w:r>
            <w:r>
              <w:rPr>
                <w:rFonts w:hint="eastAsia" w:ascii="宋体" w:hAnsi="宋体" w:eastAsia="宋体" w:cs="宋体"/>
                <w:color w:val="auto"/>
                <w:kern w:val="0"/>
                <w:szCs w:val="21"/>
                <w:highlight w:val="none"/>
                <w:u w:val="single"/>
                <w:lang w:val="zh-CN"/>
              </w:rPr>
              <w:t>/。</w:t>
            </w:r>
          </w:p>
          <w:p w14:paraId="4B8120C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1F410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AF1562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1065" w:type="pct"/>
            <w:vAlign w:val="center"/>
          </w:tcPr>
          <w:p w14:paraId="12A44FC8">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其他可以不予退还投标保证金的情形</w:t>
            </w:r>
          </w:p>
        </w:tc>
        <w:tc>
          <w:tcPr>
            <w:tcW w:w="3492" w:type="pct"/>
            <w:vAlign w:val="center"/>
          </w:tcPr>
          <w:p w14:paraId="711848A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7EF9D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0D425C9A">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1065" w:type="pct"/>
            <w:vAlign w:val="center"/>
          </w:tcPr>
          <w:p w14:paraId="29DFFB87">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2" w:type="pct"/>
            <w:vAlign w:val="center"/>
          </w:tcPr>
          <w:p w14:paraId="3D6C012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3A1E8EA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326F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675A724">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065" w:type="pct"/>
            <w:vAlign w:val="center"/>
          </w:tcPr>
          <w:p w14:paraId="775F9C8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3492" w:type="pct"/>
            <w:vAlign w:val="center"/>
          </w:tcPr>
          <w:p w14:paraId="52B0E27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1AB3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8FB2A5F">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065" w:type="pct"/>
            <w:vAlign w:val="center"/>
          </w:tcPr>
          <w:p w14:paraId="4F06EC9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2" w:type="pct"/>
            <w:vAlign w:val="center"/>
          </w:tcPr>
          <w:p w14:paraId="6397F247">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02BC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FD7EB21">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065" w:type="pct"/>
            <w:vAlign w:val="center"/>
          </w:tcPr>
          <w:p w14:paraId="280A06E5">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2" w:type="pct"/>
            <w:vAlign w:val="center"/>
          </w:tcPr>
          <w:p w14:paraId="44D3F37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468DC1B4">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7623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F28CE11">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065" w:type="pct"/>
            <w:vAlign w:val="center"/>
          </w:tcPr>
          <w:p w14:paraId="65FA12B0">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2" w:type="pct"/>
            <w:vAlign w:val="center"/>
          </w:tcPr>
          <w:p w14:paraId="371C052C">
            <w:pPr>
              <w:keepNext w:val="0"/>
              <w:keepLines w:val="0"/>
              <w:pageBreakBefore w:val="0"/>
              <w:kinsoku/>
              <w:wordWrap w:val="0"/>
              <w:overflowPunct/>
              <w:bidi w:val="0"/>
              <w:adjustRightInd/>
              <w:snapToGrid/>
              <w:spacing w:line="360" w:lineRule="auto"/>
              <w:textAlignment w:val="auto"/>
              <w:rPr>
                <w:rFonts w:ascii="宋体" w:hAnsi="宋体" w:eastAsia="宋体"/>
                <w:color w:val="auto"/>
                <w:szCs w:val="24"/>
                <w:highlight w:val="none"/>
                <w:u w:val="single"/>
              </w:rPr>
            </w:pPr>
            <w:r>
              <w:rPr>
                <w:rFonts w:hint="default" w:ascii="宋体" w:hAnsi="宋体" w:eastAsia="宋体"/>
                <w:color w:val="auto"/>
                <w:sz w:val="21"/>
                <w:szCs w:val="24"/>
                <w:highlight w:val="none"/>
                <w:u w:val="single"/>
              </w:rPr>
              <w:t>投标文件格式规定需个人签字的，应签字或签章后扫描上传</w:t>
            </w:r>
            <w:r>
              <w:rPr>
                <w:rFonts w:hint="eastAsia"/>
                <w:color w:val="auto"/>
                <w:kern w:val="2"/>
                <w:sz w:val="21"/>
                <w:szCs w:val="21"/>
                <w:highlight w:val="none"/>
                <w:u w:val="single"/>
                <w:lang w:val="en-US" w:eastAsia="zh-CN"/>
              </w:rPr>
              <w:t>（</w:t>
            </w:r>
            <w:r>
              <w:rPr>
                <w:rFonts w:hint="default" w:ascii="Calibri" w:hAnsi="Calibri" w:eastAsia="宋体" w:cs="Times New Roman"/>
                <w:color w:val="auto"/>
                <w:kern w:val="2"/>
                <w:sz w:val="21"/>
                <w:szCs w:val="24"/>
                <w:highlight w:val="none"/>
                <w:u w:val="single"/>
                <w:lang w:val="en-US" w:eastAsia="zh-CN" w:bidi="ar-SA"/>
              </w:rPr>
              <w:t>可靠的电子签名与手写签名或者盖章具有同等的法律效力</w:t>
            </w:r>
            <w:r>
              <w:rPr>
                <w:rFonts w:hint="eastAsia"/>
                <w:color w:val="auto"/>
                <w:kern w:val="2"/>
                <w:sz w:val="21"/>
                <w:szCs w:val="21"/>
                <w:highlight w:val="none"/>
                <w:u w:val="single"/>
                <w:lang w:val="en-US" w:eastAsia="zh-CN"/>
              </w:rPr>
              <w:t>）</w:t>
            </w:r>
            <w:r>
              <w:rPr>
                <w:rFonts w:hint="default" w:ascii="宋体" w:hAnsi="宋体" w:eastAsia="宋体"/>
                <w:color w:val="auto"/>
                <w:sz w:val="21"/>
                <w:szCs w:val="24"/>
                <w:highlight w:val="none"/>
                <w:u w:val="single"/>
              </w:rPr>
              <w:t>。投标文件格式规定盖单位公章的页面必须盖单位公章</w:t>
            </w:r>
            <w:r>
              <w:rPr>
                <w:rFonts w:hint="eastAsia" w:ascii="宋体" w:hAnsi="宋体" w:eastAsia="宋体"/>
                <w:color w:val="auto"/>
                <w:sz w:val="21"/>
                <w:szCs w:val="24"/>
                <w:highlight w:val="none"/>
                <w:u w:val="single"/>
                <w:lang w:val="en-US" w:eastAsia="zh-CN"/>
              </w:rPr>
              <w:t>或电子公章</w:t>
            </w:r>
            <w:r>
              <w:rPr>
                <w:rFonts w:hint="default" w:ascii="宋体" w:hAnsi="宋体" w:eastAsia="宋体"/>
                <w:color w:val="auto"/>
                <w:sz w:val="21"/>
                <w:szCs w:val="24"/>
                <w:highlight w:val="none"/>
                <w:u w:val="single"/>
              </w:rPr>
              <w:t>（公章与电子公章具有相同法律效力）</w:t>
            </w:r>
            <w:r>
              <w:rPr>
                <w:rFonts w:hint="eastAsia" w:ascii="宋体" w:hAnsi="宋体" w:eastAsia="宋体"/>
                <w:color w:val="auto"/>
                <w:sz w:val="21"/>
                <w:szCs w:val="24"/>
                <w:highlight w:val="none"/>
                <w:u w:val="single"/>
                <w:lang w:eastAsia="zh-CN"/>
              </w:rPr>
              <w:t>。</w:t>
            </w:r>
          </w:p>
        </w:tc>
      </w:tr>
      <w:tr w14:paraId="33B8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07C9380">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065" w:type="pct"/>
            <w:vAlign w:val="center"/>
          </w:tcPr>
          <w:p w14:paraId="5E56EC3D">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封套上应载明的信息（适用于提交备用光盘或U盘的情况）</w:t>
            </w:r>
          </w:p>
        </w:tc>
        <w:tc>
          <w:tcPr>
            <w:tcW w:w="3492" w:type="pct"/>
            <w:shd w:val="clear" w:color="auto" w:fill="auto"/>
            <w:vAlign w:val="center"/>
          </w:tcPr>
          <w:p w14:paraId="723FADC4">
            <w:pPr>
              <w:keepNext w:val="0"/>
              <w:keepLines w:val="0"/>
              <w:pageBreakBefore w:val="0"/>
              <w:kinsoku/>
              <w:wordWrap w:val="0"/>
              <w:overflowPunct/>
              <w:bidi w:val="0"/>
              <w:adjustRightInd/>
              <w:snapToGrid/>
              <w:spacing w:line="360" w:lineRule="auto"/>
              <w:textAlignment w:val="auto"/>
              <w:rPr>
                <w:rFonts w:hint="eastAsia" w:ascii="宋体" w:hAnsi="宋体" w:eastAsia="宋体"/>
                <w:color w:val="auto"/>
                <w:szCs w:val="24"/>
                <w:highlight w:val="none"/>
                <w:u w:val="single"/>
                <w:lang w:val="en-US" w:eastAsia="zh-CN"/>
              </w:rPr>
            </w:pPr>
            <w:r>
              <w:rPr>
                <w:rFonts w:hint="eastAsia" w:ascii="宋体" w:hAnsi="宋体" w:eastAsia="宋体"/>
                <w:color w:val="auto"/>
                <w:szCs w:val="24"/>
                <w:highlight w:val="none"/>
                <w:u w:val="single"/>
                <w:lang w:val="en-US" w:eastAsia="zh-CN"/>
              </w:rPr>
              <w:t>如有提交投标文件光盘备用，封套上应注明如下信息：</w:t>
            </w:r>
          </w:p>
          <w:p w14:paraId="2144AF8F">
            <w:pPr>
              <w:keepNext w:val="0"/>
              <w:keepLines w:val="0"/>
              <w:pageBreakBefore w:val="0"/>
              <w:kinsoku/>
              <w:wordWrap w:val="0"/>
              <w:overflowPunct/>
              <w:bidi w:val="0"/>
              <w:adjustRightInd/>
              <w:snapToGrid/>
              <w:spacing w:line="360" w:lineRule="auto"/>
              <w:textAlignment w:val="auto"/>
              <w:rPr>
                <w:rFonts w:hint="eastAsia" w:ascii="宋体" w:hAnsi="宋体" w:eastAsia="宋体"/>
                <w:color w:val="auto"/>
                <w:szCs w:val="24"/>
                <w:highlight w:val="none"/>
                <w:u w:val="single"/>
                <w:lang w:val="en-US" w:eastAsia="zh-CN"/>
              </w:rPr>
            </w:pPr>
            <w:r>
              <w:rPr>
                <w:rFonts w:hint="eastAsia" w:ascii="宋体" w:hAnsi="宋体" w:eastAsia="宋体"/>
                <w:color w:val="auto"/>
                <w:szCs w:val="24"/>
                <w:highlight w:val="none"/>
                <w:u w:val="single"/>
                <w:lang w:val="en-US" w:eastAsia="zh-CN"/>
              </w:rPr>
              <w:t>招标人名称：广州市花都区交通运输局</w:t>
            </w:r>
          </w:p>
          <w:p w14:paraId="4361DEBC">
            <w:pPr>
              <w:keepNext w:val="0"/>
              <w:keepLines w:val="0"/>
              <w:pageBreakBefore w:val="0"/>
              <w:kinsoku/>
              <w:wordWrap w:val="0"/>
              <w:overflowPunct/>
              <w:bidi w:val="0"/>
              <w:adjustRightInd/>
              <w:snapToGrid/>
              <w:spacing w:line="360" w:lineRule="auto"/>
              <w:textAlignment w:val="auto"/>
              <w:rPr>
                <w:rFonts w:hint="eastAsia" w:ascii="宋体" w:hAnsi="宋体" w:eastAsia="宋体"/>
                <w:color w:val="auto"/>
                <w:szCs w:val="24"/>
                <w:highlight w:val="none"/>
                <w:u w:val="single"/>
                <w:lang w:val="en-US" w:eastAsia="zh-CN"/>
              </w:rPr>
            </w:pPr>
            <w:r>
              <w:rPr>
                <w:rFonts w:hint="eastAsia" w:ascii="宋体" w:hAnsi="宋体" w:eastAsia="宋体"/>
                <w:color w:val="auto"/>
                <w:szCs w:val="24"/>
                <w:highlight w:val="none"/>
                <w:u w:val="single"/>
                <w:lang w:val="en-US" w:eastAsia="zh-CN"/>
              </w:rPr>
              <w:t>招标人地址：广州市花都区紫薇路23号交通运输局</w:t>
            </w:r>
          </w:p>
          <w:p w14:paraId="545AEEB1">
            <w:pPr>
              <w:keepNext w:val="0"/>
              <w:keepLines w:val="0"/>
              <w:pageBreakBefore w:val="0"/>
              <w:kinsoku/>
              <w:wordWrap w:val="0"/>
              <w:overflowPunct/>
              <w:bidi w:val="0"/>
              <w:adjustRightInd/>
              <w:snapToGrid/>
              <w:spacing w:line="360" w:lineRule="auto"/>
              <w:textAlignment w:val="auto"/>
              <w:rPr>
                <w:rFonts w:hint="eastAsia" w:ascii="宋体" w:hAnsi="宋体" w:eastAsia="宋体"/>
                <w:color w:val="auto"/>
                <w:szCs w:val="24"/>
                <w:highlight w:val="none"/>
                <w:u w:val="single"/>
                <w:lang w:val="en-US" w:eastAsia="zh-CN"/>
              </w:rPr>
            </w:pPr>
            <w:r>
              <w:rPr>
                <w:rFonts w:hint="eastAsia" w:ascii="宋体" w:hAnsi="宋体" w:eastAsia="宋体"/>
                <w:color w:val="auto"/>
                <w:szCs w:val="24"/>
                <w:highlight w:val="none"/>
                <w:u w:val="single"/>
                <w:lang w:val="en-US" w:eastAsia="zh-CN"/>
              </w:rPr>
              <w:t xml:space="preserve">         （工程名称）           投标文件</w:t>
            </w:r>
          </w:p>
          <w:p w14:paraId="2B77A115">
            <w:pPr>
              <w:keepNext w:val="0"/>
              <w:keepLines w:val="0"/>
              <w:pageBreakBefore w:val="0"/>
              <w:kinsoku/>
              <w:wordWrap w:val="0"/>
              <w:overflowPunct/>
              <w:bidi w:val="0"/>
              <w:adjustRightInd/>
              <w:snapToGrid/>
              <w:spacing w:line="360" w:lineRule="auto"/>
              <w:textAlignment w:val="auto"/>
              <w:rPr>
                <w:rFonts w:hint="eastAsia" w:ascii="宋体" w:hAnsi="宋体" w:eastAsia="宋体"/>
                <w:color w:val="auto"/>
                <w:szCs w:val="24"/>
                <w:highlight w:val="none"/>
                <w:u w:val="single"/>
                <w:lang w:val="en-US" w:eastAsia="zh-CN"/>
              </w:rPr>
            </w:pPr>
            <w:r>
              <w:rPr>
                <w:rFonts w:hint="eastAsia" w:ascii="宋体" w:hAnsi="宋体" w:eastAsia="宋体"/>
                <w:color w:val="auto"/>
                <w:szCs w:val="24"/>
                <w:highlight w:val="none"/>
                <w:u w:val="single"/>
                <w:lang w:val="en-US" w:eastAsia="zh-CN"/>
              </w:rPr>
              <w:t xml:space="preserve">招标项目编号：           </w:t>
            </w:r>
          </w:p>
          <w:p w14:paraId="6CA1112D">
            <w:pPr>
              <w:keepNext w:val="0"/>
              <w:keepLines w:val="0"/>
              <w:pageBreakBefore w:val="0"/>
              <w:kinsoku/>
              <w:wordWrap w:val="0"/>
              <w:overflowPunct/>
              <w:bidi w:val="0"/>
              <w:adjustRightInd/>
              <w:snapToGrid/>
              <w:spacing w:line="360" w:lineRule="auto"/>
              <w:textAlignment w:val="auto"/>
              <w:rPr>
                <w:rFonts w:ascii="Times New Roman" w:hAnsi="Times New Roman" w:eastAsia="宋体" w:cs="Times New Roman"/>
                <w:color w:val="auto"/>
                <w:kern w:val="0"/>
                <w:sz w:val="21"/>
                <w:szCs w:val="21"/>
                <w:highlight w:val="none"/>
                <w:lang w:val="en-US" w:eastAsia="zh-CN" w:bidi="ar-SA"/>
              </w:rPr>
            </w:pPr>
            <w:r>
              <w:rPr>
                <w:rFonts w:hint="eastAsia" w:ascii="宋体" w:hAnsi="宋体" w:eastAsia="宋体"/>
                <w:color w:val="auto"/>
                <w:szCs w:val="24"/>
                <w:highlight w:val="none"/>
                <w:u w:val="single"/>
                <w:lang w:val="en-US" w:eastAsia="zh-CN"/>
              </w:rPr>
              <w:t>在     年    月    日    时    分前不得开启</w:t>
            </w:r>
          </w:p>
        </w:tc>
      </w:tr>
      <w:tr w14:paraId="1DD5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23C6F9A">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065" w:type="pct"/>
            <w:vAlign w:val="center"/>
          </w:tcPr>
          <w:p w14:paraId="1D3D9BD5">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2" w:type="pct"/>
            <w:vAlign w:val="center"/>
          </w:tcPr>
          <w:p w14:paraId="52E6CF6A">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ascii="宋体" w:hAnsi="Times New Roman" w:eastAsia="宋体"/>
                <w:color w:val="auto"/>
                <w:szCs w:val="24"/>
                <w:highlight w:val="none"/>
              </w:rPr>
              <w:t>投标截止时间：</w:t>
            </w:r>
            <w:r>
              <w:rPr>
                <w:rFonts w:hint="eastAsia" w:ascii="宋体" w:hAnsi="宋体" w:eastAsia="宋体" w:cs="宋体"/>
                <w:color w:val="auto"/>
                <w:szCs w:val="21"/>
                <w:highlight w:val="none"/>
                <w:u w:val="single"/>
              </w:rPr>
              <w:t xml:space="preserve">   年   月    日   时   分</w:t>
            </w:r>
            <w:r>
              <w:rPr>
                <w:rFonts w:hint="eastAsia" w:ascii="宋体" w:hAnsi="宋体" w:eastAsia="宋体" w:cs="宋体"/>
                <w:color w:val="auto"/>
                <w:szCs w:val="21"/>
                <w:highlight w:val="none"/>
              </w:rPr>
              <w:t>（北京时间），以广州交易集团有限公司（广州公共资源交易中心）网站发布信息为准。</w:t>
            </w:r>
          </w:p>
        </w:tc>
      </w:tr>
      <w:tr w14:paraId="189A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DBF2EB0">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065" w:type="pct"/>
            <w:vAlign w:val="center"/>
          </w:tcPr>
          <w:p w14:paraId="5F7F9F55">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2" w:type="pct"/>
            <w:vAlign w:val="center"/>
          </w:tcPr>
          <w:p w14:paraId="5BD6B2A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00400FB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广州交易集团有限公司（广州公共资源交易中心）指定开标室，具体详见本项目公告的日程安排。</w:t>
            </w:r>
          </w:p>
          <w:p w14:paraId="7D9A5482">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建议安排在投标文件截止时间前 15 分钟至投标文件截止时间）</w:t>
            </w:r>
          </w:p>
          <w:p w14:paraId="24C7FA7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4.提交投标文件光盘备用</w:t>
            </w:r>
          </w:p>
          <w:p w14:paraId="1E6F4FE7">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（1）</w:t>
            </w:r>
            <w:r>
              <w:rPr>
                <w:rFonts w:hint="eastAsia" w:ascii="宋体" w:hAnsi="宋体" w:eastAsia="宋体" w:cs="宋体"/>
                <w:color w:val="auto"/>
                <w:szCs w:val="21"/>
                <w:highlight w:val="none"/>
                <w:u w:val="single"/>
                <w:lang w:eastAsia="zh-CN" w:bidi="ar"/>
              </w:rPr>
              <w:t>投标人</w:t>
            </w:r>
            <w:r>
              <w:rPr>
                <w:rFonts w:hint="eastAsia" w:ascii="宋体" w:hAnsi="宋体" w:eastAsia="宋体" w:cs="宋体"/>
                <w:color w:val="auto"/>
                <w:szCs w:val="21"/>
                <w:highlight w:val="none"/>
                <w:u w:val="single"/>
                <w:lang w:bidi="ar"/>
              </w:rPr>
              <w:t>可制作非加密的电子投标文件（PDF格式）刻入光盘（1份），在规定的时间、地点提交备用光盘。</w:t>
            </w:r>
          </w:p>
          <w:p w14:paraId="104AA59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（2）光盘按照</w:t>
            </w:r>
            <w:r>
              <w:rPr>
                <w:rFonts w:hint="eastAsia" w:ascii="宋体" w:hAnsi="宋体" w:eastAsia="宋体" w:cs="宋体"/>
                <w:color w:val="auto"/>
                <w:szCs w:val="21"/>
                <w:highlight w:val="none"/>
                <w:u w:val="single"/>
                <w:lang w:eastAsia="zh-CN" w:bidi="ar"/>
              </w:rPr>
              <w:t>投标人</w:t>
            </w:r>
            <w:r>
              <w:rPr>
                <w:rFonts w:hint="eastAsia" w:ascii="宋体" w:hAnsi="宋体" w:eastAsia="宋体" w:cs="宋体"/>
                <w:color w:val="auto"/>
                <w:szCs w:val="21"/>
                <w:highlight w:val="none"/>
                <w:u w:val="single"/>
                <w:lang w:bidi="ar"/>
              </w:rPr>
              <w:t>须知前附表4.1.2规定密封。递交的投标文件光盘（备用）不得加密。备用光盘无法读取或导入的，则视为未提交投标文件光盘（备用）。如果</w:t>
            </w:r>
            <w:r>
              <w:rPr>
                <w:rFonts w:hint="eastAsia" w:ascii="宋体" w:hAnsi="宋体" w:eastAsia="宋体" w:cs="宋体"/>
                <w:color w:val="auto"/>
                <w:szCs w:val="21"/>
                <w:highlight w:val="none"/>
                <w:u w:val="single"/>
                <w:lang w:eastAsia="zh-CN" w:bidi="ar"/>
              </w:rPr>
              <w:t>投标人</w:t>
            </w:r>
            <w:r>
              <w:rPr>
                <w:rFonts w:hint="eastAsia" w:ascii="宋体" w:hAnsi="宋体" w:eastAsia="宋体" w:cs="宋体"/>
                <w:color w:val="auto"/>
                <w:szCs w:val="21"/>
                <w:highlight w:val="none"/>
                <w:u w:val="single"/>
                <w:lang w:bidi="ar"/>
              </w:rPr>
              <w:t>没有按规定通过交易平台网上递交电子投标文件的，不再读取提交的光盘。</w:t>
            </w:r>
            <w:r>
              <w:rPr>
                <w:rFonts w:hint="eastAsia" w:ascii="宋体" w:hAnsi="宋体" w:eastAsia="宋体" w:cs="宋体"/>
                <w:color w:val="auto"/>
                <w:szCs w:val="21"/>
                <w:highlight w:val="none"/>
                <w:u w:val="single"/>
                <w:lang w:eastAsia="zh-CN" w:bidi="ar"/>
              </w:rPr>
              <w:t>投标人</w:t>
            </w:r>
            <w:r>
              <w:rPr>
                <w:rFonts w:hint="eastAsia" w:ascii="宋体" w:hAnsi="宋体" w:eastAsia="宋体" w:cs="宋体"/>
                <w:color w:val="auto"/>
                <w:szCs w:val="21"/>
                <w:highlight w:val="none"/>
                <w:u w:val="single"/>
                <w:lang w:bidi="ar"/>
              </w:rPr>
              <w:t>也可不提交投标文件光盘（备用）。</w:t>
            </w:r>
          </w:p>
          <w:p w14:paraId="66D1A59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5.补救方案</w:t>
            </w:r>
          </w:p>
          <w:p w14:paraId="6F13D8DD">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（1）投标文件解密失败的补救方案：在规定时间内，因</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之外原因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指网络瘫痪、服务器损坏、交易系统故障短期无法恢复</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导致的电子投标文件解密失败，在开标现场读取光盘内容，继续开标程序。评标委员会对其投标文件的评审以光盘内容为准。因</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之外原因解密失败且未递交电子光盘的，视为撤回投标文件。</w:t>
            </w:r>
          </w:p>
          <w:p w14:paraId="6B0D60F7">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递交的全部投标文件光盘，并按光盘内容进行评审。</w:t>
            </w:r>
          </w:p>
          <w:p w14:paraId="0BE5620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（3）除发生上述情况外，开标评标均以</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通过交易平台网上递交的电子投标文件为准。</w:t>
            </w:r>
          </w:p>
          <w:p w14:paraId="78E6D93F">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6.开标时，</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代表有权参加现场开标或在线开标，也可以自主决定不参加开标，</w:t>
            </w:r>
            <w:r>
              <w:rPr>
                <w:rFonts w:hint="eastAsia" w:ascii="宋体" w:hAnsi="宋体" w:eastAsia="宋体" w:cs="宋体"/>
                <w:color w:val="auto"/>
                <w:szCs w:val="21"/>
                <w:highlight w:val="none"/>
                <w:lang w:eastAsia="zh-CN" w:bidi="ar"/>
              </w:rPr>
              <w:t>投标人</w:t>
            </w:r>
            <w:r>
              <w:rPr>
                <w:rFonts w:hint="eastAsia" w:ascii="宋体" w:hAnsi="宋体" w:eastAsia="宋体" w:cs="宋体"/>
                <w:color w:val="auto"/>
                <w:szCs w:val="21"/>
                <w:highlight w:val="none"/>
                <w:lang w:bidi="ar"/>
              </w:rPr>
              <w:t>选择参加在线开标的，具体按照交易平台相关指南进行操作。</w:t>
            </w:r>
          </w:p>
          <w:p w14:paraId="049C6141">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7.上述时间及地点是否有改变，请密切留意补充公告或招标答疑纪要的相关信息。</w:t>
            </w:r>
          </w:p>
        </w:tc>
      </w:tr>
      <w:tr w14:paraId="387C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EBB417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065" w:type="pct"/>
            <w:vAlign w:val="center"/>
          </w:tcPr>
          <w:p w14:paraId="466C18B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2" w:type="pct"/>
            <w:vAlign w:val="center"/>
          </w:tcPr>
          <w:p w14:paraId="2DEDF84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bidi="ar"/>
              </w:rPr>
              <w:t>由招标人依法组建。</w:t>
            </w:r>
          </w:p>
        </w:tc>
      </w:tr>
      <w:tr w14:paraId="7155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11682045">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065" w:type="pct"/>
            <w:vAlign w:val="center"/>
          </w:tcPr>
          <w:p w14:paraId="4B4E33B1">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2" w:type="pct"/>
            <w:shd w:val="clear" w:color="auto" w:fill="auto"/>
            <w:vAlign w:val="center"/>
          </w:tcPr>
          <w:p w14:paraId="639E6DB9">
            <w:pPr>
              <w:keepNext w:val="0"/>
              <w:keepLines w:val="0"/>
              <w:pageBreakBefore w:val="0"/>
              <w:kinsoku/>
              <w:wordWrap w:val="0"/>
              <w:overflowPunct/>
              <w:bidi w:val="0"/>
              <w:adjustRightInd/>
              <w:snapToGrid/>
              <w:spacing w:line="360" w:lineRule="auto"/>
              <w:jc w:val="both"/>
              <w:textAlignment w:val="auto"/>
              <w:rPr>
                <w:rFonts w:asciiTheme="minorHAnsi" w:hAnsiTheme="minorHAnsi" w:eastAsiaTheme="minorEastAsia" w:cstheme="minorBidi"/>
                <w:color w:val="auto"/>
                <w:kern w:val="2"/>
                <w:sz w:val="21"/>
                <w:szCs w:val="21"/>
                <w:highlight w:val="none"/>
                <w:u w:val="single"/>
                <w:lang w:val="en-US" w:eastAsia="zh-CN" w:bidi="ar-SA"/>
              </w:rPr>
            </w:pPr>
            <w:r>
              <w:rPr>
                <w:rFonts w:hint="eastAsia" w:ascii="宋体" w:hAnsi="宋体" w:eastAsia="宋体" w:cs="宋体"/>
                <w:color w:val="auto"/>
                <w:szCs w:val="21"/>
                <w:highlight w:val="none"/>
                <w:lang w:bidi="ar"/>
              </w:rPr>
              <w:t>推荐3名中标候选人</w:t>
            </w:r>
          </w:p>
        </w:tc>
      </w:tr>
      <w:tr w14:paraId="4491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4BC4EFF">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065" w:type="pct"/>
            <w:vAlign w:val="center"/>
          </w:tcPr>
          <w:p w14:paraId="6092C316">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2" w:type="pct"/>
            <w:vAlign w:val="center"/>
          </w:tcPr>
          <w:p w14:paraId="0F768C2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4DC3F0D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日（不少于3日，最后一天应为工作日）</w:t>
            </w:r>
          </w:p>
        </w:tc>
      </w:tr>
      <w:tr w14:paraId="4C4D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274A2D98">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065" w:type="pct"/>
            <w:vAlign w:val="center"/>
          </w:tcPr>
          <w:p w14:paraId="2C51A6BF">
            <w:pPr>
              <w:keepNext w:val="0"/>
              <w:keepLines w:val="0"/>
              <w:pageBreakBefore w:val="0"/>
              <w:kinsoku/>
              <w:wordWrap w:val="0"/>
              <w:overflowPunct/>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是否授权评标委员会确定</w:t>
            </w:r>
            <w:r>
              <w:rPr>
                <w:rFonts w:hint="eastAsia" w:ascii="宋体" w:hAnsi="宋体" w:eastAsia="宋体" w:cs="宋体"/>
                <w:color w:val="auto"/>
                <w:szCs w:val="21"/>
                <w:highlight w:val="none"/>
                <w:lang w:eastAsia="zh-CN"/>
              </w:rPr>
              <w:t>投标人</w:t>
            </w:r>
          </w:p>
        </w:tc>
        <w:tc>
          <w:tcPr>
            <w:tcW w:w="3492" w:type="pct"/>
            <w:vAlign w:val="center"/>
          </w:tcPr>
          <w:p w14:paraId="14E471E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67DCEC4A">
            <w:pPr>
              <w:keepNext w:val="0"/>
              <w:keepLines w:val="0"/>
              <w:pageBreakBefore w:val="0"/>
              <w:kinsoku/>
              <w:wordWrap w:val="0"/>
              <w:overflowPunct/>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宋体"/>
                <w:color w:val="auto"/>
                <w:szCs w:val="21"/>
                <w:highlight w:val="none"/>
              </w:rPr>
              <w:t>■否</w:t>
            </w:r>
          </w:p>
        </w:tc>
      </w:tr>
      <w:tr w14:paraId="3C55B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7E3B1386">
            <w:pPr>
              <w:keepNext w:val="0"/>
              <w:keepLines w:val="0"/>
              <w:pageBreakBefore w:val="0"/>
              <w:kinsoku/>
              <w:wordWrap w:val="0"/>
              <w:overflowPunct/>
              <w:autoSpaceDE w:val="0"/>
              <w:autoSpaceDN w:val="0"/>
              <w:bidi w:val="0"/>
              <w:adjustRightInd/>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7.4</w:t>
            </w:r>
            <w:r>
              <w:rPr>
                <w:rFonts w:hint="eastAsia" w:ascii="宋体" w:hAnsi="宋体" w:eastAsia="宋体" w:cs="宋体"/>
                <w:color w:val="auto"/>
                <w:kern w:val="0"/>
                <w:szCs w:val="21"/>
                <w:highlight w:val="none"/>
                <w:lang w:val="en-US" w:eastAsia="zh-CN"/>
              </w:rPr>
              <w:t>.2</w:t>
            </w:r>
          </w:p>
        </w:tc>
        <w:tc>
          <w:tcPr>
            <w:tcW w:w="1065" w:type="pct"/>
            <w:vAlign w:val="center"/>
          </w:tcPr>
          <w:p w14:paraId="39D1DB07">
            <w:pPr>
              <w:keepNext w:val="0"/>
              <w:keepLines w:val="0"/>
              <w:pageBreakBefore w:val="0"/>
              <w:kinsoku/>
              <w:wordWrap w:val="0"/>
              <w:overflowPunct/>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w:t>
            </w:r>
          </w:p>
        </w:tc>
        <w:tc>
          <w:tcPr>
            <w:tcW w:w="3492" w:type="pct"/>
            <w:vAlign w:val="center"/>
          </w:tcPr>
          <w:p w14:paraId="451EE929">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7.4.2招标人根据评标委员会递交的评标报告，最终审定</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w:t>
            </w:r>
          </w:p>
          <w:p w14:paraId="4D9B1EE9">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7.4.2.1依法必须进行公开招标的项目，招标人应当确定排名第一的中标候选人为</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w:t>
            </w:r>
          </w:p>
          <w:p w14:paraId="7BB6993A">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7.4.2.2排名第一的中标候选人放弃中标、因不可抗力不能履行合同、不按照招标文件要求提交履约保证金，或者被查实存在影响中标结果的违法行为等情形，不符合中标条件的，招标人可按照评标委员会提出的中标候选人名单排序第二的中标候选人为</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，若排名第二的中标候选人出现前款所列的情形的，招标人可以确定排名第三的中标候选人为</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。若排名第一、二、三的中标候选人均存在上述情况的，则招标人依法重新招标。</w:t>
            </w:r>
          </w:p>
          <w:p w14:paraId="75F41F94">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7.4.2.3重新评标的，评标信息（含业绩、奖项等）仍以投标截止时</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的信息为准。因特殊原因需要延长投标有效期，</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拒绝延长投标有效期的，仍参与评标，但不被推荐为中标候选人。</w:t>
            </w:r>
          </w:p>
        </w:tc>
      </w:tr>
      <w:tr w14:paraId="588C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3E366B3F">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1065" w:type="pct"/>
            <w:vAlign w:val="center"/>
          </w:tcPr>
          <w:p w14:paraId="7A913CC8">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2" w:type="pct"/>
            <w:vAlign w:val="center"/>
          </w:tcPr>
          <w:p w14:paraId="287AC16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435A992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hint="eastAsia" w:ascii="宋体" w:hAnsi="宋体" w:eastAsia="宋体" w:cs="宋体"/>
                <w:color w:val="auto"/>
                <w:szCs w:val="21"/>
                <w:highlight w:val="none"/>
                <w:u w:val="single"/>
              </w:rPr>
              <w:t>按合同约定。</w:t>
            </w:r>
          </w:p>
          <w:p w14:paraId="442E30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合同暂定（含税）总价的10%</w:t>
            </w:r>
            <w:r>
              <w:rPr>
                <w:rFonts w:hint="eastAsia" w:ascii="宋体" w:hAnsi="宋体" w:eastAsia="宋体" w:cs="宋体"/>
                <w:color w:val="auto"/>
                <w:szCs w:val="21"/>
                <w:highlight w:val="none"/>
                <w:u w:val="single"/>
              </w:rPr>
              <w:t>。</w:t>
            </w:r>
          </w:p>
          <w:p w14:paraId="4B0E6243">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5EC3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70B0ED2">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065" w:type="pct"/>
            <w:vAlign w:val="center"/>
          </w:tcPr>
          <w:p w14:paraId="42F6D8D9">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2" w:type="pct"/>
            <w:vAlign w:val="center"/>
          </w:tcPr>
          <w:p w14:paraId="4D0956B9">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6228A244">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2F22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53AEFD79">
            <w:pPr>
              <w:keepNext w:val="0"/>
              <w:keepLines w:val="0"/>
              <w:pageBreakBefore w:val="0"/>
              <w:kinsoku/>
              <w:wordWrap w:val="0"/>
              <w:overflowPunct/>
              <w:autoSpaceDE w:val="0"/>
              <w:autoSpaceDN w:val="0"/>
              <w:bidi w:val="0"/>
              <w:adjustRightInd/>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u w:val="single"/>
                <w:lang w:val="en-US" w:eastAsia="zh-CN"/>
              </w:rPr>
              <w:t>11</w:t>
            </w:r>
          </w:p>
        </w:tc>
        <w:tc>
          <w:tcPr>
            <w:tcW w:w="4558" w:type="pct"/>
            <w:gridSpan w:val="2"/>
            <w:vAlign w:val="center"/>
          </w:tcPr>
          <w:p w14:paraId="40945BD6">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4185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361B0D99">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.1</w:t>
            </w:r>
          </w:p>
        </w:tc>
        <w:tc>
          <w:tcPr>
            <w:tcW w:w="1065" w:type="pct"/>
            <w:vAlign w:val="center"/>
          </w:tcPr>
          <w:p w14:paraId="08D8C5F4">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2"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33E0A4BD">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r>
              <w:rPr>
                <w:rFonts w:hint="eastAsia" w:ascii="宋体" w:hAnsi="宋体" w:eastAsia="宋体" w:cs="宋体"/>
                <w:color w:val="auto"/>
                <w:szCs w:val="21"/>
                <w:highlight w:val="none"/>
                <w:u w:val="single"/>
                <w:lang w:eastAsia="zh-CN"/>
              </w:rPr>
              <w:t>；</w:t>
            </w:r>
          </w:p>
          <w:p w14:paraId="75F94EA8">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）涉嫌使用虚假财务报表；</w:t>
            </w:r>
          </w:p>
          <w:p w14:paraId="51BE3AC6">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lang w:eastAsia="zh-CN"/>
              </w:rPr>
              <w:t>）不同投标人投标工程量清单XML文件记录的</w:t>
            </w:r>
            <w:r>
              <w:rPr>
                <w:rFonts w:hint="eastAsia" w:ascii="宋体" w:hAnsi="宋体" w:eastAsia="宋体" w:cs="宋体"/>
                <w:color w:val="auto"/>
                <w:szCs w:val="21"/>
                <w:highlight w:val="none"/>
                <w:u w:val="single"/>
                <w:lang w:val="en-US" w:eastAsia="zh-CN"/>
              </w:rPr>
              <w:t>编制</w:t>
            </w:r>
            <w:r>
              <w:rPr>
                <w:rFonts w:hint="eastAsia" w:ascii="宋体" w:hAnsi="宋体" w:eastAsia="宋体" w:cs="宋体"/>
                <w:color w:val="auto"/>
                <w:szCs w:val="21"/>
                <w:highlight w:val="none"/>
                <w:u w:val="single"/>
                <w:lang w:eastAsia="zh-CN"/>
              </w:rPr>
              <w:t>软件码或</w:t>
            </w:r>
            <w:r>
              <w:rPr>
                <w:rFonts w:hint="eastAsia" w:ascii="宋体" w:hAnsi="宋体" w:eastAsia="宋体" w:cs="宋体"/>
                <w:color w:val="auto"/>
                <w:szCs w:val="21"/>
                <w:highlight w:val="none"/>
                <w:u w:val="single"/>
                <w:lang w:val="en-US" w:eastAsia="zh-CN"/>
              </w:rPr>
              <w:t>编制</w:t>
            </w:r>
            <w:r>
              <w:rPr>
                <w:rFonts w:hint="eastAsia" w:ascii="宋体" w:hAnsi="宋体" w:eastAsia="宋体" w:cs="宋体"/>
                <w:color w:val="auto"/>
                <w:szCs w:val="21"/>
                <w:highlight w:val="none"/>
                <w:u w:val="single"/>
                <w:lang w:eastAsia="zh-CN"/>
              </w:rPr>
              <w:t>机器硬件特征码相同；</w:t>
            </w:r>
          </w:p>
          <w:p w14:paraId="3798EC61">
            <w:pPr>
              <w:wordWrap w:val="0"/>
              <w:spacing w:line="276"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计价软件权属人与投标人不一致；</w:t>
            </w:r>
          </w:p>
          <w:p w14:paraId="5590494C">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lang w:eastAsia="zh-CN"/>
              </w:rPr>
              <w:t>）不同投标人打包上传投标文件的硬件特征码相同；</w:t>
            </w:r>
          </w:p>
          <w:p w14:paraId="0DB01FA9">
            <w:pPr>
              <w:wordWrap w:val="0"/>
              <w:spacing w:line="276"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不同投标人软件安装码相同；</w:t>
            </w:r>
          </w:p>
          <w:p w14:paraId="5800634C">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）被授权代理人在其他单位购买社保；</w:t>
            </w:r>
          </w:p>
          <w:p w14:paraId="0195EC87">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u w:val="single"/>
                <w:lang w:eastAsia="zh-CN"/>
              </w:rPr>
              <w:t>）投标登记</w:t>
            </w:r>
            <w:r>
              <w:rPr>
                <w:rFonts w:hint="eastAsia" w:ascii="宋体" w:hAnsi="宋体" w:eastAsia="宋体" w:cs="宋体"/>
                <w:color w:val="auto"/>
                <w:szCs w:val="21"/>
                <w:highlight w:val="none"/>
                <w:u w:val="single"/>
                <w:lang w:val="en-US" w:eastAsia="zh-CN"/>
              </w:rPr>
              <w:t>人</w:t>
            </w:r>
            <w:r>
              <w:rPr>
                <w:rFonts w:hint="eastAsia" w:ascii="宋体" w:hAnsi="宋体" w:eastAsia="宋体" w:cs="宋体"/>
                <w:color w:val="auto"/>
                <w:szCs w:val="21"/>
                <w:highlight w:val="none"/>
                <w:u w:val="single"/>
                <w:lang w:eastAsia="zh-CN"/>
              </w:rPr>
              <w:t>员电话号码相同；</w:t>
            </w:r>
          </w:p>
          <w:p w14:paraId="27963CE5">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17</w:t>
            </w:r>
            <w:r>
              <w:rPr>
                <w:rFonts w:hint="eastAsia" w:ascii="宋体" w:hAnsi="宋体" w:eastAsia="宋体" w:cs="宋体"/>
                <w:color w:val="auto"/>
                <w:szCs w:val="21"/>
                <w:highlight w:val="none"/>
                <w:u w:val="single"/>
                <w:lang w:eastAsia="zh-CN"/>
              </w:rPr>
              <w:t>）被授权代理人社保缴存单位为同</w:t>
            </w:r>
            <w:r>
              <w:rPr>
                <w:rFonts w:hint="eastAsia" w:ascii="宋体" w:hAnsi="宋体" w:eastAsia="宋体" w:cs="宋体"/>
                <w:color w:val="auto"/>
                <w:szCs w:val="21"/>
                <w:highlight w:val="none"/>
                <w:u w:val="single"/>
                <w:lang w:val="en-US" w:eastAsia="zh-CN"/>
              </w:rPr>
              <w:t>一</w:t>
            </w:r>
            <w:r>
              <w:rPr>
                <w:rFonts w:hint="eastAsia" w:ascii="宋体" w:hAnsi="宋体" w:eastAsia="宋体" w:cs="宋体"/>
                <w:color w:val="auto"/>
                <w:szCs w:val="21"/>
                <w:highlight w:val="none"/>
                <w:u w:val="single"/>
                <w:lang w:eastAsia="zh-CN"/>
              </w:rPr>
              <w:t>非投标人；</w:t>
            </w:r>
          </w:p>
          <w:p w14:paraId="178BFDD0">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18</w:t>
            </w:r>
            <w:r>
              <w:rPr>
                <w:rFonts w:hint="eastAsia" w:ascii="宋体" w:hAnsi="宋体" w:eastAsia="宋体" w:cs="宋体"/>
                <w:color w:val="auto"/>
                <w:szCs w:val="21"/>
                <w:highlight w:val="none"/>
                <w:u w:val="single"/>
                <w:lang w:eastAsia="zh-CN"/>
              </w:rPr>
              <w:t>）投标文件编制软件安装码相同；</w:t>
            </w:r>
          </w:p>
          <w:p w14:paraId="6E557F43">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19</w:t>
            </w:r>
            <w:r>
              <w:rPr>
                <w:rFonts w:hint="eastAsia" w:ascii="宋体" w:hAnsi="宋体" w:eastAsia="宋体" w:cs="宋体"/>
                <w:color w:val="auto"/>
                <w:szCs w:val="21"/>
                <w:highlight w:val="none"/>
                <w:u w:val="single"/>
                <w:lang w:eastAsia="zh-CN"/>
              </w:rPr>
              <w:t>）缴纳交易服务费经办人在其他单位购买社保</w:t>
            </w:r>
            <w:r>
              <w:rPr>
                <w:rFonts w:ascii="宋体" w:hAnsi="宋体" w:eastAsia="宋体" w:cs="宋体"/>
                <w:color w:val="auto"/>
                <w:szCs w:val="21"/>
                <w:highlight w:val="none"/>
                <w:u w:val="single"/>
              </w:rPr>
              <w:t>。</w:t>
            </w:r>
          </w:p>
        </w:tc>
      </w:tr>
      <w:tr w14:paraId="4D41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4EEE9F83">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.2</w:t>
            </w:r>
          </w:p>
        </w:tc>
        <w:tc>
          <w:tcPr>
            <w:tcW w:w="1065" w:type="pct"/>
            <w:vAlign w:val="center"/>
          </w:tcPr>
          <w:p w14:paraId="16BD8832">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招标失败的情形</w:t>
            </w:r>
          </w:p>
        </w:tc>
        <w:tc>
          <w:tcPr>
            <w:tcW w:w="3492" w:type="pct"/>
            <w:vAlign w:val="center"/>
          </w:tcPr>
          <w:p w14:paraId="417FA9D5">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参与投标的家数不足3家，或者评标时通过形式评审或资格评审或响应性评审的</w:t>
            </w:r>
            <w:r>
              <w:rPr>
                <w:rFonts w:hint="eastAsia" w:ascii="宋体" w:hAnsi="宋体" w:eastAsia="宋体" w:cs="宋体"/>
                <w:color w:val="auto"/>
                <w:szCs w:val="21"/>
                <w:highlight w:val="none"/>
                <w:u w:val="single"/>
                <w:lang w:eastAsia="zh-CN"/>
              </w:rPr>
              <w:t>投标人</w:t>
            </w:r>
            <w:r>
              <w:rPr>
                <w:rFonts w:hint="eastAsia" w:ascii="宋体" w:hAnsi="宋体" w:eastAsia="宋体" w:cs="宋体"/>
                <w:color w:val="auto"/>
                <w:szCs w:val="21"/>
                <w:highlight w:val="none"/>
                <w:u w:val="single"/>
              </w:rPr>
              <w:t>家数不足3家时为招标失败。招标人分析招标失败原因，修正招标方案，按相关规定重新组织招标。</w:t>
            </w:r>
          </w:p>
        </w:tc>
      </w:tr>
      <w:tr w14:paraId="7D5E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16440CCC">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u w:val="single"/>
              </w:rPr>
              <w:t>.3</w:t>
            </w:r>
          </w:p>
        </w:tc>
        <w:tc>
          <w:tcPr>
            <w:tcW w:w="1065" w:type="pct"/>
            <w:vAlign w:val="center"/>
          </w:tcPr>
          <w:p w14:paraId="23B73C02">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2" w:type="pct"/>
            <w:vAlign w:val="center"/>
          </w:tcPr>
          <w:p w14:paraId="64784A4E">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bidi="ar"/>
              </w:rPr>
              <w:t>1.</w:t>
            </w:r>
            <w:r>
              <w:rPr>
                <w:rFonts w:hint="eastAsia" w:ascii="宋体" w:hAnsi="宋体" w:eastAsia="宋体" w:cs="宋体"/>
                <w:color w:val="auto"/>
                <w:szCs w:val="21"/>
                <w:highlight w:val="none"/>
                <w:u w:val="single"/>
                <w:lang w:bidi="ar"/>
              </w:rPr>
              <w:t>招标公告、招标文件、答疑纪要等招标资料全部发布在广州交易集团有限公司（广州公共资源交易中心）网站，由</w:t>
            </w:r>
            <w:r>
              <w:rPr>
                <w:rFonts w:hint="eastAsia" w:ascii="宋体" w:hAnsi="宋体" w:eastAsia="宋体" w:cs="宋体"/>
                <w:color w:val="auto"/>
                <w:szCs w:val="21"/>
                <w:highlight w:val="none"/>
                <w:u w:val="single"/>
                <w:lang w:eastAsia="zh-CN" w:bidi="ar"/>
              </w:rPr>
              <w:t>投标人</w:t>
            </w:r>
            <w:r>
              <w:rPr>
                <w:rFonts w:hint="eastAsia" w:ascii="宋体" w:hAnsi="宋体" w:eastAsia="宋体" w:cs="宋体"/>
                <w:color w:val="auto"/>
                <w:szCs w:val="21"/>
                <w:highlight w:val="none"/>
                <w:u w:val="single"/>
                <w:lang w:bidi="ar"/>
              </w:rPr>
              <w:t>自行下载查阅。</w:t>
            </w:r>
          </w:p>
          <w:p w14:paraId="46BC3537">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bidi="ar"/>
              </w:rPr>
              <w:t>2.</w:t>
            </w:r>
            <w:r>
              <w:rPr>
                <w:rFonts w:hint="eastAsia" w:ascii="宋体" w:hAnsi="宋体" w:eastAsia="宋体" w:cs="宋体"/>
                <w:color w:val="auto"/>
                <w:szCs w:val="21"/>
                <w:highlight w:val="none"/>
                <w:u w:val="single"/>
                <w:lang w:bidi="ar"/>
              </w:rPr>
              <w:t>投标截止时间、开标时间和地点：发布在广州交易集团有限公司（广州公共资源交易中心）网站（具体在网站主页“建设工程”中“项目查询”输入“项目名称”或“项目编号”进行查询）。</w:t>
            </w:r>
          </w:p>
          <w:p w14:paraId="3D09FEFB">
            <w:pPr>
              <w:keepNext w:val="0"/>
              <w:keepLines w:val="0"/>
              <w:pageBreakBefore w:val="0"/>
              <w:kinsoku/>
              <w:wordWrap w:val="0"/>
              <w:overflowPunct/>
              <w:bidi w:val="0"/>
              <w:adjustRightInd/>
              <w:snapToGrid/>
              <w:spacing w:line="360" w:lineRule="auto"/>
              <w:textAlignment w:val="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eastAsia="zh-CN" w:bidi="ar"/>
              </w:rPr>
              <w:t>3.</w:t>
            </w:r>
            <w:r>
              <w:rPr>
                <w:rFonts w:hint="eastAsia" w:ascii="宋体" w:hAnsi="宋体" w:eastAsia="宋体" w:cs="宋体"/>
                <w:color w:val="auto"/>
                <w:szCs w:val="21"/>
                <w:highlight w:val="none"/>
                <w:u w:val="single"/>
                <w:lang w:bidi="ar"/>
              </w:rPr>
              <w:t>中标后，中标单位须提交与网上上传电子投标文件完全一致的纸质投标文件（一式四份，加盖公章）至招标人。</w:t>
            </w:r>
          </w:p>
        </w:tc>
      </w:tr>
      <w:tr w14:paraId="312CC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1" w:type="pct"/>
            <w:vAlign w:val="center"/>
          </w:tcPr>
          <w:p w14:paraId="64C25418">
            <w:pPr>
              <w:keepNext w:val="0"/>
              <w:keepLines w:val="0"/>
              <w:pageBreakBefore w:val="0"/>
              <w:kinsoku/>
              <w:wordWrap w:val="0"/>
              <w:overflowPunct/>
              <w:autoSpaceDE w:val="0"/>
              <w:autoSpaceDN w:val="0"/>
              <w:bidi w:val="0"/>
              <w:adjustRightInd/>
              <w:snapToGrid/>
              <w:spacing w:line="360" w:lineRule="auto"/>
              <w:jc w:val="center"/>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11</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4</w:t>
            </w:r>
          </w:p>
        </w:tc>
        <w:tc>
          <w:tcPr>
            <w:tcW w:w="1065" w:type="pct"/>
            <w:vAlign w:val="center"/>
          </w:tcPr>
          <w:p w14:paraId="198968BF">
            <w:pPr>
              <w:keepNext w:val="0"/>
              <w:keepLines w:val="0"/>
              <w:pageBreakBefore w:val="0"/>
              <w:kinsoku/>
              <w:wordWrap w:val="0"/>
              <w:overflowPunct/>
              <w:bidi w:val="0"/>
              <w:adjustRightInd/>
              <w:snapToGrid/>
              <w:spacing w:line="360" w:lineRule="auto"/>
              <w:jc w:val="center"/>
              <w:textAlignment w:val="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2" w:type="pct"/>
            <w:vAlign w:val="center"/>
          </w:tcPr>
          <w:p w14:paraId="3C819705">
            <w:pPr>
              <w:keepNext w:val="0"/>
              <w:keepLines w:val="0"/>
              <w:pageBreakBefore w:val="0"/>
              <w:kinsoku/>
              <w:wordWrap w:val="0"/>
              <w:overflowPunct/>
              <w:bidi w:val="0"/>
              <w:adjustRightInd/>
              <w:snapToGrid/>
              <w:spacing w:line="360" w:lineRule="auto"/>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737A46F1">
            <w:pPr>
              <w:keepNext w:val="0"/>
              <w:keepLines w:val="0"/>
              <w:pageBreakBefore w:val="0"/>
              <w:kinsoku/>
              <w:wordWrap w:val="0"/>
              <w:overflowPunct/>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kern w:val="0"/>
                <w:szCs w:val="21"/>
                <w:highlight w:val="none"/>
                <w:lang w:val="en-US" w:eastAsia="zh-CN"/>
              </w:rPr>
              <w:t>招标代理服务费：</w:t>
            </w:r>
            <w:r>
              <w:rPr>
                <w:rFonts w:hint="eastAsia" w:ascii="宋体" w:hAnsi="宋体" w:eastAsia="宋体" w:cs="宋体"/>
                <w:color w:val="auto"/>
                <w:kern w:val="0"/>
                <w:szCs w:val="21"/>
                <w:highlight w:val="none"/>
                <w:u w:val="single"/>
              </w:rPr>
              <w:t>由中标单位支付，金额以招标人与招标代理机构签订的招标代理合同为准。</w:t>
            </w:r>
          </w:p>
        </w:tc>
      </w:tr>
    </w:tbl>
    <w:p w14:paraId="647CD913">
      <w:pPr>
        <w:wordWrap w:val="0"/>
        <w:ind w:left="420" w:leftChars="200"/>
        <w:rPr>
          <w:rFonts w:ascii="宋体" w:hAnsi="宋体" w:eastAsia="宋体" w:cs="宋体"/>
          <w:color w:val="auto"/>
          <w:szCs w:val="24"/>
          <w:highlight w:val="none"/>
        </w:rPr>
      </w:pPr>
    </w:p>
    <w:p w14:paraId="3E2349CE">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3115E49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9" w:name="_Toc111186724"/>
      <w:bookmarkStart w:id="10" w:name="_Toc3060"/>
      <w:bookmarkStart w:id="11" w:name="_Toc193357939"/>
      <w:r>
        <w:rPr>
          <w:rFonts w:hint="eastAsia" w:ascii="宋体" w:hAnsi="宋体" w:eastAsia="宋体" w:cs="宋体"/>
          <w:b/>
          <w:bCs/>
          <w:color w:val="auto"/>
          <w:kern w:val="0"/>
          <w:sz w:val="30"/>
          <w:szCs w:val="30"/>
          <w:highlight w:val="none"/>
          <w:lang w:val="zh-CN"/>
        </w:rPr>
        <w:t>1. 总则</w:t>
      </w:r>
      <w:bookmarkEnd w:id="9"/>
      <w:bookmarkEnd w:id="10"/>
      <w:bookmarkEnd w:id="11"/>
    </w:p>
    <w:p w14:paraId="3F37EFA0">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2" w:name="_Toc7733"/>
      <w:bookmarkStart w:id="13" w:name="_Toc111186725"/>
      <w:bookmarkStart w:id="14" w:name="_Toc193357940"/>
      <w:r>
        <w:rPr>
          <w:rFonts w:hint="eastAsia" w:ascii="宋体" w:hAnsi="宋体" w:eastAsia="宋体" w:cs="宋体"/>
          <w:b/>
          <w:bCs/>
          <w:color w:val="auto"/>
          <w:spacing w:val="1"/>
          <w:sz w:val="28"/>
          <w:szCs w:val="32"/>
          <w:highlight w:val="none"/>
          <w:lang w:val="zh-CN"/>
        </w:rPr>
        <w:t>1.1 招标项目概况</w:t>
      </w:r>
      <w:bookmarkEnd w:id="12"/>
      <w:bookmarkEnd w:id="13"/>
      <w:bookmarkEnd w:id="14"/>
    </w:p>
    <w:p w14:paraId="79638F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b/>
          <w:bCs/>
          <w:strike w:val="0"/>
          <w:dstrike w:val="0"/>
          <w:color w:val="auto"/>
          <w:sz w:val="24"/>
          <w:szCs w:val="24"/>
          <w:highlight w:val="none"/>
          <w:u w:val="single"/>
          <w:lang w:eastAsia="zh-CN"/>
        </w:rPr>
        <w:t>管线迁改建设管理服务</w:t>
      </w:r>
      <w:r>
        <w:rPr>
          <w:rFonts w:hint="eastAsia" w:ascii="宋体" w:hAnsi="宋体" w:eastAsia="宋体" w:cs="宋体"/>
          <w:color w:val="auto"/>
          <w:spacing w:val="-2"/>
          <w:kern w:val="0"/>
          <w:sz w:val="24"/>
          <w:szCs w:val="24"/>
          <w:highlight w:val="none"/>
        </w:rPr>
        <w:t>进行招标。</w:t>
      </w:r>
    </w:p>
    <w:p w14:paraId="7A3553D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 招标人：见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7572EFAA">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1.1.3 招标代理机构：见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3B614D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1.1.4 招标项目名称：见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5C71DE8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1.1.5 项目建设地点：见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0FCB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1.1.6 项目建设规模：见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0B7F068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1.1.7 项目投资估算：见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6A95D3B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71E8A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 w:name="_Toc193357941"/>
      <w:bookmarkStart w:id="16" w:name="_Toc111186726"/>
      <w:bookmarkStart w:id="17" w:name="_Toc14504"/>
      <w:r>
        <w:rPr>
          <w:rFonts w:hint="eastAsia" w:ascii="宋体" w:hAnsi="宋体" w:eastAsia="宋体" w:cs="宋体"/>
          <w:b/>
          <w:bCs/>
          <w:color w:val="auto"/>
          <w:spacing w:val="1"/>
          <w:sz w:val="28"/>
          <w:szCs w:val="32"/>
          <w:highlight w:val="none"/>
          <w:lang w:val="zh-CN"/>
        </w:rPr>
        <w:t>1.2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5"/>
      <w:bookmarkEnd w:id="16"/>
      <w:bookmarkEnd w:id="17"/>
    </w:p>
    <w:p w14:paraId="7CD07F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1.2.1 资金来源及比例：见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4BA8419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1.2.2 资金落实情况：见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2E8C02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4111C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 w:name="_Toc13854"/>
      <w:bookmarkStart w:id="19" w:name="_Toc111186727"/>
      <w:bookmarkStart w:id="20" w:name="_Toc193357942"/>
      <w:r>
        <w:rPr>
          <w:rFonts w:hint="eastAsia" w:ascii="宋体" w:hAnsi="宋体" w:eastAsia="宋体" w:cs="宋体"/>
          <w:b/>
          <w:bCs/>
          <w:color w:val="auto"/>
          <w:spacing w:val="1"/>
          <w:sz w:val="28"/>
          <w:szCs w:val="32"/>
          <w:highlight w:val="none"/>
          <w:lang w:val="zh-CN"/>
        </w:rPr>
        <w:t>1.3</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18"/>
      <w:bookmarkEnd w:id="19"/>
      <w:bookmarkEnd w:id="20"/>
    </w:p>
    <w:p w14:paraId="510AEE2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1.3.1 招标范围：见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00962861">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1.3.2 服务期限：见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10E5DA3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1.3.3 质量标准：见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11DBCF8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682C28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 w:name="_Toc22012"/>
      <w:bookmarkStart w:id="22" w:name="_Toc111186728"/>
      <w:bookmarkStart w:id="23" w:name="_Toc193357943"/>
      <w:r>
        <w:rPr>
          <w:rFonts w:hint="eastAsia" w:ascii="宋体" w:hAnsi="宋体" w:eastAsia="宋体" w:cs="宋体"/>
          <w:b/>
          <w:bCs/>
          <w:color w:val="auto"/>
          <w:spacing w:val="1"/>
          <w:sz w:val="28"/>
          <w:szCs w:val="32"/>
          <w:highlight w:val="none"/>
          <w:lang w:val="zh-CN"/>
        </w:rPr>
        <w:t>1.4</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1"/>
      <w:bookmarkEnd w:id="22"/>
      <w:bookmarkEnd w:id="23"/>
    </w:p>
    <w:p w14:paraId="483F0F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应具备承担本招标项目资质条件、能力和信誉：</w:t>
      </w:r>
    </w:p>
    <w:p w14:paraId="0239B57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（1）资质要求：见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696B6521">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（2）业绩要求：见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2F7DED6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（3）项目负责人的资格要求：见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430543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2695F5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（4）其他主要人员要求：见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6B8E6D6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（5）其他要求：见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4C99CE1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需要提交的相关证明材料见本章第3.5款的规定。</w:t>
      </w:r>
    </w:p>
    <w:p w14:paraId="5321779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须知前附表规定接受联合体投标的，联合体除应符合本章第1.4.1项和</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须知前附表的要求外，还应遵守以下规定：</w:t>
      </w:r>
    </w:p>
    <w:p w14:paraId="47683FD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（1）联合体各方应按招标文件提供的格式签订联合体协议书，明确联合体牵头人和各方权利义务，并承诺就中标项目向招标人承担连带责任；</w:t>
      </w:r>
    </w:p>
    <w:p w14:paraId="3DF0FEB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（2）由同一专业的单位组成的联合体，按照资质等级较低的单位确定资质等级；</w:t>
      </w:r>
    </w:p>
    <w:p w14:paraId="2052FA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（3）联合体各方不得再以自己名义单独或参加其他联合体在本招标项目中投标，否则各相关投标均无效。</w:t>
      </w:r>
    </w:p>
    <w:p w14:paraId="7B47A15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不得存在下列情形之一：</w:t>
      </w:r>
    </w:p>
    <w:p w14:paraId="03650A87">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（1）为招标人不具有独立法人资格的附属机构（单位）；</w:t>
      </w:r>
    </w:p>
    <w:p w14:paraId="1291B3B7">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（2）与招标人存在利害关系且可能影响招标公正性；</w:t>
      </w:r>
    </w:p>
    <w:p w14:paraId="30701BA9">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（3）与本招标项目的其他投标人为同一个单位负责人；</w:t>
      </w:r>
    </w:p>
    <w:p w14:paraId="41CE0E05">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（4）与本招标项目的其他投标人存在控股、管理关系；</w:t>
      </w:r>
    </w:p>
    <w:p w14:paraId="51FD4BFA">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（5）为本招标项目的代建人或建设管理单位；</w:t>
      </w:r>
    </w:p>
    <w:p w14:paraId="21FB4977">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（6）为本招标项目的招标代理机构；</w:t>
      </w:r>
    </w:p>
    <w:p w14:paraId="0DE92B91">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（7）与本招标项目的招标代理机构同为一个法定代表人；</w:t>
      </w:r>
    </w:p>
    <w:p w14:paraId="26D78DA7">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（8）与本招标项目的代建人或招标代理机构存在控股或参股关系；</w:t>
      </w:r>
    </w:p>
    <w:p w14:paraId="6BE28995">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（9）与本招标项目的检测机构、建设、施工单位以及建筑材料、建筑构配件和设备供应商有隶属关系或者其他利害关系有隶属关系或者其他利害关系；</w:t>
      </w:r>
    </w:p>
    <w:p w14:paraId="60880521">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10）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7AD68D26">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（11）被责令停产停业、暂扣或者吊销许可证、暂扣或者吊销执照（本项事实应当以根据《中华人民共和国行政处罚法》依法作出并已生效的行政处罚决定为认定依据）；</w:t>
      </w:r>
    </w:p>
    <w:p w14:paraId="1BCD14D0">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（12）进入清算程序，或被宣告破产，或其他丧失履约能力的情形；</w:t>
      </w:r>
    </w:p>
    <w:p w14:paraId="7F1C3E70">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13）在最近三年内有严重违约或发生重大质量问题（“严重违约”事实应当以司法机关、仲裁机构出具的认定文件为准。“重大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3ABC9FB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u w:val="single"/>
        </w:rPr>
        <w:t>（14）法律法规或投标人须知前附表规定的其他情形。</w:t>
      </w:r>
    </w:p>
    <w:p w14:paraId="37672CC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83D26F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4" w:name="_Toc29074"/>
      <w:bookmarkStart w:id="25" w:name="_Toc193357944"/>
      <w:bookmarkStart w:id="26" w:name="_Toc111186729"/>
      <w:r>
        <w:rPr>
          <w:rFonts w:hint="eastAsia" w:ascii="宋体" w:hAnsi="宋体" w:eastAsia="宋体" w:cs="宋体"/>
          <w:b/>
          <w:bCs/>
          <w:color w:val="auto"/>
          <w:spacing w:val="1"/>
          <w:sz w:val="28"/>
          <w:szCs w:val="32"/>
          <w:highlight w:val="none"/>
          <w:lang w:val="zh-CN"/>
        </w:rPr>
        <w:t>1.5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24"/>
      <w:bookmarkEnd w:id="25"/>
      <w:bookmarkEnd w:id="26"/>
    </w:p>
    <w:p w14:paraId="77F6CFB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准备和参加投标活动发生的费用自理。</w:t>
      </w:r>
    </w:p>
    <w:p w14:paraId="5DBB59E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5FBE4E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 w:name="_Toc8560"/>
      <w:bookmarkStart w:id="28" w:name="_Toc193357945"/>
      <w:bookmarkStart w:id="29" w:name="_Toc111186730"/>
      <w:r>
        <w:rPr>
          <w:rFonts w:hint="eastAsia" w:ascii="宋体" w:hAnsi="宋体" w:eastAsia="宋体" w:cs="宋体"/>
          <w:b/>
          <w:bCs/>
          <w:color w:val="auto"/>
          <w:spacing w:val="1"/>
          <w:sz w:val="28"/>
          <w:szCs w:val="32"/>
          <w:highlight w:val="none"/>
          <w:lang w:val="zh-CN"/>
        </w:rPr>
        <w:t>1.6</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27"/>
      <w:bookmarkEnd w:id="28"/>
      <w:bookmarkEnd w:id="29"/>
    </w:p>
    <w:p w14:paraId="24CB9AA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7635530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67CA86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0" w:name="_Toc111186731"/>
      <w:bookmarkStart w:id="31" w:name="_Toc28000"/>
      <w:bookmarkStart w:id="32" w:name="_Toc193357946"/>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0"/>
      <w:bookmarkEnd w:id="31"/>
      <w:bookmarkEnd w:id="32"/>
    </w:p>
    <w:p w14:paraId="61DE9FE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7A44191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403E3B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3" w:name="_Toc111186732"/>
      <w:bookmarkStart w:id="34" w:name="_Toc193357947"/>
      <w:bookmarkStart w:id="35" w:name="_Toc3237"/>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33"/>
      <w:bookmarkEnd w:id="34"/>
      <w:bookmarkEnd w:id="35"/>
    </w:p>
    <w:p w14:paraId="03DB808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03B8A8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223487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6" w:name="_Toc111186733"/>
      <w:bookmarkStart w:id="37" w:name="_Toc9357"/>
      <w:bookmarkStart w:id="38" w:name="_Toc193357948"/>
      <w:r>
        <w:rPr>
          <w:rFonts w:hint="eastAsia" w:ascii="宋体" w:hAnsi="宋体" w:eastAsia="宋体" w:cs="宋体"/>
          <w:b/>
          <w:bCs/>
          <w:color w:val="auto"/>
          <w:spacing w:val="1"/>
          <w:sz w:val="28"/>
          <w:szCs w:val="32"/>
          <w:highlight w:val="none"/>
          <w:lang w:val="zh-CN"/>
        </w:rPr>
        <w:t>1.9</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36"/>
      <w:bookmarkEnd w:id="37"/>
      <w:bookmarkEnd w:id="38"/>
    </w:p>
    <w:p w14:paraId="086F845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须知前附表规定组织踏勘现场的，招标人按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须知前附表规定的时间、地点组织</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踏勘项目现场。部分</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未按时参加踏勘现场的，不影响踏勘现场的正常进行。</w:t>
      </w:r>
    </w:p>
    <w:p w14:paraId="0039DE91">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踏勘现场发生的费用自理。</w:t>
      </w:r>
    </w:p>
    <w:p w14:paraId="763FEC4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1.9.3 除招标人的原因外，</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自行负责踏勘现场中所发生的人员伤亡和财产损失。</w:t>
      </w:r>
    </w:p>
    <w:p w14:paraId="5795F8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1.9.4 由于</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没有对工程现场及周围环境进行踏勘，造成投标失误的，由</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自行承担责任和损失。</w:t>
      </w:r>
    </w:p>
    <w:p w14:paraId="430811E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40E773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193357949"/>
      <w:bookmarkStart w:id="40" w:name="_Toc16096"/>
      <w:bookmarkStart w:id="41" w:name="_Toc111186734"/>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0</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39"/>
      <w:bookmarkEnd w:id="40"/>
      <w:bookmarkEnd w:id="41"/>
    </w:p>
    <w:p w14:paraId="364D21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须知前附表规定召开投标预备会的，招标人按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须知前附表规定的时间和地点召开投标预备会，澄清</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提出的问题。</w:t>
      </w:r>
    </w:p>
    <w:p w14:paraId="6D372E1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应按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须知前附表规定的时间和形式将提出的问题送达招标人，以便招标人在会议期间澄清。</w:t>
      </w:r>
    </w:p>
    <w:p w14:paraId="4BC9C2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1.10.3 投标预备会后，招标人将对</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所提问题的澄清，以</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须知前附表规定的形式通知所有购买招标文件的</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。该澄清内容为招标文件的组成部分。</w:t>
      </w:r>
    </w:p>
    <w:p w14:paraId="4744C98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8E2B00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2" w:name="_Toc111186735"/>
      <w:bookmarkStart w:id="43" w:name="_Toc193357950"/>
      <w:bookmarkStart w:id="44" w:name="_Toc16438"/>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2"/>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42"/>
      <w:bookmarkEnd w:id="43"/>
      <w:bookmarkEnd w:id="44"/>
    </w:p>
    <w:p w14:paraId="7174AD9C">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lang w:val="en-US" w:eastAsia="zh-CN"/>
        </w:rPr>
      </w:pPr>
      <w:r>
        <w:rPr>
          <w:rFonts w:hint="eastAsia" w:ascii="宋体" w:hAnsi="宋体" w:eastAsia="宋体" w:cs="宋体"/>
          <w:color w:val="auto"/>
          <w:spacing w:val="-2"/>
          <w:kern w:val="0"/>
          <w:sz w:val="24"/>
          <w:szCs w:val="24"/>
          <w:highlight w:val="none"/>
          <w:lang w:val="en-US" w:eastAsia="zh-CN"/>
        </w:rPr>
        <w:t>1.11.1 本项目不得分包。</w:t>
      </w:r>
    </w:p>
    <w:p w14:paraId="30AFE4C7">
      <w:pPr>
        <w:wordWrap w:val="0"/>
        <w:autoSpaceDE w:val="0"/>
        <w:autoSpaceDN w:val="0"/>
        <w:spacing w:line="360" w:lineRule="auto"/>
        <w:ind w:firstLine="472" w:firstLineChars="200"/>
        <w:rPr>
          <w:rFonts w:hint="default" w:ascii="宋体" w:hAnsi="宋体" w:eastAsia="宋体" w:cs="宋体"/>
          <w:color w:val="auto"/>
          <w:spacing w:val="-2"/>
          <w:kern w:val="0"/>
          <w:sz w:val="24"/>
          <w:szCs w:val="24"/>
          <w:highlight w:val="none"/>
          <w:lang w:val="en-US" w:eastAsia="zh-CN"/>
        </w:rPr>
      </w:pPr>
      <w:r>
        <w:rPr>
          <w:rFonts w:hint="eastAsia" w:ascii="宋体" w:hAnsi="宋体" w:eastAsia="宋体" w:cs="宋体"/>
          <w:color w:val="auto"/>
          <w:spacing w:val="-2"/>
          <w:kern w:val="0"/>
          <w:sz w:val="24"/>
          <w:szCs w:val="24"/>
          <w:highlight w:val="none"/>
          <w:lang w:val="en-US" w:eastAsia="zh-CN"/>
        </w:rPr>
        <w:t>1.11.2  中标人不得向他人转让中标项目。</w:t>
      </w:r>
    </w:p>
    <w:p w14:paraId="04959D2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5" w:name="_Toc193357951"/>
      <w:bookmarkStart w:id="46" w:name="_Toc111186736"/>
      <w:bookmarkStart w:id="47" w:name="_Toc10229"/>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2"/>
          <w:sz w:val="28"/>
          <w:szCs w:val="32"/>
          <w:highlight w:val="none"/>
          <w:lang w:val="zh-CN"/>
        </w:rPr>
        <w:t>1</w:t>
      </w:r>
      <w:r>
        <w:rPr>
          <w:rFonts w:hint="eastAsia" w:ascii="宋体" w:hAnsi="宋体" w:eastAsia="宋体" w:cs="宋体"/>
          <w:b/>
          <w:bCs/>
          <w:color w:val="auto"/>
          <w:spacing w:val="1"/>
          <w:sz w:val="28"/>
          <w:szCs w:val="32"/>
          <w:highlight w:val="none"/>
          <w:lang w:val="zh-CN"/>
        </w:rPr>
        <w:t>2</w:t>
      </w:r>
      <w:r>
        <w:rPr>
          <w:rFonts w:hint="eastAsia"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45"/>
      <w:bookmarkEnd w:id="46"/>
      <w:bookmarkEnd w:id="47"/>
    </w:p>
    <w:p w14:paraId="1117DFB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1.12.1 投标文件应当对招标文件的实质性要求和条件作出满足性或更有利于招标人的响应，否则，</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的投标将被否决。实质性要求和条件见</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w:t>
      </w:r>
    </w:p>
    <w:p w14:paraId="3DCCCE8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应根据招标文件的要求提供投标方案等内容以对招标文件作出响应。</w:t>
      </w:r>
    </w:p>
    <w:p w14:paraId="6BE7C71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须知前附表允许投标文件偏离招标文件某些要求的，偏差应当符合招标文件规定的偏差范围和幅度。</w:t>
      </w:r>
    </w:p>
    <w:p w14:paraId="0BA09B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6A5C16F">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48" w:name="_Toc193357952"/>
      <w:bookmarkStart w:id="49" w:name="_Toc22370"/>
      <w:bookmarkStart w:id="50" w:name="_Toc111186737"/>
      <w:r>
        <w:rPr>
          <w:rFonts w:hint="eastAsia" w:ascii="宋体" w:hAnsi="宋体" w:eastAsia="宋体" w:cs="宋体"/>
          <w:b/>
          <w:bCs/>
          <w:color w:val="auto"/>
          <w:kern w:val="0"/>
          <w:sz w:val="30"/>
          <w:szCs w:val="30"/>
          <w:highlight w:val="none"/>
          <w:lang w:val="zh-CN"/>
        </w:rPr>
        <w:t>2.</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48"/>
      <w:bookmarkEnd w:id="49"/>
      <w:bookmarkEnd w:id="50"/>
    </w:p>
    <w:p w14:paraId="0F45698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1" w:name="_Toc22346"/>
      <w:bookmarkStart w:id="52" w:name="_Toc111186738"/>
      <w:bookmarkStart w:id="53" w:name="_Toc193357953"/>
      <w:r>
        <w:rPr>
          <w:rFonts w:hint="eastAsia" w:ascii="宋体" w:hAnsi="宋体" w:eastAsia="宋体" w:cs="宋体"/>
          <w:b/>
          <w:bCs/>
          <w:color w:val="auto"/>
          <w:spacing w:val="1"/>
          <w:sz w:val="28"/>
          <w:szCs w:val="32"/>
          <w:highlight w:val="none"/>
          <w:lang w:val="zh-CN"/>
        </w:rPr>
        <w:t>2.1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51"/>
      <w:bookmarkEnd w:id="52"/>
      <w:bookmarkEnd w:id="53"/>
    </w:p>
    <w:p w14:paraId="68E3B08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799DA81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（1）招标公告；</w:t>
      </w:r>
    </w:p>
    <w:p w14:paraId="6A01A5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w:t>
      </w:r>
    </w:p>
    <w:p w14:paraId="2F6A67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（3）评标办法；</w:t>
      </w:r>
    </w:p>
    <w:p w14:paraId="5E3087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（4）合同条款及格式；</w:t>
      </w:r>
    </w:p>
    <w:p w14:paraId="04343AB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（5）委托人要求；</w:t>
      </w:r>
    </w:p>
    <w:p w14:paraId="29B50B01">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（6）投标文件格式；</w:t>
      </w:r>
    </w:p>
    <w:p w14:paraId="6576429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须知前附表规定的其他资料。</w:t>
      </w:r>
    </w:p>
    <w:p w14:paraId="3DCB9B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根据本章第1.10款、第2.2款和第2.3款对招标文件所作的澄清、修改，构成招标文件的组成部分。</w:t>
      </w:r>
    </w:p>
    <w:p w14:paraId="231E343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45CD72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4" w:name="_Toc111186739"/>
      <w:bookmarkStart w:id="55" w:name="_Toc193357954"/>
      <w:bookmarkStart w:id="56" w:name="_Toc9843"/>
      <w:r>
        <w:rPr>
          <w:rFonts w:hint="eastAsia" w:ascii="宋体" w:hAnsi="宋体" w:eastAsia="宋体" w:cs="宋体"/>
          <w:b/>
          <w:bCs/>
          <w:color w:val="auto"/>
          <w:spacing w:val="1"/>
          <w:sz w:val="28"/>
          <w:szCs w:val="32"/>
          <w:highlight w:val="none"/>
          <w:lang w:val="zh-CN"/>
        </w:rPr>
        <w:t>2.2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54"/>
      <w:bookmarkEnd w:id="55"/>
      <w:bookmarkEnd w:id="56"/>
      <w:r>
        <w:rPr>
          <w:rFonts w:hint="eastAsia" w:ascii="宋体" w:hAnsi="宋体" w:eastAsia="宋体" w:cs="宋体"/>
          <w:b/>
          <w:bCs/>
          <w:color w:val="auto"/>
          <w:spacing w:val="1"/>
          <w:sz w:val="28"/>
          <w:szCs w:val="32"/>
          <w:highlight w:val="none"/>
          <w:lang w:val="zh-CN"/>
        </w:rPr>
        <w:t>答疑</w:t>
      </w:r>
    </w:p>
    <w:p w14:paraId="422DF0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应仔细阅读和检查招标文件的全部内容。如有疑问，应按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须知前附表规定的时间和形式将提出的问题送达招标人，要求招标人对招标文件予以澄清。</w:t>
      </w:r>
    </w:p>
    <w:p w14:paraId="30352A0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2.2.2 招标答疑采用网上答疑方式进行。</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1FBB766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2.2.3 招标答疑会会议纪要将在提交投标文件截止时间15日前在</w:t>
      </w:r>
      <w:r>
        <w:rPr>
          <w:rFonts w:hint="eastAsia" w:ascii="宋体" w:hAnsi="宋体" w:eastAsia="宋体" w:cs="宋体"/>
          <w:color w:val="auto"/>
          <w:spacing w:val="-2"/>
          <w:kern w:val="0"/>
          <w:sz w:val="24"/>
          <w:szCs w:val="24"/>
          <w:highlight w:val="none"/>
          <w:u w:val="single"/>
        </w:rPr>
        <w:t>广州交易集团有限公司（广州公共资源交易中心）网站“项目答疑纪要”专区公开</w:t>
      </w:r>
      <w:r>
        <w:rPr>
          <w:rFonts w:hint="eastAsia" w:ascii="宋体" w:hAnsi="宋体" w:eastAsia="宋体" w:cs="宋体"/>
          <w:color w:val="auto"/>
          <w:spacing w:val="-2"/>
          <w:kern w:val="0"/>
          <w:sz w:val="24"/>
          <w:szCs w:val="24"/>
          <w:highlight w:val="none"/>
        </w:rPr>
        <w:t>发布。答疑纪要一经在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。澄清发出的时间距本章第4.2.1项规定的投标截止时间不足15日的，并且澄清内容可能影响投标文件编制的，将相应延长投标截止时间。</w:t>
      </w:r>
    </w:p>
    <w:p w14:paraId="2BD5E0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2.2.4 招标答疑会会议纪要是招标文件的组成部分，对</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起约束作用。若招标答疑会会议纪要与招标文件有矛盾时，以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7BE187F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2.2.5 除非招标人认为确有必要答复，否则，招标人有权拒绝回复</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在本章第2.2.1项规定的时间后的任何澄清要求。</w:t>
      </w:r>
    </w:p>
    <w:p w14:paraId="47EBE79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29CABC9">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57" w:name="_Toc111186740"/>
      <w:bookmarkStart w:id="58" w:name="_Toc8197"/>
      <w:bookmarkStart w:id="59" w:name="_Toc193357955"/>
      <w:r>
        <w:rPr>
          <w:rFonts w:hint="eastAsia" w:ascii="宋体" w:hAnsi="宋体" w:eastAsia="宋体" w:cs="宋体"/>
          <w:b/>
          <w:bCs/>
          <w:color w:val="auto"/>
          <w:spacing w:val="1"/>
          <w:sz w:val="28"/>
          <w:szCs w:val="32"/>
          <w:highlight w:val="none"/>
          <w:lang w:val="zh-CN"/>
        </w:rPr>
        <w:t>2.3 招标文件的澄清与修改</w:t>
      </w:r>
      <w:bookmarkEnd w:id="57"/>
      <w:bookmarkEnd w:id="58"/>
      <w:bookmarkEnd w:id="59"/>
    </w:p>
    <w:p w14:paraId="50ED13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2.3.1 招标文件发出后，在提交投标文件截止时间15日前，招标人可对招标文件进行必要的澄清或修改。</w:t>
      </w:r>
    </w:p>
    <w:p w14:paraId="4A10E0A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2.3.2 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506A324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2.3.3 招标文件的澄清或修改是招标文件的组成部分，对</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起约束作用。</w:t>
      </w:r>
    </w:p>
    <w:p w14:paraId="6F192F31">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2.3.4 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4C43C37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2.3.5 为使</w:t>
      </w: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A8E3F5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4CB22B3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0" w:name="_Toc111186741"/>
      <w:bookmarkStart w:id="61" w:name="_Toc193357956"/>
      <w:bookmarkStart w:id="62" w:name="_Toc17179"/>
      <w:r>
        <w:rPr>
          <w:rFonts w:hint="eastAsia" w:ascii="宋体" w:hAnsi="宋体" w:eastAsia="宋体" w:cs="宋体"/>
          <w:b/>
          <w:bCs/>
          <w:color w:val="auto"/>
          <w:spacing w:val="1"/>
          <w:sz w:val="28"/>
          <w:szCs w:val="32"/>
          <w:highlight w:val="none"/>
          <w:lang w:val="zh-CN"/>
        </w:rPr>
        <w:t>2.4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60"/>
      <w:bookmarkEnd w:id="61"/>
      <w:bookmarkEnd w:id="62"/>
    </w:p>
    <w:p w14:paraId="6E719D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lang w:eastAsia="zh-CN"/>
        </w:rPr>
        <w:t>投标人</w:t>
      </w:r>
      <w:r>
        <w:rPr>
          <w:rFonts w:hint="eastAsia" w:ascii="宋体" w:hAnsi="宋体" w:eastAsia="宋体" w:cs="宋体"/>
          <w:color w:val="auto"/>
          <w:spacing w:val="-2"/>
          <w:kern w:val="0"/>
          <w:sz w:val="24"/>
          <w:szCs w:val="24"/>
          <w:highlight w:val="none"/>
        </w:rPr>
        <w:t>或者其他利害关系人对招标文件有异议的，应当在投标截止时间10日前以书面形式提出。招标人将在收到异议之日起3日内作出答复；作出答复前，将暂停招标投标活动。</w:t>
      </w:r>
    </w:p>
    <w:p w14:paraId="4C67C13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4914D79">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63" w:name="_Toc7081"/>
      <w:bookmarkStart w:id="64" w:name="_Toc111186742"/>
      <w:bookmarkStart w:id="65" w:name="_Toc193357957"/>
      <w:r>
        <w:rPr>
          <w:rFonts w:hint="eastAsia" w:ascii="宋体" w:hAnsi="宋体" w:eastAsia="宋体" w:cs="宋体"/>
          <w:b/>
          <w:bCs/>
          <w:color w:val="auto"/>
          <w:kern w:val="0"/>
          <w:sz w:val="30"/>
          <w:szCs w:val="30"/>
          <w:highlight w:val="none"/>
          <w:lang w:val="zh-CN"/>
        </w:rPr>
        <w:t>3.</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63"/>
      <w:bookmarkEnd w:id="64"/>
      <w:bookmarkEnd w:id="65"/>
    </w:p>
    <w:p w14:paraId="75CC660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6" w:name="_Toc111186743"/>
      <w:bookmarkStart w:id="67" w:name="_Toc193357958"/>
      <w:bookmarkStart w:id="68" w:name="_Toc14590"/>
      <w:r>
        <w:rPr>
          <w:rFonts w:hint="eastAsia" w:ascii="宋体" w:hAnsi="宋体" w:eastAsia="宋体" w:cs="宋体"/>
          <w:b/>
          <w:bCs/>
          <w:color w:val="auto"/>
          <w:spacing w:val="1"/>
          <w:sz w:val="28"/>
          <w:szCs w:val="32"/>
          <w:highlight w:val="none"/>
          <w:lang w:val="zh-CN"/>
        </w:rPr>
        <w:t>3.1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6"/>
      <w:bookmarkEnd w:id="67"/>
      <w:bookmarkEnd w:id="68"/>
    </w:p>
    <w:p w14:paraId="6C945CBC">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r>
        <w:rPr>
          <w:rFonts w:hint="eastAsia" w:ascii="宋体" w:hAnsi="宋体" w:eastAsia="宋体" w:cs="宋体"/>
          <w:b/>
          <w:bCs/>
          <w:color w:val="auto"/>
          <w:sz w:val="24"/>
          <w:szCs w:val="24"/>
          <w:highlight w:val="none"/>
          <w:u w:val="single"/>
        </w:rPr>
        <w:t>商务文件（含资格审查文件）</w:t>
      </w:r>
      <w:r>
        <w:rPr>
          <w:rFonts w:hint="eastAsia" w:ascii="宋体" w:hAnsi="宋体" w:eastAsia="宋体" w:cs="宋体"/>
          <w:b w:val="0"/>
          <w:bCs w:val="0"/>
          <w:color w:val="auto"/>
          <w:sz w:val="24"/>
          <w:szCs w:val="24"/>
          <w:highlight w:val="none"/>
          <w:u w:val="none"/>
        </w:rPr>
        <w:t>投标文件</w:t>
      </w:r>
      <w:r>
        <w:rPr>
          <w:rFonts w:hint="eastAsia" w:ascii="宋体" w:hAnsi="宋体" w:eastAsia="宋体" w:cs="宋体"/>
          <w:color w:val="auto"/>
          <w:sz w:val="24"/>
          <w:szCs w:val="24"/>
          <w:highlight w:val="none"/>
        </w:rPr>
        <w:t>由下列资料组成：</w:t>
      </w:r>
    </w:p>
    <w:p w14:paraId="3B344C6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55818D89">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73B29D89">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）报价表；</w:t>
      </w:r>
    </w:p>
    <w:p w14:paraId="44D2E422">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）资格审查资料；</w:t>
      </w:r>
    </w:p>
    <w:p w14:paraId="6103DF8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须知前附表规定的其他资料。</w:t>
      </w:r>
    </w:p>
    <w:p w14:paraId="79736A98">
      <w:pPr>
        <w:wordWrap w:val="0"/>
        <w:autoSpaceDE w:val="0"/>
        <w:autoSpaceDN w:val="0"/>
        <w:spacing w:line="360" w:lineRule="auto"/>
        <w:ind w:firstLine="482" w:firstLineChars="200"/>
        <w:rPr>
          <w:rFonts w:ascii="宋体" w:hAnsi="宋体" w:eastAsia="宋体" w:cs="宋体"/>
          <w:b/>
          <w:bCs/>
          <w:strike w:val="0"/>
          <w:dstrike w:val="0"/>
          <w:color w:val="auto"/>
          <w:sz w:val="24"/>
          <w:szCs w:val="24"/>
          <w:highlight w:val="none"/>
          <w:u w:val="single"/>
        </w:rPr>
      </w:pPr>
      <w:r>
        <w:rPr>
          <w:rFonts w:hint="eastAsia" w:ascii="宋体" w:hAnsi="宋体" w:eastAsia="宋体" w:cs="宋体"/>
          <w:b/>
          <w:bCs/>
          <w:strike w:val="0"/>
          <w:dstrike w:val="0"/>
          <w:color w:val="auto"/>
          <w:sz w:val="24"/>
          <w:szCs w:val="24"/>
          <w:highlight w:val="none"/>
          <w:u w:val="single"/>
        </w:rPr>
        <w:t>3.1.2 技术文件</w:t>
      </w:r>
    </w:p>
    <w:p w14:paraId="359601D3">
      <w:pPr>
        <w:wordWrap w:val="0"/>
        <w:autoSpaceDE w:val="0"/>
        <w:autoSpaceDN w:val="0"/>
        <w:spacing w:line="360" w:lineRule="auto"/>
        <w:ind w:firstLine="482" w:firstLineChars="200"/>
        <w:rPr>
          <w:rFonts w:ascii="宋体" w:hAnsi="宋体" w:eastAsia="宋体" w:cs="宋体"/>
          <w:b/>
          <w:bCs/>
          <w:strike w:val="0"/>
          <w:dstrike w:val="0"/>
          <w:color w:val="auto"/>
          <w:sz w:val="24"/>
          <w:szCs w:val="24"/>
          <w:highlight w:val="none"/>
          <w:u w:val="single"/>
        </w:rPr>
      </w:pPr>
      <w:r>
        <w:rPr>
          <w:rFonts w:hint="eastAsia" w:ascii="宋体" w:hAnsi="宋体" w:eastAsia="宋体" w:cs="宋体"/>
          <w:b/>
          <w:bCs/>
          <w:strike w:val="0"/>
          <w:dstrike w:val="0"/>
          <w:color w:val="auto"/>
          <w:sz w:val="24"/>
          <w:szCs w:val="24"/>
          <w:highlight w:val="none"/>
          <w:u w:val="single"/>
          <w:lang w:eastAsia="zh-CN"/>
        </w:rPr>
        <w:t>投标人</w:t>
      </w:r>
      <w:r>
        <w:rPr>
          <w:rFonts w:hint="eastAsia" w:ascii="宋体" w:hAnsi="宋体" w:eastAsia="宋体" w:cs="宋体"/>
          <w:b/>
          <w:bCs/>
          <w:strike w:val="0"/>
          <w:dstrike w:val="0"/>
          <w:color w:val="auto"/>
          <w:sz w:val="24"/>
          <w:szCs w:val="24"/>
          <w:highlight w:val="none"/>
          <w:u w:val="single"/>
        </w:rPr>
        <w:t>根据技术文件评分标准提供技术文件，格式自拟。</w:t>
      </w:r>
    </w:p>
    <w:p w14:paraId="3E917D40">
      <w:pPr>
        <w:wordWrap w:val="0"/>
        <w:autoSpaceDE w:val="0"/>
        <w:autoSpaceDN w:val="0"/>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3.1.3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须知前附表规定不接受联合体投标的，或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没有组成联合体的，投标文件不包括本章第3.1.1（3）目所指的联合体协议书。</w:t>
      </w:r>
    </w:p>
    <w:p w14:paraId="0A478081">
      <w:pPr>
        <w:wordWrap w:val="0"/>
        <w:autoSpaceDE w:val="0"/>
        <w:autoSpaceDN w:val="0"/>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3.1.4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须知前附表未要求提交投标保证金的，投标文件不包括本章第3.1.1（4）目所指的投标保证金。</w:t>
      </w:r>
    </w:p>
    <w:p w14:paraId="2558B6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575454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9" w:name="_Toc193357959"/>
      <w:bookmarkStart w:id="70" w:name="_Toc26290"/>
      <w:bookmarkStart w:id="71" w:name="_Toc111186744"/>
      <w:r>
        <w:rPr>
          <w:rFonts w:hint="eastAsia" w:ascii="宋体" w:hAnsi="宋体" w:eastAsia="宋体" w:cs="宋体"/>
          <w:b/>
          <w:bCs/>
          <w:color w:val="auto"/>
          <w:spacing w:val="1"/>
          <w:sz w:val="28"/>
          <w:szCs w:val="32"/>
          <w:highlight w:val="none"/>
          <w:lang w:val="zh-CN"/>
        </w:rPr>
        <w:t>3.2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69"/>
      <w:bookmarkEnd w:id="70"/>
      <w:bookmarkEnd w:id="71"/>
    </w:p>
    <w:p w14:paraId="022F7C9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3.2.1 投标报价应包括国家规定的增值税税金，除</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须知前附表另有规定外，增值税税金按一般计税方法计算。</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应按第六章“投标文件格式”的要求在投标函中进行报价并填写费用清单。</w:t>
      </w:r>
    </w:p>
    <w:p w14:paraId="21FF3D4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3.2.2 </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应充分了解该项目的总体情况以及影响投标报价的其他要素。</w:t>
      </w:r>
    </w:p>
    <w:p w14:paraId="37FEF76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3.2.3 本项目的报价方式见</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须知前附表。</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在投标截止时间前修改投标函中的投标报价总额，应同时修改投标文件“报价表”中的相应报价。此修改须符合本章第4.3款的有关要求。</w:t>
      </w:r>
    </w:p>
    <w:p w14:paraId="15D3A34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3.2.4 招标人设有最高投标限价的，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的投标报价不得超过最高投标限价，最高投标限价在</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须知前附表中载明。</w:t>
      </w:r>
    </w:p>
    <w:p w14:paraId="778FAE7A">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3.2.5 投标报价的其他要求见</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须知前附表。</w:t>
      </w:r>
    </w:p>
    <w:p w14:paraId="0B5BB2B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F51B95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2" w:name="_Toc111186745"/>
      <w:bookmarkStart w:id="73" w:name="_Toc193357960"/>
      <w:bookmarkStart w:id="74" w:name="_Toc7276"/>
      <w:r>
        <w:rPr>
          <w:rFonts w:hint="eastAsia" w:ascii="宋体" w:hAnsi="宋体" w:eastAsia="宋体" w:cs="宋体"/>
          <w:b/>
          <w:bCs/>
          <w:color w:val="auto"/>
          <w:spacing w:val="1"/>
          <w:sz w:val="28"/>
          <w:szCs w:val="32"/>
          <w:highlight w:val="none"/>
          <w:lang w:val="zh-CN"/>
        </w:rPr>
        <w:t>3.3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72"/>
      <w:bookmarkEnd w:id="73"/>
      <w:bookmarkEnd w:id="74"/>
    </w:p>
    <w:p w14:paraId="7CCF57A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须知前附表另有规定外，投标有效期不少于</w:t>
      </w:r>
      <w:r>
        <w:rPr>
          <w:rFonts w:hint="eastAsia" w:ascii="宋体" w:hAnsi="宋体" w:eastAsia="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rPr>
        <w:t>天。</w:t>
      </w:r>
    </w:p>
    <w:p w14:paraId="73DD226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在投标有效期内，</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撤销投标文件的，应承担招标文件和法律规定的责任。</w:t>
      </w:r>
    </w:p>
    <w:p w14:paraId="512C1E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出现特殊情况需要延长投标有效期的，招标人以书面形式通知所有</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延长投标有效期。</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应予以书面答复，同意延长的，</w:t>
      </w:r>
      <w:r>
        <w:rPr>
          <w:rFonts w:hint="eastAsia" w:ascii="宋体" w:hAnsi="宋体" w:eastAsia="宋体" w:cs="宋体"/>
          <w:strike/>
          <w:color w:val="auto"/>
          <w:kern w:val="0"/>
          <w:sz w:val="24"/>
          <w:szCs w:val="24"/>
          <w:highlight w:val="none"/>
        </w:rPr>
        <w:t>应相应延长其投标保证金的有效期，但</w:t>
      </w:r>
      <w:r>
        <w:rPr>
          <w:rFonts w:hint="eastAsia" w:ascii="宋体" w:hAnsi="宋体" w:eastAsia="宋体" w:cs="宋体"/>
          <w:color w:val="auto"/>
          <w:kern w:val="0"/>
          <w:sz w:val="24"/>
          <w:szCs w:val="24"/>
          <w:highlight w:val="none"/>
        </w:rPr>
        <w:t>不得要求或被允许修改其投标文件；</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拒绝延长的，其投标失效</w:t>
      </w:r>
      <w:r>
        <w:rPr>
          <w:rFonts w:hint="eastAsia" w:ascii="宋体" w:hAnsi="宋体" w:eastAsia="宋体" w:cs="宋体"/>
          <w:strike/>
          <w:color w:val="auto"/>
          <w:kern w:val="0"/>
          <w:sz w:val="24"/>
          <w:szCs w:val="24"/>
          <w:highlight w:val="none"/>
        </w:rPr>
        <w:t>，但</w:t>
      </w:r>
      <w:r>
        <w:rPr>
          <w:rFonts w:hint="eastAsia" w:ascii="宋体" w:hAnsi="宋体" w:eastAsia="宋体" w:cs="宋体"/>
          <w:strike/>
          <w:color w:val="auto"/>
          <w:kern w:val="0"/>
          <w:sz w:val="24"/>
          <w:szCs w:val="24"/>
          <w:highlight w:val="none"/>
          <w:lang w:eastAsia="zh-CN"/>
        </w:rPr>
        <w:t>投标人</w:t>
      </w:r>
      <w:r>
        <w:rPr>
          <w:rFonts w:hint="eastAsia" w:ascii="宋体" w:hAnsi="宋体" w:eastAsia="宋体" w:cs="宋体"/>
          <w:strike/>
          <w:color w:val="auto"/>
          <w:kern w:val="0"/>
          <w:sz w:val="24"/>
          <w:szCs w:val="24"/>
          <w:highlight w:val="none"/>
        </w:rPr>
        <w:t>有权收回其投标保证金及以现金或者支票形式递交的投标保证金的银行同期存款利息</w:t>
      </w:r>
      <w:r>
        <w:rPr>
          <w:rFonts w:hint="eastAsia" w:ascii="宋体" w:hAnsi="宋体" w:eastAsia="宋体" w:cs="宋体"/>
          <w:color w:val="auto"/>
          <w:kern w:val="0"/>
          <w:sz w:val="24"/>
          <w:szCs w:val="24"/>
          <w:highlight w:val="none"/>
        </w:rPr>
        <w:t>。</w:t>
      </w:r>
    </w:p>
    <w:p w14:paraId="2A71EAE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F52977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5" w:name="_Toc193357961"/>
      <w:bookmarkStart w:id="76" w:name="_Toc111186746"/>
      <w:bookmarkStart w:id="77" w:name="_Toc3821"/>
      <w:r>
        <w:rPr>
          <w:rFonts w:hint="eastAsia" w:ascii="宋体" w:hAnsi="宋体" w:eastAsia="宋体" w:cs="宋体"/>
          <w:b/>
          <w:bCs/>
          <w:color w:val="auto"/>
          <w:spacing w:val="1"/>
          <w:sz w:val="28"/>
          <w:szCs w:val="32"/>
          <w:highlight w:val="none"/>
          <w:lang w:val="zh-CN"/>
        </w:rPr>
        <w:t>3.4 投标保证金</w:t>
      </w:r>
      <w:bookmarkEnd w:id="75"/>
      <w:bookmarkEnd w:id="76"/>
      <w:bookmarkEnd w:id="77"/>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en-US" w:eastAsia="zh-CN"/>
        </w:rPr>
        <w:t>本项目不适用</w:t>
      </w:r>
      <w:r>
        <w:rPr>
          <w:rFonts w:hint="eastAsia" w:ascii="宋体" w:hAnsi="宋体" w:eastAsia="宋体" w:cs="宋体"/>
          <w:b/>
          <w:bCs/>
          <w:color w:val="auto"/>
          <w:spacing w:val="1"/>
          <w:sz w:val="28"/>
          <w:szCs w:val="32"/>
          <w:highlight w:val="none"/>
          <w:lang w:val="zh-CN"/>
        </w:rPr>
        <w:t>）</w:t>
      </w:r>
    </w:p>
    <w:p w14:paraId="3838DF5E">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 xml:space="preserve">3.4.1 </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应按</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须知前附表规定的金额和时间递交投标保证金。招标人应当允许</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自主选择现金、银行保函、保证保险、专业工程担保公司担保等方式缴纳投标保证金。采用现金或者支票形式提交的，投标保证金须从</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的银行基本账户转出。联合体投标的，其投标保证金可以由主办方递交，并应符合</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须知前附表的规定。</w:t>
      </w:r>
    </w:p>
    <w:p w14:paraId="570C4395">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 xml:space="preserve">3.4.2 </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不按本章第3.4.1项要求提交投标保证金的，评标委员会将否决其投标。未按招标文件要求提交符合免予提供投标保证金相关证明材料，且未提交投标保证金的</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，视为未按要求提供投标保证金。</w:t>
      </w:r>
    </w:p>
    <w:p w14:paraId="6052CA9F">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3.4.3 中标候选人以外的</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的投标保证金将尽快退还，最迟不超过中标通知书发出之日起五日内；</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和其他中标候选人的投标保证金，在书面合同订立之日起五日内予以退还。投标保证金以现金或者支票形式递交的，还应退还银行同期存款利息。</w:t>
      </w:r>
    </w:p>
    <w:p w14:paraId="3549F101">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3.4.4 在提交投标文件截止时间后到招标文件规定的投标有效期终止之前，</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不得撤销其投标文件，否则招标人可以不退还投标保证金。</w:t>
      </w:r>
    </w:p>
    <w:p w14:paraId="14A8AC83">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3.4.5 有下列情形之一的，投标保证金将不予退还：</w:t>
      </w:r>
    </w:p>
    <w:p w14:paraId="3D7904E1">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（1）</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在提交投标文件截止时间后到招标文件规定的投标有效期终止之前撤销投标文件；</w:t>
      </w:r>
    </w:p>
    <w:p w14:paraId="3A62D68B">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（2）</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在收到中标通知书后，无正当理由不与招标人订立合同，在签订合同时向招标人提出附加条件，或者不按照招标文件要求提交履约保证金；</w:t>
      </w:r>
    </w:p>
    <w:p w14:paraId="62BD8167">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（3）发生</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须知前附表规定的其他可以不予退还投标保证金的情形。</w:t>
      </w:r>
    </w:p>
    <w:p w14:paraId="2DA025F9">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3.4.6 若采用纸质银行保函的，</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应将纸质银行保函以扫描件形式作为资格审查文件的组成部分，纸质银行保函原件在中标候选人确定后由招标人收取。若采用电子银行保函的，招标人在资格审查页面查看电子银行保函，</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申请的电子银行保函时间应确保在截标之前。若采用保证保险的，</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在投标时提交其与保险公司签订的投标保证金合同或保险单的，应视同已经缴纳投标保证金或提供银行保函。保费必须通过</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0634745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C82F2C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8" w:name="_Toc19411"/>
      <w:bookmarkStart w:id="79" w:name="_Toc193357963"/>
      <w:bookmarkStart w:id="80" w:name="_Toc111186747"/>
      <w:r>
        <w:rPr>
          <w:rFonts w:hint="eastAsia" w:ascii="宋体" w:hAnsi="宋体" w:eastAsia="宋体" w:cs="宋体"/>
          <w:b/>
          <w:bCs/>
          <w:color w:val="auto"/>
          <w:spacing w:val="1"/>
          <w:sz w:val="28"/>
          <w:szCs w:val="32"/>
          <w:highlight w:val="none"/>
          <w:lang w:val="zh-CN"/>
        </w:rPr>
        <w:t>3.5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78"/>
      <w:bookmarkEnd w:id="79"/>
      <w:bookmarkEnd w:id="80"/>
    </w:p>
    <w:p w14:paraId="1876113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须知前附表另有规定外，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应按招标公告</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资格要求及下列规定提供资格审查资料，以证明其满足本章第1.4款规定的资质、业绩等要求。</w:t>
      </w:r>
    </w:p>
    <w:p w14:paraId="54DD1608">
      <w:pPr>
        <w:wordWrap w:val="0"/>
        <w:spacing w:line="360" w:lineRule="auto"/>
        <w:ind w:firstLine="480" w:firstLineChars="200"/>
        <w:rPr>
          <w:rFonts w:ascii="宋体" w:hAnsi="宋体" w:eastAsia="宋体" w:cs="宋体"/>
          <w:strike/>
          <w:dstrike w:val="0"/>
          <w:color w:val="auto"/>
          <w:sz w:val="24"/>
          <w:szCs w:val="24"/>
          <w:highlight w:val="none"/>
          <w:u w:val="single"/>
        </w:rPr>
      </w:pPr>
      <w:r>
        <w:rPr>
          <w:rFonts w:hint="eastAsia" w:ascii="宋体" w:hAnsi="宋体" w:eastAsia="宋体" w:cs="宋体"/>
          <w:color w:val="auto"/>
          <w:kern w:val="0"/>
          <w:sz w:val="24"/>
          <w:szCs w:val="24"/>
          <w:highlight w:val="none"/>
        </w:rPr>
        <w:t xml:space="preserve">3.5.1 </w:t>
      </w:r>
      <w:r>
        <w:rPr>
          <w:rFonts w:hint="eastAsia" w:ascii="宋体" w:hAnsi="宋体" w:eastAsia="宋体" w:cs="宋体"/>
          <w:b/>
          <w:bCs/>
          <w:color w:val="auto"/>
          <w:kern w:val="0"/>
          <w:sz w:val="24"/>
          <w:szCs w:val="24"/>
          <w:highlight w:val="none"/>
          <w:u w:val="single"/>
        </w:rPr>
        <w:t>资格审查资料详见第六章“投标文件格式”。</w:t>
      </w:r>
    </w:p>
    <w:p w14:paraId="301995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718BE2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1" w:name="_Toc193357964"/>
      <w:bookmarkStart w:id="82" w:name="_Toc111186748"/>
      <w:bookmarkStart w:id="83" w:name="_Toc10646"/>
      <w:r>
        <w:rPr>
          <w:rFonts w:hint="eastAsia" w:ascii="宋体" w:hAnsi="宋体" w:eastAsia="宋体" w:cs="宋体"/>
          <w:b/>
          <w:bCs/>
          <w:color w:val="auto"/>
          <w:spacing w:val="1"/>
          <w:sz w:val="28"/>
          <w:szCs w:val="32"/>
          <w:highlight w:val="none"/>
          <w:lang w:val="zh-CN"/>
        </w:rPr>
        <w:t>3.6 备选投标方案</w:t>
      </w:r>
      <w:bookmarkEnd w:id="81"/>
      <w:bookmarkEnd w:id="82"/>
      <w:bookmarkEnd w:id="83"/>
    </w:p>
    <w:p w14:paraId="216B97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 除</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须知前附表规定允许外，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不得递交备选投标方案，否则其投标将被否决。</w:t>
      </w:r>
    </w:p>
    <w:p w14:paraId="1FF4D20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允许</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递交备选投标方案的，只有</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所递交的备选投标方案方可予以考虑。评标委员会认为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的备选投标方案优于其按照招标文件要求编制的投标方案的，招标人可以接受该备选投标方案。</w:t>
      </w:r>
    </w:p>
    <w:p w14:paraId="55F98BF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提供两个或两个以上投标报价，或者在投标文件中提供一个报价，但同时提供两个或两个以上</w:t>
      </w:r>
      <w:r>
        <w:rPr>
          <w:rFonts w:hint="eastAsia" w:ascii="宋体" w:hAnsi="宋体" w:eastAsia="宋体"/>
          <w:b/>
          <w:bCs/>
          <w:strike w:val="0"/>
          <w:dstrike w:val="0"/>
          <w:color w:val="auto"/>
          <w:sz w:val="24"/>
          <w:szCs w:val="24"/>
          <w:highlight w:val="none"/>
          <w:u w:val="single"/>
          <w:lang w:val="en-US" w:eastAsia="zh-CN"/>
        </w:rPr>
        <w:t>技术</w:t>
      </w:r>
      <w:r>
        <w:rPr>
          <w:rFonts w:hint="eastAsia" w:ascii="宋体" w:hAnsi="宋体" w:eastAsia="宋体" w:cs="宋体"/>
          <w:color w:val="auto"/>
          <w:kern w:val="0"/>
          <w:sz w:val="24"/>
          <w:szCs w:val="24"/>
          <w:highlight w:val="none"/>
        </w:rPr>
        <w:t>方案的，视为提供备选方案。</w:t>
      </w:r>
    </w:p>
    <w:p w14:paraId="4FA0EEC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8FDF1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4" w:name="_Toc111186749"/>
      <w:bookmarkStart w:id="85" w:name="_Toc193357965"/>
      <w:bookmarkStart w:id="86" w:name="_Toc7643"/>
      <w:r>
        <w:rPr>
          <w:rFonts w:hint="eastAsia" w:ascii="宋体" w:hAnsi="宋体" w:eastAsia="宋体" w:cs="宋体"/>
          <w:b/>
          <w:bCs/>
          <w:color w:val="auto"/>
          <w:spacing w:val="1"/>
          <w:sz w:val="28"/>
          <w:szCs w:val="32"/>
          <w:highlight w:val="none"/>
          <w:lang w:val="zh-CN"/>
        </w:rPr>
        <w:t>3.7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84"/>
      <w:bookmarkEnd w:id="85"/>
      <w:bookmarkEnd w:id="86"/>
    </w:p>
    <w:p w14:paraId="250E5551">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C081739">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 投标文件应当对招标文件有关服务期限、投标有效期、发包人要求、招标范围等实质性内容作出响应。</w:t>
      </w:r>
    </w:p>
    <w:p w14:paraId="26D034D1">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50CD068C">
      <w:pPr>
        <w:wordWrap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3.7.4 联合体投标时，</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封面及其他内容落款中的“</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身份证明，若由联合体主办方法定代表人授权签字的电子投标文件需提供法定代表人身份证明及其授权委托书、授权委托人身份证扫描件。</w:t>
      </w:r>
    </w:p>
    <w:p w14:paraId="39B38C4F">
      <w:pPr>
        <w:wordWrap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3.7.5 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w:t>
      </w:r>
    </w:p>
    <w:p w14:paraId="184E920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6CE767">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7" w:name="_Toc193357966"/>
      <w:bookmarkStart w:id="88" w:name="_Toc111186750"/>
      <w:bookmarkStart w:id="89" w:name="_Toc30610"/>
      <w:r>
        <w:rPr>
          <w:rFonts w:hint="eastAsia" w:ascii="宋体" w:hAnsi="宋体" w:eastAsia="宋体" w:cs="宋体"/>
          <w:b/>
          <w:bCs/>
          <w:color w:val="auto"/>
          <w:spacing w:val="1"/>
          <w:kern w:val="0"/>
          <w:sz w:val="30"/>
          <w:szCs w:val="30"/>
          <w:highlight w:val="none"/>
          <w:lang w:val="zh-CN"/>
        </w:rPr>
        <w:t>4</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87"/>
      <w:bookmarkEnd w:id="88"/>
      <w:bookmarkEnd w:id="89"/>
    </w:p>
    <w:p w14:paraId="633D98E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0" w:name="_Toc193357967"/>
      <w:bookmarkStart w:id="91" w:name="_Toc26954"/>
      <w:bookmarkStart w:id="92" w:name="_Toc111186751"/>
      <w:r>
        <w:rPr>
          <w:rFonts w:hint="eastAsia" w:ascii="宋体" w:hAnsi="宋体" w:eastAsia="宋体" w:cs="宋体"/>
          <w:b/>
          <w:bCs/>
          <w:color w:val="auto"/>
          <w:spacing w:val="1"/>
          <w:sz w:val="28"/>
          <w:szCs w:val="32"/>
          <w:highlight w:val="none"/>
          <w:lang w:val="zh-CN"/>
        </w:rPr>
        <w:t>4.1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90"/>
      <w:bookmarkEnd w:id="91"/>
      <w:bookmarkEnd w:id="92"/>
    </w:p>
    <w:p w14:paraId="208AA55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4.1.1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应当按照招标文件和电子招标投标交易平台的要求加密投标文件（不含备用光盘），具体要求见</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w:t>
      </w:r>
    </w:p>
    <w:p w14:paraId="533255A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（如有）投标文件备用光盘封套上应写明的内容见</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w:t>
      </w:r>
    </w:p>
    <w:p w14:paraId="682A10A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未按本章第4.1.1项要求加密的投标文件，招标人将授权</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网站交易平台予以拒收。</w:t>
      </w:r>
    </w:p>
    <w:p w14:paraId="7E849EF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17ED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3" w:name="_Toc193357968"/>
      <w:bookmarkStart w:id="94" w:name="_Toc111186752"/>
      <w:bookmarkStart w:id="95" w:name="_Toc28727"/>
      <w:r>
        <w:rPr>
          <w:rFonts w:hint="eastAsia" w:ascii="宋体" w:hAnsi="宋体" w:eastAsia="宋体" w:cs="宋体"/>
          <w:b/>
          <w:bCs/>
          <w:color w:val="auto"/>
          <w:spacing w:val="1"/>
          <w:sz w:val="28"/>
          <w:szCs w:val="32"/>
          <w:highlight w:val="none"/>
          <w:lang w:val="zh-CN"/>
        </w:rPr>
        <w:t>4.2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93"/>
      <w:bookmarkEnd w:id="94"/>
      <w:bookmarkEnd w:id="95"/>
    </w:p>
    <w:p w14:paraId="2F337BB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应在</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须知前附表规定的投标截止时间前</w:t>
      </w:r>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r>
        <w:rPr>
          <w:rFonts w:ascii="宋体" w:hAnsi="宋体" w:eastAsia="宋体" w:cs="宋体"/>
          <w:color w:val="auto"/>
          <w:kern w:val="0"/>
          <w:sz w:val="24"/>
          <w:szCs w:val="24"/>
          <w:highlight w:val="none"/>
        </w:rPr>
        <w:t>。</w:t>
      </w:r>
    </w:p>
    <w:p w14:paraId="07422C7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发出递交回执通知。递交时间以递交回执通知载明的传输完成时间为准</w:t>
      </w:r>
      <w:r>
        <w:rPr>
          <w:rFonts w:ascii="宋体" w:hAnsi="宋体" w:eastAsia="宋体" w:cs="宋体"/>
          <w:color w:val="auto"/>
          <w:kern w:val="0"/>
          <w:sz w:val="24"/>
          <w:szCs w:val="24"/>
          <w:highlight w:val="none"/>
        </w:rPr>
        <w:t>。</w:t>
      </w:r>
    </w:p>
    <w:p w14:paraId="305BAB0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1F66E2A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rPr>
        <w:t>4 投标截止前，招标人拒绝接收符合条件的投标文件，</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可向招标监督机构投诉</w:t>
      </w:r>
      <w:r>
        <w:rPr>
          <w:rFonts w:ascii="宋体" w:hAnsi="宋体" w:eastAsia="宋体" w:cs="宋体"/>
          <w:color w:val="auto"/>
          <w:kern w:val="0"/>
          <w:sz w:val="24"/>
          <w:szCs w:val="24"/>
          <w:highlight w:val="none"/>
        </w:rPr>
        <w:t>。</w:t>
      </w:r>
    </w:p>
    <w:p w14:paraId="1DA2855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3B51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6" w:name="_Toc32035"/>
      <w:bookmarkStart w:id="97" w:name="_Toc111186753"/>
      <w:bookmarkStart w:id="98" w:name="_Toc193357969"/>
      <w:r>
        <w:rPr>
          <w:rFonts w:hint="eastAsia" w:ascii="宋体" w:hAnsi="宋体" w:eastAsia="宋体" w:cs="宋体"/>
          <w:b/>
          <w:bCs/>
          <w:color w:val="auto"/>
          <w:spacing w:val="1"/>
          <w:sz w:val="28"/>
          <w:szCs w:val="32"/>
          <w:highlight w:val="none"/>
          <w:lang w:val="zh-CN"/>
        </w:rPr>
        <w:t>4.3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96"/>
      <w:bookmarkEnd w:id="97"/>
      <w:bookmarkEnd w:id="98"/>
    </w:p>
    <w:p w14:paraId="51588E3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可以修改或撤回已递交的投标文件，但应以书面形式通知招标人。</w:t>
      </w:r>
    </w:p>
    <w:p w14:paraId="1868F46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修改或撤回已递交投标文件，需在交易平台发出修改或撤回通知，并按要求加盖电子印章。电子招标投标交易平台收到通知后，即时向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发出确认回执通知。</w:t>
      </w:r>
    </w:p>
    <w:p w14:paraId="5D055C7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修改后再次递交的，按第4.2项的规定执行。</w:t>
      </w:r>
    </w:p>
    <w:p w14:paraId="6612986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 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不得补充、修改和更换投标文件。</w:t>
      </w:r>
    </w:p>
    <w:p w14:paraId="62DEAF4E">
      <w:pPr>
        <w:wordWrap w:val="0"/>
        <w:spacing w:line="360" w:lineRule="auto"/>
        <w:ind w:firstLine="480" w:firstLineChars="200"/>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 xml:space="preserve">4.3.5 </w:t>
      </w:r>
      <w:r>
        <w:rPr>
          <w:rFonts w:hint="eastAsia" w:ascii="宋体" w:hAnsi="宋体" w:eastAsia="宋体" w:cs="宋体"/>
          <w:strike/>
          <w:color w:val="auto"/>
          <w:sz w:val="24"/>
          <w:szCs w:val="24"/>
          <w:highlight w:val="none"/>
          <w:lang w:eastAsia="zh-CN"/>
        </w:rPr>
        <w:t>投标人</w:t>
      </w:r>
      <w:r>
        <w:rPr>
          <w:rFonts w:hint="eastAsia" w:ascii="宋体" w:hAnsi="宋体" w:eastAsia="宋体" w:cs="宋体"/>
          <w:strike/>
          <w:color w:val="auto"/>
          <w:sz w:val="24"/>
          <w:szCs w:val="24"/>
          <w:highlight w:val="none"/>
        </w:rPr>
        <w:t>撤回投标文件的，招标人自收到</w:t>
      </w:r>
      <w:r>
        <w:rPr>
          <w:rFonts w:hint="eastAsia" w:ascii="宋体" w:hAnsi="宋体" w:eastAsia="宋体" w:cs="宋体"/>
          <w:strike/>
          <w:color w:val="auto"/>
          <w:sz w:val="24"/>
          <w:szCs w:val="24"/>
          <w:highlight w:val="none"/>
          <w:lang w:eastAsia="zh-CN"/>
        </w:rPr>
        <w:t>投标人</w:t>
      </w:r>
      <w:r>
        <w:rPr>
          <w:rFonts w:hint="eastAsia" w:ascii="宋体" w:hAnsi="宋体" w:eastAsia="宋体" w:cs="宋体"/>
          <w:strike/>
          <w:color w:val="auto"/>
          <w:sz w:val="24"/>
          <w:szCs w:val="24"/>
          <w:highlight w:val="none"/>
        </w:rPr>
        <w:t>书面撤回通知之日起5日内退还已收取的投标保证金。</w:t>
      </w:r>
    </w:p>
    <w:p w14:paraId="3612F75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4BB0786">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99" w:name="_Toc3959"/>
      <w:bookmarkStart w:id="100" w:name="_Toc193357970"/>
      <w:bookmarkStart w:id="101" w:name="_Toc111186754"/>
      <w:r>
        <w:rPr>
          <w:rFonts w:hint="eastAsia" w:ascii="宋体" w:hAnsi="宋体" w:eastAsia="宋体" w:cs="宋体"/>
          <w:b/>
          <w:bCs/>
          <w:color w:val="auto"/>
          <w:spacing w:val="1"/>
          <w:kern w:val="0"/>
          <w:sz w:val="30"/>
          <w:szCs w:val="30"/>
          <w:highlight w:val="none"/>
          <w:lang w:val="zh-CN"/>
        </w:rPr>
        <w:t>5</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99"/>
      <w:bookmarkEnd w:id="100"/>
      <w:bookmarkEnd w:id="101"/>
    </w:p>
    <w:p w14:paraId="61E300F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2" w:name="_Toc111186756"/>
      <w:bookmarkStart w:id="103" w:name="_Toc27261"/>
      <w:bookmarkStart w:id="104" w:name="_Toc25072089"/>
      <w:bookmarkStart w:id="105" w:name="_Toc193357972"/>
      <w:r>
        <w:rPr>
          <w:rFonts w:hint="eastAsia" w:ascii="宋体" w:hAnsi="宋体" w:eastAsia="宋体" w:cs="宋体"/>
          <w:b/>
          <w:bCs/>
          <w:color w:val="auto"/>
          <w:spacing w:val="1"/>
          <w:sz w:val="28"/>
          <w:szCs w:val="32"/>
          <w:highlight w:val="none"/>
          <w:lang w:val="zh-CN"/>
        </w:rPr>
        <w:t>5.1 开标时间和地点</w:t>
      </w:r>
      <w:bookmarkEnd w:id="102"/>
      <w:bookmarkEnd w:id="103"/>
      <w:bookmarkEnd w:id="104"/>
      <w:bookmarkEnd w:id="105"/>
    </w:p>
    <w:p w14:paraId="0D9C92D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招标人按投标须知前附表规定的时间和地点公开开标。截标后，开标开始时间因故推迟的，相关评标信息仍以原定的开标开始时间的信息为准。</w:t>
      </w:r>
    </w:p>
    <w:p w14:paraId="29ADDEF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开标方式采用电子开标和现场开标两种模式，</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可选择在开标室参与开标或准时在线参加开标，也可不参加开标。参加在线开标的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登录交易平台实时查看开标、唱标情况。交易平台生成开标记录并向社会公众公布。</w:t>
      </w:r>
    </w:p>
    <w:p w14:paraId="07E2A6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2138D0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6" w:name="_Toc20443"/>
      <w:bookmarkStart w:id="107" w:name="_Toc193357973"/>
      <w:bookmarkStart w:id="108" w:name="_Toc111186757"/>
      <w:r>
        <w:rPr>
          <w:rFonts w:hint="eastAsia" w:ascii="宋体" w:hAnsi="宋体" w:eastAsia="宋体" w:cs="宋体"/>
          <w:b/>
          <w:bCs/>
          <w:color w:val="auto"/>
          <w:spacing w:val="1"/>
          <w:sz w:val="28"/>
          <w:szCs w:val="32"/>
          <w:highlight w:val="none"/>
          <w:lang w:val="zh-CN"/>
        </w:rPr>
        <w:t>5.2 开标程序</w:t>
      </w:r>
      <w:bookmarkEnd w:id="106"/>
      <w:bookmarkEnd w:id="107"/>
      <w:bookmarkEnd w:id="108"/>
    </w:p>
    <w:p w14:paraId="6305235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在投标截止时间后一小时内，</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通过递交投标文件的交易平台对已递交的电子投标文件进行解密。</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完成解密后，再由招标人进行解密。解密完成后，公布招标项目名称、</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strike/>
          <w:dstrike w:val="0"/>
          <w:color w:val="auto"/>
          <w:kern w:val="0"/>
          <w:sz w:val="24"/>
          <w:szCs w:val="24"/>
          <w:highlight w:val="none"/>
        </w:rPr>
        <w:t>、投标保证金的递交情况</w:t>
      </w:r>
      <w:r>
        <w:rPr>
          <w:rFonts w:hint="eastAsia" w:ascii="宋体" w:hAnsi="宋体" w:eastAsia="宋体" w:cs="宋体"/>
          <w:color w:val="auto"/>
          <w:kern w:val="0"/>
          <w:sz w:val="24"/>
          <w:szCs w:val="24"/>
          <w:highlight w:val="none"/>
        </w:rPr>
        <w:t>、投标报价、项目负责人及其他内容。未在规定时间内解密的投标文件不参与开标、评标。</w:t>
      </w:r>
    </w:p>
    <w:p w14:paraId="006DAE9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按开标记录表规定的内容进行唱标。</w:t>
      </w:r>
    </w:p>
    <w:p w14:paraId="0ABD407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代表、招标人代表等有关人员在开标记录上签字确认；若有关人员不签字的，不影响开标程序。</w:t>
      </w:r>
    </w:p>
    <w:p w14:paraId="180B1B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5.2.4 开标结束。</w:t>
      </w:r>
    </w:p>
    <w:p w14:paraId="438DFE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5.2.5 投标截止时间前未完成投标文件传输的或因</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之外的原因造成投标文件未解密且未按要求递交备用光盘的，视为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撤回投标文件。因</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原因造成投标文件未解密或未在规定的时间内解密的，视为撤销其投标文件。</w:t>
      </w:r>
    </w:p>
    <w:p w14:paraId="44517E6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 开标时，两个（含两个）以上的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加密打包投标文件的硬件特征码（含MAC地址、硬盘序列号、CPU名称、主板等）一致的，由评标委员会否决其投标。</w:t>
      </w:r>
    </w:p>
    <w:p w14:paraId="5094C5A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455C35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9" w:name="_Toc193357974"/>
      <w:bookmarkStart w:id="110" w:name="_Toc111186758"/>
      <w:bookmarkStart w:id="111" w:name="_Toc26094"/>
      <w:r>
        <w:rPr>
          <w:rFonts w:hint="eastAsia" w:ascii="宋体" w:hAnsi="宋体" w:eastAsia="宋体" w:cs="宋体"/>
          <w:b/>
          <w:bCs/>
          <w:color w:val="auto"/>
          <w:spacing w:val="1"/>
          <w:sz w:val="28"/>
          <w:szCs w:val="32"/>
          <w:highlight w:val="none"/>
          <w:lang w:val="zh-CN"/>
        </w:rPr>
        <w:t>5.3 开标异议</w:t>
      </w:r>
      <w:bookmarkEnd w:id="109"/>
      <w:bookmarkEnd w:id="110"/>
      <w:bookmarkEnd w:id="111"/>
    </w:p>
    <w:p w14:paraId="4F58945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1 参加现场开标的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对开标结果有异议的，应当在开标现场提出，该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代表须同时出示本人身份证原件，招标人应当当场作出答复，并制作记录。未答复的，开标程序不得结束。</w:t>
      </w:r>
    </w:p>
    <w:p w14:paraId="36954F4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2 参加在线开标的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对开标结果有异议的，应当在唱标结束后的规定时间内使用单位数字证书登录</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2D8A7B4A">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未参加开标或在规定的时间内未提出异议的，视为对开标无异议。</w:t>
      </w:r>
    </w:p>
    <w:p w14:paraId="72C362A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C62687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2" w:name="_Toc193357975"/>
      <w:bookmarkStart w:id="113" w:name="_Toc111186759"/>
      <w:bookmarkStart w:id="114" w:name="_Toc27043"/>
      <w:r>
        <w:rPr>
          <w:rFonts w:hint="eastAsia" w:ascii="宋体" w:hAnsi="宋体" w:eastAsia="宋体" w:cs="宋体"/>
          <w:b/>
          <w:bCs/>
          <w:color w:val="auto"/>
          <w:spacing w:val="1"/>
          <w:kern w:val="0"/>
          <w:sz w:val="30"/>
          <w:szCs w:val="30"/>
          <w:highlight w:val="none"/>
          <w:lang w:val="zh-CN"/>
        </w:rPr>
        <w:t>6</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12"/>
      <w:bookmarkEnd w:id="113"/>
      <w:bookmarkEnd w:id="114"/>
    </w:p>
    <w:p w14:paraId="7E371C0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5" w:name="_Toc111186760"/>
      <w:bookmarkStart w:id="116" w:name="_Toc193357976"/>
      <w:bookmarkStart w:id="117" w:name="_Toc874"/>
      <w:r>
        <w:rPr>
          <w:rFonts w:hint="eastAsia" w:ascii="宋体" w:hAnsi="宋体" w:eastAsia="宋体" w:cs="宋体"/>
          <w:b/>
          <w:bCs/>
          <w:color w:val="auto"/>
          <w:spacing w:val="1"/>
          <w:sz w:val="28"/>
          <w:szCs w:val="32"/>
          <w:highlight w:val="none"/>
          <w:lang w:val="zh-CN"/>
        </w:rPr>
        <w:t>6.1 评标委员会</w:t>
      </w:r>
      <w:bookmarkEnd w:id="115"/>
      <w:bookmarkEnd w:id="116"/>
      <w:bookmarkEnd w:id="117"/>
    </w:p>
    <w:p w14:paraId="38223CB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6.1.1 评标由招标人依法组建的评标委员会负责。</w:t>
      </w:r>
      <w:r>
        <w:rPr>
          <w:rFonts w:hint="eastAsia" w:ascii="宋体" w:hAnsi="宋体" w:eastAsia="宋体" w:cs="宋体"/>
          <w:color w:val="auto"/>
          <w:kern w:val="0"/>
          <w:sz w:val="24"/>
          <w:szCs w:val="24"/>
          <w:highlight w:val="none"/>
        </w:rPr>
        <w:t>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中抽取或按远程异地评标专家抽取相关规定组建</w:t>
      </w:r>
      <w:r>
        <w:rPr>
          <w:rFonts w:ascii="宋体" w:hAnsi="宋体" w:eastAsia="宋体" w:cs="宋体"/>
          <w:color w:val="auto"/>
          <w:kern w:val="0"/>
          <w:sz w:val="24"/>
          <w:szCs w:val="24"/>
          <w:highlight w:val="none"/>
        </w:rPr>
        <w:t>。评标委员会成员人数以及技术、经济等方面专家的确定方式见</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须知前附表。</w:t>
      </w:r>
    </w:p>
    <w:p w14:paraId="2E7595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59B3DEC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（1）投标人</w:t>
      </w:r>
      <w:r>
        <w:rPr>
          <w:rFonts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主要负责人的近亲属；</w:t>
      </w:r>
    </w:p>
    <w:p w14:paraId="2B3DCF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ascii="宋体" w:hAnsi="宋体" w:eastAsia="宋体" w:cs="宋体"/>
          <w:color w:val="auto"/>
          <w:kern w:val="0"/>
          <w:sz w:val="24"/>
          <w:szCs w:val="24"/>
          <w:highlight w:val="none"/>
        </w:rPr>
        <w:t>项目主管部门或者行政监督部门的人员；</w:t>
      </w:r>
    </w:p>
    <w:p w14:paraId="01EF9DD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招标人或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的工作人员、退休或离职未满3年的人员；</w:t>
      </w:r>
    </w:p>
    <w:p w14:paraId="09DE63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（4）</w:t>
      </w:r>
      <w:r>
        <w:rPr>
          <w:rFonts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有经济利益关系，可能影响对投标公正评审的；</w:t>
      </w:r>
    </w:p>
    <w:p w14:paraId="1D35C97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（5）</w:t>
      </w:r>
      <w:r>
        <w:rPr>
          <w:rFonts w:ascii="宋体" w:hAnsi="宋体" w:eastAsia="宋体" w:cs="宋体"/>
          <w:color w:val="auto"/>
          <w:kern w:val="0"/>
          <w:sz w:val="24"/>
          <w:szCs w:val="24"/>
          <w:highlight w:val="none"/>
        </w:rPr>
        <w:t>曾因在招标、评标以及其他与招标投标有关活动中从事违法行为而受过行政处罚或刑事处罚的；</w:t>
      </w:r>
    </w:p>
    <w:p w14:paraId="378B2C8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（6）</w:t>
      </w:r>
      <w:r>
        <w:rPr>
          <w:rFonts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有其他利害关系。</w:t>
      </w:r>
    </w:p>
    <w:p w14:paraId="0A4E6EE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7A97B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7874F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8" w:name="_Toc193357977"/>
      <w:bookmarkStart w:id="119" w:name="_Toc9043"/>
      <w:bookmarkStart w:id="120" w:name="_Toc111186761"/>
      <w:r>
        <w:rPr>
          <w:rFonts w:hint="eastAsia" w:ascii="宋体" w:hAnsi="宋体" w:eastAsia="宋体" w:cs="宋体"/>
          <w:b/>
          <w:bCs/>
          <w:color w:val="auto"/>
          <w:spacing w:val="1"/>
          <w:sz w:val="28"/>
          <w:szCs w:val="32"/>
          <w:highlight w:val="none"/>
          <w:lang w:val="zh-CN"/>
        </w:rPr>
        <w:t>6.2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18"/>
      <w:bookmarkEnd w:id="119"/>
      <w:bookmarkEnd w:id="120"/>
    </w:p>
    <w:p w14:paraId="7C01D3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57F9E0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83AB10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1" w:name="_Toc193357978"/>
      <w:bookmarkStart w:id="122" w:name="_Toc111186762"/>
      <w:bookmarkStart w:id="123" w:name="_Toc10255"/>
      <w:r>
        <w:rPr>
          <w:rFonts w:hint="eastAsia" w:ascii="宋体" w:hAnsi="宋体" w:eastAsia="宋体" w:cs="宋体"/>
          <w:b/>
          <w:bCs/>
          <w:color w:val="auto"/>
          <w:spacing w:val="1"/>
          <w:sz w:val="28"/>
          <w:szCs w:val="32"/>
          <w:highlight w:val="none"/>
          <w:lang w:val="zh-CN"/>
        </w:rPr>
        <w:t>6.3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21"/>
      <w:bookmarkEnd w:id="122"/>
      <w:bookmarkEnd w:id="123"/>
    </w:p>
    <w:p w14:paraId="4779385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0E203A6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w:t>
      </w:r>
      <w:r>
        <w:rPr>
          <w:rFonts w:ascii="宋体" w:hAnsi="宋体" w:eastAsia="宋体" w:cs="宋体"/>
          <w:color w:val="auto"/>
          <w:kern w:val="0"/>
          <w:sz w:val="24"/>
          <w:szCs w:val="24"/>
          <w:highlight w:val="none"/>
        </w:rPr>
        <w:t>须知前附表。</w:t>
      </w:r>
    </w:p>
    <w:p w14:paraId="3D520000">
      <w:pPr>
        <w:wordWrap w:val="0"/>
        <w:spacing w:line="360" w:lineRule="auto"/>
        <w:ind w:firstLine="480" w:firstLineChars="200"/>
        <w:rPr>
          <w:rFonts w:ascii="宋体" w:hAnsi="宋体" w:eastAsia="宋体" w:cs="宋体"/>
          <w:color w:val="auto"/>
          <w:sz w:val="24"/>
          <w:szCs w:val="24"/>
          <w:highlight w:val="none"/>
        </w:rPr>
      </w:pPr>
    </w:p>
    <w:p w14:paraId="16F7FF3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24" w:name="_Toc193357979"/>
      <w:bookmarkStart w:id="125" w:name="_Toc10209"/>
      <w:bookmarkStart w:id="126" w:name="_Toc111186763"/>
      <w:r>
        <w:rPr>
          <w:rFonts w:hint="eastAsia" w:ascii="宋体" w:hAnsi="宋体" w:eastAsia="宋体" w:cs="宋体"/>
          <w:b/>
          <w:bCs/>
          <w:color w:val="auto"/>
          <w:spacing w:val="1"/>
          <w:kern w:val="0"/>
          <w:sz w:val="30"/>
          <w:szCs w:val="30"/>
          <w:highlight w:val="none"/>
          <w:lang w:val="zh-CN"/>
        </w:rPr>
        <w:t>7</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24"/>
      <w:bookmarkEnd w:id="125"/>
      <w:bookmarkEnd w:id="126"/>
    </w:p>
    <w:p w14:paraId="6FA9F24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7" w:name="_Toc193357980"/>
      <w:bookmarkStart w:id="128" w:name="_Toc111186764"/>
      <w:bookmarkStart w:id="129" w:name="_Toc3077"/>
      <w:r>
        <w:rPr>
          <w:rFonts w:hint="eastAsia" w:ascii="宋体" w:hAnsi="宋体" w:eastAsia="宋体" w:cs="宋体"/>
          <w:b/>
          <w:bCs/>
          <w:color w:val="auto"/>
          <w:spacing w:val="1"/>
          <w:sz w:val="28"/>
          <w:szCs w:val="32"/>
          <w:highlight w:val="none"/>
          <w:lang w:val="zh-CN"/>
        </w:rPr>
        <w:t>7.1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27"/>
      <w:bookmarkEnd w:id="128"/>
      <w:bookmarkEnd w:id="129"/>
    </w:p>
    <w:p w14:paraId="500AF9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招标人在收到评标报告之日起3日内，按照</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须知前附表规定的公示媒介和期限公示中标候选人，公示期不得少于3天，最后一天应为工作日。</w:t>
      </w:r>
    </w:p>
    <w:p w14:paraId="4192039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在产生中标候选人后，招标人将中标候选人的投标文件商务部分（包括人员、业绩、奖项等资料）在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4DF59B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14:paraId="74CBB1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B54F7B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0" w:name="_Toc19391"/>
      <w:bookmarkStart w:id="131" w:name="_Toc193357981"/>
      <w:bookmarkStart w:id="132" w:name="_Toc111186765"/>
      <w:r>
        <w:rPr>
          <w:rFonts w:hint="eastAsia" w:ascii="宋体" w:hAnsi="宋体" w:eastAsia="宋体" w:cs="宋体"/>
          <w:b/>
          <w:bCs/>
          <w:color w:val="auto"/>
          <w:spacing w:val="1"/>
          <w:sz w:val="28"/>
          <w:szCs w:val="32"/>
          <w:highlight w:val="none"/>
          <w:lang w:val="zh-CN"/>
        </w:rPr>
        <w:t>7.2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30"/>
      <w:bookmarkEnd w:id="131"/>
      <w:bookmarkEnd w:id="132"/>
    </w:p>
    <w:p w14:paraId="7B4BC6B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或者其他利害关系人对评标结果有异议的，应当在中标候选人公示期间通过电子交易系统提出。招标人将在收到异议之日起3日内在电子交易系统作出答复；作出答复前，将暂停招标投标活动。</w:t>
      </w:r>
    </w:p>
    <w:p w14:paraId="7D03CB0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C0330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3" w:name="_Toc193357982"/>
      <w:bookmarkStart w:id="134" w:name="_Toc111186766"/>
      <w:bookmarkStart w:id="135" w:name="_Toc17235"/>
      <w:r>
        <w:rPr>
          <w:rFonts w:hint="eastAsia" w:ascii="宋体" w:hAnsi="宋体" w:eastAsia="宋体" w:cs="宋体"/>
          <w:b/>
          <w:bCs/>
          <w:color w:val="auto"/>
          <w:spacing w:val="1"/>
          <w:sz w:val="28"/>
          <w:szCs w:val="32"/>
          <w:highlight w:val="none"/>
          <w:lang w:val="zh-CN"/>
        </w:rPr>
        <w:t>7.3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33"/>
      <w:bookmarkEnd w:id="134"/>
      <w:bookmarkEnd w:id="135"/>
    </w:p>
    <w:p w14:paraId="2AAFC40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D9630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6D01B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6" w:name="_Toc193357983"/>
      <w:bookmarkStart w:id="137" w:name="_Toc1732"/>
      <w:bookmarkStart w:id="138" w:name="_Toc111186767"/>
      <w:r>
        <w:rPr>
          <w:rFonts w:hint="eastAsia" w:ascii="宋体" w:hAnsi="宋体" w:eastAsia="宋体" w:cs="宋体"/>
          <w:b/>
          <w:bCs/>
          <w:color w:val="auto"/>
          <w:spacing w:val="1"/>
          <w:sz w:val="28"/>
          <w:szCs w:val="32"/>
          <w:highlight w:val="none"/>
          <w:lang w:val="zh-CN"/>
        </w:rPr>
        <w:t>7.4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36"/>
      <w:bookmarkEnd w:id="137"/>
      <w:bookmarkEnd w:id="138"/>
    </w:p>
    <w:p w14:paraId="14EFF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须知前附表的规定，招标人或招标人授权的评标委员会依法确定</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14:paraId="7F294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887F73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9" w:name="_Toc4759"/>
      <w:bookmarkStart w:id="140" w:name="_Toc111186768"/>
      <w:bookmarkStart w:id="141" w:name="_Toc193357984"/>
      <w:r>
        <w:rPr>
          <w:rFonts w:hint="eastAsia" w:ascii="宋体" w:hAnsi="宋体" w:eastAsia="宋体" w:cs="宋体"/>
          <w:b/>
          <w:bCs/>
          <w:color w:val="auto"/>
          <w:spacing w:val="1"/>
          <w:sz w:val="28"/>
          <w:szCs w:val="32"/>
          <w:highlight w:val="none"/>
          <w:lang w:val="zh-CN"/>
        </w:rPr>
        <w:t>7.5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39"/>
      <w:bookmarkEnd w:id="140"/>
      <w:bookmarkEnd w:id="141"/>
    </w:p>
    <w:p w14:paraId="40A2CB6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在法规规定的时间内，招标人向</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发出中标通知书。在广东省招标投标监管网和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网站发布中标信息，视同将中标结果通知未中标的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14:paraId="3AF3D0D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政府投资项目，中标通知书发出前，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应未被纳入失信惩戒名单，否则招标人将取消其中标资格。失信联合惩戒名单以“信用广州”网站公布的为准。</w:t>
      </w:r>
    </w:p>
    <w:p w14:paraId="630540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773C22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2" w:name="_Toc111186770"/>
      <w:bookmarkStart w:id="143" w:name="_Toc193357986"/>
      <w:bookmarkStart w:id="144" w:name="_Toc5726"/>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en-US" w:eastAsia="zh-CN"/>
        </w:rPr>
        <w:t>6</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42"/>
      <w:bookmarkEnd w:id="143"/>
      <w:bookmarkEnd w:id="144"/>
    </w:p>
    <w:p w14:paraId="408D048D">
      <w:pPr>
        <w:wordWrap w:val="0"/>
        <w:autoSpaceDE w:val="0"/>
        <w:autoSpaceDN w:val="0"/>
        <w:spacing w:line="360" w:lineRule="auto"/>
        <w:ind w:firstLine="480" w:firstLineChars="200"/>
        <w:rPr>
          <w:rFonts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7.</w:t>
      </w:r>
      <w:r>
        <w:rPr>
          <w:rFonts w:hint="eastAsia" w:ascii="宋体" w:hAnsi="宋体" w:eastAsia="宋体" w:cs="宋体"/>
          <w:strike w:val="0"/>
          <w:dstrike w:val="0"/>
          <w:color w:val="auto"/>
          <w:kern w:val="0"/>
          <w:sz w:val="24"/>
          <w:szCs w:val="24"/>
          <w:highlight w:val="none"/>
          <w:lang w:val="en-US" w:eastAsia="zh-CN"/>
        </w:rPr>
        <w:t>6</w:t>
      </w:r>
      <w:r>
        <w:rPr>
          <w:rFonts w:hint="eastAsia" w:ascii="宋体" w:hAnsi="宋体" w:eastAsia="宋体" w:cs="宋体"/>
          <w:strike w:val="0"/>
          <w:dstrike w:val="0"/>
          <w:color w:val="auto"/>
          <w:kern w:val="0"/>
          <w:sz w:val="24"/>
          <w:szCs w:val="24"/>
          <w:highlight w:val="none"/>
        </w:rPr>
        <w:t>.1 在签订合同前，</w:t>
      </w:r>
      <w:r>
        <w:rPr>
          <w:rFonts w:hint="eastAsia" w:ascii="宋体" w:hAnsi="宋体" w:eastAsia="宋体" w:cs="宋体"/>
          <w:strike w:val="0"/>
          <w:dstrike w:val="0"/>
          <w:color w:val="auto"/>
          <w:kern w:val="0"/>
          <w:sz w:val="24"/>
          <w:szCs w:val="24"/>
          <w:highlight w:val="none"/>
          <w:lang w:eastAsia="zh-CN"/>
        </w:rPr>
        <w:t>投标人</w:t>
      </w:r>
      <w:r>
        <w:rPr>
          <w:rFonts w:hint="eastAsia" w:ascii="宋体" w:hAnsi="宋体" w:eastAsia="宋体" w:cs="宋体"/>
          <w:strike w:val="0"/>
          <w:dstrike w:val="0"/>
          <w:color w:val="auto"/>
          <w:kern w:val="0"/>
          <w:sz w:val="24"/>
          <w:szCs w:val="24"/>
          <w:highlight w:val="none"/>
        </w:rPr>
        <w:t>应按</w:t>
      </w:r>
      <w:r>
        <w:rPr>
          <w:rFonts w:hint="eastAsia" w:ascii="宋体" w:hAnsi="宋体" w:eastAsia="宋体" w:cs="宋体"/>
          <w:strike w:val="0"/>
          <w:dstrike w:val="0"/>
          <w:color w:val="auto"/>
          <w:kern w:val="0"/>
          <w:sz w:val="24"/>
          <w:szCs w:val="24"/>
          <w:highlight w:val="none"/>
          <w:lang w:eastAsia="zh-CN"/>
        </w:rPr>
        <w:t>投标人</w:t>
      </w:r>
      <w:r>
        <w:rPr>
          <w:rFonts w:hint="eastAsia" w:ascii="宋体" w:hAnsi="宋体" w:eastAsia="宋体" w:cs="宋体"/>
          <w:strike w:val="0"/>
          <w:dstrike w:val="0"/>
          <w:color w:val="auto"/>
          <w:kern w:val="0"/>
          <w:sz w:val="24"/>
          <w:szCs w:val="24"/>
          <w:highlight w:val="none"/>
        </w:rPr>
        <w:t>须知前附表规定的形式、金额和招标文件第四章“合同条款及格式”规定的或者事先经过招标人书面认可的履约保证金格式向招标人提交履约保证金。除</w:t>
      </w:r>
      <w:r>
        <w:rPr>
          <w:rFonts w:hint="eastAsia" w:ascii="宋体" w:hAnsi="宋体" w:eastAsia="宋体" w:cs="宋体"/>
          <w:strike w:val="0"/>
          <w:dstrike w:val="0"/>
          <w:color w:val="auto"/>
          <w:kern w:val="0"/>
          <w:sz w:val="24"/>
          <w:szCs w:val="24"/>
          <w:highlight w:val="none"/>
          <w:lang w:eastAsia="zh-CN"/>
        </w:rPr>
        <w:t>投标人</w:t>
      </w:r>
      <w:r>
        <w:rPr>
          <w:rFonts w:hint="eastAsia" w:ascii="宋体" w:hAnsi="宋体" w:eastAsia="宋体" w:cs="宋体"/>
          <w:strike w:val="0"/>
          <w:dstrike w:val="0"/>
          <w:color w:val="auto"/>
          <w:kern w:val="0"/>
          <w:sz w:val="24"/>
          <w:szCs w:val="24"/>
          <w:highlight w:val="none"/>
        </w:rPr>
        <w:t>须知前附表另有规定外，履约保证金为中标合同金额的10%。联合体中标的，其履约保证金以联合体各方或者联合体中牵头人的名义提交。</w:t>
      </w:r>
    </w:p>
    <w:p w14:paraId="5A3A5BDD">
      <w:pPr>
        <w:wordWrap w:val="0"/>
        <w:autoSpaceDE w:val="0"/>
        <w:autoSpaceDN w:val="0"/>
        <w:spacing w:line="360" w:lineRule="auto"/>
        <w:ind w:firstLine="480" w:firstLineChars="200"/>
        <w:rPr>
          <w:rFonts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7.</w:t>
      </w:r>
      <w:r>
        <w:rPr>
          <w:rFonts w:hint="eastAsia" w:ascii="宋体" w:hAnsi="宋体" w:eastAsia="宋体" w:cs="宋体"/>
          <w:strike w:val="0"/>
          <w:dstrike w:val="0"/>
          <w:color w:val="auto"/>
          <w:kern w:val="0"/>
          <w:sz w:val="24"/>
          <w:szCs w:val="24"/>
          <w:highlight w:val="none"/>
          <w:lang w:val="en-US" w:eastAsia="zh-CN"/>
        </w:rPr>
        <w:t>6</w:t>
      </w:r>
      <w:r>
        <w:rPr>
          <w:rFonts w:hint="eastAsia" w:ascii="宋体" w:hAnsi="宋体" w:eastAsia="宋体" w:cs="宋体"/>
          <w:strike w:val="0"/>
          <w:dstrike w:val="0"/>
          <w:color w:val="auto"/>
          <w:kern w:val="0"/>
          <w:sz w:val="24"/>
          <w:szCs w:val="24"/>
          <w:highlight w:val="none"/>
        </w:rPr>
        <w:t xml:space="preserve">.2 </w:t>
      </w:r>
      <w:r>
        <w:rPr>
          <w:rFonts w:hint="eastAsia" w:ascii="宋体" w:hAnsi="宋体" w:eastAsia="宋体" w:cs="宋体"/>
          <w:strike w:val="0"/>
          <w:dstrike w:val="0"/>
          <w:color w:val="auto"/>
          <w:kern w:val="0"/>
          <w:sz w:val="24"/>
          <w:szCs w:val="24"/>
          <w:highlight w:val="none"/>
          <w:lang w:eastAsia="zh-CN"/>
        </w:rPr>
        <w:t>投标人</w:t>
      </w:r>
      <w:r>
        <w:rPr>
          <w:rFonts w:hint="eastAsia" w:ascii="宋体" w:hAnsi="宋体" w:eastAsia="宋体" w:cs="宋体"/>
          <w:strike w:val="0"/>
          <w:dstrike w:val="0"/>
          <w:color w:val="auto"/>
          <w:kern w:val="0"/>
          <w:sz w:val="24"/>
          <w:szCs w:val="24"/>
          <w:highlight w:val="none"/>
        </w:rPr>
        <w:t>不能按本章第7.</w:t>
      </w:r>
      <w:r>
        <w:rPr>
          <w:rFonts w:hint="eastAsia" w:ascii="宋体" w:hAnsi="宋体" w:eastAsia="宋体" w:cs="宋体"/>
          <w:strike w:val="0"/>
          <w:dstrike w:val="0"/>
          <w:color w:val="auto"/>
          <w:kern w:val="0"/>
          <w:sz w:val="24"/>
          <w:szCs w:val="24"/>
          <w:highlight w:val="none"/>
          <w:lang w:val="en-US" w:eastAsia="zh-CN"/>
        </w:rPr>
        <w:t>6</w:t>
      </w:r>
      <w:r>
        <w:rPr>
          <w:rFonts w:hint="eastAsia" w:ascii="宋体" w:hAnsi="宋体" w:eastAsia="宋体" w:cs="宋体"/>
          <w:strike w:val="0"/>
          <w:dstrike w:val="0"/>
          <w:color w:val="auto"/>
          <w:kern w:val="0"/>
          <w:sz w:val="24"/>
          <w:szCs w:val="24"/>
          <w:highlight w:val="none"/>
        </w:rPr>
        <w:t>.1项要求提交履约保证金的，视为放弃中标，</w:t>
      </w:r>
      <w:r>
        <w:rPr>
          <w:rFonts w:hint="eastAsia" w:ascii="宋体" w:hAnsi="宋体" w:eastAsia="宋体" w:cs="宋体"/>
          <w:strike/>
          <w:dstrike w:val="0"/>
          <w:color w:val="auto"/>
          <w:kern w:val="0"/>
          <w:sz w:val="24"/>
          <w:szCs w:val="24"/>
          <w:highlight w:val="none"/>
        </w:rPr>
        <w:t>其投标保证金不予退还，</w:t>
      </w:r>
      <w:r>
        <w:rPr>
          <w:rFonts w:hint="eastAsia" w:ascii="宋体" w:hAnsi="宋体" w:eastAsia="宋体" w:cs="宋体"/>
          <w:strike w:val="0"/>
          <w:dstrike w:val="0"/>
          <w:color w:val="auto"/>
          <w:kern w:val="0"/>
          <w:sz w:val="24"/>
          <w:szCs w:val="24"/>
          <w:highlight w:val="none"/>
        </w:rPr>
        <w:t>给招标人造成</w:t>
      </w:r>
      <w:r>
        <w:rPr>
          <w:rFonts w:hint="eastAsia" w:ascii="宋体" w:hAnsi="宋体" w:eastAsia="宋体" w:cs="宋体"/>
          <w:strike/>
          <w:dstrike w:val="0"/>
          <w:color w:val="auto"/>
          <w:kern w:val="0"/>
          <w:sz w:val="24"/>
          <w:szCs w:val="24"/>
          <w:highlight w:val="none"/>
        </w:rPr>
        <w:t>的</w:t>
      </w:r>
      <w:r>
        <w:rPr>
          <w:rFonts w:hint="eastAsia" w:ascii="宋体" w:hAnsi="宋体" w:eastAsia="宋体" w:cs="宋体"/>
          <w:strike w:val="0"/>
          <w:dstrike w:val="0"/>
          <w:color w:val="auto"/>
          <w:kern w:val="0"/>
          <w:sz w:val="24"/>
          <w:szCs w:val="24"/>
          <w:highlight w:val="none"/>
        </w:rPr>
        <w:t>损失</w:t>
      </w:r>
      <w:r>
        <w:rPr>
          <w:rFonts w:hint="eastAsia" w:ascii="宋体" w:hAnsi="宋体" w:eastAsia="宋体" w:cs="宋体"/>
          <w:strike/>
          <w:dstrike w:val="0"/>
          <w:color w:val="auto"/>
          <w:kern w:val="0"/>
          <w:sz w:val="24"/>
          <w:szCs w:val="24"/>
          <w:highlight w:val="none"/>
        </w:rPr>
        <w:t>超过投标保证金数额</w:t>
      </w:r>
      <w:r>
        <w:rPr>
          <w:rFonts w:hint="eastAsia" w:ascii="宋体" w:hAnsi="宋体" w:eastAsia="宋体" w:cs="宋体"/>
          <w:strike w:val="0"/>
          <w:dstrike w:val="0"/>
          <w:color w:val="auto"/>
          <w:kern w:val="0"/>
          <w:sz w:val="24"/>
          <w:szCs w:val="24"/>
          <w:highlight w:val="none"/>
        </w:rPr>
        <w:t>的，</w:t>
      </w:r>
      <w:r>
        <w:rPr>
          <w:rFonts w:hint="eastAsia" w:ascii="宋体" w:hAnsi="宋体" w:eastAsia="宋体" w:cs="宋体"/>
          <w:strike w:val="0"/>
          <w:dstrike w:val="0"/>
          <w:color w:val="auto"/>
          <w:kern w:val="0"/>
          <w:sz w:val="24"/>
          <w:szCs w:val="24"/>
          <w:highlight w:val="none"/>
          <w:lang w:eastAsia="zh-CN"/>
        </w:rPr>
        <w:t>投标人</w:t>
      </w:r>
      <w:r>
        <w:rPr>
          <w:rFonts w:hint="eastAsia" w:ascii="宋体" w:hAnsi="宋体" w:eastAsia="宋体" w:cs="宋体"/>
          <w:strike w:val="0"/>
          <w:dstrike w:val="0"/>
          <w:color w:val="auto"/>
          <w:kern w:val="0"/>
          <w:sz w:val="24"/>
          <w:szCs w:val="24"/>
          <w:highlight w:val="none"/>
        </w:rPr>
        <w:t>还应当</w:t>
      </w:r>
      <w:r>
        <w:rPr>
          <w:rFonts w:hint="eastAsia" w:ascii="宋体" w:hAnsi="宋体" w:eastAsia="宋体" w:cs="宋体"/>
          <w:strike/>
          <w:dstrike w:val="0"/>
          <w:color w:val="auto"/>
          <w:kern w:val="0"/>
          <w:sz w:val="24"/>
          <w:szCs w:val="24"/>
          <w:highlight w:val="none"/>
        </w:rPr>
        <w:t>对超过部分</w:t>
      </w:r>
      <w:r>
        <w:rPr>
          <w:rFonts w:hint="eastAsia" w:ascii="宋体" w:hAnsi="宋体" w:eastAsia="宋体" w:cs="宋体"/>
          <w:strike w:val="0"/>
          <w:dstrike w:val="0"/>
          <w:color w:val="auto"/>
          <w:kern w:val="0"/>
          <w:sz w:val="24"/>
          <w:szCs w:val="24"/>
          <w:highlight w:val="none"/>
        </w:rPr>
        <w:t>予以赔偿。</w:t>
      </w:r>
    </w:p>
    <w:p w14:paraId="43E67ED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CF201F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5" w:name="_Toc32040"/>
      <w:bookmarkStart w:id="146" w:name="_Toc193357987"/>
      <w:bookmarkStart w:id="147" w:name="_Toc111186771"/>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en-US" w:eastAsia="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45"/>
      <w:bookmarkEnd w:id="146"/>
      <w:bookmarkEnd w:id="147"/>
    </w:p>
    <w:p w14:paraId="666E1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 招标人和</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应当在中标通知书发出之日起30日内，根据招标文件和</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的投标文件订立书面合同，并通过电子交易系统与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在线签订合同，并在广东省招标投标监管网和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网站公示合同主要信息。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无正当理由拒签合同，在签订合同时向招标人提出附加条件，或者不按照招标文件要求提交履约保证金的，招标人有权取消其中标资格</w:t>
      </w:r>
      <w:r>
        <w:rPr>
          <w:rFonts w:hint="eastAsia" w:ascii="宋体" w:hAnsi="宋体" w:eastAsia="宋体" w:cs="宋体"/>
          <w:strike/>
          <w:dstrike w:val="0"/>
          <w:color w:val="auto"/>
          <w:kern w:val="0"/>
          <w:sz w:val="24"/>
          <w:szCs w:val="24"/>
          <w:highlight w:val="none"/>
        </w:rPr>
        <w:t>，其投标保证金不予退还</w:t>
      </w:r>
      <w:r>
        <w:rPr>
          <w:rFonts w:hint="eastAsia" w:ascii="宋体" w:hAnsi="宋体" w:eastAsia="宋体" w:cs="宋体"/>
          <w:color w:val="auto"/>
          <w:kern w:val="0"/>
          <w:sz w:val="24"/>
          <w:szCs w:val="24"/>
          <w:highlight w:val="none"/>
        </w:rPr>
        <w:t>；给招标人造成</w:t>
      </w:r>
      <w:r>
        <w:rPr>
          <w:rFonts w:hint="eastAsia" w:ascii="宋体" w:hAnsi="宋体" w:eastAsia="宋体" w:cs="宋体"/>
          <w:strike/>
          <w:color w:val="auto"/>
          <w:kern w:val="0"/>
          <w:sz w:val="24"/>
          <w:szCs w:val="24"/>
          <w:highlight w:val="none"/>
        </w:rPr>
        <w:t>的</w:t>
      </w:r>
      <w:r>
        <w:rPr>
          <w:rFonts w:hint="eastAsia" w:ascii="宋体" w:hAnsi="宋体" w:eastAsia="宋体" w:cs="宋体"/>
          <w:color w:val="auto"/>
          <w:kern w:val="0"/>
          <w:sz w:val="24"/>
          <w:szCs w:val="24"/>
          <w:highlight w:val="none"/>
        </w:rPr>
        <w:t>损失</w:t>
      </w:r>
      <w:r>
        <w:rPr>
          <w:rFonts w:hint="eastAsia" w:ascii="宋体" w:hAnsi="宋体" w:eastAsia="宋体" w:cs="宋体"/>
          <w:strike/>
          <w:dstrike w:val="0"/>
          <w:color w:val="auto"/>
          <w:kern w:val="0"/>
          <w:sz w:val="24"/>
          <w:szCs w:val="24"/>
          <w:highlight w:val="none"/>
          <w:u w:val="none"/>
        </w:rPr>
        <w:t>超过投标保证金数额</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还应当</w:t>
      </w:r>
      <w:r>
        <w:rPr>
          <w:rFonts w:hint="eastAsia" w:ascii="宋体" w:hAnsi="宋体" w:eastAsia="宋体" w:cs="宋体"/>
          <w:strike/>
          <w:dstrike w:val="0"/>
          <w:color w:val="auto"/>
          <w:kern w:val="0"/>
          <w:sz w:val="24"/>
          <w:szCs w:val="24"/>
          <w:highlight w:val="none"/>
        </w:rPr>
        <w:t>对超过部分</w:t>
      </w:r>
      <w:r>
        <w:rPr>
          <w:rFonts w:hint="eastAsia" w:ascii="宋体" w:hAnsi="宋体" w:eastAsia="宋体" w:cs="宋体"/>
          <w:color w:val="auto"/>
          <w:kern w:val="0"/>
          <w:sz w:val="24"/>
          <w:szCs w:val="24"/>
          <w:highlight w:val="none"/>
        </w:rPr>
        <w:t>予以赔偿。</w:t>
      </w:r>
    </w:p>
    <w:p w14:paraId="52B1045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 发出中标通知书后，招标人无正当理由拒签合同，或者在签订合同时向</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提出附加条件的，</w:t>
      </w:r>
      <w:r>
        <w:rPr>
          <w:rFonts w:hint="eastAsia" w:ascii="宋体" w:hAnsi="宋体" w:eastAsia="宋体" w:cs="宋体"/>
          <w:strike/>
          <w:dstrike w:val="0"/>
          <w:color w:val="auto"/>
          <w:kern w:val="0"/>
          <w:sz w:val="24"/>
          <w:szCs w:val="24"/>
          <w:highlight w:val="none"/>
        </w:rPr>
        <w:t>招标人向</w:t>
      </w:r>
      <w:r>
        <w:rPr>
          <w:rFonts w:hint="eastAsia" w:ascii="宋体" w:hAnsi="宋体" w:eastAsia="宋体" w:cs="宋体"/>
          <w:strike/>
          <w:dstrike w:val="0"/>
          <w:color w:val="auto"/>
          <w:kern w:val="0"/>
          <w:sz w:val="24"/>
          <w:szCs w:val="24"/>
          <w:highlight w:val="none"/>
          <w:lang w:eastAsia="zh-CN"/>
        </w:rPr>
        <w:t>投标人</w:t>
      </w:r>
      <w:r>
        <w:rPr>
          <w:rFonts w:hint="eastAsia" w:ascii="宋体" w:hAnsi="宋体" w:eastAsia="宋体" w:cs="宋体"/>
          <w:strike/>
          <w:dstrike w:val="0"/>
          <w:color w:val="auto"/>
          <w:kern w:val="0"/>
          <w:sz w:val="24"/>
          <w:szCs w:val="24"/>
          <w:highlight w:val="none"/>
        </w:rPr>
        <w:t>退还投标保证金；</w:t>
      </w:r>
      <w:r>
        <w:rPr>
          <w:rFonts w:hint="eastAsia" w:ascii="宋体" w:hAnsi="宋体" w:eastAsia="宋体" w:cs="宋体"/>
          <w:color w:val="auto"/>
          <w:kern w:val="0"/>
          <w:sz w:val="24"/>
          <w:szCs w:val="24"/>
          <w:highlight w:val="none"/>
        </w:rPr>
        <w:t>给</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造成损失的，还应当赔偿损失。</w:t>
      </w:r>
    </w:p>
    <w:p w14:paraId="2A4EE00F">
      <w:pPr>
        <w:wordWrap w:val="0"/>
        <w:autoSpaceDE w:val="0"/>
        <w:autoSpaceDN w:val="0"/>
        <w:spacing w:line="360" w:lineRule="auto"/>
        <w:ind w:firstLine="480" w:firstLineChars="200"/>
        <w:rPr>
          <w:rFonts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rPr>
        <w:t>7.</w:t>
      </w:r>
      <w:r>
        <w:rPr>
          <w:rFonts w:hint="eastAsia" w:ascii="宋体" w:hAnsi="宋体" w:eastAsia="宋体" w:cs="宋体"/>
          <w:strike/>
          <w:dstrike w:val="0"/>
          <w:color w:val="auto"/>
          <w:kern w:val="0"/>
          <w:sz w:val="24"/>
          <w:szCs w:val="24"/>
          <w:highlight w:val="none"/>
          <w:lang w:val="en-US" w:eastAsia="zh-CN"/>
        </w:rPr>
        <w:t>7</w:t>
      </w:r>
      <w:r>
        <w:rPr>
          <w:rFonts w:hint="eastAsia" w:ascii="宋体" w:hAnsi="宋体" w:eastAsia="宋体" w:cs="宋体"/>
          <w:strike/>
          <w:dstrike w:val="0"/>
          <w:color w:val="auto"/>
          <w:kern w:val="0"/>
          <w:sz w:val="24"/>
          <w:szCs w:val="24"/>
          <w:highlight w:val="none"/>
        </w:rPr>
        <w:t>.3 联合体中标的，联合体各方应当共同与招标人签订合同，就中标项目向招标人承担连带责任。</w:t>
      </w:r>
    </w:p>
    <w:p w14:paraId="4CC84BE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C0A38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8" w:name="_Toc193357988"/>
      <w:bookmarkStart w:id="149" w:name="_Toc14874"/>
      <w:bookmarkStart w:id="150" w:name="_Toc111186772"/>
      <w:r>
        <w:rPr>
          <w:rFonts w:hint="eastAsia" w:ascii="宋体" w:hAnsi="宋体" w:eastAsia="宋体" w:cs="宋体"/>
          <w:b/>
          <w:bCs/>
          <w:color w:val="auto"/>
          <w:spacing w:val="1"/>
          <w:kern w:val="0"/>
          <w:sz w:val="30"/>
          <w:szCs w:val="30"/>
          <w:highlight w:val="none"/>
          <w:lang w:val="zh-CN"/>
        </w:rPr>
        <w:t>8</w:t>
      </w:r>
      <w:r>
        <w:rPr>
          <w:rFonts w:hint="eastAsia"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148"/>
      <w:bookmarkEnd w:id="149"/>
      <w:bookmarkEnd w:id="150"/>
    </w:p>
    <w:p w14:paraId="5507B8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1" w:name="_Toc3133"/>
      <w:bookmarkStart w:id="152" w:name="_Toc193357989"/>
      <w:bookmarkStart w:id="153" w:name="_Toc111186773"/>
      <w:r>
        <w:rPr>
          <w:rFonts w:hint="eastAsia" w:ascii="宋体" w:hAnsi="宋体" w:eastAsia="宋体" w:cs="宋体"/>
          <w:b/>
          <w:bCs/>
          <w:color w:val="auto"/>
          <w:spacing w:val="1"/>
          <w:sz w:val="28"/>
          <w:szCs w:val="32"/>
          <w:highlight w:val="none"/>
          <w:lang w:val="zh-CN"/>
        </w:rPr>
        <w:t>8.1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1"/>
      <w:bookmarkEnd w:id="152"/>
      <w:bookmarkEnd w:id="153"/>
    </w:p>
    <w:p w14:paraId="7090EFE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招标人不得泄露招标投标活动中应当保密的情况和资料，不得与招标代理、</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串通损害国家利益、社会公共利益或者他人合法权益。</w:t>
      </w:r>
    </w:p>
    <w:p w14:paraId="414F9FB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559E0D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4" w:name="_Toc111186774"/>
      <w:bookmarkStart w:id="155" w:name="_Toc9243"/>
      <w:bookmarkStart w:id="156" w:name="_Toc193357990"/>
      <w:r>
        <w:rPr>
          <w:rFonts w:hint="eastAsia" w:ascii="宋体" w:hAnsi="宋体" w:eastAsia="宋体" w:cs="宋体"/>
          <w:b/>
          <w:bCs/>
          <w:color w:val="auto"/>
          <w:spacing w:val="1"/>
          <w:sz w:val="28"/>
          <w:szCs w:val="32"/>
          <w:highlight w:val="none"/>
          <w:lang w:val="zh-CN"/>
        </w:rPr>
        <w:t>8.2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4"/>
      <w:bookmarkEnd w:id="155"/>
      <w:bookmarkEnd w:id="156"/>
    </w:p>
    <w:p w14:paraId="5B8B96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不得相互串通投标或者与招标人（招标代理）串通投标，不得向招标人或者评标委员会成员行贿谋取中标，不得以他人名义投标或者以其他方式弄虚作假骗取中标；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不得以任何方式干扰、影响评标工作。</w:t>
      </w:r>
    </w:p>
    <w:p w14:paraId="206C270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325260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7" w:name="_Toc111186775"/>
      <w:bookmarkStart w:id="158" w:name="_Toc193357991"/>
      <w:bookmarkStart w:id="159" w:name="_Toc30238"/>
      <w:r>
        <w:rPr>
          <w:rFonts w:hint="eastAsia" w:ascii="宋体" w:hAnsi="宋体" w:eastAsia="宋体" w:cs="宋体"/>
          <w:b/>
          <w:bCs/>
          <w:color w:val="auto"/>
          <w:spacing w:val="1"/>
          <w:sz w:val="28"/>
          <w:szCs w:val="32"/>
          <w:highlight w:val="none"/>
          <w:lang w:val="zh-CN"/>
        </w:rPr>
        <w:t>8.3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7"/>
      <w:bookmarkEnd w:id="158"/>
      <w:bookmarkEnd w:id="159"/>
    </w:p>
    <w:p w14:paraId="3C90F59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有利害关系的，应当主动提出回避；不得对其他评标委员会成员的独立评审施加不当影响；不得私下接触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，不得收受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、中介人、其他利害关系人的财物或者其他好处，不得接受任何单位或者个人明示或者暗示提出的倾向或者排斥特定</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14:paraId="5BD2FBC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0" w:name="_Toc193357992"/>
      <w:bookmarkStart w:id="161" w:name="_Toc9711"/>
      <w:bookmarkStart w:id="162" w:name="_Toc111186776"/>
      <w:r>
        <w:rPr>
          <w:rFonts w:hint="eastAsia" w:ascii="宋体" w:hAnsi="宋体" w:eastAsia="宋体" w:cs="宋体"/>
          <w:b/>
          <w:bCs/>
          <w:color w:val="auto"/>
          <w:spacing w:val="1"/>
          <w:sz w:val="28"/>
          <w:szCs w:val="32"/>
          <w:highlight w:val="none"/>
          <w:lang w:val="zh-CN"/>
        </w:rPr>
        <w:t>8.4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160"/>
      <w:bookmarkEnd w:id="161"/>
      <w:bookmarkEnd w:id="162"/>
    </w:p>
    <w:p w14:paraId="6126424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0BCDA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4E8CDD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3" w:name="_Toc111186777"/>
      <w:bookmarkStart w:id="164" w:name="_Toc193357993"/>
      <w:bookmarkStart w:id="165" w:name="_Toc3297"/>
      <w:r>
        <w:rPr>
          <w:rFonts w:hint="eastAsia" w:ascii="宋体" w:hAnsi="宋体" w:eastAsia="宋体" w:cs="宋体"/>
          <w:b/>
          <w:bCs/>
          <w:color w:val="auto"/>
          <w:spacing w:val="1"/>
          <w:sz w:val="28"/>
          <w:szCs w:val="32"/>
          <w:highlight w:val="none"/>
          <w:lang w:val="zh-CN"/>
        </w:rPr>
        <w:t>8.5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163"/>
      <w:bookmarkEnd w:id="164"/>
      <w:bookmarkEnd w:id="165"/>
    </w:p>
    <w:p w14:paraId="79E35B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D2D717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或者其他利害关系人对招标文件、开标和评标结果提出投诉的，应当按照</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须知第2.4款、第5.3款和第7.2款的规定先向招标人提出异议。异议答复期间不计算在第8.5.1项规定的期限内。</w:t>
      </w:r>
    </w:p>
    <w:p w14:paraId="084BDAA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981711C">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6" w:name="_Toc32014"/>
      <w:bookmarkStart w:id="167" w:name="_Toc193357994"/>
      <w:bookmarkStart w:id="168" w:name="_Toc111186778"/>
      <w:r>
        <w:rPr>
          <w:rFonts w:hint="eastAsia" w:ascii="宋体" w:hAnsi="宋体" w:eastAsia="宋体" w:cs="宋体"/>
          <w:b/>
          <w:bCs/>
          <w:color w:val="auto"/>
          <w:spacing w:val="1"/>
          <w:kern w:val="0"/>
          <w:sz w:val="30"/>
          <w:szCs w:val="30"/>
          <w:highlight w:val="none"/>
          <w:lang w:val="zh-CN"/>
        </w:rPr>
        <w:t>9</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166"/>
      <w:bookmarkEnd w:id="167"/>
      <w:bookmarkEnd w:id="168"/>
    </w:p>
    <w:p w14:paraId="5693245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36B76D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897D5DA">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9" w:name="_Toc25836"/>
      <w:bookmarkStart w:id="170" w:name="_Toc193357995"/>
      <w:bookmarkStart w:id="171" w:name="_Toc111186779"/>
      <w:r>
        <w:rPr>
          <w:rFonts w:hint="eastAsia" w:ascii="宋体" w:hAnsi="宋体" w:eastAsia="宋体" w:cs="宋体"/>
          <w:b/>
          <w:bCs/>
          <w:color w:val="auto"/>
          <w:spacing w:val="1"/>
          <w:kern w:val="0"/>
          <w:sz w:val="30"/>
          <w:szCs w:val="30"/>
          <w:highlight w:val="none"/>
          <w:lang w:val="zh-CN"/>
        </w:rPr>
        <w:t>10</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bookmarkEnd w:id="169"/>
      <w:bookmarkEnd w:id="170"/>
      <w:bookmarkEnd w:id="171"/>
      <w:r>
        <w:rPr>
          <w:rFonts w:hint="eastAsia" w:ascii="宋体" w:hAnsi="宋体" w:eastAsia="宋体" w:cs="宋体"/>
          <w:b/>
          <w:bCs/>
          <w:color w:val="auto"/>
          <w:kern w:val="0"/>
          <w:sz w:val="30"/>
          <w:szCs w:val="30"/>
          <w:highlight w:val="none"/>
          <w:lang w:val="zh-CN"/>
        </w:rPr>
        <w:t>重新招标情形</w:t>
      </w:r>
    </w:p>
    <w:p w14:paraId="0E65D37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5B7621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（一）资格审查合格的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不足三个的；</w:t>
      </w:r>
    </w:p>
    <w:p w14:paraId="7FDA221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少于三个的；</w:t>
      </w:r>
    </w:p>
    <w:p w14:paraId="665998A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332818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0DF9020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）符合法律法规需重新招标的其他情形。</w:t>
      </w:r>
    </w:p>
    <w:p w14:paraId="3CFB4BA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06F4903">
      <w:pPr>
        <w:keepNext/>
        <w:keepLines/>
        <w:wordWrap w:val="0"/>
        <w:spacing w:line="360" w:lineRule="auto"/>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spacing w:val="1"/>
          <w:kern w:val="0"/>
          <w:sz w:val="30"/>
          <w:szCs w:val="30"/>
          <w:highlight w:val="none"/>
          <w:lang w:val="zh-CN"/>
        </w:rPr>
        <w:t>11</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p>
    <w:p w14:paraId="2E17C3D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w:t>
      </w:r>
    </w:p>
    <w:p w14:paraId="394428D8">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kern w:val="0"/>
          <w:sz w:val="28"/>
          <w:szCs w:val="32"/>
          <w:highlight w:val="none"/>
          <w:lang w:val="zh-CN"/>
        </w:rPr>
        <w:br w:type="page"/>
      </w:r>
      <w:bookmarkStart w:id="172" w:name="_Toc111186781"/>
      <w:bookmarkStart w:id="173" w:name="_Toc5282"/>
      <w:bookmarkStart w:id="174" w:name="_Toc193357997"/>
    </w:p>
    <w:bookmarkEnd w:id="172"/>
    <w:bookmarkEnd w:id="173"/>
    <w:bookmarkEnd w:id="174"/>
    <w:p w14:paraId="491F90EA">
      <w:pPr>
        <w:pStyle w:val="2"/>
        <w:numPr>
          <w:ilvl w:val="0"/>
          <w:numId w:val="1"/>
        </w:numPr>
        <w:rPr>
          <w:rFonts w:hint="eastAsia"/>
          <w:color w:val="auto"/>
          <w:highlight w:val="none"/>
        </w:rPr>
      </w:pPr>
      <w:bookmarkStart w:id="175" w:name="_Toc111186786"/>
      <w:bookmarkStart w:id="176" w:name="_Toc193358002"/>
      <w:r>
        <w:rPr>
          <w:rFonts w:hint="eastAsia"/>
          <w:color w:val="auto"/>
          <w:highlight w:val="none"/>
        </w:rPr>
        <w:t xml:space="preserve"> 评标办法（综合评估法）</w:t>
      </w:r>
    </w:p>
    <w:p w14:paraId="4EFA0261">
      <w:pPr>
        <w:pStyle w:val="3"/>
        <w:wordWrap w:val="0"/>
        <w:rPr>
          <w:rFonts w:hint="eastAsia"/>
          <w:color w:val="auto"/>
          <w:highlight w:val="none"/>
        </w:rPr>
      </w:pPr>
      <w:r>
        <w:rPr>
          <w:rFonts w:hint="eastAsia"/>
          <w:color w:val="auto"/>
          <w:highlight w:val="none"/>
        </w:rPr>
        <w:t>评标办法前附表</w:t>
      </w:r>
    </w:p>
    <w:tbl>
      <w:tblPr>
        <w:tblStyle w:val="46"/>
        <w:tblpPr w:leftFromText="180" w:rightFromText="180" w:vertAnchor="text" w:horzAnchor="page" w:tblpX="1618" w:tblpY="42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
        <w:gridCol w:w="793"/>
        <w:gridCol w:w="1651"/>
        <w:gridCol w:w="5452"/>
      </w:tblGrid>
      <w:tr w14:paraId="328E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5" w:type="pct"/>
            <w:gridSpan w:val="3"/>
            <w:vAlign w:val="center"/>
          </w:tcPr>
          <w:p w14:paraId="7309E6B9">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947" w:type="pct"/>
            <w:vAlign w:val="center"/>
          </w:tcPr>
          <w:p w14:paraId="5495D1F3">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27" w:type="pct"/>
            <w:vAlign w:val="center"/>
          </w:tcPr>
          <w:p w14:paraId="31C8C79E">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D5A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Align w:val="center"/>
          </w:tcPr>
          <w:p w14:paraId="7EA5C6E2">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4" w:type="pct"/>
            <w:vAlign w:val="center"/>
          </w:tcPr>
          <w:p w14:paraId="29C73005">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947" w:type="pct"/>
            <w:vAlign w:val="center"/>
          </w:tcPr>
          <w:p w14:paraId="6FFF96EB">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3127" w:type="pct"/>
            <w:vAlign w:val="center"/>
          </w:tcPr>
          <w:p w14:paraId="2D00A1A0">
            <w:pPr>
              <w:wordWrap w:val="0"/>
              <w:topLinePunct/>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1.本次评标采用综合评估法。</w:t>
            </w:r>
          </w:p>
          <w:p w14:paraId="71E20C6F">
            <w:pPr>
              <w:wordWrap w:val="0"/>
              <w:topLinePunct/>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2.评标委员会对满足招标文件实质性要求的投标文件，按照招标文件规定的评分标准进行打分，并按照各</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总得分从高到低排列先后次序，推荐得分最高的第一名</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为第一中标候选人，推荐得分第二名的</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为第二中标候选人，</w:t>
            </w:r>
            <w:r>
              <w:rPr>
                <w:rFonts w:hint="eastAsia" w:ascii="宋体" w:hAnsi="宋体" w:eastAsia="宋体" w:cs="宋体"/>
                <w:color w:val="auto"/>
                <w:sz w:val="21"/>
                <w:szCs w:val="21"/>
                <w:highlight w:val="none"/>
                <w:u w:val="single"/>
                <w:lang w:eastAsia="zh-CN"/>
              </w:rPr>
              <w:t>以此</w:t>
            </w:r>
            <w:r>
              <w:rPr>
                <w:rFonts w:hint="eastAsia" w:ascii="宋体" w:hAnsi="宋体" w:eastAsia="宋体" w:cs="宋体"/>
                <w:color w:val="auto"/>
                <w:sz w:val="21"/>
                <w:szCs w:val="21"/>
                <w:highlight w:val="none"/>
                <w:u w:val="single"/>
              </w:rPr>
              <w:t>类推，推荐三名中标候选人，并编写评审报告。若两家或以上的</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总得分相同时，按以下顺序确定中标候选人：①</w:t>
            </w:r>
            <w:r>
              <w:rPr>
                <w:rFonts w:hint="eastAsia" w:ascii="宋体" w:hAnsi="宋体" w:eastAsia="宋体" w:cs="宋体"/>
                <w:color w:val="auto"/>
                <w:sz w:val="21"/>
                <w:szCs w:val="21"/>
                <w:highlight w:val="none"/>
                <w:u w:val="single"/>
                <w:lang w:val="en-US" w:eastAsia="zh-CN"/>
              </w:rPr>
              <w:t>投标报价</w:t>
            </w:r>
            <w:r>
              <w:rPr>
                <w:rFonts w:hint="eastAsia" w:ascii="宋体" w:hAnsi="宋体" w:eastAsia="宋体" w:cs="宋体"/>
                <w:color w:val="auto"/>
                <w:sz w:val="21"/>
                <w:szCs w:val="21"/>
                <w:highlight w:val="none"/>
                <w:u w:val="single"/>
              </w:rPr>
              <w:t>得分高的排前；②若</w:t>
            </w:r>
            <w:r>
              <w:rPr>
                <w:rFonts w:hint="eastAsia" w:ascii="宋体" w:hAnsi="宋体" w:eastAsia="宋体" w:cs="宋体"/>
                <w:color w:val="auto"/>
                <w:sz w:val="21"/>
                <w:szCs w:val="21"/>
                <w:highlight w:val="none"/>
                <w:u w:val="single"/>
                <w:lang w:val="en-US" w:eastAsia="zh-CN"/>
              </w:rPr>
              <w:t>投标报价</w:t>
            </w:r>
            <w:r>
              <w:rPr>
                <w:rFonts w:hint="eastAsia" w:ascii="宋体" w:hAnsi="宋体" w:eastAsia="宋体" w:cs="宋体"/>
                <w:color w:val="auto"/>
                <w:sz w:val="21"/>
                <w:szCs w:val="21"/>
                <w:highlight w:val="none"/>
                <w:u w:val="single"/>
              </w:rPr>
              <w:t>得分相同时，则</w:t>
            </w:r>
            <w:r>
              <w:rPr>
                <w:rFonts w:hint="eastAsia" w:ascii="宋体" w:hAnsi="宋体" w:eastAsia="宋体" w:cs="宋体"/>
                <w:color w:val="auto"/>
                <w:sz w:val="21"/>
                <w:szCs w:val="21"/>
                <w:highlight w:val="none"/>
                <w:u w:val="single"/>
                <w:lang w:val="en-US" w:eastAsia="zh-CN"/>
              </w:rPr>
              <w:t>技术文件</w:t>
            </w:r>
            <w:r>
              <w:rPr>
                <w:rFonts w:hint="eastAsia" w:ascii="宋体" w:hAnsi="宋体" w:eastAsia="宋体" w:cs="宋体"/>
                <w:color w:val="auto"/>
                <w:sz w:val="21"/>
                <w:szCs w:val="21"/>
                <w:highlight w:val="none"/>
                <w:u w:val="single"/>
              </w:rPr>
              <w:t>得分高的排前；③若</w:t>
            </w:r>
            <w:r>
              <w:rPr>
                <w:rFonts w:hint="eastAsia" w:ascii="宋体" w:hAnsi="宋体" w:eastAsia="宋体" w:cs="宋体"/>
                <w:color w:val="auto"/>
                <w:sz w:val="21"/>
                <w:szCs w:val="21"/>
                <w:highlight w:val="none"/>
                <w:u w:val="single"/>
                <w:lang w:val="en-US" w:eastAsia="zh-CN"/>
              </w:rPr>
              <w:t>投标报价</w:t>
            </w:r>
            <w:r>
              <w:rPr>
                <w:rFonts w:hint="eastAsia" w:ascii="宋体" w:hAnsi="宋体" w:eastAsia="宋体" w:cs="宋体"/>
                <w:color w:val="auto"/>
                <w:sz w:val="21"/>
                <w:szCs w:val="21"/>
                <w:highlight w:val="none"/>
                <w:u w:val="single"/>
              </w:rPr>
              <w:t>得分、</w:t>
            </w:r>
            <w:r>
              <w:rPr>
                <w:rFonts w:hint="eastAsia" w:ascii="宋体" w:hAnsi="宋体" w:eastAsia="宋体" w:cs="宋体"/>
                <w:color w:val="auto"/>
                <w:sz w:val="21"/>
                <w:szCs w:val="21"/>
                <w:highlight w:val="none"/>
                <w:u w:val="single"/>
                <w:lang w:val="en-US" w:eastAsia="zh-CN"/>
              </w:rPr>
              <w:t>技术文件</w:t>
            </w:r>
            <w:r>
              <w:rPr>
                <w:rFonts w:hint="eastAsia" w:ascii="宋体" w:hAnsi="宋体" w:eastAsia="宋体" w:cs="宋体"/>
                <w:color w:val="auto"/>
                <w:sz w:val="21"/>
                <w:szCs w:val="21"/>
                <w:highlight w:val="none"/>
                <w:u w:val="single"/>
              </w:rPr>
              <w:t>得分均相同，则由评委采用记名投票方式，确定相等得分的中标候选人的排序。</w:t>
            </w:r>
          </w:p>
          <w:p w14:paraId="166D13E1">
            <w:pPr>
              <w:wordWrap w:val="0"/>
              <w:topLinePunct/>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3.若本项目递交投标文件的</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数量、或通过初步评审的合格</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家数不足3家的，则本次招标失败，招标人将视情况重新组织招标。</w:t>
            </w:r>
          </w:p>
        </w:tc>
      </w:tr>
      <w:tr w14:paraId="4002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restart"/>
            <w:vAlign w:val="center"/>
          </w:tcPr>
          <w:p w14:paraId="391AE6D9">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454" w:type="pct"/>
            <w:vMerge w:val="restart"/>
            <w:vAlign w:val="center"/>
          </w:tcPr>
          <w:p w14:paraId="663FEBB8">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947" w:type="pct"/>
            <w:vAlign w:val="center"/>
          </w:tcPr>
          <w:p w14:paraId="6BADA862">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3127" w:type="pct"/>
            <w:vAlign w:val="center"/>
          </w:tcPr>
          <w:p w14:paraId="7DA5D4C1">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与营业执照或事业单位登记机构核发的事业单位法人证书、资质证书一致。</w:t>
            </w:r>
          </w:p>
        </w:tc>
      </w:tr>
      <w:tr w14:paraId="36B6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1889C2D3">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5F6D513E">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6D8E2B26">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参加投标的意思表达清楚，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代表被授权有效</w:t>
            </w:r>
          </w:p>
        </w:tc>
        <w:tc>
          <w:tcPr>
            <w:tcW w:w="3127" w:type="pct"/>
            <w:vAlign w:val="center"/>
          </w:tcPr>
          <w:p w14:paraId="219C44D4">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声明、廉洁承诺书、法定代表人身份证明；委托投标的还应提供法人授权委托证明书。</w:t>
            </w:r>
          </w:p>
        </w:tc>
      </w:tr>
      <w:tr w14:paraId="3199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C7C1929">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32D12FA6">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53DF0332">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tc>
        <w:tc>
          <w:tcPr>
            <w:tcW w:w="3127" w:type="pct"/>
            <w:vAlign w:val="center"/>
          </w:tcPr>
          <w:p w14:paraId="26072E9C">
            <w:pPr>
              <w:wordWrap w:val="0"/>
              <w:spacing w:line="276"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有法定代表人或其委托代理人签字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或盖章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或</w:t>
            </w:r>
            <w:r>
              <w:rPr>
                <w:rFonts w:hint="eastAsia" w:ascii="宋体" w:hAnsi="宋体" w:eastAsia="宋体" w:cs="宋体"/>
                <w:color w:val="auto"/>
                <w:sz w:val="21"/>
                <w:szCs w:val="21"/>
                <w:highlight w:val="none"/>
                <w:lang w:bidi="ar"/>
              </w:rPr>
              <w:t>加盖单</w:t>
            </w:r>
            <w:r>
              <w:rPr>
                <w:rFonts w:hint="eastAsia" w:ascii="宋体" w:hAnsi="宋体" w:eastAsia="宋体" w:cs="宋体"/>
                <w:color w:val="auto"/>
                <w:sz w:val="21"/>
                <w:szCs w:val="21"/>
                <w:highlight w:val="none"/>
                <w:lang w:eastAsia="zh-CN" w:bidi="ar"/>
              </w:rPr>
              <w:t>位公</w:t>
            </w:r>
            <w:r>
              <w:rPr>
                <w:rFonts w:hint="eastAsia" w:ascii="宋体" w:hAnsi="宋体" w:eastAsia="宋体" w:cs="宋体"/>
                <w:color w:val="auto"/>
                <w:sz w:val="21"/>
                <w:szCs w:val="21"/>
                <w:highlight w:val="none"/>
                <w:lang w:bidi="ar"/>
              </w:rPr>
              <w:t>章。由法定代表人签字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或盖章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的，应附法定代表人身份证明；由代理人签字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或盖章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的，应附法定代表人身份证明及授权委托书，身份证明或授权委托书参考第六章“投标文件格式”的规定。</w:t>
            </w:r>
          </w:p>
        </w:tc>
      </w:tr>
      <w:tr w14:paraId="1B3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11E63EE6">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4AB7534D">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0140D202">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3127" w:type="pct"/>
            <w:vAlign w:val="center"/>
          </w:tcPr>
          <w:p w14:paraId="00AB3740">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投标函及投标函附录符合第六章“投标文件格式”的规定。</w:t>
            </w:r>
          </w:p>
        </w:tc>
      </w:tr>
      <w:tr w14:paraId="715C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403207A">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28F2052E">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498E51E9">
            <w:pPr>
              <w:wordWrap w:val="0"/>
              <w:autoSpaceDE w:val="0"/>
              <w:autoSpaceDN w:val="0"/>
              <w:spacing w:line="276"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1"/>
                <w:kern w:val="0"/>
                <w:sz w:val="21"/>
                <w:szCs w:val="21"/>
                <w:highlight w:val="none"/>
              </w:rPr>
              <w:t>联合体</w:t>
            </w:r>
            <w:r>
              <w:rPr>
                <w:rFonts w:hint="eastAsia" w:ascii="宋体" w:hAnsi="宋体" w:eastAsia="宋体" w:cs="宋体"/>
                <w:color w:val="auto"/>
                <w:spacing w:val="-1"/>
                <w:kern w:val="0"/>
                <w:sz w:val="21"/>
                <w:szCs w:val="21"/>
                <w:highlight w:val="none"/>
                <w:lang w:eastAsia="zh-CN"/>
              </w:rPr>
              <w:t>投标人</w:t>
            </w:r>
          </w:p>
        </w:tc>
        <w:tc>
          <w:tcPr>
            <w:tcW w:w="3127" w:type="pct"/>
            <w:vAlign w:val="center"/>
          </w:tcPr>
          <w:p w14:paraId="6001C243">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本次招标不接受联合体投标。</w:t>
            </w:r>
          </w:p>
        </w:tc>
      </w:tr>
      <w:tr w14:paraId="42AA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6EE27FC">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156A3C2C">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2AF61CFC">
            <w:pPr>
              <w:wordWrap w:val="0"/>
              <w:autoSpaceDE w:val="0"/>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备选投标方案</w:t>
            </w:r>
          </w:p>
        </w:tc>
        <w:tc>
          <w:tcPr>
            <w:tcW w:w="3127" w:type="pct"/>
            <w:vAlign w:val="center"/>
          </w:tcPr>
          <w:p w14:paraId="377B4C99">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除招标文件明确允许提交备选投标方案外，</w:t>
            </w:r>
            <w:r>
              <w:rPr>
                <w:rFonts w:hint="eastAsia" w:ascii="宋体" w:hAnsi="宋体" w:eastAsia="宋体" w:cs="宋体"/>
                <w:color w:val="auto"/>
                <w:spacing w:val="1"/>
                <w:kern w:val="0"/>
                <w:sz w:val="21"/>
                <w:szCs w:val="21"/>
                <w:highlight w:val="none"/>
                <w:lang w:eastAsia="zh-CN"/>
              </w:rPr>
              <w:t>投标人</w:t>
            </w:r>
            <w:r>
              <w:rPr>
                <w:rFonts w:hint="eastAsia" w:ascii="宋体" w:hAnsi="宋体" w:eastAsia="宋体" w:cs="宋体"/>
                <w:color w:val="auto"/>
                <w:spacing w:val="1"/>
                <w:kern w:val="0"/>
                <w:sz w:val="21"/>
                <w:szCs w:val="21"/>
                <w:highlight w:val="none"/>
              </w:rPr>
              <w:t>不得提交备选投标方案。</w:t>
            </w:r>
          </w:p>
        </w:tc>
      </w:tr>
      <w:tr w14:paraId="1BD7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637B88ED">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74947323">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14053A55">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硬件特征码</w:t>
            </w:r>
          </w:p>
        </w:tc>
        <w:tc>
          <w:tcPr>
            <w:tcW w:w="3127" w:type="pct"/>
            <w:vAlign w:val="center"/>
          </w:tcPr>
          <w:p w14:paraId="41D8405D">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rPr>
              <w:t>其他</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加密打包投标文件硬件特征码不一致，以</w:t>
            </w:r>
            <w:r>
              <w:rPr>
                <w:rFonts w:hint="eastAsia" w:ascii="宋体" w:hAnsi="宋体" w:eastAsia="宋体" w:cs="宋体"/>
                <w:color w:val="auto"/>
                <w:kern w:val="0"/>
                <w:sz w:val="21"/>
                <w:szCs w:val="21"/>
                <w:highlight w:val="none"/>
                <w:u w:val="single"/>
              </w:rPr>
              <w:t>广州交易集团有限公司（广州公共资源交易中心）</w:t>
            </w:r>
            <w:r>
              <w:rPr>
                <w:rFonts w:hint="eastAsia" w:ascii="宋体" w:hAnsi="宋体" w:eastAsia="宋体" w:cs="宋体"/>
                <w:color w:val="auto"/>
                <w:kern w:val="0"/>
                <w:sz w:val="21"/>
                <w:szCs w:val="21"/>
                <w:highlight w:val="none"/>
              </w:rPr>
              <w:t>交易平台开标系统的检索信息为准。</w:t>
            </w:r>
          </w:p>
        </w:tc>
      </w:tr>
      <w:tr w14:paraId="5997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restart"/>
            <w:vAlign w:val="center"/>
          </w:tcPr>
          <w:p w14:paraId="74EEE600">
            <w:pPr>
              <w:widowControl/>
              <w:wordWrap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454" w:type="pct"/>
            <w:vMerge w:val="restart"/>
            <w:vAlign w:val="center"/>
          </w:tcPr>
          <w:p w14:paraId="17EFF281">
            <w:pPr>
              <w:widowControl/>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947" w:type="pct"/>
            <w:vAlign w:val="center"/>
          </w:tcPr>
          <w:p w14:paraId="5E707925">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营业执照和组织机构代码证</w:t>
            </w:r>
          </w:p>
        </w:tc>
        <w:tc>
          <w:tcPr>
            <w:tcW w:w="3127" w:type="pct"/>
            <w:vAlign w:val="center"/>
          </w:tcPr>
          <w:p w14:paraId="25AD55C3">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须知”第3.5.1项规定，具备有效的营业执照和组织机构代码证。按照“三证合一”或“五证合一”登记制度进行登记的</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，可仅提供营业执照或事业单位法人证书。</w:t>
            </w:r>
          </w:p>
        </w:tc>
      </w:tr>
      <w:tr w14:paraId="7B84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5BF3F526">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1F8497DE">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24024A56">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资质要求</w:t>
            </w:r>
          </w:p>
        </w:tc>
        <w:tc>
          <w:tcPr>
            <w:tcW w:w="3127" w:type="pct"/>
            <w:vAlign w:val="center"/>
          </w:tcPr>
          <w:p w14:paraId="560E3795">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z w:val="21"/>
                <w:szCs w:val="21"/>
                <w:highlight w:val="none"/>
                <w:u w:val="single"/>
                <w:lang w:bidi="ar"/>
              </w:rPr>
              <w:t>/。</w:t>
            </w:r>
          </w:p>
        </w:tc>
      </w:tr>
      <w:tr w14:paraId="642B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506F90C">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6C149D0E">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60212B08">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业绩要求</w:t>
            </w:r>
          </w:p>
        </w:tc>
        <w:tc>
          <w:tcPr>
            <w:tcW w:w="3127" w:type="pct"/>
            <w:vAlign w:val="center"/>
          </w:tcPr>
          <w:p w14:paraId="719E30C9">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z w:val="21"/>
                <w:szCs w:val="21"/>
                <w:highlight w:val="none"/>
                <w:u w:val="single"/>
                <w:lang w:bidi="ar"/>
              </w:rPr>
              <w:t>/。</w:t>
            </w:r>
          </w:p>
        </w:tc>
      </w:tr>
      <w:tr w14:paraId="1DD1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6BDC6BAA">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11A8A842">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3809385C">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项目负责人</w:t>
            </w:r>
          </w:p>
        </w:tc>
        <w:tc>
          <w:tcPr>
            <w:tcW w:w="3127" w:type="pct"/>
            <w:vAlign w:val="center"/>
          </w:tcPr>
          <w:p w14:paraId="28E663D5">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须知”第1.4.1项规定</w:t>
            </w:r>
          </w:p>
        </w:tc>
      </w:tr>
      <w:tr w14:paraId="464D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6199DC78">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38F0F7CC">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36D936FD">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其他要求</w:t>
            </w:r>
          </w:p>
        </w:tc>
        <w:tc>
          <w:tcPr>
            <w:tcW w:w="3127" w:type="pct"/>
            <w:vAlign w:val="center"/>
          </w:tcPr>
          <w:p w14:paraId="0844295B">
            <w:pPr>
              <w:wordWrap w:val="0"/>
              <w:autoSpaceDE w:val="0"/>
              <w:autoSpaceDN w:val="0"/>
              <w:spacing w:line="276" w:lineRule="auto"/>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须知”第1.4.1项规定</w:t>
            </w:r>
          </w:p>
        </w:tc>
      </w:tr>
      <w:tr w14:paraId="3784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1B7185D0">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4D20DDDF">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09315DC5">
            <w:pPr>
              <w:wordWrap w:val="0"/>
              <w:autoSpaceDE w:val="0"/>
              <w:autoSpaceDN w:val="0"/>
              <w:spacing w:line="276" w:lineRule="auto"/>
              <w:jc w:val="center"/>
              <w:rPr>
                <w:rFonts w:hint="eastAsia" w:ascii="宋体" w:hAnsi="宋体" w:eastAsia="宋体" w:cs="宋体"/>
                <w:color w:val="auto"/>
                <w:spacing w:val="-1"/>
                <w:kern w:val="0"/>
                <w:sz w:val="21"/>
                <w:szCs w:val="21"/>
                <w:highlight w:val="none"/>
                <w:lang w:eastAsia="zh-CN"/>
              </w:rPr>
            </w:pPr>
            <w:r>
              <w:rPr>
                <w:rFonts w:hint="eastAsia" w:ascii="宋体" w:hAnsi="宋体" w:eastAsia="宋体" w:cs="宋体"/>
                <w:color w:val="auto"/>
                <w:spacing w:val="-1"/>
                <w:kern w:val="0"/>
                <w:sz w:val="21"/>
                <w:szCs w:val="21"/>
                <w:highlight w:val="none"/>
              </w:rPr>
              <w:t>联合体</w:t>
            </w:r>
            <w:r>
              <w:rPr>
                <w:rFonts w:hint="eastAsia" w:ascii="宋体" w:hAnsi="宋体" w:eastAsia="宋体" w:cs="宋体"/>
                <w:color w:val="auto"/>
                <w:spacing w:val="-1"/>
                <w:kern w:val="0"/>
                <w:sz w:val="21"/>
                <w:szCs w:val="21"/>
                <w:highlight w:val="none"/>
                <w:lang w:eastAsia="zh-CN"/>
              </w:rPr>
              <w:t>投标人</w:t>
            </w:r>
          </w:p>
        </w:tc>
        <w:tc>
          <w:tcPr>
            <w:tcW w:w="3127" w:type="pct"/>
            <w:vAlign w:val="center"/>
          </w:tcPr>
          <w:p w14:paraId="43126E0F">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须知”第1.4.2项规定</w:t>
            </w:r>
          </w:p>
        </w:tc>
      </w:tr>
      <w:tr w14:paraId="22E0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4C9C0A95">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2EBF59CD">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374E2868">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不存在禁止投标的情形</w:t>
            </w:r>
          </w:p>
        </w:tc>
        <w:tc>
          <w:tcPr>
            <w:tcW w:w="3127" w:type="pct"/>
            <w:vAlign w:val="center"/>
          </w:tcPr>
          <w:p w14:paraId="7D06AC98">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不存在第二章“</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须知”第1.4.3项规定的任何一种情形（按</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声明》内容进行评审）</w:t>
            </w:r>
          </w:p>
        </w:tc>
      </w:tr>
      <w:tr w14:paraId="06D5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04D945A5">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07E1EB3B">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2D166B61">
            <w:pPr>
              <w:wordWrap w:val="0"/>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lang w:eastAsia="zh-CN"/>
              </w:rPr>
              <w:t>投标人</w:t>
            </w:r>
            <w:r>
              <w:rPr>
                <w:rFonts w:hint="eastAsia" w:ascii="宋体" w:hAnsi="宋体" w:eastAsia="宋体" w:cs="宋体"/>
                <w:color w:val="auto"/>
                <w:spacing w:val="-1"/>
                <w:kern w:val="0"/>
                <w:sz w:val="21"/>
                <w:szCs w:val="21"/>
                <w:highlight w:val="none"/>
              </w:rPr>
              <w:t>未被列入拖欠农民工工资失信联合惩戒对象名单</w:t>
            </w:r>
          </w:p>
        </w:tc>
        <w:tc>
          <w:tcPr>
            <w:tcW w:w="3127" w:type="pct"/>
            <w:vAlign w:val="center"/>
          </w:tcPr>
          <w:p w14:paraId="7F52CB7F">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无需提供资料，按投标截止时间交易系统比对的结果进行评审。</w:t>
            </w:r>
          </w:p>
        </w:tc>
      </w:tr>
      <w:tr w14:paraId="6521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7E8D71DF">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2B999020">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64844F3A">
            <w:pPr>
              <w:autoSpaceDE w:val="0"/>
              <w:autoSpaceDN w:val="0"/>
              <w:spacing w:line="276" w:lineRule="auto"/>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政府投资项目，在投标截止时间前，</w:t>
            </w:r>
            <w:r>
              <w:rPr>
                <w:rFonts w:hint="eastAsia" w:ascii="宋体" w:hAnsi="宋体" w:eastAsia="宋体" w:cs="宋体"/>
                <w:color w:val="auto"/>
                <w:spacing w:val="-1"/>
                <w:kern w:val="0"/>
                <w:sz w:val="21"/>
                <w:szCs w:val="21"/>
                <w:highlight w:val="none"/>
                <w:lang w:eastAsia="zh-CN"/>
              </w:rPr>
              <w:t>投标人</w:t>
            </w:r>
            <w:r>
              <w:rPr>
                <w:rFonts w:hint="eastAsia" w:ascii="宋体" w:hAnsi="宋体" w:eastAsia="宋体" w:cs="宋体"/>
                <w:color w:val="auto"/>
                <w:spacing w:val="-1"/>
                <w:kern w:val="0"/>
                <w:sz w:val="21"/>
                <w:szCs w:val="21"/>
                <w:highlight w:val="none"/>
              </w:rPr>
              <w:t>未被列入“失信被执行人”名单</w:t>
            </w:r>
          </w:p>
        </w:tc>
        <w:tc>
          <w:tcPr>
            <w:tcW w:w="3127" w:type="pct"/>
            <w:vAlign w:val="center"/>
          </w:tcPr>
          <w:p w14:paraId="74689FCB">
            <w:pPr>
              <w:wordWrap w:val="0"/>
              <w:autoSpaceDE w:val="0"/>
              <w:autoSpaceDN w:val="0"/>
              <w:spacing w:line="276"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无需提供资料，按投标截止时间交易系统比对的结果进行评审。</w:t>
            </w:r>
          </w:p>
        </w:tc>
      </w:tr>
      <w:tr w14:paraId="6D2F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restart"/>
            <w:vAlign w:val="center"/>
          </w:tcPr>
          <w:p w14:paraId="56AE9C8F">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454" w:type="pct"/>
            <w:vMerge w:val="restart"/>
            <w:vAlign w:val="center"/>
          </w:tcPr>
          <w:p w14:paraId="7C2EA1E0">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947" w:type="pct"/>
            <w:vAlign w:val="center"/>
          </w:tcPr>
          <w:p w14:paraId="2031489D">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127" w:type="pct"/>
            <w:vAlign w:val="center"/>
          </w:tcPr>
          <w:p w14:paraId="4EA71CA0">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须知”第3.2款规定</w:t>
            </w:r>
          </w:p>
        </w:tc>
      </w:tr>
      <w:tr w14:paraId="33F6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59842C8">
            <w:pPr>
              <w:wordWrap w:val="0"/>
              <w:spacing w:line="276" w:lineRule="auto"/>
              <w:jc w:val="center"/>
              <w:rPr>
                <w:rFonts w:hint="eastAsia" w:ascii="宋体" w:hAnsi="宋体" w:eastAsia="宋体" w:cs="宋体"/>
                <w:color w:val="auto"/>
                <w:sz w:val="21"/>
                <w:szCs w:val="21"/>
                <w:highlight w:val="none"/>
              </w:rPr>
            </w:pPr>
          </w:p>
        </w:tc>
        <w:tc>
          <w:tcPr>
            <w:tcW w:w="454" w:type="pct"/>
            <w:vMerge w:val="continue"/>
            <w:vAlign w:val="center"/>
          </w:tcPr>
          <w:p w14:paraId="44E3E7BF">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6BC6275D">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3127" w:type="pct"/>
            <w:vAlign w:val="center"/>
          </w:tcPr>
          <w:p w14:paraId="3EEE3211">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须知”第1.3.1项规定</w:t>
            </w:r>
          </w:p>
        </w:tc>
      </w:tr>
      <w:tr w14:paraId="49B5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40FF62B9">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0F9D62ED">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38D7A257">
            <w:pPr>
              <w:wordWrap w:val="0"/>
              <w:autoSpaceDE w:val="0"/>
              <w:autoSpaceDN w:val="0"/>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服务期限</w:t>
            </w:r>
          </w:p>
        </w:tc>
        <w:tc>
          <w:tcPr>
            <w:tcW w:w="3127" w:type="pct"/>
            <w:vAlign w:val="center"/>
          </w:tcPr>
          <w:p w14:paraId="6836794B">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须知”第1.3.2项规定</w:t>
            </w:r>
          </w:p>
        </w:tc>
      </w:tr>
      <w:tr w14:paraId="7051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7480954F">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6DF03CCF">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1B886A23">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127" w:type="pct"/>
            <w:vAlign w:val="center"/>
          </w:tcPr>
          <w:p w14:paraId="0E1D5841">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须知”第1.3.3项规定</w:t>
            </w:r>
          </w:p>
        </w:tc>
      </w:tr>
      <w:tr w14:paraId="76A7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3F5251E0">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1D744EC0">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531BD5F9">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127" w:type="pct"/>
            <w:vAlign w:val="center"/>
          </w:tcPr>
          <w:p w14:paraId="1DB6CB25">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须知”第3.3.1项规定</w:t>
            </w:r>
          </w:p>
        </w:tc>
      </w:tr>
      <w:tr w14:paraId="38D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49670CF1">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163B91F8">
            <w:pPr>
              <w:widowControl/>
              <w:wordWrap w:val="0"/>
              <w:spacing w:line="276" w:lineRule="auto"/>
              <w:jc w:val="left"/>
              <w:rPr>
                <w:rFonts w:hint="eastAsia" w:ascii="宋体" w:hAnsi="宋体" w:eastAsia="宋体" w:cs="宋体"/>
                <w:color w:val="auto"/>
                <w:sz w:val="21"/>
                <w:szCs w:val="21"/>
                <w:highlight w:val="none"/>
              </w:rPr>
            </w:pPr>
          </w:p>
        </w:tc>
        <w:tc>
          <w:tcPr>
            <w:tcW w:w="947" w:type="pct"/>
            <w:vAlign w:val="center"/>
          </w:tcPr>
          <w:p w14:paraId="1AE8CDBB">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3127" w:type="pct"/>
            <w:vAlign w:val="center"/>
          </w:tcPr>
          <w:p w14:paraId="0269F888">
            <w:pPr>
              <w:wordWrap w:val="0"/>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不存在串通投标情形（串通投标情形以《广东省实施〈中华人民共和国招标投标法〉办法》第十六条规定的为准）。</w:t>
            </w:r>
          </w:p>
        </w:tc>
      </w:tr>
      <w:tr w14:paraId="1CEA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 w:type="pct"/>
            <w:gridSpan w:val="2"/>
            <w:vMerge w:val="continue"/>
            <w:vAlign w:val="center"/>
          </w:tcPr>
          <w:p w14:paraId="7A17E978">
            <w:pPr>
              <w:widowControl/>
              <w:wordWrap w:val="0"/>
              <w:spacing w:line="276" w:lineRule="auto"/>
              <w:jc w:val="left"/>
              <w:rPr>
                <w:rFonts w:hint="eastAsia" w:ascii="宋体" w:hAnsi="宋体" w:eastAsia="宋体" w:cs="宋体"/>
                <w:color w:val="auto"/>
                <w:sz w:val="21"/>
                <w:szCs w:val="21"/>
                <w:highlight w:val="none"/>
              </w:rPr>
            </w:pPr>
          </w:p>
        </w:tc>
        <w:tc>
          <w:tcPr>
            <w:tcW w:w="454" w:type="pct"/>
            <w:vMerge w:val="continue"/>
            <w:vAlign w:val="center"/>
          </w:tcPr>
          <w:p w14:paraId="3B55DFAD">
            <w:pPr>
              <w:widowControl/>
              <w:wordWrap w:val="0"/>
              <w:spacing w:line="276" w:lineRule="auto"/>
              <w:jc w:val="left"/>
              <w:rPr>
                <w:rFonts w:hint="eastAsia" w:ascii="宋体" w:hAnsi="宋体" w:eastAsia="宋体" w:cs="宋体"/>
                <w:color w:val="auto"/>
                <w:sz w:val="21"/>
                <w:szCs w:val="21"/>
                <w:highlight w:val="none"/>
              </w:rPr>
            </w:pPr>
          </w:p>
        </w:tc>
        <w:tc>
          <w:tcPr>
            <w:tcW w:w="4074" w:type="pct"/>
            <w:gridSpan w:val="2"/>
            <w:vAlign w:val="center"/>
          </w:tcPr>
          <w:p w14:paraId="08CC6027">
            <w:pPr>
              <w:wordWrap w:val="0"/>
              <w:spacing w:line="276"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商务文件响应性评审标准中“投标内容”、“服务期限”、“质量标准”、“投标有效期”，以</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在投标书中的承诺为准。</w:t>
            </w:r>
          </w:p>
        </w:tc>
      </w:tr>
      <w:tr w14:paraId="77D9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5" w:type="pct"/>
            <w:gridSpan w:val="3"/>
            <w:vAlign w:val="center"/>
          </w:tcPr>
          <w:p w14:paraId="70212070">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947" w:type="pct"/>
            <w:vAlign w:val="center"/>
          </w:tcPr>
          <w:p w14:paraId="562D1065">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c>
          <w:tcPr>
            <w:tcW w:w="3127" w:type="pct"/>
            <w:vAlign w:val="center"/>
          </w:tcPr>
          <w:p w14:paraId="566D815E">
            <w:pPr>
              <w:wordWrap w:val="0"/>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14:paraId="05AE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5" w:type="pct"/>
            <w:gridSpan w:val="3"/>
            <w:vAlign w:val="center"/>
          </w:tcPr>
          <w:p w14:paraId="1B57715B">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947" w:type="pct"/>
            <w:vAlign w:val="center"/>
          </w:tcPr>
          <w:p w14:paraId="335ECCB1">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tc>
        <w:tc>
          <w:tcPr>
            <w:tcW w:w="3127" w:type="pct"/>
            <w:vAlign w:val="center"/>
          </w:tcPr>
          <w:p w14:paraId="54EE3A71">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商务文件部分A：</w:t>
            </w:r>
            <w:r>
              <w:rPr>
                <w:rFonts w:hint="eastAsia" w:ascii="宋体" w:hAnsi="宋体" w:eastAsia="宋体" w:cs="宋体"/>
                <w:color w:val="auto"/>
                <w:sz w:val="21"/>
                <w:szCs w:val="21"/>
                <w:highlight w:val="none"/>
                <w:u w:val="single"/>
                <w:lang w:val="en-US" w:eastAsia="zh-CN"/>
              </w:rPr>
              <w:t>35</w:t>
            </w:r>
            <w:r>
              <w:rPr>
                <w:rFonts w:hint="eastAsia" w:ascii="宋体" w:hAnsi="宋体" w:eastAsia="宋体" w:cs="宋体"/>
                <w:color w:val="auto"/>
                <w:sz w:val="21"/>
                <w:szCs w:val="21"/>
                <w:highlight w:val="none"/>
              </w:rPr>
              <w:t>分</w:t>
            </w:r>
          </w:p>
          <w:p w14:paraId="3C51DFF5">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技术文件</w:t>
            </w:r>
            <w:r>
              <w:rPr>
                <w:rFonts w:hint="eastAsia" w:ascii="宋体" w:hAnsi="宋体" w:eastAsia="宋体" w:cs="宋体"/>
                <w:color w:val="auto"/>
                <w:sz w:val="21"/>
                <w:szCs w:val="21"/>
                <w:highlight w:val="none"/>
              </w:rPr>
              <w:t>部分B：</w:t>
            </w:r>
            <w:r>
              <w:rPr>
                <w:rFonts w:hint="eastAsia"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rPr>
              <w:t>分</w:t>
            </w:r>
          </w:p>
          <w:p w14:paraId="5B6CCB70">
            <w:pPr>
              <w:wordWrap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投标报价C：</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055DCF7">
            <w:pPr>
              <w:wordWrap w:val="0"/>
              <w:spacing w:line="276" w:lineRule="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其他评分因素D：</w:t>
            </w:r>
            <w:r>
              <w:rPr>
                <w:rFonts w:hint="eastAsia" w:ascii="宋体" w:hAnsi="宋体" w:eastAsia="宋体" w:cs="宋体"/>
                <w:bCs/>
                <w:color w:val="auto"/>
                <w:sz w:val="21"/>
                <w:szCs w:val="21"/>
                <w:highlight w:val="none"/>
                <w:u w:val="single"/>
              </w:rPr>
              <w:t>/</w:t>
            </w:r>
          </w:p>
        </w:tc>
      </w:tr>
      <w:tr w14:paraId="02C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5" w:type="pct"/>
            <w:gridSpan w:val="3"/>
            <w:vAlign w:val="center"/>
          </w:tcPr>
          <w:p w14:paraId="01FF2760">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947" w:type="pct"/>
            <w:vAlign w:val="center"/>
          </w:tcPr>
          <w:p w14:paraId="4352EABB">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127" w:type="pct"/>
            <w:vAlign w:val="center"/>
          </w:tcPr>
          <w:p w14:paraId="42C3AD06">
            <w:pPr>
              <w:wordWrap w:val="0"/>
              <w:spacing w:line="276"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当位于最高投标限价的[90%，100%]的有效投标人大于或等于5名时，去掉该区间内一个最高价和一个最低价，取该区间内余下投标价的算术平均值作为评标基准价。</w:t>
            </w:r>
          </w:p>
          <w:p w14:paraId="3AFB7A6C">
            <w:pPr>
              <w:wordWrap w:val="0"/>
              <w:spacing w:line="276"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当位于最高投标限价的[90%，100%]的有效投标人小于5名时，取所有该区间内的有效投标价的算术平均值作为评标基准价；</w:t>
            </w:r>
          </w:p>
          <w:p w14:paraId="4183BA74">
            <w:pPr>
              <w:wordWrap w:val="0"/>
              <w:spacing w:line="276"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若无报价位于该区间内，则以最高投标限价的90%作为评标基准价。（有效投标人为通过本章第2.1款初步评审的投标人）</w:t>
            </w:r>
          </w:p>
        </w:tc>
      </w:tr>
      <w:tr w14:paraId="7F7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5" w:type="pct"/>
            <w:gridSpan w:val="3"/>
            <w:vAlign w:val="center"/>
          </w:tcPr>
          <w:p w14:paraId="774ACA09">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947" w:type="pct"/>
            <w:vAlign w:val="center"/>
          </w:tcPr>
          <w:p w14:paraId="2DF17656">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w:t>
            </w:r>
          </w:p>
          <w:p w14:paraId="3CCB0B34">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w:t>
            </w:r>
          </w:p>
        </w:tc>
        <w:tc>
          <w:tcPr>
            <w:tcW w:w="3127" w:type="pct"/>
            <w:vAlign w:val="center"/>
          </w:tcPr>
          <w:p w14:paraId="32641BD5">
            <w:pPr>
              <w:wordWrap w:val="0"/>
              <w:spacing w:line="276" w:lineRule="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u w:val="single"/>
                <w:lang w:eastAsia="zh-CN"/>
              </w:rPr>
              <w:t>偏差率=（投标报价-评标基准价）/评标基准价*100%</w:t>
            </w:r>
          </w:p>
          <w:p w14:paraId="684EF34F">
            <w:pPr>
              <w:wordWrap w:val="0"/>
              <w:spacing w:line="276" w:lineRule="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u w:val="single"/>
                <w:lang w:eastAsia="zh-CN"/>
              </w:rPr>
              <w:t>偏差率四舍五入保留2位小数，所有不足1%的差价按插值法计算。</w:t>
            </w:r>
          </w:p>
        </w:tc>
      </w:tr>
      <w:tr w14:paraId="7F98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Merge w:val="restart"/>
            <w:vAlign w:val="center"/>
          </w:tcPr>
          <w:p w14:paraId="7AA12410">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p>
        </w:tc>
        <w:tc>
          <w:tcPr>
            <w:tcW w:w="464" w:type="pct"/>
            <w:gridSpan w:val="2"/>
            <w:vMerge w:val="restart"/>
            <w:vAlign w:val="center"/>
          </w:tcPr>
          <w:p w14:paraId="0416A6FC">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商务文件评分标准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tc>
        <w:tc>
          <w:tcPr>
            <w:tcW w:w="947" w:type="pct"/>
            <w:vAlign w:val="center"/>
          </w:tcPr>
          <w:p w14:paraId="1548E12B">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类似服务业绩（</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w:t>
            </w:r>
          </w:p>
        </w:tc>
        <w:tc>
          <w:tcPr>
            <w:tcW w:w="3127" w:type="pct"/>
            <w:vAlign w:val="top"/>
          </w:tcPr>
          <w:p w14:paraId="34446725">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投标人自2021年1月1日至今承接过管线迁改建设管理服务业绩的，其中：</w:t>
            </w:r>
          </w:p>
          <w:p w14:paraId="022B1EBD">
            <w:p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承接过电力</w:t>
            </w:r>
            <w:r>
              <w:rPr>
                <w:rFonts w:hint="eastAsia" w:ascii="宋体" w:hAnsi="宋体" w:eastAsia="宋体" w:cs="宋体"/>
                <w:color w:val="auto"/>
                <w:sz w:val="21"/>
                <w:szCs w:val="21"/>
                <w:highlight w:val="none"/>
                <w:u w:val="single"/>
                <w:lang w:eastAsia="zh-CN"/>
              </w:rPr>
              <w:t>管线迁改建设管理服务</w:t>
            </w:r>
            <w:r>
              <w:rPr>
                <w:rFonts w:hint="eastAsia" w:ascii="宋体" w:hAnsi="宋体" w:eastAsia="宋体" w:cs="宋体"/>
                <w:color w:val="auto"/>
                <w:sz w:val="21"/>
                <w:szCs w:val="21"/>
                <w:highlight w:val="none"/>
                <w:u w:val="single"/>
              </w:rPr>
              <w:t>工作的，每项得</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分，本小项最多得</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p>
          <w:p w14:paraId="0CE5FDCC">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承接过通信</w:t>
            </w:r>
            <w:r>
              <w:rPr>
                <w:rFonts w:hint="eastAsia" w:ascii="宋体" w:hAnsi="宋体" w:eastAsia="宋体" w:cs="宋体"/>
                <w:color w:val="auto"/>
                <w:sz w:val="21"/>
                <w:szCs w:val="21"/>
                <w:highlight w:val="none"/>
                <w:u w:val="single"/>
                <w:lang w:eastAsia="zh-CN"/>
              </w:rPr>
              <w:t>管线迁改建设管理服务</w:t>
            </w:r>
            <w:r>
              <w:rPr>
                <w:rFonts w:hint="eastAsia" w:ascii="宋体" w:hAnsi="宋体" w:eastAsia="宋体" w:cs="宋体"/>
                <w:color w:val="auto"/>
                <w:sz w:val="21"/>
                <w:szCs w:val="21"/>
                <w:highlight w:val="none"/>
                <w:u w:val="single"/>
              </w:rPr>
              <w:t>工作的，每项得</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分，本小项最多得</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p>
          <w:p w14:paraId="3C7A3EDD">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u w:val="single"/>
              </w:rPr>
              <w:t>承接过供水或排水</w:t>
            </w:r>
            <w:r>
              <w:rPr>
                <w:rFonts w:hint="eastAsia" w:ascii="宋体" w:hAnsi="宋体" w:eastAsia="宋体" w:cs="宋体"/>
                <w:color w:val="auto"/>
                <w:sz w:val="21"/>
                <w:szCs w:val="21"/>
                <w:highlight w:val="none"/>
                <w:u w:val="single"/>
                <w:lang w:eastAsia="zh-CN"/>
              </w:rPr>
              <w:t>管线迁改建设管理服务</w:t>
            </w:r>
            <w:r>
              <w:rPr>
                <w:rFonts w:hint="eastAsia" w:ascii="宋体" w:hAnsi="宋体" w:eastAsia="宋体" w:cs="宋体"/>
                <w:color w:val="auto"/>
                <w:sz w:val="21"/>
                <w:szCs w:val="21"/>
                <w:highlight w:val="none"/>
                <w:u w:val="single"/>
              </w:rPr>
              <w:t>工作的，每项得</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分，本小项最多得</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p>
          <w:p w14:paraId="59F3D4C6">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承接过燃气</w:t>
            </w:r>
            <w:r>
              <w:rPr>
                <w:rFonts w:hint="eastAsia" w:ascii="宋体" w:hAnsi="宋体" w:eastAsia="宋体" w:cs="宋体"/>
                <w:color w:val="auto"/>
                <w:sz w:val="21"/>
                <w:szCs w:val="21"/>
                <w:highlight w:val="none"/>
                <w:u w:val="single"/>
                <w:lang w:eastAsia="zh-CN"/>
              </w:rPr>
              <w:t>管线迁改建设管理服务</w:t>
            </w:r>
            <w:r>
              <w:rPr>
                <w:rFonts w:hint="eastAsia" w:ascii="宋体" w:hAnsi="宋体" w:eastAsia="宋体" w:cs="宋体"/>
                <w:color w:val="auto"/>
                <w:sz w:val="21"/>
                <w:szCs w:val="21"/>
                <w:highlight w:val="none"/>
                <w:u w:val="single"/>
              </w:rPr>
              <w:t>工作的，每项得</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分，本小项最多得</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p>
          <w:p w14:paraId="7120C3F6">
            <w:pPr>
              <w:numPr>
                <w:ilvl w:val="0"/>
                <w:numId w:val="0"/>
              </w:numPr>
              <w:wordWrap w:val="0"/>
              <w:spacing w:line="276"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本项最多得</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eastAsia="zh-CN"/>
              </w:rPr>
              <w:t>。</w:t>
            </w:r>
          </w:p>
          <w:p w14:paraId="518E1B1E">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w:t>
            </w:r>
            <w:r>
              <w:rPr>
                <w:rFonts w:hint="eastAsia" w:ascii="宋体" w:hAnsi="宋体" w:eastAsia="宋体" w:cs="宋体"/>
                <w:color w:val="auto"/>
                <w:sz w:val="21"/>
                <w:szCs w:val="21"/>
                <w:highlight w:val="none"/>
                <w:u w:val="single"/>
                <w:lang w:val="en-US" w:eastAsia="zh-CN"/>
              </w:rPr>
              <w:t>①</w:t>
            </w:r>
            <w:r>
              <w:rPr>
                <w:rFonts w:hint="eastAsia" w:ascii="宋体" w:hAnsi="宋体" w:eastAsia="宋体" w:cs="宋体"/>
                <w:color w:val="auto"/>
                <w:sz w:val="21"/>
                <w:szCs w:val="21"/>
                <w:highlight w:val="none"/>
                <w:u w:val="single"/>
                <w:lang w:eastAsia="zh-CN"/>
              </w:rPr>
              <w:t>管线迁改建设管理服务</w:t>
            </w:r>
            <w:r>
              <w:rPr>
                <w:rFonts w:hint="eastAsia" w:ascii="宋体" w:hAnsi="宋体" w:eastAsia="宋体" w:cs="宋体"/>
                <w:color w:val="auto"/>
                <w:sz w:val="21"/>
                <w:szCs w:val="21"/>
                <w:highlight w:val="none"/>
                <w:u w:val="single"/>
                <w:lang w:val="en-US" w:eastAsia="zh-CN"/>
              </w:rPr>
              <w:t>工作是</w:t>
            </w:r>
            <w:r>
              <w:rPr>
                <w:rFonts w:hint="eastAsia" w:ascii="宋体" w:hAnsi="宋体" w:eastAsia="宋体" w:cs="宋体"/>
                <w:color w:val="auto"/>
                <w:sz w:val="21"/>
                <w:szCs w:val="21"/>
                <w:highlight w:val="none"/>
                <w:u w:val="single"/>
              </w:rPr>
              <w:t>指管线迁改的劳务协作或监理或代建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或建设工程管理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或综合管理服务或综合管理咨询服务</w:t>
            </w:r>
            <w:r>
              <w:rPr>
                <w:rFonts w:hint="eastAsia" w:ascii="宋体" w:hAnsi="宋体" w:eastAsia="宋体" w:cs="宋体"/>
                <w:color w:val="auto"/>
                <w:sz w:val="21"/>
                <w:szCs w:val="21"/>
                <w:highlight w:val="none"/>
                <w:u w:val="single"/>
                <w:lang w:val="en-US" w:eastAsia="zh-CN"/>
              </w:rPr>
              <w:t>或咨询服务</w:t>
            </w:r>
            <w:r>
              <w:rPr>
                <w:rFonts w:hint="eastAsia" w:ascii="宋体" w:hAnsi="宋体" w:eastAsia="宋体" w:cs="宋体"/>
                <w:color w:val="auto"/>
                <w:sz w:val="21"/>
                <w:szCs w:val="21"/>
                <w:highlight w:val="none"/>
                <w:u w:val="single"/>
              </w:rPr>
              <w:t>等管理服务相关业绩。</w:t>
            </w:r>
          </w:p>
          <w:p w14:paraId="7DCBEBF6">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②管线迁改建设管理服务</w:t>
            </w:r>
            <w:r>
              <w:rPr>
                <w:rFonts w:hint="eastAsia" w:ascii="宋体" w:hAnsi="宋体" w:eastAsia="宋体" w:cs="宋体"/>
                <w:color w:val="auto"/>
                <w:sz w:val="21"/>
                <w:szCs w:val="21"/>
                <w:highlight w:val="none"/>
                <w:u w:val="single"/>
              </w:rPr>
              <w:t>工作内容以合同为准，时间以合同签订时间为准。</w:t>
            </w:r>
          </w:p>
          <w:p w14:paraId="32223A16">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③</w:t>
            </w:r>
            <w:r>
              <w:rPr>
                <w:rFonts w:hint="eastAsia" w:ascii="宋体" w:hAnsi="宋体" w:eastAsia="宋体" w:cs="宋体"/>
                <w:color w:val="auto"/>
                <w:sz w:val="21"/>
                <w:szCs w:val="21"/>
                <w:highlight w:val="none"/>
                <w:u w:val="single"/>
              </w:rPr>
              <w:t>单项合同中工作内容包含上述一种或多种类型管线迁改实施管理服务工作的，可分类别计算得分。</w:t>
            </w:r>
          </w:p>
          <w:p w14:paraId="12B2F545">
            <w:pPr>
              <w:numPr>
                <w:ilvl w:val="0"/>
                <w:numId w:val="0"/>
              </w:numPr>
              <w:wordWrap w:val="0"/>
              <w:spacing w:line="276" w:lineRule="auto"/>
              <w:jc w:val="both"/>
              <w:rPr>
                <w:rFonts w:hint="eastAsia" w:ascii="宋体" w:hAnsi="宋体" w:eastAsia="宋体" w:cs="宋体"/>
                <w:color w:val="auto"/>
                <w:sz w:val="21"/>
                <w:szCs w:val="21"/>
                <w:highlight w:val="none"/>
                <w:u w:val="single"/>
                <w:lang w:val="en-US" w:eastAsia="zh-Hans"/>
              </w:rPr>
            </w:pPr>
            <w:r>
              <w:rPr>
                <w:rFonts w:hint="eastAsia" w:ascii="宋体" w:hAnsi="宋体" w:eastAsia="宋体" w:cs="宋体"/>
                <w:color w:val="auto"/>
                <w:sz w:val="21"/>
                <w:szCs w:val="21"/>
                <w:highlight w:val="none"/>
                <w:u w:val="single"/>
                <w:lang w:val="en-US" w:eastAsia="zh-CN"/>
              </w:rPr>
              <w:t>④</w:t>
            </w:r>
            <w:r>
              <w:rPr>
                <w:rFonts w:hint="eastAsia" w:ascii="宋体" w:hAnsi="宋体" w:eastAsia="宋体" w:cs="宋体"/>
                <w:color w:val="auto"/>
                <w:sz w:val="21"/>
                <w:szCs w:val="21"/>
                <w:highlight w:val="none"/>
                <w:u w:val="single"/>
              </w:rPr>
              <w:t>证明材料需提供合同关键页（包含但不限于合同首页、签字页、合同服务内容页或能体现专业内容页），如未按要求提供证明材料，视为该证明材料无效。</w:t>
            </w:r>
          </w:p>
        </w:tc>
      </w:tr>
      <w:tr w14:paraId="36CE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Merge w:val="continue"/>
            <w:vAlign w:val="center"/>
          </w:tcPr>
          <w:p w14:paraId="0E5858C9">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0E412510">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41551D26">
            <w:pPr>
              <w:wordWrap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127" w:type="pct"/>
            <w:vAlign w:val="center"/>
          </w:tcPr>
          <w:p w14:paraId="4E877F5D">
            <w:p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拟投入本项目的项目负责人进行评审：</w:t>
            </w:r>
          </w:p>
          <w:p w14:paraId="1AE651F5">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u w:val="single"/>
              </w:rPr>
              <w:t>具有</w:t>
            </w:r>
            <w:r>
              <w:rPr>
                <w:rFonts w:hint="eastAsia" w:ascii="宋体" w:hAnsi="宋体" w:eastAsia="宋体" w:cs="宋体"/>
                <w:color w:val="auto"/>
                <w:sz w:val="21"/>
                <w:szCs w:val="21"/>
                <w:highlight w:val="none"/>
                <w:u w:val="single"/>
                <w:lang w:val="en-US" w:eastAsia="zh-CN"/>
              </w:rPr>
              <w:t>10年或以上工作经验</w:t>
            </w:r>
            <w:r>
              <w:rPr>
                <w:rFonts w:hint="eastAsia" w:ascii="宋体" w:hAnsi="宋体" w:eastAsia="宋体" w:cs="宋体"/>
                <w:color w:val="auto"/>
                <w:sz w:val="21"/>
                <w:szCs w:val="21"/>
                <w:highlight w:val="none"/>
                <w:u w:val="single"/>
              </w:rPr>
              <w:t>得</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分，具有</w:t>
            </w:r>
            <w:r>
              <w:rPr>
                <w:rFonts w:hint="eastAsia" w:ascii="宋体" w:hAnsi="宋体" w:eastAsia="宋体" w:cs="宋体"/>
                <w:color w:val="auto"/>
                <w:sz w:val="21"/>
                <w:szCs w:val="21"/>
                <w:highlight w:val="none"/>
                <w:u w:val="single"/>
                <w:lang w:val="en-US" w:eastAsia="zh-CN"/>
              </w:rPr>
              <w:t>10年以下（不含10年）工作经验</w:t>
            </w:r>
            <w:r>
              <w:rPr>
                <w:rFonts w:hint="eastAsia" w:ascii="宋体" w:hAnsi="宋体" w:eastAsia="宋体" w:cs="宋体"/>
                <w:color w:val="auto"/>
                <w:sz w:val="21"/>
                <w:szCs w:val="21"/>
                <w:highlight w:val="none"/>
                <w:u w:val="single"/>
              </w:rPr>
              <w:t>得</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提供证书扫描件，否则不得分；</w:t>
            </w:r>
          </w:p>
          <w:p w14:paraId="07383A59">
            <w:pPr>
              <w:numPr>
                <w:ilvl w:val="0"/>
                <w:numId w:val="0"/>
              </w:num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）2021年1月1日至今曾担任过管线迁改建设管理服务工作</w:t>
            </w:r>
            <w:r>
              <w:rPr>
                <w:rFonts w:hint="eastAsia" w:ascii="宋体" w:hAnsi="宋体" w:eastAsia="宋体" w:cs="宋体"/>
                <w:color w:val="auto"/>
                <w:sz w:val="21"/>
                <w:szCs w:val="21"/>
                <w:highlight w:val="none"/>
                <w:u w:val="single"/>
                <w:lang w:val="en-US" w:eastAsia="zh-CN"/>
              </w:rPr>
              <w:t>经验</w:t>
            </w:r>
            <w:r>
              <w:rPr>
                <w:rFonts w:hint="eastAsia" w:ascii="宋体" w:hAnsi="宋体" w:eastAsia="宋体" w:cs="宋体"/>
                <w:color w:val="auto"/>
                <w:sz w:val="21"/>
                <w:szCs w:val="21"/>
                <w:highlight w:val="none"/>
                <w:u w:val="single"/>
              </w:rPr>
              <w:t>项目负责人业绩的，一个业绩得</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本小项最高得5分</w:t>
            </w:r>
            <w:r>
              <w:rPr>
                <w:rFonts w:hint="eastAsia" w:ascii="宋体" w:hAnsi="宋体" w:eastAsia="宋体" w:cs="宋体"/>
                <w:color w:val="auto"/>
                <w:sz w:val="21"/>
                <w:szCs w:val="21"/>
                <w:highlight w:val="none"/>
                <w:u w:val="single"/>
              </w:rPr>
              <w:t>；</w:t>
            </w:r>
          </w:p>
          <w:p w14:paraId="5EE8405E">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注：</w:t>
            </w:r>
            <w:r>
              <w:rPr>
                <w:rFonts w:hint="eastAsia" w:ascii="宋体" w:hAnsi="宋体" w:eastAsia="宋体" w:cs="宋体"/>
                <w:color w:val="auto"/>
                <w:sz w:val="21"/>
                <w:szCs w:val="21"/>
                <w:highlight w:val="none"/>
                <w:u w:val="single"/>
                <w:lang w:val="en-US" w:eastAsia="zh-CN"/>
              </w:rPr>
              <w:t>①工作经验以毕业证上的毕业时间为准，需提供证书扫描件。</w:t>
            </w:r>
          </w:p>
          <w:p w14:paraId="02368A63">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②投标人须提供</w:t>
            </w:r>
            <w:r>
              <w:rPr>
                <w:rFonts w:hint="eastAsia" w:ascii="宋体" w:hAnsi="宋体" w:eastAsia="宋体" w:cs="宋体"/>
                <w:b/>
                <w:bCs/>
                <w:color w:val="auto"/>
                <w:sz w:val="21"/>
                <w:szCs w:val="21"/>
                <w:highlight w:val="none"/>
                <w:u w:val="single"/>
                <w:lang w:val="en-US" w:eastAsia="zh-CN"/>
              </w:rPr>
              <w:t>简历表（格式自拟）及管线迁改建设管理服务工作经验相关证明资料（需提供合同或业主证明）、离投标截止时间最近的至少1个月（即2025年8月）在本单位缴纳的社保证明文件（如部分地区社保证明显示隔月缴费状态，则提供2025年7月的社保证明）</w:t>
            </w:r>
            <w:r>
              <w:rPr>
                <w:rFonts w:hint="eastAsia" w:ascii="宋体" w:hAnsi="宋体" w:eastAsia="宋体" w:cs="宋体"/>
                <w:color w:val="auto"/>
                <w:sz w:val="21"/>
                <w:szCs w:val="21"/>
                <w:highlight w:val="none"/>
                <w:u w:val="single"/>
                <w:lang w:val="en-US" w:eastAsia="zh-CN"/>
              </w:rPr>
              <w:t>，否则不得分。</w:t>
            </w:r>
          </w:p>
          <w:p w14:paraId="3343EF45">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③不符合上述条件或未提供资料的不得分。</w:t>
            </w:r>
          </w:p>
        </w:tc>
      </w:tr>
      <w:tr w14:paraId="406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Merge w:val="continue"/>
            <w:vAlign w:val="center"/>
          </w:tcPr>
          <w:p w14:paraId="69164FEA">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335188BA">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6A44742B">
            <w:pPr>
              <w:wordWrap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ISO体系认证（6分）</w:t>
            </w:r>
          </w:p>
        </w:tc>
        <w:tc>
          <w:tcPr>
            <w:tcW w:w="3127" w:type="pct"/>
            <w:vAlign w:val="center"/>
          </w:tcPr>
          <w:p w14:paraId="43C34F94">
            <w:pPr>
              <w:wordWrap w:val="0"/>
              <w:spacing w:line="276"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同时具有质量管理体系认证证书、环境管理体系认证证书、职业健康安全管理体系认证证书且在有效期内的</w:t>
            </w:r>
            <w:r>
              <w:rPr>
                <w:rFonts w:hint="eastAsia" w:ascii="宋体" w:hAnsi="宋体" w:eastAsia="宋体" w:cs="宋体"/>
                <w:color w:val="auto"/>
                <w:sz w:val="21"/>
                <w:szCs w:val="21"/>
                <w:highlight w:val="none"/>
                <w:u w:val="single"/>
                <w:lang w:val="en-US" w:eastAsia="zh-CN"/>
              </w:rPr>
              <w:t>每项</w:t>
            </w:r>
            <w:r>
              <w:rPr>
                <w:rFonts w:hint="eastAsia" w:ascii="宋体" w:hAnsi="宋体" w:eastAsia="宋体" w:cs="宋体"/>
                <w:color w:val="auto"/>
                <w:sz w:val="21"/>
                <w:szCs w:val="21"/>
                <w:highlight w:val="none"/>
                <w:u w:val="single"/>
              </w:rPr>
              <w:t>得</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lang w:val="en-US" w:eastAsia="zh-CN"/>
              </w:rPr>
              <w:t>最高</w:t>
            </w:r>
            <w:r>
              <w:rPr>
                <w:rFonts w:hint="eastAsia" w:ascii="宋体" w:hAnsi="宋体" w:eastAsia="宋体" w:cs="宋体"/>
                <w:color w:val="auto"/>
                <w:sz w:val="21"/>
                <w:szCs w:val="21"/>
                <w:highlight w:val="none"/>
                <w:u w:val="single"/>
              </w:rPr>
              <w:t>得</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分。</w:t>
            </w:r>
          </w:p>
        </w:tc>
      </w:tr>
      <w:tr w14:paraId="2008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1" w:type="pct"/>
            <w:vMerge w:val="restart"/>
            <w:vAlign w:val="center"/>
          </w:tcPr>
          <w:p w14:paraId="4CD90063">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p>
        </w:tc>
        <w:tc>
          <w:tcPr>
            <w:tcW w:w="464" w:type="pct"/>
            <w:gridSpan w:val="2"/>
            <w:vMerge w:val="restart"/>
            <w:vAlign w:val="center"/>
          </w:tcPr>
          <w:p w14:paraId="3F0CCEED">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技术文件评分标准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55分</w:t>
            </w:r>
            <w:r>
              <w:rPr>
                <w:rFonts w:hint="eastAsia" w:ascii="宋体" w:hAnsi="宋体" w:eastAsia="宋体" w:cs="宋体"/>
                <w:color w:val="auto"/>
                <w:sz w:val="21"/>
                <w:szCs w:val="21"/>
                <w:highlight w:val="none"/>
                <w:lang w:eastAsia="zh-CN"/>
              </w:rPr>
              <w:t>）</w:t>
            </w:r>
          </w:p>
        </w:tc>
        <w:tc>
          <w:tcPr>
            <w:tcW w:w="947" w:type="pct"/>
            <w:vAlign w:val="center"/>
          </w:tcPr>
          <w:p w14:paraId="5DA74DBB">
            <w:pPr>
              <w:wordWrap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管理咨询服务总体方案（一）（6分）</w:t>
            </w:r>
          </w:p>
        </w:tc>
        <w:tc>
          <w:tcPr>
            <w:tcW w:w="3127" w:type="pct"/>
            <w:shd w:val="clear" w:color="auto" w:fill="auto"/>
            <w:vAlign w:val="top"/>
          </w:tcPr>
          <w:p w14:paraId="7EEF7A61">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服务方案有以下内容的，每项得1.5分，本项最高得6分。</w:t>
            </w:r>
          </w:p>
          <w:p w14:paraId="7E648B43">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①应熟悉项目基本情况、工作内容、工期要求、服务团队需求。</w:t>
            </w:r>
          </w:p>
          <w:p w14:paraId="63E3B91F">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②基本情况：根据工作联系单摸清管线种类、权属单位，会同权属、镇街、规划等部门确认迁改形式及补偿模式。</w:t>
            </w:r>
          </w:p>
          <w:p w14:paraId="452F9D49">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②工作内容：根据实际摸查情况制定相应的项目策划方案。</w:t>
            </w:r>
          </w:p>
          <w:p w14:paraId="6AEE5884">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③工期要求：根据项目总体要求制定合理的管线迁改工期计划满足业主进度要求。</w:t>
            </w:r>
          </w:p>
          <w:p w14:paraId="47082E48">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④服务团队需求：根据项目及现场摸查情况配备充足并有类似项目经验的服务团队。</w:t>
            </w:r>
          </w:p>
        </w:tc>
      </w:tr>
      <w:tr w14:paraId="2FDB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461" w:type="pct"/>
            <w:vMerge w:val="continue"/>
            <w:vAlign w:val="center"/>
          </w:tcPr>
          <w:p w14:paraId="0CDC87D1">
            <w:pPr>
              <w:wordWrap w:val="0"/>
              <w:spacing w:line="276" w:lineRule="auto"/>
              <w:jc w:val="both"/>
              <w:rPr>
                <w:rFonts w:hint="eastAsia" w:ascii="宋体" w:hAnsi="宋体" w:eastAsia="宋体" w:cs="宋体"/>
                <w:color w:val="auto"/>
                <w:sz w:val="21"/>
                <w:szCs w:val="21"/>
                <w:highlight w:val="none"/>
              </w:rPr>
            </w:pPr>
          </w:p>
        </w:tc>
        <w:tc>
          <w:tcPr>
            <w:tcW w:w="464" w:type="pct"/>
            <w:gridSpan w:val="2"/>
            <w:vMerge w:val="continue"/>
            <w:vAlign w:val="center"/>
          </w:tcPr>
          <w:p w14:paraId="38B060E1">
            <w:pPr>
              <w:wordWrap w:val="0"/>
              <w:spacing w:line="276" w:lineRule="auto"/>
              <w:jc w:val="both"/>
              <w:rPr>
                <w:rFonts w:hint="eastAsia" w:ascii="宋体" w:hAnsi="宋体" w:eastAsia="宋体" w:cs="宋体"/>
                <w:color w:val="auto"/>
                <w:sz w:val="21"/>
                <w:szCs w:val="21"/>
                <w:highlight w:val="none"/>
              </w:rPr>
            </w:pPr>
          </w:p>
        </w:tc>
        <w:tc>
          <w:tcPr>
            <w:tcW w:w="947" w:type="pct"/>
            <w:vAlign w:val="center"/>
          </w:tcPr>
          <w:p w14:paraId="3B2389C6">
            <w:pPr>
              <w:wordWrap w:val="0"/>
              <w:spacing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管理咨询服务总体方案（二）（3分）</w:t>
            </w:r>
          </w:p>
        </w:tc>
        <w:tc>
          <w:tcPr>
            <w:tcW w:w="3127" w:type="pct"/>
            <w:shd w:val="clear" w:color="auto" w:fill="auto"/>
            <w:vAlign w:val="top"/>
          </w:tcPr>
          <w:p w14:paraId="7762F172">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【优】：有管理咨询服务总体方案，熟悉项目、工作内容、工期要求、满足服务团队需求的，得3分。</w:t>
            </w:r>
          </w:p>
          <w:p w14:paraId="0B36C036">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【中】：有管理咨询服务总体方案，项目熟悉程度欠缺、基本满足工作内容、工期要求、服务团队需求的，得2分。</w:t>
            </w:r>
          </w:p>
          <w:p w14:paraId="63352D52">
            <w:pPr>
              <w:wordWrap w:val="0"/>
              <w:spacing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【差】：未提供管理咨询服务总体方案的，得0分。</w:t>
            </w:r>
          </w:p>
        </w:tc>
      </w:tr>
      <w:tr w14:paraId="47D5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461" w:type="pct"/>
            <w:vMerge w:val="continue"/>
            <w:vAlign w:val="center"/>
          </w:tcPr>
          <w:p w14:paraId="3BD9F858">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215F58BF">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50E42893">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项目管理重点、难点分析及合理化建议（</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3127" w:type="pct"/>
            <w:shd w:val="clear" w:color="auto" w:fill="auto"/>
            <w:vAlign w:val="top"/>
          </w:tcPr>
          <w:p w14:paraId="7477F840">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有针对以下重点、难点进行分析并提出合理化建议的，每项得3分，本项最高得6分。</w:t>
            </w:r>
          </w:p>
          <w:p w14:paraId="5D4A87BB">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①管线点多面广、地下管线权属复杂协调难度大；涉及电力、国防等重要管线迁改时间跨度长；管线迁改行政许可、停水停电审批手续复杂周期长等问题。</w:t>
            </w:r>
          </w:p>
          <w:p w14:paraId="26482DC7">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②管线迁改涉及红线外用地问题，用地权属复杂，涉及多个部门（如市政、水利、电力、通信等）以及众多利益相关者（政府、企业、居民等），如何有效地组织协调各方力量，解决征借地问题，是项目顺利推进是一个巨大的挑战。</w:t>
            </w:r>
          </w:p>
        </w:tc>
      </w:tr>
      <w:tr w14:paraId="3EC8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461" w:type="pct"/>
            <w:vMerge w:val="continue"/>
            <w:vAlign w:val="center"/>
          </w:tcPr>
          <w:p w14:paraId="7B8E0870">
            <w:pPr>
              <w:wordWrap w:val="0"/>
              <w:spacing w:line="276" w:lineRule="auto"/>
              <w:jc w:val="both"/>
              <w:rPr>
                <w:rFonts w:hint="eastAsia" w:ascii="宋体" w:hAnsi="宋体" w:eastAsia="宋体" w:cs="宋体"/>
                <w:color w:val="auto"/>
                <w:sz w:val="21"/>
                <w:szCs w:val="21"/>
                <w:highlight w:val="none"/>
              </w:rPr>
            </w:pPr>
          </w:p>
        </w:tc>
        <w:tc>
          <w:tcPr>
            <w:tcW w:w="464" w:type="pct"/>
            <w:gridSpan w:val="2"/>
            <w:vMerge w:val="continue"/>
            <w:vAlign w:val="center"/>
          </w:tcPr>
          <w:p w14:paraId="42DBDA67">
            <w:pPr>
              <w:wordWrap w:val="0"/>
              <w:spacing w:line="276" w:lineRule="auto"/>
              <w:jc w:val="both"/>
              <w:rPr>
                <w:rFonts w:hint="eastAsia" w:ascii="宋体" w:hAnsi="宋体" w:eastAsia="宋体" w:cs="宋体"/>
                <w:color w:val="auto"/>
                <w:sz w:val="21"/>
                <w:szCs w:val="21"/>
                <w:highlight w:val="none"/>
              </w:rPr>
            </w:pPr>
          </w:p>
        </w:tc>
        <w:tc>
          <w:tcPr>
            <w:tcW w:w="947" w:type="pct"/>
            <w:vAlign w:val="center"/>
          </w:tcPr>
          <w:p w14:paraId="0A73C9BB">
            <w:pPr>
              <w:wordWrap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项目管理重点、难点分析及合理化建议（</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3127" w:type="pct"/>
            <w:shd w:val="clear" w:color="auto" w:fill="auto"/>
            <w:vAlign w:val="top"/>
          </w:tcPr>
          <w:p w14:paraId="10FB9297">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根据投标人提供的项目管理重点、难点分析及合理化建议</w:t>
            </w:r>
          </w:p>
          <w:p w14:paraId="12DAF4F6">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【优】：针对本工程的难点、重点进行分析并提出相应的管理手段和措施，方法合理可行，措施具体、针对性强；针对管线迁改及征收补偿工作，提出科学、合理、可行的建议，得4分。</w:t>
            </w:r>
          </w:p>
          <w:p w14:paraId="02DCF4E0">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【中】：针对本工程的难点、重点进行分析并提出相应的管理手段和措施，措施可行性欠合理；针对管线迁改及征收补偿工作，提出的建议缺乏合理性。得2分。</w:t>
            </w:r>
          </w:p>
          <w:p w14:paraId="07E9AF82">
            <w:pPr>
              <w:wordWrap w:val="0"/>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【差】：未提供项目管理重点、难点分析及合理化建议的得0分。</w:t>
            </w:r>
          </w:p>
        </w:tc>
      </w:tr>
      <w:tr w14:paraId="6D95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1" w:type="pct"/>
            <w:vMerge w:val="continue"/>
            <w:vAlign w:val="center"/>
          </w:tcPr>
          <w:p w14:paraId="5458E4BF">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605ADDD9">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04CA4697">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项目管理人员（</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3127" w:type="pct"/>
            <w:vAlign w:val="top"/>
          </w:tcPr>
          <w:p w14:paraId="02772096">
            <w:pPr>
              <w:numPr>
                <w:ilvl w:val="0"/>
                <w:numId w:val="0"/>
              </w:numPr>
              <w:wordWrap w:val="0"/>
              <w:spacing w:line="276" w:lineRule="auto"/>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u w:val="single"/>
                <w:lang w:val="en-US" w:eastAsia="zh-CN"/>
              </w:rPr>
              <w:t>投入本项目各专业管线迁改工作人员配备满足程度（不含项目负责人）：满足招标文件第五章发包人要求“六、服务团队人员要求”中第3点要求的，得2分；不满足不得分。</w:t>
            </w:r>
          </w:p>
          <w:p w14:paraId="34390242">
            <w:pPr>
              <w:numPr>
                <w:ilvl w:val="0"/>
                <w:numId w:val="0"/>
              </w:num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lang w:val="en-US" w:eastAsia="zh-CN"/>
              </w:rPr>
              <w:t>投入本项目各专业管线迁改工作人员在满足招标文件第五章发包人要求“六、服务团队人员要求”中第3点要求的基础上，每增加1名符合“任职要求”的各专业管线迁改工作人员的得2分，本项最多得14分；</w:t>
            </w:r>
          </w:p>
          <w:p w14:paraId="69F60E85">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注：①投标人须提供</w:t>
            </w:r>
            <w:r>
              <w:rPr>
                <w:rFonts w:hint="eastAsia" w:ascii="宋体" w:hAnsi="宋体" w:eastAsia="宋体" w:cs="宋体"/>
                <w:b/>
                <w:bCs/>
                <w:color w:val="auto"/>
                <w:sz w:val="21"/>
                <w:szCs w:val="21"/>
                <w:highlight w:val="none"/>
                <w:u w:val="single"/>
                <w:lang w:val="en-US" w:eastAsia="zh-CN"/>
              </w:rPr>
              <w:t>简历表（格式自拟）及管线迁改建设管理服务工作经验相关证明资料（需提供合同或业主证明等）、离投标截止时间最近的至少1个月（即2025年8月）在本单位缴纳的社保证明文件（如部分地区社保证明显示隔月缴费状态，则提供2025年7月的社保证明）</w:t>
            </w:r>
            <w:r>
              <w:rPr>
                <w:rFonts w:hint="eastAsia" w:ascii="宋体" w:hAnsi="宋体" w:eastAsia="宋体" w:cs="宋体"/>
                <w:color w:val="auto"/>
                <w:sz w:val="21"/>
                <w:szCs w:val="21"/>
                <w:highlight w:val="none"/>
                <w:u w:val="single"/>
                <w:lang w:val="en-US" w:eastAsia="zh-CN"/>
              </w:rPr>
              <w:t>，否则不得分。②不符合上述条件或未提供资料的不得分。</w:t>
            </w:r>
          </w:p>
        </w:tc>
      </w:tr>
      <w:tr w14:paraId="1DBF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1" w:type="pct"/>
            <w:vMerge w:val="continue"/>
            <w:vAlign w:val="center"/>
          </w:tcPr>
          <w:p w14:paraId="3741D035">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728DDF2E">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7EFAB038">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管理的工作程序和工作制度（</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3127" w:type="pct"/>
            <w:vAlign w:val="top"/>
          </w:tcPr>
          <w:p w14:paraId="2532CA36">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管理的工作程序和工作制度中有以下内容：</w:t>
            </w:r>
          </w:p>
          <w:p w14:paraId="6FB272D8">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①明确地块迁改的管线类别有哪些（如电力、排水、给水、燃气、通信等）、管线迁改工作的基本原则（如有产权补偿原则、现有规模补偿与规划要求相结合原则、一次性迁改原则）、熟悉管线迁改项目前期工作和实施工作的工作程序（含管线迁改实物补偿工作程序和管线迁改资金补偿工作程序）；②有制定管线迁改的工作指引或工作手册，明确规定不同职位（包括项目负责人、项目主管、项目经办、项目辅办等）的岗位职责，以及相关文件资料审批流程；</w:t>
            </w:r>
          </w:p>
          <w:p w14:paraId="18A6FCE1">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每项得3分，最高得6分。</w:t>
            </w:r>
          </w:p>
        </w:tc>
      </w:tr>
      <w:tr w14:paraId="4A50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61" w:type="pct"/>
            <w:vMerge w:val="continue"/>
            <w:vAlign w:val="center"/>
          </w:tcPr>
          <w:p w14:paraId="2A964AB4">
            <w:pPr>
              <w:wordWrap w:val="0"/>
              <w:spacing w:line="276" w:lineRule="auto"/>
              <w:jc w:val="both"/>
              <w:rPr>
                <w:rFonts w:hint="eastAsia" w:ascii="宋体" w:hAnsi="宋体" w:eastAsia="宋体" w:cs="宋体"/>
                <w:color w:val="auto"/>
                <w:sz w:val="21"/>
                <w:szCs w:val="21"/>
                <w:highlight w:val="none"/>
              </w:rPr>
            </w:pPr>
          </w:p>
        </w:tc>
        <w:tc>
          <w:tcPr>
            <w:tcW w:w="464" w:type="pct"/>
            <w:gridSpan w:val="2"/>
            <w:vMerge w:val="continue"/>
            <w:vAlign w:val="center"/>
          </w:tcPr>
          <w:p w14:paraId="0B5DB79E">
            <w:pPr>
              <w:wordWrap w:val="0"/>
              <w:spacing w:line="276" w:lineRule="auto"/>
              <w:jc w:val="both"/>
              <w:rPr>
                <w:rFonts w:hint="eastAsia" w:ascii="宋体" w:hAnsi="宋体" w:eastAsia="宋体" w:cs="宋体"/>
                <w:color w:val="auto"/>
                <w:sz w:val="21"/>
                <w:szCs w:val="21"/>
                <w:highlight w:val="none"/>
              </w:rPr>
            </w:pPr>
          </w:p>
        </w:tc>
        <w:tc>
          <w:tcPr>
            <w:tcW w:w="947" w:type="pct"/>
            <w:vAlign w:val="center"/>
          </w:tcPr>
          <w:p w14:paraId="327165F5">
            <w:pPr>
              <w:wordWrap w:val="0"/>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管理的工作程序和工作制度（</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3127" w:type="pct"/>
            <w:vAlign w:val="top"/>
          </w:tcPr>
          <w:p w14:paraId="6BE32FA0">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根据投标人提供的管理的工作程序和工作制度</w:t>
            </w:r>
          </w:p>
          <w:p w14:paraId="32562B05">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【优】：根据本项目建设管理的管理要求制定相关的工作程序及工作制度，工作程序符合建设程序且合理、可行，工作制度全面、合理。得4分。</w:t>
            </w:r>
          </w:p>
          <w:p w14:paraId="01A805BE">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【中】：根据本项目建设管理的管理要求制定相关的工作程序及工作制度，工作程序不完全符合建设程序，工作制度缺乏合理性。得2分。</w:t>
            </w:r>
          </w:p>
          <w:p w14:paraId="47F69A3B">
            <w:pPr>
              <w:wordWrap w:val="0"/>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【差】：未提供管理的工作程序和工作制度的得0分。</w:t>
            </w:r>
          </w:p>
        </w:tc>
      </w:tr>
      <w:tr w14:paraId="6030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461" w:type="pct"/>
            <w:vMerge w:val="continue"/>
            <w:vAlign w:val="center"/>
          </w:tcPr>
          <w:p w14:paraId="4A9F12F1">
            <w:pPr>
              <w:wordWrap w:val="0"/>
              <w:spacing w:line="276" w:lineRule="auto"/>
              <w:jc w:val="center"/>
              <w:rPr>
                <w:rFonts w:hint="eastAsia" w:ascii="宋体" w:hAnsi="宋体" w:eastAsia="宋体" w:cs="宋体"/>
                <w:color w:val="auto"/>
                <w:sz w:val="21"/>
                <w:szCs w:val="21"/>
                <w:highlight w:val="none"/>
              </w:rPr>
            </w:pPr>
          </w:p>
        </w:tc>
        <w:tc>
          <w:tcPr>
            <w:tcW w:w="464" w:type="pct"/>
            <w:gridSpan w:val="2"/>
            <w:vMerge w:val="continue"/>
            <w:vAlign w:val="center"/>
          </w:tcPr>
          <w:p w14:paraId="3BE20FC4">
            <w:pPr>
              <w:wordWrap w:val="0"/>
              <w:spacing w:line="276" w:lineRule="auto"/>
              <w:jc w:val="center"/>
              <w:rPr>
                <w:rFonts w:hint="eastAsia" w:ascii="宋体" w:hAnsi="宋体" w:eastAsia="宋体" w:cs="宋体"/>
                <w:color w:val="auto"/>
                <w:sz w:val="21"/>
                <w:szCs w:val="21"/>
                <w:highlight w:val="none"/>
              </w:rPr>
            </w:pPr>
          </w:p>
        </w:tc>
        <w:tc>
          <w:tcPr>
            <w:tcW w:w="947" w:type="pct"/>
            <w:vAlign w:val="center"/>
          </w:tcPr>
          <w:p w14:paraId="04BD7674">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协调能力（</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3127" w:type="pct"/>
            <w:vAlign w:val="top"/>
          </w:tcPr>
          <w:p w14:paraId="1EFF132E">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技术文件中有以下内容：</w:t>
            </w:r>
          </w:p>
          <w:p w14:paraId="19B0C002">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①投标人应熟悉政府部门（行政审批、行业主管、镇街）的工作审批流程，熟悉不同种类管线权属业主规范标准。</w:t>
            </w:r>
          </w:p>
          <w:p w14:paraId="3E28B9A0">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②明确管线迁改参与方在项目中的角色和责任</w:t>
            </w:r>
          </w:p>
          <w:p w14:paraId="7AAD7C10">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③建立沟通机制：设立专门的联络人员或团队负责各单位之间的沟通与协调。定期召开会议，包括例会、进度汇报会和问题解决会等，确保信息畅通。</w:t>
            </w:r>
          </w:p>
          <w:p w14:paraId="44946A9F">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每项得2分，最高得6分。</w:t>
            </w:r>
          </w:p>
        </w:tc>
      </w:tr>
      <w:tr w14:paraId="48A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61" w:type="pct"/>
            <w:vMerge w:val="continue"/>
            <w:vAlign w:val="center"/>
          </w:tcPr>
          <w:p w14:paraId="441CB36F">
            <w:pPr>
              <w:wordWrap w:val="0"/>
              <w:spacing w:line="276" w:lineRule="auto"/>
              <w:jc w:val="both"/>
              <w:rPr>
                <w:rFonts w:hint="eastAsia" w:ascii="宋体" w:hAnsi="宋体" w:eastAsia="宋体" w:cs="宋体"/>
                <w:color w:val="auto"/>
                <w:sz w:val="21"/>
                <w:szCs w:val="21"/>
                <w:highlight w:val="none"/>
              </w:rPr>
            </w:pPr>
          </w:p>
        </w:tc>
        <w:tc>
          <w:tcPr>
            <w:tcW w:w="464" w:type="pct"/>
            <w:gridSpan w:val="2"/>
            <w:vMerge w:val="continue"/>
            <w:vAlign w:val="center"/>
          </w:tcPr>
          <w:p w14:paraId="6C6D2F89">
            <w:pPr>
              <w:wordWrap w:val="0"/>
              <w:spacing w:line="276" w:lineRule="auto"/>
              <w:jc w:val="both"/>
              <w:rPr>
                <w:rFonts w:hint="eastAsia" w:ascii="宋体" w:hAnsi="宋体" w:eastAsia="宋体" w:cs="宋体"/>
                <w:color w:val="auto"/>
                <w:sz w:val="21"/>
                <w:szCs w:val="21"/>
                <w:highlight w:val="none"/>
              </w:rPr>
            </w:pPr>
          </w:p>
        </w:tc>
        <w:tc>
          <w:tcPr>
            <w:tcW w:w="947" w:type="pct"/>
            <w:vAlign w:val="center"/>
          </w:tcPr>
          <w:p w14:paraId="2F3BA5D9">
            <w:pPr>
              <w:wordWrap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协调能力（</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3127" w:type="pct"/>
            <w:vAlign w:val="top"/>
          </w:tcPr>
          <w:p w14:paraId="4FC08E4A">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根据投标人提供的技术文件</w:t>
            </w:r>
          </w:p>
          <w:p w14:paraId="4324BA4D">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【优】：协调能力强，有全面具体的措施，措施得力，方法合理。得4分。</w:t>
            </w:r>
          </w:p>
          <w:p w14:paraId="7713F264">
            <w:pPr>
              <w:wordWrap w:val="0"/>
              <w:spacing w:line="276" w:lineRule="auto"/>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【中】：协调能力较差，措施不得力，方法欠缺合理性。得2分。</w:t>
            </w:r>
          </w:p>
          <w:p w14:paraId="31D6B989">
            <w:pPr>
              <w:wordWrap w:val="0"/>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val="en-US" w:eastAsia="zh-CN"/>
              </w:rPr>
              <w:t>【差】：不具备协调能力的得0分。</w:t>
            </w:r>
          </w:p>
        </w:tc>
      </w:tr>
      <w:tr w14:paraId="390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 w:type="pct"/>
            <w:vAlign w:val="center"/>
          </w:tcPr>
          <w:p w14:paraId="3A1740F6">
            <w:pPr>
              <w:wordWrap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p>
        </w:tc>
        <w:tc>
          <w:tcPr>
            <w:tcW w:w="464" w:type="pct"/>
            <w:gridSpan w:val="2"/>
            <w:vAlign w:val="center"/>
          </w:tcPr>
          <w:p w14:paraId="001E833B">
            <w:pPr>
              <w:wordWrap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947" w:type="pct"/>
            <w:vAlign w:val="center"/>
          </w:tcPr>
          <w:p w14:paraId="2C631E68">
            <w:pPr>
              <w:wordWrap w:val="0"/>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投标报价评分</w:t>
            </w:r>
          </w:p>
        </w:tc>
        <w:tc>
          <w:tcPr>
            <w:tcW w:w="3127" w:type="pct"/>
            <w:vAlign w:val="center"/>
          </w:tcPr>
          <w:p w14:paraId="42BD07E1">
            <w:pPr>
              <w:wordWrap w:val="0"/>
              <w:spacing w:line="276"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以评标基准价作为计算各有效投标人报价得分的基础，当投标报价等于评标基准价时得10分，投标报价与评标基准价之差，每上偏1%扣0.5分，下偏1%扣0.3分，扣至0分为止。</w:t>
            </w:r>
          </w:p>
        </w:tc>
      </w:tr>
    </w:tbl>
    <w:p w14:paraId="55B2E1C0">
      <w:pPr>
        <w:rPr>
          <w:color w:val="auto"/>
          <w:highlight w:val="none"/>
        </w:rPr>
      </w:pPr>
    </w:p>
    <w:bookmarkEnd w:id="175"/>
    <w:bookmarkEnd w:id="176"/>
    <w:p w14:paraId="72C487B2">
      <w:pPr>
        <w:rPr>
          <w:rFonts w:hint="eastAsia" w:ascii="宋体" w:hAnsi="宋体" w:eastAsia="宋体" w:cs="宋体"/>
          <w:b/>
          <w:bCs/>
          <w:color w:val="auto"/>
          <w:kern w:val="0"/>
          <w:sz w:val="30"/>
          <w:szCs w:val="30"/>
          <w:highlight w:val="none"/>
          <w:lang w:val="zh-CN"/>
        </w:rPr>
      </w:pPr>
      <w:bookmarkStart w:id="177" w:name="_Toc193358004"/>
      <w:bookmarkStart w:id="178" w:name="_Toc2009"/>
      <w:bookmarkStart w:id="179" w:name="_Toc111186788"/>
      <w:r>
        <w:rPr>
          <w:rFonts w:hint="eastAsia" w:ascii="宋体" w:hAnsi="宋体" w:eastAsia="宋体" w:cs="宋体"/>
          <w:b/>
          <w:bCs/>
          <w:color w:val="auto"/>
          <w:kern w:val="0"/>
          <w:sz w:val="30"/>
          <w:szCs w:val="30"/>
          <w:highlight w:val="none"/>
          <w:lang w:val="zh-CN"/>
        </w:rPr>
        <w:br w:type="page"/>
      </w:r>
    </w:p>
    <w:p w14:paraId="7C688FCB">
      <w:pPr>
        <w:keepNext/>
        <w:keepLines/>
        <w:wordWrap w:val="0"/>
        <w:spacing w:line="360" w:lineRule="auto"/>
        <w:jc w:val="left"/>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1. 评标方法</w:t>
      </w:r>
      <w:bookmarkEnd w:id="177"/>
      <w:bookmarkEnd w:id="178"/>
      <w:bookmarkEnd w:id="179"/>
    </w:p>
    <w:p w14:paraId="4B762BD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，但投标报价低于其成本的除外。综合评分相等时，按照评标办法前附表的规定确定中标候选人顺序。</w:t>
      </w:r>
    </w:p>
    <w:p w14:paraId="3B8688E9">
      <w:pPr>
        <w:wordWrap w:val="0"/>
        <w:spacing w:line="360" w:lineRule="auto"/>
        <w:ind w:firstLine="480" w:firstLineChars="200"/>
        <w:rPr>
          <w:rFonts w:hint="eastAsia" w:ascii="宋体" w:hAnsi="宋体" w:eastAsia="宋体" w:cs="宋体"/>
          <w:color w:val="auto"/>
          <w:sz w:val="24"/>
          <w:szCs w:val="24"/>
          <w:highlight w:val="none"/>
        </w:rPr>
      </w:pPr>
    </w:p>
    <w:p w14:paraId="076DDC6E">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80" w:name="_Toc193358005"/>
      <w:bookmarkStart w:id="181" w:name="_Toc16715"/>
      <w:bookmarkStart w:id="182" w:name="_Toc111186789"/>
      <w:r>
        <w:rPr>
          <w:rFonts w:hint="eastAsia" w:ascii="宋体" w:hAnsi="宋体" w:eastAsia="宋体" w:cs="宋体"/>
          <w:b/>
          <w:bCs/>
          <w:color w:val="auto"/>
          <w:spacing w:val="1"/>
          <w:kern w:val="0"/>
          <w:sz w:val="30"/>
          <w:szCs w:val="30"/>
          <w:highlight w:val="none"/>
          <w:lang w:val="zh-CN"/>
        </w:rPr>
        <w:t>2. 评审标准</w:t>
      </w:r>
      <w:bookmarkEnd w:id="180"/>
      <w:bookmarkEnd w:id="181"/>
      <w:bookmarkEnd w:id="182"/>
    </w:p>
    <w:p w14:paraId="72D713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3" w:name="_Toc193358006"/>
      <w:r>
        <w:rPr>
          <w:rFonts w:hint="eastAsia" w:ascii="宋体" w:hAnsi="宋体" w:eastAsia="宋体" w:cs="宋体"/>
          <w:b/>
          <w:bCs/>
          <w:color w:val="auto"/>
          <w:spacing w:val="1"/>
          <w:sz w:val="28"/>
          <w:szCs w:val="32"/>
          <w:highlight w:val="none"/>
          <w:lang w:val="zh-CN"/>
        </w:rPr>
        <w:t>2.1 初步评审标准</w:t>
      </w:r>
      <w:bookmarkEnd w:id="183"/>
    </w:p>
    <w:p w14:paraId="537DC8B5">
      <w:pPr>
        <w:wordWrap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2.1.1 形式评审标准：见评标办法前附表。</w:t>
      </w:r>
    </w:p>
    <w:p w14:paraId="748AD96D">
      <w:pPr>
        <w:wordWrap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2.1.2 资格评审标准：见评标办法前附表。</w:t>
      </w:r>
    </w:p>
    <w:p w14:paraId="2A94B703">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2.1.3 响应性评审标准：见评标办法前附表。</w:t>
      </w:r>
    </w:p>
    <w:p w14:paraId="27B1B0BD">
      <w:pPr>
        <w:wordWrap w:val="0"/>
        <w:spacing w:line="360" w:lineRule="auto"/>
        <w:ind w:firstLine="480" w:firstLineChars="200"/>
        <w:rPr>
          <w:rFonts w:ascii="宋体" w:hAnsi="宋体" w:eastAsia="宋体" w:cs="宋体"/>
          <w:color w:val="auto"/>
          <w:sz w:val="24"/>
          <w:szCs w:val="24"/>
          <w:highlight w:val="none"/>
        </w:rPr>
      </w:pPr>
    </w:p>
    <w:p w14:paraId="141591E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4" w:name="_Toc193358007"/>
      <w:r>
        <w:rPr>
          <w:rFonts w:hint="eastAsia" w:ascii="宋体" w:hAnsi="宋体" w:eastAsia="宋体" w:cs="宋体"/>
          <w:b/>
          <w:bCs/>
          <w:color w:val="auto"/>
          <w:spacing w:val="1"/>
          <w:sz w:val="28"/>
          <w:szCs w:val="32"/>
          <w:highlight w:val="none"/>
          <w:lang w:val="zh-CN"/>
        </w:rPr>
        <w:t>2.2 分值构成与评分标准</w:t>
      </w:r>
      <w:bookmarkEnd w:id="184"/>
    </w:p>
    <w:p w14:paraId="24DB916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77C657B2">
      <w:pP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u w:val="single"/>
        </w:rPr>
        <w:t>商务文件</w:t>
      </w:r>
      <w:r>
        <w:rPr>
          <w:rFonts w:hint="eastAsia" w:ascii="宋体" w:hAnsi="宋体" w:eastAsia="宋体"/>
          <w:color w:val="auto"/>
          <w:sz w:val="24"/>
          <w:szCs w:val="24"/>
          <w:highlight w:val="none"/>
        </w:rPr>
        <w:t>部分：见评标办法前附表；</w:t>
      </w:r>
    </w:p>
    <w:p w14:paraId="5E7459A2">
      <w:pP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u w:val="single"/>
        </w:rPr>
        <w:t>技术文件</w:t>
      </w:r>
      <w:r>
        <w:rPr>
          <w:rFonts w:hint="eastAsia" w:ascii="宋体" w:hAnsi="宋体" w:eastAsia="宋体"/>
          <w:color w:val="auto"/>
          <w:sz w:val="24"/>
          <w:szCs w:val="24"/>
          <w:highlight w:val="none"/>
        </w:rPr>
        <w:t>部分：见评标办法前附表；</w:t>
      </w:r>
    </w:p>
    <w:p w14:paraId="2CE8CBC7">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（3）投标报价：见评标办法前附表；</w:t>
      </w:r>
    </w:p>
    <w:p w14:paraId="43D824B2">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2.2.2 评标基准价计算</w:t>
      </w:r>
    </w:p>
    <w:p w14:paraId="56B3640B">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评标基准价计算方法：见评标办法前附表。</w:t>
      </w:r>
    </w:p>
    <w:p w14:paraId="2D690619">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2.2.3 投标报价的偏差率计算</w:t>
      </w:r>
    </w:p>
    <w:p w14:paraId="2FE5B31B">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投标报价的偏差率计算公式：见评标办法前附表。</w:t>
      </w:r>
    </w:p>
    <w:p w14:paraId="368B3B8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26D24880">
      <w:pP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s="宋体"/>
          <w:b/>
          <w:bCs/>
          <w:color w:val="auto"/>
          <w:sz w:val="24"/>
          <w:szCs w:val="24"/>
          <w:highlight w:val="none"/>
          <w:u w:val="single"/>
        </w:rPr>
        <w:t>商务文件</w:t>
      </w:r>
      <w:r>
        <w:rPr>
          <w:rFonts w:hint="eastAsia" w:ascii="宋体" w:hAnsi="宋体" w:eastAsia="宋体"/>
          <w:color w:val="auto"/>
          <w:sz w:val="24"/>
          <w:szCs w:val="24"/>
          <w:highlight w:val="none"/>
        </w:rPr>
        <w:t>评分标准：见评标办法前附表；</w:t>
      </w:r>
    </w:p>
    <w:p w14:paraId="31160F80">
      <w:pPr>
        <w:wordWrap w:val="0"/>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strike w:val="0"/>
          <w:dstrike w:val="0"/>
          <w:color w:val="auto"/>
          <w:sz w:val="24"/>
          <w:szCs w:val="24"/>
          <w:highlight w:val="none"/>
        </w:rPr>
        <w:t>）</w:t>
      </w:r>
      <w:r>
        <w:rPr>
          <w:rFonts w:hint="eastAsia" w:ascii="宋体" w:hAnsi="宋体" w:eastAsia="宋体" w:cs="宋体"/>
          <w:b/>
          <w:bCs/>
          <w:color w:val="auto"/>
          <w:sz w:val="24"/>
          <w:szCs w:val="24"/>
          <w:highlight w:val="none"/>
          <w:u w:val="single"/>
        </w:rPr>
        <w:t>技术文件</w:t>
      </w:r>
      <w:r>
        <w:rPr>
          <w:rFonts w:hint="eastAsia" w:ascii="宋体" w:hAnsi="宋体" w:eastAsia="宋体"/>
          <w:color w:val="auto"/>
          <w:sz w:val="24"/>
          <w:szCs w:val="24"/>
          <w:highlight w:val="none"/>
        </w:rPr>
        <w:t>评分标准：见评标办法前附表；</w:t>
      </w:r>
    </w:p>
    <w:p w14:paraId="553B8492">
      <w:pPr>
        <w:wordWrap w:val="0"/>
        <w:spacing w:line="360" w:lineRule="auto"/>
        <w:ind w:firstLine="480" w:firstLineChars="200"/>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（3）投标报价评分标准：见评标办法前附表；</w:t>
      </w:r>
    </w:p>
    <w:p w14:paraId="47DF5879">
      <w:pPr>
        <w:wordWrap w:val="0"/>
        <w:spacing w:line="360" w:lineRule="auto"/>
        <w:ind w:firstLine="480" w:firstLineChars="200"/>
        <w:rPr>
          <w:rFonts w:ascii="宋体" w:hAnsi="宋体" w:eastAsia="宋体" w:cs="宋体"/>
          <w:strike/>
          <w:color w:val="auto"/>
          <w:sz w:val="24"/>
          <w:szCs w:val="24"/>
          <w:highlight w:val="none"/>
        </w:rPr>
      </w:pPr>
    </w:p>
    <w:p w14:paraId="0EA251ED">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85" w:name="_Toc193358008"/>
      <w:bookmarkStart w:id="186" w:name="_Toc111186790"/>
      <w:bookmarkStart w:id="187" w:name="_Toc24342"/>
      <w:r>
        <w:rPr>
          <w:rFonts w:hint="eastAsia" w:ascii="宋体" w:hAnsi="宋体" w:eastAsia="宋体" w:cs="宋体"/>
          <w:b/>
          <w:bCs/>
          <w:color w:val="auto"/>
          <w:spacing w:val="1"/>
          <w:kern w:val="0"/>
          <w:sz w:val="30"/>
          <w:szCs w:val="30"/>
          <w:highlight w:val="none"/>
          <w:lang w:val="zh-CN"/>
        </w:rPr>
        <w:t>3. 评标程序</w:t>
      </w:r>
      <w:bookmarkEnd w:id="185"/>
      <w:bookmarkEnd w:id="186"/>
      <w:bookmarkEnd w:id="187"/>
    </w:p>
    <w:p w14:paraId="280D61A3">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3.1.1 评标委员会如认为有必要，可以要求</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提交第二章“</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须知”规定的有关证明和证件的原件，以便核验。评标委员会依据本章第 2.1 款规定的标准对投标文件进行初步评审。有一项不符合评审标准的，评标委员会应当否决其投标，未能通过初步评审的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其投标不再参与后续的评审程序。如果有否决投标提议，则评标委员会成员共同表决，按照少数服从多数的原则决定是否否决其投标。若有效投标不足3个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持不同意见的评标委员会成员应以书面形式阐述其意见和理由并记录在案。</w:t>
      </w:r>
    </w:p>
    <w:p w14:paraId="4B0E07A7">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3.1.1.1 形式评审：</w:t>
      </w:r>
    </w:p>
    <w:p w14:paraId="363AB0F1">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评标委员会根据评标办法前附表中规定的评审因素和评审标准，对</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的文件进行形式评审。通过形式评审的投标文件方可参加下一阶段评审程序。</w:t>
      </w:r>
    </w:p>
    <w:p w14:paraId="38F01F28">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3.1.1.2 资格评审：</w:t>
      </w:r>
    </w:p>
    <w:p w14:paraId="3F365B6A">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评标委员会根据评标办法前附表中的规定的评审因素和评审标准，对</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的资格审查文件进行资格评审。通过资格评审的投标文件方可参加下一阶段评审程序。</w:t>
      </w:r>
    </w:p>
    <w:p w14:paraId="580F7658">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3.1.1.3 响应性评审：</w:t>
      </w:r>
    </w:p>
    <w:p w14:paraId="5A5D4B84">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评标委员会根据评标办法前附表中规定的评审因素和评审标准，对</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的商务文件进行响应性评审。通过商务文件响应性评审的投标文件方可参加下一阶段评审程序。</w:t>
      </w:r>
    </w:p>
    <w:p w14:paraId="389E860B">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3.1.2 </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 xml:space="preserve">有以下情形之一的，评标委员会应当否决其投标： </w:t>
      </w:r>
    </w:p>
    <w:p w14:paraId="40851500">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（1）投标文件没有对招标文件的实质性要求和条件作出响应，或者对招标文件的偏差超出招标文件规定的偏差范围或最高项数；</w:t>
      </w:r>
    </w:p>
    <w:p w14:paraId="33219649">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（2）有串通投标、弄虚作假、行贿等违法行为。</w:t>
      </w:r>
    </w:p>
    <w:p w14:paraId="1E89FBF4">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（3）招标人设置了成本警示价的，对于低于成本警示价的投标报价，</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必须提供详细的单价、措施、</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成本等分析供评标委员会评审，由评标委员会判定其是否低于企业自身成本。在评标过程中，评标委员会发现</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的报价明显低于其他投标报价或者低于成本警示价，使得其投标报价可能低于个别成本的，应当要求该</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作出书面说明并提供相关证明材料。</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不能合理说明或者不能提供相关说明材料的，由评标委员会认定该</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以低于成本报价竞标，应当否决其投标。当有多个投标报价低于成本警示价时，应从低到高依次评审，对于已</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已做说明或者已提供相关证明材料的，如有较低投标报价未被认定低于成本，则不再对较高投标报价是否低于成本进行认定。</w:t>
      </w:r>
    </w:p>
    <w:p w14:paraId="151EA820">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与其他</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加密打包投标文件硬件特征码一致的。</w:t>
      </w:r>
    </w:p>
    <w:p w14:paraId="23CE582D">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（5）评标办法规定的其他应当否决其投标的情形。</w:t>
      </w:r>
    </w:p>
    <w:p w14:paraId="0CAE6A89">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3.1.3 投标报价有算术错误及其他错误的，评标委员会按以下原则要求</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对投标报价进行修正，并要求</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书面澄清确认。</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拒不澄清确认的，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拒不接受的，评标委员会应当否决其投标：</w:t>
      </w:r>
    </w:p>
    <w:p w14:paraId="0848E874">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（1）投标文件中的大写金额与小写金额不一致的，以大写金额为准；</w:t>
      </w:r>
    </w:p>
    <w:p w14:paraId="4AE4DAF6">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A60A8EF">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3.1.4评标委员会不得将文件顺序、明显文字错误等列为否决投标的情形，评标委员会发现投标文件含义不明确、对同类问题表述不一致、有明显格式或文字、计算错误、投标报价可能低于成本影响履约的，应当要求</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作必要的澄清、说明或补正后再判定</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是否通过审查，不得直接否决投标。评标委员会不接受</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主动提出的澄清、说明或补正。</w:t>
      </w:r>
    </w:p>
    <w:p w14:paraId="0543F457">
      <w:pPr>
        <w:wordWrap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3.1.5有效投标不足三个的，评标委员会应当对投标是否明显缺乏竞争和是否需要否决全部投标进行充分论证，并在评标报告中记载论证过程和结果。</w:t>
      </w:r>
    </w:p>
    <w:p w14:paraId="576975B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olor w:val="auto"/>
          <w:sz w:val="24"/>
          <w:szCs w:val="24"/>
          <w:highlight w:val="none"/>
        </w:rPr>
        <w:t>3.1.6若评标委员会各成员对否决投标意见不一致时，则按少数服从多数的原则作出评审结论。持有不同意见的评标委员会成员应书面记录本人意见后上传至评标系统，招标人应对评标委员会的意见合法性、合理性进行确认。</w:t>
      </w:r>
    </w:p>
    <w:p w14:paraId="567D3777">
      <w:pPr>
        <w:wordWrap w:val="0"/>
        <w:spacing w:line="360" w:lineRule="auto"/>
        <w:ind w:firstLine="480" w:firstLineChars="200"/>
        <w:rPr>
          <w:rFonts w:ascii="宋体" w:hAnsi="宋体" w:eastAsia="宋体" w:cs="宋体"/>
          <w:color w:val="auto"/>
          <w:sz w:val="24"/>
          <w:szCs w:val="24"/>
          <w:highlight w:val="none"/>
        </w:rPr>
      </w:pPr>
      <w:bookmarkStart w:id="188" w:name="_Toc111186791"/>
      <w:bookmarkStart w:id="189" w:name="_Toc6080"/>
    </w:p>
    <w:p w14:paraId="1A9DEF20">
      <w:pPr>
        <w:wordWrap w:val="0"/>
        <w:spacing w:line="360" w:lineRule="auto"/>
        <w:ind w:firstLine="480" w:firstLineChars="200"/>
        <w:rPr>
          <w:rFonts w:ascii="宋体" w:hAnsi="宋体" w:eastAsia="宋体" w:cs="宋体"/>
          <w:color w:val="auto"/>
          <w:sz w:val="24"/>
          <w:szCs w:val="24"/>
          <w:highlight w:val="none"/>
        </w:rPr>
      </w:pPr>
    </w:p>
    <w:p w14:paraId="4BCB59F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0" w:name="_Toc193358011"/>
      <w:r>
        <w:rPr>
          <w:rFonts w:hint="eastAsia" w:ascii="宋体" w:hAnsi="宋体" w:eastAsia="宋体" w:cs="宋体"/>
          <w:b/>
          <w:bCs/>
          <w:color w:val="auto"/>
          <w:spacing w:val="1"/>
          <w:sz w:val="28"/>
          <w:szCs w:val="32"/>
          <w:highlight w:val="none"/>
          <w:lang w:val="zh-CN"/>
        </w:rPr>
        <w:t xml:space="preserve">3.2 </w:t>
      </w:r>
      <w:bookmarkEnd w:id="190"/>
      <w:r>
        <w:rPr>
          <w:rFonts w:hint="eastAsia" w:ascii="宋体" w:hAnsi="宋体" w:eastAsia="宋体" w:cs="宋体"/>
          <w:b/>
          <w:bCs/>
          <w:color w:val="auto"/>
          <w:spacing w:val="1"/>
          <w:sz w:val="28"/>
          <w:szCs w:val="32"/>
          <w:highlight w:val="none"/>
          <w:lang w:val="zh-CN"/>
        </w:rPr>
        <w:t>详细评审</w:t>
      </w:r>
    </w:p>
    <w:p w14:paraId="3FA67D8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评标委员会按本章第2.2款规定的量化因素和分值进行打分，并计算出综合得分。</w:t>
      </w:r>
    </w:p>
    <w:p w14:paraId="2484851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评标委员会按本章第2.2.4（1）款规定的评审因素和分值计算各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商务文件的得分A，</w:t>
      </w:r>
      <w:r>
        <w:rPr>
          <w:rFonts w:hint="eastAsia" w:ascii="宋体" w:hAnsi="宋体" w:eastAsia="宋体" w:cs="宋体"/>
          <w:color w:val="auto"/>
          <w:sz w:val="24"/>
          <w:szCs w:val="24"/>
          <w:highlight w:val="none"/>
          <w:u w:val="single"/>
        </w:rPr>
        <w:t>资信业绩部分的评审得分A为评标委员会各成员打分的算术平均值</w:t>
      </w:r>
      <w:r>
        <w:rPr>
          <w:rFonts w:hint="eastAsia" w:ascii="宋体" w:hAnsi="宋体" w:eastAsia="宋体" w:cs="宋体"/>
          <w:color w:val="auto"/>
          <w:sz w:val="24"/>
          <w:szCs w:val="24"/>
          <w:highlight w:val="none"/>
        </w:rPr>
        <w:t>，分数出现小数点，保留小数点后二位，第三位小数四舍五入。</w:t>
      </w:r>
    </w:p>
    <w:p w14:paraId="5003A2E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评标委员会按本章第2.2款规定的评审因素计算各</w:t>
      </w:r>
      <w:r>
        <w:rPr>
          <w:rFonts w:hint="eastAsia" w:ascii="宋体" w:hAnsi="宋体" w:eastAsia="宋体" w:cs="宋体"/>
          <w:color w:val="auto"/>
          <w:sz w:val="24"/>
          <w:szCs w:val="24"/>
          <w:highlight w:val="none"/>
          <w:lang w:eastAsia="zh-CN"/>
        </w:rPr>
        <w:t>投标人</w:t>
      </w:r>
      <w:r>
        <w:rPr>
          <w:rFonts w:hint="eastAsia" w:ascii="宋体" w:hAnsi="宋体" w:eastAsia="宋体" w:cs="宋体"/>
          <w:b/>
          <w:bCs/>
          <w:strike w:val="0"/>
          <w:dstrike w:val="0"/>
          <w:color w:val="auto"/>
          <w:sz w:val="24"/>
          <w:szCs w:val="24"/>
          <w:highlight w:val="none"/>
          <w:u w:val="single"/>
          <w:lang w:val="en-US" w:eastAsia="zh-CN"/>
        </w:rPr>
        <w:t>技术文件</w:t>
      </w:r>
      <w:r>
        <w:rPr>
          <w:rFonts w:hint="eastAsia" w:ascii="宋体" w:hAnsi="宋体" w:eastAsia="宋体" w:cs="宋体"/>
          <w:color w:val="auto"/>
          <w:sz w:val="24"/>
          <w:szCs w:val="24"/>
          <w:highlight w:val="none"/>
        </w:rPr>
        <w:t>部分的得分B，</w:t>
      </w:r>
      <w:r>
        <w:rPr>
          <w:rFonts w:hint="eastAsia" w:ascii="宋体" w:hAnsi="宋体" w:eastAsia="宋体" w:cs="宋体"/>
          <w:b/>
          <w:bCs/>
          <w:strike w:val="0"/>
          <w:dstrike w:val="0"/>
          <w:color w:val="auto"/>
          <w:sz w:val="24"/>
          <w:szCs w:val="24"/>
          <w:highlight w:val="none"/>
          <w:u w:val="single"/>
          <w:lang w:val="en-US" w:eastAsia="zh-CN"/>
        </w:rPr>
        <w:t>技术文件</w:t>
      </w:r>
      <w:r>
        <w:rPr>
          <w:rFonts w:hint="eastAsia" w:ascii="宋体" w:hAnsi="宋体" w:eastAsia="宋体" w:cs="宋体"/>
          <w:color w:val="auto"/>
          <w:sz w:val="24"/>
          <w:szCs w:val="24"/>
          <w:highlight w:val="none"/>
          <w:u w:val="single"/>
        </w:rPr>
        <w:t>部分评审得分B为评标委员会各成员打分的算术平均值</w:t>
      </w:r>
      <w:r>
        <w:rPr>
          <w:rFonts w:hint="eastAsia" w:ascii="宋体" w:hAnsi="宋体" w:eastAsia="宋体" w:cs="宋体"/>
          <w:color w:val="auto"/>
          <w:sz w:val="24"/>
          <w:szCs w:val="24"/>
          <w:highlight w:val="none"/>
        </w:rPr>
        <w:t>，分数出现小数点，保留小数点后二位，第三位小数四舍五入。</w:t>
      </w:r>
    </w:p>
    <w:p w14:paraId="3C91C53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 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p>
    <w:p w14:paraId="40F29DA1">
      <w:pPr>
        <w:wordWrap w:val="0"/>
        <w:spacing w:line="360" w:lineRule="auto"/>
        <w:ind w:firstLine="480" w:firstLineChars="200"/>
        <w:rPr>
          <w:rFonts w:ascii="宋体" w:hAnsi="宋体" w:eastAsia="宋体" w:cs="宋体"/>
          <w:color w:val="auto"/>
          <w:sz w:val="24"/>
          <w:szCs w:val="24"/>
          <w:highlight w:val="none"/>
          <w:u w:val="single"/>
        </w:rPr>
      </w:pPr>
    </w:p>
    <w:p w14:paraId="626A66A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1" w:name="_Toc193358012"/>
      <w:r>
        <w:rPr>
          <w:rFonts w:hint="eastAsia" w:ascii="宋体" w:hAnsi="宋体" w:eastAsia="宋体" w:cs="宋体"/>
          <w:b/>
          <w:bCs/>
          <w:color w:val="auto"/>
          <w:spacing w:val="1"/>
          <w:sz w:val="28"/>
          <w:szCs w:val="32"/>
          <w:highlight w:val="none"/>
        </w:rPr>
        <w:t>3.3</w:t>
      </w:r>
      <w:r>
        <w:rPr>
          <w:rFonts w:ascii="宋体" w:hAnsi="宋体" w:eastAsia="宋体" w:cs="宋体"/>
          <w:b/>
          <w:bCs/>
          <w:color w:val="auto"/>
          <w:spacing w:val="1"/>
          <w:sz w:val="28"/>
          <w:szCs w:val="32"/>
          <w:highlight w:val="none"/>
        </w:rPr>
        <w:t xml:space="preserve"> </w:t>
      </w:r>
      <w:bookmarkEnd w:id="191"/>
      <w:r>
        <w:rPr>
          <w:rFonts w:hint="eastAsia" w:ascii="宋体" w:hAnsi="宋体" w:eastAsia="宋体" w:cs="宋体"/>
          <w:b/>
          <w:bCs/>
          <w:color w:val="auto"/>
          <w:spacing w:val="1"/>
          <w:sz w:val="28"/>
          <w:szCs w:val="32"/>
          <w:highlight w:val="none"/>
          <w:lang w:val="zh-CN"/>
        </w:rPr>
        <w:t>汇总投标人总得分</w:t>
      </w:r>
    </w:p>
    <w:p w14:paraId="0623DD1E">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评标委员会按本章第 2.2 款规定的量化因素和分值进行打分，并计算出综合得分。</w:t>
      </w:r>
    </w:p>
    <w:p w14:paraId="2B4461E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 2.2.4（1）目规定的评审因素和分值对商务文件部分计算出得分 A；</w:t>
      </w:r>
    </w:p>
    <w:p w14:paraId="708DA1B5">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 2.2.4（2）目规定的评审因素和分值对技术文件部分计算出得分 B；</w:t>
      </w:r>
    </w:p>
    <w:p w14:paraId="6C6795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 2.2.4（3）目规定的评审因素和分值对投标报价计算出得分 C；</w:t>
      </w:r>
    </w:p>
    <w:p w14:paraId="07F1E9C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评分分值计算保留小数点后两位，小数点后第三位“四舍五入”。</w:t>
      </w:r>
    </w:p>
    <w:p w14:paraId="046775F7">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得分=A+B</w:t>
      </w:r>
      <w:r>
        <w:rPr>
          <w:rFonts w:hint="eastAsia" w:ascii="宋体" w:hAnsi="宋体" w:eastAsia="宋体"/>
          <w:strike w:val="0"/>
          <w:dstrike w:val="0"/>
          <w:color w:val="auto"/>
          <w:sz w:val="24"/>
          <w:szCs w:val="24"/>
          <w:highlight w:val="none"/>
        </w:rPr>
        <w:t>+C</w:t>
      </w:r>
      <w:r>
        <w:rPr>
          <w:rFonts w:hint="eastAsia" w:ascii="宋体" w:hAnsi="宋体" w:eastAsia="宋体"/>
          <w:color w:val="auto"/>
          <w:sz w:val="24"/>
          <w:szCs w:val="24"/>
          <w:highlight w:val="none"/>
        </w:rPr>
        <w:t>。</w:t>
      </w:r>
    </w:p>
    <w:p w14:paraId="60E55FAB">
      <w:pPr>
        <w:wordWrap w:val="0"/>
        <w:spacing w:line="360" w:lineRule="auto"/>
        <w:ind w:firstLine="480" w:firstLineChars="200"/>
        <w:rPr>
          <w:rFonts w:ascii="宋体" w:hAnsi="宋体" w:eastAsia="宋体" w:cs="宋体"/>
          <w:color w:val="auto"/>
          <w:sz w:val="24"/>
          <w:szCs w:val="24"/>
          <w:highlight w:val="none"/>
          <w:u w:val="single"/>
        </w:rPr>
      </w:pPr>
    </w:p>
    <w:p w14:paraId="0326722F">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192" w:name="_Toc193358016"/>
      <w:r>
        <w:rPr>
          <w:rFonts w:hint="eastAsia" w:ascii="宋体" w:hAnsi="宋体" w:eastAsia="宋体" w:cs="宋体"/>
          <w:b/>
          <w:bCs/>
          <w:color w:val="auto"/>
          <w:spacing w:val="1"/>
          <w:sz w:val="28"/>
          <w:szCs w:val="32"/>
          <w:highlight w:val="none"/>
        </w:rPr>
        <w:t>3.</w:t>
      </w:r>
      <w:r>
        <w:rPr>
          <w:rFonts w:hint="eastAsia" w:ascii="宋体" w:hAnsi="宋体" w:eastAsia="宋体" w:cs="宋体"/>
          <w:b/>
          <w:bCs/>
          <w:color w:val="auto"/>
          <w:spacing w:val="1"/>
          <w:sz w:val="28"/>
          <w:szCs w:val="32"/>
          <w:highlight w:val="none"/>
          <w:lang w:val="en-US" w:eastAsia="zh-CN"/>
        </w:rPr>
        <w:t>4</w:t>
      </w:r>
      <w:r>
        <w:rPr>
          <w:rFonts w:hint="eastAsia" w:ascii="宋体" w:hAnsi="宋体" w:eastAsia="宋体" w:cs="宋体"/>
          <w:b/>
          <w:bCs/>
          <w:color w:val="auto"/>
          <w:spacing w:val="1"/>
          <w:sz w:val="28"/>
          <w:szCs w:val="32"/>
          <w:highlight w:val="none"/>
        </w:rPr>
        <w:t xml:space="preserve"> </w:t>
      </w:r>
      <w:bookmarkEnd w:id="192"/>
      <w:r>
        <w:rPr>
          <w:rFonts w:hint="eastAsia" w:ascii="宋体" w:hAnsi="宋体" w:eastAsia="宋体" w:cs="宋体"/>
          <w:b/>
          <w:bCs/>
          <w:color w:val="auto"/>
          <w:spacing w:val="1"/>
          <w:sz w:val="28"/>
          <w:szCs w:val="32"/>
          <w:highlight w:val="none"/>
        </w:rPr>
        <w:t>投标文件的澄清</w:t>
      </w:r>
    </w:p>
    <w:p w14:paraId="258BF694">
      <w:pPr>
        <w:wordWrap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3.4.1 在评标过程中，经评标委员会中两人以上（含两人）以书面形式提出动议，评标委员会可以书面形式要求</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对投标文件中含义不明确、对同类问题表述不一致或者有明显文字和计算错误的内容作必要的澄清、说明或补正。澄清、说明 或补正应以书面方式进行。评标委员会不接受</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主动提出的澄清、说明或补正。</w:t>
      </w:r>
    </w:p>
    <w:p w14:paraId="074F38B0">
      <w:pPr>
        <w:wordWrap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3.4.2澄清、说明或补正不得超出投标文件的范围且不得改变投标文件实质性内容，并构成投标文件的组成部分。</w:t>
      </w:r>
    </w:p>
    <w:p w14:paraId="0EA4589F">
      <w:pPr>
        <w:wordWrap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3.4.3评标委员会对</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提交的澄清、说明或补正有疑问的，可以要求</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进一步澄清、说明或补正，直到满足评标委员会的要求。</w:t>
      </w:r>
    </w:p>
    <w:p w14:paraId="3C12B867">
      <w:pPr>
        <w:wordWrap w:val="0"/>
        <w:spacing w:line="360" w:lineRule="auto"/>
        <w:ind w:firstLine="480" w:firstLineChars="200"/>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3.4.4 评标委员会发现</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的报价明显低于其他投标报价， 使得其投标报价可能低于其个别成本的，应当要求该</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作出书面说明并提供相应的证明材料。</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不能合理说明或者 不能提供相应证明材料的，评标委员会应当认定该</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color w:val="auto"/>
          <w:sz w:val="24"/>
          <w:szCs w:val="24"/>
          <w:highlight w:val="none"/>
          <w:u w:val="none"/>
        </w:rPr>
        <w:t>以低于成本报价竞标，并否决其投标。</w:t>
      </w:r>
    </w:p>
    <w:p w14:paraId="4B50978B">
      <w:pPr>
        <w:wordWrap w:val="0"/>
        <w:spacing w:line="360" w:lineRule="auto"/>
        <w:ind w:firstLine="480" w:firstLineChars="200"/>
        <w:rPr>
          <w:rFonts w:ascii="宋体" w:hAnsi="宋体" w:eastAsia="宋体" w:cs="宋体"/>
          <w:color w:val="auto"/>
          <w:sz w:val="24"/>
          <w:szCs w:val="24"/>
          <w:highlight w:val="none"/>
        </w:rPr>
      </w:pPr>
    </w:p>
    <w:p w14:paraId="61121EB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3" w:name="_Toc193358018"/>
      <w:r>
        <w:rPr>
          <w:rFonts w:hint="eastAsia" w:ascii="宋体" w:hAnsi="宋体" w:eastAsia="宋体" w:cs="宋体"/>
          <w:b/>
          <w:bCs/>
          <w:color w:val="auto"/>
          <w:spacing w:val="1"/>
          <w:sz w:val="28"/>
          <w:szCs w:val="32"/>
          <w:highlight w:val="none"/>
          <w:lang w:val="zh-CN"/>
        </w:rPr>
        <w:t>3.</w:t>
      </w:r>
      <w:r>
        <w:rPr>
          <w:rFonts w:hint="eastAsia" w:ascii="宋体" w:hAnsi="宋体" w:eastAsia="宋体" w:cs="宋体"/>
          <w:b/>
          <w:bCs/>
          <w:color w:val="auto"/>
          <w:spacing w:val="1"/>
          <w:sz w:val="28"/>
          <w:szCs w:val="32"/>
          <w:highlight w:val="none"/>
          <w:lang w:val="en-US" w:eastAsia="zh-CN"/>
        </w:rPr>
        <w:t>5</w:t>
      </w:r>
      <w:r>
        <w:rPr>
          <w:rFonts w:hint="eastAsia" w:ascii="宋体" w:hAnsi="宋体" w:eastAsia="宋体" w:cs="宋体"/>
          <w:b/>
          <w:bCs/>
          <w:color w:val="auto"/>
          <w:spacing w:val="1"/>
          <w:sz w:val="28"/>
          <w:szCs w:val="32"/>
          <w:highlight w:val="none"/>
          <w:lang w:val="zh-CN"/>
        </w:rPr>
        <w:t xml:space="preserve"> 评标结果</w:t>
      </w:r>
      <w:bookmarkEnd w:id="193"/>
    </w:p>
    <w:p w14:paraId="2E51F86C">
      <w:pPr>
        <w:wordWrap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3.5.1 除第二章“</w:t>
      </w:r>
      <w:r>
        <w:rPr>
          <w:rFonts w:hint="eastAsia" w:ascii="宋体" w:hAnsi="宋体" w:eastAsia="宋体" w:cs="宋体"/>
          <w:strike w:val="0"/>
          <w:dstrike w:val="0"/>
          <w:color w:val="auto"/>
          <w:sz w:val="24"/>
          <w:szCs w:val="24"/>
          <w:highlight w:val="none"/>
          <w:lang w:eastAsia="zh-CN"/>
        </w:rPr>
        <w:t>投标人</w:t>
      </w:r>
      <w:r>
        <w:rPr>
          <w:rFonts w:hint="eastAsia" w:ascii="宋体" w:hAnsi="宋体" w:eastAsia="宋体" w:cs="宋体"/>
          <w:strike w:val="0"/>
          <w:dstrike w:val="0"/>
          <w:color w:val="auto"/>
          <w:sz w:val="24"/>
          <w:szCs w:val="24"/>
          <w:highlight w:val="none"/>
        </w:rPr>
        <w:t>须知”前附表授权直接确定</w:t>
      </w:r>
      <w:r>
        <w:rPr>
          <w:rFonts w:hint="eastAsia" w:ascii="宋体" w:hAnsi="宋体" w:eastAsia="宋体" w:cs="宋体"/>
          <w:strike w:val="0"/>
          <w:dstrike w:val="0"/>
          <w:color w:val="auto"/>
          <w:sz w:val="24"/>
          <w:szCs w:val="24"/>
          <w:highlight w:val="none"/>
          <w:lang w:eastAsia="zh-CN"/>
        </w:rPr>
        <w:t>投标人</w:t>
      </w:r>
      <w:r>
        <w:rPr>
          <w:rFonts w:hint="eastAsia" w:ascii="宋体" w:hAnsi="宋体" w:eastAsia="宋体" w:cs="宋体"/>
          <w:strike w:val="0"/>
          <w:dstrike w:val="0"/>
          <w:color w:val="auto"/>
          <w:sz w:val="24"/>
          <w:szCs w:val="24"/>
          <w:highlight w:val="none"/>
        </w:rPr>
        <w:t>外，评标委员会按照得分由高到低的顺序推荐中标候选人，并标明排序。</w:t>
      </w:r>
    </w:p>
    <w:p w14:paraId="0B15E948">
      <w:pPr>
        <w:wordWrap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3.5.2 评标委员会完成评标后，应当向招标人提交书面评标报告和中标候选人名单。</w:t>
      </w:r>
    </w:p>
    <w:p w14:paraId="3B57ADC5">
      <w:pPr>
        <w:wordWrap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3.5.3 如采用评标定标分离方法的，按相关规定执行。</w:t>
      </w:r>
    </w:p>
    <w:bookmarkEnd w:id="188"/>
    <w:bookmarkEnd w:id="189"/>
    <w:p w14:paraId="115F6476">
      <w:pPr>
        <w:rPr>
          <w:rFonts w:hint="eastAsia"/>
          <w:color w:val="auto"/>
          <w:highlight w:val="none"/>
          <w:lang w:val="zh-CN"/>
        </w:rPr>
      </w:pPr>
      <w:r>
        <w:rPr>
          <w:rFonts w:hint="eastAsia"/>
          <w:color w:val="auto"/>
          <w:highlight w:val="none"/>
          <w:lang w:val="zh-CN"/>
        </w:rPr>
        <w:br w:type="page"/>
      </w:r>
    </w:p>
    <w:p w14:paraId="7E4E018E">
      <w:pPr>
        <w:wordWrap w:val="0"/>
        <w:spacing w:line="360" w:lineRule="auto"/>
        <w:ind w:firstLine="482" w:firstLineChars="200"/>
        <w:rPr>
          <w:rFonts w:hint="eastAsia" w:ascii="宋体" w:hAnsi="宋体" w:eastAsia="宋体" w:cs="宋体"/>
          <w:b/>
          <w:bCs/>
          <w:color w:val="auto"/>
          <w:sz w:val="24"/>
          <w:szCs w:val="24"/>
          <w:highlight w:val="none"/>
          <w:u w:val="single"/>
          <w:lang w:val="zh-CN"/>
        </w:rPr>
      </w:pPr>
    </w:p>
    <w:p w14:paraId="5E09D1FD">
      <w:pPr>
        <w:wordWrap w:val="0"/>
        <w:spacing w:line="360" w:lineRule="auto"/>
        <w:ind w:firstLine="482" w:firstLineChars="200"/>
        <w:rPr>
          <w:rFonts w:hint="eastAsia" w:ascii="宋体" w:hAnsi="宋体" w:eastAsia="宋体" w:cs="宋体"/>
          <w:b/>
          <w:bCs/>
          <w:color w:val="auto"/>
          <w:sz w:val="24"/>
          <w:szCs w:val="24"/>
          <w:highlight w:val="none"/>
          <w:u w:val="single"/>
          <w:lang w:val="zh-CN"/>
        </w:rPr>
        <w:sectPr>
          <w:type w:val="continuous"/>
          <w:pgSz w:w="11905" w:h="16838"/>
          <w:pgMar w:top="1474" w:right="1701" w:bottom="1474" w:left="1701" w:header="720" w:footer="720" w:gutter="0"/>
          <w:cols w:space="720" w:num="1"/>
        </w:sectPr>
      </w:pPr>
    </w:p>
    <w:p w14:paraId="1876DD88">
      <w:pPr>
        <w:pStyle w:val="2"/>
        <w:rPr>
          <w:color w:val="auto"/>
          <w:highlight w:val="none"/>
        </w:rPr>
      </w:pPr>
      <w:bookmarkStart w:id="194" w:name="_Toc193358019"/>
      <w:bookmarkStart w:id="195" w:name="_Toc111186799"/>
      <w:r>
        <w:rPr>
          <w:rFonts w:hint="eastAsia"/>
          <w:color w:val="auto"/>
          <w:highlight w:val="none"/>
        </w:rPr>
        <w:t>第四章  合同条款及格式</w:t>
      </w:r>
      <w:bookmarkEnd w:id="194"/>
      <w:bookmarkEnd w:id="195"/>
    </w:p>
    <w:p w14:paraId="444CB7D2">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3214DAFB">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6BF67470">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55409281">
      <w:pPr>
        <w:pStyle w:val="2"/>
        <w:rPr>
          <w:color w:val="auto"/>
          <w:highlight w:val="none"/>
        </w:rPr>
      </w:pPr>
      <w:bookmarkStart w:id="196" w:name="_Toc111186800"/>
      <w:bookmarkStart w:id="197" w:name="_Toc193358020"/>
      <w:bookmarkStart w:id="198" w:name="_Toc82786981"/>
      <w:r>
        <w:rPr>
          <w:rFonts w:hint="eastAsia"/>
          <w:color w:val="auto"/>
          <w:highlight w:val="none"/>
        </w:rPr>
        <w:t>第二卷</w:t>
      </w:r>
      <w:bookmarkEnd w:id="196"/>
      <w:bookmarkEnd w:id="197"/>
      <w:bookmarkEnd w:id="198"/>
    </w:p>
    <w:p w14:paraId="70C82622">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76C18529">
      <w:pPr>
        <w:pStyle w:val="2"/>
        <w:rPr>
          <w:color w:val="auto"/>
          <w:highlight w:val="none"/>
        </w:rPr>
      </w:pPr>
      <w:bookmarkStart w:id="199" w:name="_Toc193358021"/>
      <w:r>
        <w:rPr>
          <w:rFonts w:hint="eastAsia"/>
          <w:color w:val="auto"/>
          <w:highlight w:val="none"/>
        </w:rPr>
        <w:t xml:space="preserve">第五章 </w:t>
      </w:r>
      <w:r>
        <w:rPr>
          <w:color w:val="auto"/>
          <w:highlight w:val="none"/>
        </w:rPr>
        <w:t xml:space="preserve"> </w:t>
      </w:r>
      <w:r>
        <w:rPr>
          <w:rFonts w:hint="eastAsia"/>
          <w:color w:val="auto"/>
          <w:highlight w:val="none"/>
        </w:rPr>
        <w:t>发包人要求</w:t>
      </w:r>
      <w:bookmarkEnd w:id="199"/>
    </w:p>
    <w:p w14:paraId="2991D23E">
      <w:pPr>
        <w:pStyle w:val="162"/>
        <w:outlineLvl w:val="2"/>
        <w:rPr>
          <w:rFonts w:hint="eastAsia" w:ascii="宋体" w:hAnsi="宋体" w:eastAsia="宋体" w:cs="宋体"/>
          <w:b/>
          <w:color w:val="auto"/>
          <w:sz w:val="28"/>
          <w:highlight w:val="none"/>
        </w:rPr>
      </w:pPr>
    </w:p>
    <w:p w14:paraId="4EC3CFF1">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一、项目概况：</w:t>
      </w:r>
    </w:p>
    <w:p w14:paraId="07B1E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outlineLvl w:val="1"/>
        <w:rPr>
          <w:rFonts w:hint="eastAsia" w:ascii="宋体" w:hAnsi="宋体" w:eastAsia="宋体" w:cs="宋体"/>
          <w:b w:val="0"/>
          <w:bCs w:val="0"/>
          <w:color w:val="auto"/>
          <w:kern w:val="0"/>
          <w:sz w:val="24"/>
          <w:szCs w:val="24"/>
          <w:highlight w:val="none"/>
          <w:lang w:eastAsia="zh-CN"/>
        </w:rPr>
      </w:pPr>
      <w:bookmarkStart w:id="200" w:name="_Toc16218"/>
      <w:r>
        <w:rPr>
          <w:rFonts w:hint="eastAsia" w:ascii="宋体" w:hAnsi="宋体" w:eastAsia="宋体" w:cs="宋体"/>
          <w:b w:val="0"/>
          <w:bCs w:val="0"/>
          <w:color w:val="auto"/>
          <w:kern w:val="0"/>
          <w:sz w:val="24"/>
          <w:szCs w:val="24"/>
          <w:highlight w:val="none"/>
        </w:rPr>
        <w:t>（一）项目名称：</w:t>
      </w:r>
      <w:bookmarkEnd w:id="200"/>
      <w:r>
        <w:rPr>
          <w:rFonts w:hint="eastAsia" w:ascii="宋体" w:hAnsi="宋体" w:eastAsia="宋体" w:cs="宋体"/>
          <w:b w:val="0"/>
          <w:bCs w:val="0"/>
          <w:color w:val="auto"/>
          <w:kern w:val="0"/>
          <w:sz w:val="24"/>
          <w:szCs w:val="24"/>
          <w:highlight w:val="none"/>
          <w:lang w:eastAsia="zh-CN"/>
        </w:rPr>
        <w:t>红棉大道工程—田心立交至风神立交段管线迁改建设管理服务</w:t>
      </w:r>
    </w:p>
    <w:p w14:paraId="5FB964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outlineLvl w:val="1"/>
        <w:rPr>
          <w:rFonts w:hint="eastAsia" w:ascii="宋体" w:hAnsi="宋体" w:eastAsia="宋体" w:cs="宋体"/>
          <w:b w:val="0"/>
          <w:bCs w:val="0"/>
          <w:color w:val="auto"/>
          <w:kern w:val="0"/>
          <w:sz w:val="24"/>
          <w:szCs w:val="24"/>
          <w:highlight w:val="none"/>
        </w:rPr>
      </w:pPr>
      <w:bookmarkStart w:id="201" w:name="_Toc29423"/>
      <w:r>
        <w:rPr>
          <w:rFonts w:hint="eastAsia" w:ascii="宋体" w:hAnsi="宋体" w:eastAsia="宋体" w:cs="宋体"/>
          <w:b w:val="0"/>
          <w:bCs w:val="0"/>
          <w:color w:val="auto"/>
          <w:kern w:val="0"/>
          <w:sz w:val="24"/>
          <w:szCs w:val="24"/>
          <w:highlight w:val="none"/>
        </w:rPr>
        <w:t>（二）招标内容：</w:t>
      </w:r>
      <w:r>
        <w:rPr>
          <w:rFonts w:hint="eastAsia" w:ascii="宋体" w:hAnsi="宋体" w:eastAsia="宋体" w:cs="宋体"/>
          <w:b w:val="0"/>
          <w:bCs w:val="0"/>
          <w:color w:val="auto"/>
          <w:kern w:val="0"/>
          <w:sz w:val="24"/>
          <w:szCs w:val="24"/>
          <w:highlight w:val="none"/>
          <w:lang w:eastAsia="zh-CN"/>
        </w:rPr>
        <w:t>红棉大道工程—田心立交</w:t>
      </w:r>
      <w:r>
        <w:rPr>
          <w:rFonts w:hint="eastAsia" w:ascii="宋体" w:hAnsi="宋体" w:eastAsia="宋体" w:cs="宋体"/>
          <w:b w:val="0"/>
          <w:bCs w:val="0"/>
          <w:color w:val="auto"/>
          <w:kern w:val="0"/>
          <w:sz w:val="24"/>
          <w:szCs w:val="24"/>
          <w:highlight w:val="none"/>
        </w:rPr>
        <w:t>至风神立交段管线迁改建设管理服务，包括：负责招采服务单位、管理协调各阶段工作及各种手续的报审管理工作，并对工程项目进行质量、进度、投资及造价、合同、信息、安全等方面的有效统筹管理和控制，直到办理竣工验收手续和竣工结算、财务决算、资产移交前实施过程中的建设管理工作及各种手续的报审管理工作。</w:t>
      </w:r>
      <w:bookmarkEnd w:id="201"/>
    </w:p>
    <w:p w14:paraId="5BC613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outlineLvl w:val="1"/>
        <w:rPr>
          <w:rFonts w:hint="eastAsia" w:ascii="宋体" w:hAnsi="宋体" w:eastAsia="宋体" w:cs="宋体"/>
          <w:b w:val="0"/>
          <w:bCs w:val="0"/>
          <w:color w:val="auto"/>
          <w:kern w:val="0"/>
          <w:sz w:val="24"/>
          <w:szCs w:val="24"/>
          <w:highlight w:val="none"/>
        </w:rPr>
      </w:pPr>
      <w:bookmarkStart w:id="202" w:name="_Toc23665"/>
      <w:r>
        <w:rPr>
          <w:rFonts w:hint="eastAsia" w:ascii="宋体" w:hAnsi="宋体" w:eastAsia="宋体" w:cs="宋体"/>
          <w:b w:val="0"/>
          <w:bCs w:val="0"/>
          <w:color w:val="auto"/>
          <w:kern w:val="0"/>
          <w:sz w:val="24"/>
          <w:szCs w:val="24"/>
          <w:highlight w:val="none"/>
        </w:rPr>
        <w:t>（三）服务期：</w:t>
      </w:r>
      <w:r>
        <w:rPr>
          <w:rFonts w:hint="eastAsia" w:ascii="宋体" w:hAnsi="宋体" w:eastAsia="宋体" w:cs="宋体"/>
          <w:b w:val="0"/>
          <w:bCs w:val="0"/>
          <w:color w:val="auto"/>
          <w:kern w:val="0"/>
          <w:sz w:val="24"/>
          <w:szCs w:val="24"/>
          <w:highlight w:val="none"/>
          <w:lang w:val="en-US" w:eastAsia="zh-CN"/>
        </w:rPr>
        <w:t>详见合同条款。</w:t>
      </w:r>
      <w:bookmarkEnd w:id="202"/>
    </w:p>
    <w:p w14:paraId="7F9FE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outlineLvl w:val="1"/>
        <w:rPr>
          <w:rFonts w:hint="eastAsia" w:ascii="宋体" w:hAnsi="宋体" w:eastAsia="宋体" w:cs="宋体"/>
          <w:b w:val="0"/>
          <w:bCs w:val="0"/>
          <w:color w:val="auto"/>
          <w:kern w:val="0"/>
          <w:sz w:val="24"/>
          <w:szCs w:val="24"/>
          <w:highlight w:val="none"/>
        </w:rPr>
      </w:pPr>
      <w:bookmarkStart w:id="203" w:name="_Toc6292"/>
      <w:r>
        <w:rPr>
          <w:rFonts w:hint="eastAsia" w:ascii="宋体" w:hAnsi="宋体" w:eastAsia="宋体" w:cs="宋体"/>
          <w:b w:val="0"/>
          <w:bCs w:val="0"/>
          <w:color w:val="auto"/>
          <w:kern w:val="0"/>
          <w:sz w:val="24"/>
          <w:szCs w:val="24"/>
          <w:highlight w:val="none"/>
        </w:rPr>
        <w:t>（四）本项目</w:t>
      </w:r>
      <w:r>
        <w:rPr>
          <w:rFonts w:hint="eastAsia" w:ascii="宋体" w:hAnsi="宋体" w:eastAsia="宋体" w:cs="宋体"/>
          <w:b w:val="0"/>
          <w:bCs w:val="0"/>
          <w:color w:val="auto"/>
          <w:kern w:val="0"/>
          <w:sz w:val="24"/>
          <w:szCs w:val="24"/>
          <w:highlight w:val="none"/>
          <w:lang w:val="en-US" w:eastAsia="zh-CN"/>
        </w:rPr>
        <w:t>发包</w:t>
      </w:r>
      <w:r>
        <w:rPr>
          <w:rFonts w:hint="eastAsia" w:ascii="宋体" w:hAnsi="宋体" w:eastAsia="宋体" w:cs="宋体"/>
          <w:b w:val="0"/>
          <w:bCs w:val="0"/>
          <w:color w:val="auto"/>
          <w:kern w:val="0"/>
          <w:sz w:val="24"/>
          <w:szCs w:val="24"/>
          <w:highlight w:val="none"/>
        </w:rPr>
        <w:t>人为广州</w:t>
      </w:r>
      <w:r>
        <w:rPr>
          <w:rFonts w:hint="eastAsia" w:ascii="宋体" w:hAnsi="宋体" w:eastAsia="宋体" w:cs="宋体"/>
          <w:b w:val="0"/>
          <w:bCs w:val="0"/>
          <w:color w:val="auto"/>
          <w:kern w:val="0"/>
          <w:sz w:val="24"/>
          <w:szCs w:val="24"/>
          <w:highlight w:val="none"/>
          <w:lang w:val="en-US" w:eastAsia="zh-CN"/>
        </w:rPr>
        <w:t>市花都区交通运输局</w:t>
      </w:r>
      <w:r>
        <w:rPr>
          <w:rFonts w:hint="eastAsia" w:ascii="宋体" w:hAnsi="宋体" w:eastAsia="宋体" w:cs="宋体"/>
          <w:b w:val="0"/>
          <w:bCs w:val="0"/>
          <w:color w:val="auto"/>
          <w:kern w:val="0"/>
          <w:sz w:val="24"/>
          <w:szCs w:val="24"/>
          <w:highlight w:val="none"/>
        </w:rPr>
        <w:t>。</w:t>
      </w:r>
      <w:bookmarkEnd w:id="203"/>
    </w:p>
    <w:p w14:paraId="763A0825">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二、工作范围及工作内容</w:t>
      </w:r>
    </w:p>
    <w:p w14:paraId="4D35BB01">
      <w:pPr>
        <w:keepNext w:val="0"/>
        <w:keepLines w:val="0"/>
        <w:pageBreakBefore w:val="0"/>
        <w:widowControl w:val="0"/>
        <w:kinsoku/>
        <w:wordWrap/>
        <w:overflowPunct/>
        <w:topLinePunct w:val="0"/>
        <w:bidi w:val="0"/>
        <w:snapToGrid/>
        <w:spacing w:line="360" w:lineRule="auto"/>
        <w:ind w:firstLine="482" w:firstLineChars="200"/>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（一）工作范围</w:t>
      </w:r>
    </w:p>
    <w:p w14:paraId="6CABAD6B">
      <w:pPr>
        <w:keepNext w:val="0"/>
        <w:keepLines w:val="0"/>
        <w:pageBreakBefore w:val="0"/>
        <w:widowControl w:val="0"/>
        <w:kinsoku/>
        <w:wordWrap/>
        <w:overflowPunct/>
        <w:topLinePunct w:val="0"/>
        <w:bidi w:val="0"/>
        <w:snapToGrid/>
        <w:spacing w:line="360" w:lineRule="auto"/>
        <w:ind w:firstLine="480" w:firstLineChars="20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负责</w:t>
      </w:r>
      <w:r>
        <w:rPr>
          <w:rFonts w:hint="eastAsia" w:ascii="宋体" w:hAnsi="宋体" w:eastAsia="宋体" w:cs="宋体"/>
          <w:color w:val="auto"/>
          <w:kern w:val="0"/>
          <w:sz w:val="24"/>
          <w:szCs w:val="24"/>
          <w:highlight w:val="none"/>
          <w:lang w:eastAsia="zh-CN"/>
        </w:rPr>
        <w:t>红棉大道工程—田心立交</w:t>
      </w:r>
      <w:r>
        <w:rPr>
          <w:rFonts w:hint="eastAsia" w:ascii="宋体" w:hAnsi="宋体" w:eastAsia="宋体" w:cs="宋体"/>
          <w:color w:val="auto"/>
          <w:kern w:val="0"/>
          <w:sz w:val="24"/>
          <w:szCs w:val="24"/>
          <w:highlight w:val="none"/>
        </w:rPr>
        <w:t>至风神立交段管线迁改的全过程管理工作，包括管线资金补偿衍生项目及管线实物补偿项目等，具体工作范围以</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提供的工作</w:t>
      </w:r>
      <w:r>
        <w:rPr>
          <w:rFonts w:hint="eastAsia" w:ascii="宋体" w:hAnsi="宋体" w:eastAsia="宋体" w:cs="宋体"/>
          <w:color w:val="auto"/>
          <w:kern w:val="0"/>
          <w:sz w:val="24"/>
          <w:szCs w:val="24"/>
          <w:highlight w:val="none"/>
          <w:lang w:val="en-US" w:eastAsia="zh-CN"/>
        </w:rPr>
        <w:t>范围</w:t>
      </w:r>
      <w:r>
        <w:rPr>
          <w:rFonts w:hint="eastAsia" w:ascii="宋体" w:hAnsi="宋体" w:eastAsia="宋体" w:cs="宋体"/>
          <w:color w:val="auto"/>
          <w:kern w:val="0"/>
          <w:sz w:val="24"/>
          <w:szCs w:val="24"/>
          <w:highlight w:val="none"/>
        </w:rPr>
        <w:t>为准。</w:t>
      </w:r>
    </w:p>
    <w:p w14:paraId="6AC66491">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（二）工作内容</w:t>
      </w:r>
    </w:p>
    <w:p w14:paraId="3F7DA1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管线迁改资金补偿项目：</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负责提供管线迁改资金补偿项目的管理及衍生项目的报批、协调处理等工作。</w:t>
      </w:r>
    </w:p>
    <w:p w14:paraId="6114D1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2.管线迁改实物补偿项目：</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负责提供从与管线权属单位协商管线迁改或补偿方式开始，至项目预算（概算）的编制、竣工验收、竣工结算、移交和保修期结束之日止的建设全过程统筹管理工作，包括但不限于：</w:t>
      </w:r>
    </w:p>
    <w:p w14:paraId="1E1F13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（1）在项目决策阶段，负责择优选择勘察设计、监理、施工单位，负责组织设计单位按</w:t>
      </w:r>
      <w:r>
        <w:rPr>
          <w:rFonts w:hint="eastAsia" w:ascii="宋体" w:hAnsi="宋体" w:eastAsia="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要求编制设计方案、预算（概算），对设计方案提出优化建议，负责项目实施过程中各项合同的洽谈与签订工作，对所签订的合同实行全过程管理。</w:t>
      </w:r>
    </w:p>
    <w:p w14:paraId="64C4698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bCs w:val="0"/>
          <w:color w:val="auto"/>
          <w:sz w:val="24"/>
          <w:szCs w:val="24"/>
          <w:highlight w:val="none"/>
        </w:rPr>
      </w:pPr>
      <w:r>
        <w:rPr>
          <w:rFonts w:hint="eastAsia" w:ascii="宋体" w:hAnsi="宋体" w:eastAsia="宋体" w:cs="宋体"/>
          <w:bCs/>
          <w:color w:val="auto"/>
          <w:sz w:val="24"/>
          <w:szCs w:val="24"/>
          <w:highlight w:val="none"/>
        </w:rPr>
        <w:t>（2）在项目实施阶段，负责勘察设计管理、招标管理、施工管理、投资控制等工作，组织项目设计变更、预算（概算）调整相关文件编报工作；负责管线迁</w:t>
      </w:r>
      <w:r>
        <w:rPr>
          <w:rFonts w:hint="eastAsia" w:ascii="宋体" w:hAnsi="宋体" w:eastAsia="宋体" w:cs="宋体"/>
          <w:bCs w:val="0"/>
          <w:color w:val="auto"/>
          <w:sz w:val="24"/>
          <w:szCs w:val="24"/>
          <w:highlight w:val="none"/>
        </w:rPr>
        <w:t>改的管理协调工作及各种手续的报审管理工作，并对迁改工程项目进行质量、进度、投资、合同、信息、安全等方面的有效统筹管理和控制，直到办理竣工验收手续、竣工结算、资产移交前实施过程中的建设管理工作及各种手续的报审管理工作。</w:t>
      </w:r>
    </w:p>
    <w:p w14:paraId="37C9ECA2">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三、费用</w:t>
      </w:r>
    </w:p>
    <w:p w14:paraId="65B5B17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管线迁改建设管理费参照财政部关于印发《基本建设项目建设成本管理规定》（财建〔2016〕504号）、广东省财政厅关于印发《广东省财政厅关于基本建设财务管理的实施办法》及配套制度的通知（粤财规〔2022〕2号）文件计算（计费基数以工程概算审核批准的总投资&lt;不含项目建设管理费、建设用地费&gt;为准），管线迁改建设管理费最终以财政部门结算审核价为准</w:t>
      </w:r>
    </w:p>
    <w:p w14:paraId="3A59CE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具体要求按合同条款执行。</w:t>
      </w:r>
    </w:p>
    <w:p w14:paraId="0B5B4AFD">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四、工期要求</w:t>
      </w:r>
    </w:p>
    <w:p w14:paraId="7A79BB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详见合同条款。</w:t>
      </w:r>
    </w:p>
    <w:p w14:paraId="6B427999">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五、验收标准</w:t>
      </w:r>
    </w:p>
    <w:p w14:paraId="521D4A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确保管线迁改项目工程按照</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人要求按期完成，工程质量均达到合格标准，无重大质量事故，总投资控制在经审批的项目投资总概算内。</w:t>
      </w:r>
    </w:p>
    <w:p w14:paraId="4040A2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（一）投资控制：</w:t>
      </w:r>
      <w:r>
        <w:rPr>
          <w:rFonts w:hint="eastAsia" w:ascii="宋体" w:hAnsi="宋体" w:eastAsia="宋体" w:cs="宋体"/>
          <w:color w:val="auto"/>
          <w:sz w:val="24"/>
          <w:szCs w:val="24"/>
          <w:highlight w:val="none"/>
          <w:lang w:val="en-US" w:eastAsia="zh-CN"/>
        </w:rPr>
        <w:t>详见合同条款。</w:t>
      </w:r>
    </w:p>
    <w:p w14:paraId="3CB74B73">
      <w:pPr>
        <w:keepNext w:val="0"/>
        <w:keepLines w:val="0"/>
        <w:pageBreakBefore w:val="0"/>
        <w:widowControl/>
        <w:kinsoku/>
        <w:wordWrap/>
        <w:overflowPunct/>
        <w:topLinePunct w:val="0"/>
        <w:autoSpaceDE/>
        <w:autoSpaceDN/>
        <w:bidi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（二）进度控制：</w:t>
      </w:r>
      <w:r>
        <w:rPr>
          <w:rFonts w:hint="eastAsia" w:ascii="宋体" w:hAnsi="宋体" w:eastAsia="宋体" w:cs="宋体"/>
          <w:color w:val="auto"/>
          <w:sz w:val="24"/>
          <w:szCs w:val="24"/>
          <w:highlight w:val="none"/>
          <w:lang w:val="en-US" w:eastAsia="zh-CN"/>
        </w:rPr>
        <w:t>详见合同条款</w:t>
      </w:r>
    </w:p>
    <w:p w14:paraId="7763AED4">
      <w:pPr>
        <w:keepNext w:val="0"/>
        <w:keepLines w:val="0"/>
        <w:pageBreakBefore w:val="0"/>
        <w:widowControl/>
        <w:kinsoku/>
        <w:wordWrap/>
        <w:overflowPunct/>
        <w:topLinePunct w:val="0"/>
        <w:autoSpaceDE/>
        <w:autoSpaceDN/>
        <w:bidi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（三）工程质量：确保工程质量均达到合格标准，无重大质量事故。</w:t>
      </w:r>
    </w:p>
    <w:p w14:paraId="4ABE1796">
      <w:pPr>
        <w:keepNext w:val="0"/>
        <w:keepLines w:val="0"/>
        <w:pageBreakBefore w:val="0"/>
        <w:widowControl/>
        <w:kinsoku/>
        <w:wordWrap/>
        <w:overflowPunct/>
        <w:topLinePunct w:val="0"/>
        <w:autoSpaceDE/>
        <w:autoSpaceDN/>
        <w:bidi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（四）安全生产：无重大安全事故。</w:t>
      </w:r>
    </w:p>
    <w:p w14:paraId="0FDDA999">
      <w:pPr>
        <w:keepNext w:val="0"/>
        <w:keepLines w:val="0"/>
        <w:pageBreakBefore w:val="0"/>
        <w:widowControl/>
        <w:kinsoku/>
        <w:wordWrap/>
        <w:overflowPunct/>
        <w:topLinePunct w:val="0"/>
        <w:autoSpaceDE/>
        <w:autoSpaceDN/>
        <w:bidi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总体管理目标：管线迁改建设管理人要确保项目符合基建程序。</w:t>
      </w:r>
    </w:p>
    <w:p w14:paraId="12F73926">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sz w:val="28"/>
          <w:szCs w:val="32"/>
          <w:highlight w:val="none"/>
          <w:lang w:val="zh-CN"/>
        </w:rPr>
        <w:t>六、服务团队人员要求</w:t>
      </w:r>
    </w:p>
    <w:p w14:paraId="5D74E65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按照项目实际情况组建合适的项目团队，负责项目实施管理服务工作。</w:t>
      </w:r>
    </w:p>
    <w:p w14:paraId="70D4555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2.拟投入项目负责人要</w:t>
      </w:r>
      <w:r>
        <w:rPr>
          <w:rFonts w:hint="eastAsia" w:ascii="宋体" w:hAnsi="宋体" w:eastAsia="宋体" w:cs="宋体"/>
          <w:color w:val="auto"/>
          <w:kern w:val="0"/>
          <w:sz w:val="24"/>
          <w:szCs w:val="24"/>
          <w:highlight w:val="none"/>
          <w:lang w:eastAsia="zh-CN"/>
        </w:rPr>
        <w:t>求</w:t>
      </w:r>
      <w:r>
        <w:rPr>
          <w:rFonts w:hint="eastAsia" w:ascii="宋体" w:hAnsi="宋体" w:eastAsia="宋体" w:cs="宋体"/>
          <w:color w:val="auto"/>
          <w:kern w:val="0"/>
          <w:sz w:val="24"/>
          <w:szCs w:val="24"/>
          <w:highlight w:val="none"/>
          <w:lang w:val="en-US" w:eastAsia="zh-CN"/>
        </w:rPr>
        <w:t>详见招标公告。</w:t>
      </w:r>
    </w:p>
    <w:p w14:paraId="51BAB32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bidi="ar-SA"/>
        </w:rPr>
        <w:t>3.拟投入本项目的各专业管线迁改工作人员</w:t>
      </w:r>
      <w:r>
        <w:rPr>
          <w:rFonts w:hint="eastAsia" w:ascii="宋体" w:hAnsi="宋体" w:eastAsia="宋体" w:cs="宋体"/>
          <w:color w:val="auto"/>
          <w:kern w:val="0"/>
          <w:sz w:val="24"/>
          <w:szCs w:val="24"/>
          <w:highlight w:val="none"/>
          <w:lang w:val="en-US" w:eastAsia="zh-CN" w:bidi="ar-SA"/>
        </w:rPr>
        <w:t>要求：</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935"/>
        <w:gridCol w:w="5328"/>
        <w:gridCol w:w="750"/>
      </w:tblGrid>
      <w:tr w14:paraId="1570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03" w:type="pct"/>
            <w:tcBorders>
              <w:top w:val="single" w:color="auto" w:sz="4" w:space="0"/>
              <w:left w:val="single" w:color="auto" w:sz="4" w:space="0"/>
              <w:bottom w:val="single" w:color="auto" w:sz="4" w:space="0"/>
              <w:right w:val="single" w:color="auto" w:sz="4" w:space="0"/>
            </w:tcBorders>
            <w:vAlign w:val="center"/>
          </w:tcPr>
          <w:p w14:paraId="44797A66">
            <w:pPr>
              <w:adjustRightInd w:val="0"/>
              <w:snapToGrid w:val="0"/>
              <w:spacing w:line="276" w:lineRule="auto"/>
              <w:jc w:val="center"/>
              <w:rPr>
                <w:rFonts w:ascii="宋体" w:hAnsi="宋体" w:eastAsia="宋体" w:cs="宋体"/>
                <w:b/>
                <w:bCs/>
                <w:color w:val="auto"/>
                <w:kern w:val="44"/>
                <w:szCs w:val="21"/>
                <w:highlight w:val="none"/>
              </w:rPr>
            </w:pPr>
            <w:r>
              <w:rPr>
                <w:rFonts w:hint="eastAsia" w:ascii="宋体" w:hAnsi="宋体" w:eastAsia="宋体" w:cs="宋体"/>
                <w:b/>
                <w:bCs/>
                <w:color w:val="auto"/>
                <w:kern w:val="44"/>
                <w:szCs w:val="21"/>
                <w:highlight w:val="none"/>
              </w:rPr>
              <w:t>序号</w:t>
            </w:r>
          </w:p>
        </w:tc>
        <w:tc>
          <w:tcPr>
            <w:tcW w:w="1110" w:type="pct"/>
            <w:tcBorders>
              <w:top w:val="single" w:color="auto" w:sz="4" w:space="0"/>
              <w:left w:val="nil"/>
              <w:bottom w:val="single" w:color="auto" w:sz="4" w:space="0"/>
              <w:right w:val="single" w:color="auto" w:sz="4" w:space="0"/>
            </w:tcBorders>
            <w:vAlign w:val="center"/>
          </w:tcPr>
          <w:p w14:paraId="3505EB07">
            <w:pPr>
              <w:adjustRightInd w:val="0"/>
              <w:snapToGrid w:val="0"/>
              <w:spacing w:line="276" w:lineRule="auto"/>
              <w:jc w:val="center"/>
              <w:rPr>
                <w:rFonts w:ascii="宋体" w:hAnsi="宋体" w:eastAsia="宋体" w:cs="宋体"/>
                <w:color w:val="auto"/>
                <w:kern w:val="44"/>
                <w:szCs w:val="21"/>
                <w:highlight w:val="none"/>
              </w:rPr>
            </w:pPr>
            <w:r>
              <w:rPr>
                <w:rFonts w:hint="eastAsia" w:ascii="宋体" w:hAnsi="宋体" w:eastAsia="宋体" w:cs="宋体"/>
                <w:b/>
                <w:bCs/>
                <w:color w:val="auto"/>
                <w:kern w:val="44"/>
                <w:szCs w:val="21"/>
                <w:highlight w:val="none"/>
              </w:rPr>
              <w:t>专业类别</w:t>
            </w:r>
          </w:p>
        </w:tc>
        <w:tc>
          <w:tcPr>
            <w:tcW w:w="3055" w:type="pct"/>
            <w:tcBorders>
              <w:top w:val="single" w:color="auto" w:sz="4" w:space="0"/>
              <w:left w:val="nil"/>
              <w:bottom w:val="single" w:color="auto" w:sz="4" w:space="0"/>
              <w:right w:val="single" w:color="auto" w:sz="4" w:space="0"/>
            </w:tcBorders>
            <w:vAlign w:val="center"/>
          </w:tcPr>
          <w:p w14:paraId="77285D7A">
            <w:pPr>
              <w:adjustRightInd w:val="0"/>
              <w:snapToGrid w:val="0"/>
              <w:spacing w:line="276" w:lineRule="auto"/>
              <w:jc w:val="center"/>
              <w:rPr>
                <w:rFonts w:hint="default" w:ascii="宋体" w:hAnsi="宋体" w:eastAsia="宋体" w:cs="宋体"/>
                <w:b/>
                <w:bCs/>
                <w:color w:val="auto"/>
                <w:kern w:val="44"/>
                <w:szCs w:val="21"/>
                <w:highlight w:val="none"/>
                <w:lang w:val="en-US" w:eastAsia="zh-CN"/>
              </w:rPr>
            </w:pPr>
            <w:r>
              <w:rPr>
                <w:rFonts w:hint="eastAsia" w:ascii="宋体" w:hAnsi="宋体" w:eastAsia="宋体" w:cs="宋体"/>
                <w:b/>
                <w:bCs/>
                <w:color w:val="auto"/>
                <w:kern w:val="44"/>
                <w:szCs w:val="21"/>
                <w:highlight w:val="none"/>
                <w:lang w:val="en-US" w:eastAsia="zh-CN"/>
              </w:rPr>
              <w:t>任职要求</w:t>
            </w:r>
          </w:p>
        </w:tc>
        <w:tc>
          <w:tcPr>
            <w:tcW w:w="430" w:type="pct"/>
            <w:tcBorders>
              <w:top w:val="single" w:color="auto" w:sz="4" w:space="0"/>
              <w:left w:val="nil"/>
              <w:bottom w:val="single" w:color="auto" w:sz="4" w:space="0"/>
              <w:right w:val="single" w:color="auto" w:sz="4" w:space="0"/>
            </w:tcBorders>
            <w:vAlign w:val="center"/>
          </w:tcPr>
          <w:p w14:paraId="66AD815F">
            <w:pPr>
              <w:adjustRightInd w:val="0"/>
              <w:snapToGrid w:val="0"/>
              <w:spacing w:line="276" w:lineRule="auto"/>
              <w:jc w:val="center"/>
              <w:rPr>
                <w:rFonts w:hint="eastAsia" w:ascii="宋体" w:hAnsi="宋体" w:eastAsia="宋体" w:cs="宋体"/>
                <w:b/>
                <w:bCs/>
                <w:color w:val="auto"/>
                <w:kern w:val="44"/>
                <w:szCs w:val="21"/>
                <w:highlight w:val="none"/>
              </w:rPr>
            </w:pPr>
            <w:r>
              <w:rPr>
                <w:rFonts w:hint="eastAsia" w:ascii="宋体" w:hAnsi="宋体" w:eastAsia="宋体" w:cs="宋体"/>
                <w:b/>
                <w:bCs/>
                <w:color w:val="auto"/>
                <w:kern w:val="44"/>
                <w:szCs w:val="21"/>
                <w:highlight w:val="none"/>
              </w:rPr>
              <w:t>数量</w:t>
            </w:r>
          </w:p>
        </w:tc>
      </w:tr>
      <w:tr w14:paraId="4069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tcBorders>
              <w:top w:val="single" w:color="auto" w:sz="4" w:space="0"/>
              <w:left w:val="single" w:color="auto" w:sz="4" w:space="0"/>
              <w:bottom w:val="single" w:color="auto" w:sz="4" w:space="0"/>
              <w:right w:val="single" w:color="auto" w:sz="4" w:space="0"/>
            </w:tcBorders>
            <w:vAlign w:val="center"/>
          </w:tcPr>
          <w:p w14:paraId="5B9ED5EA">
            <w:pPr>
              <w:widowControl/>
              <w:adjustRightInd w:val="0"/>
              <w:snapToGrid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10" w:type="pct"/>
            <w:tcBorders>
              <w:top w:val="single" w:color="auto" w:sz="4" w:space="0"/>
              <w:left w:val="nil"/>
              <w:bottom w:val="single" w:color="auto" w:sz="4" w:space="0"/>
              <w:right w:val="single" w:color="auto" w:sz="4" w:space="0"/>
            </w:tcBorders>
            <w:vAlign w:val="center"/>
          </w:tcPr>
          <w:p w14:paraId="1592C575">
            <w:pPr>
              <w:widowControl/>
              <w:adjustRightInd w:val="0"/>
              <w:snapToGrid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各专业管线迁改工作人员（供水或排水、电力、通信、燃气）</w:t>
            </w:r>
          </w:p>
        </w:tc>
        <w:tc>
          <w:tcPr>
            <w:tcW w:w="3055" w:type="pct"/>
            <w:tcBorders>
              <w:top w:val="single" w:color="auto" w:sz="4" w:space="0"/>
              <w:left w:val="nil"/>
              <w:bottom w:val="single" w:color="auto" w:sz="4" w:space="0"/>
              <w:right w:val="single" w:color="auto" w:sz="4" w:space="0"/>
            </w:tcBorders>
            <w:vAlign w:val="center"/>
          </w:tcPr>
          <w:p w14:paraId="3D30A6DC">
            <w:pPr>
              <w:widowControl/>
              <w:adjustRightInd w:val="0"/>
              <w:snapToGrid w:val="0"/>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具有管线迁改建设管理服务工作经验。须提供</w:t>
            </w:r>
            <w:r>
              <w:rPr>
                <w:rFonts w:hint="eastAsia" w:ascii="宋体" w:hAnsi="宋体" w:eastAsia="宋体" w:cs="宋体"/>
                <w:b/>
                <w:bCs/>
                <w:color w:val="auto"/>
                <w:kern w:val="0"/>
                <w:szCs w:val="21"/>
                <w:highlight w:val="none"/>
                <w:lang w:val="en-US" w:eastAsia="zh-CN"/>
              </w:rPr>
              <w:t>简历表（格式自拟）管线迁改建设管理服务工作经验相关证明资料（需提供合同或业主证明等）、离投标截止时间最近的至少1个月（即2025年8月）在本单位缴纳的社保证明文件（如部分地区社保证明显示隔月缴费状态，则提供2025年7月的社保证明）</w:t>
            </w:r>
          </w:p>
        </w:tc>
        <w:tc>
          <w:tcPr>
            <w:tcW w:w="430" w:type="pct"/>
            <w:tcBorders>
              <w:top w:val="single" w:color="auto" w:sz="4" w:space="0"/>
              <w:left w:val="nil"/>
              <w:bottom w:val="single" w:color="auto" w:sz="4" w:space="0"/>
              <w:right w:val="single" w:color="auto" w:sz="4" w:space="0"/>
            </w:tcBorders>
            <w:vAlign w:val="center"/>
          </w:tcPr>
          <w:p w14:paraId="3E85E54D">
            <w:pPr>
              <w:widowControl/>
              <w:adjustRightInd w:val="0"/>
              <w:snapToGrid w:val="0"/>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14:paraId="504D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9" w:type="pct"/>
            <w:gridSpan w:val="3"/>
            <w:tcBorders>
              <w:top w:val="single" w:color="auto" w:sz="4" w:space="0"/>
              <w:left w:val="single" w:color="auto" w:sz="4" w:space="0"/>
              <w:bottom w:val="single" w:color="auto" w:sz="4" w:space="0"/>
              <w:right w:val="single" w:color="auto" w:sz="4" w:space="0"/>
            </w:tcBorders>
            <w:vAlign w:val="center"/>
          </w:tcPr>
          <w:p w14:paraId="47CEEC2A">
            <w:pPr>
              <w:adjustRightInd w:val="0"/>
              <w:snapToGrid w:val="0"/>
              <w:spacing w:line="276" w:lineRule="auto"/>
              <w:jc w:val="center"/>
              <w:rPr>
                <w:rFonts w:hint="eastAsia" w:ascii="宋体" w:hAnsi="宋体" w:eastAsia="宋体" w:cs="宋体"/>
                <w:color w:val="auto"/>
                <w:kern w:val="44"/>
                <w:szCs w:val="21"/>
                <w:highlight w:val="none"/>
                <w:lang w:val="en-US" w:eastAsia="zh-CN"/>
              </w:rPr>
            </w:pPr>
            <w:r>
              <w:rPr>
                <w:rFonts w:hint="eastAsia" w:ascii="宋体" w:hAnsi="宋体" w:eastAsia="宋体" w:cs="宋体"/>
                <w:color w:val="auto"/>
                <w:kern w:val="44"/>
                <w:szCs w:val="21"/>
                <w:highlight w:val="none"/>
              </w:rPr>
              <w:t>合计</w:t>
            </w:r>
          </w:p>
        </w:tc>
        <w:tc>
          <w:tcPr>
            <w:tcW w:w="430" w:type="pct"/>
            <w:tcBorders>
              <w:top w:val="single" w:color="auto" w:sz="4" w:space="0"/>
              <w:left w:val="nil"/>
              <w:bottom w:val="single" w:color="auto" w:sz="4" w:space="0"/>
              <w:right w:val="single" w:color="auto" w:sz="4" w:space="0"/>
            </w:tcBorders>
            <w:vAlign w:val="center"/>
          </w:tcPr>
          <w:p w14:paraId="7ACA3863">
            <w:pPr>
              <w:adjustRightInd w:val="0"/>
              <w:snapToGrid w:val="0"/>
              <w:spacing w:line="276" w:lineRule="auto"/>
              <w:jc w:val="center"/>
              <w:rPr>
                <w:rFonts w:hint="eastAsia" w:ascii="宋体" w:hAnsi="宋体" w:eastAsia="宋体" w:cs="宋体"/>
                <w:color w:val="auto"/>
                <w:kern w:val="44"/>
                <w:szCs w:val="21"/>
                <w:highlight w:val="none"/>
                <w:lang w:val="en-US" w:eastAsia="zh-CN"/>
              </w:rPr>
            </w:pPr>
            <w:r>
              <w:rPr>
                <w:rFonts w:hint="eastAsia" w:ascii="宋体" w:hAnsi="宋体" w:eastAsia="宋体" w:cs="宋体"/>
                <w:color w:val="auto"/>
                <w:kern w:val="44"/>
                <w:szCs w:val="21"/>
                <w:highlight w:val="none"/>
                <w:lang w:val="en-US" w:eastAsia="zh-CN"/>
              </w:rPr>
              <w:t>3</w:t>
            </w:r>
          </w:p>
        </w:tc>
      </w:tr>
    </w:tbl>
    <w:p w14:paraId="3F140B7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p>
    <w:p w14:paraId="7CD08C3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bidi="ar-SA"/>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bidi="ar-SA"/>
        </w:rPr>
        <w:t>项目负责人和投入本项目的各专业管线迁改工作人员不得兼任。</w:t>
      </w:r>
    </w:p>
    <w:p w14:paraId="2C430AE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szCs w:val="24"/>
          <w:highlight w:val="none"/>
          <w:lang w:val="en-US" w:eastAsia="zh-CN" w:bidi="ar-SA"/>
        </w:rPr>
        <w:t>5.投标人</w:t>
      </w:r>
      <w:r>
        <w:rPr>
          <w:rFonts w:hint="eastAsia" w:ascii="宋体" w:hAnsi="宋体" w:eastAsia="宋体" w:cs="宋体"/>
          <w:color w:val="auto"/>
          <w:kern w:val="0"/>
          <w:sz w:val="24"/>
          <w:szCs w:val="24"/>
          <w:highlight w:val="none"/>
          <w:lang w:val="en-US" w:bidi="ar-SA"/>
        </w:rPr>
        <w:t>中标后，日常工作需接受</w:t>
      </w:r>
      <w:r>
        <w:rPr>
          <w:rFonts w:hint="eastAsia" w:ascii="宋体" w:hAnsi="宋体" w:eastAsia="宋体" w:cs="宋体"/>
          <w:color w:val="auto"/>
          <w:kern w:val="0"/>
          <w:sz w:val="24"/>
          <w:szCs w:val="24"/>
          <w:highlight w:val="none"/>
          <w:lang w:val="en-US" w:eastAsia="zh-CN" w:bidi="ar-SA"/>
        </w:rPr>
        <w:t>发包</w:t>
      </w:r>
      <w:r>
        <w:rPr>
          <w:rFonts w:hint="eastAsia" w:ascii="宋体" w:hAnsi="宋体" w:eastAsia="宋体" w:cs="宋体"/>
          <w:color w:val="auto"/>
          <w:kern w:val="0"/>
          <w:sz w:val="24"/>
          <w:szCs w:val="24"/>
          <w:highlight w:val="none"/>
          <w:lang w:val="en-US" w:bidi="ar-SA"/>
        </w:rPr>
        <w:t>人监督管理。</w:t>
      </w:r>
    </w:p>
    <w:p w14:paraId="40D10A9B">
      <w:pPr>
        <w:wordWrap w:val="0"/>
        <w:rPr>
          <w:rFonts w:ascii="宋体" w:hAnsi="宋体" w:eastAsia="宋体" w:cs="宋体"/>
          <w:color w:val="auto"/>
          <w:szCs w:val="24"/>
          <w:highlight w:val="none"/>
        </w:rPr>
      </w:pPr>
      <w:bookmarkStart w:id="204" w:name="_Toc111186802"/>
      <w:bookmarkStart w:id="205" w:name="_Toc82786986"/>
      <w:r>
        <w:rPr>
          <w:rFonts w:hint="eastAsia" w:ascii="宋体" w:hAnsi="宋体" w:eastAsia="宋体" w:cs="宋体"/>
          <w:color w:val="auto"/>
          <w:szCs w:val="24"/>
          <w:highlight w:val="none"/>
        </w:rPr>
        <w:br w:type="page"/>
      </w:r>
    </w:p>
    <w:p w14:paraId="590E7BD1">
      <w:pPr>
        <w:pStyle w:val="2"/>
        <w:rPr>
          <w:color w:val="auto"/>
          <w:highlight w:val="none"/>
        </w:rPr>
      </w:pPr>
      <w:bookmarkStart w:id="206" w:name="_Toc193358022"/>
      <w:r>
        <w:rPr>
          <w:rFonts w:hint="eastAsia"/>
          <w:color w:val="auto"/>
          <w:highlight w:val="none"/>
        </w:rPr>
        <w:t>第三卷</w:t>
      </w:r>
      <w:bookmarkEnd w:id="204"/>
      <w:bookmarkEnd w:id="205"/>
      <w:bookmarkEnd w:id="206"/>
    </w:p>
    <w:p w14:paraId="7E7C54F4">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5A9D70F0">
      <w:pPr>
        <w:pStyle w:val="2"/>
        <w:rPr>
          <w:color w:val="auto"/>
          <w:highlight w:val="none"/>
        </w:rPr>
        <w:sectPr>
          <w:type w:val="continuous"/>
          <w:pgSz w:w="11905" w:h="16838"/>
          <w:pgMar w:top="1474" w:right="1701" w:bottom="1474" w:left="1701" w:header="720" w:footer="720" w:gutter="0"/>
          <w:cols w:space="720" w:num="1"/>
        </w:sectPr>
      </w:pPr>
      <w:bookmarkStart w:id="207" w:name="_Toc193358023"/>
      <w:bookmarkStart w:id="208" w:name="_Toc111186803"/>
      <w:r>
        <w:rPr>
          <w:rFonts w:hint="eastAsia"/>
          <w:color w:val="auto"/>
          <w:highlight w:val="none"/>
        </w:rPr>
        <w:t>第六章  投标文件格式</w:t>
      </w:r>
      <w:bookmarkEnd w:id="207"/>
      <w:bookmarkEnd w:id="208"/>
    </w:p>
    <w:p w14:paraId="55001058">
      <w:pPr>
        <w:pStyle w:val="4"/>
        <w:wordWrap w:val="0"/>
        <w:rPr>
          <w:color w:val="auto"/>
          <w:highlight w:val="none"/>
        </w:rPr>
      </w:pPr>
      <w:bookmarkStart w:id="209" w:name="_Toc18166"/>
      <w:bookmarkStart w:id="210" w:name="_Toc111186804"/>
      <w:bookmarkStart w:id="211" w:name="_Toc193358024"/>
      <w:r>
        <w:rPr>
          <w:rFonts w:hint="eastAsia"/>
          <w:color w:val="auto"/>
          <w:highlight w:val="none"/>
        </w:rPr>
        <w:t>1.</w:t>
      </w:r>
      <w:bookmarkEnd w:id="209"/>
      <w:bookmarkEnd w:id="210"/>
      <w:bookmarkEnd w:id="211"/>
      <w:r>
        <w:rPr>
          <w:rFonts w:hint="eastAsia"/>
          <w:color w:val="auto"/>
          <w:highlight w:val="none"/>
        </w:rPr>
        <w:t xml:space="preserve"> 商务文件包括以下资料：</w:t>
      </w:r>
    </w:p>
    <w:p w14:paraId="49064CC8">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48ED84DB">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53C90DF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10894413">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）报价表；</w:t>
      </w:r>
    </w:p>
    <w:p w14:paraId="48AEAD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）资格审查资料；</w:t>
      </w:r>
    </w:p>
    <w:p w14:paraId="52C51FD3">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须知前附表规定的其他资料。</w:t>
      </w:r>
    </w:p>
    <w:p w14:paraId="74BE2757">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2CCA3055">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188130DE">
      <w:pPr>
        <w:pStyle w:val="5"/>
        <w:wordWrap w:val="0"/>
        <w:rPr>
          <w:color w:val="auto"/>
          <w:highlight w:val="none"/>
        </w:rPr>
      </w:pPr>
      <w:bookmarkStart w:id="212" w:name="_Toc20296"/>
      <w:bookmarkStart w:id="213" w:name="_Toc111186813"/>
      <w:bookmarkStart w:id="214" w:name="_Toc111186812"/>
      <w:bookmarkStart w:id="215" w:name="_Toc16936"/>
      <w:r>
        <w:rPr>
          <w:rFonts w:hint="eastAsia"/>
          <w:color w:val="auto"/>
          <w:highlight w:val="none"/>
        </w:rPr>
        <w:t>一</w:t>
      </w:r>
      <w:bookmarkEnd w:id="212"/>
      <w:bookmarkEnd w:id="213"/>
      <w:r>
        <w:rPr>
          <w:rFonts w:hint="eastAsia"/>
          <w:color w:val="auto"/>
          <w:highlight w:val="none"/>
        </w:rPr>
        <w:t>、投标函及投标函附录</w:t>
      </w:r>
    </w:p>
    <w:p w14:paraId="73EC4CE7">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D60BEC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1AFCECD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w:t>
      </w:r>
      <w:r>
        <w:rPr>
          <w:rFonts w:hint="eastAsia" w:ascii="宋体" w:hAnsi="宋体" w:eastAsia="宋体"/>
          <w:color w:val="auto"/>
          <w:sz w:val="24"/>
          <w:szCs w:val="24"/>
          <w:highlight w:val="none"/>
          <w:u w:val="single"/>
          <w:lang w:val="en-US" w:eastAsia="zh-CN"/>
        </w:rPr>
        <w:t>管线迁改建设管理服务</w:t>
      </w:r>
      <w:r>
        <w:rPr>
          <w:rFonts w:hint="eastAsia" w:ascii="宋体" w:hAnsi="宋体" w:eastAsia="宋体" w:cs="宋体"/>
          <w:color w:val="auto"/>
          <w:sz w:val="24"/>
          <w:szCs w:val="24"/>
          <w:highlight w:val="none"/>
        </w:rPr>
        <w:t>工作。我方项目负责人是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2A14C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2.我方的投标文件包括下列内容：</w:t>
      </w:r>
    </w:p>
    <w:p w14:paraId="6D5EE4D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59C95D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351ECE3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声明</w:t>
      </w:r>
    </w:p>
    <w:p w14:paraId="69E4BB0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）报价表；</w:t>
      </w:r>
    </w:p>
    <w:p w14:paraId="57AEA09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5EC67E7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）商务文件；</w:t>
      </w:r>
    </w:p>
    <w:p w14:paraId="5264FB3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）技术文件；</w:t>
      </w:r>
    </w:p>
    <w:p w14:paraId="7A9BFD9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）投标文件光盘（备用）。注：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也可不提交投标文件光盘（备用）</w:t>
      </w:r>
    </w:p>
    <w:p w14:paraId="64AFC58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52A8562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3.我方承诺在招标文件规定的投标有效期内不撤销投标文件。</w:t>
      </w:r>
    </w:p>
    <w:p w14:paraId="5E99F52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7A1FC47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（1）在收到中标通知书后，在法律法规规定的期限内与你方签订合同；</w:t>
      </w:r>
    </w:p>
    <w:p w14:paraId="5862A8A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6DF2160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14:paraId="46DEA0C4">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4A6BA6A9">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（5）承诺本项目拟投入的人员为本单位人员，并已按规定购买社保。</w:t>
      </w:r>
    </w:p>
    <w:p w14:paraId="5C60AB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39C7CE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部分。如果我方投标书含有不符合招标文件规定的内容，我方同意按招标文件规定予以修正。</w:t>
      </w:r>
    </w:p>
    <w:p w14:paraId="0DBE580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BE1294">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0F62318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9.除非制定正式合同协议书并生效，本投标书以及你方中标通知书，应构成你我双方间具有约束力的合同。</w:t>
      </w:r>
    </w:p>
    <w:p w14:paraId="0C4A8F1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10.我方在此声明，所递交的投标文件及有关资料内容完整、真实和准确，且不存在第二章“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须知”第1.4.3项规定的任何一种情形。若与事实不符，经查实，我方愿意接受公开通报，承担由此带来的</w:t>
      </w:r>
      <w:r>
        <w:rPr>
          <w:rFonts w:hint="eastAsia" w:ascii="宋体" w:hAnsi="宋体" w:eastAsia="宋体" w:cs="宋体"/>
          <w:color w:val="auto"/>
          <w:sz w:val="24"/>
          <w:szCs w:val="24"/>
          <w:highlight w:val="none"/>
          <w:lang w:eastAsia="zh-CN"/>
        </w:rPr>
        <w:t>法律</w:t>
      </w:r>
      <w:r>
        <w:rPr>
          <w:rFonts w:hint="eastAsia" w:ascii="宋体" w:hAnsi="宋体" w:eastAsia="宋体" w:cs="宋体"/>
          <w:color w:val="auto"/>
          <w:sz w:val="24"/>
          <w:szCs w:val="24"/>
          <w:highlight w:val="none"/>
        </w:rPr>
        <w:t>后果，并自愿停止参加你方组织的在广州市行政辖区内的招标投标活动3个月。</w:t>
      </w:r>
    </w:p>
    <w:p w14:paraId="30AABA0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11.（其他补充说明）。</w:t>
      </w:r>
    </w:p>
    <w:p w14:paraId="739B2952">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DED67B4">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7C4D0E20">
      <w:pPr>
        <w:wordWrap w:val="0"/>
        <w:jc w:val="center"/>
        <w:rPr>
          <w:rFonts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34378D9E">
      <w:pPr>
        <w:wordWrap w:val="0"/>
        <w:jc w:val="center"/>
        <w:rPr>
          <w:rFonts w:ascii="宋体" w:hAnsi="宋体" w:eastAsia="宋体" w:cs="宋体"/>
          <w:b/>
          <w:bCs/>
          <w:color w:val="auto"/>
          <w:sz w:val="32"/>
          <w:szCs w:val="32"/>
          <w:highlight w:val="none"/>
        </w:rPr>
      </w:pPr>
    </w:p>
    <w:tbl>
      <w:tblPr>
        <w:tblStyle w:val="4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3A896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1B643419">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34F3E43C">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2571272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499834FE">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0E18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AD575B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36" w:type="pct"/>
            <w:vAlign w:val="center"/>
          </w:tcPr>
          <w:p w14:paraId="1699FCC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14FB1C92">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p>
        </w:tc>
        <w:tc>
          <w:tcPr>
            <w:tcW w:w="1056" w:type="pct"/>
            <w:vAlign w:val="center"/>
          </w:tcPr>
          <w:p w14:paraId="514E2FC4">
            <w:pPr>
              <w:wordWrap w:val="0"/>
              <w:spacing w:line="276" w:lineRule="auto"/>
              <w:jc w:val="center"/>
              <w:rPr>
                <w:rFonts w:ascii="宋体" w:hAnsi="宋体" w:eastAsia="宋体" w:cs="宋体"/>
                <w:color w:val="auto"/>
                <w:szCs w:val="21"/>
                <w:highlight w:val="none"/>
              </w:rPr>
            </w:pPr>
          </w:p>
        </w:tc>
      </w:tr>
      <w:tr w14:paraId="518E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F40CA1E">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36" w:type="pct"/>
            <w:vAlign w:val="center"/>
          </w:tcPr>
          <w:p w14:paraId="6DCF6B13">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服务期限</w:t>
            </w:r>
          </w:p>
        </w:tc>
        <w:tc>
          <w:tcPr>
            <w:tcW w:w="1585" w:type="pct"/>
            <w:vAlign w:val="center"/>
          </w:tcPr>
          <w:p w14:paraId="2554D3F5">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004E06F">
            <w:pPr>
              <w:wordWrap w:val="0"/>
              <w:spacing w:line="276" w:lineRule="auto"/>
              <w:jc w:val="center"/>
              <w:rPr>
                <w:rFonts w:ascii="宋体" w:hAnsi="宋体" w:eastAsia="宋体" w:cs="宋体"/>
                <w:color w:val="auto"/>
                <w:szCs w:val="21"/>
                <w:highlight w:val="none"/>
              </w:rPr>
            </w:pPr>
          </w:p>
        </w:tc>
      </w:tr>
      <w:tr w14:paraId="68F9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1295FB67">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36" w:type="pct"/>
            <w:vAlign w:val="center"/>
          </w:tcPr>
          <w:p w14:paraId="215971EA">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0C55744A">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09567756">
            <w:pPr>
              <w:wordWrap w:val="0"/>
              <w:spacing w:line="276" w:lineRule="auto"/>
              <w:jc w:val="center"/>
              <w:rPr>
                <w:rFonts w:ascii="宋体" w:hAnsi="宋体" w:eastAsia="宋体" w:cs="宋体"/>
                <w:color w:val="auto"/>
                <w:szCs w:val="21"/>
                <w:highlight w:val="none"/>
              </w:rPr>
            </w:pPr>
          </w:p>
        </w:tc>
      </w:tr>
      <w:tr w14:paraId="0F24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DDDB8BE">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36" w:type="pct"/>
            <w:vAlign w:val="center"/>
          </w:tcPr>
          <w:p w14:paraId="04A31764">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796146B0">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7F8FDCF0">
            <w:pPr>
              <w:wordWrap w:val="0"/>
              <w:spacing w:line="276" w:lineRule="auto"/>
              <w:jc w:val="center"/>
              <w:rPr>
                <w:rFonts w:ascii="宋体" w:hAnsi="宋体" w:eastAsia="宋体" w:cs="宋体"/>
                <w:color w:val="auto"/>
                <w:szCs w:val="21"/>
                <w:highlight w:val="none"/>
              </w:rPr>
            </w:pPr>
          </w:p>
        </w:tc>
      </w:tr>
      <w:tr w14:paraId="567E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0E555B0F">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36" w:type="pct"/>
            <w:vAlign w:val="center"/>
          </w:tcPr>
          <w:p w14:paraId="6C048766">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24D6F625">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579E716">
            <w:pPr>
              <w:wordWrap w:val="0"/>
              <w:spacing w:line="276" w:lineRule="auto"/>
              <w:jc w:val="center"/>
              <w:rPr>
                <w:rFonts w:ascii="宋体" w:hAnsi="宋体" w:eastAsia="宋体" w:cs="宋体"/>
                <w:color w:val="auto"/>
                <w:szCs w:val="21"/>
                <w:highlight w:val="none"/>
              </w:rPr>
            </w:pPr>
          </w:p>
        </w:tc>
      </w:tr>
      <w:tr w14:paraId="1EA5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1C57EFE3">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36" w:type="pct"/>
            <w:vAlign w:val="center"/>
          </w:tcPr>
          <w:p w14:paraId="41354F8F">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58D3CD">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043D9644">
            <w:pPr>
              <w:wordWrap w:val="0"/>
              <w:spacing w:line="276" w:lineRule="auto"/>
              <w:jc w:val="center"/>
              <w:rPr>
                <w:rFonts w:ascii="宋体" w:hAnsi="宋体" w:eastAsia="宋体" w:cs="宋体"/>
                <w:color w:val="auto"/>
                <w:szCs w:val="21"/>
                <w:highlight w:val="none"/>
              </w:rPr>
            </w:pPr>
          </w:p>
        </w:tc>
      </w:tr>
    </w:tbl>
    <w:p w14:paraId="73A2F00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hint="eastAsia"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74777552">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C658E0">
      <w:pPr>
        <w:wordWrap w:val="0"/>
        <w:spacing w:line="360" w:lineRule="auto"/>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4F896BB3">
      <w:pPr>
        <w:wordWrap w:val="0"/>
        <w:spacing w:line="360" w:lineRule="auto"/>
        <w:ind w:firstLine="240" w:firstLineChars="100"/>
        <w:rPr>
          <w:rFonts w:ascii="宋体" w:hAnsi="宋体" w:eastAsia="宋体" w:cs="宋体"/>
          <w:color w:val="auto"/>
          <w:sz w:val="24"/>
          <w:szCs w:val="24"/>
          <w:highlight w:val="none"/>
        </w:rPr>
      </w:pPr>
    </w:p>
    <w:p w14:paraId="36133774">
      <w:pPr>
        <w:pStyle w:val="5"/>
        <w:wordWrap w:val="0"/>
        <w:rPr>
          <w:color w:val="auto"/>
          <w:highlight w:val="none"/>
        </w:rPr>
      </w:pPr>
      <w:r>
        <w:rPr>
          <w:rFonts w:hint="eastAsia"/>
          <w:color w:val="auto"/>
          <w:highlight w:val="none"/>
        </w:rPr>
        <w:br w:type="page"/>
      </w:r>
      <w:r>
        <w:rPr>
          <w:rFonts w:hint="eastAsia"/>
          <w:color w:val="auto"/>
          <w:highlight w:val="none"/>
        </w:rPr>
        <w:t>二、法定代表人身份证明及授权委托书</w:t>
      </w:r>
      <w:bookmarkEnd w:id="214"/>
      <w:bookmarkEnd w:id="215"/>
    </w:p>
    <w:p w14:paraId="5253D4E9">
      <w:pPr>
        <w:wordWrap w:val="0"/>
        <w:jc w:val="center"/>
        <w:rPr>
          <w:rFonts w:ascii="宋体" w:hAnsi="宋体" w:eastAsia="宋体" w:cs="宋体"/>
          <w:b/>
          <w:color w:val="auto"/>
          <w:sz w:val="28"/>
          <w:szCs w:val="28"/>
          <w:highlight w:val="none"/>
        </w:rPr>
      </w:pPr>
      <w:bookmarkStart w:id="216" w:name="_Toc82786997"/>
      <w:bookmarkStart w:id="217" w:name="_Toc35513540"/>
      <w:r>
        <w:rPr>
          <w:rFonts w:hint="eastAsia" w:ascii="宋体" w:hAnsi="宋体" w:eastAsia="宋体" w:cs="宋体"/>
          <w:b/>
          <w:color w:val="auto"/>
          <w:sz w:val="28"/>
          <w:szCs w:val="28"/>
          <w:highlight w:val="none"/>
        </w:rPr>
        <w:t>法定代表人身份证明</w:t>
      </w:r>
      <w:bookmarkEnd w:id="216"/>
      <w:bookmarkEnd w:id="217"/>
    </w:p>
    <w:p w14:paraId="4BB5D86B">
      <w:pPr>
        <w:wordWrap w:val="0"/>
        <w:spacing w:line="360" w:lineRule="auto"/>
        <w:ind w:firstLine="480"/>
        <w:rPr>
          <w:rFonts w:ascii="宋体" w:hAnsi="宋体" w:eastAsia="宋体" w:cs="宋体"/>
          <w:color w:val="auto"/>
          <w:sz w:val="24"/>
          <w:szCs w:val="24"/>
          <w:highlight w:val="none"/>
        </w:rPr>
      </w:pPr>
    </w:p>
    <w:p w14:paraId="3480B8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59A9D63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4492441">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54AAA730">
      <w:pPr>
        <w:wordWrap w:val="0"/>
        <w:spacing w:line="360" w:lineRule="auto"/>
        <w:ind w:firstLine="480"/>
        <w:rPr>
          <w:rFonts w:ascii="宋体" w:hAnsi="宋体" w:eastAsia="宋体" w:cs="宋体"/>
          <w:color w:val="auto"/>
          <w:sz w:val="24"/>
          <w:szCs w:val="24"/>
          <w:highlight w:val="none"/>
        </w:rPr>
      </w:pPr>
    </w:p>
    <w:p w14:paraId="040FCB9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B7DBB7C">
      <w:pPr>
        <w:wordWrap w:val="0"/>
        <w:spacing w:line="360" w:lineRule="auto"/>
        <w:ind w:firstLine="480"/>
        <w:rPr>
          <w:rFonts w:ascii="宋体" w:hAnsi="宋体" w:eastAsia="宋体" w:cs="宋体"/>
          <w:color w:val="auto"/>
          <w:sz w:val="24"/>
          <w:szCs w:val="24"/>
          <w:highlight w:val="none"/>
        </w:rPr>
      </w:pPr>
    </w:p>
    <w:p w14:paraId="579FDD5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p>
    <w:p w14:paraId="6FE796F7">
      <w:pPr>
        <w:wordWrap w:val="0"/>
        <w:spacing w:line="360" w:lineRule="auto"/>
        <w:ind w:firstLine="480"/>
        <w:rPr>
          <w:rFonts w:ascii="宋体" w:hAnsi="宋体" w:eastAsia="宋体" w:cs="宋体"/>
          <w:color w:val="auto"/>
          <w:sz w:val="24"/>
          <w:szCs w:val="24"/>
          <w:highlight w:val="none"/>
        </w:rPr>
      </w:pPr>
    </w:p>
    <w:p w14:paraId="445319C3">
      <w:pPr>
        <w:wordWrap w:val="0"/>
        <w:spacing w:line="360" w:lineRule="auto"/>
        <w:ind w:firstLine="480"/>
        <w:rPr>
          <w:rFonts w:ascii="宋体" w:hAnsi="宋体" w:eastAsia="宋体" w:cs="宋体"/>
          <w:color w:val="auto"/>
          <w:sz w:val="24"/>
          <w:szCs w:val="24"/>
          <w:highlight w:val="none"/>
        </w:rPr>
      </w:pPr>
    </w:p>
    <w:p w14:paraId="0E647717">
      <w:pPr>
        <w:wordWrap w:val="0"/>
        <w:spacing w:line="360" w:lineRule="auto"/>
        <w:ind w:firstLine="480"/>
        <w:rPr>
          <w:rFonts w:ascii="宋体" w:hAnsi="宋体" w:eastAsia="宋体" w:cs="宋体"/>
          <w:color w:val="auto"/>
          <w:sz w:val="24"/>
          <w:szCs w:val="24"/>
          <w:highlight w:val="none"/>
        </w:rPr>
      </w:pPr>
    </w:p>
    <w:p w14:paraId="1F370CB2">
      <w:pPr>
        <w:wordWrap w:val="0"/>
        <w:spacing w:line="360" w:lineRule="auto"/>
        <w:ind w:firstLine="480"/>
        <w:rPr>
          <w:rFonts w:ascii="宋体" w:hAnsi="宋体" w:eastAsia="宋体" w:cs="宋体"/>
          <w:color w:val="auto"/>
          <w:sz w:val="24"/>
          <w:szCs w:val="24"/>
          <w:highlight w:val="none"/>
        </w:rPr>
      </w:pPr>
    </w:p>
    <w:p w14:paraId="0716DAC1">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bookmarkStart w:id="218" w:name="page82"/>
      <w:bookmarkEnd w:id="218"/>
      <w:r>
        <w:rPr>
          <w:rFonts w:hint="eastAsia" w:ascii="宋体" w:hAnsi="宋体" w:eastAsia="宋体" w:cs="宋体"/>
          <w:color w:val="auto"/>
          <w:sz w:val="24"/>
          <w:szCs w:val="24"/>
          <w:highlight w:val="none"/>
        </w:rPr>
        <w:t>（</w:t>
      </w:r>
      <w:bookmarkStart w:id="219" w:name="_Toc14709396"/>
      <w:r>
        <w:rPr>
          <w:rFonts w:hint="eastAsia" w:ascii="宋体" w:hAnsi="宋体" w:eastAsia="宋体" w:cs="宋体"/>
          <w:color w:val="auto"/>
          <w:sz w:val="24"/>
          <w:szCs w:val="24"/>
          <w:highlight w:val="none"/>
        </w:rPr>
        <w:t>盖单位章）</w:t>
      </w:r>
    </w:p>
    <w:bookmarkEnd w:id="219"/>
    <w:p w14:paraId="088A50E5">
      <w:pPr>
        <w:wordWrap w:val="0"/>
        <w:spacing w:line="360" w:lineRule="auto"/>
        <w:ind w:firstLine="5280" w:firstLineChars="2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C216B8">
      <w:pPr>
        <w:wordWrap w:val="0"/>
        <w:spacing w:line="360" w:lineRule="auto"/>
        <w:ind w:firstLine="480"/>
        <w:rPr>
          <w:rFonts w:ascii="宋体" w:hAnsi="宋体" w:eastAsia="宋体" w:cs="宋体"/>
          <w:color w:val="auto"/>
          <w:sz w:val="24"/>
          <w:szCs w:val="24"/>
          <w:highlight w:val="none"/>
        </w:rPr>
      </w:pPr>
    </w:p>
    <w:p w14:paraId="5A6F5643">
      <w:pPr>
        <w:wordWrap w:val="0"/>
        <w:jc w:val="center"/>
        <w:rPr>
          <w:rFonts w:ascii="宋体" w:hAnsi="宋体" w:eastAsia="宋体" w:cs="宋体"/>
          <w:b/>
          <w:color w:val="auto"/>
          <w:sz w:val="28"/>
          <w:szCs w:val="28"/>
          <w:highlight w:val="none"/>
        </w:rPr>
      </w:pPr>
      <w:bookmarkStart w:id="220" w:name="_Toc35513541"/>
      <w:r>
        <w:rPr>
          <w:rFonts w:hint="eastAsia" w:ascii="宋体" w:hAnsi="宋体" w:eastAsia="宋体" w:cs="宋体"/>
          <w:b/>
          <w:color w:val="auto"/>
          <w:sz w:val="32"/>
          <w:szCs w:val="24"/>
          <w:highlight w:val="none"/>
        </w:rPr>
        <w:br w:type="page"/>
      </w:r>
      <w:bookmarkStart w:id="221" w:name="_Toc82786998"/>
      <w:r>
        <w:rPr>
          <w:rFonts w:hint="eastAsia" w:ascii="宋体" w:hAnsi="宋体" w:eastAsia="宋体" w:cs="宋体"/>
          <w:b/>
          <w:color w:val="auto"/>
          <w:sz w:val="28"/>
          <w:szCs w:val="28"/>
          <w:highlight w:val="none"/>
        </w:rPr>
        <w:t>授权委托书</w:t>
      </w:r>
      <w:bookmarkEnd w:id="220"/>
      <w:bookmarkEnd w:id="221"/>
    </w:p>
    <w:p w14:paraId="343A51E8">
      <w:pPr>
        <w:wordWrap w:val="0"/>
        <w:spacing w:line="360" w:lineRule="auto"/>
        <w:ind w:firstLine="480"/>
        <w:rPr>
          <w:rFonts w:ascii="宋体" w:hAnsi="宋体" w:eastAsia="宋体" w:cs="宋体"/>
          <w:color w:val="auto"/>
          <w:sz w:val="24"/>
          <w:szCs w:val="24"/>
          <w:highlight w:val="none"/>
        </w:rPr>
      </w:pPr>
    </w:p>
    <w:p w14:paraId="1D6FC315">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招标项目投标文件、签订合同和处理有关事宜，其法律后果由我方承担。</w:t>
      </w:r>
    </w:p>
    <w:p w14:paraId="132ADEAE">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r>
        <w:rPr>
          <w:rFonts w:hint="eastAsia" w:ascii="宋体" w:hAnsi="宋体" w:eastAsia="宋体" w:cs="宋体"/>
          <w:b/>
          <w:bCs/>
          <w:color w:val="auto"/>
          <w:sz w:val="24"/>
          <w:szCs w:val="24"/>
          <w:highlight w:val="none"/>
        </w:rPr>
        <w:t>代理人为投标人正式职工，必须具有离投标截止时间最近的至少1个月（即2025年8月）在本单位缴纳的社保证明文件（如部分地区社保证明显示隔月缴费状态，则提供2025年7月的社保证明）。</w:t>
      </w:r>
    </w:p>
    <w:p w14:paraId="67DCC314">
      <w:pPr>
        <w:wordWrap w:val="0"/>
        <w:spacing w:line="360" w:lineRule="auto"/>
        <w:ind w:firstLine="480"/>
        <w:rPr>
          <w:rFonts w:ascii="宋体" w:hAnsi="宋体" w:eastAsia="宋体" w:cs="宋体"/>
          <w:color w:val="auto"/>
          <w:sz w:val="24"/>
          <w:szCs w:val="24"/>
          <w:highlight w:val="none"/>
        </w:rPr>
      </w:pPr>
    </w:p>
    <w:p w14:paraId="583AE74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附：法定代表人身份证及委托代理人身份证</w:t>
      </w:r>
    </w:p>
    <w:p w14:paraId="151D2456">
      <w:pPr>
        <w:wordWrap w:val="0"/>
        <w:spacing w:line="360" w:lineRule="auto"/>
        <w:ind w:firstLine="480"/>
        <w:rPr>
          <w:rFonts w:ascii="宋体" w:hAnsi="宋体" w:eastAsia="宋体" w:cs="宋体"/>
          <w:color w:val="auto"/>
          <w:sz w:val="24"/>
          <w:szCs w:val="24"/>
          <w:highlight w:val="none"/>
        </w:rPr>
      </w:pPr>
    </w:p>
    <w:p w14:paraId="47CAC04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加盖单位公章并由其法定代表人和委托代理人签字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1E440A03">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64532C">
      <w:pPr>
        <w:wordWrap w:val="0"/>
        <w:spacing w:line="360" w:lineRule="auto"/>
        <w:ind w:firstLine="480"/>
        <w:rPr>
          <w:rFonts w:ascii="宋体" w:hAnsi="宋体" w:eastAsia="宋体" w:cs="宋体"/>
          <w:color w:val="auto"/>
          <w:sz w:val="24"/>
          <w:szCs w:val="24"/>
          <w:highlight w:val="none"/>
        </w:rPr>
      </w:pPr>
    </w:p>
    <w:p w14:paraId="59C7C433">
      <w:pPr>
        <w:pStyle w:val="5"/>
        <w:wordWrap w:val="0"/>
        <w:rPr>
          <w:color w:val="auto"/>
          <w:highlight w:val="none"/>
        </w:rPr>
      </w:pPr>
      <w:r>
        <w:rPr>
          <w:rFonts w:hint="eastAsia"/>
          <w:color w:val="auto"/>
          <w:highlight w:val="none"/>
        </w:rPr>
        <w:br w:type="page"/>
      </w:r>
      <w:bookmarkStart w:id="222" w:name="_Toc17883"/>
      <w:bookmarkStart w:id="223" w:name="_Toc111186814"/>
    </w:p>
    <w:bookmarkEnd w:id="222"/>
    <w:bookmarkEnd w:id="223"/>
    <w:p w14:paraId="4A643C72">
      <w:pPr>
        <w:pStyle w:val="5"/>
        <w:wordWrap w:val="0"/>
        <w:rPr>
          <w:color w:val="auto"/>
          <w:highlight w:val="none"/>
        </w:rPr>
      </w:pPr>
      <w:bookmarkStart w:id="224" w:name="_Toc111186815"/>
      <w:bookmarkStart w:id="225" w:name="_Toc23229"/>
      <w:r>
        <w:rPr>
          <w:rFonts w:hint="eastAsia"/>
          <w:color w:val="auto"/>
          <w:highlight w:val="none"/>
          <w:lang w:val="en-US" w:eastAsia="zh-CN"/>
        </w:rPr>
        <w:t>三</w:t>
      </w:r>
      <w:r>
        <w:rPr>
          <w:rFonts w:hint="eastAsia"/>
          <w:color w:val="auto"/>
          <w:highlight w:val="none"/>
        </w:rPr>
        <w:t>、报价表</w:t>
      </w:r>
    </w:p>
    <w:p w14:paraId="1206BF22">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报价表</w:t>
      </w:r>
    </w:p>
    <w:p w14:paraId="6F23A5B5">
      <w:pPr>
        <w:wordWrap w:val="0"/>
        <w:jc w:val="center"/>
        <w:rPr>
          <w:rFonts w:ascii="宋体" w:hAnsi="宋体" w:eastAsia="宋体" w:cs="宋体"/>
          <w:b/>
          <w:color w:val="auto"/>
          <w:sz w:val="32"/>
          <w:szCs w:val="24"/>
          <w:highlight w:val="none"/>
        </w:rPr>
      </w:pP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895"/>
        <w:gridCol w:w="1031"/>
        <w:gridCol w:w="2107"/>
        <w:gridCol w:w="4025"/>
      </w:tblGrid>
      <w:tr w14:paraId="05BD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9" w:type="pct"/>
            <w:vAlign w:val="center"/>
          </w:tcPr>
          <w:p w14:paraId="537AC1E3">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3" w:type="pct"/>
            <w:vAlign w:val="center"/>
          </w:tcPr>
          <w:p w14:paraId="2C040978">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5915FB92">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下浮率</w:t>
            </w:r>
          </w:p>
        </w:tc>
        <w:tc>
          <w:tcPr>
            <w:tcW w:w="1208" w:type="pct"/>
            <w:vAlign w:val="center"/>
          </w:tcPr>
          <w:p w14:paraId="43F9662D">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2307" w:type="pct"/>
            <w:vAlign w:val="center"/>
          </w:tcPr>
          <w:p w14:paraId="48152183">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B77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379" w:type="pct"/>
            <w:vAlign w:val="center"/>
          </w:tcPr>
          <w:p w14:paraId="199F177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3" w:type="pct"/>
            <w:vAlign w:val="center"/>
          </w:tcPr>
          <w:p w14:paraId="0D0E5D3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管线迁改建设管理服务</w:t>
            </w:r>
            <w:r>
              <w:rPr>
                <w:rFonts w:hint="eastAsia" w:ascii="宋体" w:hAnsi="宋体" w:eastAsia="宋体" w:cs="宋体"/>
                <w:color w:val="auto"/>
                <w:szCs w:val="21"/>
                <w:highlight w:val="none"/>
              </w:rPr>
              <w:t>费</w:t>
            </w:r>
          </w:p>
        </w:tc>
        <w:tc>
          <w:tcPr>
            <w:tcW w:w="591" w:type="pct"/>
            <w:vAlign w:val="center"/>
          </w:tcPr>
          <w:p w14:paraId="46A19059">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14:paraId="2AF7467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14:paraId="0C55E89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w:t>
            </w:r>
            <w:r>
              <w:rPr>
                <w:rFonts w:hint="eastAsia" w:ascii="宋体" w:hAnsi="宋体" w:eastAsia="宋体" w:cs="宋体"/>
                <w:color w:val="auto"/>
                <w:szCs w:val="21"/>
                <w:highlight w:val="none"/>
                <w:lang w:eastAsia="zh-CN"/>
              </w:rPr>
              <w:t>管线迁改建设管理服务</w:t>
            </w:r>
            <w:r>
              <w:rPr>
                <w:rFonts w:hint="eastAsia" w:ascii="宋体" w:hAnsi="宋体" w:eastAsia="宋体" w:cs="宋体"/>
                <w:color w:val="auto"/>
                <w:szCs w:val="21"/>
                <w:highlight w:val="none"/>
              </w:rPr>
              <w:t>费</w:t>
            </w:r>
            <w:r>
              <w:rPr>
                <w:rFonts w:ascii="宋体" w:hAnsi="宋体" w:eastAsia="宋体" w:cs="宋体"/>
                <w:color w:val="auto"/>
                <w:szCs w:val="21"/>
                <w:highlight w:val="none"/>
              </w:rPr>
              <w:t>投标报价/</w:t>
            </w:r>
            <w:r>
              <w:rPr>
                <w:rFonts w:hint="eastAsia" w:ascii="宋体" w:hAnsi="宋体" w:eastAsia="宋体" w:cs="宋体"/>
                <w:color w:val="auto"/>
                <w:szCs w:val="21"/>
                <w:highlight w:val="none"/>
                <w:lang w:eastAsia="zh-CN"/>
              </w:rPr>
              <w:t>管线迁改建设管理服务</w:t>
            </w:r>
            <w:r>
              <w:rPr>
                <w:rFonts w:hint="eastAsia" w:ascii="宋体" w:hAnsi="宋体" w:eastAsia="宋体" w:cs="宋体"/>
                <w:color w:val="auto"/>
                <w:szCs w:val="21"/>
                <w:highlight w:val="none"/>
              </w:rPr>
              <w:t>费</w:t>
            </w:r>
            <w:r>
              <w:rPr>
                <w:rFonts w:ascii="宋体" w:hAnsi="宋体" w:eastAsia="宋体" w:cs="宋体"/>
                <w:color w:val="auto"/>
                <w:szCs w:val="21"/>
                <w:highlight w:val="none"/>
              </w:rPr>
              <w:t>最高投标限价）】*100%</w:t>
            </w:r>
          </w:p>
        </w:tc>
      </w:tr>
    </w:tbl>
    <w:p w14:paraId="5C92960D">
      <w:pPr>
        <w:wordWrap w:val="0"/>
        <w:spacing w:line="360" w:lineRule="auto"/>
        <w:rPr>
          <w:rFonts w:ascii="宋体" w:hAnsi="宋体" w:eastAsia="宋体"/>
          <w:color w:val="auto"/>
          <w:sz w:val="24"/>
          <w:szCs w:val="24"/>
          <w:highlight w:val="none"/>
        </w:rPr>
      </w:pPr>
    </w:p>
    <w:p w14:paraId="2DE91032">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32A6586D">
      <w:pPr>
        <w:wordWrap w:val="0"/>
        <w:spacing w:line="360" w:lineRule="auto"/>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01E4B6C0">
      <w:pPr>
        <w:wordWrap/>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bookmarkEnd w:id="224"/>
    <w:bookmarkEnd w:id="225"/>
    <w:p w14:paraId="14EF393A">
      <w:pPr>
        <w:pStyle w:val="5"/>
        <w:wordWrap w:val="0"/>
        <w:rPr>
          <w:color w:val="auto"/>
          <w:highlight w:val="none"/>
        </w:rPr>
      </w:pPr>
      <w:r>
        <w:rPr>
          <w:rFonts w:hint="eastAsia"/>
          <w:color w:val="auto"/>
          <w:highlight w:val="none"/>
          <w:lang w:val="en-US" w:eastAsia="zh-CN"/>
        </w:rPr>
        <w:t>四</w:t>
      </w:r>
      <w:r>
        <w:rPr>
          <w:rFonts w:hint="eastAsia"/>
          <w:color w:val="auto"/>
          <w:highlight w:val="none"/>
        </w:rPr>
        <w:t>、</w:t>
      </w:r>
      <w:r>
        <w:rPr>
          <w:rFonts w:hint="eastAsia" w:cs="宋体"/>
          <w:color w:val="auto"/>
          <w:highlight w:val="none"/>
        </w:rPr>
        <w:t>资格审查资料</w:t>
      </w:r>
    </w:p>
    <w:p w14:paraId="09E823F2">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（1）营业执照或事业单位登记机构核发的事业单位法人证书；</w:t>
      </w:r>
    </w:p>
    <w:p w14:paraId="08E44577">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2321EFDC">
      <w:pPr>
        <w:widowControl/>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声明、廉洁承诺书</w:t>
      </w:r>
      <w:r>
        <w:rPr>
          <w:rFonts w:hint="eastAsia" w:ascii="宋体" w:hAnsi="宋体" w:eastAsia="宋体" w:cs="宋体"/>
          <w:bCs/>
          <w:color w:val="auto"/>
          <w:sz w:val="24"/>
          <w:szCs w:val="24"/>
          <w:highlight w:val="none"/>
          <w:lang w:eastAsia="zh-CN"/>
        </w:rPr>
        <w:t>；</w:t>
      </w:r>
    </w:p>
    <w:p w14:paraId="09565A27">
      <w:pPr>
        <w:widowControl/>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其他证明资料。</w:t>
      </w:r>
    </w:p>
    <w:p w14:paraId="4106588C">
      <w:pPr>
        <w:widowControl/>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35DA9AC">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声明</w:t>
      </w:r>
    </w:p>
    <w:p w14:paraId="3B6C1778">
      <w:pPr>
        <w:wordWrap w:val="0"/>
        <w:spacing w:line="360" w:lineRule="auto"/>
        <w:ind w:firstLine="629"/>
        <w:rPr>
          <w:rFonts w:ascii="宋体" w:hAnsi="宋体" w:eastAsia="宋体" w:cs="宋体"/>
          <w:color w:val="auto"/>
          <w:kern w:val="0"/>
          <w:sz w:val="24"/>
          <w:szCs w:val="24"/>
          <w:highlight w:val="none"/>
        </w:rPr>
      </w:pPr>
    </w:p>
    <w:p w14:paraId="1E3332FB">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0FE81E4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3C32C3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2186A8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让业务。</w:t>
      </w:r>
    </w:p>
    <w:p w14:paraId="29DB8410">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须知第1.4.3项所规定的任何一种情形。具体如下：</w:t>
      </w:r>
    </w:p>
    <w:p w14:paraId="5896A45B">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542A8FC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1130590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为同一个单位负责人；</w:t>
      </w:r>
    </w:p>
    <w:p w14:paraId="118EE80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存在控股、管理关系；</w:t>
      </w:r>
    </w:p>
    <w:p w14:paraId="04F9319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2"/>
          <w:kern w:val="0"/>
          <w:sz w:val="24"/>
          <w:szCs w:val="24"/>
          <w:highlight w:val="none"/>
          <w:lang w:val="en-US" w:eastAsia="zh-CN"/>
        </w:rPr>
        <w:t>或为本招标项目的勘察设计单位</w:t>
      </w:r>
      <w:r>
        <w:rPr>
          <w:rFonts w:hint="eastAsia" w:ascii="宋体" w:hAnsi="宋体" w:eastAsia="宋体" w:cs="宋体"/>
          <w:color w:val="auto"/>
          <w:kern w:val="0"/>
          <w:sz w:val="24"/>
          <w:szCs w:val="24"/>
          <w:highlight w:val="none"/>
        </w:rPr>
        <w:t>；</w:t>
      </w:r>
    </w:p>
    <w:p w14:paraId="08418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55595DA0">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CA0AD4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571E9B4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00101D6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1A4D405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4E85B4F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400FD0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须知前附表规定的其他情形。</w:t>
      </w:r>
    </w:p>
    <w:p w14:paraId="591D5B4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 。</w:t>
      </w:r>
    </w:p>
    <w:p w14:paraId="4B994ADA">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五、本公司承诺，愿以承诺的投标报价方式承包本次招标所包含的工作，并承担质量缺陷责任，中标后严格执行相关法律法规、规范等。</w:t>
      </w:r>
    </w:p>
    <w:p w14:paraId="553575CB">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如实填写，如有，应列出全部满足招标公告资质要求的相关单位的名称；如无，则填写“无”。）</w:t>
      </w:r>
    </w:p>
    <w:p w14:paraId="0B07392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752685D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6914CF8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九、本公司违反上述承诺，或本声明陈述与事实不符，经查实，本公司愿意接受公开通报，愿意按照广州市交通运输局有关信用评价管理有关规定，被记录为“不良交易行为信息”，承担由此带来的法律后果。</w:t>
      </w:r>
    </w:p>
    <w:p w14:paraId="6FC11B9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62D73754">
      <w:pPr>
        <w:wordWrap w:val="0"/>
        <w:spacing w:line="360" w:lineRule="auto"/>
        <w:jc w:val="left"/>
        <w:rPr>
          <w:rFonts w:hint="eastAsia" w:ascii="宋体" w:hAnsi="宋体" w:eastAsia="宋体" w:cs="宋体"/>
          <w:b w:val="0"/>
          <w:bCs w:val="0"/>
          <w:color w:val="auto"/>
          <w:sz w:val="24"/>
          <w:szCs w:val="24"/>
          <w:highlight w:val="none"/>
          <w:u w:val="single"/>
        </w:rPr>
      </w:pPr>
    </w:p>
    <w:p w14:paraId="2D4F4F10">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投标人：    （盖章）</w:t>
      </w:r>
    </w:p>
    <w:p w14:paraId="5586931B">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法定代表人</w:t>
      </w:r>
      <w:r>
        <w:rPr>
          <w:rFonts w:hint="eastAsia" w:ascii="宋体" w:hAnsi="宋体" w:eastAsia="宋体" w:cs="宋体"/>
          <w:b w:val="0"/>
          <w:bCs w:val="0"/>
          <w:color w:val="auto"/>
          <w:sz w:val="24"/>
          <w:szCs w:val="24"/>
          <w:highlight w:val="none"/>
          <w:u w:val="single"/>
          <w:lang w:val="en-US" w:eastAsia="zh-CN"/>
        </w:rPr>
        <w:t>或</w:t>
      </w:r>
      <w:r>
        <w:rPr>
          <w:rFonts w:hint="eastAsia" w:ascii="宋体" w:hAnsi="宋体" w:eastAsia="宋体" w:cs="宋体"/>
          <w:b w:val="0"/>
          <w:bCs w:val="0"/>
          <w:color w:val="auto"/>
          <w:sz w:val="24"/>
          <w:szCs w:val="24"/>
          <w:highlight w:val="none"/>
          <w:u w:val="single"/>
          <w:lang w:eastAsia="zh-CN"/>
        </w:rPr>
        <w:t>委托代理人</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（签字</w:t>
      </w:r>
      <w:r>
        <w:rPr>
          <w:rFonts w:hint="eastAsia" w:ascii="宋体" w:hAnsi="宋体" w:eastAsia="宋体" w:cs="宋体"/>
          <w:b w:val="0"/>
          <w:bCs w:val="0"/>
          <w:color w:val="auto"/>
          <w:sz w:val="24"/>
          <w:szCs w:val="24"/>
          <w:highlight w:val="none"/>
          <w:u w:val="single"/>
          <w:lang w:val="en-US" w:eastAsia="zh-CN"/>
        </w:rPr>
        <w:t>或盖章</w:t>
      </w:r>
      <w:r>
        <w:rPr>
          <w:rFonts w:hint="eastAsia" w:ascii="宋体" w:hAnsi="宋体" w:eastAsia="宋体" w:cs="宋体"/>
          <w:b w:val="0"/>
          <w:bCs w:val="0"/>
          <w:color w:val="auto"/>
          <w:sz w:val="24"/>
          <w:szCs w:val="24"/>
          <w:highlight w:val="none"/>
          <w:u w:val="single"/>
        </w:rPr>
        <w:t>）</w:t>
      </w:r>
    </w:p>
    <w:p w14:paraId="07D82B80">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年    月    日</w:t>
      </w:r>
    </w:p>
    <w:p w14:paraId="196021AB">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38763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1F1DC09F">
      <w:pPr>
        <w:wordWrap w:val="0"/>
        <w:spacing w:line="360" w:lineRule="auto"/>
        <w:ind w:firstLine="629"/>
        <w:rPr>
          <w:rFonts w:ascii="宋体" w:hAnsi="宋体" w:eastAsia="宋体" w:cs="宋体"/>
          <w:color w:val="auto"/>
          <w:kern w:val="0"/>
          <w:sz w:val="24"/>
          <w:szCs w:val="24"/>
          <w:highlight w:val="none"/>
        </w:rPr>
      </w:pPr>
    </w:p>
    <w:p w14:paraId="49493A50">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0FA4775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w:t>
      </w:r>
      <w:r>
        <w:rPr>
          <w:rFonts w:hint="eastAsia" w:ascii="宋体" w:hAnsi="宋体" w:eastAsia="宋体" w:cs="宋体"/>
          <w:color w:val="auto"/>
          <w:kern w:val="0"/>
          <w:sz w:val="24"/>
          <w:szCs w:val="24"/>
          <w:highlight w:val="none"/>
          <w:lang w:eastAsia="zh-CN"/>
        </w:rPr>
        <w:t>广东省实施〈中华人民共和国招标投标法〉办法</w:t>
      </w:r>
      <w:r>
        <w:rPr>
          <w:rFonts w:hint="eastAsia" w:ascii="宋体" w:hAnsi="宋体" w:eastAsia="宋体" w:cs="宋体"/>
          <w:color w:val="auto"/>
          <w:kern w:val="0"/>
          <w:sz w:val="24"/>
          <w:szCs w:val="24"/>
          <w:highlight w:val="none"/>
        </w:rPr>
        <w:t>》等法律法规，特承诺如下事项：</w:t>
      </w:r>
    </w:p>
    <w:p w14:paraId="11CB9BEB">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47C26058">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1DA6B352">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0EE0A71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四、不以任何名义向参与招标、评标工作的有关人员提供高消费宴请及娱乐活动和赠送回扣、红包、礼金、购物卡、有价证券、贵重物品和好处费、感谢费等； </w:t>
      </w:r>
    </w:p>
    <w:p w14:paraId="082AF17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40C1D49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1C09B5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6557463F">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投标人：    （盖章）</w:t>
      </w:r>
    </w:p>
    <w:p w14:paraId="25231D99">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法定代表人</w:t>
      </w:r>
      <w:r>
        <w:rPr>
          <w:rFonts w:hint="eastAsia" w:ascii="宋体" w:hAnsi="宋体" w:eastAsia="宋体" w:cs="宋体"/>
          <w:b w:val="0"/>
          <w:bCs w:val="0"/>
          <w:color w:val="auto"/>
          <w:sz w:val="24"/>
          <w:szCs w:val="24"/>
          <w:highlight w:val="none"/>
          <w:u w:val="single"/>
          <w:lang w:val="en-US" w:eastAsia="zh-CN"/>
        </w:rPr>
        <w:t>或</w:t>
      </w:r>
      <w:r>
        <w:rPr>
          <w:rFonts w:hint="eastAsia" w:ascii="宋体" w:hAnsi="宋体" w:eastAsia="宋体" w:cs="宋体"/>
          <w:b w:val="0"/>
          <w:bCs w:val="0"/>
          <w:color w:val="auto"/>
          <w:sz w:val="24"/>
          <w:szCs w:val="24"/>
          <w:highlight w:val="none"/>
          <w:u w:val="single"/>
          <w:lang w:eastAsia="zh-CN"/>
        </w:rPr>
        <w:t>委托代理人</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（签字</w:t>
      </w:r>
      <w:r>
        <w:rPr>
          <w:rFonts w:hint="eastAsia" w:ascii="宋体" w:hAnsi="宋体" w:eastAsia="宋体" w:cs="宋体"/>
          <w:b w:val="0"/>
          <w:bCs w:val="0"/>
          <w:color w:val="auto"/>
          <w:sz w:val="24"/>
          <w:szCs w:val="24"/>
          <w:highlight w:val="none"/>
          <w:u w:val="single"/>
          <w:lang w:val="en-US" w:eastAsia="zh-CN"/>
        </w:rPr>
        <w:t>或盖章</w:t>
      </w:r>
      <w:r>
        <w:rPr>
          <w:rFonts w:hint="eastAsia" w:ascii="宋体" w:hAnsi="宋体" w:eastAsia="宋体" w:cs="宋体"/>
          <w:b w:val="0"/>
          <w:bCs w:val="0"/>
          <w:color w:val="auto"/>
          <w:sz w:val="24"/>
          <w:szCs w:val="24"/>
          <w:highlight w:val="none"/>
          <w:u w:val="single"/>
        </w:rPr>
        <w:t>）</w:t>
      </w:r>
    </w:p>
    <w:p w14:paraId="700B2386">
      <w:pPr>
        <w:wordWrap w:val="0"/>
        <w:spacing w:line="36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年    月    日</w:t>
      </w:r>
    </w:p>
    <w:p w14:paraId="1340824B">
      <w:pPr>
        <w:wordWrap w:val="0"/>
        <w:spacing w:line="360" w:lineRule="auto"/>
        <w:jc w:val="left"/>
        <w:rPr>
          <w:rFonts w:hint="eastAsia" w:ascii="宋体" w:hAnsi="宋体" w:eastAsia="宋体" w:cs="宋体"/>
          <w:b/>
          <w:bCs/>
          <w:color w:val="auto"/>
          <w:sz w:val="24"/>
          <w:szCs w:val="24"/>
          <w:highlight w:val="none"/>
          <w:u w:val="single"/>
        </w:rPr>
      </w:pPr>
    </w:p>
    <w:p w14:paraId="39450B07">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F033B78">
      <w:pPr>
        <w:pStyle w:val="5"/>
        <w:wordWrap w:val="0"/>
        <w:rPr>
          <w:rFonts w:cs="宋体"/>
          <w:color w:val="auto"/>
          <w:highlight w:val="none"/>
        </w:rPr>
      </w:pPr>
      <w:r>
        <w:rPr>
          <w:rFonts w:hint="eastAsia"/>
          <w:color w:val="auto"/>
          <w:highlight w:val="none"/>
          <w:lang w:val="en-US" w:eastAsia="zh-CN"/>
        </w:rPr>
        <w:t>五、</w:t>
      </w:r>
      <w:r>
        <w:rPr>
          <w:rFonts w:hint="eastAsia"/>
          <w:color w:val="auto"/>
          <w:highlight w:val="none"/>
          <w:lang w:eastAsia="zh-CN"/>
        </w:rPr>
        <w:t>投标人</w:t>
      </w:r>
      <w:r>
        <w:rPr>
          <w:rFonts w:hint="eastAsia"/>
          <w:color w:val="auto"/>
          <w:highlight w:val="none"/>
        </w:rPr>
        <w:t>须知前附表规定的其他资料</w:t>
      </w:r>
    </w:p>
    <w:p w14:paraId="71D1D03A">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投标人</w:t>
      </w:r>
      <w:r>
        <w:rPr>
          <w:rFonts w:hint="eastAsia" w:ascii="宋体" w:hAnsi="宋体" w:eastAsia="宋体" w:cs="宋体"/>
          <w:color w:val="auto"/>
          <w:kern w:val="0"/>
          <w:sz w:val="24"/>
          <w:szCs w:val="24"/>
          <w:highlight w:val="none"/>
          <w:u w:val="single"/>
        </w:rPr>
        <w:t>认为有必要提供的其他资料，格式自定。</w:t>
      </w:r>
    </w:p>
    <w:p w14:paraId="029451CD">
      <w:pPr>
        <w:pStyle w:val="5"/>
        <w:wordWrap w:val="0"/>
        <w:rPr>
          <w:rFonts w:cs="宋体"/>
          <w:color w:val="auto"/>
          <w:highlight w:val="none"/>
        </w:rPr>
      </w:pPr>
      <w:r>
        <w:rPr>
          <w:rFonts w:hint="eastAsia"/>
          <w:color w:val="auto"/>
          <w:highlight w:val="none"/>
        </w:rPr>
        <w:br w:type="page"/>
      </w:r>
    </w:p>
    <w:p w14:paraId="43F304C6">
      <w:pPr>
        <w:pStyle w:val="4"/>
        <w:wordWrap w:val="0"/>
        <w:rPr>
          <w:color w:val="auto"/>
          <w:highlight w:val="none"/>
        </w:rPr>
      </w:pPr>
      <w:r>
        <w:rPr>
          <w:rFonts w:hint="eastAsia"/>
          <w:color w:val="auto"/>
          <w:highlight w:val="none"/>
        </w:rPr>
        <w:t>2. 技术文件编制</w:t>
      </w:r>
    </w:p>
    <w:p w14:paraId="0F57ED72">
      <w:pPr>
        <w:wordWrap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投标人根据技术文件评分标准提供技术文件，格式自拟。</w:t>
      </w:r>
    </w:p>
    <w:p w14:paraId="4BAE0CC9">
      <w:pPr>
        <w:wordWrap w:val="0"/>
        <w:rPr>
          <w:color w:val="auto"/>
          <w:highlight w:val="none"/>
        </w:rPr>
      </w:pPr>
    </w:p>
    <w:sectPr>
      <w:footerReference r:id="rId5" w:type="default"/>
      <w:footerReference r:id="rId6" w:type="even"/>
      <w:pgSz w:w="11905" w:h="16838"/>
      <w:pgMar w:top="1474" w:right="1701" w:bottom="147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10166"/>
      <w:docPartObj>
        <w:docPartGallery w:val="autotext"/>
      </w:docPartObj>
    </w:sdtPr>
    <w:sdtContent>
      <w:p w14:paraId="60E147F9">
        <w:pPr>
          <w:pStyle w:val="30"/>
          <w:jc w:val="center"/>
        </w:pPr>
        <w:r>
          <w:fldChar w:fldCharType="begin"/>
        </w:r>
        <w:r>
          <w:instrText xml:space="preserve">PAGE   \* MERGEFORMAT</w:instrText>
        </w:r>
        <w:r>
          <w:fldChar w:fldCharType="separate"/>
        </w:r>
        <w:r>
          <w:rPr>
            <w:lang w:val="zh-CN"/>
          </w:rPr>
          <w:t>1</w:t>
        </w:r>
        <w:r>
          <w:fldChar w:fldCharType="end"/>
        </w:r>
      </w:p>
    </w:sdtContent>
  </w:sdt>
  <w:p w14:paraId="01EE6F2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F22F">
    <w:pPr>
      <w:pStyle w:val="30"/>
      <w:jc w:val="center"/>
    </w:pPr>
    <w:r>
      <w:fldChar w:fldCharType="begin"/>
    </w:r>
    <w:r>
      <w:instrText xml:space="preserve"> PAGE   \* MERGEFORMAT </w:instrText>
    </w:r>
    <w:r>
      <w:fldChar w:fldCharType="separate"/>
    </w:r>
    <w:r>
      <w:rPr>
        <w:lang w:val="zh-CN"/>
      </w:rPr>
      <w:t>44</w:t>
    </w:r>
    <w:r>
      <w:fldChar w:fldCharType="end"/>
    </w:r>
  </w:p>
  <w:p w14:paraId="06B571A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5E1DB5E8">
        <w:pPr>
          <w:pStyle w:val="30"/>
          <w:jc w:val="center"/>
        </w:pPr>
        <w:r>
          <w:fldChar w:fldCharType="begin"/>
        </w:r>
        <w:r>
          <w:instrText xml:space="preserve">PAGE   \* MERGEFORMAT</w:instrText>
        </w:r>
        <w:r>
          <w:fldChar w:fldCharType="separate"/>
        </w:r>
        <w:r>
          <w:rPr>
            <w:lang w:val="zh-CN"/>
          </w:rPr>
          <w:t>45</w:t>
        </w:r>
        <w:r>
          <w:fldChar w:fldCharType="end"/>
        </w:r>
      </w:p>
    </w:sdtContent>
  </w:sdt>
  <w:p w14:paraId="0CEFC94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07A9">
    <w:pPr>
      <w:pStyle w:val="30"/>
      <w:framePr w:wrap="around" w:vAnchor="text" w:hAnchor="margin" w:xAlign="center" w:y="1"/>
      <w:rPr>
        <w:rStyle w:val="50"/>
      </w:rPr>
    </w:pPr>
    <w:r>
      <w:fldChar w:fldCharType="begin"/>
    </w:r>
    <w:r>
      <w:rPr>
        <w:rStyle w:val="50"/>
      </w:rPr>
      <w:instrText xml:space="preserve">PAGE  </w:instrText>
    </w:r>
    <w:r>
      <w:fldChar w:fldCharType="end"/>
    </w:r>
  </w:p>
  <w:p w14:paraId="54919A28">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F89CD"/>
    <w:multiLevelType w:val="singleLevel"/>
    <w:tmpl w:val="F99F89C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jBmODBmMDBmNDM1MTM3MjA2ZWQ4ZjY1YjlhMDQifQ=="/>
  </w:docVars>
  <w:rsids>
    <w:rsidRoot w:val="00237017"/>
    <w:rsid w:val="000179C6"/>
    <w:rsid w:val="00033F07"/>
    <w:rsid w:val="0003797C"/>
    <w:rsid w:val="00065327"/>
    <w:rsid w:val="000723FD"/>
    <w:rsid w:val="0009472D"/>
    <w:rsid w:val="000B3F7A"/>
    <w:rsid w:val="000D3491"/>
    <w:rsid w:val="000E3E93"/>
    <w:rsid w:val="000E3F61"/>
    <w:rsid w:val="000E4830"/>
    <w:rsid w:val="000F777B"/>
    <w:rsid w:val="00111695"/>
    <w:rsid w:val="001133F7"/>
    <w:rsid w:val="00117D81"/>
    <w:rsid w:val="00125CC6"/>
    <w:rsid w:val="00136C66"/>
    <w:rsid w:val="00144AF1"/>
    <w:rsid w:val="00150776"/>
    <w:rsid w:val="0015125E"/>
    <w:rsid w:val="00151A27"/>
    <w:rsid w:val="00165682"/>
    <w:rsid w:val="00173865"/>
    <w:rsid w:val="00173CF7"/>
    <w:rsid w:val="00181DEC"/>
    <w:rsid w:val="00192AF9"/>
    <w:rsid w:val="00194AD4"/>
    <w:rsid w:val="001950BF"/>
    <w:rsid w:val="0019544D"/>
    <w:rsid w:val="001A0D43"/>
    <w:rsid w:val="001B068D"/>
    <w:rsid w:val="001B6471"/>
    <w:rsid w:val="001C245A"/>
    <w:rsid w:val="001C2CA6"/>
    <w:rsid w:val="001E5C63"/>
    <w:rsid w:val="001E5FCA"/>
    <w:rsid w:val="001F6132"/>
    <w:rsid w:val="00202FBA"/>
    <w:rsid w:val="002155F9"/>
    <w:rsid w:val="00220ED3"/>
    <w:rsid w:val="00222217"/>
    <w:rsid w:val="00224046"/>
    <w:rsid w:val="00232C1B"/>
    <w:rsid w:val="00237017"/>
    <w:rsid w:val="00240083"/>
    <w:rsid w:val="00244564"/>
    <w:rsid w:val="002507A7"/>
    <w:rsid w:val="002605C9"/>
    <w:rsid w:val="002610AA"/>
    <w:rsid w:val="00263AEA"/>
    <w:rsid w:val="0028421B"/>
    <w:rsid w:val="002B2FBE"/>
    <w:rsid w:val="002C555B"/>
    <w:rsid w:val="002F1C20"/>
    <w:rsid w:val="002F34C1"/>
    <w:rsid w:val="00306782"/>
    <w:rsid w:val="003141EC"/>
    <w:rsid w:val="00317808"/>
    <w:rsid w:val="003217D3"/>
    <w:rsid w:val="00322D37"/>
    <w:rsid w:val="0032790E"/>
    <w:rsid w:val="00331AE1"/>
    <w:rsid w:val="003476D9"/>
    <w:rsid w:val="003578AF"/>
    <w:rsid w:val="00357EEF"/>
    <w:rsid w:val="00362F4F"/>
    <w:rsid w:val="00363A04"/>
    <w:rsid w:val="00372A70"/>
    <w:rsid w:val="0037316F"/>
    <w:rsid w:val="003739FC"/>
    <w:rsid w:val="00374C24"/>
    <w:rsid w:val="00375D70"/>
    <w:rsid w:val="00377872"/>
    <w:rsid w:val="00380B83"/>
    <w:rsid w:val="003906DC"/>
    <w:rsid w:val="00393CDC"/>
    <w:rsid w:val="003A03A3"/>
    <w:rsid w:val="003B0260"/>
    <w:rsid w:val="003B6D0C"/>
    <w:rsid w:val="003C543B"/>
    <w:rsid w:val="003D1752"/>
    <w:rsid w:val="003D33BC"/>
    <w:rsid w:val="003F3DDC"/>
    <w:rsid w:val="003F702A"/>
    <w:rsid w:val="004026ED"/>
    <w:rsid w:val="00416A5A"/>
    <w:rsid w:val="00420F62"/>
    <w:rsid w:val="00421F68"/>
    <w:rsid w:val="0042261D"/>
    <w:rsid w:val="00430F9E"/>
    <w:rsid w:val="004339A3"/>
    <w:rsid w:val="004549E3"/>
    <w:rsid w:val="00455814"/>
    <w:rsid w:val="004741C6"/>
    <w:rsid w:val="004765E6"/>
    <w:rsid w:val="00491344"/>
    <w:rsid w:val="004A2D6A"/>
    <w:rsid w:val="004A40C2"/>
    <w:rsid w:val="004A428F"/>
    <w:rsid w:val="004A45B4"/>
    <w:rsid w:val="004B3655"/>
    <w:rsid w:val="004B4FAE"/>
    <w:rsid w:val="004C3DF6"/>
    <w:rsid w:val="004D3BC4"/>
    <w:rsid w:val="004E167F"/>
    <w:rsid w:val="004E3382"/>
    <w:rsid w:val="004E4967"/>
    <w:rsid w:val="004F5E90"/>
    <w:rsid w:val="004F6AB2"/>
    <w:rsid w:val="00510996"/>
    <w:rsid w:val="005137AC"/>
    <w:rsid w:val="005310CF"/>
    <w:rsid w:val="00544656"/>
    <w:rsid w:val="00547C26"/>
    <w:rsid w:val="00547D15"/>
    <w:rsid w:val="00557AD7"/>
    <w:rsid w:val="005600C0"/>
    <w:rsid w:val="005817EE"/>
    <w:rsid w:val="00587C9A"/>
    <w:rsid w:val="00590D2E"/>
    <w:rsid w:val="005969A5"/>
    <w:rsid w:val="00597D19"/>
    <w:rsid w:val="005A1186"/>
    <w:rsid w:val="005A3666"/>
    <w:rsid w:val="005B48EF"/>
    <w:rsid w:val="005D3FA6"/>
    <w:rsid w:val="005D5FB7"/>
    <w:rsid w:val="005E0B4F"/>
    <w:rsid w:val="005E50CE"/>
    <w:rsid w:val="005E58CF"/>
    <w:rsid w:val="005F247C"/>
    <w:rsid w:val="005F4280"/>
    <w:rsid w:val="00601528"/>
    <w:rsid w:val="006071A5"/>
    <w:rsid w:val="0061085A"/>
    <w:rsid w:val="00617F31"/>
    <w:rsid w:val="0062205C"/>
    <w:rsid w:val="006255D7"/>
    <w:rsid w:val="00634E70"/>
    <w:rsid w:val="00644CDC"/>
    <w:rsid w:val="006626A3"/>
    <w:rsid w:val="00663D15"/>
    <w:rsid w:val="00673877"/>
    <w:rsid w:val="00682A9F"/>
    <w:rsid w:val="00684BA3"/>
    <w:rsid w:val="006864E5"/>
    <w:rsid w:val="006870A2"/>
    <w:rsid w:val="0068713D"/>
    <w:rsid w:val="00694C28"/>
    <w:rsid w:val="006A0291"/>
    <w:rsid w:val="006A0935"/>
    <w:rsid w:val="006C5CF8"/>
    <w:rsid w:val="006C5D28"/>
    <w:rsid w:val="006C6AF0"/>
    <w:rsid w:val="006D0A15"/>
    <w:rsid w:val="006D27BE"/>
    <w:rsid w:val="006E749F"/>
    <w:rsid w:val="007065FB"/>
    <w:rsid w:val="00716D38"/>
    <w:rsid w:val="0072138A"/>
    <w:rsid w:val="00746064"/>
    <w:rsid w:val="0076314A"/>
    <w:rsid w:val="007669D8"/>
    <w:rsid w:val="00770D94"/>
    <w:rsid w:val="0078062C"/>
    <w:rsid w:val="00787542"/>
    <w:rsid w:val="007911A5"/>
    <w:rsid w:val="0079675A"/>
    <w:rsid w:val="007A562A"/>
    <w:rsid w:val="007A72B1"/>
    <w:rsid w:val="007B22AF"/>
    <w:rsid w:val="007B32F7"/>
    <w:rsid w:val="007B77EB"/>
    <w:rsid w:val="007C2EFE"/>
    <w:rsid w:val="007C3A39"/>
    <w:rsid w:val="007C7DF1"/>
    <w:rsid w:val="007D399A"/>
    <w:rsid w:val="007E308A"/>
    <w:rsid w:val="007E7B1B"/>
    <w:rsid w:val="007F2D90"/>
    <w:rsid w:val="00805D7F"/>
    <w:rsid w:val="008102E0"/>
    <w:rsid w:val="00810609"/>
    <w:rsid w:val="00811613"/>
    <w:rsid w:val="008219DE"/>
    <w:rsid w:val="008248F5"/>
    <w:rsid w:val="00831A33"/>
    <w:rsid w:val="00831B1A"/>
    <w:rsid w:val="0083550A"/>
    <w:rsid w:val="00837D56"/>
    <w:rsid w:val="00852281"/>
    <w:rsid w:val="0088305A"/>
    <w:rsid w:val="008B340E"/>
    <w:rsid w:val="008B4A25"/>
    <w:rsid w:val="008B4C9B"/>
    <w:rsid w:val="008C7BCD"/>
    <w:rsid w:val="008D3190"/>
    <w:rsid w:val="008F40AC"/>
    <w:rsid w:val="008F5BC7"/>
    <w:rsid w:val="009018AB"/>
    <w:rsid w:val="00902A11"/>
    <w:rsid w:val="00905DBE"/>
    <w:rsid w:val="009139E3"/>
    <w:rsid w:val="00922DD8"/>
    <w:rsid w:val="0093248A"/>
    <w:rsid w:val="0094680B"/>
    <w:rsid w:val="00947739"/>
    <w:rsid w:val="00951015"/>
    <w:rsid w:val="00957F45"/>
    <w:rsid w:val="00961919"/>
    <w:rsid w:val="00973485"/>
    <w:rsid w:val="00973C00"/>
    <w:rsid w:val="00977B04"/>
    <w:rsid w:val="00983169"/>
    <w:rsid w:val="00985B09"/>
    <w:rsid w:val="009979FD"/>
    <w:rsid w:val="009B5946"/>
    <w:rsid w:val="009B64F5"/>
    <w:rsid w:val="009C30E8"/>
    <w:rsid w:val="009C5AC5"/>
    <w:rsid w:val="009D2D2F"/>
    <w:rsid w:val="00A105A5"/>
    <w:rsid w:val="00A13532"/>
    <w:rsid w:val="00A26EBD"/>
    <w:rsid w:val="00A3621E"/>
    <w:rsid w:val="00A45D31"/>
    <w:rsid w:val="00A461F0"/>
    <w:rsid w:val="00A63E1B"/>
    <w:rsid w:val="00A66FDB"/>
    <w:rsid w:val="00A73C47"/>
    <w:rsid w:val="00A752F6"/>
    <w:rsid w:val="00A81AC4"/>
    <w:rsid w:val="00A947D3"/>
    <w:rsid w:val="00A956B2"/>
    <w:rsid w:val="00A964FE"/>
    <w:rsid w:val="00A97CF9"/>
    <w:rsid w:val="00AA1E93"/>
    <w:rsid w:val="00AA72C4"/>
    <w:rsid w:val="00AB4E0C"/>
    <w:rsid w:val="00AD67A9"/>
    <w:rsid w:val="00AE57CA"/>
    <w:rsid w:val="00B141EE"/>
    <w:rsid w:val="00B2042F"/>
    <w:rsid w:val="00B41C87"/>
    <w:rsid w:val="00B46DA9"/>
    <w:rsid w:val="00B63632"/>
    <w:rsid w:val="00B72A5C"/>
    <w:rsid w:val="00B82D9C"/>
    <w:rsid w:val="00B8387F"/>
    <w:rsid w:val="00B86BEF"/>
    <w:rsid w:val="00B95C84"/>
    <w:rsid w:val="00BA21DC"/>
    <w:rsid w:val="00BA2A31"/>
    <w:rsid w:val="00BA2BBE"/>
    <w:rsid w:val="00BA35C2"/>
    <w:rsid w:val="00BE1068"/>
    <w:rsid w:val="00BF477D"/>
    <w:rsid w:val="00BF62B1"/>
    <w:rsid w:val="00C078A6"/>
    <w:rsid w:val="00C15C17"/>
    <w:rsid w:val="00C1700E"/>
    <w:rsid w:val="00C53534"/>
    <w:rsid w:val="00C623A3"/>
    <w:rsid w:val="00C7352B"/>
    <w:rsid w:val="00C73B12"/>
    <w:rsid w:val="00C82445"/>
    <w:rsid w:val="00C84F8B"/>
    <w:rsid w:val="00CA5AC4"/>
    <w:rsid w:val="00CB1724"/>
    <w:rsid w:val="00CB1B6A"/>
    <w:rsid w:val="00CB3E72"/>
    <w:rsid w:val="00CB7485"/>
    <w:rsid w:val="00CC1634"/>
    <w:rsid w:val="00CF76B9"/>
    <w:rsid w:val="00D07AF2"/>
    <w:rsid w:val="00D111FE"/>
    <w:rsid w:val="00D13D82"/>
    <w:rsid w:val="00D27AED"/>
    <w:rsid w:val="00D731B9"/>
    <w:rsid w:val="00D77D70"/>
    <w:rsid w:val="00D82277"/>
    <w:rsid w:val="00D8355E"/>
    <w:rsid w:val="00DA0AC1"/>
    <w:rsid w:val="00DB118E"/>
    <w:rsid w:val="00DB4051"/>
    <w:rsid w:val="00DB49A9"/>
    <w:rsid w:val="00DC15E9"/>
    <w:rsid w:val="00DC52D0"/>
    <w:rsid w:val="00DC6556"/>
    <w:rsid w:val="00DD0F1E"/>
    <w:rsid w:val="00DE0151"/>
    <w:rsid w:val="00DE4712"/>
    <w:rsid w:val="00DE6C93"/>
    <w:rsid w:val="00DF249B"/>
    <w:rsid w:val="00E02C60"/>
    <w:rsid w:val="00E16421"/>
    <w:rsid w:val="00E41BA1"/>
    <w:rsid w:val="00E56EEB"/>
    <w:rsid w:val="00E64D9C"/>
    <w:rsid w:val="00E94537"/>
    <w:rsid w:val="00EA2124"/>
    <w:rsid w:val="00EA5A13"/>
    <w:rsid w:val="00EA6AE2"/>
    <w:rsid w:val="00EB7358"/>
    <w:rsid w:val="00ED28E5"/>
    <w:rsid w:val="00ED7EEA"/>
    <w:rsid w:val="00EE22C4"/>
    <w:rsid w:val="00EF4C70"/>
    <w:rsid w:val="00F067AF"/>
    <w:rsid w:val="00F27633"/>
    <w:rsid w:val="00F5006D"/>
    <w:rsid w:val="00F52892"/>
    <w:rsid w:val="00F6097F"/>
    <w:rsid w:val="00F6138F"/>
    <w:rsid w:val="00F616E7"/>
    <w:rsid w:val="00F630D0"/>
    <w:rsid w:val="00F65C01"/>
    <w:rsid w:val="00F72222"/>
    <w:rsid w:val="00F7313A"/>
    <w:rsid w:val="00F750FF"/>
    <w:rsid w:val="00F76B60"/>
    <w:rsid w:val="00F8369D"/>
    <w:rsid w:val="00FB1615"/>
    <w:rsid w:val="00FB78FA"/>
    <w:rsid w:val="00FC546C"/>
    <w:rsid w:val="00FD72CC"/>
    <w:rsid w:val="00FE0890"/>
    <w:rsid w:val="00FE4FAE"/>
    <w:rsid w:val="00FF54C4"/>
    <w:rsid w:val="00FF7286"/>
    <w:rsid w:val="02216FC1"/>
    <w:rsid w:val="03A8378E"/>
    <w:rsid w:val="03FB7B78"/>
    <w:rsid w:val="05443BB4"/>
    <w:rsid w:val="063A1FAE"/>
    <w:rsid w:val="069D3CE2"/>
    <w:rsid w:val="06A04737"/>
    <w:rsid w:val="06CA16CC"/>
    <w:rsid w:val="07AA403C"/>
    <w:rsid w:val="091838AF"/>
    <w:rsid w:val="09977F8C"/>
    <w:rsid w:val="0C2F19F0"/>
    <w:rsid w:val="0C3B44AD"/>
    <w:rsid w:val="10185298"/>
    <w:rsid w:val="122A443E"/>
    <w:rsid w:val="12BA2502"/>
    <w:rsid w:val="132D47AC"/>
    <w:rsid w:val="14A87A04"/>
    <w:rsid w:val="16BA2E55"/>
    <w:rsid w:val="173405A0"/>
    <w:rsid w:val="199E022E"/>
    <w:rsid w:val="1B476D42"/>
    <w:rsid w:val="1BA800D7"/>
    <w:rsid w:val="2114750E"/>
    <w:rsid w:val="21946641"/>
    <w:rsid w:val="21C01771"/>
    <w:rsid w:val="220666EE"/>
    <w:rsid w:val="22427D7C"/>
    <w:rsid w:val="23356F51"/>
    <w:rsid w:val="24D775F0"/>
    <w:rsid w:val="251360B8"/>
    <w:rsid w:val="259C55A8"/>
    <w:rsid w:val="28A8274E"/>
    <w:rsid w:val="291B7906"/>
    <w:rsid w:val="29C351DA"/>
    <w:rsid w:val="2A0F773B"/>
    <w:rsid w:val="2B516341"/>
    <w:rsid w:val="2FF32677"/>
    <w:rsid w:val="336F1881"/>
    <w:rsid w:val="357A605E"/>
    <w:rsid w:val="357E7804"/>
    <w:rsid w:val="37576911"/>
    <w:rsid w:val="37C71C82"/>
    <w:rsid w:val="3E7A4080"/>
    <w:rsid w:val="401F2924"/>
    <w:rsid w:val="40322C70"/>
    <w:rsid w:val="412D1D4F"/>
    <w:rsid w:val="41FE3CD2"/>
    <w:rsid w:val="441D1ACF"/>
    <w:rsid w:val="473617FB"/>
    <w:rsid w:val="47754B45"/>
    <w:rsid w:val="4A2D7499"/>
    <w:rsid w:val="4A6F3563"/>
    <w:rsid w:val="4BA440EA"/>
    <w:rsid w:val="4C996E6C"/>
    <w:rsid w:val="4E182646"/>
    <w:rsid w:val="57E97DB9"/>
    <w:rsid w:val="59C77184"/>
    <w:rsid w:val="5AC404C6"/>
    <w:rsid w:val="5E7C11AD"/>
    <w:rsid w:val="5EE0414A"/>
    <w:rsid w:val="5F461374"/>
    <w:rsid w:val="5FD321BB"/>
    <w:rsid w:val="6106379C"/>
    <w:rsid w:val="62DE5ACA"/>
    <w:rsid w:val="630168E2"/>
    <w:rsid w:val="65725D92"/>
    <w:rsid w:val="65A27ECF"/>
    <w:rsid w:val="65F603EC"/>
    <w:rsid w:val="69866B2D"/>
    <w:rsid w:val="6CA503CA"/>
    <w:rsid w:val="6EE27557"/>
    <w:rsid w:val="736827E7"/>
    <w:rsid w:val="7380460B"/>
    <w:rsid w:val="756C5E73"/>
    <w:rsid w:val="771350FF"/>
    <w:rsid w:val="7A7467C5"/>
    <w:rsid w:val="7AB5465D"/>
    <w:rsid w:val="7B741218"/>
    <w:rsid w:val="7CDE582C"/>
    <w:rsid w:val="7D136000"/>
    <w:rsid w:val="7D6A6A08"/>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1"/>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9"/>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3"/>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4"/>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6"/>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7"/>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8"/>
    <w:qFormat/>
    <w:uiPriority w:val="0"/>
    <w:pPr>
      <w:keepNext/>
      <w:keepLines/>
      <w:spacing w:before="240" w:after="64" w:line="320" w:lineRule="auto"/>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88"/>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hAnsi="Times New Roman" w:eastAsia="宋体" w:cs="Times New Roman"/>
      <w:kern w:val="0"/>
      <w:sz w:val="18"/>
      <w:szCs w:val="18"/>
      <w:lang w:val="zh-CN"/>
    </w:rPr>
  </w:style>
  <w:style w:type="paragraph" w:styleId="16">
    <w:name w:val="annotation text"/>
    <w:basedOn w:val="1"/>
    <w:link w:val="71"/>
    <w:qFormat/>
    <w:uiPriority w:val="0"/>
    <w:pPr>
      <w:jc w:val="left"/>
    </w:pPr>
    <w:rPr>
      <w:rFonts w:ascii="Times New Roman" w:hAnsi="Times New Roman" w:eastAsia="宋体" w:cs="Times New Roman"/>
      <w:szCs w:val="24"/>
      <w:lang w:val="zh-CN"/>
    </w:rPr>
  </w:style>
  <w:style w:type="paragraph" w:styleId="17">
    <w:name w:val="Salutation"/>
    <w:basedOn w:val="1"/>
    <w:next w:val="1"/>
    <w:link w:val="72"/>
    <w:qFormat/>
    <w:uiPriority w:val="0"/>
    <w:rPr>
      <w:rFonts w:ascii="Calibri" w:hAnsi="Calibri" w:eastAsia="宋体" w:cs="Times New Roman"/>
      <w:kern w:val="0"/>
      <w:sz w:val="32"/>
      <w:szCs w:val="24"/>
    </w:rPr>
  </w:style>
  <w:style w:type="paragraph" w:styleId="18">
    <w:name w:val="Body Text 3"/>
    <w:basedOn w:val="1"/>
    <w:link w:val="73"/>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20"/>
    <w:link w:val="74"/>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1"/>
    <w:link w:val="75"/>
    <w:qFormat/>
    <w:uiPriority w:val="0"/>
    <w:pPr>
      <w:ind w:firstLine="600" w:firstLineChars="200"/>
    </w:pPr>
    <w:rPr>
      <w:rFonts w:ascii="宋体" w:hAnsi="Times New Roman" w:eastAsia="宋体" w:cs="Times New Roman"/>
      <w:sz w:val="30"/>
      <w:szCs w:val="20"/>
      <w:lang w:val="zh-CN"/>
    </w:rPr>
  </w:style>
  <w:style w:type="paragraph" w:styleId="21">
    <w:name w:val="index 4"/>
    <w:basedOn w:val="1"/>
    <w:next w:val="1"/>
    <w:unhideWhenUsed/>
    <w:qFormat/>
    <w:uiPriority w:val="99"/>
    <w:pPr>
      <w:ind w:left="600" w:leftChars="600"/>
    </w:pPr>
    <w:rPr>
      <w:rFonts w:ascii="Times New Roman" w:hAnsi="Times New Roman" w:eastAsia="宋体" w:cs="Times New Roman"/>
      <w:szCs w:val="24"/>
    </w:rPr>
  </w:style>
  <w:style w:type="paragraph" w:styleId="22">
    <w:name w:val="toc 5"/>
    <w:basedOn w:val="1"/>
    <w:next w:val="1"/>
    <w:qFormat/>
    <w:uiPriority w:val="39"/>
    <w:pPr>
      <w:ind w:left="840"/>
      <w:jc w:val="left"/>
    </w:pPr>
    <w:rPr>
      <w:rFonts w:ascii="Calibri" w:hAnsi="Calibri" w:eastAsia="宋体" w:cs="Calibri"/>
      <w:sz w:val="18"/>
      <w:szCs w:val="18"/>
    </w:rPr>
  </w:style>
  <w:style w:type="paragraph" w:styleId="23">
    <w:name w:val="toc 3"/>
    <w:basedOn w:val="1"/>
    <w:next w:val="1"/>
    <w:qFormat/>
    <w:uiPriority w:val="39"/>
    <w:pPr>
      <w:ind w:left="840" w:leftChars="400"/>
    </w:pPr>
    <w:rPr>
      <w:rFonts w:ascii="Times New Roman" w:hAnsi="Times New Roman" w:eastAsia="宋体" w:cs="Times New Roman"/>
      <w:szCs w:val="24"/>
    </w:rPr>
  </w:style>
  <w:style w:type="paragraph" w:styleId="24">
    <w:name w:val="Plain Text"/>
    <w:basedOn w:val="1"/>
    <w:next w:val="1"/>
    <w:link w:val="76"/>
    <w:qFormat/>
    <w:uiPriority w:val="0"/>
    <w:rPr>
      <w:rFonts w:ascii="宋体" w:hAnsi="Courier New" w:eastAsia="宋体" w:cs="Times New Roman"/>
      <w:szCs w:val="20"/>
      <w:lang w:val="zh-CN"/>
    </w:rPr>
  </w:style>
  <w:style w:type="paragraph" w:styleId="25">
    <w:name w:val="toc 8"/>
    <w:basedOn w:val="1"/>
    <w:next w:val="1"/>
    <w:qFormat/>
    <w:uiPriority w:val="39"/>
    <w:pPr>
      <w:ind w:left="1470"/>
      <w:jc w:val="left"/>
    </w:pPr>
    <w:rPr>
      <w:rFonts w:ascii="Calibri" w:hAnsi="Calibri" w:eastAsia="宋体" w:cs="Calibri"/>
      <w:sz w:val="18"/>
      <w:szCs w:val="18"/>
    </w:rPr>
  </w:style>
  <w:style w:type="paragraph" w:styleId="26">
    <w:name w:val="Date"/>
    <w:basedOn w:val="1"/>
    <w:next w:val="1"/>
    <w:link w:val="77"/>
    <w:qFormat/>
    <w:uiPriority w:val="0"/>
    <w:pPr>
      <w:ind w:left="100" w:leftChars="2500"/>
    </w:pPr>
    <w:rPr>
      <w:rFonts w:ascii="Calibri" w:hAnsi="Calibri" w:eastAsia="宋体" w:cs="Times New Roman"/>
      <w:kern w:val="0"/>
      <w:sz w:val="20"/>
      <w:szCs w:val="24"/>
    </w:rPr>
  </w:style>
  <w:style w:type="paragraph" w:styleId="27">
    <w:name w:val="Body Text Indent 2"/>
    <w:basedOn w:val="1"/>
    <w:link w:val="78"/>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8">
    <w:name w:val="endnote text"/>
    <w:basedOn w:val="1"/>
    <w:qFormat/>
    <w:uiPriority w:val="0"/>
    <w:pPr>
      <w:snapToGrid w:val="0"/>
      <w:jc w:val="left"/>
    </w:pPr>
    <w:rPr>
      <w:rFonts w:ascii="Times New Roman" w:hAnsi="Times New Roman"/>
      <w:kern w:val="0"/>
      <w:sz w:val="20"/>
      <w:szCs w:val="20"/>
    </w:rPr>
  </w:style>
  <w:style w:type="paragraph" w:styleId="29">
    <w:name w:val="Balloon Text"/>
    <w:basedOn w:val="1"/>
    <w:link w:val="79"/>
    <w:qFormat/>
    <w:uiPriority w:val="0"/>
    <w:rPr>
      <w:rFonts w:ascii="Times New Roman" w:hAnsi="Times New Roman" w:eastAsia="宋体" w:cs="Times New Roman"/>
      <w:sz w:val="18"/>
      <w:szCs w:val="18"/>
      <w:lang w:val="zh-CN"/>
    </w:rPr>
  </w:style>
  <w:style w:type="paragraph" w:styleId="30">
    <w:name w:val="footer"/>
    <w:basedOn w:val="1"/>
    <w:link w:val="59"/>
    <w:unhideWhenUsed/>
    <w:qFormat/>
    <w:uiPriority w:val="99"/>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eastAsia="宋体" w:cs="Times New Roman"/>
      <w:szCs w:val="24"/>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eastAsia="宋体" w:cs="Calibri"/>
      <w:b/>
      <w:bCs/>
      <w:caps/>
      <w:sz w:val="20"/>
      <w:szCs w:val="20"/>
    </w:rPr>
  </w:style>
  <w:style w:type="paragraph" w:styleId="34">
    <w:name w:val="toc 4"/>
    <w:basedOn w:val="1"/>
    <w:next w:val="1"/>
    <w:qFormat/>
    <w:uiPriority w:val="39"/>
    <w:pPr>
      <w:ind w:left="630"/>
      <w:jc w:val="left"/>
    </w:pPr>
    <w:rPr>
      <w:rFonts w:ascii="Calibri" w:hAnsi="Calibri" w:eastAsia="宋体" w:cs="Calibri"/>
      <w:sz w:val="18"/>
      <w:szCs w:val="18"/>
    </w:rPr>
  </w:style>
  <w:style w:type="paragraph" w:styleId="35">
    <w:name w:val="toc 6"/>
    <w:basedOn w:val="1"/>
    <w:next w:val="1"/>
    <w:qFormat/>
    <w:uiPriority w:val="39"/>
    <w:pPr>
      <w:ind w:left="1050"/>
      <w:jc w:val="left"/>
    </w:pPr>
    <w:rPr>
      <w:rFonts w:ascii="Calibri" w:hAnsi="Calibri" w:eastAsia="宋体" w:cs="Calibri"/>
      <w:sz w:val="18"/>
      <w:szCs w:val="18"/>
    </w:rPr>
  </w:style>
  <w:style w:type="paragraph" w:styleId="36">
    <w:name w:val="Body Text Indent 3"/>
    <w:basedOn w:val="1"/>
    <w:link w:val="80"/>
    <w:qFormat/>
    <w:uiPriority w:val="0"/>
    <w:pPr>
      <w:spacing w:after="120"/>
      <w:ind w:left="420" w:leftChars="200"/>
    </w:pPr>
    <w:rPr>
      <w:rFonts w:ascii="Calibri" w:hAnsi="Calibri" w:eastAsia="宋体" w:cs="Times New Roman"/>
      <w:kern w:val="0"/>
      <w:sz w:val="16"/>
      <w:szCs w:val="20"/>
    </w:rPr>
  </w:style>
  <w:style w:type="paragraph" w:styleId="37">
    <w:name w:val="toc 2"/>
    <w:basedOn w:val="1"/>
    <w:next w:val="1"/>
    <w:unhideWhenUsed/>
    <w:qFormat/>
    <w:uiPriority w:val="39"/>
    <w:pPr>
      <w:ind w:left="420" w:leftChars="200"/>
    </w:pPr>
    <w:rPr>
      <w:rFonts w:ascii="Times New Roman" w:hAnsi="Times New Roman" w:eastAsia="宋体" w:cs="Times New Roman"/>
      <w:szCs w:val="24"/>
    </w:rPr>
  </w:style>
  <w:style w:type="paragraph" w:styleId="38">
    <w:name w:val="toc 9"/>
    <w:basedOn w:val="1"/>
    <w:next w:val="1"/>
    <w:qFormat/>
    <w:uiPriority w:val="39"/>
    <w:pPr>
      <w:ind w:left="1680"/>
      <w:jc w:val="left"/>
    </w:pPr>
    <w:rPr>
      <w:rFonts w:ascii="Calibri" w:hAnsi="Calibri" w:eastAsia="宋体" w:cs="Calibri"/>
      <w:sz w:val="18"/>
      <w:szCs w:val="18"/>
    </w:rPr>
  </w:style>
  <w:style w:type="paragraph" w:styleId="39">
    <w:name w:val="Body Text 2"/>
    <w:basedOn w:val="1"/>
    <w:link w:val="81"/>
    <w:qFormat/>
    <w:uiPriority w:val="0"/>
    <w:pPr>
      <w:spacing w:after="120" w:line="480" w:lineRule="auto"/>
    </w:pPr>
    <w:rPr>
      <w:rFonts w:ascii="Times New Roman" w:hAnsi="Times New Roman" w:eastAsia="宋体" w:cs="Times New Roman"/>
      <w:kern w:val="0"/>
      <w:sz w:val="20"/>
      <w:szCs w:val="24"/>
      <w:lang w:val="zh-CN"/>
    </w:rPr>
  </w:style>
  <w:style w:type="paragraph" w:styleId="40">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2">
    <w:name w:val="Title"/>
    <w:basedOn w:val="1"/>
    <w:link w:val="83"/>
    <w:qFormat/>
    <w:uiPriority w:val="0"/>
    <w:pPr>
      <w:spacing w:before="240" w:after="60"/>
      <w:jc w:val="center"/>
      <w:outlineLvl w:val="0"/>
    </w:pPr>
    <w:rPr>
      <w:rFonts w:ascii="Arial" w:hAnsi="Arial" w:eastAsia="宋体" w:cs="Times New Roman"/>
      <w:b/>
      <w:bCs/>
      <w:kern w:val="0"/>
      <w:sz w:val="32"/>
      <w:szCs w:val="32"/>
      <w:lang w:val="zh-CN"/>
    </w:rPr>
  </w:style>
  <w:style w:type="paragraph" w:styleId="43">
    <w:name w:val="annotation subject"/>
    <w:basedOn w:val="16"/>
    <w:next w:val="16"/>
    <w:link w:val="84"/>
    <w:qFormat/>
    <w:uiPriority w:val="0"/>
    <w:rPr>
      <w:b/>
      <w:bCs/>
    </w:rPr>
  </w:style>
  <w:style w:type="paragraph" w:styleId="44">
    <w:name w:val="Body Text First Indent"/>
    <w:basedOn w:val="19"/>
    <w:link w:val="85"/>
    <w:qFormat/>
    <w:uiPriority w:val="0"/>
    <w:pPr>
      <w:pBdr>
        <w:top w:val="none" w:color="auto" w:sz="0" w:space="0"/>
      </w:pBdr>
      <w:spacing w:after="120"/>
      <w:ind w:firstLine="420" w:firstLineChars="100"/>
    </w:pPr>
    <w:rPr>
      <w:b w:val="0"/>
      <w:bCs w:val="0"/>
      <w:kern w:val="0"/>
      <w:sz w:val="20"/>
      <w:szCs w:val="20"/>
    </w:rPr>
  </w:style>
  <w:style w:type="paragraph" w:styleId="45">
    <w:name w:val="Body Text First Indent 2"/>
    <w:basedOn w:val="20"/>
    <w:next w:val="1"/>
    <w:link w:val="86"/>
    <w:qFormat/>
    <w:uiPriority w:val="0"/>
    <w:pPr>
      <w:spacing w:after="120"/>
      <w:ind w:left="420" w:leftChars="200" w:firstLine="420"/>
    </w:pPr>
    <w:rPr>
      <w:rFonts w:ascii="Times New Roman"/>
      <w:kern w:val="0"/>
      <w:sz w:val="20"/>
      <w:szCs w:val="24"/>
    </w:rPr>
  </w:style>
  <w:style w:type="table" w:styleId="47">
    <w:name w:val="Table Grid"/>
    <w:basedOn w:val="4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qFormat/>
    <w:uiPriority w:val="0"/>
  </w:style>
  <w:style w:type="character" w:styleId="51">
    <w:name w:val="FollowedHyperlink"/>
    <w:basedOn w:val="48"/>
    <w:semiHidden/>
    <w:unhideWhenUsed/>
    <w:qFormat/>
    <w:uiPriority w:val="99"/>
    <w:rPr>
      <w:color w:val="954F72" w:themeColor="followedHyperlink"/>
      <w:u w:val="single"/>
      <w14:textFill>
        <w14:solidFill>
          <w14:schemeClr w14:val="folHlink"/>
        </w14:solidFill>
      </w14:textFill>
    </w:rPr>
  </w:style>
  <w:style w:type="character" w:styleId="52">
    <w:name w:val="HTML Definition"/>
    <w:basedOn w:val="48"/>
    <w:semiHidden/>
    <w:unhideWhenUsed/>
    <w:qFormat/>
    <w:uiPriority w:val="99"/>
    <w:rPr>
      <w:i/>
      <w:iCs/>
    </w:rPr>
  </w:style>
  <w:style w:type="character" w:styleId="53">
    <w:name w:val="Hyperlink"/>
    <w:qFormat/>
    <w:uiPriority w:val="99"/>
    <w:rPr>
      <w:color w:val="0000FF"/>
      <w:u w:val="single"/>
    </w:rPr>
  </w:style>
  <w:style w:type="character" w:styleId="54">
    <w:name w:val="HTML Code"/>
    <w:basedOn w:val="48"/>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5">
    <w:name w:val="annotation reference"/>
    <w:qFormat/>
    <w:uiPriority w:val="0"/>
    <w:rPr>
      <w:sz w:val="21"/>
      <w:szCs w:val="21"/>
    </w:rPr>
  </w:style>
  <w:style w:type="character" w:styleId="56">
    <w:name w:val="HTML Keyboard"/>
    <w:basedOn w:val="48"/>
    <w:semiHidden/>
    <w:unhideWhenUsed/>
    <w:qFormat/>
    <w:uiPriority w:val="99"/>
    <w:rPr>
      <w:rFonts w:hint="default" w:ascii="Consolas" w:hAnsi="Consolas" w:eastAsia="Consolas" w:cs="Consolas"/>
      <w:color w:val="FFFFFF"/>
      <w:sz w:val="21"/>
      <w:szCs w:val="21"/>
      <w:shd w:val="clear" w:color="auto" w:fill="333333"/>
    </w:rPr>
  </w:style>
  <w:style w:type="character" w:styleId="57">
    <w:name w:val="HTML Sample"/>
    <w:basedOn w:val="48"/>
    <w:semiHidden/>
    <w:unhideWhenUsed/>
    <w:qFormat/>
    <w:uiPriority w:val="99"/>
    <w:rPr>
      <w:rFonts w:hint="default" w:ascii="Consolas" w:hAnsi="Consolas" w:eastAsia="Consolas" w:cs="Consolas"/>
      <w:sz w:val="21"/>
      <w:szCs w:val="21"/>
    </w:rPr>
  </w:style>
  <w:style w:type="character" w:customStyle="1" w:styleId="58">
    <w:name w:val="页眉 字符"/>
    <w:basedOn w:val="48"/>
    <w:link w:val="32"/>
    <w:qFormat/>
    <w:uiPriority w:val="0"/>
    <w:rPr>
      <w:sz w:val="18"/>
      <w:szCs w:val="18"/>
    </w:rPr>
  </w:style>
  <w:style w:type="character" w:customStyle="1" w:styleId="59">
    <w:name w:val="页脚 字符"/>
    <w:basedOn w:val="48"/>
    <w:link w:val="30"/>
    <w:qFormat/>
    <w:uiPriority w:val="99"/>
    <w:rPr>
      <w:sz w:val="18"/>
      <w:szCs w:val="18"/>
    </w:rPr>
  </w:style>
  <w:style w:type="character" w:customStyle="1" w:styleId="60">
    <w:name w:val="标题 1 字符"/>
    <w:basedOn w:val="48"/>
    <w:link w:val="2"/>
    <w:qFormat/>
    <w:uiPriority w:val="0"/>
    <w:rPr>
      <w:rFonts w:ascii="Times New Roman" w:hAnsi="Times New Roman" w:eastAsia="宋体" w:cs="Times New Roman"/>
      <w:b/>
      <w:bCs/>
      <w:kern w:val="44"/>
      <w:sz w:val="32"/>
      <w:szCs w:val="32"/>
      <w:lang w:val="zh-CN"/>
    </w:rPr>
  </w:style>
  <w:style w:type="character" w:customStyle="1" w:styleId="61">
    <w:name w:val="标题 2 字符"/>
    <w:basedOn w:val="48"/>
    <w:link w:val="3"/>
    <w:qFormat/>
    <w:uiPriority w:val="0"/>
    <w:rPr>
      <w:rFonts w:ascii="Cambria" w:hAnsi="Cambria" w:eastAsia="宋体" w:cs="Times New Roman"/>
      <w:b/>
      <w:bCs/>
      <w:kern w:val="0"/>
      <w:sz w:val="30"/>
      <w:szCs w:val="30"/>
      <w:lang w:val="zh-CN"/>
    </w:rPr>
  </w:style>
  <w:style w:type="paragraph" w:customStyle="1" w:styleId="62">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3">
    <w:name w:val="标题 4 字符"/>
    <w:basedOn w:val="48"/>
    <w:link w:val="5"/>
    <w:qFormat/>
    <w:uiPriority w:val="0"/>
    <w:rPr>
      <w:rFonts w:ascii="宋体" w:hAnsi="宋体" w:eastAsia="宋体" w:cs="Times New Roman"/>
      <w:b/>
      <w:kern w:val="0"/>
      <w:sz w:val="24"/>
      <w:szCs w:val="24"/>
      <w:lang w:val="zh-CN"/>
    </w:rPr>
  </w:style>
  <w:style w:type="character" w:customStyle="1" w:styleId="64">
    <w:name w:val="标题 5 字符"/>
    <w:basedOn w:val="48"/>
    <w:link w:val="6"/>
    <w:qFormat/>
    <w:uiPriority w:val="0"/>
    <w:rPr>
      <w:rFonts w:ascii="Arial" w:hAnsi="Arial" w:eastAsia="宋体" w:cs="Times New Roman"/>
      <w:sz w:val="24"/>
      <w:szCs w:val="24"/>
    </w:rPr>
  </w:style>
  <w:style w:type="character" w:customStyle="1" w:styleId="65">
    <w:name w:val="标题 6 字符"/>
    <w:basedOn w:val="48"/>
    <w:link w:val="8"/>
    <w:qFormat/>
    <w:uiPriority w:val="0"/>
    <w:rPr>
      <w:rFonts w:ascii="Arial" w:hAnsi="Arial" w:eastAsia="黑体" w:cs="Times New Roman"/>
      <w:b/>
      <w:bCs/>
      <w:sz w:val="24"/>
      <w:szCs w:val="24"/>
    </w:rPr>
  </w:style>
  <w:style w:type="character" w:customStyle="1" w:styleId="66">
    <w:name w:val="标题 7 字符"/>
    <w:basedOn w:val="48"/>
    <w:link w:val="9"/>
    <w:qFormat/>
    <w:uiPriority w:val="0"/>
    <w:rPr>
      <w:rFonts w:ascii="Times New Roman" w:hAnsi="Times New Roman" w:eastAsia="宋体" w:cs="Times New Roman"/>
      <w:b/>
      <w:sz w:val="24"/>
      <w:szCs w:val="20"/>
    </w:rPr>
  </w:style>
  <w:style w:type="character" w:customStyle="1" w:styleId="67">
    <w:name w:val="标题 8 字符"/>
    <w:basedOn w:val="48"/>
    <w:link w:val="10"/>
    <w:qFormat/>
    <w:uiPriority w:val="0"/>
    <w:rPr>
      <w:rFonts w:ascii="Arial" w:hAnsi="Arial" w:eastAsia="黑体" w:cs="Times New Roman"/>
      <w:sz w:val="24"/>
      <w:szCs w:val="20"/>
    </w:rPr>
  </w:style>
  <w:style w:type="character" w:customStyle="1" w:styleId="68">
    <w:name w:val="标题 9 字符"/>
    <w:basedOn w:val="48"/>
    <w:link w:val="11"/>
    <w:qFormat/>
    <w:uiPriority w:val="0"/>
    <w:rPr>
      <w:rFonts w:ascii="Arial" w:hAnsi="Arial" w:eastAsia="黑体" w:cs="Times New Roman"/>
      <w:szCs w:val="20"/>
    </w:rPr>
  </w:style>
  <w:style w:type="character" w:customStyle="1" w:styleId="69">
    <w:name w:val="标题 3 字符"/>
    <w:basedOn w:val="48"/>
    <w:link w:val="4"/>
    <w:qFormat/>
    <w:uiPriority w:val="0"/>
    <w:rPr>
      <w:rFonts w:ascii="宋体" w:hAnsi="宋体" w:eastAsia="宋体"/>
      <w:b/>
      <w:bCs/>
      <w:spacing w:val="1"/>
      <w:sz w:val="28"/>
      <w:szCs w:val="32"/>
      <w:lang w:val="zh-CN"/>
    </w:rPr>
  </w:style>
  <w:style w:type="character" w:customStyle="1" w:styleId="70">
    <w:name w:val="文档结构图 字符"/>
    <w:basedOn w:val="48"/>
    <w:link w:val="15"/>
    <w:qFormat/>
    <w:uiPriority w:val="0"/>
    <w:rPr>
      <w:rFonts w:ascii="宋体" w:hAnsi="Times New Roman" w:eastAsia="宋体" w:cs="Times New Roman"/>
      <w:kern w:val="0"/>
      <w:sz w:val="18"/>
      <w:szCs w:val="18"/>
      <w:lang w:val="zh-CN"/>
    </w:rPr>
  </w:style>
  <w:style w:type="character" w:customStyle="1" w:styleId="71">
    <w:name w:val="批注文字 字符"/>
    <w:basedOn w:val="48"/>
    <w:link w:val="16"/>
    <w:qFormat/>
    <w:uiPriority w:val="0"/>
    <w:rPr>
      <w:rFonts w:ascii="Times New Roman" w:hAnsi="Times New Roman" w:eastAsia="宋体" w:cs="Times New Roman"/>
      <w:szCs w:val="24"/>
      <w:lang w:val="zh-CN"/>
    </w:rPr>
  </w:style>
  <w:style w:type="character" w:customStyle="1" w:styleId="72">
    <w:name w:val="称呼 字符"/>
    <w:basedOn w:val="48"/>
    <w:link w:val="17"/>
    <w:qFormat/>
    <w:uiPriority w:val="0"/>
    <w:rPr>
      <w:rFonts w:ascii="Calibri" w:hAnsi="Calibri" w:eastAsia="宋体" w:cs="Times New Roman"/>
      <w:kern w:val="0"/>
      <w:sz w:val="32"/>
      <w:szCs w:val="24"/>
    </w:rPr>
  </w:style>
  <w:style w:type="character" w:customStyle="1" w:styleId="73">
    <w:name w:val="正文文本 3 字符"/>
    <w:basedOn w:val="48"/>
    <w:link w:val="18"/>
    <w:qFormat/>
    <w:uiPriority w:val="0"/>
    <w:rPr>
      <w:rFonts w:ascii="Times New Roman" w:hAnsi="Times New Roman" w:eastAsia="宋体" w:cs="Times New Roman"/>
      <w:kern w:val="0"/>
      <w:sz w:val="16"/>
      <w:szCs w:val="16"/>
      <w:lang w:val="zh-CN"/>
    </w:rPr>
  </w:style>
  <w:style w:type="character" w:customStyle="1" w:styleId="74">
    <w:name w:val="正文文本 字符"/>
    <w:basedOn w:val="48"/>
    <w:link w:val="19"/>
    <w:qFormat/>
    <w:uiPriority w:val="99"/>
    <w:rPr>
      <w:rFonts w:ascii="Times New Roman" w:hAnsi="Times New Roman" w:eastAsia="宋体" w:cs="Times New Roman"/>
      <w:b/>
      <w:bCs/>
      <w:szCs w:val="24"/>
    </w:rPr>
  </w:style>
  <w:style w:type="character" w:customStyle="1" w:styleId="75">
    <w:name w:val="正文文本缩进 字符"/>
    <w:basedOn w:val="48"/>
    <w:link w:val="20"/>
    <w:qFormat/>
    <w:uiPriority w:val="0"/>
    <w:rPr>
      <w:rFonts w:ascii="宋体" w:hAnsi="Times New Roman" w:eastAsia="宋体" w:cs="Times New Roman"/>
      <w:sz w:val="30"/>
      <w:szCs w:val="20"/>
      <w:lang w:val="zh-CN"/>
    </w:rPr>
  </w:style>
  <w:style w:type="character" w:customStyle="1" w:styleId="76">
    <w:name w:val="纯文本 字符"/>
    <w:basedOn w:val="48"/>
    <w:link w:val="24"/>
    <w:qFormat/>
    <w:uiPriority w:val="0"/>
    <w:rPr>
      <w:rFonts w:ascii="宋体" w:hAnsi="Courier New" w:eastAsia="宋体" w:cs="Times New Roman"/>
      <w:szCs w:val="20"/>
      <w:lang w:val="zh-CN"/>
    </w:rPr>
  </w:style>
  <w:style w:type="character" w:customStyle="1" w:styleId="77">
    <w:name w:val="日期 字符"/>
    <w:basedOn w:val="48"/>
    <w:link w:val="26"/>
    <w:qFormat/>
    <w:uiPriority w:val="0"/>
    <w:rPr>
      <w:rFonts w:ascii="Calibri" w:hAnsi="Calibri" w:eastAsia="宋体" w:cs="Times New Roman"/>
      <w:kern w:val="0"/>
      <w:sz w:val="20"/>
      <w:szCs w:val="24"/>
    </w:rPr>
  </w:style>
  <w:style w:type="character" w:customStyle="1" w:styleId="78">
    <w:name w:val="正文文本缩进 2 字符"/>
    <w:basedOn w:val="48"/>
    <w:link w:val="27"/>
    <w:qFormat/>
    <w:uiPriority w:val="0"/>
    <w:rPr>
      <w:rFonts w:ascii="Times New Roman" w:hAnsi="Times New Roman" w:eastAsia="Courier New" w:cs="Times New Roman"/>
      <w:kern w:val="0"/>
      <w:sz w:val="20"/>
      <w:szCs w:val="20"/>
      <w:lang w:val="zh-CN"/>
    </w:rPr>
  </w:style>
  <w:style w:type="character" w:customStyle="1" w:styleId="79">
    <w:name w:val="批注框文本 字符"/>
    <w:basedOn w:val="48"/>
    <w:link w:val="29"/>
    <w:qFormat/>
    <w:uiPriority w:val="0"/>
    <w:rPr>
      <w:rFonts w:ascii="Times New Roman" w:hAnsi="Times New Roman" w:eastAsia="宋体" w:cs="Times New Roman"/>
      <w:sz w:val="18"/>
      <w:szCs w:val="18"/>
      <w:lang w:val="zh-CN"/>
    </w:rPr>
  </w:style>
  <w:style w:type="character" w:customStyle="1" w:styleId="80">
    <w:name w:val="正文文本缩进 3 字符"/>
    <w:basedOn w:val="48"/>
    <w:link w:val="36"/>
    <w:qFormat/>
    <w:uiPriority w:val="0"/>
    <w:rPr>
      <w:rFonts w:ascii="Calibri" w:hAnsi="Calibri" w:eastAsia="宋体" w:cs="Times New Roman"/>
      <w:kern w:val="0"/>
      <w:sz w:val="16"/>
      <w:szCs w:val="20"/>
    </w:rPr>
  </w:style>
  <w:style w:type="character" w:customStyle="1" w:styleId="81">
    <w:name w:val="正文文本 2 字符"/>
    <w:basedOn w:val="48"/>
    <w:link w:val="39"/>
    <w:qFormat/>
    <w:uiPriority w:val="0"/>
    <w:rPr>
      <w:rFonts w:ascii="Times New Roman" w:hAnsi="Times New Roman" w:eastAsia="宋体" w:cs="Times New Roman"/>
      <w:kern w:val="0"/>
      <w:sz w:val="20"/>
      <w:szCs w:val="24"/>
      <w:lang w:val="zh-CN"/>
    </w:rPr>
  </w:style>
  <w:style w:type="character" w:customStyle="1" w:styleId="82">
    <w:name w:val="HTML 预设格式 字符"/>
    <w:basedOn w:val="48"/>
    <w:link w:val="40"/>
    <w:qFormat/>
    <w:uiPriority w:val="0"/>
    <w:rPr>
      <w:rFonts w:ascii="Calibri" w:hAnsi="Calibri" w:eastAsia="宋体" w:cs="Times New Roman"/>
      <w:kern w:val="0"/>
      <w:sz w:val="20"/>
      <w:szCs w:val="21"/>
    </w:rPr>
  </w:style>
  <w:style w:type="character" w:customStyle="1" w:styleId="83">
    <w:name w:val="标题 字符"/>
    <w:basedOn w:val="48"/>
    <w:link w:val="42"/>
    <w:qFormat/>
    <w:uiPriority w:val="0"/>
    <w:rPr>
      <w:rFonts w:ascii="Arial" w:hAnsi="Arial" w:eastAsia="宋体" w:cs="Times New Roman"/>
      <w:b/>
      <w:bCs/>
      <w:kern w:val="0"/>
      <w:sz w:val="32"/>
      <w:szCs w:val="32"/>
      <w:lang w:val="zh-CN"/>
    </w:rPr>
  </w:style>
  <w:style w:type="character" w:customStyle="1" w:styleId="84">
    <w:name w:val="批注主题 字符"/>
    <w:basedOn w:val="71"/>
    <w:link w:val="43"/>
    <w:qFormat/>
    <w:uiPriority w:val="0"/>
    <w:rPr>
      <w:rFonts w:ascii="Times New Roman" w:hAnsi="Times New Roman" w:eastAsia="宋体" w:cs="Times New Roman"/>
      <w:b/>
      <w:bCs/>
      <w:szCs w:val="24"/>
      <w:lang w:val="zh-CN"/>
    </w:rPr>
  </w:style>
  <w:style w:type="character" w:customStyle="1" w:styleId="85">
    <w:name w:val="正文首行缩进 字符"/>
    <w:basedOn w:val="74"/>
    <w:link w:val="44"/>
    <w:qFormat/>
    <w:uiPriority w:val="0"/>
    <w:rPr>
      <w:rFonts w:ascii="Times New Roman" w:hAnsi="Times New Roman" w:eastAsia="宋体" w:cs="Times New Roman"/>
      <w:b w:val="0"/>
      <w:bCs w:val="0"/>
      <w:kern w:val="0"/>
      <w:sz w:val="20"/>
      <w:szCs w:val="20"/>
    </w:rPr>
  </w:style>
  <w:style w:type="character" w:customStyle="1" w:styleId="86">
    <w:name w:val="正文首行缩进 2 字符"/>
    <w:basedOn w:val="75"/>
    <w:link w:val="45"/>
    <w:qFormat/>
    <w:uiPriority w:val="0"/>
    <w:rPr>
      <w:rFonts w:ascii="Times New Roman" w:hAnsi="Times New Roman" w:eastAsia="宋体" w:cs="Times New Roman"/>
      <w:kern w:val="0"/>
      <w:sz w:val="20"/>
      <w:szCs w:val="24"/>
      <w:lang w:val="zh-CN"/>
    </w:rPr>
  </w:style>
  <w:style w:type="character" w:customStyle="1" w:styleId="87">
    <w:name w:val="访问过的超链接1"/>
    <w:basedOn w:val="48"/>
    <w:semiHidden/>
    <w:unhideWhenUsed/>
    <w:qFormat/>
    <w:uiPriority w:val="99"/>
    <w:rPr>
      <w:color w:val="800080"/>
      <w:u w:val="single"/>
    </w:rPr>
  </w:style>
  <w:style w:type="character" w:customStyle="1" w:styleId="88">
    <w:name w:val="正文缩进 字符"/>
    <w:link w:val="7"/>
    <w:qFormat/>
    <w:uiPriority w:val="0"/>
    <w:rPr>
      <w:rFonts w:ascii="Times New Roman" w:hAnsi="Times New Roman" w:eastAsia="宋体" w:cs="Times New Roman"/>
      <w:szCs w:val="24"/>
    </w:rPr>
  </w:style>
  <w:style w:type="paragraph" w:customStyle="1" w:styleId="89">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插图名称 Char Char"/>
    <w:link w:val="91"/>
    <w:qFormat/>
    <w:uiPriority w:val="0"/>
    <w:rPr>
      <w:rFonts w:eastAsia="Times New Roman"/>
      <w:szCs w:val="24"/>
    </w:rPr>
  </w:style>
  <w:style w:type="paragraph" w:customStyle="1" w:styleId="91">
    <w:name w:val="插图名称"/>
    <w:link w:val="90"/>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2">
    <w:name w:val="表格文字 Char"/>
    <w:qFormat/>
    <w:uiPriority w:val="0"/>
    <w:rPr>
      <w:rFonts w:ascii="宋体" w:hAnsi="Courier New"/>
    </w:rPr>
  </w:style>
  <w:style w:type="character" w:customStyle="1" w:styleId="93">
    <w:name w:val="19"/>
    <w:qFormat/>
    <w:uiPriority w:val="0"/>
    <w:rPr>
      <w:rFonts w:hint="default" w:ascii="Calibri" w:hAnsi="Calibri" w:cs="Calibri"/>
      <w:b/>
      <w:bCs/>
      <w:kern w:val="44"/>
      <w:sz w:val="44"/>
      <w:szCs w:val="44"/>
    </w:rPr>
  </w:style>
  <w:style w:type="character" w:customStyle="1" w:styleId="94">
    <w:name w:val="17"/>
    <w:qFormat/>
    <w:uiPriority w:val="0"/>
    <w:rPr>
      <w:rFonts w:hint="default" w:ascii="Calibri" w:hAnsi="Calibri" w:cs="Calibri"/>
    </w:rPr>
  </w:style>
  <w:style w:type="character" w:customStyle="1" w:styleId="95">
    <w:name w:val="Char Char10"/>
    <w:qFormat/>
    <w:uiPriority w:val="0"/>
    <w:rPr>
      <w:rFonts w:ascii="宋体" w:hAnsi="Courier New" w:eastAsia="宋体" w:cs="Times New Roman"/>
      <w:szCs w:val="20"/>
    </w:rPr>
  </w:style>
  <w:style w:type="character" w:customStyle="1" w:styleId="96">
    <w:name w:val="3eee Char Char"/>
    <w:link w:val="97"/>
    <w:qFormat/>
    <w:uiPriority w:val="0"/>
    <w:rPr>
      <w:rFonts w:ascii="Courier New" w:hAnsi="Courier New" w:eastAsia="Courier New"/>
      <w:sz w:val="24"/>
      <w:szCs w:val="24"/>
    </w:rPr>
  </w:style>
  <w:style w:type="paragraph" w:customStyle="1" w:styleId="97">
    <w:name w:val="3eee"/>
    <w:basedOn w:val="1"/>
    <w:link w:val="96"/>
    <w:qFormat/>
    <w:uiPriority w:val="0"/>
    <w:pPr>
      <w:spacing w:line="440" w:lineRule="exact"/>
      <w:ind w:firstLine="480" w:firstLineChars="200"/>
    </w:pPr>
    <w:rPr>
      <w:rFonts w:ascii="Courier New" w:hAnsi="Courier New" w:eastAsia="Courier New"/>
      <w:sz w:val="24"/>
      <w:szCs w:val="24"/>
    </w:rPr>
  </w:style>
  <w:style w:type="character" w:customStyle="1" w:styleId="98">
    <w:name w:val="样式 宋体 小四 Char Char"/>
    <w:link w:val="99"/>
    <w:qFormat/>
    <w:uiPriority w:val="0"/>
    <w:rPr>
      <w:rFonts w:ascii="Courier New" w:hAnsi="Courier New" w:eastAsia="Courier New"/>
      <w:sz w:val="24"/>
    </w:rPr>
  </w:style>
  <w:style w:type="paragraph" w:customStyle="1" w:styleId="99">
    <w:name w:val="样式 宋体 小四"/>
    <w:basedOn w:val="1"/>
    <w:link w:val="98"/>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100">
    <w:name w:val="Default Paragraph Font New"/>
    <w:qFormat/>
    <w:uiPriority w:val="0"/>
    <w:rPr>
      <w:rFonts w:hint="default"/>
    </w:rPr>
  </w:style>
  <w:style w:type="character" w:customStyle="1" w:styleId="101">
    <w:name w:val="文一 Char Char"/>
    <w:link w:val="102"/>
    <w:qFormat/>
    <w:uiPriority w:val="0"/>
    <w:rPr>
      <w:spacing w:val="4"/>
      <w:sz w:val="24"/>
      <w:szCs w:val="24"/>
    </w:rPr>
  </w:style>
  <w:style w:type="paragraph" w:customStyle="1" w:styleId="102">
    <w:name w:val="文一"/>
    <w:basedOn w:val="1"/>
    <w:link w:val="101"/>
    <w:qFormat/>
    <w:uiPriority w:val="0"/>
    <w:pPr>
      <w:topLinePunct/>
      <w:adjustRightInd w:val="0"/>
      <w:snapToGrid w:val="0"/>
      <w:spacing w:line="360" w:lineRule="auto"/>
      <w:ind w:firstLine="200" w:firstLineChars="200"/>
    </w:pPr>
    <w:rPr>
      <w:spacing w:val="4"/>
      <w:sz w:val="24"/>
      <w:szCs w:val="24"/>
    </w:rPr>
  </w:style>
  <w:style w:type="character" w:customStyle="1" w:styleId="103">
    <w:name w:val="无间隔 Char Char"/>
    <w:link w:val="104"/>
    <w:qFormat/>
    <w:uiPriority w:val="0"/>
    <w:rPr>
      <w:szCs w:val="24"/>
    </w:rPr>
  </w:style>
  <w:style w:type="paragraph" w:customStyle="1" w:styleId="104">
    <w:name w:val="无间隔1"/>
    <w:link w:val="103"/>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5">
    <w:name w:val="18"/>
    <w:qFormat/>
    <w:uiPriority w:val="0"/>
    <w:rPr>
      <w:rFonts w:hint="default" w:ascii="Calibri" w:hAnsi="Calibri" w:cs="Calibri"/>
      <w:b/>
      <w:bCs/>
      <w:sz w:val="30"/>
      <w:szCs w:val="30"/>
    </w:rPr>
  </w:style>
  <w:style w:type="character" w:customStyle="1" w:styleId="106">
    <w:name w:val="16"/>
    <w:qFormat/>
    <w:uiPriority w:val="0"/>
    <w:rPr>
      <w:rFonts w:hint="default" w:ascii="Calibri" w:hAnsi="Calibri" w:cs="Calibri"/>
      <w:color w:val="0000FF"/>
      <w:u w:val="single"/>
    </w:rPr>
  </w:style>
  <w:style w:type="character" w:customStyle="1" w:styleId="107">
    <w:name w:val="样式3 Char Char"/>
    <w:link w:val="108"/>
    <w:qFormat/>
    <w:uiPriority w:val="0"/>
    <w:rPr>
      <w:rFonts w:eastAsia="Times New Roman"/>
      <w:b/>
      <w:sz w:val="24"/>
    </w:rPr>
  </w:style>
  <w:style w:type="paragraph" w:customStyle="1" w:styleId="108">
    <w:name w:val="样式3"/>
    <w:link w:val="107"/>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9">
    <w:name w:val="一级标题 Char Char"/>
    <w:link w:val="110"/>
    <w:qFormat/>
    <w:uiPriority w:val="0"/>
    <w:rPr>
      <w:b/>
      <w:sz w:val="30"/>
      <w:szCs w:val="30"/>
    </w:rPr>
  </w:style>
  <w:style w:type="paragraph" w:customStyle="1" w:styleId="110">
    <w:name w:val="一级标题"/>
    <w:basedOn w:val="1"/>
    <w:link w:val="109"/>
    <w:qFormat/>
    <w:uiPriority w:val="0"/>
    <w:pPr>
      <w:spacing w:line="360" w:lineRule="auto"/>
      <w:outlineLvl w:val="0"/>
    </w:pPr>
    <w:rPr>
      <w:b/>
      <w:sz w:val="30"/>
      <w:szCs w:val="30"/>
    </w:rPr>
  </w:style>
  <w:style w:type="character" w:customStyle="1" w:styleId="111">
    <w:name w:val="Default Paragraph Font New New New"/>
    <w:qFormat/>
    <w:uiPriority w:val="0"/>
    <w:rPr>
      <w:rFonts w:hint="default"/>
    </w:rPr>
  </w:style>
  <w:style w:type="character" w:customStyle="1" w:styleId="112">
    <w:name w:val="默认段落字体1"/>
    <w:qFormat/>
    <w:uiPriority w:val="0"/>
    <w:rPr>
      <w:rFonts w:hint="default"/>
    </w:rPr>
  </w:style>
  <w:style w:type="character" w:customStyle="1" w:styleId="113">
    <w:name w:val="正文(仿)首缩 Char"/>
    <w:link w:val="114"/>
    <w:qFormat/>
    <w:uiPriority w:val="0"/>
    <w:rPr>
      <w:rFonts w:ascii="仿宋_GB2312" w:eastAsia="仿宋_GB2312"/>
      <w:sz w:val="28"/>
    </w:rPr>
  </w:style>
  <w:style w:type="paragraph" w:customStyle="1" w:styleId="114">
    <w:name w:val="正文(仿)首缩"/>
    <w:basedOn w:val="1"/>
    <w:link w:val="113"/>
    <w:qFormat/>
    <w:uiPriority w:val="0"/>
    <w:pPr>
      <w:ind w:firstLine="554" w:firstLineChars="200"/>
    </w:pPr>
    <w:rPr>
      <w:rFonts w:ascii="仿宋_GB2312" w:eastAsia="仿宋_GB2312"/>
      <w:sz w:val="28"/>
    </w:rPr>
  </w:style>
  <w:style w:type="character" w:customStyle="1" w:styleId="115">
    <w:name w:val="表格00 Char1"/>
    <w:link w:val="116"/>
    <w:qFormat/>
    <w:uiPriority w:val="0"/>
    <w:rPr>
      <w:rFonts w:eastAsia="Times New Roman"/>
      <w:szCs w:val="21"/>
    </w:rPr>
  </w:style>
  <w:style w:type="paragraph" w:customStyle="1" w:styleId="116">
    <w:name w:val="表格00"/>
    <w:link w:val="115"/>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7">
    <w:name w:val="样式 小四 首行缩进:  0.85 厘米 行距: 1.5 倍行距 Char1"/>
    <w:link w:val="118"/>
    <w:qFormat/>
    <w:uiPriority w:val="0"/>
    <w:rPr>
      <w:rFonts w:ascii="Courier New" w:hAnsi="Courier New" w:eastAsia="Courier New"/>
      <w:bCs/>
      <w:sz w:val="24"/>
      <w:szCs w:val="28"/>
    </w:rPr>
  </w:style>
  <w:style w:type="paragraph" w:customStyle="1" w:styleId="118">
    <w:name w:val="样式 小四 首行缩进:  0.85 厘米 行距: 1.5 倍行距"/>
    <w:basedOn w:val="1"/>
    <w:next w:val="1"/>
    <w:link w:val="117"/>
    <w:qFormat/>
    <w:uiPriority w:val="0"/>
    <w:pPr>
      <w:spacing w:line="360" w:lineRule="auto"/>
      <w:ind w:firstLine="480"/>
    </w:pPr>
    <w:rPr>
      <w:rFonts w:ascii="Courier New" w:hAnsi="Courier New" w:eastAsia="Courier New"/>
      <w:bCs/>
      <w:sz w:val="24"/>
      <w:szCs w:val="28"/>
    </w:rPr>
  </w:style>
  <w:style w:type="character" w:customStyle="1" w:styleId="119">
    <w:name w:val="Default Paragraph Font New New"/>
    <w:qFormat/>
    <w:uiPriority w:val="0"/>
    <w:rPr>
      <w:rFonts w:hint="default"/>
    </w:rPr>
  </w:style>
  <w:style w:type="character" w:customStyle="1" w:styleId="120">
    <w:name w:val="泉州师院正文 Char Char"/>
    <w:link w:val="121"/>
    <w:qFormat/>
    <w:uiPriority w:val="0"/>
    <w:rPr>
      <w:sz w:val="24"/>
      <w:szCs w:val="24"/>
    </w:rPr>
  </w:style>
  <w:style w:type="paragraph" w:customStyle="1" w:styleId="121">
    <w:name w:val="泉州师院正文"/>
    <w:basedOn w:val="1"/>
    <w:link w:val="120"/>
    <w:qFormat/>
    <w:uiPriority w:val="0"/>
    <w:pPr>
      <w:spacing w:line="360" w:lineRule="auto"/>
      <w:ind w:firstLine="480" w:firstLineChars="200"/>
    </w:pPr>
    <w:rPr>
      <w:sz w:val="24"/>
      <w:szCs w:val="24"/>
    </w:rPr>
  </w:style>
  <w:style w:type="character" w:customStyle="1" w:styleId="122">
    <w:name w:val="10"/>
    <w:qFormat/>
    <w:uiPriority w:val="0"/>
    <w:rPr>
      <w:rFonts w:hint="default" w:ascii="Calibri" w:hAnsi="Calibri" w:cs="Calibri"/>
    </w:rPr>
  </w:style>
  <w:style w:type="character" w:customStyle="1" w:styleId="123">
    <w:name w:val="15"/>
    <w:qFormat/>
    <w:uiPriority w:val="0"/>
    <w:rPr>
      <w:rFonts w:hint="default" w:ascii="Calibri" w:hAnsi="Calibri" w:cs="Calibri"/>
      <w:color w:val="0000FF"/>
      <w:u w:val="single"/>
    </w:rPr>
  </w:style>
  <w:style w:type="paragraph" w:customStyle="1" w:styleId="124">
    <w:name w:val="Normal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25">
    <w:name w:val="正题"/>
    <w:basedOn w:val="102"/>
    <w:next w:val="102"/>
    <w:qFormat/>
    <w:uiPriority w:val="0"/>
    <w:pPr>
      <w:ind w:firstLine="0" w:firstLineChars="0"/>
      <w:jc w:val="center"/>
    </w:pPr>
    <w:rPr>
      <w:rFonts w:ascii="等线" w:hAnsi="等线" w:eastAsia="黑体"/>
      <w:b/>
      <w:snapToGrid w:val="0"/>
      <w:sz w:val="36"/>
      <w:szCs w:val="36"/>
    </w:rPr>
  </w:style>
  <w:style w:type="paragraph" w:customStyle="1" w:styleId="126">
    <w:name w:val="列出段落1"/>
    <w:basedOn w:val="1"/>
    <w:qFormat/>
    <w:uiPriority w:val="0"/>
    <w:pPr>
      <w:ind w:firstLine="420" w:firstLineChars="200"/>
    </w:pPr>
    <w:rPr>
      <w:rFonts w:ascii="Calibri" w:hAnsi="Calibri" w:eastAsia="宋体" w:cs="Times New Roman"/>
    </w:rPr>
  </w:style>
  <w:style w:type="paragraph" w:customStyle="1" w:styleId="12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8">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9">
    <w:name w:val="List Paragraph"/>
    <w:basedOn w:val="1"/>
    <w:qFormat/>
    <w:uiPriority w:val="0"/>
    <w:pPr>
      <w:ind w:firstLine="420" w:firstLineChars="200"/>
    </w:pPr>
    <w:rPr>
      <w:rFonts w:ascii="Times New Roman" w:hAnsi="Times New Roman" w:eastAsia="宋体" w:cs="Times New Roman"/>
      <w:szCs w:val="24"/>
    </w:rPr>
  </w:style>
  <w:style w:type="paragraph" w:customStyle="1" w:styleId="130">
    <w:name w:val="1eee"/>
    <w:basedOn w:val="2"/>
    <w:qFormat/>
    <w:uiPriority w:val="0"/>
    <w:rPr>
      <w:rFonts w:eastAsia="黑体" w:cs="宋体"/>
      <w:b w:val="0"/>
      <w:sz w:val="30"/>
    </w:rPr>
  </w:style>
  <w:style w:type="paragraph" w:customStyle="1" w:styleId="131">
    <w:name w:val="正文图标题"/>
    <w:next w:val="1"/>
    <w:qFormat/>
    <w:uiPriority w:val="0"/>
    <w:pPr>
      <w:tabs>
        <w:tab w:val="left" w:pos="420"/>
      </w:tabs>
      <w:ind w:left="567" w:hanging="279"/>
      <w:jc w:val="center"/>
    </w:pPr>
    <w:rPr>
      <w:rFonts w:ascii="黑体" w:hAnsi="Times New Roman" w:eastAsia="黑体" w:cs="Times New Roman"/>
      <w:kern w:val="0"/>
      <w:sz w:val="21"/>
      <w:szCs w:val="20"/>
      <w:lang w:val="en-US" w:eastAsia="zh-CN" w:bidi="ar-SA"/>
    </w:rPr>
  </w:style>
  <w:style w:type="paragraph" w:customStyle="1" w:styleId="132">
    <w:name w:val="文二"/>
    <w:basedOn w:val="1"/>
    <w:qFormat/>
    <w:uiPriority w:val="0"/>
    <w:pPr>
      <w:jc w:val="left"/>
    </w:pPr>
    <w:rPr>
      <w:rFonts w:ascii="宋体" w:hAnsi="宋体" w:eastAsia="宋体" w:cs="Times New Roman"/>
      <w:szCs w:val="21"/>
    </w:rPr>
  </w:style>
  <w:style w:type="paragraph" w:customStyle="1" w:styleId="133">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34">
    <w:name w:val="Normal New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5">
    <w:name w:val="发文落款"/>
    <w:basedOn w:val="133"/>
    <w:qFormat/>
    <w:uiPriority w:val="0"/>
    <w:pPr>
      <w:ind w:left="4094" w:right="607" w:firstLine="0"/>
      <w:jc w:val="center"/>
    </w:pPr>
  </w:style>
  <w:style w:type="paragraph" w:customStyle="1" w:styleId="136">
    <w:name w:val="封一"/>
    <w:basedOn w:val="102"/>
    <w:next w:val="102"/>
    <w:qFormat/>
    <w:uiPriority w:val="0"/>
    <w:pPr>
      <w:ind w:firstLine="0" w:firstLineChars="0"/>
      <w:jc w:val="center"/>
    </w:pPr>
    <w:rPr>
      <w:rFonts w:ascii="等线" w:hAnsi="等线" w:eastAsia="黑体"/>
      <w:b/>
      <w:snapToGrid w:val="0"/>
      <w:sz w:val="84"/>
      <w:szCs w:val="84"/>
    </w:rPr>
  </w:style>
  <w:style w:type="paragraph" w:customStyle="1" w:styleId="137">
    <w:name w:val="_Style 59"/>
    <w:qFormat/>
    <w:uiPriority w:val="0"/>
    <w:pPr>
      <w:spacing w:after="160" w:line="240" w:lineRule="exact"/>
    </w:pPr>
    <w:rPr>
      <w:rFonts w:ascii="Times New Roman" w:hAnsi="Times New Roman" w:eastAsia="宋体" w:cs="Times New Roman"/>
      <w:kern w:val="0"/>
      <w:sz w:val="20"/>
      <w:szCs w:val="20"/>
      <w:lang w:val="en-US" w:eastAsia="zh-CN" w:bidi="ar-SA"/>
    </w:rPr>
  </w:style>
  <w:style w:type="paragraph" w:customStyle="1" w:styleId="138">
    <w:name w:val="封四"/>
    <w:basedOn w:val="102"/>
    <w:next w:val="102"/>
    <w:qFormat/>
    <w:uiPriority w:val="0"/>
    <w:pPr>
      <w:jc w:val="left"/>
    </w:pPr>
    <w:rPr>
      <w:rFonts w:ascii="等线" w:hAnsi="等线" w:eastAsia="等线"/>
      <w:snapToGrid w:val="0"/>
      <w:sz w:val="30"/>
      <w:szCs w:val="30"/>
    </w:rPr>
  </w:style>
  <w:style w:type="paragraph" w:customStyle="1" w:styleId="139">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0">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41">
    <w:name w:val="Normal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2">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3">
    <w:name w:val="修订1"/>
    <w:qFormat/>
    <w:uiPriority w:val="0"/>
    <w:rPr>
      <w:rFonts w:ascii="Times New Roman" w:hAnsi="Times New Roman" w:eastAsia="宋体" w:cs="Times New Roman"/>
      <w:kern w:val="2"/>
      <w:sz w:val="21"/>
      <w:szCs w:val="24"/>
      <w:lang w:val="en-US" w:eastAsia="zh-CN" w:bidi="ar-SA"/>
    </w:rPr>
  </w:style>
  <w:style w:type="paragraph" w:customStyle="1" w:styleId="144">
    <w:name w:val="封二"/>
    <w:basedOn w:val="102"/>
    <w:next w:val="102"/>
    <w:qFormat/>
    <w:uiPriority w:val="0"/>
    <w:pPr>
      <w:ind w:firstLine="0" w:firstLineChars="0"/>
      <w:jc w:val="center"/>
    </w:pPr>
    <w:rPr>
      <w:rFonts w:ascii="等线" w:hAnsi="等线" w:eastAsia="黑体"/>
      <w:b/>
      <w:snapToGrid w:val="0"/>
      <w:sz w:val="36"/>
      <w:szCs w:val="36"/>
    </w:rPr>
  </w:style>
  <w:style w:type="paragraph" w:customStyle="1" w:styleId="145">
    <w:name w:val="样式 标题 3 + 首行缩进:  1.06 厘米"/>
    <w:basedOn w:val="4"/>
    <w:qFormat/>
    <w:uiPriority w:val="0"/>
  </w:style>
  <w:style w:type="paragraph" w:styleId="146">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9">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50">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1">
    <w:name w:val="Plain Text1"/>
    <w:basedOn w:val="1"/>
    <w:qFormat/>
    <w:uiPriority w:val="99"/>
    <w:rPr>
      <w:rFonts w:ascii="宋体" w:hAnsi="Courier New" w:eastAsia="宋体" w:cs="Times New Roman"/>
      <w:kern w:val="0"/>
      <w:sz w:val="20"/>
      <w:szCs w:val="20"/>
    </w:rPr>
  </w:style>
  <w:style w:type="character" w:styleId="152">
    <w:name w:val="Placeholder Text"/>
    <w:basedOn w:val="48"/>
    <w:semiHidden/>
    <w:qFormat/>
    <w:uiPriority w:val="99"/>
    <w:rPr>
      <w:color w:val="808080"/>
    </w:rPr>
  </w:style>
  <w:style w:type="paragraph" w:customStyle="1" w:styleId="153">
    <w:name w:val="p16"/>
    <w:basedOn w:val="1"/>
    <w:qFormat/>
    <w:uiPriority w:val="0"/>
    <w:pPr>
      <w:widowControl/>
    </w:pPr>
    <w:rPr>
      <w:rFonts w:ascii="Times New Roman" w:hAnsi="Times New Roman" w:eastAsia="宋体" w:cs="Times New Roman"/>
      <w:kern w:val="0"/>
      <w:sz w:val="32"/>
      <w:szCs w:val="32"/>
    </w:rPr>
  </w:style>
  <w:style w:type="character" w:customStyle="1" w:styleId="154">
    <w:name w:val="username"/>
    <w:basedOn w:val="48"/>
    <w:qFormat/>
    <w:uiPriority w:val="0"/>
  </w:style>
  <w:style w:type="character" w:customStyle="1" w:styleId="155">
    <w:name w:val="title26"/>
    <w:basedOn w:val="48"/>
    <w:qFormat/>
    <w:uiPriority w:val="0"/>
  </w:style>
  <w:style w:type="character" w:customStyle="1" w:styleId="156">
    <w:name w:val="font01"/>
    <w:qFormat/>
    <w:uiPriority w:val="0"/>
    <w:rPr>
      <w:rFonts w:hint="eastAsia" w:ascii="宋体" w:hAnsi="宋体" w:eastAsia="宋体" w:cs="宋体"/>
      <w:color w:val="000000"/>
      <w:sz w:val="21"/>
      <w:szCs w:val="21"/>
      <w:u w:val="none"/>
    </w:rPr>
  </w:style>
  <w:style w:type="paragraph" w:customStyle="1" w:styleId="15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title24"/>
    <w:basedOn w:val="48"/>
    <w:qFormat/>
    <w:uiPriority w:val="0"/>
  </w:style>
  <w:style w:type="paragraph" w:customStyle="1" w:styleId="159">
    <w:name w:val="正文 New New"/>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60">
    <w:name w:val="标题 3 字符1"/>
    <w:basedOn w:val="48"/>
    <w:semiHidden/>
    <w:qFormat/>
    <w:uiPriority w:val="9"/>
    <w:rPr>
      <w:b/>
      <w:bCs/>
      <w:sz w:val="32"/>
      <w:szCs w:val="32"/>
    </w:rPr>
  </w:style>
  <w:style w:type="character" w:customStyle="1" w:styleId="161">
    <w:name w:val="NormalCharacter"/>
    <w:qFormat/>
    <w:uiPriority w:val="0"/>
  </w:style>
  <w:style w:type="paragraph" w:customStyle="1" w:styleId="16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27017</Words>
  <Characters>28325</Characters>
  <Lines>232</Lines>
  <Paragraphs>65</Paragraphs>
  <TotalTime>1</TotalTime>
  <ScaleCrop>false</ScaleCrop>
  <LinksUpToDate>false</LinksUpToDate>
  <CharactersWithSpaces>29353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Admin</dc:creator>
  <cp:lastModifiedBy>h</cp:lastModifiedBy>
  <dcterms:modified xsi:type="dcterms:W3CDTF">2025-09-17T01:36:34Z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2052-12.1.0.22529</vt:lpwstr>
  </property>
  <property fmtid="{D5CDD505-2E9C-101B-9397-08002B2CF9AE}" pid="4" name="ICV">
    <vt:lpwstr>DCE436AFBBEF40D59526453C7D026A75_13</vt:lpwstr>
  </property>
</Properties>
</file>