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68B16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天河区金融城东区AT091415、</w:t>
      </w:r>
      <w:r>
        <w:rPr>
          <w:rFonts w:ascii="仿宋" w:hAnsi="仿宋" w:eastAsia="仿宋" w:cs="仿宋"/>
          <w:b/>
          <w:bCs/>
          <w:sz w:val="30"/>
          <w:szCs w:val="30"/>
        </w:rPr>
        <w:t>AT091417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地块</w:t>
      </w:r>
    </w:p>
    <w:p w14:paraId="41CDAF50">
      <w:pPr>
        <w:spacing w:line="360" w:lineRule="auto"/>
        <w:jc w:val="center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监理费采购控制价编制说明</w:t>
      </w:r>
    </w:p>
    <w:p w14:paraId="38C66E44">
      <w:pPr>
        <w:pStyle w:val="16"/>
        <w:spacing w:before="159" w:after="159" w:line="4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一、工程概况</w:t>
      </w:r>
    </w:p>
    <w:p w14:paraId="7FBB6378">
      <w:pPr>
        <w:pStyle w:val="2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1.工程名称：天河区金融城东区AT091415、</w:t>
      </w:r>
      <w:r>
        <w:rPr>
          <w:rFonts w:ascii="仿宋" w:hAnsi="仿宋" w:eastAsia="仿宋" w:cs="仿宋"/>
          <w:sz w:val="24"/>
          <w:szCs w:val="24"/>
        </w:rPr>
        <w:t>AT091417</w:t>
      </w:r>
      <w:r>
        <w:rPr>
          <w:rFonts w:hint="eastAsia" w:ascii="仿宋" w:hAnsi="仿宋" w:eastAsia="仿宋" w:cs="仿宋"/>
          <w:sz w:val="24"/>
          <w:szCs w:val="24"/>
        </w:rPr>
        <w:t>地块监理费</w:t>
      </w:r>
    </w:p>
    <w:p w14:paraId="02BBBE11">
      <w:pPr>
        <w:pStyle w:val="2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2.工程地点：天河区</w:t>
      </w:r>
    </w:p>
    <w:p w14:paraId="29D2BEE7">
      <w:pPr>
        <w:pStyle w:val="2"/>
        <w:numPr>
          <w:ilvl w:val="0"/>
          <w:numId w:val="1"/>
        </w:numPr>
        <w:spacing w:line="360" w:lineRule="auto"/>
        <w:rPr>
          <w:rFonts w:ascii="仿宋" w:hAnsi="仿宋" w:eastAsia="仿宋" w:cs="仿宋"/>
          <w:b/>
          <w:bCs/>
          <w:spacing w:val="4"/>
          <w:kern w:val="0"/>
        </w:rPr>
      </w:pPr>
      <w:r>
        <w:rPr>
          <w:rFonts w:hint="eastAsia" w:ascii="仿宋" w:hAnsi="仿宋" w:eastAsia="仿宋" w:cs="仿宋"/>
          <w:b/>
          <w:bCs/>
          <w:spacing w:val="4"/>
          <w:kern w:val="0"/>
        </w:rPr>
        <w:t>合同承包方式及施工内容界面</w:t>
      </w:r>
    </w:p>
    <w:p w14:paraId="48583DA4">
      <w:pPr>
        <w:pStyle w:val="17"/>
        <w:ind w:firstLine="480"/>
        <w:rPr>
          <w:rFonts w:ascii="仿宋" w:hAnsi="仿宋" w:eastAsia="仿宋" w:cs="仿宋"/>
          <w:snapToGrid/>
          <w:spacing w:val="0"/>
          <w:kern w:val="2"/>
        </w:rPr>
      </w:pPr>
      <w:r>
        <w:rPr>
          <w:rFonts w:hint="eastAsia" w:ascii="仿宋" w:hAnsi="仿宋" w:eastAsia="仿宋" w:cs="仿宋"/>
          <w:snapToGrid/>
          <w:spacing w:val="0"/>
          <w:kern w:val="2"/>
        </w:rPr>
        <w:t>1.采购范围：项目主体设计施工总承包工程施工准备阶段、施工阶段的质量控制、安全生产监督管理、进度控制、合同管理、信息收集管理、组织协调等全过程监理工作。</w:t>
      </w:r>
    </w:p>
    <w:p w14:paraId="4AE16432">
      <w:pPr>
        <w:pStyle w:val="17"/>
        <w:ind w:firstLine="480"/>
        <w:rPr>
          <w:rFonts w:ascii="仿宋" w:hAnsi="仿宋" w:eastAsia="仿宋" w:cs="仿宋"/>
          <w:snapToGrid/>
          <w:spacing w:val="0"/>
          <w:kern w:val="2"/>
        </w:rPr>
      </w:pPr>
      <w:r>
        <w:rPr>
          <w:rFonts w:hint="eastAsia" w:ascii="仿宋" w:hAnsi="仿宋" w:eastAsia="仿宋" w:cs="仿宋"/>
          <w:snapToGrid/>
          <w:spacing w:val="0"/>
          <w:kern w:val="2"/>
        </w:rPr>
        <w:t>2. 本项目综合单价包干，结算建筑面积以工程规划许可证面积为准。监理费包办理有关手续以及为完成合同约定工作范围内的一切费用，不论各项费用有无涨落，合同监理费单价均不再调整。如遇国家税收法律、法规或政策变化，导致增值税税率调整，双方一致同意不含税单价不作任何调整，增值税金额根据调整后的增值税税率进行调整；若非上述国家政策税率变化原因，增值税率不予调整。</w:t>
      </w:r>
    </w:p>
    <w:p w14:paraId="016B7096">
      <w:pPr>
        <w:pStyle w:val="16"/>
        <w:numPr>
          <w:ilvl w:val="0"/>
          <w:numId w:val="2"/>
        </w:numPr>
        <w:spacing w:before="159" w:after="159" w:line="440" w:lineRule="exact"/>
      </w:pPr>
      <w:r>
        <w:rPr>
          <w:rFonts w:hint="eastAsia" w:ascii="仿宋" w:hAnsi="仿宋" w:eastAsia="仿宋" w:cs="仿宋"/>
          <w:sz w:val="28"/>
          <w:szCs w:val="28"/>
        </w:rPr>
        <w:t>采购控制价编制依据</w:t>
      </w:r>
    </w:p>
    <w:p w14:paraId="38DE1F6E">
      <w:pPr>
        <w:pStyle w:val="16"/>
        <w:spacing w:before="159" w:after="159" w:line="440" w:lineRule="exact"/>
        <w:ind w:firstLine="480" w:firstLineChars="200"/>
        <w:rPr>
          <w:rFonts w:ascii="仿宋" w:hAnsi="仿宋" w:eastAsia="仿宋" w:cs="仿宋"/>
          <w:b w:val="0"/>
          <w:bCs w:val="0"/>
          <w:spacing w:val="0"/>
          <w:kern w:val="2"/>
        </w:rPr>
      </w:pP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根据金融城东区AT091415、</w:t>
      </w:r>
      <w:r>
        <w:rPr>
          <w:rFonts w:ascii="仿宋" w:hAnsi="仿宋" w:eastAsia="仿宋" w:cs="仿宋"/>
          <w:b w:val="0"/>
          <w:bCs w:val="0"/>
          <w:spacing w:val="0"/>
          <w:kern w:val="2"/>
        </w:rPr>
        <w:t>AT091417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地块监理招标控制价请示，监理费拟按35元/㎡（不含投资控制）编制控制价，本项目暂定面积136,810.95平方米，控制价金额136,810.95</w:t>
      </w:r>
      <w:r>
        <w:rPr>
          <w:rFonts w:hint="eastAsia" w:asciiTheme="majorEastAsia" w:hAnsiTheme="majorEastAsia" w:eastAsiaTheme="majorEastAsia" w:cstheme="majorEastAsia"/>
          <w:b w:val="0"/>
          <w:bCs w:val="0"/>
          <w:spacing w:val="0"/>
          <w:kern w:val="2"/>
        </w:rPr>
        <w:t>×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35=4,788,383.32元。根据项目情况工作安排，监理招标控制价分为基坑及土石方开挖工程及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  <w:lang w:val="en-US" w:eastAsia="zh-CN"/>
        </w:rPr>
        <w:t>主体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两部分，其中基坑及土石方开挖工程监理费</w:t>
      </w:r>
      <w:r>
        <w:rPr>
          <w:rFonts w:ascii="仿宋" w:hAnsi="仿宋" w:eastAsia="仿宋" w:cs="仿宋"/>
          <w:b w:val="0"/>
          <w:bCs w:val="0"/>
          <w:spacing w:val="0"/>
          <w:kern w:val="2"/>
        </w:rPr>
        <w:t>335,186.83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元，折算单方为2.45元/m2，</w:t>
      </w:r>
      <w:r>
        <w:rPr>
          <w:rFonts w:hint="eastAsia" w:ascii="仿宋" w:hAnsi="仿宋" w:eastAsia="仿宋" w:cs="仿宋"/>
        </w:rPr>
        <w:t>主体监理单方拟按3</w:t>
      </w:r>
      <w:r>
        <w:rPr>
          <w:rFonts w:ascii="仿宋" w:hAnsi="仿宋" w:eastAsia="仿宋" w:cs="仿宋"/>
        </w:rPr>
        <w:t>1.85</w:t>
      </w:r>
      <w:r>
        <w:rPr>
          <w:rFonts w:hint="eastAsia" w:ascii="仿宋" w:hAnsi="仿宋" w:eastAsia="仿宋" w:cs="仿宋"/>
        </w:rPr>
        <w:t>元/m2，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136,810.95</w:t>
      </w:r>
      <w:r>
        <w:rPr>
          <w:rFonts w:hint="eastAsia" w:asciiTheme="majorEastAsia" w:hAnsiTheme="majorEastAsia" w:eastAsiaTheme="majorEastAsia" w:cstheme="majorEastAsia"/>
          <w:b w:val="0"/>
          <w:bCs w:val="0"/>
          <w:spacing w:val="0"/>
          <w:kern w:val="2"/>
        </w:rPr>
        <w:t>×</w:t>
      </w:r>
      <w:r>
        <w:rPr>
          <w:rFonts w:hint="eastAsia" w:ascii="仿宋" w:hAnsi="仿宋" w:eastAsia="仿宋" w:cs="仿宋"/>
        </w:rPr>
        <w:t>3</w:t>
      </w:r>
      <w:r>
        <w:rPr>
          <w:rFonts w:ascii="仿宋" w:hAnsi="仿宋" w:eastAsia="仿宋" w:cs="仿宋"/>
        </w:rPr>
        <w:t>1.85</w:t>
      </w:r>
      <w:r>
        <w:rPr>
          <w:rFonts w:hint="eastAsia" w:ascii="仿宋" w:hAnsi="仿宋" w:eastAsia="仿宋" w:cs="仿宋"/>
        </w:rPr>
        <w:t>=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4,</w:t>
      </w:r>
      <w:r>
        <w:rPr>
          <w:rFonts w:ascii="仿宋" w:hAnsi="仿宋" w:eastAsia="仿宋" w:cs="仿宋"/>
          <w:b w:val="0"/>
          <w:bCs w:val="0"/>
          <w:spacing w:val="0"/>
          <w:kern w:val="2"/>
        </w:rPr>
        <w:t>357,428.76</w:t>
      </w:r>
      <w:r>
        <w:rPr>
          <w:rFonts w:hint="eastAsia" w:ascii="仿宋" w:hAnsi="仿宋" w:eastAsia="仿宋" w:cs="仿宋"/>
          <w:b w:val="0"/>
          <w:bCs w:val="0"/>
          <w:spacing w:val="0"/>
          <w:kern w:val="2"/>
        </w:rPr>
        <w:t>元编制采购控制价。</w:t>
      </w:r>
      <w:bookmarkStart w:id="0" w:name="_GoBack"/>
      <w:bookmarkEnd w:id="0"/>
    </w:p>
    <w:p w14:paraId="7BF50C5F">
      <w:pPr>
        <w:pStyle w:val="16"/>
        <w:spacing w:before="159" w:after="159" w:line="440" w:lineRule="exact"/>
      </w:pPr>
      <w:r>
        <w:rPr>
          <w:rFonts w:hint="eastAsia" w:ascii="仿宋" w:hAnsi="仿宋" w:eastAsia="仿宋" w:cs="仿宋"/>
          <w:sz w:val="28"/>
          <w:szCs w:val="28"/>
        </w:rPr>
        <w:t>四、采购控制价建议</w:t>
      </w:r>
    </w:p>
    <w:p w14:paraId="29EB6FF3">
      <w:pPr>
        <w:spacing w:line="360" w:lineRule="auto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综合上述原因，本项目建议采购控制价含税价¥</w:t>
      </w:r>
      <w:r>
        <w:rPr>
          <w:rFonts w:ascii="仿宋" w:hAnsi="仿宋" w:eastAsia="仿宋" w:cs="仿宋"/>
          <w:kern w:val="0"/>
          <w:sz w:val="24"/>
          <w:szCs w:val="24"/>
          <w:u w:val="single"/>
        </w:rPr>
        <w:t>4,357,428.76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元,不含税价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>¥</w:t>
      </w:r>
      <w:r>
        <w:rPr>
          <w:rFonts w:ascii="仿宋" w:hAnsi="仿宋" w:eastAsia="仿宋" w:cs="仿宋"/>
          <w:kern w:val="0"/>
          <w:sz w:val="24"/>
          <w:szCs w:val="24"/>
          <w:u w:val="single"/>
        </w:rPr>
        <w:t>4,110,781.85</w:t>
      </w:r>
      <w:r>
        <w:rPr>
          <w:rFonts w:hint="eastAsia" w:ascii="仿宋" w:hAnsi="仿宋" w:eastAsia="仿宋" w:cs="仿宋"/>
          <w:kern w:val="0"/>
          <w:sz w:val="24"/>
          <w:szCs w:val="24"/>
        </w:rPr>
        <w:t>元，增值税税率按</w:t>
      </w:r>
      <w:r>
        <w:rPr>
          <w:rFonts w:ascii="仿宋" w:hAnsi="仿宋" w:eastAsia="仿宋" w:cs="仿宋"/>
          <w:kern w:val="0"/>
          <w:sz w:val="24"/>
          <w:szCs w:val="24"/>
        </w:rPr>
        <w:t>6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%计取。 </w:t>
      </w:r>
    </w:p>
    <w:p w14:paraId="57054F11">
      <w:pPr>
        <w:widowControl/>
        <w:spacing w:line="460" w:lineRule="exact"/>
        <w:ind w:left="5039" w:leftChars="114" w:hanging="4800" w:hangingChars="20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                                               广州珠建工程造价咨询有限公司</w:t>
      </w:r>
    </w:p>
    <w:p w14:paraId="5C48BFDB">
      <w:pPr>
        <w:widowControl/>
        <w:spacing w:line="460" w:lineRule="exact"/>
        <w:jc w:val="center"/>
      </w:pPr>
      <w:r>
        <w:rPr>
          <w:rFonts w:hint="eastAsia" w:ascii="仿宋" w:hAnsi="仿宋" w:eastAsia="仿宋" w:cs="仿宋"/>
          <w:sz w:val="24"/>
          <w:szCs w:val="24"/>
        </w:rPr>
        <w:t xml:space="preserve">    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</w:rPr>
        <w:t xml:space="preserve">  2025年</w:t>
      </w:r>
      <w:r>
        <w:rPr>
          <w:rFonts w:ascii="仿宋" w:hAnsi="仿宋" w:eastAsia="仿宋" w:cs="仿宋"/>
          <w:sz w:val="24"/>
          <w:szCs w:val="24"/>
        </w:rPr>
        <w:t>8</w:t>
      </w:r>
      <w:r>
        <w:rPr>
          <w:rFonts w:hint="eastAsia" w:ascii="仿宋" w:hAnsi="仿宋" w:eastAsia="仿宋" w:cs="仿宋"/>
          <w:sz w:val="24"/>
          <w:szCs w:val="24"/>
        </w:rPr>
        <w:t>月2</w:t>
      </w:r>
      <w:r>
        <w:rPr>
          <w:rFonts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日</w:t>
      </w:r>
    </w:p>
    <w:sectPr>
      <w:footerReference r:id="rId3" w:type="default"/>
      <w:type w:val="continuous"/>
      <w:pgSz w:w="11906" w:h="16838"/>
      <w:pgMar w:top="1270" w:right="1259" w:bottom="1270" w:left="1349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13CE2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3DE792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3DE792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4B21B1"/>
    <w:multiLevelType w:val="singleLevel"/>
    <w:tmpl w:val="C04B21B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FB6F603"/>
    <w:multiLevelType w:val="singleLevel"/>
    <w:tmpl w:val="6FB6F60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7859"/>
    <w:rsid w:val="000E01AB"/>
    <w:rsid w:val="00172A27"/>
    <w:rsid w:val="00261164"/>
    <w:rsid w:val="00265976"/>
    <w:rsid w:val="002819D9"/>
    <w:rsid w:val="00411F5F"/>
    <w:rsid w:val="004123E2"/>
    <w:rsid w:val="00414817"/>
    <w:rsid w:val="005C2317"/>
    <w:rsid w:val="00671271"/>
    <w:rsid w:val="007E1D34"/>
    <w:rsid w:val="00835248"/>
    <w:rsid w:val="00882C78"/>
    <w:rsid w:val="009A4425"/>
    <w:rsid w:val="009E118B"/>
    <w:rsid w:val="00BD0CCC"/>
    <w:rsid w:val="00C50C5A"/>
    <w:rsid w:val="00C73626"/>
    <w:rsid w:val="00CA7327"/>
    <w:rsid w:val="00DC4FCC"/>
    <w:rsid w:val="00ED2625"/>
    <w:rsid w:val="02383FCC"/>
    <w:rsid w:val="02DD4469"/>
    <w:rsid w:val="03CF12EB"/>
    <w:rsid w:val="058D2ACF"/>
    <w:rsid w:val="075E43C2"/>
    <w:rsid w:val="08095812"/>
    <w:rsid w:val="0849233D"/>
    <w:rsid w:val="09D240A7"/>
    <w:rsid w:val="0A9F66F7"/>
    <w:rsid w:val="0ACC6CA4"/>
    <w:rsid w:val="0B9A18B6"/>
    <w:rsid w:val="0BEF0B36"/>
    <w:rsid w:val="0D1062E5"/>
    <w:rsid w:val="0F1B0A54"/>
    <w:rsid w:val="0FE55FE7"/>
    <w:rsid w:val="10DB53AC"/>
    <w:rsid w:val="12474B81"/>
    <w:rsid w:val="12722C01"/>
    <w:rsid w:val="13103AA4"/>
    <w:rsid w:val="131B73D9"/>
    <w:rsid w:val="13FA5CE7"/>
    <w:rsid w:val="140F666D"/>
    <w:rsid w:val="17645B3C"/>
    <w:rsid w:val="186364CF"/>
    <w:rsid w:val="194847CD"/>
    <w:rsid w:val="196346B8"/>
    <w:rsid w:val="1C0C5B91"/>
    <w:rsid w:val="1CA83F20"/>
    <w:rsid w:val="1D7B20EF"/>
    <w:rsid w:val="1ECF2A00"/>
    <w:rsid w:val="20B51630"/>
    <w:rsid w:val="226E4D9B"/>
    <w:rsid w:val="22914C37"/>
    <w:rsid w:val="22A4479A"/>
    <w:rsid w:val="22E0252A"/>
    <w:rsid w:val="23C63130"/>
    <w:rsid w:val="243E0F34"/>
    <w:rsid w:val="2443692E"/>
    <w:rsid w:val="25825E0A"/>
    <w:rsid w:val="25D70A59"/>
    <w:rsid w:val="2618607B"/>
    <w:rsid w:val="26BA7097"/>
    <w:rsid w:val="27030E59"/>
    <w:rsid w:val="27C37687"/>
    <w:rsid w:val="292C082C"/>
    <w:rsid w:val="29F560FA"/>
    <w:rsid w:val="2B0526FD"/>
    <w:rsid w:val="2BE071BC"/>
    <w:rsid w:val="2CBD1926"/>
    <w:rsid w:val="2D59303E"/>
    <w:rsid w:val="2EF93384"/>
    <w:rsid w:val="2F85458D"/>
    <w:rsid w:val="30D230D9"/>
    <w:rsid w:val="359C5E00"/>
    <w:rsid w:val="361F3368"/>
    <w:rsid w:val="37F73030"/>
    <w:rsid w:val="3825323F"/>
    <w:rsid w:val="384609C8"/>
    <w:rsid w:val="389D635F"/>
    <w:rsid w:val="38E917AD"/>
    <w:rsid w:val="3948748D"/>
    <w:rsid w:val="3A1D0F57"/>
    <w:rsid w:val="3A2D1A97"/>
    <w:rsid w:val="3A995CC2"/>
    <w:rsid w:val="3AC344F1"/>
    <w:rsid w:val="3AF00828"/>
    <w:rsid w:val="3B89561F"/>
    <w:rsid w:val="3C5D5B69"/>
    <w:rsid w:val="3D0D0ED5"/>
    <w:rsid w:val="3DFB2373"/>
    <w:rsid w:val="3F5A51E7"/>
    <w:rsid w:val="3FC639EC"/>
    <w:rsid w:val="404538D7"/>
    <w:rsid w:val="40DD5071"/>
    <w:rsid w:val="42923021"/>
    <w:rsid w:val="42D957E2"/>
    <w:rsid w:val="4420384D"/>
    <w:rsid w:val="45B852CF"/>
    <w:rsid w:val="46787D3E"/>
    <w:rsid w:val="46A62FAE"/>
    <w:rsid w:val="46EA7D5B"/>
    <w:rsid w:val="47AD01EE"/>
    <w:rsid w:val="485F7552"/>
    <w:rsid w:val="4B441EB8"/>
    <w:rsid w:val="4C60177D"/>
    <w:rsid w:val="4CB4179F"/>
    <w:rsid w:val="4D7B4360"/>
    <w:rsid w:val="4D8E4D72"/>
    <w:rsid w:val="4DAA29ED"/>
    <w:rsid w:val="4F114025"/>
    <w:rsid w:val="4F3E11A2"/>
    <w:rsid w:val="5011774A"/>
    <w:rsid w:val="512A480D"/>
    <w:rsid w:val="51A0013B"/>
    <w:rsid w:val="525614EB"/>
    <w:rsid w:val="531A6CC2"/>
    <w:rsid w:val="54012977"/>
    <w:rsid w:val="54430AB4"/>
    <w:rsid w:val="549E46CE"/>
    <w:rsid w:val="54FF7D25"/>
    <w:rsid w:val="567E4876"/>
    <w:rsid w:val="56817F02"/>
    <w:rsid w:val="57532177"/>
    <w:rsid w:val="59A524F9"/>
    <w:rsid w:val="59AF49B4"/>
    <w:rsid w:val="5B0545D2"/>
    <w:rsid w:val="5B5E4ED1"/>
    <w:rsid w:val="5C2254C2"/>
    <w:rsid w:val="5D062677"/>
    <w:rsid w:val="5D471F68"/>
    <w:rsid w:val="5D5465F3"/>
    <w:rsid w:val="5E653DB8"/>
    <w:rsid w:val="5E6F55A5"/>
    <w:rsid w:val="5F0E7997"/>
    <w:rsid w:val="63326137"/>
    <w:rsid w:val="636E780A"/>
    <w:rsid w:val="6449223B"/>
    <w:rsid w:val="65EC1388"/>
    <w:rsid w:val="663913F2"/>
    <w:rsid w:val="67A97203"/>
    <w:rsid w:val="67C12379"/>
    <w:rsid w:val="68E05164"/>
    <w:rsid w:val="6A6D17DD"/>
    <w:rsid w:val="6AED19F6"/>
    <w:rsid w:val="6E6750AC"/>
    <w:rsid w:val="7164032E"/>
    <w:rsid w:val="718E3300"/>
    <w:rsid w:val="71EC7BD7"/>
    <w:rsid w:val="729B1C34"/>
    <w:rsid w:val="736328D3"/>
    <w:rsid w:val="737C714D"/>
    <w:rsid w:val="74885D69"/>
    <w:rsid w:val="74D51DFD"/>
    <w:rsid w:val="75092FBE"/>
    <w:rsid w:val="75311F30"/>
    <w:rsid w:val="753C662C"/>
    <w:rsid w:val="763E1DFB"/>
    <w:rsid w:val="7A1575F6"/>
    <w:rsid w:val="7A724A51"/>
    <w:rsid w:val="7B1C01E4"/>
    <w:rsid w:val="7C884633"/>
    <w:rsid w:val="7D6E7F96"/>
    <w:rsid w:val="7D855D51"/>
    <w:rsid w:val="7E3A74B6"/>
    <w:rsid w:val="7FA02BB5"/>
    <w:rsid w:val="7FAD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rPr>
      <w:sz w:val="28"/>
      <w:szCs w:val="28"/>
    </w:rPr>
  </w:style>
  <w:style w:type="paragraph" w:styleId="3">
    <w:name w:val="Date"/>
    <w:basedOn w:val="1"/>
    <w:next w:val="1"/>
    <w:qFormat/>
    <w:uiPriority w:val="0"/>
    <w:rPr>
      <w:rFonts w:ascii="宋体" w:hAnsi="Times New Roman"/>
      <w:b/>
      <w:sz w:val="28"/>
      <w:szCs w:val="20"/>
    </w:rPr>
  </w:style>
  <w:style w:type="paragraph" w:styleId="4">
    <w:name w:val="Body Text Indent 2"/>
    <w:basedOn w:val="1"/>
    <w:qFormat/>
    <w:uiPriority w:val="0"/>
    <w:pPr>
      <w:spacing w:line="360" w:lineRule="auto"/>
      <w:ind w:left="181" w:leftChars="86" w:firstLine="538" w:firstLineChars="224"/>
    </w:pPr>
    <w:rPr>
      <w:rFonts w:ascii="宋体" w:hAnsi="宋体"/>
      <w:sz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1"/>
    </w:rPr>
  </w:style>
  <w:style w:type="character" w:styleId="10">
    <w:name w:val="FollowedHyperlink"/>
    <w:basedOn w:val="9"/>
    <w:qFormat/>
    <w:uiPriority w:val="0"/>
    <w:rPr>
      <w:color w:val="800080"/>
      <w:u w:val="none"/>
    </w:rPr>
  </w:style>
  <w:style w:type="character" w:styleId="11">
    <w:name w:val="HTML Definition"/>
    <w:basedOn w:val="9"/>
    <w:qFormat/>
    <w:uiPriority w:val="0"/>
  </w:style>
  <w:style w:type="character" w:styleId="12">
    <w:name w:val="HTML Variable"/>
    <w:basedOn w:val="9"/>
    <w:qFormat/>
    <w:uiPriority w:val="0"/>
  </w:style>
  <w:style w:type="character" w:styleId="13">
    <w:name w:val="Hyperlink"/>
    <w:basedOn w:val="9"/>
    <w:qFormat/>
    <w:uiPriority w:val="0"/>
    <w:rPr>
      <w:color w:val="0000FF"/>
      <w:u w:val="none"/>
    </w:rPr>
  </w:style>
  <w:style w:type="character" w:styleId="14">
    <w:name w:val="HTML Code"/>
    <w:basedOn w:val="9"/>
    <w:qFormat/>
    <w:uiPriority w:val="0"/>
    <w:rPr>
      <w:rFonts w:hint="eastAsia" w:ascii="微软雅黑" w:hAnsi="微软雅黑" w:eastAsia="微软雅黑" w:cs="微软雅黑"/>
      <w:sz w:val="20"/>
    </w:rPr>
  </w:style>
  <w:style w:type="character" w:styleId="15">
    <w:name w:val="HTML Cite"/>
    <w:basedOn w:val="9"/>
    <w:qFormat/>
    <w:uiPriority w:val="0"/>
  </w:style>
  <w:style w:type="paragraph" w:customStyle="1" w:styleId="16">
    <w:name w:val="章节三"/>
    <w:basedOn w:val="1"/>
    <w:next w:val="1"/>
    <w:qFormat/>
    <w:uiPriority w:val="0"/>
    <w:pPr>
      <w:topLinePunct/>
      <w:adjustRightInd w:val="0"/>
      <w:snapToGrid w:val="0"/>
      <w:spacing w:beforeLines="50" w:afterLines="50"/>
      <w:jc w:val="left"/>
      <w:outlineLvl w:val="2"/>
    </w:pPr>
    <w:rPr>
      <w:rFonts w:ascii="黑体" w:hAnsi="宋体" w:eastAsia="黑体" w:cs="宋体"/>
      <w:b/>
      <w:bCs/>
      <w:spacing w:val="4"/>
      <w:kern w:val="0"/>
      <w:sz w:val="24"/>
      <w:szCs w:val="24"/>
    </w:rPr>
  </w:style>
  <w:style w:type="paragraph" w:customStyle="1" w:styleId="17">
    <w:name w:val="文一"/>
    <w:basedOn w:val="1"/>
    <w:link w:val="31"/>
    <w:qFormat/>
    <w:uiPriority w:val="0"/>
    <w:pPr>
      <w:widowControl/>
      <w:topLinePunct/>
      <w:adjustRightInd w:val="0"/>
      <w:snapToGrid w:val="0"/>
      <w:spacing w:before="200" w:after="200" w:line="360" w:lineRule="auto"/>
      <w:ind w:firstLine="200" w:firstLineChars="200"/>
      <w:jc w:val="left"/>
    </w:pPr>
    <w:rPr>
      <w:snapToGrid w:val="0"/>
      <w:spacing w:val="4"/>
      <w:kern w:val="0"/>
      <w:sz w:val="24"/>
      <w:szCs w:val="24"/>
    </w:rPr>
  </w:style>
  <w:style w:type="paragraph" w:customStyle="1" w:styleId="18">
    <w:name w:val="样式 首行缩进:  0.42 厘米"/>
    <w:basedOn w:val="1"/>
    <w:qFormat/>
    <w:uiPriority w:val="0"/>
    <w:pPr>
      <w:adjustRightInd w:val="0"/>
      <w:snapToGrid w:val="0"/>
      <w:spacing w:line="360" w:lineRule="auto"/>
    </w:pPr>
    <w:rPr>
      <w:rFonts w:ascii="宋体"/>
      <w:bCs/>
      <w:color w:val="FF0000"/>
      <w:sz w:val="24"/>
      <w:szCs w:val="24"/>
    </w:rPr>
  </w:style>
  <w:style w:type="character" w:customStyle="1" w:styleId="19">
    <w:name w:val="font5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20">
    <w:name w:val="font2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1">
    <w:name w:val="font1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single"/>
    </w:rPr>
  </w:style>
  <w:style w:type="character" w:customStyle="1" w:styleId="22">
    <w:name w:val="font41"/>
    <w:basedOn w:val="9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23">
    <w:name w:val="font71"/>
    <w:basedOn w:val="9"/>
    <w:qFormat/>
    <w:uiPriority w:val="0"/>
    <w:rPr>
      <w:rFonts w:hint="eastAsia" w:ascii="仿宋" w:hAnsi="仿宋" w:eastAsia="仿宋" w:cs="仿宋"/>
      <w:color w:val="000000"/>
      <w:sz w:val="16"/>
      <w:szCs w:val="16"/>
      <w:u w:val="none"/>
    </w:rPr>
  </w:style>
  <w:style w:type="character" w:customStyle="1" w:styleId="24">
    <w:name w:val="xdrichtextbox"/>
    <w:basedOn w:val="9"/>
    <w:qFormat/>
    <w:uiPriority w:val="0"/>
    <w:rPr>
      <w:color w:val="auto"/>
      <w:sz w:val="14"/>
      <w:szCs w:val="14"/>
      <w:u w:val="none"/>
      <w:bdr w:val="single" w:color="DCDCDC" w:sz="8" w:space="0"/>
      <w:shd w:val="clear" w:color="auto" w:fill="auto"/>
    </w:rPr>
  </w:style>
  <w:style w:type="character" w:customStyle="1" w:styleId="25">
    <w:name w:val="design_class"/>
    <w:basedOn w:val="9"/>
    <w:qFormat/>
    <w:uiPriority w:val="0"/>
  </w:style>
  <w:style w:type="character" w:customStyle="1" w:styleId="26">
    <w:name w:val="layui-layer-tabnow"/>
    <w:basedOn w:val="9"/>
    <w:qFormat/>
    <w:uiPriority w:val="0"/>
    <w:rPr>
      <w:bdr w:val="single" w:color="CCCCCC" w:sz="4" w:space="0"/>
      <w:shd w:val="clear" w:color="auto" w:fill="FFFFFF"/>
    </w:rPr>
  </w:style>
  <w:style w:type="character" w:customStyle="1" w:styleId="27">
    <w:name w:val="first-child"/>
    <w:basedOn w:val="9"/>
    <w:qFormat/>
    <w:uiPriority w:val="0"/>
  </w:style>
  <w:style w:type="character" w:customStyle="1" w:styleId="28">
    <w:name w:val="edit_class"/>
    <w:basedOn w:val="9"/>
    <w:qFormat/>
    <w:uiPriority w:val="0"/>
  </w:style>
  <w:style w:type="character" w:customStyle="1" w:styleId="29">
    <w:name w:val="biggerthanmax"/>
    <w:basedOn w:val="9"/>
    <w:qFormat/>
    <w:uiPriority w:val="0"/>
    <w:rPr>
      <w:shd w:val="clear" w:color="auto" w:fill="FFFF00"/>
    </w:rPr>
  </w:style>
  <w:style w:type="character" w:customStyle="1" w:styleId="30">
    <w:name w:val="browse_class&gt;span"/>
    <w:basedOn w:val="9"/>
    <w:qFormat/>
    <w:uiPriority w:val="0"/>
  </w:style>
  <w:style w:type="character" w:customStyle="1" w:styleId="31">
    <w:name w:val="文一 Char"/>
    <w:link w:val="17"/>
    <w:qFormat/>
    <w:uiPriority w:val="0"/>
    <w:rPr>
      <w:rFonts w:ascii="Calibri" w:hAnsi="Calibri"/>
      <w:snapToGrid w:val="0"/>
      <w:spacing w:val="4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571</Words>
  <Characters>725</Characters>
  <Lines>6</Lines>
  <Paragraphs>1</Paragraphs>
  <TotalTime>174</TotalTime>
  <ScaleCrop>false</ScaleCrop>
  <LinksUpToDate>false</LinksUpToDate>
  <CharactersWithSpaces>844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2019-08-01T01:40:00Z</dcterms:created>
  <dc:creator>Administrator</dc:creator>
  <cp:lastModifiedBy>吴娟</cp:lastModifiedBy>
  <dcterms:modified xsi:type="dcterms:W3CDTF">2025-09-16T04:54:04Z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FEA2339F57AF49BC91F00CA00B9E2E3C_13</vt:lpwstr>
  </property>
  <property fmtid="{D5CDD505-2E9C-101B-9397-08002B2CF9AE}" pid="4" name="KSOTemplateDocerSaveRecord">
    <vt:lpwstr>eyJoZGlkIjoiMzNmNDEyYTVkNmFkOGZiNGU0ZDU5Y2I1YjE0MmVlZTIiLCJ1c2VySWQiOiI4NzY1MDE4MDgifQ==</vt:lpwstr>
  </property>
</Properties>
</file>