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B3283">
      <w:pPr>
        <w:spacing w:line="360" w:lineRule="auto"/>
        <w:jc w:val="center"/>
        <w:rPr>
          <w:rFonts w:hint="eastAsia" w:ascii="宋体" w:hAnsi="宋体" w:cs="宋体"/>
          <w:b/>
          <w:color w:val="auto"/>
          <w:sz w:val="36"/>
          <w:szCs w:val="36"/>
          <w:highlight w:val="none"/>
        </w:rPr>
      </w:pPr>
    </w:p>
    <w:p w14:paraId="52FEE394">
      <w:pPr>
        <w:spacing w:line="360" w:lineRule="auto"/>
        <w:jc w:val="center"/>
        <w:rPr>
          <w:rFonts w:hint="eastAsia" w:ascii="宋体" w:hAnsi="宋体" w:cs="宋体"/>
          <w:b/>
          <w:color w:val="auto"/>
          <w:sz w:val="36"/>
          <w:szCs w:val="36"/>
          <w:highlight w:val="none"/>
        </w:rPr>
      </w:pPr>
    </w:p>
    <w:p w14:paraId="2BCA60D1">
      <w:pPr>
        <w:spacing w:line="360" w:lineRule="auto"/>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广东省渔业互保协会华润万博写字楼项目装修改造设计施工总承包</w:t>
      </w:r>
    </w:p>
    <w:p w14:paraId="7D3C190A">
      <w:pPr>
        <w:pStyle w:val="16"/>
        <w:spacing w:after="0" w:line="360" w:lineRule="auto"/>
        <w:ind w:firstLine="442"/>
        <w:rPr>
          <w:rFonts w:hint="eastAsia" w:ascii="宋体" w:hAnsi="宋体" w:cs="宋体"/>
          <w:b/>
          <w:color w:val="auto"/>
          <w:sz w:val="44"/>
          <w:szCs w:val="44"/>
          <w:highlight w:val="none"/>
        </w:rPr>
      </w:pPr>
    </w:p>
    <w:p w14:paraId="320D7A5D">
      <w:pPr>
        <w:pStyle w:val="16"/>
        <w:spacing w:after="0" w:line="360" w:lineRule="auto"/>
        <w:ind w:firstLine="442"/>
        <w:rPr>
          <w:rFonts w:hint="eastAsia" w:ascii="宋体" w:hAnsi="宋体" w:cs="宋体"/>
          <w:b/>
          <w:color w:val="auto"/>
          <w:sz w:val="44"/>
          <w:szCs w:val="44"/>
          <w:highlight w:val="none"/>
        </w:rPr>
      </w:pPr>
    </w:p>
    <w:p w14:paraId="72616DA9">
      <w:pPr>
        <w:spacing w:line="360" w:lineRule="auto"/>
        <w:jc w:val="center"/>
        <w:rPr>
          <w:rFonts w:hint="eastAsia" w:ascii="宋体" w:hAnsi="宋体" w:cs="宋体"/>
          <w:b/>
          <w:color w:val="auto"/>
          <w:sz w:val="44"/>
          <w:szCs w:val="44"/>
          <w:highlight w:val="none"/>
        </w:rPr>
      </w:pPr>
    </w:p>
    <w:p w14:paraId="4A242898">
      <w:pPr>
        <w:spacing w:line="360" w:lineRule="auto"/>
        <w:ind w:left="-359" w:leftChars="-171"/>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84"/>
          <w:szCs w:val="84"/>
          <w:highlight w:val="none"/>
        </w:rPr>
        <w:t>招标文件</w:t>
      </w:r>
    </w:p>
    <w:p w14:paraId="24CFF779">
      <w:pPr>
        <w:spacing w:line="360" w:lineRule="auto"/>
        <w:jc w:val="center"/>
        <w:rPr>
          <w:rFonts w:hint="eastAsia" w:ascii="宋体" w:hAnsi="宋体" w:cs="宋体"/>
          <w:b/>
          <w:color w:val="auto"/>
          <w:sz w:val="44"/>
          <w:szCs w:val="44"/>
          <w:highlight w:val="none"/>
        </w:rPr>
      </w:pPr>
    </w:p>
    <w:p w14:paraId="2EC9A5F2">
      <w:pPr>
        <w:spacing w:line="360" w:lineRule="auto"/>
        <w:jc w:val="center"/>
        <w:rPr>
          <w:rFonts w:hint="eastAsia" w:ascii="宋体" w:hAnsi="宋体" w:cs="宋体"/>
          <w:b/>
          <w:color w:val="auto"/>
          <w:sz w:val="44"/>
          <w:szCs w:val="44"/>
          <w:highlight w:val="none"/>
        </w:rPr>
      </w:pPr>
    </w:p>
    <w:p w14:paraId="49AB8895">
      <w:pPr>
        <w:spacing w:line="360" w:lineRule="auto"/>
        <w:jc w:val="center"/>
        <w:rPr>
          <w:rFonts w:hint="eastAsia" w:ascii="宋体" w:hAnsi="宋体" w:cs="宋体"/>
          <w:b/>
          <w:color w:val="auto"/>
          <w:sz w:val="44"/>
          <w:szCs w:val="44"/>
          <w:highlight w:val="none"/>
        </w:rPr>
      </w:pPr>
    </w:p>
    <w:p w14:paraId="1998E6C0">
      <w:pPr>
        <w:pStyle w:val="16"/>
        <w:spacing w:after="0" w:line="360" w:lineRule="auto"/>
        <w:ind w:firstLine="210"/>
        <w:rPr>
          <w:color w:val="auto"/>
          <w:highlight w:val="none"/>
        </w:rPr>
      </w:pPr>
    </w:p>
    <w:p w14:paraId="57AE232C">
      <w:pPr>
        <w:spacing w:line="360" w:lineRule="auto"/>
        <w:jc w:val="center"/>
        <w:rPr>
          <w:rFonts w:hint="eastAsia" w:ascii="宋体" w:hAnsi="宋体" w:cs="宋体"/>
          <w:b/>
          <w:color w:val="auto"/>
          <w:sz w:val="44"/>
          <w:szCs w:val="44"/>
          <w:highlight w:val="none"/>
        </w:rPr>
      </w:pPr>
    </w:p>
    <w:p w14:paraId="3A5C425E">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招标单位：</w:t>
      </w:r>
      <w:r>
        <w:rPr>
          <w:rFonts w:hint="eastAsia" w:ascii="宋体" w:hAnsi="宋体" w:cs="宋体"/>
          <w:color w:val="auto"/>
          <w:sz w:val="32"/>
          <w:szCs w:val="32"/>
          <w:highlight w:val="none"/>
          <w:u w:val="single"/>
          <w:lang w:eastAsia="zh-CN"/>
        </w:rPr>
        <w:t>广东省渔业互保协会</w:t>
      </w:r>
    </w:p>
    <w:p w14:paraId="51B90CD4">
      <w:pPr>
        <w:spacing w:line="360" w:lineRule="auto"/>
        <w:ind w:firstLine="1318" w:firstLineChars="412"/>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招标代理：</w:t>
      </w:r>
      <w:r>
        <w:rPr>
          <w:rFonts w:hint="eastAsia" w:ascii="宋体" w:hAnsi="宋体" w:cs="宋体"/>
          <w:color w:val="auto"/>
          <w:sz w:val="32"/>
          <w:szCs w:val="32"/>
          <w:highlight w:val="none"/>
          <w:u w:val="single"/>
          <w:lang w:eastAsia="zh-CN"/>
        </w:rPr>
        <w:t>广东工程建设监理有限公司</w:t>
      </w:r>
    </w:p>
    <w:p w14:paraId="27FDFE69">
      <w:pPr>
        <w:spacing w:line="360" w:lineRule="auto"/>
        <w:ind w:firstLine="1280" w:firstLineChars="400"/>
        <w:rPr>
          <w:rFonts w:hint="eastAsia" w:ascii="宋体" w:hAnsi="宋体" w:cs="宋体"/>
          <w:b/>
          <w:color w:val="auto"/>
          <w:w w:val="95"/>
          <w:sz w:val="31"/>
          <w:highlight w:val="none"/>
        </w:rPr>
      </w:pPr>
      <w:bookmarkStart w:id="0" w:name="_Toc4616"/>
      <w:r>
        <w:rPr>
          <w:rFonts w:hint="eastAsia" w:ascii="宋体" w:hAnsi="宋体" w:cs="宋体"/>
          <w:color w:val="auto"/>
          <w:sz w:val="32"/>
          <w:szCs w:val="32"/>
          <w:highlight w:val="none"/>
        </w:rPr>
        <w:t>日    期：</w:t>
      </w:r>
      <w:r>
        <w:rPr>
          <w:rFonts w:hint="eastAsia" w:ascii="宋体" w:hAnsi="宋体" w:cs="宋体"/>
          <w:color w:val="auto"/>
          <w:sz w:val="32"/>
          <w:szCs w:val="32"/>
          <w:highlight w:val="none"/>
          <w:u w:val="single"/>
        </w:rPr>
        <w:t>202</w:t>
      </w:r>
      <w:r>
        <w:rPr>
          <w:rFonts w:hint="eastAsia" w:ascii="宋体" w:hAnsi="宋体" w:cs="宋体"/>
          <w:color w:val="auto"/>
          <w:sz w:val="32"/>
          <w:szCs w:val="32"/>
          <w:highlight w:val="none"/>
          <w:u w:val="single"/>
          <w:lang w:val="en-US" w:eastAsia="zh-CN"/>
        </w:rPr>
        <w:t>5</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lang w:val="en-US" w:eastAsia="zh-CN"/>
        </w:rPr>
        <w:t>9</w:t>
      </w:r>
      <w:r>
        <w:rPr>
          <w:rFonts w:hint="eastAsia" w:ascii="宋体" w:hAnsi="宋体" w:cs="宋体"/>
          <w:color w:val="auto"/>
          <w:sz w:val="32"/>
          <w:szCs w:val="32"/>
          <w:highlight w:val="none"/>
        </w:rPr>
        <w:t>月</w:t>
      </w:r>
    </w:p>
    <w:p w14:paraId="50C3C429">
      <w:pPr>
        <w:rPr>
          <w:rFonts w:hint="eastAsia" w:ascii="宋体" w:hAnsi="宋体" w:cs="宋体"/>
          <w:b/>
          <w:color w:val="auto"/>
          <w:sz w:val="36"/>
          <w:szCs w:val="36"/>
          <w:highlight w:val="none"/>
        </w:rPr>
        <w:sectPr>
          <w:headerReference r:id="rId3" w:type="default"/>
          <w:pgSz w:w="11906" w:h="16838"/>
          <w:pgMar w:top="1440" w:right="1080" w:bottom="1440" w:left="1080" w:header="851" w:footer="992" w:gutter="0"/>
          <w:cols w:space="720" w:num="1"/>
          <w:docGrid w:linePitch="312" w:charSpace="0"/>
        </w:sectPr>
      </w:pPr>
    </w:p>
    <w:p w14:paraId="6433D546">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1F4FF33D">
      <w:pPr>
        <w:spacing w:line="360" w:lineRule="auto"/>
        <w:jc w:val="center"/>
        <w:rPr>
          <w:rFonts w:hint="eastAsia" w:ascii="宋体" w:hAnsi="宋体" w:cs="宋体"/>
          <w:b/>
          <w:color w:val="auto"/>
          <w:sz w:val="36"/>
          <w:szCs w:val="36"/>
          <w:highlight w:val="none"/>
        </w:rPr>
        <w:sectPr>
          <w:footerReference r:id="rId4" w:type="default"/>
          <w:pgSz w:w="11906" w:h="16838"/>
          <w:pgMar w:top="1440" w:right="1080" w:bottom="1440" w:left="1080" w:header="851" w:footer="992" w:gutter="0"/>
          <w:pgNumType w:start="1"/>
          <w:cols w:space="720" w:num="1"/>
          <w:docGrid w:linePitch="312" w:charSpace="0"/>
        </w:sectPr>
      </w:pPr>
    </w:p>
    <w:p w14:paraId="140369D2">
      <w:pPr>
        <w:spacing w:line="360" w:lineRule="auto"/>
        <w:jc w:val="center"/>
        <w:outlineLvl w:val="0"/>
        <w:rPr>
          <w:rFonts w:hint="eastAsia" w:ascii="宋体" w:hAnsi="宋体" w:cs="宋体"/>
          <w:b/>
          <w:color w:val="auto"/>
          <w:sz w:val="28"/>
          <w:szCs w:val="28"/>
          <w:highlight w:val="none"/>
        </w:rPr>
      </w:pPr>
    </w:p>
    <w:p w14:paraId="601BE301">
      <w:pPr>
        <w:spacing w:line="360" w:lineRule="auto"/>
        <w:jc w:val="center"/>
        <w:outlineLvl w:val="0"/>
        <w:rPr>
          <w:rFonts w:hint="eastAsia" w:ascii="宋体" w:hAnsi="宋体" w:cs="宋体"/>
          <w:b/>
          <w:color w:val="auto"/>
          <w:sz w:val="44"/>
          <w:szCs w:val="44"/>
          <w:highlight w:val="none"/>
          <w:shd w:val="clear" w:color="FFFFFF" w:fill="D9D9D9"/>
        </w:rPr>
      </w:pPr>
      <w:r>
        <w:rPr>
          <w:rFonts w:hint="eastAsia" w:ascii="宋体" w:hAnsi="宋体" w:cs="宋体"/>
          <w:b/>
          <w:color w:val="auto"/>
          <w:sz w:val="28"/>
          <w:szCs w:val="28"/>
          <w:highlight w:val="none"/>
        </w:rPr>
        <w:t>目录</w:t>
      </w:r>
      <w:bookmarkEnd w:id="0"/>
    </w:p>
    <w:p w14:paraId="72B33390">
      <w:pPr>
        <w:pStyle w:val="14"/>
        <w:tabs>
          <w:tab w:val="right" w:leader="dot" w:pos="8222"/>
        </w:tabs>
        <w:spacing w:before="0" w:after="0" w:line="360" w:lineRule="auto"/>
        <w:rPr>
          <w:rFonts w:hint="eastAsia" w:ascii="宋体" w:hAnsi="宋体" w:cs="宋体"/>
          <w:color w:val="auto"/>
          <w:sz w:val="24"/>
          <w:szCs w:val="24"/>
          <w:highlight w:val="none"/>
        </w:rPr>
      </w:pPr>
      <w:r>
        <w:rPr>
          <w:rFonts w:hint="eastAsia" w:ascii="宋体" w:hAnsi="宋体" w:cs="宋体"/>
          <w:b w:val="0"/>
          <w:bCs w:val="0"/>
          <w:caps w:val="0"/>
          <w:color w:val="auto"/>
          <w:sz w:val="24"/>
          <w:szCs w:val="24"/>
          <w:highlight w:val="none"/>
          <w:shd w:val="clear" w:color="FFFFFF" w:fill="D9D9D9"/>
        </w:rPr>
        <w:fldChar w:fldCharType="begin"/>
      </w:r>
      <w:r>
        <w:rPr>
          <w:rFonts w:hint="eastAsia" w:ascii="宋体" w:hAnsi="宋体" w:cs="宋体"/>
          <w:b w:val="0"/>
          <w:bCs w:val="0"/>
          <w:caps w:val="0"/>
          <w:color w:val="auto"/>
          <w:sz w:val="24"/>
          <w:szCs w:val="24"/>
          <w:highlight w:val="none"/>
          <w:shd w:val="clear" w:color="FFFFFF" w:fill="D9D9D9"/>
        </w:rPr>
        <w:instrText xml:space="preserve">TOC \o "1-3" \h \u </w:instrText>
      </w:r>
      <w:r>
        <w:rPr>
          <w:rFonts w:hint="eastAsia" w:ascii="宋体" w:hAnsi="宋体" w:cs="宋体"/>
          <w:b w:val="0"/>
          <w:bCs w:val="0"/>
          <w:caps w:val="0"/>
          <w:color w:val="auto"/>
          <w:sz w:val="24"/>
          <w:szCs w:val="24"/>
          <w:highlight w:val="none"/>
          <w:shd w:val="clear" w:color="FFFFFF" w:fill="D9D9D9"/>
        </w:rPr>
        <w:fldChar w:fldCharType="separate"/>
      </w:r>
      <w:r>
        <w:rPr>
          <w:color w:val="auto"/>
          <w:highlight w:val="none"/>
        </w:rPr>
        <w:fldChar w:fldCharType="begin"/>
      </w:r>
      <w:r>
        <w:rPr>
          <w:color w:val="auto"/>
          <w:highlight w:val="none"/>
        </w:rPr>
        <w:instrText xml:space="preserve"> HYPERLINK \l "_Toc1198" </w:instrText>
      </w:r>
      <w:r>
        <w:rPr>
          <w:color w:val="auto"/>
          <w:highlight w:val="none"/>
        </w:rPr>
        <w:fldChar w:fldCharType="separate"/>
      </w:r>
      <w:r>
        <w:rPr>
          <w:rFonts w:hint="eastAsia" w:ascii="宋体" w:hAnsi="宋体" w:cs="宋体"/>
          <w:color w:val="auto"/>
          <w:sz w:val="24"/>
          <w:szCs w:val="24"/>
          <w:highlight w:val="none"/>
        </w:rPr>
        <w:t>第一章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_Toc1198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E648D7D">
      <w:pPr>
        <w:pStyle w:val="14"/>
        <w:tabs>
          <w:tab w:val="right" w:leader="dot" w:pos="8222"/>
        </w:tabs>
        <w:spacing w:before="0" w:after="0"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"_Toc16297" </w:instrText>
      </w:r>
      <w:r>
        <w:rPr>
          <w:color w:val="auto"/>
          <w:highlight w:val="none"/>
        </w:rPr>
        <w:fldChar w:fldCharType="separate"/>
      </w:r>
      <w:r>
        <w:rPr>
          <w:rFonts w:hint="eastAsia" w:ascii="宋体" w:hAnsi="宋体" w:cs="宋体"/>
          <w:color w:val="auto"/>
          <w:sz w:val="24"/>
          <w:szCs w:val="24"/>
          <w:highlight w:val="none"/>
        </w:rPr>
        <w:t>第二章 评标</w:t>
      </w:r>
      <w:bookmarkStart w:id="1" w:name="_Hlt105140026"/>
      <w:bookmarkStart w:id="2" w:name="_Hlt105140025"/>
      <w:r>
        <w:rPr>
          <w:rFonts w:hint="eastAsia" w:ascii="宋体" w:hAnsi="宋体" w:cs="宋体"/>
          <w:color w:val="auto"/>
          <w:sz w:val="24"/>
          <w:szCs w:val="24"/>
          <w:highlight w:val="none"/>
        </w:rPr>
        <w:t>办</w:t>
      </w:r>
      <w:bookmarkEnd w:id="1"/>
      <w:bookmarkEnd w:id="2"/>
      <w:r>
        <w:rPr>
          <w:rFonts w:hint="eastAsia" w:ascii="宋体" w:hAnsi="宋体" w:cs="宋体"/>
          <w:color w:val="auto"/>
          <w:sz w:val="24"/>
          <w:szCs w:val="24"/>
          <w:highlight w:val="none"/>
        </w:rPr>
        <w:t>法（评定分离）</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_Toc16297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688BFFA">
      <w:pPr>
        <w:pStyle w:val="14"/>
        <w:tabs>
          <w:tab w:val="right" w:leader="dot" w:pos="8222"/>
        </w:tabs>
        <w:spacing w:before="0" w:after="0" w:line="360" w:lineRule="auto"/>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"_Toc20372" </w:instrText>
      </w:r>
      <w:r>
        <w:rPr>
          <w:color w:val="auto"/>
          <w:highlight w:val="none"/>
        </w:rPr>
        <w:fldChar w:fldCharType="separate"/>
      </w:r>
      <w:r>
        <w:rPr>
          <w:rFonts w:hint="eastAsia" w:ascii="宋体" w:hAnsi="宋体" w:cs="宋体"/>
          <w:color w:val="auto"/>
          <w:sz w:val="24"/>
          <w:szCs w:val="24"/>
          <w:highlight w:val="none"/>
        </w:rPr>
        <w:t>第三章 合同条款及格式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t>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19A981D5">
      <w:pPr>
        <w:pStyle w:val="14"/>
        <w:tabs>
          <w:tab w:val="right" w:leader="dot" w:pos="8222"/>
        </w:tabs>
        <w:spacing w:before="0" w:after="0" w:line="360" w:lineRule="auto"/>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"_Toc8204" </w:instrText>
      </w:r>
      <w:r>
        <w:rPr>
          <w:color w:val="auto"/>
          <w:highlight w:val="none"/>
        </w:rPr>
        <w:fldChar w:fldCharType="separate"/>
      </w:r>
      <w:r>
        <w:rPr>
          <w:rFonts w:hint="eastAsia" w:ascii="宋体" w:hAnsi="宋体" w:cs="宋体"/>
          <w:color w:val="auto"/>
          <w:sz w:val="24"/>
          <w:szCs w:val="24"/>
          <w:highlight w:val="none"/>
        </w:rPr>
        <w:t>第四章 发包人要求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43</w:t>
      </w:r>
    </w:p>
    <w:p w14:paraId="33FD2E73">
      <w:pPr>
        <w:pStyle w:val="14"/>
        <w:tabs>
          <w:tab w:val="right" w:leader="dot" w:pos="8222"/>
        </w:tabs>
        <w:spacing w:before="0" w:after="0" w:line="360" w:lineRule="auto"/>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"_Toc3543" </w:instrText>
      </w:r>
      <w:r>
        <w:rPr>
          <w:color w:val="auto"/>
          <w:highlight w:val="none"/>
        </w:rPr>
        <w:fldChar w:fldCharType="separate"/>
      </w:r>
      <w:r>
        <w:rPr>
          <w:rFonts w:hint="eastAsia" w:ascii="宋体" w:hAnsi="宋体" w:cs="宋体"/>
          <w:color w:val="auto"/>
          <w:sz w:val="24"/>
          <w:szCs w:val="24"/>
          <w:highlight w:val="none"/>
        </w:rPr>
        <w:t>第五章 工程量清单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44</w:t>
      </w:r>
    </w:p>
    <w:p w14:paraId="69BF2880">
      <w:pPr>
        <w:pStyle w:val="14"/>
        <w:tabs>
          <w:tab w:val="right" w:leader="dot" w:pos="8222"/>
        </w:tabs>
        <w:spacing w:before="0" w:after="0" w:line="360" w:lineRule="auto"/>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"_Toc4298" </w:instrText>
      </w:r>
      <w:r>
        <w:rPr>
          <w:color w:val="auto"/>
          <w:highlight w:val="none"/>
        </w:rPr>
        <w:fldChar w:fldCharType="separate"/>
      </w:r>
      <w:r>
        <w:rPr>
          <w:rFonts w:hint="eastAsia" w:ascii="宋体" w:hAnsi="宋体" w:cs="宋体"/>
          <w:color w:val="auto"/>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45</w:t>
      </w:r>
    </w:p>
    <w:p w14:paraId="320621B2">
      <w:pPr>
        <w:spacing w:line="360" w:lineRule="auto"/>
        <w:jc w:val="center"/>
        <w:rPr>
          <w:rFonts w:hint="eastAsia" w:ascii="宋体" w:hAnsi="宋体" w:cs="宋体"/>
          <w:color w:val="auto"/>
          <w:sz w:val="24"/>
          <w:szCs w:val="24"/>
          <w:highlight w:val="none"/>
          <w:shd w:val="clear" w:color="FFFFFF" w:fill="D9D9D9"/>
        </w:rPr>
        <w:sectPr>
          <w:headerReference r:id="rId5" w:type="default"/>
          <w:footerReference r:id="rId6" w:type="default"/>
          <w:pgSz w:w="11905" w:h="16838"/>
          <w:pgMar w:top="1440" w:right="1080" w:bottom="1440" w:left="1080" w:header="850" w:footer="850" w:gutter="0"/>
          <w:pgNumType w:start="1"/>
          <w:cols w:space="720" w:num="1"/>
          <w:docGrid w:linePitch="312" w:charSpace="0"/>
        </w:sectPr>
      </w:pPr>
      <w:r>
        <w:rPr>
          <w:rFonts w:hint="eastAsia" w:ascii="宋体" w:hAnsi="宋体" w:cs="宋体"/>
          <w:color w:val="auto"/>
          <w:sz w:val="24"/>
          <w:szCs w:val="24"/>
          <w:highlight w:val="none"/>
          <w:shd w:val="clear" w:color="FFFFFF" w:fill="D9D9D9"/>
        </w:rPr>
        <w:fldChar w:fldCharType="end"/>
      </w:r>
      <w:bookmarkStart w:id="3" w:name="_Toc1198"/>
      <w:bookmarkStart w:id="4" w:name="_Toc25868"/>
      <w:bookmarkStart w:id="5" w:name="_Toc1080"/>
      <w:bookmarkStart w:id="6" w:name="_Toc29410"/>
      <w:bookmarkStart w:id="7" w:name="_Toc485211037"/>
      <w:bookmarkStart w:id="8" w:name="_Toc4910"/>
      <w:bookmarkStart w:id="9" w:name="_Toc21337"/>
      <w:bookmarkStart w:id="10" w:name="_Toc8601"/>
    </w:p>
    <w:p w14:paraId="34338985">
      <w:pPr>
        <w:spacing w:line="360" w:lineRule="auto"/>
        <w:jc w:val="center"/>
        <w:rPr>
          <w:rFonts w:hint="eastAsia" w:ascii="宋体" w:hAnsi="宋体" w:cs="宋体"/>
          <w:b/>
          <w:bCs/>
          <w:color w:val="auto"/>
          <w:highlight w:val="none"/>
        </w:rPr>
      </w:pPr>
      <w:r>
        <w:rPr>
          <w:rFonts w:hint="eastAsia" w:ascii="宋体" w:hAnsi="宋体" w:cs="宋体"/>
          <w:color w:val="auto"/>
          <w:sz w:val="36"/>
          <w:szCs w:val="36"/>
          <w:highlight w:val="none"/>
        </w:rPr>
        <w:t>第一章 投标人须知</w:t>
      </w:r>
      <w:bookmarkEnd w:id="3"/>
      <w:bookmarkEnd w:id="4"/>
      <w:bookmarkEnd w:id="5"/>
      <w:bookmarkEnd w:id="6"/>
      <w:bookmarkEnd w:id="7"/>
      <w:bookmarkEnd w:id="8"/>
      <w:bookmarkEnd w:id="9"/>
      <w:bookmarkEnd w:id="10"/>
    </w:p>
    <w:p w14:paraId="2382FF52">
      <w:pPr>
        <w:keepNext/>
        <w:keepLines/>
        <w:spacing w:line="360" w:lineRule="auto"/>
        <w:jc w:val="center"/>
        <w:outlineLvl w:val="0"/>
        <w:rPr>
          <w:rFonts w:hint="eastAsia" w:ascii="宋体" w:hAnsi="宋体" w:cs="宋体"/>
          <w:b/>
          <w:bCs/>
          <w:color w:val="auto"/>
          <w:kern w:val="44"/>
          <w:sz w:val="28"/>
          <w:szCs w:val="28"/>
          <w:highlight w:val="none"/>
        </w:rPr>
      </w:pPr>
      <w:bookmarkStart w:id="11" w:name="_Toc14702"/>
      <w:bookmarkStart w:id="12" w:name="_Toc31358"/>
      <w:bookmarkStart w:id="13" w:name="_Toc16747"/>
      <w:r>
        <w:rPr>
          <w:rFonts w:hint="eastAsia" w:ascii="宋体" w:hAnsi="宋体" w:cs="宋体"/>
          <w:b/>
          <w:bCs/>
          <w:color w:val="auto"/>
          <w:sz w:val="28"/>
          <w:szCs w:val="28"/>
          <w:highlight w:val="none"/>
        </w:rPr>
        <w:t>《投标人须知前附表》</w:t>
      </w:r>
      <w:bookmarkEnd w:id="11"/>
      <w:bookmarkEnd w:id="12"/>
      <w:bookmarkEnd w:id="13"/>
    </w:p>
    <w:tbl>
      <w:tblPr>
        <w:tblStyle w:val="18"/>
        <w:tblW w:w="9959" w:type="dxa"/>
        <w:jc w:val="center"/>
        <w:tblLayout w:type="fixed"/>
        <w:tblCellMar>
          <w:top w:w="0" w:type="dxa"/>
          <w:left w:w="108" w:type="dxa"/>
          <w:bottom w:w="0" w:type="dxa"/>
          <w:right w:w="108" w:type="dxa"/>
        </w:tblCellMar>
      </w:tblPr>
      <w:tblGrid>
        <w:gridCol w:w="946"/>
        <w:gridCol w:w="1994"/>
        <w:gridCol w:w="7019"/>
      </w:tblGrid>
      <w:tr w14:paraId="5C49F0F2">
        <w:tblPrEx>
          <w:tblCellMar>
            <w:top w:w="0" w:type="dxa"/>
            <w:left w:w="108" w:type="dxa"/>
            <w:bottom w:w="0" w:type="dxa"/>
            <w:right w:w="108" w:type="dxa"/>
          </w:tblCellMar>
        </w:tblPrEx>
        <w:trPr>
          <w:trHeight w:val="567" w:hRule="atLeast"/>
          <w:tblHeader/>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163BEE91">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1E22F69">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2D0AE037">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42822E4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3EAFE5C2">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7BA0E3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72971F03">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single"/>
                <w:lang w:eastAsia="zh-CN"/>
              </w:rPr>
              <w:t>广东省渔业互保协会</w:t>
            </w:r>
          </w:p>
          <w:p w14:paraId="1F923FB0">
            <w:pPr>
              <w:snapToGrid w:val="0"/>
              <w:spacing w:beforeLines="0" w:afterLines="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w:t>
            </w:r>
            <w:r>
              <w:rPr>
                <w:rFonts w:hint="eastAsia" w:ascii="宋体" w:hAnsi="宋体" w:cs="宋体"/>
                <w:color w:val="auto"/>
                <w:szCs w:val="21"/>
                <w:highlight w:val="none"/>
                <w:u w:val="single"/>
                <w:lang w:eastAsia="zh-CN"/>
              </w:rPr>
              <w:t>广州市海珠区江南大道中180号1107-0018房</w:t>
            </w:r>
          </w:p>
          <w:p w14:paraId="5179BDFF">
            <w:pPr>
              <w:snapToGrid w:val="0"/>
              <w:spacing w:beforeLines="0" w:afterLines="0" w:line="32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cs="宋体"/>
                <w:color w:val="auto"/>
                <w:szCs w:val="21"/>
                <w:highlight w:val="none"/>
                <w:u w:val="single"/>
                <w:lang w:val="en-US" w:eastAsia="zh-CN"/>
              </w:rPr>
              <w:t>杨主任</w:t>
            </w:r>
          </w:p>
          <w:p w14:paraId="7483C38E">
            <w:pPr>
              <w:snapToGrid w:val="0"/>
              <w:spacing w:beforeLines="0" w:afterLines="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电话：</w:t>
            </w:r>
            <w:r>
              <w:rPr>
                <w:rFonts w:hint="eastAsia" w:ascii="宋体" w:hAnsi="宋体" w:cs="宋体"/>
                <w:color w:val="auto"/>
                <w:szCs w:val="21"/>
                <w:highlight w:val="none"/>
                <w:u w:val="single"/>
                <w:lang w:val="en-US" w:eastAsia="zh-CN"/>
              </w:rPr>
              <w:t>13560353604</w:t>
            </w:r>
          </w:p>
        </w:tc>
      </w:tr>
      <w:tr w14:paraId="4BF14A4F">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0831FE6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F4635A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2A5DDF4F">
            <w:pPr>
              <w:wordWrap w:val="0"/>
              <w:snapToGrid w:val="0"/>
              <w:spacing w:beforeLines="0" w:afterLines="0" w:line="320" w:lineRule="exact"/>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single"/>
                <w:lang w:eastAsia="zh-CN"/>
              </w:rPr>
              <w:t>广东工程建设监理有限公司</w:t>
            </w:r>
          </w:p>
          <w:p w14:paraId="212455E7">
            <w:pPr>
              <w:wordWrap w:val="0"/>
              <w:snapToGrid w:val="0"/>
              <w:spacing w:beforeLines="0" w:afterLines="0" w:line="320" w:lineRule="exact"/>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bCs/>
                <w:color w:val="auto"/>
                <w:szCs w:val="21"/>
                <w:highlight w:val="none"/>
                <w:u w:val="single"/>
                <w:lang w:eastAsia="zh-CN"/>
              </w:rPr>
              <w:t>广州市越秀区白云路111-113号白云大厦16楼</w:t>
            </w:r>
          </w:p>
          <w:p w14:paraId="06633C82">
            <w:pPr>
              <w:wordWrap w:val="0"/>
              <w:snapToGrid w:val="0"/>
              <w:spacing w:beforeLines="0" w:afterLines="0" w:line="32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u w:val="single"/>
                <w:lang w:val="en-US" w:eastAsia="zh-CN"/>
              </w:rPr>
              <w:t>何</w:t>
            </w:r>
            <w:r>
              <w:rPr>
                <w:rFonts w:hint="eastAsia" w:ascii="宋体" w:hAnsi="宋体" w:eastAsia="宋体" w:cs="宋体"/>
                <w:color w:val="auto"/>
                <w:szCs w:val="21"/>
                <w:highlight w:val="none"/>
                <w:u w:val="single"/>
              </w:rPr>
              <w:t>工</w:t>
            </w:r>
          </w:p>
          <w:p w14:paraId="2EDEAA0E">
            <w:pPr>
              <w:wordWrap w:val="0"/>
              <w:snapToGrid w:val="0"/>
              <w:spacing w:beforeLines="0" w:afterLines="0" w:line="32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u w:val="single"/>
                <w:lang w:val="en-US" w:eastAsia="zh-CN"/>
              </w:rPr>
              <w:t>13929556637</w:t>
            </w:r>
          </w:p>
        </w:tc>
      </w:tr>
      <w:tr w14:paraId="5C40C8F0">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03DA1137">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BD87B17">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75AB3D71">
            <w:pPr>
              <w:pStyle w:val="16"/>
              <w:snapToGrid w:val="0"/>
              <w:spacing w:beforeLines="0" w:after="0" w:afterLines="0" w:line="320" w:lineRule="exact"/>
              <w:ind w:firstLine="0" w:firstLineChars="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广东省渔业互保协会华润万博写字楼项目装修改造设计施工总承包</w:t>
            </w:r>
          </w:p>
        </w:tc>
      </w:tr>
      <w:tr w14:paraId="7A9C8239">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3EFD09B2">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4F0856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06C4BA55">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详见本项目招标公告</w:t>
            </w:r>
            <w:r>
              <w:rPr>
                <w:rFonts w:hint="eastAsia" w:ascii="宋体" w:hAnsi="宋体" w:eastAsia="宋体" w:cs="宋体"/>
                <w:color w:val="auto"/>
                <w:szCs w:val="21"/>
                <w:highlight w:val="none"/>
              </w:rPr>
              <w:t>。</w:t>
            </w:r>
          </w:p>
        </w:tc>
      </w:tr>
      <w:tr w14:paraId="0DD1EB90">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0101CF42">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D9D8E1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7AE77389">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详见本项目招标公告</w:t>
            </w:r>
            <w:r>
              <w:rPr>
                <w:rFonts w:hint="eastAsia" w:ascii="宋体" w:hAnsi="宋体" w:eastAsia="宋体" w:cs="宋体"/>
                <w:color w:val="auto"/>
                <w:szCs w:val="21"/>
                <w:highlight w:val="none"/>
              </w:rPr>
              <w:t>。</w:t>
            </w:r>
          </w:p>
        </w:tc>
      </w:tr>
      <w:tr w14:paraId="560E453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176312C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087D00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13F0CBAC">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资金已经落实</w:t>
            </w:r>
            <w:r>
              <w:rPr>
                <w:rFonts w:hint="eastAsia" w:ascii="宋体" w:hAnsi="宋体" w:eastAsia="宋体" w:cs="宋体"/>
                <w:color w:val="auto"/>
                <w:szCs w:val="21"/>
                <w:highlight w:val="none"/>
              </w:rPr>
              <w:t>。</w:t>
            </w:r>
          </w:p>
        </w:tc>
      </w:tr>
      <w:tr w14:paraId="3B2CB8DE">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158402B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560C0E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338500D2">
            <w:pPr>
              <w:widowControl/>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r>
              <w:rPr>
                <w:rFonts w:hint="eastAsia" w:ascii="宋体" w:hAnsi="宋体" w:eastAsia="宋体" w:cs="宋体"/>
                <w:color w:val="auto"/>
                <w:szCs w:val="21"/>
                <w:highlight w:val="none"/>
              </w:rPr>
              <w:t>。</w:t>
            </w:r>
          </w:p>
          <w:p w14:paraId="70D39BB1">
            <w:pPr>
              <w:widowControl/>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备注：招标人有权根据项目的实际情况增加和减少工作内容。</w:t>
            </w:r>
          </w:p>
        </w:tc>
      </w:tr>
      <w:tr w14:paraId="04357CDB">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740DD2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441760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计划工期</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0CC0833D">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r>
              <w:rPr>
                <w:rFonts w:hint="eastAsia" w:ascii="宋体" w:hAnsi="宋体" w:eastAsia="宋体" w:cs="宋体"/>
                <w:color w:val="auto"/>
                <w:szCs w:val="21"/>
                <w:highlight w:val="none"/>
              </w:rPr>
              <w:t>。</w:t>
            </w:r>
          </w:p>
        </w:tc>
      </w:tr>
      <w:tr w14:paraId="0C67283C">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3862AF1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DFA5449">
            <w:pPr>
              <w:widowControl/>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0EC13F91">
            <w:pPr>
              <w:widowControl/>
              <w:snapToGrid w:val="0"/>
              <w:spacing w:beforeLines="0" w:afterLines="0" w:line="32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设计要求的质量标准：符合《建设工程质量管理条例》、《建设工程勘察设计管理条例》、《建筑工程设计文件编制深度规定（2016年版）》等国家及地方有关工程设计管理法规和规章，达到行业相关规范技术标准等要求；</w:t>
            </w:r>
            <w:r>
              <w:rPr>
                <w:rFonts w:hint="eastAsia" w:ascii="宋体" w:hAnsi="宋体" w:eastAsia="宋体" w:cs="宋体"/>
                <w:color w:val="auto"/>
                <w:szCs w:val="21"/>
                <w:highlight w:val="none"/>
                <w:u w:val="single"/>
                <w:lang w:eastAsia="zh-CN"/>
              </w:rPr>
              <w:t>并</w:t>
            </w:r>
            <w:r>
              <w:rPr>
                <w:rFonts w:hint="eastAsia" w:ascii="宋体" w:hAnsi="宋体" w:eastAsia="宋体" w:cs="宋体"/>
                <w:color w:val="auto"/>
                <w:szCs w:val="21"/>
                <w:highlight w:val="none"/>
                <w:u w:val="single"/>
              </w:rPr>
              <w:t>符合本项目设计任务书</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另册</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的要求。</w:t>
            </w:r>
          </w:p>
          <w:p w14:paraId="2DB28C55">
            <w:pPr>
              <w:widowControl/>
              <w:snapToGrid w:val="0"/>
              <w:spacing w:beforeLines="0" w:afterLines="0" w:line="3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施工质量标准：工程质量达到国家建筑工程施工质量验收规范要求，并一次性验收合格</w:t>
            </w:r>
            <w:r>
              <w:rPr>
                <w:rFonts w:hint="eastAsia" w:ascii="宋体" w:hAnsi="宋体" w:eastAsia="宋体" w:cs="宋体"/>
                <w:color w:val="auto"/>
                <w:szCs w:val="21"/>
                <w:highlight w:val="none"/>
                <w:u w:val="single"/>
                <w:lang w:eastAsia="zh-CN"/>
              </w:rPr>
              <w:t>。</w:t>
            </w:r>
          </w:p>
        </w:tc>
      </w:tr>
      <w:tr w14:paraId="2D2BDECB">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10B2566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11DE62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投标人资质条件、能力和信誉</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1EF9287D">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详见本项目招标公告</w:t>
            </w:r>
            <w:r>
              <w:rPr>
                <w:rFonts w:hint="eastAsia" w:ascii="宋体" w:hAnsi="宋体" w:eastAsia="宋体" w:cs="宋体"/>
                <w:color w:val="auto"/>
                <w:szCs w:val="21"/>
                <w:highlight w:val="none"/>
              </w:rPr>
              <w:t>。</w:t>
            </w:r>
          </w:p>
        </w:tc>
      </w:tr>
      <w:tr w14:paraId="30753956">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574258A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7BBA51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2B8FAEDA">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p w14:paraId="3E309E05">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■接受，应满足下列要求：</w:t>
            </w:r>
            <w:r>
              <w:rPr>
                <w:rFonts w:hint="eastAsia" w:ascii="宋体" w:hAnsi="宋体" w:eastAsia="宋体" w:cs="宋体"/>
                <w:color w:val="auto"/>
                <w:szCs w:val="21"/>
                <w:highlight w:val="none"/>
                <w:u w:val="single"/>
              </w:rPr>
              <w:t>详见本项目招标公告</w:t>
            </w:r>
            <w:r>
              <w:rPr>
                <w:rFonts w:hint="eastAsia" w:ascii="宋体" w:hAnsi="宋体" w:eastAsia="宋体" w:cs="宋体"/>
                <w:color w:val="auto"/>
                <w:szCs w:val="21"/>
                <w:highlight w:val="none"/>
              </w:rPr>
              <w:t>。</w:t>
            </w:r>
          </w:p>
        </w:tc>
      </w:tr>
      <w:tr w14:paraId="247045D6">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57C0F0F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FAEFB8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费用承担和设计成果补偿</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0B2FDA87">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■不补偿</w:t>
            </w:r>
          </w:p>
          <w:p w14:paraId="33379E8C">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□补偿，补偿标准：</w:t>
            </w:r>
            <w:r>
              <w:rPr>
                <w:rFonts w:hint="eastAsia" w:ascii="宋体" w:hAnsi="宋体" w:eastAsia="宋体" w:cs="宋体"/>
                <w:color w:val="auto"/>
                <w:szCs w:val="21"/>
                <w:highlight w:val="none"/>
                <w:u w:val="single"/>
              </w:rPr>
              <w:t xml:space="preserve"> / </w:t>
            </w:r>
          </w:p>
        </w:tc>
      </w:tr>
      <w:tr w14:paraId="24183ACA">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26423DB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05625A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766C5FA3">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u w:val="single"/>
              </w:rPr>
              <w:t>自行踏勘</w:t>
            </w:r>
            <w:r>
              <w:rPr>
                <w:rFonts w:hint="eastAsia" w:ascii="宋体" w:hAnsi="宋体" w:eastAsia="宋体" w:cs="宋体"/>
                <w:color w:val="auto"/>
                <w:szCs w:val="21"/>
                <w:highlight w:val="none"/>
              </w:rPr>
              <w:t>。</w:t>
            </w:r>
          </w:p>
          <w:p w14:paraId="5DE0CC2A">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 xml:space="preserve"> / </w:t>
            </w:r>
          </w:p>
          <w:p w14:paraId="4CB0B8A9">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 xml:space="preserve"> / </w:t>
            </w:r>
          </w:p>
        </w:tc>
      </w:tr>
      <w:tr w14:paraId="2428372E">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1F59D8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05033C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5EB2C189">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■不召开</w:t>
            </w:r>
          </w:p>
          <w:p w14:paraId="154B1DC9">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 xml:space="preserve"> / </w:t>
            </w:r>
          </w:p>
          <w:p w14:paraId="113ADFBA">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召开地点：</w:t>
            </w:r>
            <w:r>
              <w:rPr>
                <w:rFonts w:hint="eastAsia" w:ascii="宋体" w:hAnsi="宋体" w:eastAsia="宋体" w:cs="宋体"/>
                <w:color w:val="auto"/>
                <w:szCs w:val="21"/>
                <w:highlight w:val="none"/>
                <w:u w:val="single"/>
              </w:rPr>
              <w:t xml:space="preserve"> / </w:t>
            </w:r>
          </w:p>
        </w:tc>
      </w:tr>
      <w:tr w14:paraId="14954940">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1790E16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A98828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投标人提出问题的截止时间</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3432682A">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1.截止时间：</w:t>
            </w:r>
            <w:r>
              <w:rPr>
                <w:rFonts w:hint="eastAsia" w:ascii="宋体" w:hAnsi="宋体" w:eastAsia="宋体" w:cs="宋体"/>
                <w:color w:val="auto"/>
                <w:szCs w:val="21"/>
                <w:highlight w:val="none"/>
                <w:u w:val="single"/>
              </w:rPr>
              <w:t>以</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网站发布的时间为准。</w:t>
            </w:r>
          </w:p>
          <w:p w14:paraId="5EE6CA50">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2.提出问题的方式：</w:t>
            </w:r>
            <w:r>
              <w:rPr>
                <w:rFonts w:hint="eastAsia" w:ascii="宋体" w:hAnsi="宋体" w:eastAsia="宋体" w:cs="宋体"/>
                <w:color w:val="auto"/>
                <w:szCs w:val="21"/>
                <w:highlight w:val="none"/>
                <w:u w:val="single"/>
              </w:rPr>
              <w:t>项目答疑纪要采用网上答疑方式进行。投标人若对招标文件有疑问的，可在规定的时间内通过</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网站进入提问区域将问题提交给招标人或招标代理人，提交问题时一律不得署名。</w:t>
            </w:r>
          </w:p>
          <w:p w14:paraId="72BB40B8">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网上答疑的操作指南为：</w:t>
            </w:r>
            <w:r>
              <w:rPr>
                <w:rFonts w:hint="eastAsia" w:ascii="宋体" w:hAnsi="宋体" w:eastAsia="宋体" w:cs="宋体"/>
                <w:color w:val="auto"/>
                <w:szCs w:val="21"/>
                <w:highlight w:val="none"/>
                <w:u w:val="single"/>
                <w:lang w:eastAsia="zh-CN"/>
              </w:rPr>
              <w:t>登录广州交易集团有限公司（广州公共资源交易中心）</w:t>
            </w:r>
            <w:r>
              <w:rPr>
                <w:rFonts w:hint="eastAsia" w:ascii="宋体" w:hAnsi="宋体" w:eastAsia="宋体" w:cs="宋体"/>
                <w:color w:val="auto"/>
                <w:szCs w:val="21"/>
                <w:highlight w:val="none"/>
                <w:u w:val="single"/>
              </w:rPr>
              <w:t>网站→进入“我是投标人”→进入“新建设工程交易平台”→进入“我的投标”→进入“招标答疑提问”→通过项目编号或名称找到所需的项目→在上述的答疑时间内点击“答疑提问”进入到提问区域→无记名或匿名提出问题。</w:t>
            </w:r>
          </w:p>
        </w:tc>
      </w:tr>
      <w:tr w14:paraId="59CB8893">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36C2BE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D021FA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招标人书面澄清的时间</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35B21EDD">
            <w:pPr>
              <w:widowControl/>
              <w:wordWrap w:val="0"/>
              <w:snapToGrid w:val="0"/>
              <w:spacing w:beforeLines="0" w:afterLines="0" w:line="32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时间：</w:t>
            </w:r>
            <w:r>
              <w:rPr>
                <w:rFonts w:hint="eastAsia" w:ascii="宋体" w:hAnsi="宋体" w:eastAsia="宋体" w:cs="宋体"/>
                <w:color w:val="auto"/>
                <w:kern w:val="0"/>
                <w:szCs w:val="21"/>
                <w:highlight w:val="none"/>
                <w:u w:val="single"/>
              </w:rPr>
              <w:t>在递交投标文件截止日期前15日</w:t>
            </w:r>
          </w:p>
          <w:p w14:paraId="3E303B0F">
            <w:pPr>
              <w:widowControl/>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形式：</w:t>
            </w:r>
            <w:r>
              <w:rPr>
                <w:rFonts w:hint="eastAsia" w:ascii="宋体" w:hAnsi="宋体" w:eastAsia="宋体" w:cs="宋体"/>
                <w:color w:val="auto"/>
                <w:kern w:val="0"/>
                <w:szCs w:val="21"/>
                <w:highlight w:val="none"/>
                <w:u w:val="single"/>
              </w:rPr>
              <w:t>投标人疑问通过网上提交。具体操作方法详见</w:t>
            </w:r>
            <w:r>
              <w:rPr>
                <w:rFonts w:hint="eastAsia" w:ascii="宋体" w:hAnsi="宋体" w:eastAsia="宋体" w:cs="宋体"/>
                <w:color w:val="auto"/>
                <w:kern w:val="0"/>
                <w:szCs w:val="21"/>
                <w:highlight w:val="none"/>
                <w:u w:val="single"/>
                <w:lang w:eastAsia="zh-CN"/>
              </w:rPr>
              <w:t>广州交易集团有限公司（广州公共资源交易中心）</w:t>
            </w:r>
            <w:r>
              <w:rPr>
                <w:rFonts w:hint="eastAsia" w:ascii="宋体" w:hAnsi="宋体" w:eastAsia="宋体" w:cs="宋体"/>
                <w:color w:val="auto"/>
                <w:kern w:val="0"/>
                <w:szCs w:val="21"/>
                <w:highlight w:val="none"/>
                <w:u w:val="single"/>
              </w:rPr>
              <w:t>网站有关服务指南。</w:t>
            </w:r>
          </w:p>
        </w:tc>
      </w:tr>
      <w:tr w14:paraId="79D67F93">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5A738E1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934802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招标人规定由分包人承担的工作</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4643FF2A">
            <w:pPr>
              <w:snapToGrid w:val="0"/>
              <w:spacing w:beforeLines="0" w:afterLines="0" w:line="32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无。</w:t>
            </w:r>
          </w:p>
        </w:tc>
      </w:tr>
      <w:tr w14:paraId="5B8EA692">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52C3E8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5A85E3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投标人拟分包的工作</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5CF75973">
            <w:pPr>
              <w:snapToGrid w:val="0"/>
              <w:spacing w:beforeLines="0" w:afterLines="0" w:line="320" w:lineRule="exact"/>
              <w:rPr>
                <w:rFonts w:hint="eastAsia" w:ascii="宋体" w:hAnsi="宋体" w:eastAsia="宋体" w:cs="宋体"/>
                <w:color w:val="auto"/>
                <w:szCs w:val="21"/>
                <w:highlight w:val="none"/>
              </w:rPr>
            </w:pPr>
            <w:bookmarkStart w:id="14" w:name="OLE_LINK15"/>
            <w:r>
              <w:rPr>
                <w:rFonts w:hint="eastAsia" w:ascii="宋体" w:hAnsi="宋体" w:eastAsia="宋体" w:cs="宋体"/>
                <w:color w:val="auto"/>
                <w:szCs w:val="21"/>
                <w:highlight w:val="none"/>
              </w:rPr>
              <w:t>□</w:t>
            </w:r>
            <w:bookmarkEnd w:id="14"/>
            <w:r>
              <w:rPr>
                <w:rFonts w:hint="eastAsia" w:ascii="宋体" w:hAnsi="宋体" w:eastAsia="宋体" w:cs="宋体"/>
                <w:color w:val="auto"/>
                <w:szCs w:val="21"/>
                <w:highlight w:val="none"/>
              </w:rPr>
              <w:t>不允许</w:t>
            </w:r>
          </w:p>
          <w:p w14:paraId="2CA44807">
            <w:pPr>
              <w:snapToGrid w:val="0"/>
              <w:spacing w:beforeLines="0" w:afterLines="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■允许，</w:t>
            </w:r>
            <w:r>
              <w:rPr>
                <w:rFonts w:hint="eastAsia" w:ascii="宋体" w:hAnsi="宋体" w:eastAsia="宋体" w:cs="宋体"/>
                <w:color w:val="auto"/>
                <w:szCs w:val="21"/>
                <w:highlight w:val="none"/>
                <w:u w:val="single"/>
              </w:rPr>
              <w:t>经招标人同意，中标人可以把中标项目的部分非主体、非关键性工作分包给具有相应资质和能力的专业单位实施，但不得再次分包。</w:t>
            </w:r>
          </w:p>
        </w:tc>
      </w:tr>
      <w:tr w14:paraId="021A12B6">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1F8548C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6329B77">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2D5FDF20">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46B1C8FE">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□允许，允许偏离的内容、偏离范围和幅度：</w:t>
            </w:r>
            <w:r>
              <w:rPr>
                <w:rFonts w:hint="eastAsia" w:ascii="宋体" w:hAnsi="宋体" w:eastAsia="宋体" w:cs="宋体"/>
                <w:color w:val="auto"/>
                <w:szCs w:val="21"/>
                <w:highlight w:val="none"/>
                <w:u w:val="single"/>
              </w:rPr>
              <w:t xml:space="preserve"> / </w:t>
            </w:r>
          </w:p>
        </w:tc>
      </w:tr>
      <w:tr w14:paraId="574D6E8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13457BC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55202B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1960235E">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补充公告、答疑纪要、澄清文件等（如有）。</w:t>
            </w:r>
          </w:p>
        </w:tc>
      </w:tr>
      <w:tr w14:paraId="6A9D05C8">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3673ED5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8C200F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投标人要求澄清招标文件的截止时间</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3D02546C">
            <w:pPr>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同投标人提出问题的截止时间。</w:t>
            </w:r>
          </w:p>
        </w:tc>
      </w:tr>
      <w:tr w14:paraId="2A5AB7F4">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1966423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AF8EDF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35FD899A">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详见本项目招标公告</w:t>
            </w:r>
            <w:r>
              <w:rPr>
                <w:rFonts w:hint="eastAsia" w:ascii="宋体" w:hAnsi="宋体" w:eastAsia="宋体" w:cs="宋体"/>
                <w:color w:val="auto"/>
                <w:szCs w:val="21"/>
                <w:highlight w:val="none"/>
              </w:rPr>
              <w:t>。</w:t>
            </w:r>
          </w:p>
        </w:tc>
      </w:tr>
      <w:tr w14:paraId="1407DCE4">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73DED22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0F3D3E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投标人确认收到招标文件澄清的时间</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6A561651">
            <w:pPr>
              <w:widowControl/>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招标答疑纪要一经在</w:t>
            </w:r>
            <w:r>
              <w:rPr>
                <w:rFonts w:hint="eastAsia" w:ascii="宋体" w:hAnsi="宋体" w:eastAsia="宋体" w:cs="宋体"/>
                <w:color w:val="auto"/>
                <w:kern w:val="0"/>
                <w:szCs w:val="21"/>
                <w:highlight w:val="none"/>
                <w:u w:val="single"/>
                <w:lang w:eastAsia="zh-CN"/>
              </w:rPr>
              <w:t>广州交易集团有限公司（广州公共资源交易中心）</w:t>
            </w:r>
            <w:r>
              <w:rPr>
                <w:rFonts w:hint="eastAsia" w:ascii="宋体" w:hAnsi="宋体" w:eastAsia="宋体" w:cs="宋体"/>
                <w:color w:val="auto"/>
                <w:kern w:val="0"/>
                <w:szCs w:val="21"/>
                <w:highlight w:val="none"/>
                <w:u w:val="single"/>
              </w:rPr>
              <w:t>网站发布，视作已发放给所有投标人。</w:t>
            </w:r>
          </w:p>
        </w:tc>
      </w:tr>
      <w:tr w14:paraId="605B8038">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7966F77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48BC4B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投标人确认收到招标文件修改的时间</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5B6D2154">
            <w:pPr>
              <w:widowControl/>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在</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kern w:val="0"/>
                <w:szCs w:val="21"/>
                <w:highlight w:val="none"/>
                <w:u w:val="single"/>
              </w:rPr>
              <w:t>网站“项目查询（日程安排、答疑纪要）”专区发布时视为投标人收到。</w:t>
            </w:r>
          </w:p>
        </w:tc>
      </w:tr>
      <w:tr w14:paraId="0A7BF47D">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06AB0A3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95A8917">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1DF43D77">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投标文件、定标文件的组成详见“3.1投标文件及定标文件的组成”。</w:t>
            </w:r>
          </w:p>
        </w:tc>
      </w:tr>
      <w:tr w14:paraId="40CEF8D8">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7F347BA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128174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29BA4F4E">
            <w:pPr>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本项目招标控制价（最高投标限价）为：人民币</w:t>
            </w:r>
            <w:r>
              <w:rPr>
                <w:rFonts w:hint="eastAsia" w:ascii="宋体" w:hAnsi="宋体" w:cs="宋体"/>
                <w:color w:val="auto"/>
                <w:szCs w:val="21"/>
                <w:highlight w:val="none"/>
                <w:lang w:val="en-US" w:eastAsia="zh-CN"/>
              </w:rPr>
              <w:t>2293.80</w:t>
            </w:r>
            <w:r>
              <w:rPr>
                <w:rFonts w:hint="eastAsia" w:ascii="宋体" w:hAnsi="宋体" w:eastAsia="宋体" w:cs="宋体"/>
                <w:color w:val="auto"/>
                <w:szCs w:val="21"/>
                <w:highlight w:val="none"/>
                <w:lang w:val="en-US" w:eastAsia="zh-CN"/>
              </w:rPr>
              <w:t>万</w:t>
            </w:r>
            <w:r>
              <w:rPr>
                <w:rFonts w:hint="eastAsia" w:ascii="宋体" w:hAnsi="宋体" w:eastAsia="宋体" w:cs="宋体"/>
                <w:color w:val="auto"/>
                <w:szCs w:val="21"/>
                <w:highlight w:val="none"/>
              </w:rPr>
              <w:t>元，其中设计费最高投标限价为：人民币</w:t>
            </w:r>
            <w:r>
              <w:rPr>
                <w:rFonts w:hint="eastAsia" w:ascii="宋体" w:hAnsi="宋体" w:eastAsia="宋体" w:cs="宋体"/>
                <w:color w:val="auto"/>
                <w:szCs w:val="21"/>
                <w:highlight w:val="none"/>
                <w:lang w:val="en-US" w:eastAsia="zh-CN"/>
              </w:rPr>
              <w:t>129.20万</w:t>
            </w:r>
            <w:r>
              <w:rPr>
                <w:rFonts w:hint="eastAsia" w:ascii="宋体" w:hAnsi="宋体" w:eastAsia="宋体" w:cs="宋体"/>
                <w:color w:val="auto"/>
                <w:szCs w:val="21"/>
                <w:highlight w:val="none"/>
              </w:rPr>
              <w:t>元，建安工程费最高投标限价为：人民币</w:t>
            </w:r>
            <w:r>
              <w:rPr>
                <w:rFonts w:hint="eastAsia" w:ascii="宋体" w:hAnsi="宋体" w:eastAsia="宋体" w:cs="宋体"/>
                <w:color w:val="auto"/>
                <w:szCs w:val="21"/>
                <w:highlight w:val="none"/>
                <w:lang w:val="en-US" w:eastAsia="zh-CN"/>
              </w:rPr>
              <w:t>2164.60万</w:t>
            </w:r>
            <w:r>
              <w:rPr>
                <w:rFonts w:hint="eastAsia" w:ascii="宋体" w:hAnsi="宋体" w:eastAsia="宋体" w:cs="宋体"/>
                <w:color w:val="auto"/>
                <w:szCs w:val="21"/>
                <w:highlight w:val="none"/>
              </w:rPr>
              <w:t>元。投标总报价及各分项投标报价均不得高于最高投标限价及各分项的最高投标限价。</w:t>
            </w:r>
          </w:p>
        </w:tc>
      </w:tr>
      <w:tr w14:paraId="7E93213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6A03E162">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6265E6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10075AB4">
            <w:pPr>
              <w:pStyle w:val="24"/>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投标人必须详细审阅全部招标文件，充分考虑职责和义务,全面地理解招标文件对投标报价的要求，并按招标人提出的条件及内容进行报价。</w:t>
            </w:r>
          </w:p>
          <w:p w14:paraId="743001EC">
            <w:pPr>
              <w:pStyle w:val="24"/>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（1）设计费：由投标人根据招标文件要求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第六章投标文件格式中格式七</w:t>
            </w:r>
            <w:r>
              <w:rPr>
                <w:rFonts w:hint="eastAsia" w:ascii="宋体" w:hAnsi="宋体" w:eastAsia="宋体" w:cs="宋体"/>
                <w:color w:val="auto"/>
                <w:szCs w:val="21"/>
                <w:highlight w:val="none"/>
              </w:rPr>
              <w:t>以及企业自身情况自行报价。结算方式按照合同约定的相应条款执行。</w:t>
            </w:r>
          </w:p>
          <w:p w14:paraId="6D2E286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：由投标人根据招标文件要求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第六章投标文件格式中格式七以及</w:t>
            </w:r>
            <w:r>
              <w:rPr>
                <w:rFonts w:hint="eastAsia" w:ascii="宋体" w:hAnsi="宋体" w:eastAsia="宋体" w:cs="宋体"/>
                <w:color w:val="auto"/>
                <w:szCs w:val="21"/>
                <w:highlight w:val="none"/>
              </w:rPr>
              <w:t>企业自身情况自行报价</w:t>
            </w:r>
            <w:r>
              <w:rPr>
                <w:rFonts w:hint="eastAsia" w:ascii="宋体" w:hAnsi="宋体" w:eastAsia="宋体" w:cs="宋体"/>
                <w:color w:val="auto"/>
                <w:szCs w:val="21"/>
                <w:highlight w:val="none"/>
                <w:lang w:val="en-US" w:eastAsia="zh-CN"/>
              </w:rPr>
              <w:t>和填报投标下浮率</w:t>
            </w:r>
            <w:r>
              <w:rPr>
                <w:rFonts w:hint="eastAsia" w:ascii="宋体" w:hAnsi="宋体" w:eastAsia="宋体" w:cs="宋体"/>
                <w:color w:val="auto"/>
                <w:szCs w:val="21"/>
                <w:highlight w:val="none"/>
              </w:rPr>
              <w:t>。结算方式按照合同约定的相应条款执行。</w:t>
            </w:r>
          </w:p>
          <w:p w14:paraId="34F1E079">
            <w:pPr>
              <w:pStyle w:val="24"/>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本项目投标报价以元为单位，</w:t>
            </w:r>
            <w:r>
              <w:rPr>
                <w:rFonts w:hint="eastAsia" w:ascii="宋体" w:hAnsi="宋体" w:cs="宋体"/>
                <w:color w:val="auto"/>
                <w:szCs w:val="21"/>
                <w:highlight w:val="none"/>
              </w:rPr>
              <w:t>建安工程费</w:t>
            </w:r>
            <w:r>
              <w:rPr>
                <w:rFonts w:hint="eastAsia" w:ascii="宋体" w:hAnsi="宋体" w:eastAsia="宋体" w:cs="宋体"/>
                <w:color w:val="auto"/>
                <w:szCs w:val="21"/>
                <w:highlight w:val="none"/>
                <w:lang w:val="en-US" w:eastAsia="zh-CN"/>
              </w:rPr>
              <w:t>投标下浮率以百分比计，均保留</w:t>
            </w:r>
            <w:r>
              <w:rPr>
                <w:rFonts w:hint="eastAsia" w:ascii="宋体" w:hAnsi="宋体" w:eastAsia="宋体" w:cs="宋体"/>
                <w:color w:val="auto"/>
                <w:szCs w:val="21"/>
                <w:highlight w:val="none"/>
              </w:rPr>
              <w:t>小数点后二位小数，第三位小数四舍五入。本工程不设未中标单位设计投标经济补偿。</w:t>
            </w:r>
          </w:p>
        </w:tc>
      </w:tr>
      <w:tr w14:paraId="0D3AB7D6">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1B70685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C1542D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6F485497">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120 </w:t>
            </w:r>
            <w:r>
              <w:rPr>
                <w:rFonts w:hint="eastAsia" w:ascii="宋体" w:hAnsi="宋体" w:eastAsia="宋体" w:cs="宋体"/>
                <w:color w:val="auto"/>
                <w:szCs w:val="21"/>
                <w:highlight w:val="none"/>
              </w:rPr>
              <w:t>日历天</w:t>
            </w:r>
            <w:r>
              <w:rPr>
                <w:rFonts w:hint="eastAsia" w:ascii="宋体" w:hAnsi="宋体" w:eastAsia="宋体" w:cs="宋体"/>
                <w:color w:val="auto"/>
                <w:szCs w:val="21"/>
                <w:highlight w:val="none"/>
                <w:u w:val="single"/>
              </w:rPr>
              <w:t>（从递交投标文件截止之日计起）</w:t>
            </w:r>
          </w:p>
        </w:tc>
      </w:tr>
      <w:tr w14:paraId="11853A9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0A34242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0322C9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投标担保</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669596F0">
            <w:pPr>
              <w:wordWrap w:val="0"/>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1E531FE7">
            <w:pPr>
              <w:wordWrap w:val="0"/>
              <w:snapToGrid w:val="0"/>
              <w:spacing w:beforeLines="0" w:afterLines="0" w:line="32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□要求</w:t>
            </w:r>
          </w:p>
          <w:p w14:paraId="3B4033DE">
            <w:pPr>
              <w:wordWrap w:val="0"/>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不要求，本项目在投标时免交投标保证金是为企业减负的举措，并未免除投标人的投标义务，投标人一旦发生招标文件不予退还投标保证金情形的，将按照招标人的要求在规定的时间内向招标人足额补交投标保证金,否则将按相关规定进行信用记录。</w:t>
            </w:r>
          </w:p>
        </w:tc>
      </w:tr>
      <w:tr w14:paraId="3E7C0B71">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004D9A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73A7C4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近年财务状况</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385BEC46">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w:t>
            </w:r>
          </w:p>
        </w:tc>
      </w:tr>
      <w:tr w14:paraId="47BB9FDA">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0114F67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88B4C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近年完成的类似项目</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6B3DA8FF">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w:t>
            </w:r>
          </w:p>
        </w:tc>
      </w:tr>
      <w:tr w14:paraId="64B11E1E">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0E85DEE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9CC439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近年发生的重大诉讼及仲裁情况</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45CB09F4">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w:t>
            </w:r>
          </w:p>
        </w:tc>
      </w:tr>
      <w:tr w14:paraId="59C5095F">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3D33835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66F11C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28BD516D">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213AA4A8">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747C2154">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D424D8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807C00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397C8E13">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投标人采用单位数字证书，按招标文件要求在相应位置加盖电子印章。投标文件中需个人签字或盖章的，应加盖个人电子印章或在线下完成后扫描上传。按照交易平台关于全流程电子化项目的相关指南进行操作；</w:t>
            </w:r>
          </w:p>
          <w:p w14:paraId="25AAF947">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联合体投标时，除《联合体共同投标协议》必须由联合体各方分别按要求进行签字、盖</w:t>
            </w:r>
            <w:r>
              <w:rPr>
                <w:rFonts w:hint="eastAsia" w:ascii="宋体" w:hAnsi="宋体" w:eastAsia="宋体" w:cs="宋体"/>
                <w:bCs/>
                <w:color w:val="auto"/>
                <w:szCs w:val="21"/>
                <w:highlight w:val="none"/>
              </w:rPr>
              <w:t>章</w:t>
            </w:r>
            <w:r>
              <w:rPr>
                <w:rFonts w:hint="eastAsia" w:ascii="宋体" w:hAnsi="宋体" w:eastAsia="宋体" w:cs="宋体"/>
                <w:b/>
                <w:color w:val="auto"/>
                <w:szCs w:val="21"/>
                <w:highlight w:val="none"/>
                <w:u w:val="single"/>
              </w:rPr>
              <w:t>[法定代表人证明书及授权委托书可由联合体</w:t>
            </w:r>
            <w:r>
              <w:rPr>
                <w:rFonts w:hint="eastAsia" w:ascii="宋体" w:hAnsi="宋体" w:eastAsia="宋体" w:cs="宋体"/>
                <w:b/>
                <w:color w:val="auto"/>
                <w:szCs w:val="21"/>
                <w:highlight w:val="none"/>
                <w:u w:val="single"/>
                <w:lang w:eastAsia="zh-CN"/>
              </w:rPr>
              <w:t>牵头单位</w:t>
            </w:r>
            <w:r>
              <w:rPr>
                <w:rFonts w:hint="eastAsia" w:ascii="宋体" w:hAnsi="宋体" w:eastAsia="宋体" w:cs="宋体"/>
                <w:b/>
                <w:color w:val="auto"/>
                <w:szCs w:val="21"/>
                <w:highlight w:val="none"/>
                <w:u w:val="single"/>
              </w:rPr>
              <w:t>出具（其中“单位”一栏可只填写联合体</w:t>
            </w:r>
            <w:r>
              <w:rPr>
                <w:rFonts w:hint="eastAsia" w:ascii="宋体" w:hAnsi="宋体" w:eastAsia="宋体" w:cs="宋体"/>
                <w:b/>
                <w:color w:val="auto"/>
                <w:szCs w:val="21"/>
                <w:highlight w:val="none"/>
                <w:u w:val="single"/>
                <w:lang w:eastAsia="zh-CN"/>
              </w:rPr>
              <w:t>牵头单位</w:t>
            </w:r>
            <w:r>
              <w:rPr>
                <w:rFonts w:hint="eastAsia" w:ascii="宋体" w:hAnsi="宋体" w:eastAsia="宋体" w:cs="宋体"/>
                <w:b/>
                <w:color w:val="auto"/>
                <w:szCs w:val="21"/>
                <w:highlight w:val="none"/>
                <w:u w:val="single"/>
              </w:rPr>
              <w:t>名称）]</w:t>
            </w:r>
            <w:r>
              <w:rPr>
                <w:rFonts w:hint="eastAsia" w:ascii="宋体" w:hAnsi="宋体" w:eastAsia="宋体" w:cs="宋体"/>
                <w:color w:val="auto"/>
                <w:szCs w:val="21"/>
                <w:highlight w:val="none"/>
              </w:rPr>
              <w:t>外，其他资料若需要签字或盖章的均可由联合体</w:t>
            </w:r>
            <w:r>
              <w:rPr>
                <w:rFonts w:hint="eastAsia" w:ascii="宋体" w:hAnsi="宋体" w:eastAsia="宋体" w:cs="宋体"/>
                <w:color w:val="auto"/>
                <w:szCs w:val="21"/>
                <w:highlight w:val="none"/>
                <w:lang w:eastAsia="zh-CN"/>
              </w:rPr>
              <w:t>牵头单位</w:t>
            </w:r>
            <w:r>
              <w:rPr>
                <w:rFonts w:hint="eastAsia" w:ascii="宋体" w:hAnsi="宋体" w:eastAsia="宋体" w:cs="宋体"/>
                <w:color w:val="auto"/>
                <w:szCs w:val="21"/>
                <w:highlight w:val="none"/>
              </w:rPr>
              <w:t>签字或盖章；其他内容及落款中的“投标人”、“声明企业”应填写联合体各方的单位全称【格式示例：(主)单位全称(成)单位全称】，由联合体</w:t>
            </w:r>
            <w:r>
              <w:rPr>
                <w:rFonts w:hint="eastAsia" w:ascii="宋体" w:hAnsi="宋体" w:eastAsia="宋体" w:cs="宋体"/>
                <w:color w:val="auto"/>
                <w:szCs w:val="21"/>
                <w:highlight w:val="none"/>
                <w:lang w:eastAsia="zh-CN"/>
              </w:rPr>
              <w:t>牵头单位</w:t>
            </w:r>
            <w:r>
              <w:rPr>
                <w:rFonts w:hint="eastAsia" w:ascii="宋体" w:hAnsi="宋体" w:eastAsia="宋体" w:cs="宋体"/>
                <w:b/>
                <w:color w:val="auto"/>
                <w:szCs w:val="21"/>
                <w:highlight w:val="none"/>
              </w:rPr>
              <w:t>按格式要求</w:t>
            </w:r>
            <w:r>
              <w:rPr>
                <w:rFonts w:hint="eastAsia" w:ascii="宋体" w:hAnsi="宋体" w:eastAsia="宋体" w:cs="宋体"/>
                <w:color w:val="auto"/>
                <w:szCs w:val="21"/>
                <w:highlight w:val="none"/>
              </w:rPr>
              <w:t>签字或盖章即可。</w:t>
            </w:r>
          </w:p>
        </w:tc>
      </w:tr>
      <w:tr w14:paraId="2BA7E899">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0C305B5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E0AF7B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u w:val="single"/>
              </w:rPr>
              <w:t>（含定标文件）</w:t>
            </w:r>
            <w:r>
              <w:rPr>
                <w:rFonts w:hint="eastAsia" w:ascii="宋体" w:hAnsi="宋体" w:eastAsia="宋体" w:cs="宋体"/>
                <w:color w:val="auto"/>
                <w:szCs w:val="21"/>
                <w:highlight w:val="none"/>
              </w:rPr>
              <w:t>份数</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59D73A6C">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 </w:t>
            </w:r>
          </w:p>
        </w:tc>
      </w:tr>
      <w:tr w14:paraId="4FFFDE8C">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2D8682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0F5D05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装订要求</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5BA8A537">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w:t>
            </w:r>
          </w:p>
        </w:tc>
      </w:tr>
      <w:tr w14:paraId="5A434148">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00D53E7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D4EDB7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封套上应载明的信息</w:t>
            </w:r>
            <w:r>
              <w:rPr>
                <w:rFonts w:hint="eastAsia" w:ascii="宋体" w:hAnsi="宋体" w:eastAsia="宋体" w:cs="宋体"/>
                <w:color w:val="auto"/>
                <w:szCs w:val="21"/>
                <w:highlight w:val="none"/>
                <w:u w:val="single"/>
              </w:rPr>
              <w:t>（适用于提交备用光盘或U盘的情况）</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62C05F8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招标人名称：</w:t>
            </w:r>
            <w:r>
              <w:rPr>
                <w:rFonts w:hint="eastAsia" w:ascii="宋体" w:hAnsi="宋体" w:cs="宋体"/>
                <w:color w:val="auto"/>
                <w:szCs w:val="21"/>
                <w:highlight w:val="none"/>
                <w:u w:val="single"/>
                <w:lang w:eastAsia="zh-CN"/>
              </w:rPr>
              <w:t>广东省渔业互保协会</w:t>
            </w:r>
            <w:r>
              <w:rPr>
                <w:rFonts w:hint="eastAsia" w:ascii="宋体" w:hAnsi="宋体" w:eastAsia="宋体" w:cs="宋体"/>
                <w:color w:val="auto"/>
                <w:szCs w:val="21"/>
                <w:highlight w:val="none"/>
                <w:u w:val="single"/>
              </w:rPr>
              <w:t xml:space="preserve">，  </w:t>
            </w:r>
          </w:p>
          <w:p w14:paraId="0950F0EC">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招标人地址：</w:t>
            </w:r>
            <w:r>
              <w:rPr>
                <w:rFonts w:hint="eastAsia" w:ascii="宋体" w:hAnsi="宋体" w:cs="宋体"/>
                <w:color w:val="auto"/>
                <w:szCs w:val="21"/>
                <w:highlight w:val="none"/>
                <w:u w:val="single"/>
                <w:lang w:eastAsia="zh-CN"/>
              </w:rPr>
              <w:t>广州市海珠区江南大道中180号1107-0018房</w:t>
            </w:r>
          </w:p>
          <w:p w14:paraId="66A3814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u w:val="single"/>
              </w:rPr>
              <w:t>（含定标文件）</w:t>
            </w:r>
          </w:p>
          <w:p w14:paraId="6796C67D">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招标编号： </w:t>
            </w:r>
            <w:r>
              <w:rPr>
                <w:rFonts w:hint="eastAsia" w:ascii="宋体" w:hAnsi="宋体" w:eastAsia="宋体" w:cs="宋体"/>
                <w:color w:val="auto"/>
                <w:szCs w:val="21"/>
                <w:highlight w:val="none"/>
                <w:u w:val="single"/>
              </w:rPr>
              <w:t xml:space="preserve">              </w:t>
            </w:r>
          </w:p>
          <w:p w14:paraId="637A4800">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投标人名称：</w:t>
            </w:r>
          </w:p>
          <w:p w14:paraId="48BAA8DD">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投标人地址：</w:t>
            </w:r>
          </w:p>
          <w:p w14:paraId="25F65C70">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分前不得开启</w:t>
            </w:r>
          </w:p>
        </w:tc>
      </w:tr>
      <w:tr w14:paraId="6411514A">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7DD11B7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68B15A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w:t>
            </w:r>
            <w:r>
              <w:rPr>
                <w:rFonts w:hint="eastAsia" w:ascii="宋体" w:hAnsi="宋体" w:eastAsia="宋体" w:cs="宋体"/>
                <w:color w:val="auto"/>
                <w:szCs w:val="21"/>
                <w:highlight w:val="none"/>
                <w:u w:val="single"/>
              </w:rPr>
              <w:t>（含定标文件）</w:t>
            </w:r>
            <w:r>
              <w:rPr>
                <w:rFonts w:hint="eastAsia" w:ascii="宋体" w:hAnsi="宋体" w:eastAsia="宋体" w:cs="宋体"/>
                <w:color w:val="auto"/>
                <w:szCs w:val="21"/>
                <w:highlight w:val="none"/>
              </w:rPr>
              <w:t>地点</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3B2940ED">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递交投标文件（含定标文件）开始时间：   年  月  日  时  分；</w:t>
            </w:r>
          </w:p>
          <w:p w14:paraId="4332C50D">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递交投标文件（含定标文件）截止时间：   年  月  日  时  分；</w:t>
            </w:r>
          </w:p>
          <w:p w14:paraId="0E9D5A93">
            <w:pPr>
              <w:snapToGrid w:val="0"/>
              <w:spacing w:beforeLines="0" w:afterLines="0" w:line="320" w:lineRule="exac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投标人应在投标文件（含定标文件）递交截止时间前通过</w:t>
            </w:r>
            <w:r>
              <w:rPr>
                <w:rFonts w:hint="eastAsia" w:ascii="宋体" w:hAnsi="宋体" w:eastAsia="宋体" w:cs="宋体"/>
                <w:b/>
                <w:color w:val="auto"/>
                <w:szCs w:val="21"/>
                <w:highlight w:val="none"/>
                <w:u w:val="single"/>
                <w:lang w:eastAsia="zh-CN"/>
              </w:rPr>
              <w:t>广州交易集团有限公司（广州公共资源交易中心）</w:t>
            </w:r>
            <w:r>
              <w:rPr>
                <w:rFonts w:hint="eastAsia" w:ascii="宋体" w:hAnsi="宋体" w:eastAsia="宋体" w:cs="宋体"/>
                <w:b/>
                <w:color w:val="auto"/>
                <w:szCs w:val="21"/>
                <w:highlight w:val="none"/>
                <w:u w:val="single"/>
              </w:rPr>
              <w:t>电子招标投标交易平台递交电子投标文件（含定标文件）。</w:t>
            </w:r>
          </w:p>
          <w:p w14:paraId="587D2B7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本项目日程安排及地点信息可在</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网站进行查询。</w:t>
            </w:r>
          </w:p>
        </w:tc>
      </w:tr>
      <w:tr w14:paraId="6BB47422">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27A5EDC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757667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是否退还投标文件</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5055BEEC">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14:paraId="2E0FA5D6">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□是</w:t>
            </w:r>
          </w:p>
        </w:tc>
      </w:tr>
      <w:tr w14:paraId="397928D8">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751168A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97A3AF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开标开始时间和地点</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067FBA2D">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开标开始时间：</w:t>
            </w:r>
            <w:r>
              <w:rPr>
                <w:rFonts w:hint="eastAsia" w:ascii="宋体" w:hAnsi="宋体" w:eastAsia="宋体" w:cs="宋体"/>
                <w:color w:val="auto"/>
                <w:szCs w:val="21"/>
                <w:highlight w:val="none"/>
                <w:u w:val="single"/>
              </w:rPr>
              <w:t xml:space="preserve">   年    月   日   时   分</w:t>
            </w:r>
            <w:r>
              <w:rPr>
                <w:rFonts w:hint="eastAsia" w:ascii="宋体" w:hAnsi="宋体" w:eastAsia="宋体" w:cs="宋体"/>
                <w:color w:val="auto"/>
                <w:szCs w:val="21"/>
                <w:highlight w:val="none"/>
              </w:rPr>
              <w:t>；</w:t>
            </w:r>
          </w:p>
          <w:p w14:paraId="5A4016FB">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bidi="ar"/>
              </w:rPr>
              <w:t>广州市天河区天润路333号）</w:t>
            </w:r>
            <w:r>
              <w:rPr>
                <w:rFonts w:hint="eastAsia" w:ascii="宋体" w:hAnsi="宋体" w:eastAsia="宋体" w:cs="宋体"/>
                <w:color w:val="auto"/>
                <w:szCs w:val="21"/>
                <w:highlight w:val="none"/>
                <w:u w:val="single"/>
                <w:lang w:val="en-US" w:eastAsia="zh-CN"/>
              </w:rPr>
              <w:t>指定</w:t>
            </w:r>
            <w:r>
              <w:rPr>
                <w:rFonts w:hint="eastAsia" w:ascii="宋体" w:hAnsi="宋体" w:eastAsia="宋体" w:cs="宋体"/>
                <w:color w:val="auto"/>
                <w:szCs w:val="21"/>
                <w:highlight w:val="none"/>
                <w:u w:val="single"/>
              </w:rPr>
              <w:t>开标室</w:t>
            </w:r>
            <w:r>
              <w:rPr>
                <w:rFonts w:hint="eastAsia" w:ascii="宋体" w:hAnsi="宋体" w:eastAsia="宋体" w:cs="宋体"/>
                <w:color w:val="auto"/>
                <w:szCs w:val="21"/>
                <w:highlight w:val="none"/>
              </w:rPr>
              <w:t>；</w:t>
            </w:r>
          </w:p>
          <w:p w14:paraId="11A29126">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投标人也可选择参加在线开标，具体按照交易平台相关指南进行操作。详见：</w:t>
            </w:r>
            <w:r>
              <w:rPr>
                <w:rFonts w:hint="eastAsia" w:ascii="宋体" w:hAnsi="宋体" w:eastAsia="宋体" w:cs="宋体"/>
                <w:color w:val="auto"/>
                <w:szCs w:val="21"/>
                <w:highlight w:val="none"/>
                <w:u w:val="single"/>
              </w:rPr>
              <w:t>《房屋建筑和市政基础设施工程全流程电子化项目专章》</w:t>
            </w:r>
            <w:r>
              <w:rPr>
                <w:rFonts w:hint="eastAsia" w:ascii="宋体" w:hAnsi="宋体" w:eastAsia="宋体" w:cs="宋体"/>
                <w:color w:val="auto"/>
                <w:szCs w:val="21"/>
                <w:highlight w:val="none"/>
              </w:rPr>
              <w:t>。</w:t>
            </w:r>
          </w:p>
          <w:p w14:paraId="75421B0F">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本项目日程安排及地点信息可在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网站进行查询。</w:t>
            </w:r>
          </w:p>
        </w:tc>
      </w:tr>
      <w:tr w14:paraId="32326827">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79E29BF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B507E6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7D0C6DD2">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14:paraId="6C1D96CC">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14:paraId="4B13E4DD">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（2）在投标截止时间后</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小时</w:t>
            </w:r>
            <w:r>
              <w:rPr>
                <w:rFonts w:hint="eastAsia" w:ascii="宋体" w:hAnsi="宋体" w:eastAsia="宋体" w:cs="宋体"/>
                <w:b/>
                <w:color w:val="auto"/>
                <w:szCs w:val="21"/>
                <w:highlight w:val="none"/>
              </w:rPr>
              <w:t>内</w:t>
            </w:r>
            <w:r>
              <w:rPr>
                <w:rFonts w:hint="eastAsia" w:ascii="宋体" w:hAnsi="宋体" w:eastAsia="宋体" w:cs="宋体"/>
                <w:color w:val="auto"/>
                <w:szCs w:val="21"/>
                <w:highlight w:val="none"/>
              </w:rPr>
              <w:t>，投标人通过递交投标文件</w:t>
            </w:r>
            <w:r>
              <w:rPr>
                <w:rFonts w:hint="eastAsia" w:ascii="宋体" w:hAnsi="宋体" w:eastAsia="宋体" w:cs="宋体"/>
                <w:color w:val="auto"/>
                <w:szCs w:val="21"/>
                <w:highlight w:val="none"/>
                <w:u w:val="single"/>
              </w:rPr>
              <w:t>（含定标文件）</w:t>
            </w:r>
            <w:r>
              <w:rPr>
                <w:rFonts w:hint="eastAsia" w:ascii="宋体" w:hAnsi="宋体" w:eastAsia="宋体" w:cs="宋体"/>
                <w:color w:val="auto"/>
                <w:szCs w:val="21"/>
                <w:highlight w:val="none"/>
              </w:rPr>
              <w:t>的交易平台对已递交的电子投标文件进行解密。投标人完成解密后，再由招标人进行解密（投标人只用执行一次解密，招标人执行解密次数根据招标文件开标次数确定）。</w:t>
            </w:r>
          </w:p>
          <w:p w14:paraId="76A7D7E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解密完成后，公布：a投标人名称；b投标文件递交情况；c投标文件解密情况；d项目负责人（兼施工负责人)、设计负责人、专职安全人员；e投标报价；f工期；g质量标准等主要内容，并记录在案。未在规定时间内解密的投标文件不参与开标、评标。</w:t>
            </w:r>
          </w:p>
          <w:p w14:paraId="271AFA57">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（4）截标后，开标开始时间因故推迟的，相关评标信息仍以原定的开标开始时间的信息为准。</w:t>
            </w:r>
          </w:p>
          <w:p w14:paraId="44BA808F">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（5）备用光盘的读取按“10 电子招标投标”第6点的规定执行。</w:t>
            </w:r>
          </w:p>
          <w:p w14:paraId="3E4A02F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CBB5575">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参加现场开标的投标人对开标结果有异议的，应当在开标现场提出，同时出示本人身份证原件，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B38CD8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（8）投标人未参加开标或在规定的时间内未提出异议的，视为对开标无异议。</w:t>
            </w:r>
          </w:p>
          <w:p w14:paraId="615ED7CC">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（9）开标时，两个（含两个）以上的投标人加密打包投标文件电脑机器特征码一致的，不参与下一程序，并由评标委员会否决其投标。</w:t>
            </w:r>
          </w:p>
          <w:p w14:paraId="7449534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（10）投标人代表、招标人代表、监标人、记录人等有关人员在开标记录上签字确认；若有关人员不签字的，不影响开标程序；</w:t>
            </w:r>
          </w:p>
          <w:p w14:paraId="286FBF12">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（11）开标结束。</w:t>
            </w:r>
          </w:p>
        </w:tc>
      </w:tr>
      <w:tr w14:paraId="7B9A01C2">
        <w:tblPrEx>
          <w:tblCellMar>
            <w:top w:w="0" w:type="dxa"/>
            <w:left w:w="108" w:type="dxa"/>
            <w:bottom w:w="0" w:type="dxa"/>
            <w:right w:w="108" w:type="dxa"/>
          </w:tblCellMar>
        </w:tblPrEx>
        <w:trPr>
          <w:trHeight w:val="567" w:hRule="atLeast"/>
          <w:jc w:val="center"/>
        </w:trPr>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14:paraId="32ED7BA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1994" w:type="dxa"/>
            <w:vMerge w:val="restart"/>
            <w:tcBorders>
              <w:top w:val="single" w:color="auto" w:sz="4" w:space="0"/>
              <w:left w:val="single" w:color="auto" w:sz="4" w:space="0"/>
              <w:right w:val="single" w:color="auto" w:sz="4" w:space="0"/>
            </w:tcBorders>
            <w:noWrap w:val="0"/>
            <w:vAlign w:val="center"/>
          </w:tcPr>
          <w:p w14:paraId="48EFFC3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采用评定分离定标办法</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014F70FB">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u w:val="single"/>
              </w:rPr>
              <w:t>本项目采用“评定分离”办法。</w:t>
            </w:r>
          </w:p>
          <w:p w14:paraId="6353DBEE">
            <w:pPr>
              <w:snapToGrid w:val="0"/>
              <w:spacing w:beforeLines="0" w:afterLines="0" w:line="320" w:lineRule="exac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评标办法：通过制评审法</w:t>
            </w:r>
          </w:p>
          <w:p w14:paraId="1A26FD3A">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评标委员会对投标文件进行初步评审，评出合格的投标人。若通过初步评审的合格投标人大于等于3家的，则全部通过初步评审的合格投标人进入定标阶段。</w:t>
            </w:r>
          </w:p>
        </w:tc>
      </w:tr>
      <w:tr w14:paraId="66E90C8C">
        <w:tblPrEx>
          <w:tblCellMar>
            <w:top w:w="0" w:type="dxa"/>
            <w:left w:w="108" w:type="dxa"/>
            <w:bottom w:w="0" w:type="dxa"/>
            <w:right w:w="108" w:type="dxa"/>
          </w:tblCellMar>
        </w:tblPrEx>
        <w:trPr>
          <w:trHeight w:val="567" w:hRule="atLeast"/>
          <w:jc w:val="center"/>
        </w:trPr>
        <w:tc>
          <w:tcPr>
            <w:tcW w:w="946" w:type="dxa"/>
            <w:vMerge w:val="continue"/>
            <w:tcBorders>
              <w:left w:val="single" w:color="auto" w:sz="4" w:space="0"/>
              <w:right w:val="single" w:color="auto" w:sz="4" w:space="0"/>
            </w:tcBorders>
            <w:noWrap w:val="0"/>
            <w:vAlign w:val="center"/>
          </w:tcPr>
          <w:p w14:paraId="0A995CAB">
            <w:pPr>
              <w:snapToGrid w:val="0"/>
              <w:spacing w:beforeLines="0" w:afterLines="0" w:line="320" w:lineRule="exact"/>
              <w:jc w:val="center"/>
              <w:rPr>
                <w:rFonts w:hint="eastAsia" w:ascii="宋体" w:hAnsi="宋体" w:eastAsia="宋体" w:cs="宋体"/>
                <w:color w:val="auto"/>
                <w:szCs w:val="21"/>
                <w:highlight w:val="none"/>
              </w:rPr>
            </w:pPr>
          </w:p>
        </w:tc>
        <w:tc>
          <w:tcPr>
            <w:tcW w:w="1994" w:type="dxa"/>
            <w:vMerge w:val="continue"/>
            <w:tcBorders>
              <w:left w:val="single" w:color="auto" w:sz="4" w:space="0"/>
              <w:right w:val="single" w:color="auto" w:sz="4" w:space="0"/>
            </w:tcBorders>
            <w:noWrap w:val="0"/>
            <w:vAlign w:val="center"/>
          </w:tcPr>
          <w:p w14:paraId="68795613">
            <w:pPr>
              <w:snapToGrid w:val="0"/>
              <w:spacing w:beforeLines="0" w:afterLines="0" w:line="320" w:lineRule="exact"/>
              <w:jc w:val="center"/>
              <w:rPr>
                <w:rFonts w:hint="eastAsia" w:ascii="宋体" w:hAnsi="宋体" w:eastAsia="宋体" w:cs="宋体"/>
                <w:color w:val="auto"/>
                <w:szCs w:val="21"/>
                <w:highlight w:val="none"/>
                <w:u w:val="single"/>
              </w:rPr>
            </w:pPr>
          </w:p>
        </w:tc>
        <w:tc>
          <w:tcPr>
            <w:tcW w:w="7019" w:type="dxa"/>
            <w:tcBorders>
              <w:top w:val="single" w:color="auto" w:sz="4" w:space="0"/>
              <w:left w:val="single" w:color="auto" w:sz="4" w:space="0"/>
              <w:bottom w:val="single" w:color="auto" w:sz="4" w:space="0"/>
              <w:right w:val="single" w:color="auto" w:sz="4" w:space="0"/>
            </w:tcBorders>
            <w:noWrap w:val="0"/>
            <w:vAlign w:val="center"/>
          </w:tcPr>
          <w:p w14:paraId="5925C6FA">
            <w:pPr>
              <w:snapToGrid w:val="0"/>
              <w:spacing w:beforeLines="0" w:afterLines="0" w:line="320" w:lineRule="exac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定标办法：</w:t>
            </w:r>
            <w:r>
              <w:rPr>
                <w:rFonts w:hint="eastAsia" w:ascii="宋体" w:hAnsi="宋体" w:eastAsia="宋体" w:cs="宋体"/>
                <w:b/>
                <w:bCs/>
                <w:color w:val="auto"/>
                <w:szCs w:val="21"/>
                <w:highlight w:val="none"/>
                <w:u w:val="single"/>
                <w:lang w:val="en-US" w:eastAsia="zh-CN"/>
              </w:rPr>
              <w:t>采用评分法</w:t>
            </w:r>
            <w:r>
              <w:rPr>
                <w:rFonts w:hint="eastAsia" w:ascii="宋体" w:hAnsi="宋体" w:eastAsia="宋体" w:cs="宋体"/>
                <w:b/>
                <w:bCs/>
                <w:color w:val="auto"/>
                <w:szCs w:val="21"/>
                <w:highlight w:val="none"/>
                <w:u w:val="single"/>
              </w:rPr>
              <w:t>。</w:t>
            </w:r>
          </w:p>
          <w:p w14:paraId="092ABFB1">
            <w:pPr>
              <w:snapToGrid w:val="0"/>
              <w:spacing w:beforeLines="0" w:afterLines="0" w:line="320" w:lineRule="exact"/>
              <w:rPr>
                <w:rFonts w:hint="eastAsia" w:ascii="宋体" w:hAnsi="宋体" w:eastAsia="宋体" w:cs="宋体"/>
                <w:b/>
                <w:bCs/>
                <w:color w:val="auto"/>
                <w:szCs w:val="21"/>
                <w:highlight w:val="none"/>
                <w:u w:val="single"/>
              </w:rPr>
            </w:pPr>
            <w:r>
              <w:rPr>
                <w:rFonts w:hint="eastAsia" w:ascii="宋体" w:hAnsi="宋体" w:eastAsia="宋体" w:cs="宋体"/>
                <w:b w:val="0"/>
                <w:bCs w:val="0"/>
                <w:color w:val="auto"/>
                <w:szCs w:val="21"/>
                <w:highlight w:val="none"/>
                <w:u w:val="single"/>
              </w:rPr>
              <w:t>总得分</w:t>
            </w:r>
            <w:r>
              <w:rPr>
                <w:rFonts w:hint="eastAsia" w:ascii="宋体" w:hAnsi="宋体" w:eastAsia="宋体" w:cs="宋体"/>
                <w:b w:val="0"/>
                <w:bCs w:val="0"/>
                <w:color w:val="auto"/>
                <w:szCs w:val="21"/>
                <w:highlight w:val="none"/>
                <w:u w:val="single"/>
                <w:lang w:eastAsia="zh-CN"/>
              </w:rPr>
              <w:t>（</w:t>
            </w:r>
            <w:r>
              <w:rPr>
                <w:rFonts w:hint="eastAsia" w:ascii="宋体" w:hAnsi="宋体" w:eastAsia="宋体" w:cs="宋体"/>
                <w:b w:val="0"/>
                <w:bCs w:val="0"/>
                <w:color w:val="auto"/>
                <w:szCs w:val="21"/>
                <w:highlight w:val="none"/>
                <w:u w:val="single"/>
                <w:lang w:val="en-US" w:eastAsia="zh-CN"/>
              </w:rPr>
              <w:t>满分100分</w:t>
            </w:r>
            <w:r>
              <w:rPr>
                <w:rFonts w:hint="eastAsia" w:ascii="宋体" w:hAnsi="宋体" w:eastAsia="宋体" w:cs="宋体"/>
                <w:b w:val="0"/>
                <w:bCs w:val="0"/>
                <w:color w:val="auto"/>
                <w:szCs w:val="21"/>
                <w:highlight w:val="none"/>
                <w:u w:val="single"/>
                <w:lang w:eastAsia="zh-CN"/>
              </w:rPr>
              <w:t>）</w:t>
            </w:r>
            <w:r>
              <w:rPr>
                <w:rFonts w:hint="eastAsia" w:ascii="宋体" w:hAnsi="宋体" w:eastAsia="宋体" w:cs="宋体"/>
                <w:b w:val="0"/>
                <w:bCs w:val="0"/>
                <w:color w:val="auto"/>
                <w:szCs w:val="21"/>
                <w:highlight w:val="none"/>
                <w:u w:val="single"/>
              </w:rPr>
              <w:t>=方案因素（</w:t>
            </w:r>
            <w:r>
              <w:rPr>
                <w:rFonts w:hint="eastAsia" w:ascii="宋体" w:hAnsi="宋体" w:cs="宋体"/>
                <w:b w:val="0"/>
                <w:bCs w:val="0"/>
                <w:color w:val="auto"/>
                <w:szCs w:val="21"/>
                <w:highlight w:val="none"/>
                <w:u w:val="single"/>
                <w:lang w:val="en-US" w:eastAsia="zh-CN"/>
              </w:rPr>
              <w:t>7</w:t>
            </w:r>
            <w:r>
              <w:rPr>
                <w:rFonts w:hint="eastAsia" w:ascii="宋体" w:hAnsi="宋体" w:eastAsia="宋体" w:cs="宋体"/>
                <w:b w:val="0"/>
                <w:bCs w:val="0"/>
                <w:color w:val="auto"/>
                <w:szCs w:val="21"/>
                <w:highlight w:val="none"/>
                <w:u w:val="single"/>
                <w:lang w:val="en-US" w:eastAsia="zh-CN"/>
              </w:rPr>
              <w:t>0</w:t>
            </w:r>
            <w:r>
              <w:rPr>
                <w:rFonts w:hint="eastAsia" w:ascii="宋体" w:hAnsi="宋体" w:eastAsia="宋体" w:cs="宋体"/>
                <w:b w:val="0"/>
                <w:bCs w:val="0"/>
                <w:color w:val="auto"/>
                <w:szCs w:val="21"/>
                <w:highlight w:val="none"/>
                <w:u w:val="single"/>
              </w:rPr>
              <w:t>分）+</w:t>
            </w:r>
            <w:r>
              <w:rPr>
                <w:rFonts w:hint="eastAsia" w:ascii="宋体" w:hAnsi="宋体" w:eastAsia="宋体" w:cs="宋体"/>
                <w:b w:val="0"/>
                <w:bCs w:val="0"/>
                <w:color w:val="auto"/>
                <w:szCs w:val="21"/>
                <w:highlight w:val="none"/>
                <w:u w:val="single"/>
                <w:lang w:val="en-US" w:eastAsia="zh-CN"/>
              </w:rPr>
              <w:t>资信因素（10分）+</w:t>
            </w:r>
            <w:r>
              <w:rPr>
                <w:rFonts w:hint="eastAsia" w:ascii="宋体" w:hAnsi="宋体" w:eastAsia="宋体" w:cs="宋体"/>
                <w:b w:val="0"/>
                <w:bCs w:val="0"/>
                <w:color w:val="auto"/>
                <w:szCs w:val="21"/>
                <w:highlight w:val="none"/>
                <w:u w:val="single"/>
              </w:rPr>
              <w:t>价格因素得分（</w:t>
            </w:r>
            <w:r>
              <w:rPr>
                <w:rFonts w:hint="eastAsia" w:ascii="宋体" w:hAnsi="宋体" w:cs="宋体"/>
                <w:b w:val="0"/>
                <w:bCs w:val="0"/>
                <w:color w:val="auto"/>
                <w:szCs w:val="21"/>
                <w:highlight w:val="none"/>
                <w:u w:val="single"/>
                <w:lang w:val="en-US" w:eastAsia="zh-CN"/>
              </w:rPr>
              <w:t>2</w:t>
            </w:r>
            <w:r>
              <w:rPr>
                <w:rFonts w:hint="eastAsia" w:ascii="宋体" w:hAnsi="宋体" w:eastAsia="宋体" w:cs="宋体"/>
                <w:b w:val="0"/>
                <w:bCs w:val="0"/>
                <w:color w:val="auto"/>
                <w:szCs w:val="21"/>
                <w:highlight w:val="none"/>
                <w:u w:val="single"/>
              </w:rPr>
              <w:t>0分）</w:t>
            </w:r>
          </w:p>
        </w:tc>
      </w:tr>
      <w:tr w14:paraId="4F71F7A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6687C57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AA6D082">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进入</w:t>
            </w:r>
            <w:r>
              <w:rPr>
                <w:rFonts w:hint="eastAsia" w:ascii="宋体" w:hAnsi="宋体" w:eastAsia="宋体" w:cs="宋体"/>
                <w:color w:val="auto"/>
                <w:szCs w:val="21"/>
                <w:highlight w:val="none"/>
                <w:u w:val="single"/>
              </w:rPr>
              <w:t>定标阶段合格的中标候选人</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4D3262DB">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除投标文件出现无效投标情形外，所有投标人均推荐为定标阶段合格候选人【合格的中标候选人不排序，按统一社会信用代码后4位（除校验码外）大小排位，如统一社会信用代码后4位（除校验码外）出现字母情况的，字母以“0”进行代替大小排位；如出现后4位（除校验码外）大小一致的，则随机排位】。</w:t>
            </w:r>
          </w:p>
        </w:tc>
      </w:tr>
      <w:tr w14:paraId="3899FEA3">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7946FFC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177B5D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1B8EAE45">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single"/>
              </w:rPr>
              <w:t>评标委员会由招标人依法组建</w:t>
            </w:r>
            <w:r>
              <w:rPr>
                <w:rFonts w:hint="eastAsia" w:ascii="宋体" w:hAnsi="宋体" w:eastAsia="宋体" w:cs="宋体"/>
                <w:color w:val="auto"/>
                <w:kern w:val="0"/>
                <w:szCs w:val="21"/>
                <w:highlight w:val="none"/>
              </w:rPr>
              <w:t>。</w:t>
            </w:r>
          </w:p>
        </w:tc>
      </w:tr>
      <w:tr w14:paraId="161F5637">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5EC0E5B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CC5B85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定标委员会的组建</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7E285173">
            <w:pPr>
              <w:pStyle w:val="16"/>
              <w:snapToGrid w:val="0"/>
              <w:spacing w:beforeLines="0" w:after="0" w:afterLines="0" w:line="32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定标委员会由招标人依法组建</w:t>
            </w:r>
            <w:r>
              <w:rPr>
                <w:rFonts w:hint="eastAsia" w:ascii="宋体" w:hAnsi="宋体" w:eastAsia="宋体" w:cs="宋体"/>
                <w:color w:val="auto"/>
                <w:szCs w:val="21"/>
                <w:highlight w:val="none"/>
              </w:rPr>
              <w:t>。</w:t>
            </w:r>
          </w:p>
        </w:tc>
      </w:tr>
      <w:tr w14:paraId="6161FFEF">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8C2E3B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9A53D7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3443572F">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7186C554">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■否，推荐</w:t>
            </w:r>
            <w:r>
              <w:rPr>
                <w:rFonts w:hint="eastAsia" w:ascii="宋体" w:hAnsi="宋体" w:eastAsia="宋体" w:cs="宋体"/>
                <w:color w:val="auto"/>
                <w:szCs w:val="21"/>
                <w:highlight w:val="none"/>
                <w:lang w:val="en-US" w:eastAsia="zh-CN"/>
              </w:rPr>
              <w:t>合格</w:t>
            </w:r>
            <w:r>
              <w:rPr>
                <w:rFonts w:hint="eastAsia" w:ascii="宋体" w:hAnsi="宋体" w:eastAsia="宋体" w:cs="宋体"/>
                <w:color w:val="auto"/>
                <w:szCs w:val="21"/>
                <w:highlight w:val="none"/>
              </w:rPr>
              <w:t>的中标候选人数：</w:t>
            </w:r>
            <w:r>
              <w:rPr>
                <w:rFonts w:hint="eastAsia" w:ascii="宋体" w:hAnsi="宋体" w:eastAsia="宋体" w:cs="宋体"/>
                <w:color w:val="auto"/>
                <w:szCs w:val="21"/>
                <w:highlight w:val="none"/>
                <w:u w:val="single"/>
              </w:rPr>
              <w:t>通过初步评审的投标人均进入定标阶段</w:t>
            </w:r>
            <w:r>
              <w:rPr>
                <w:rFonts w:hint="eastAsia" w:ascii="宋体" w:hAnsi="宋体" w:eastAsia="宋体" w:cs="宋体"/>
                <w:color w:val="auto"/>
                <w:szCs w:val="21"/>
                <w:highlight w:val="none"/>
              </w:rPr>
              <w:t>。</w:t>
            </w:r>
          </w:p>
        </w:tc>
      </w:tr>
      <w:tr w14:paraId="35DABA5E">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0A5756D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94085A2">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合格的</w:t>
            </w:r>
            <w:r>
              <w:rPr>
                <w:rFonts w:hint="eastAsia" w:ascii="宋体" w:hAnsi="宋体" w:eastAsia="宋体" w:cs="宋体"/>
                <w:color w:val="auto"/>
                <w:szCs w:val="21"/>
                <w:highlight w:val="none"/>
              </w:rPr>
              <w:t>中标候选人公示媒介</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5B59B78B">
            <w:pPr>
              <w:snapToGrid w:val="0"/>
              <w:spacing w:beforeLines="0" w:afterLines="0" w:line="320" w:lineRule="exact"/>
              <w:rPr>
                <w:rFonts w:hint="eastAsia" w:ascii="宋体" w:hAnsi="宋体" w:eastAsia="宋体" w:cs="宋体"/>
                <w:color w:val="auto"/>
                <w:kern w:val="0"/>
                <w:szCs w:val="21"/>
                <w:highlight w:val="none"/>
              </w:rPr>
            </w:pPr>
            <w:r>
              <w:rPr>
                <w:rFonts w:hint="eastAsia" w:ascii="宋体" w:hAnsi="宋体" w:cs="宋体"/>
                <w:color w:val="auto"/>
                <w:szCs w:val="21"/>
                <w:highlight w:val="none"/>
                <w:lang w:eastAsia="zh-CN"/>
              </w:rPr>
              <w:t>广州交易集团有限公司（广州公共资源交易中心）</w:t>
            </w:r>
            <w:r>
              <w:rPr>
                <w:rFonts w:hint="eastAsia" w:ascii="宋体" w:hAnsi="宋体" w:eastAsia="宋体" w:cs="宋体"/>
                <w:color w:val="auto"/>
                <w:kern w:val="0"/>
                <w:szCs w:val="21"/>
                <w:highlight w:val="none"/>
                <w:u w:val="single"/>
              </w:rPr>
              <w:t>网站、中国招标投标公共服务平台</w:t>
            </w:r>
            <w:r>
              <w:rPr>
                <w:rFonts w:hint="eastAsia" w:ascii="宋体" w:hAnsi="宋体" w:eastAsia="宋体" w:cs="宋体"/>
                <w:color w:val="auto"/>
                <w:kern w:val="0"/>
                <w:szCs w:val="21"/>
                <w:highlight w:val="none"/>
              </w:rPr>
              <w:t>。</w:t>
            </w:r>
          </w:p>
          <w:p w14:paraId="7D19495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投标人或其他利害关系人对评标结果有异议的，应当在</w:t>
            </w:r>
            <w:r>
              <w:rPr>
                <w:rFonts w:hint="eastAsia" w:ascii="宋体" w:hAnsi="宋体" w:eastAsia="宋体" w:cs="宋体"/>
                <w:color w:val="auto"/>
                <w:kern w:val="0"/>
                <w:szCs w:val="21"/>
                <w:highlight w:val="none"/>
                <w:lang w:val="en-US" w:eastAsia="zh-CN"/>
              </w:rPr>
              <w:t>合格的</w:t>
            </w:r>
            <w:r>
              <w:rPr>
                <w:rFonts w:hint="eastAsia" w:ascii="宋体" w:hAnsi="宋体" w:eastAsia="宋体" w:cs="宋体"/>
                <w:color w:val="auto"/>
                <w:kern w:val="0"/>
                <w:szCs w:val="21"/>
                <w:highlight w:val="none"/>
              </w:rPr>
              <w:t>中标候选人公示期间提出，可以通过线下或线上的形式提出异议。线上提交的，应通过交易平台进行，招标人也应通过交易平台答复线上提交的异议。作出答复前，应当暂停招标投标活动。</w:t>
            </w:r>
          </w:p>
        </w:tc>
      </w:tr>
      <w:tr w14:paraId="0CB5BE01">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2BAB73A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FBF2A4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6416C01E">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履约担保的形式：</w:t>
            </w:r>
            <w:r>
              <w:rPr>
                <w:rFonts w:hint="eastAsia" w:ascii="宋体" w:hAnsi="宋体" w:eastAsia="宋体" w:cs="宋体"/>
                <w:color w:val="auto"/>
                <w:szCs w:val="21"/>
                <w:highlight w:val="none"/>
                <w:u w:val="single"/>
              </w:rPr>
              <w:t>以合同约定为准</w:t>
            </w:r>
            <w:r>
              <w:rPr>
                <w:rFonts w:hint="eastAsia" w:ascii="宋体" w:hAnsi="宋体" w:eastAsia="宋体" w:cs="宋体"/>
                <w:color w:val="auto"/>
                <w:szCs w:val="21"/>
                <w:highlight w:val="none"/>
              </w:rPr>
              <w:t>。</w:t>
            </w:r>
          </w:p>
          <w:p w14:paraId="16607384">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履约担保的金额：</w:t>
            </w:r>
            <w:r>
              <w:rPr>
                <w:rFonts w:hint="eastAsia" w:ascii="宋体" w:hAnsi="宋体" w:eastAsia="宋体" w:cs="宋体"/>
                <w:color w:val="auto"/>
                <w:szCs w:val="21"/>
                <w:highlight w:val="none"/>
                <w:u w:val="single"/>
              </w:rPr>
              <w:t>中标总价的10%</w:t>
            </w:r>
            <w:r>
              <w:rPr>
                <w:rFonts w:hint="eastAsia" w:ascii="宋体" w:hAnsi="宋体" w:eastAsia="宋体" w:cs="宋体"/>
                <w:color w:val="auto"/>
                <w:szCs w:val="21"/>
                <w:highlight w:val="none"/>
              </w:rPr>
              <w:t>。</w:t>
            </w:r>
          </w:p>
        </w:tc>
      </w:tr>
      <w:tr w14:paraId="3E43A199">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DC7EEC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252D78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成本警戒价</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1C475CA6">
            <w:pPr>
              <w:pStyle w:val="11"/>
              <w:wordWrap w:val="0"/>
              <w:snapToGrid w:val="0"/>
              <w:spacing w:beforeLines="0" w:afterLines="0" w:line="320" w:lineRule="exact"/>
              <w:ind w:left="0" w:leftChars="0" w:hanging="1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成本警戒价按</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最高投标限价的</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设置，为</w:t>
            </w:r>
            <w:r>
              <w:rPr>
                <w:rFonts w:hint="eastAsia" w:ascii="宋体" w:hAnsi="宋体" w:eastAsia="宋体" w:cs="宋体"/>
                <w:color w:val="auto"/>
                <w:szCs w:val="21"/>
                <w:highlight w:val="none"/>
                <w:lang w:val="en-US" w:eastAsia="zh-CN"/>
              </w:rPr>
              <w:t>人民币</w:t>
            </w:r>
            <w:r>
              <w:rPr>
                <w:rFonts w:hint="eastAsia" w:hAnsi="宋体" w:cs="宋体"/>
                <w:color w:val="auto"/>
                <w:szCs w:val="21"/>
                <w:highlight w:val="none"/>
                <w:lang w:val="en-US" w:eastAsia="zh-CN"/>
              </w:rPr>
              <w:t>1948.14万</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w:t>
            </w:r>
          </w:p>
          <w:p w14:paraId="42E67108">
            <w:pPr>
              <w:pStyle w:val="11"/>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对低于该警戒价的</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报价，投标人必须提供详细的施工组织设计、单价、措施性费用、单价分析表、主要材料价格表、投标人成本分析供评标委员会评审，由评标委员会判定其是否低于企业自身成本。在评标过程中，评标委员会发现投标人的</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报价明显低于其他投标</w:t>
            </w:r>
            <w:r>
              <w:rPr>
                <w:rFonts w:hint="eastAsia" w:ascii="宋体" w:hAnsi="宋体" w:eastAsia="宋体" w:cs="宋体"/>
                <w:color w:val="auto"/>
                <w:szCs w:val="21"/>
                <w:highlight w:val="none"/>
                <w:lang w:val="en-US" w:eastAsia="zh-CN"/>
              </w:rPr>
              <w:t>人的</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报价或者低于</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成本警戒价，使得其</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56A0E34C">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68D3B991">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9013" w:type="dxa"/>
            <w:gridSpan w:val="2"/>
            <w:tcBorders>
              <w:top w:val="single" w:color="auto" w:sz="4" w:space="0"/>
              <w:left w:val="single" w:color="auto" w:sz="4" w:space="0"/>
              <w:bottom w:val="single" w:color="auto" w:sz="4" w:space="0"/>
              <w:right w:val="single" w:color="auto" w:sz="4" w:space="0"/>
            </w:tcBorders>
            <w:noWrap w:val="0"/>
            <w:vAlign w:val="center"/>
          </w:tcPr>
          <w:p w14:paraId="16E39FCE">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需要补充的其他内容</w:t>
            </w:r>
          </w:p>
        </w:tc>
      </w:tr>
      <w:tr w14:paraId="0F1A83B6">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E93E3A0">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9.1</w:t>
            </w:r>
          </w:p>
        </w:tc>
        <w:tc>
          <w:tcPr>
            <w:tcW w:w="9013" w:type="dxa"/>
            <w:gridSpan w:val="2"/>
            <w:tcBorders>
              <w:top w:val="single" w:color="auto" w:sz="4" w:space="0"/>
              <w:left w:val="single" w:color="auto" w:sz="4" w:space="0"/>
              <w:bottom w:val="single" w:color="auto" w:sz="4" w:space="0"/>
              <w:right w:val="single" w:color="auto" w:sz="4" w:space="0"/>
            </w:tcBorders>
            <w:noWrap w:val="0"/>
            <w:vAlign w:val="center"/>
          </w:tcPr>
          <w:p w14:paraId="0E129E59">
            <w:pPr>
              <w:widowControl/>
              <w:snapToGrid w:val="0"/>
              <w:spacing w:beforeLines="0" w:afterLines="0"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建设工程质量检测单位：</w:t>
            </w:r>
          </w:p>
          <w:p w14:paraId="3CDD9D1A">
            <w:pPr>
              <w:snapToGrid w:val="0"/>
              <w:spacing w:beforeLines="0" w:afterLines="0" w:line="320" w:lineRule="exact"/>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3EB3A750">
        <w:tblPrEx>
          <w:tblCellMar>
            <w:top w:w="0" w:type="dxa"/>
            <w:left w:w="108" w:type="dxa"/>
            <w:bottom w:w="0" w:type="dxa"/>
            <w:right w:w="108" w:type="dxa"/>
          </w:tblCellMar>
        </w:tblPrEx>
        <w:trPr>
          <w:trHeight w:val="9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FFBE6F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9.2</w:t>
            </w:r>
          </w:p>
        </w:tc>
        <w:tc>
          <w:tcPr>
            <w:tcW w:w="9013" w:type="dxa"/>
            <w:gridSpan w:val="2"/>
            <w:tcBorders>
              <w:top w:val="single" w:color="auto" w:sz="4" w:space="0"/>
              <w:left w:val="single" w:color="auto" w:sz="4" w:space="0"/>
              <w:bottom w:val="single" w:color="auto" w:sz="4" w:space="0"/>
              <w:right w:val="single" w:color="auto" w:sz="4" w:space="0"/>
            </w:tcBorders>
            <w:noWrap w:val="0"/>
            <w:vAlign w:val="center"/>
          </w:tcPr>
          <w:p w14:paraId="4560E5F3">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保修期限：按照《建设工程质量管理条例》规定。</w:t>
            </w:r>
          </w:p>
        </w:tc>
      </w:tr>
      <w:tr w14:paraId="521307DE">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24EA069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9.3</w:t>
            </w:r>
          </w:p>
        </w:tc>
        <w:tc>
          <w:tcPr>
            <w:tcW w:w="9013" w:type="dxa"/>
            <w:gridSpan w:val="2"/>
            <w:tcBorders>
              <w:top w:val="single" w:color="auto" w:sz="4" w:space="0"/>
              <w:left w:val="single" w:color="auto" w:sz="4" w:space="0"/>
              <w:bottom w:val="single" w:color="auto" w:sz="4" w:space="0"/>
              <w:right w:val="single" w:color="auto" w:sz="4" w:space="0"/>
            </w:tcBorders>
            <w:noWrap w:val="0"/>
            <w:vAlign w:val="center"/>
          </w:tcPr>
          <w:p w14:paraId="567E2A51">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方式：包设计(含深化设计)、包工程施工、包工、包料、包设备、包工期、包质量、包造价控制、包安全、包文明施工、包验收通过、包保修、包工程概、预算编制、包变更预算及结算编制、包项目协调管理、包验收移交、包竣工资料收集整理。</w:t>
            </w:r>
          </w:p>
          <w:p w14:paraId="3E3C965F">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结算方式具体按合同条款规定。</w:t>
            </w:r>
          </w:p>
          <w:p w14:paraId="2664C575">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本工程实行全过程限额设计施工，限额投资。工程变更需经过建设单位审定后方可实施</w:t>
            </w:r>
            <w:r>
              <w:rPr>
                <w:rFonts w:hint="eastAsia" w:ascii="宋体" w:hAnsi="宋体" w:eastAsia="宋体" w:cs="宋体"/>
                <w:color w:val="auto"/>
                <w:szCs w:val="21"/>
                <w:highlight w:val="none"/>
                <w:lang w:eastAsia="zh-CN"/>
              </w:rPr>
              <w:t>，但不论因</w:t>
            </w:r>
            <w:r>
              <w:rPr>
                <w:rFonts w:hint="eastAsia" w:ascii="宋体" w:hAnsi="宋体" w:eastAsia="宋体" w:cs="宋体"/>
                <w:color w:val="auto"/>
                <w:szCs w:val="21"/>
                <w:highlight w:val="none"/>
              </w:rPr>
              <w:t>任何</w:t>
            </w:r>
            <w:r>
              <w:rPr>
                <w:rFonts w:hint="eastAsia" w:ascii="宋体" w:hAnsi="宋体" w:eastAsia="宋体" w:cs="宋体"/>
                <w:color w:val="auto"/>
                <w:szCs w:val="21"/>
                <w:highlight w:val="none"/>
                <w:lang w:eastAsia="zh-CN"/>
              </w:rPr>
              <w:t>原因</w:t>
            </w:r>
            <w:r>
              <w:rPr>
                <w:rFonts w:hint="eastAsia" w:ascii="宋体" w:hAnsi="宋体" w:eastAsia="宋体" w:cs="宋体"/>
                <w:color w:val="auto"/>
                <w:szCs w:val="21"/>
                <w:highlight w:val="none"/>
              </w:rPr>
              <w:t>引起的设计和施工调整</w:t>
            </w:r>
            <w:r>
              <w:rPr>
                <w:rFonts w:hint="eastAsia" w:ascii="宋体" w:hAnsi="宋体" w:eastAsia="宋体" w:cs="宋体"/>
                <w:color w:val="auto"/>
                <w:szCs w:val="21"/>
                <w:highlight w:val="none"/>
                <w:lang w:eastAsia="zh-CN"/>
              </w:rPr>
              <w:t>，本工程</w:t>
            </w:r>
            <w:r>
              <w:rPr>
                <w:rFonts w:hint="eastAsia" w:ascii="宋体" w:hAnsi="宋体" w:eastAsia="宋体" w:cs="宋体"/>
                <w:color w:val="auto"/>
                <w:szCs w:val="21"/>
                <w:highlight w:val="none"/>
              </w:rPr>
              <w:t>最终造价不得超过最高投标限价。</w:t>
            </w:r>
          </w:p>
        </w:tc>
      </w:tr>
      <w:tr w14:paraId="3CD831FA">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3CB841C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B41A9E7">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电子招标投标</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17674A74">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14:paraId="1CDD1E6E">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■是，具体要求：</w:t>
            </w:r>
          </w:p>
          <w:p w14:paraId="2F459A1F">
            <w:pPr>
              <w:pStyle w:val="14"/>
              <w:numPr>
                <w:ilvl w:val="0"/>
                <w:numId w:val="1"/>
              </w:numPr>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投标文件形式：投标文件全部采用电子文档，投标文件应按</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相关操作指南编制。如不按上述要求编制引起系统无法检索、读取相关信息的，其后果由投标人承担。投标文件所附证书证件均为清晰扫描件，并采用单位数字证书，按招标文件要求在相应位置加盖电子印章。投标文件中需个人签字或盖章的，应加盖个人电子印章或在线下完成后扫描上传。具体操作详见</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数字交易平台相关操作指南。</w:t>
            </w:r>
          </w:p>
          <w:p w14:paraId="1F45FE13">
            <w:pPr>
              <w:numPr>
                <w:ilvl w:val="0"/>
                <w:numId w:val="0"/>
              </w:numPr>
              <w:snapToGrid w:val="0"/>
              <w:spacing w:beforeLines="0" w:afterLines="0" w:line="32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注释：投标文件电子文档需要投标人单位盖章的材料，投标人加盖电子印章即可，不得将投标人未对电子文档加盖实物印章作为否决投标的情形。</w:t>
            </w:r>
          </w:p>
          <w:p w14:paraId="3CEAA802">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2、投标文件的修改与撤回：投标人修改或撤回已递交的投标文件，需在</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数字交易平台发出撤回通知，并按要求加盖电子印章。电子招标投标数字交易平台收到通知后，即时向投标人发出确认回执通知。</w:t>
            </w:r>
          </w:p>
          <w:p w14:paraId="50DA9FDA">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投标文件备用光盘或u盘无法读取或导入的，则视为未提交投标文件备用光盘或u盘。如果投标人没有按规定通过</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数字交易平台网上递交电子投标文件的，不再读取提交的备用光盘或u盘。投标人也可不提交投标文件备用光盘或u盘。</w:t>
            </w:r>
          </w:p>
          <w:p w14:paraId="2ECB8B41">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4、投标文件</w:t>
            </w:r>
            <w:r>
              <w:rPr>
                <w:rFonts w:hint="eastAsia" w:ascii="宋体" w:hAnsi="宋体" w:eastAsia="宋体" w:cs="宋体"/>
                <w:b w:val="0"/>
                <w:color w:val="auto"/>
                <w:sz w:val="21"/>
                <w:szCs w:val="21"/>
                <w:highlight w:val="none"/>
                <w:u w:val="single"/>
              </w:rPr>
              <w:t>（含定标文件）</w:t>
            </w:r>
            <w:r>
              <w:rPr>
                <w:rFonts w:hint="eastAsia" w:ascii="宋体" w:hAnsi="宋体" w:eastAsia="宋体" w:cs="宋体"/>
                <w:b w:val="0"/>
                <w:color w:val="auto"/>
                <w:sz w:val="21"/>
                <w:szCs w:val="21"/>
                <w:highlight w:val="none"/>
              </w:rPr>
              <w:t>的递交：</w:t>
            </w:r>
          </w:p>
          <w:p w14:paraId="54177680">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①投标文件</w:t>
            </w:r>
            <w:r>
              <w:rPr>
                <w:rFonts w:hint="eastAsia" w:ascii="宋体" w:hAnsi="宋体" w:eastAsia="宋体" w:cs="宋体"/>
                <w:b w:val="0"/>
                <w:color w:val="auto"/>
                <w:sz w:val="21"/>
                <w:szCs w:val="21"/>
                <w:highlight w:val="none"/>
                <w:u w:val="single"/>
              </w:rPr>
              <w:t>（含定标文件）</w:t>
            </w:r>
            <w:r>
              <w:rPr>
                <w:rFonts w:hint="eastAsia" w:ascii="宋体" w:hAnsi="宋体" w:eastAsia="宋体" w:cs="宋体"/>
                <w:b w:val="0"/>
                <w:color w:val="auto"/>
                <w:sz w:val="21"/>
                <w:szCs w:val="21"/>
                <w:highlight w:val="none"/>
              </w:rPr>
              <w:t>递交的截止时间（投标截止时间，下同）为</w:t>
            </w:r>
            <w:r>
              <w:rPr>
                <w:rFonts w:hint="eastAsia" w:ascii="宋体" w:hAnsi="宋体" w:eastAsia="宋体" w:cs="宋体"/>
                <w:b w:val="0"/>
                <w:color w:val="auto"/>
                <w:sz w:val="21"/>
                <w:szCs w:val="21"/>
                <w:highlight w:val="none"/>
                <w:u w:val="single"/>
              </w:rPr>
              <w:t xml:space="preserve">     年  月  日  时  分</w:t>
            </w:r>
            <w:r>
              <w:rPr>
                <w:rFonts w:hint="eastAsia" w:ascii="宋体" w:hAnsi="宋体" w:eastAsia="宋体" w:cs="宋体"/>
                <w:b w:val="0"/>
                <w:color w:val="auto"/>
                <w:sz w:val="21"/>
                <w:szCs w:val="21"/>
                <w:highlight w:val="none"/>
              </w:rPr>
              <w:t>，投标人应在截止时间前通过电子招标投标交易平台递交电子投标文件。</w:t>
            </w:r>
          </w:p>
          <w:p w14:paraId="51BF56B2">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②提交投标文件</w:t>
            </w:r>
            <w:r>
              <w:rPr>
                <w:rFonts w:hint="eastAsia" w:ascii="宋体" w:hAnsi="宋体" w:eastAsia="宋体" w:cs="宋体"/>
                <w:b w:val="0"/>
                <w:color w:val="auto"/>
                <w:sz w:val="21"/>
                <w:szCs w:val="21"/>
                <w:highlight w:val="none"/>
                <w:u w:val="single"/>
              </w:rPr>
              <w:t>（含定标文件）</w:t>
            </w:r>
            <w:r>
              <w:rPr>
                <w:rFonts w:hint="eastAsia" w:ascii="宋体" w:hAnsi="宋体" w:eastAsia="宋体" w:cs="宋体"/>
                <w:b w:val="0"/>
                <w:color w:val="auto"/>
                <w:sz w:val="21"/>
                <w:szCs w:val="21"/>
                <w:highlight w:val="none"/>
              </w:rPr>
              <w:t>备用光盘或u盘。</w:t>
            </w:r>
          </w:p>
          <w:p w14:paraId="5B22AC80">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w:t>
            </w:r>
            <w:r>
              <w:rPr>
                <w:rFonts w:hint="eastAsia" w:ascii="宋体" w:hAnsi="宋体" w:eastAsia="宋体" w:cs="宋体"/>
                <w:b w:val="0"/>
                <w:color w:val="auto"/>
                <w:sz w:val="21"/>
                <w:szCs w:val="21"/>
                <w:highlight w:val="none"/>
                <w:u w:val="single"/>
              </w:rPr>
              <w:t>（含定标文件）</w:t>
            </w:r>
            <w:r>
              <w:rPr>
                <w:rFonts w:hint="eastAsia" w:ascii="宋体" w:hAnsi="宋体" w:eastAsia="宋体" w:cs="宋体"/>
                <w:b w:val="0"/>
                <w:color w:val="auto"/>
                <w:sz w:val="21"/>
                <w:szCs w:val="21"/>
                <w:highlight w:val="none"/>
              </w:rPr>
              <w:t>光盘或u盘(备用)递交时间：</w:t>
            </w:r>
            <w:r>
              <w:rPr>
                <w:rFonts w:hint="eastAsia" w:ascii="宋体" w:hAnsi="宋体" w:eastAsia="宋体" w:cs="宋体"/>
                <w:b w:val="0"/>
                <w:color w:val="auto"/>
                <w:sz w:val="21"/>
                <w:szCs w:val="21"/>
                <w:highlight w:val="none"/>
                <w:u w:val="single"/>
              </w:rPr>
              <w:t xml:space="preserve">    年  月  日  时  分至    年  月  日  时  分</w:t>
            </w:r>
            <w:r>
              <w:rPr>
                <w:rFonts w:hint="eastAsia" w:ascii="宋体" w:hAnsi="宋体" w:eastAsia="宋体" w:cs="宋体"/>
                <w:b w:val="0"/>
                <w:color w:val="auto"/>
                <w:sz w:val="21"/>
                <w:szCs w:val="21"/>
                <w:highlight w:val="none"/>
              </w:rPr>
              <w:t>，地点：</w:t>
            </w:r>
            <w:r>
              <w:rPr>
                <w:rFonts w:hint="eastAsia" w:ascii="宋体" w:hAnsi="宋体" w:eastAsia="宋体" w:cs="宋体"/>
                <w:b w:val="0"/>
                <w:color w:val="auto"/>
                <w:sz w:val="21"/>
                <w:szCs w:val="21"/>
                <w:highlight w:val="none"/>
                <w:u w:val="single"/>
                <w:lang w:eastAsia="zh-CN"/>
              </w:rPr>
              <w:t>广州交易集团有限公司（广州公共资源交易中心）</w:t>
            </w:r>
            <w:r>
              <w:rPr>
                <w:rFonts w:hint="eastAsia" w:ascii="宋体" w:hAnsi="宋体" w:eastAsia="宋体" w:cs="宋体"/>
                <w:b w:val="0"/>
                <w:color w:val="auto"/>
                <w:sz w:val="21"/>
                <w:szCs w:val="21"/>
                <w:highlight w:val="none"/>
                <w:u w:val="single"/>
                <w:lang w:val="en-US" w:eastAsia="zh-CN"/>
              </w:rPr>
              <w:t>指定</w:t>
            </w:r>
            <w:r>
              <w:rPr>
                <w:rFonts w:hint="eastAsia" w:ascii="宋体" w:hAnsi="宋体" w:eastAsia="宋体" w:cs="宋体"/>
                <w:b w:val="0"/>
                <w:color w:val="auto"/>
                <w:sz w:val="21"/>
                <w:szCs w:val="21"/>
                <w:highlight w:val="none"/>
                <w:u w:val="single"/>
              </w:rPr>
              <w:t>开标室</w:t>
            </w:r>
            <w:r>
              <w:rPr>
                <w:rFonts w:hint="eastAsia" w:ascii="宋体" w:hAnsi="宋体" w:eastAsia="宋体" w:cs="宋体"/>
                <w:b w:val="0"/>
                <w:color w:val="auto"/>
                <w:sz w:val="21"/>
                <w:szCs w:val="21"/>
                <w:highlight w:val="none"/>
              </w:rPr>
              <w:t>。</w:t>
            </w:r>
          </w:p>
          <w:p w14:paraId="5E280AE3">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③投标人完成电子投标上传后，电子招标投标交易平台即时向投标人发出递交回执通知。递交时间以递交回执通知载明的传输时间为准。</w:t>
            </w:r>
          </w:p>
          <w:p w14:paraId="0A1448A7">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④逾期送达的投标文件，电子招标投标交易平台将予以拒收。</w:t>
            </w:r>
          </w:p>
          <w:p w14:paraId="5AB0A9F8">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⑤上述时间及地点是否有改变，请密切留意补充公告和招标答疑纪要的相关信息。</w:t>
            </w:r>
          </w:p>
          <w:p w14:paraId="11A5F9C5">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5、投标文件加密要求：</w:t>
            </w:r>
          </w:p>
          <w:p w14:paraId="0C852DBD">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①网上递交的电子投标文件须进行加密。具体操作详见</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数字交易平台相关操作指南。</w:t>
            </w:r>
          </w:p>
          <w:p w14:paraId="4024D67D">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②未按要求加密的投标文件，招标人将予以拒收。</w:t>
            </w:r>
          </w:p>
          <w:p w14:paraId="20D6B789">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6、投标文件解密失败的补救方案：</w:t>
            </w:r>
          </w:p>
          <w:p w14:paraId="0C45D459">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4A05BC6A">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除发生上述情况外，开标评标均以投标人通过</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数字交易平台网上递交的电子投标文件为准。</w:t>
            </w:r>
          </w:p>
        </w:tc>
      </w:tr>
      <w:tr w14:paraId="5D1E21FC">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6D01FCD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1048AC7">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投标人不得存在的情形</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312B59CD">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删除“1.4.3 投标人不得存在下列情形之一”，投标人不得存在的情形以《投标人声明》第三点的规定为准。</w:t>
            </w:r>
          </w:p>
        </w:tc>
      </w:tr>
      <w:tr w14:paraId="2FFF4587">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6128DF4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C8C88D3">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招标失败的情形</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42BD5516">
            <w:pPr>
              <w:adjustRightInd w:val="0"/>
              <w:snapToGrid w:val="0"/>
              <w:spacing w:beforeLines="0" w:afterLines="0" w:line="32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若递交投标文件或满足资格审查合格条件或通过初步评审的投标申请人不足3名时为招标失败。招标人分析招标失败原因，修正招标方案，报有关管理部门核准后，重新组织招标。</w:t>
            </w:r>
          </w:p>
        </w:tc>
      </w:tr>
      <w:tr w14:paraId="506E766F">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755668A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5DE731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施工实名制</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678CA6B3">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按相关部门最新文件执行。</w:t>
            </w:r>
          </w:p>
        </w:tc>
      </w:tr>
      <w:tr w14:paraId="78F11399">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2687DB3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F68C0A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工人工资分账管理</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7CD6C350">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按相关部门最新文件执行。</w:t>
            </w:r>
          </w:p>
        </w:tc>
      </w:tr>
      <w:tr w14:paraId="32CCBFD1">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7011CC2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B87A9E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中标人提交纸质投标文件要求</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70FDF55F">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val="en-US" w:eastAsia="zh-CN"/>
              </w:rPr>
              <w:t>结果</w:t>
            </w:r>
            <w:r>
              <w:rPr>
                <w:rFonts w:hint="eastAsia" w:ascii="宋体" w:hAnsi="宋体" w:eastAsia="宋体" w:cs="宋体"/>
                <w:color w:val="auto"/>
                <w:szCs w:val="21"/>
                <w:highlight w:val="none"/>
              </w:rPr>
              <w:t>公示后3天内</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标人需将在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网站下载的投标文件打印，投标文件需与中标人在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网站提交的投标文件一致，</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加盖公章，一正</w:t>
            </w:r>
            <w:r>
              <w:rPr>
                <w:rFonts w:hint="eastAsia" w:ascii="宋体" w:hAnsi="宋体" w:eastAsia="宋体" w:cs="宋体"/>
                <w:color w:val="auto"/>
                <w:szCs w:val="21"/>
                <w:highlight w:val="none"/>
                <w:lang w:val="en-US" w:eastAsia="zh-CN"/>
              </w:rPr>
              <w:t>两</w:t>
            </w:r>
            <w:r>
              <w:rPr>
                <w:rFonts w:hint="eastAsia" w:ascii="宋体" w:hAnsi="宋体" w:eastAsia="宋体" w:cs="宋体"/>
                <w:color w:val="auto"/>
                <w:szCs w:val="21"/>
                <w:highlight w:val="none"/>
              </w:rPr>
              <w:t>副（加盖公章），合共</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套投标文件提供给招标人，相关费用由投标人支付。应保证纸质版投标文件与在交易平台提交的电子版投标文件完全一致，如出现不一致则以交易平台提交的电子版投标文件为准。</w:t>
            </w:r>
          </w:p>
        </w:tc>
      </w:tr>
      <w:tr w14:paraId="2A23FB07">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1FAC8B91">
            <w:pPr>
              <w:snapToGrid w:val="0"/>
              <w:spacing w:beforeLines="0" w:afterLines="0" w:line="320" w:lineRule="exact"/>
              <w:jc w:val="center"/>
              <w:rPr>
                <w:rFonts w:hint="eastAsia" w:ascii="宋体" w:hAnsi="宋体" w:eastAsia="宋体" w:cs="宋体"/>
                <w:color w:val="auto"/>
                <w:szCs w:val="21"/>
                <w:highlight w:val="none"/>
                <w:lang w:val="en-US" w:eastAsia="zh-CN"/>
              </w:rPr>
            </w:pPr>
            <w:bookmarkStart w:id="15" w:name="_Toc152045529"/>
            <w:bookmarkStart w:id="16" w:name="_Toc8989"/>
            <w:bookmarkStart w:id="17" w:name="_Toc152042305"/>
            <w:bookmarkStart w:id="18" w:name="_Toc17566"/>
            <w:bookmarkStart w:id="19" w:name="_Toc16820"/>
            <w:bookmarkStart w:id="20" w:name="_Toc247513952"/>
            <w:bookmarkStart w:id="21" w:name="_Toc144974497"/>
            <w:bookmarkStart w:id="22" w:name="_Toc1831"/>
            <w:bookmarkStart w:id="23" w:name="_Toc1156"/>
            <w:bookmarkStart w:id="24" w:name="_Toc14359"/>
            <w:bookmarkStart w:id="25" w:name="_Toc485211038"/>
            <w:bookmarkStart w:id="26" w:name="_Toc2958"/>
            <w:bookmarkStart w:id="27" w:name="_Toc247527553"/>
            <w:r>
              <w:rPr>
                <w:rFonts w:hint="eastAsia" w:ascii="宋体" w:hAnsi="宋体" w:eastAsia="宋体" w:cs="宋体"/>
                <w:color w:val="auto"/>
                <w:szCs w:val="21"/>
                <w:highlight w:val="none"/>
                <w:lang w:val="en-US" w:eastAsia="zh-CN"/>
              </w:rPr>
              <w:t>14</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4C0C05C">
            <w:pPr>
              <w:snapToGrid w:val="0"/>
              <w:spacing w:beforeLines="0" w:afterLines="0" w:line="320" w:lineRule="exact"/>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否决投标条款</w:t>
            </w:r>
          </w:p>
        </w:tc>
        <w:tc>
          <w:tcPr>
            <w:tcW w:w="7019" w:type="dxa"/>
            <w:tcBorders>
              <w:top w:val="single" w:color="auto" w:sz="4" w:space="0"/>
              <w:left w:val="single" w:color="auto" w:sz="4" w:space="0"/>
              <w:bottom w:val="single" w:color="auto" w:sz="4" w:space="0"/>
              <w:right w:val="single" w:color="auto" w:sz="4" w:space="0"/>
            </w:tcBorders>
            <w:noWrap w:val="0"/>
            <w:vAlign w:val="center"/>
          </w:tcPr>
          <w:p w14:paraId="7F94A5E1">
            <w:pPr>
              <w:widowControl/>
              <w:snapToGrid w:val="0"/>
              <w:spacing w:before="0" w:beforeLines="0" w:after="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否决投标条款：</w:t>
            </w:r>
          </w:p>
          <w:p w14:paraId="167233D0">
            <w:pPr>
              <w:widowControl/>
              <w:snapToGrid w:val="0"/>
              <w:spacing w:before="0" w:beforeLines="0" w:after="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1、投标人未按招标文件要求提供附件或未按要求加盖电子印章及签名的，经评标委员会认定后，其投标文件将被否决。</w:t>
            </w:r>
          </w:p>
          <w:p w14:paraId="46B8ADB8">
            <w:pPr>
              <w:snapToGrid w:val="0"/>
              <w:spacing w:beforeLines="0" w:afterLines="0" w:line="320" w:lineRule="exact"/>
              <w:jc w:val="left"/>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2、投标文件符合列于《评标</w:t>
            </w:r>
            <w:r>
              <w:rPr>
                <w:rFonts w:hint="eastAsia" w:ascii="宋体" w:hAnsi="宋体" w:eastAsia="宋体" w:cs="宋体"/>
                <w:color w:val="auto"/>
                <w:szCs w:val="21"/>
                <w:highlight w:val="none"/>
                <w:lang w:val="en-US" w:eastAsia="zh-CN"/>
              </w:rPr>
              <w:t>和定标</w:t>
            </w:r>
            <w:r>
              <w:rPr>
                <w:rFonts w:hint="eastAsia" w:ascii="宋体" w:hAnsi="宋体" w:eastAsia="宋体" w:cs="宋体"/>
                <w:color w:val="auto"/>
                <w:szCs w:val="21"/>
                <w:highlight w:val="none"/>
              </w:rPr>
              <w:t>办法前附表》“形式评审标准”“</w:t>
            </w:r>
            <w:r>
              <w:rPr>
                <w:rFonts w:hint="eastAsia" w:ascii="宋体" w:hAnsi="宋体" w:eastAsia="宋体" w:cs="宋体"/>
                <w:color w:val="auto"/>
                <w:szCs w:val="21"/>
                <w:highlight w:val="none"/>
                <w:lang w:eastAsia="zh-CN"/>
              </w:rPr>
              <w:t>资格审查</w:t>
            </w:r>
            <w:r>
              <w:rPr>
                <w:rFonts w:hint="eastAsia" w:ascii="宋体" w:hAnsi="宋体" w:eastAsia="宋体" w:cs="宋体"/>
                <w:color w:val="auto"/>
                <w:szCs w:val="21"/>
                <w:highlight w:val="none"/>
              </w:rPr>
              <w:t>标准”“工程总承包实施方案响应性评审标准”中所有情形的，为有效投标文件。任一情形不符合均为无效投标文件，经评标委员会认定后，其投标文件将被否决。</w:t>
            </w:r>
          </w:p>
        </w:tc>
      </w:tr>
      <w:tr w14:paraId="3A7A29E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48F4557D">
            <w:pPr>
              <w:snapToGrid w:val="0"/>
              <w:spacing w:beforeLines="0" w:afterLines="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33E99A05">
            <w:pPr>
              <w:snapToGrid w:val="0"/>
              <w:spacing w:beforeLines="0" w:afterLines="0" w:line="320" w:lineRule="exact"/>
              <w:jc w:val="center"/>
              <w:rPr>
                <w:rFonts w:hint="eastAsia" w:ascii="宋体" w:hAnsi="宋体" w:eastAsia="宋体" w:cs="宋体"/>
                <w:color w:val="auto"/>
                <w:szCs w:val="21"/>
                <w:highlight w:val="none"/>
              </w:rPr>
            </w:pPr>
          </w:p>
        </w:tc>
        <w:tc>
          <w:tcPr>
            <w:tcW w:w="7019" w:type="dxa"/>
            <w:tcBorders>
              <w:top w:val="single" w:color="auto" w:sz="4" w:space="0"/>
              <w:left w:val="single" w:color="auto" w:sz="4" w:space="0"/>
              <w:bottom w:val="single" w:color="auto" w:sz="4" w:space="0"/>
              <w:right w:val="single" w:color="auto" w:sz="4" w:space="0"/>
            </w:tcBorders>
            <w:noWrap w:val="0"/>
            <w:vAlign w:val="center"/>
          </w:tcPr>
          <w:p w14:paraId="4D347619">
            <w:pPr>
              <w:pStyle w:val="16"/>
              <w:tabs>
                <w:tab w:val="left" w:pos="7380"/>
              </w:tabs>
              <w:snapToGrid w:val="0"/>
              <w:spacing w:beforeLines="0" w:after="0" w:afterLines="0" w:line="320" w:lineRule="exact"/>
              <w:ind w:left="0" w:leftChars="0"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内容：招标人对中标人参与“百千万工程”的具体要求</w:t>
            </w:r>
          </w:p>
          <w:p w14:paraId="0DC5F02B">
            <w:pPr>
              <w:pStyle w:val="16"/>
              <w:tabs>
                <w:tab w:val="left" w:pos="7380"/>
              </w:tabs>
              <w:snapToGrid w:val="0"/>
              <w:spacing w:beforeLines="0" w:after="0" w:afterLines="0" w:line="320" w:lineRule="exact"/>
              <w:ind w:left="0" w:leftChars="0"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说明与要求：</w:t>
            </w:r>
          </w:p>
          <w:p w14:paraId="6A62555A">
            <w:pPr>
              <w:snapToGrid w:val="0"/>
              <w:spacing w:beforeLines="0" w:afterLines="0" w:line="320" w:lineRule="exac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☑具体要求在中标后按照投标承诺和招标人的要求执行。</w:t>
            </w:r>
          </w:p>
          <w:p w14:paraId="77DAA202">
            <w:pPr>
              <w:pStyle w:val="16"/>
              <w:tabs>
                <w:tab w:val="left" w:pos="7380"/>
              </w:tabs>
              <w:snapToGrid w:val="0"/>
              <w:spacing w:beforeLines="0" w:after="0" w:afterLines="0" w:line="32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zh-CN"/>
              </w:rPr>
              <w:t>□具体要求：（由招标人填写）</w:t>
            </w:r>
          </w:p>
        </w:tc>
      </w:tr>
    </w:tbl>
    <w:p w14:paraId="219C4E07">
      <w:pPr>
        <w:spacing w:line="360" w:lineRule="auto"/>
        <w:rPr>
          <w:rFonts w:hint="eastAsia" w:ascii="宋体" w:hAnsi="宋体" w:cs="宋体"/>
          <w:color w:val="auto"/>
          <w:highlight w:val="none"/>
        </w:rPr>
      </w:pPr>
    </w:p>
    <w:p w14:paraId="677EFE84">
      <w:pPr>
        <w:keepNext/>
        <w:keepLines/>
        <w:spacing w:line="360" w:lineRule="auto"/>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bookmarkStart w:id="28" w:name="_Toc25841"/>
      <w:bookmarkStart w:id="29" w:name="_Toc3625"/>
      <w:bookmarkStart w:id="30" w:name="_Toc13397"/>
      <w:r>
        <w:rPr>
          <w:rFonts w:hint="eastAsia" w:ascii="宋体" w:hAnsi="宋体" w:cs="宋体"/>
          <w:b/>
          <w:bCs/>
          <w:color w:val="auto"/>
          <w:sz w:val="28"/>
          <w:szCs w:val="28"/>
          <w:highlight w:val="none"/>
        </w:rPr>
        <w:t>1. 总则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8CC8E3C">
      <w:pPr>
        <w:keepNext/>
        <w:keepLines/>
        <w:spacing w:line="360" w:lineRule="auto"/>
        <w:outlineLvl w:val="2"/>
        <w:rPr>
          <w:rFonts w:hint="eastAsia" w:ascii="宋体" w:hAnsi="宋体" w:cs="宋体"/>
          <w:bCs/>
          <w:color w:val="auto"/>
          <w:sz w:val="24"/>
          <w:szCs w:val="24"/>
          <w:highlight w:val="none"/>
        </w:rPr>
      </w:pPr>
      <w:bookmarkStart w:id="31" w:name="_Toc7922"/>
      <w:bookmarkStart w:id="32" w:name="_Toc590"/>
      <w:bookmarkStart w:id="33" w:name="_Toc1880"/>
      <w:bookmarkStart w:id="34" w:name="_Toc485211039"/>
      <w:bookmarkStart w:id="35" w:name="_Toc8691"/>
      <w:bookmarkStart w:id="36" w:name="_Toc144974498"/>
      <w:bookmarkStart w:id="37" w:name="_Toc16373"/>
      <w:bookmarkStart w:id="38" w:name="_Toc247513953"/>
      <w:bookmarkStart w:id="39" w:name="_Toc1934"/>
      <w:bookmarkStart w:id="40" w:name="_Toc247527554"/>
      <w:bookmarkStart w:id="41" w:name="_Toc30357"/>
      <w:bookmarkStart w:id="42" w:name="_Toc152045530"/>
      <w:bookmarkStart w:id="43" w:name="_Toc27304"/>
      <w:bookmarkStart w:id="44" w:name="_Toc152042306"/>
      <w:bookmarkStart w:id="45" w:name="_Toc9922"/>
      <w:bookmarkStart w:id="46" w:name="_Toc17811"/>
      <w:r>
        <w:rPr>
          <w:rFonts w:hint="eastAsia" w:ascii="宋体" w:hAnsi="宋体" w:cs="宋体"/>
          <w:bCs/>
          <w:color w:val="auto"/>
          <w:sz w:val="24"/>
          <w:szCs w:val="24"/>
          <w:highlight w:val="none"/>
        </w:rPr>
        <w:t>1.1 项目概况</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A1A853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1.1.1根据《中华人民共和国招标投标法》等有关法律、法规和规章的规定，本招标项目已具备招标条件，现对该项目</w:t>
      </w:r>
      <w:r>
        <w:rPr>
          <w:rFonts w:hint="eastAsia" w:ascii="宋体" w:hAnsi="宋体" w:cs="宋体"/>
          <w:color w:val="auto"/>
          <w:sz w:val="24"/>
          <w:szCs w:val="24"/>
          <w:highlight w:val="none"/>
          <w:u w:val="single"/>
        </w:rPr>
        <w:t>设计施工总承包</w:t>
      </w:r>
      <w:r>
        <w:rPr>
          <w:rFonts w:hint="eastAsia" w:ascii="宋体" w:hAnsi="宋体" w:cs="宋体"/>
          <w:color w:val="auto"/>
          <w:sz w:val="24"/>
          <w:szCs w:val="24"/>
          <w:highlight w:val="none"/>
        </w:rPr>
        <w:t>进行招标。</w:t>
      </w:r>
    </w:p>
    <w:p w14:paraId="494D3A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招标人：见《投标人须知前附表》。</w:t>
      </w:r>
    </w:p>
    <w:p w14:paraId="0CF0AF5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招标代理机构：见《投标人须知前附表》。</w:t>
      </w:r>
    </w:p>
    <w:p w14:paraId="2827BCA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招标项目名称：见《投标人须知前附表》。</w:t>
      </w:r>
    </w:p>
    <w:p w14:paraId="766234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1.1.5 项目建设地点：见《投标人须知前附表》。</w:t>
      </w:r>
    </w:p>
    <w:p w14:paraId="35C04680">
      <w:pPr>
        <w:keepNext/>
        <w:keepLines/>
        <w:spacing w:line="360" w:lineRule="auto"/>
        <w:outlineLvl w:val="2"/>
        <w:rPr>
          <w:rFonts w:hint="eastAsia" w:ascii="宋体" w:hAnsi="宋体" w:cs="宋体"/>
          <w:bCs/>
          <w:color w:val="auto"/>
          <w:sz w:val="24"/>
          <w:szCs w:val="24"/>
          <w:highlight w:val="none"/>
        </w:rPr>
      </w:pPr>
      <w:bookmarkStart w:id="47" w:name="_Toc30105"/>
      <w:bookmarkStart w:id="48" w:name="_Toc18211"/>
      <w:bookmarkStart w:id="49" w:name="_Toc15282"/>
      <w:bookmarkStart w:id="50" w:name="_Toc144974499"/>
      <w:bookmarkStart w:id="51" w:name="_Toc247527555"/>
      <w:bookmarkStart w:id="52" w:name="_Toc6642"/>
      <w:bookmarkStart w:id="53" w:name="_Toc11827"/>
      <w:bookmarkStart w:id="54" w:name="_Toc247513954"/>
      <w:bookmarkStart w:id="55" w:name="_Toc8082"/>
      <w:bookmarkStart w:id="56" w:name="_Toc152042307"/>
      <w:bookmarkStart w:id="57" w:name="_Toc152045531"/>
      <w:bookmarkStart w:id="58" w:name="_Toc2254"/>
      <w:bookmarkStart w:id="59" w:name="_Toc15709"/>
      <w:bookmarkStart w:id="60" w:name="_Toc10532"/>
      <w:bookmarkStart w:id="61" w:name="_Toc15150"/>
      <w:bookmarkStart w:id="62" w:name="_Toc485211040"/>
      <w:r>
        <w:rPr>
          <w:rFonts w:hint="eastAsia" w:ascii="宋体" w:hAnsi="宋体" w:cs="宋体"/>
          <w:bCs/>
          <w:color w:val="auto"/>
          <w:sz w:val="24"/>
          <w:szCs w:val="24"/>
          <w:highlight w:val="none"/>
        </w:rPr>
        <w:t>1.2 项目的资金来源和落实情况</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6EFBB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资金来源及比例：见《投标人须知前附表》。</w:t>
      </w:r>
    </w:p>
    <w:p w14:paraId="2CF055B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 资金落实情况：见《投标人须知前附表》。</w:t>
      </w:r>
    </w:p>
    <w:p w14:paraId="7CDAF063">
      <w:pPr>
        <w:keepNext/>
        <w:keepLines/>
        <w:spacing w:line="360" w:lineRule="auto"/>
        <w:outlineLvl w:val="2"/>
        <w:rPr>
          <w:rFonts w:hint="eastAsia" w:ascii="宋体" w:hAnsi="宋体" w:cs="宋体"/>
          <w:bCs/>
          <w:color w:val="auto"/>
          <w:sz w:val="24"/>
          <w:szCs w:val="24"/>
          <w:highlight w:val="none"/>
        </w:rPr>
      </w:pPr>
      <w:bookmarkStart w:id="63" w:name="_Toc247527556"/>
      <w:bookmarkStart w:id="64" w:name="_Toc152042308"/>
      <w:bookmarkStart w:id="65" w:name="_Toc144974500"/>
      <w:bookmarkStart w:id="66" w:name="_Toc152045532"/>
      <w:bookmarkStart w:id="67" w:name="_Toc247513955"/>
      <w:bookmarkStart w:id="68" w:name="_Toc21761"/>
      <w:bookmarkStart w:id="69" w:name="_Toc15932"/>
      <w:bookmarkStart w:id="70" w:name="_Toc2671"/>
      <w:bookmarkStart w:id="71" w:name="_Toc7244"/>
      <w:bookmarkStart w:id="72" w:name="_Toc32288"/>
      <w:bookmarkStart w:id="73" w:name="_Toc18073"/>
      <w:bookmarkStart w:id="74" w:name="_Toc19728"/>
      <w:bookmarkStart w:id="75" w:name="_Toc485211041"/>
      <w:bookmarkStart w:id="76" w:name="_Toc6068"/>
      <w:bookmarkStart w:id="77" w:name="_Toc60"/>
      <w:bookmarkStart w:id="78" w:name="_Toc248"/>
      <w:r>
        <w:rPr>
          <w:rFonts w:hint="eastAsia" w:ascii="宋体" w:hAnsi="宋体" w:cs="宋体"/>
          <w:bCs/>
          <w:color w:val="auto"/>
          <w:sz w:val="24"/>
          <w:szCs w:val="24"/>
          <w:highlight w:val="none"/>
        </w:rPr>
        <w:t>1.3 招标范围、计划工期和</w:t>
      </w:r>
      <w:bookmarkEnd w:id="63"/>
      <w:bookmarkEnd w:id="64"/>
      <w:bookmarkEnd w:id="65"/>
      <w:bookmarkEnd w:id="66"/>
      <w:bookmarkEnd w:id="67"/>
      <w:r>
        <w:rPr>
          <w:rFonts w:hint="eastAsia" w:ascii="宋体" w:hAnsi="宋体" w:cs="宋体"/>
          <w:bCs/>
          <w:color w:val="auto"/>
          <w:sz w:val="24"/>
          <w:szCs w:val="24"/>
          <w:highlight w:val="none"/>
        </w:rPr>
        <w:t>质量标准</w:t>
      </w:r>
      <w:bookmarkEnd w:id="68"/>
      <w:bookmarkEnd w:id="69"/>
      <w:bookmarkEnd w:id="70"/>
      <w:bookmarkEnd w:id="71"/>
      <w:bookmarkEnd w:id="72"/>
      <w:bookmarkEnd w:id="73"/>
      <w:bookmarkEnd w:id="74"/>
      <w:bookmarkEnd w:id="75"/>
      <w:bookmarkEnd w:id="76"/>
      <w:bookmarkEnd w:id="77"/>
      <w:bookmarkEnd w:id="78"/>
    </w:p>
    <w:p w14:paraId="230661B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 招标范围：见《投标人须知前附表》。</w:t>
      </w:r>
    </w:p>
    <w:p w14:paraId="7160A5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 计划工期：见《投标人须知前附表》。</w:t>
      </w:r>
    </w:p>
    <w:p w14:paraId="331108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 质量标准：见《投标人须知前附表》。</w:t>
      </w:r>
    </w:p>
    <w:p w14:paraId="5465AA29">
      <w:pPr>
        <w:keepNext/>
        <w:keepLines/>
        <w:spacing w:line="360" w:lineRule="auto"/>
        <w:outlineLvl w:val="2"/>
        <w:rPr>
          <w:rFonts w:hint="eastAsia" w:ascii="宋体" w:hAnsi="宋体" w:cs="宋体"/>
          <w:bCs/>
          <w:color w:val="auto"/>
          <w:sz w:val="24"/>
          <w:szCs w:val="24"/>
          <w:highlight w:val="none"/>
        </w:rPr>
      </w:pPr>
      <w:bookmarkStart w:id="79" w:name="_Toc10229"/>
      <w:bookmarkStart w:id="80" w:name="_Toc14801"/>
      <w:bookmarkStart w:id="81" w:name="_Toc26989"/>
      <w:bookmarkStart w:id="82" w:name="_Toc152045533"/>
      <w:bookmarkStart w:id="83" w:name="_Toc247527557"/>
      <w:bookmarkStart w:id="84" w:name="_Toc152042309"/>
      <w:bookmarkStart w:id="85" w:name="_Toc12328"/>
      <w:bookmarkStart w:id="86" w:name="_Toc26295"/>
      <w:bookmarkStart w:id="87" w:name="_Toc13118"/>
      <w:bookmarkStart w:id="88" w:name="_Toc32210"/>
      <w:bookmarkStart w:id="89" w:name="_Toc485211042"/>
      <w:bookmarkStart w:id="90" w:name="_Toc4031"/>
      <w:bookmarkStart w:id="91" w:name="_Toc144974501"/>
      <w:bookmarkStart w:id="92" w:name="_Toc247513956"/>
      <w:bookmarkStart w:id="93" w:name="_Toc7576"/>
      <w:bookmarkStart w:id="94" w:name="_Toc9204"/>
      <w:r>
        <w:rPr>
          <w:rFonts w:hint="eastAsia" w:ascii="宋体" w:hAnsi="宋体" w:cs="宋体"/>
          <w:bCs/>
          <w:color w:val="auto"/>
          <w:sz w:val="24"/>
          <w:szCs w:val="24"/>
          <w:highlight w:val="none"/>
        </w:rPr>
        <w:t>1.4 投标人资格要求</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DF83FAB">
      <w:pPr>
        <w:spacing w:line="360" w:lineRule="auto"/>
        <w:ind w:firstLine="480" w:firstLineChars="200"/>
        <w:rPr>
          <w:rFonts w:ascii="宋体" w:hAnsi="宋体" w:cs="宋体"/>
          <w:color w:val="auto"/>
          <w:sz w:val="24"/>
          <w:szCs w:val="24"/>
          <w:highlight w:val="none"/>
        </w:rPr>
      </w:pPr>
      <w:bookmarkStart w:id="95" w:name="_Toc152042311"/>
      <w:bookmarkStart w:id="96" w:name="_Toc152045535"/>
      <w:bookmarkStart w:id="97" w:name="_Toc144974503"/>
      <w:bookmarkStart w:id="98" w:name="_Toc247513958"/>
      <w:bookmarkStart w:id="99" w:name="_Toc247527559"/>
      <w:bookmarkStart w:id="100" w:name="_Toc11929"/>
      <w:bookmarkStart w:id="101" w:name="_Toc27154"/>
      <w:bookmarkStart w:id="102" w:name="_Toc29601"/>
      <w:bookmarkStart w:id="103" w:name="_Toc9057"/>
      <w:bookmarkStart w:id="104" w:name="_Toc23867"/>
      <w:bookmarkStart w:id="105" w:name="_Toc2101"/>
      <w:bookmarkStart w:id="106" w:name="_Toc29899"/>
      <w:bookmarkStart w:id="107" w:name="_Toc8400"/>
      <w:bookmarkStart w:id="108" w:name="_Toc22812"/>
      <w:bookmarkStart w:id="109" w:name="_Toc485211043"/>
      <w:bookmarkStart w:id="110" w:name="_Toc31399"/>
      <w:r>
        <w:rPr>
          <w:rFonts w:hint="eastAsia" w:ascii="宋体" w:hAnsi="宋体" w:cs="宋体"/>
          <w:color w:val="auto"/>
          <w:sz w:val="24"/>
          <w:szCs w:val="24"/>
          <w:highlight w:val="none"/>
        </w:rPr>
        <w:t>1.4.1 投标人应具备承担本招标项目资质条件、能力和信誉：见招标公告投标人资格要求。</w:t>
      </w:r>
    </w:p>
    <w:p w14:paraId="7C1C80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1.4.2 投标人须知前附表规定接受联合体投标的，除应符合本章第1.4.1项和投标人须知前附表的要求外，还应遵守以下规定： </w:t>
      </w:r>
    </w:p>
    <w:p w14:paraId="4FC08C2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（1）联合体各方应按招标文件提供的格式签订《</w:t>
      </w:r>
      <w:r>
        <w:rPr>
          <w:rFonts w:hint="eastAsia" w:ascii="宋体" w:hAnsi="宋体" w:cs="宋体"/>
          <w:color w:val="auto"/>
          <w:sz w:val="24"/>
          <w:szCs w:val="24"/>
          <w:highlight w:val="none"/>
          <w:lang w:eastAsia="zh-CN"/>
        </w:rPr>
        <w:t>联合体共同投标协议</w:t>
      </w:r>
      <w:r>
        <w:rPr>
          <w:rFonts w:hint="eastAsia" w:ascii="宋体" w:hAnsi="宋体" w:cs="宋体"/>
          <w:color w:val="auto"/>
          <w:sz w:val="24"/>
          <w:szCs w:val="24"/>
          <w:highlight w:val="none"/>
        </w:rPr>
        <w:t>》；</w:t>
      </w:r>
    </w:p>
    <w:p w14:paraId="04C0C7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（2）由同一专业的单位组成的联合体，按照资质等级较低的单位确定资质等级；</w:t>
      </w:r>
    </w:p>
    <w:p w14:paraId="30A7EE8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（3）联合体各方不得再以自己名义单独或参加其他联合体在本招标项目中投标。</w:t>
      </w:r>
    </w:p>
    <w:p w14:paraId="04BC50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1.4.3 投标人不得存在下列情形之一：</w:t>
      </w:r>
      <w:r>
        <w:rPr>
          <w:rFonts w:hint="eastAsia" w:ascii="宋体" w:hAnsi="宋体" w:cs="宋体"/>
          <w:color w:val="auto"/>
          <w:sz w:val="24"/>
          <w:szCs w:val="24"/>
          <w:highlight w:val="none"/>
          <w:u w:val="single"/>
        </w:rPr>
        <w:t>以《投标人声明》第三点的规定为准。</w:t>
      </w:r>
    </w:p>
    <w:p w14:paraId="040524A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1.4.4 单位负责人为同一人或者存在控股、管理关系的不同单位，不得同时参加本招标项目投标。</w:t>
      </w:r>
    </w:p>
    <w:p w14:paraId="1917B02D">
      <w:pPr>
        <w:keepNext/>
        <w:keepLines/>
        <w:spacing w:line="360" w:lineRule="auto"/>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t>1.5 费用承担</w:t>
      </w:r>
      <w:bookmarkEnd w:id="95"/>
      <w:bookmarkEnd w:id="96"/>
      <w:bookmarkEnd w:id="97"/>
      <w:bookmarkEnd w:id="98"/>
      <w:bookmarkEnd w:id="99"/>
      <w:r>
        <w:rPr>
          <w:rFonts w:hint="eastAsia" w:ascii="宋体" w:hAnsi="宋体" w:cs="宋体"/>
          <w:bCs/>
          <w:color w:val="auto"/>
          <w:sz w:val="24"/>
          <w:szCs w:val="24"/>
          <w:highlight w:val="none"/>
        </w:rPr>
        <w:t>和设计成果补偿</w:t>
      </w:r>
      <w:bookmarkEnd w:id="100"/>
      <w:bookmarkEnd w:id="101"/>
      <w:bookmarkEnd w:id="102"/>
      <w:bookmarkEnd w:id="103"/>
      <w:bookmarkEnd w:id="104"/>
      <w:bookmarkEnd w:id="105"/>
      <w:bookmarkEnd w:id="106"/>
      <w:bookmarkEnd w:id="107"/>
      <w:bookmarkEnd w:id="108"/>
      <w:bookmarkEnd w:id="109"/>
      <w:bookmarkEnd w:id="110"/>
    </w:p>
    <w:p w14:paraId="657ACE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 投标人准备和参加投标活动发生的费用自理。</w:t>
      </w:r>
    </w:p>
    <w:p w14:paraId="419140F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1.5.2 </w:t>
      </w:r>
      <w:r>
        <w:rPr>
          <w:rFonts w:hint="eastAsia" w:ascii="宋体" w:hAnsi="宋体"/>
          <w:color w:val="auto"/>
          <w:sz w:val="24"/>
          <w:szCs w:val="24"/>
          <w:highlight w:val="none"/>
          <w:u w:val="single"/>
        </w:rPr>
        <w:t>本项目不设设计方案成果补偿。</w:t>
      </w:r>
    </w:p>
    <w:p w14:paraId="5D1F0B5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1.5.3</w:t>
      </w:r>
      <w:r>
        <w:rPr>
          <w:rFonts w:hint="eastAsia" w:ascii="宋体" w:hAnsi="宋体" w:cs="宋体"/>
          <w:color w:val="auto"/>
          <w:sz w:val="24"/>
          <w:szCs w:val="24"/>
          <w:highlight w:val="none"/>
          <w:u w:val="single"/>
        </w:rPr>
        <w:t>中标人应根据有关规定，向</w:t>
      </w:r>
      <w:r>
        <w:rPr>
          <w:rFonts w:hint="eastAsia" w:ascii="宋体" w:hAnsi="宋体" w:cs="宋体"/>
          <w:bCs/>
          <w:color w:val="auto"/>
          <w:sz w:val="24"/>
          <w:highlight w:val="none"/>
          <w:u w:val="single"/>
        </w:rPr>
        <w:t>广州交易集团有限公司</w:t>
      </w:r>
      <w:r>
        <w:rPr>
          <w:rFonts w:hint="eastAsia" w:ascii="宋体" w:hAnsi="宋体" w:cs="宋体"/>
          <w:color w:val="auto"/>
          <w:sz w:val="24"/>
          <w:szCs w:val="24"/>
          <w:highlight w:val="none"/>
          <w:u w:val="single"/>
        </w:rPr>
        <w:t>缴纳交易服务费，该部分费用由投标人综合考虑在投标报价中，招标人不另行支付。</w:t>
      </w:r>
    </w:p>
    <w:p w14:paraId="63C3C25B">
      <w:pPr>
        <w:spacing w:line="360" w:lineRule="auto"/>
        <w:ind w:firstLine="480" w:firstLineChars="200"/>
        <w:rPr>
          <w:rFonts w:hint="eastAsia" w:ascii="宋体" w:hAnsi="宋体" w:cs="宋体"/>
          <w:color w:val="auto"/>
          <w:sz w:val="24"/>
          <w:szCs w:val="24"/>
          <w:highlight w:val="none"/>
        </w:rPr>
      </w:pPr>
    </w:p>
    <w:p w14:paraId="06977E37">
      <w:pPr>
        <w:keepNext/>
        <w:keepLines/>
        <w:spacing w:line="360" w:lineRule="auto"/>
        <w:outlineLvl w:val="2"/>
        <w:rPr>
          <w:rFonts w:hint="eastAsia" w:ascii="宋体" w:hAnsi="宋体" w:cs="宋体"/>
          <w:bCs/>
          <w:color w:val="auto"/>
          <w:sz w:val="24"/>
          <w:szCs w:val="24"/>
          <w:highlight w:val="none"/>
        </w:rPr>
      </w:pPr>
      <w:bookmarkStart w:id="111" w:name="_Toc32691"/>
      <w:bookmarkStart w:id="112" w:name="_Toc152042312"/>
      <w:bookmarkStart w:id="113" w:name="_Toc144974504"/>
      <w:bookmarkStart w:id="114" w:name="_Toc23498"/>
      <w:bookmarkStart w:id="115" w:name="_Toc14164"/>
      <w:bookmarkStart w:id="116" w:name="_Toc10056"/>
      <w:bookmarkStart w:id="117" w:name="_Toc7692"/>
      <w:bookmarkStart w:id="118" w:name="_Toc247527560"/>
      <w:bookmarkStart w:id="119" w:name="_Toc247513959"/>
      <w:bookmarkStart w:id="120" w:name="_Toc11167"/>
      <w:bookmarkStart w:id="121" w:name="_Toc17963"/>
      <w:bookmarkStart w:id="122" w:name="_Toc29613"/>
      <w:bookmarkStart w:id="123" w:name="_Toc152045536"/>
      <w:bookmarkStart w:id="124" w:name="_Toc485211044"/>
      <w:bookmarkStart w:id="125" w:name="_Toc9296"/>
      <w:bookmarkStart w:id="126" w:name="_Toc3652"/>
      <w:r>
        <w:rPr>
          <w:rFonts w:hint="eastAsia" w:ascii="宋体" w:hAnsi="宋体" w:cs="宋体"/>
          <w:bCs/>
          <w:color w:val="auto"/>
          <w:sz w:val="24"/>
          <w:szCs w:val="24"/>
          <w:highlight w:val="none"/>
        </w:rPr>
        <w:t>1.6 保密</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0ED50E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参与招标投标活动的各方应对招标文件和投标文件中的商业和技术等秘密保密，否则应承担相应的法律责任。</w:t>
      </w:r>
    </w:p>
    <w:p w14:paraId="35718B0A">
      <w:pPr>
        <w:keepNext/>
        <w:keepLines/>
        <w:spacing w:line="360" w:lineRule="auto"/>
        <w:outlineLvl w:val="2"/>
        <w:rPr>
          <w:rFonts w:hint="eastAsia" w:ascii="宋体" w:hAnsi="宋体" w:cs="宋体"/>
          <w:bCs/>
          <w:color w:val="auto"/>
          <w:sz w:val="24"/>
          <w:szCs w:val="24"/>
          <w:highlight w:val="none"/>
        </w:rPr>
      </w:pPr>
      <w:bookmarkStart w:id="127" w:name="_Toc144974505"/>
      <w:bookmarkStart w:id="128" w:name="_Toc32400"/>
      <w:bookmarkStart w:id="129" w:name="_Toc485211045"/>
      <w:bookmarkStart w:id="130" w:name="_Toc247513960"/>
      <w:bookmarkStart w:id="131" w:name="_Toc30812"/>
      <w:bookmarkStart w:id="132" w:name="_Toc10329"/>
      <w:bookmarkStart w:id="133" w:name="_Toc23891"/>
      <w:bookmarkStart w:id="134" w:name="_Toc152042313"/>
      <w:bookmarkStart w:id="135" w:name="_Toc15287"/>
      <w:bookmarkStart w:id="136" w:name="_Toc28067"/>
      <w:bookmarkStart w:id="137" w:name="_Toc6741"/>
      <w:bookmarkStart w:id="138" w:name="_Toc152045537"/>
      <w:bookmarkStart w:id="139" w:name="_Toc134"/>
      <w:bookmarkStart w:id="140" w:name="_Toc20175"/>
      <w:bookmarkStart w:id="141" w:name="_Toc3909"/>
      <w:bookmarkStart w:id="142" w:name="_Toc247527561"/>
      <w:r>
        <w:rPr>
          <w:rFonts w:hint="eastAsia" w:ascii="宋体" w:hAnsi="宋体" w:cs="宋体"/>
          <w:bCs/>
          <w:color w:val="auto"/>
          <w:sz w:val="24"/>
          <w:szCs w:val="24"/>
          <w:highlight w:val="none"/>
        </w:rPr>
        <w:t>1.7 语言</w:t>
      </w:r>
      <w:bookmarkEnd w:id="127"/>
      <w:r>
        <w:rPr>
          <w:rFonts w:hint="eastAsia" w:ascii="宋体" w:hAnsi="宋体" w:cs="宋体"/>
          <w:bCs/>
          <w:color w:val="auto"/>
          <w:sz w:val="24"/>
          <w:szCs w:val="24"/>
          <w:highlight w:val="none"/>
        </w:rPr>
        <w:t>文字</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334D9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招标投标文件使用的语言文字为中文。专用术语使用外文的，应附有中文注释。</w:t>
      </w:r>
    </w:p>
    <w:p w14:paraId="124133CD">
      <w:pPr>
        <w:keepNext/>
        <w:keepLines/>
        <w:spacing w:line="360" w:lineRule="auto"/>
        <w:outlineLvl w:val="2"/>
        <w:rPr>
          <w:rFonts w:hint="eastAsia" w:ascii="宋体" w:hAnsi="宋体" w:cs="宋体"/>
          <w:bCs/>
          <w:color w:val="auto"/>
          <w:sz w:val="24"/>
          <w:szCs w:val="24"/>
          <w:highlight w:val="none"/>
        </w:rPr>
      </w:pPr>
      <w:bookmarkStart w:id="143" w:name="_Toc2398"/>
      <w:bookmarkStart w:id="144" w:name="_Toc247513961"/>
      <w:bookmarkStart w:id="145" w:name="_Toc19816"/>
      <w:bookmarkStart w:id="146" w:name="_Toc485211046"/>
      <w:bookmarkStart w:id="147" w:name="_Toc26081"/>
      <w:bookmarkStart w:id="148" w:name="_Toc13564"/>
      <w:bookmarkStart w:id="149" w:name="_Toc4572"/>
      <w:bookmarkStart w:id="150" w:name="_Toc3359"/>
      <w:bookmarkStart w:id="151" w:name="_Toc7341"/>
      <w:bookmarkStart w:id="152" w:name="_Toc152045538"/>
      <w:bookmarkStart w:id="153" w:name="_Toc152042314"/>
      <w:bookmarkStart w:id="154" w:name="_Toc6180"/>
      <w:bookmarkStart w:id="155" w:name="_Toc144974506"/>
      <w:bookmarkStart w:id="156" w:name="_Toc18319"/>
      <w:bookmarkStart w:id="157" w:name="_Toc12340"/>
      <w:bookmarkStart w:id="158" w:name="_Toc247527562"/>
      <w:r>
        <w:rPr>
          <w:rFonts w:hint="eastAsia" w:ascii="宋体" w:hAnsi="宋体" w:cs="宋体"/>
          <w:bCs/>
          <w:color w:val="auto"/>
          <w:sz w:val="24"/>
          <w:szCs w:val="24"/>
          <w:highlight w:val="none"/>
        </w:rPr>
        <w:t>1.8 计量单位</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42A1BF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14:paraId="1B99F3B3">
      <w:pPr>
        <w:keepNext/>
        <w:keepLines/>
        <w:spacing w:line="360" w:lineRule="auto"/>
        <w:outlineLvl w:val="2"/>
        <w:rPr>
          <w:rFonts w:hint="eastAsia" w:ascii="宋体" w:hAnsi="宋体" w:cs="宋体"/>
          <w:bCs/>
          <w:color w:val="auto"/>
          <w:sz w:val="24"/>
          <w:szCs w:val="24"/>
          <w:highlight w:val="none"/>
        </w:rPr>
      </w:pPr>
      <w:bookmarkStart w:id="159" w:name="_Toc8310"/>
      <w:bookmarkStart w:id="160" w:name="_Toc485211047"/>
      <w:bookmarkStart w:id="161" w:name="_Toc247527563"/>
      <w:bookmarkStart w:id="162" w:name="_Toc9062"/>
      <w:bookmarkStart w:id="163" w:name="_Toc23741"/>
      <w:bookmarkStart w:id="164" w:name="_Toc29796"/>
      <w:bookmarkStart w:id="165" w:name="_Toc152045539"/>
      <w:bookmarkStart w:id="166" w:name="_Toc23228"/>
      <w:bookmarkStart w:id="167" w:name="_Toc144974507"/>
      <w:bookmarkStart w:id="168" w:name="_Toc30094"/>
      <w:bookmarkStart w:id="169" w:name="_Toc247513962"/>
      <w:bookmarkStart w:id="170" w:name="_Toc9837"/>
      <w:bookmarkStart w:id="171" w:name="_Toc8361"/>
      <w:bookmarkStart w:id="172" w:name="_Toc152042315"/>
      <w:bookmarkStart w:id="173" w:name="_Toc9990"/>
      <w:bookmarkStart w:id="174" w:name="_Toc28179"/>
      <w:r>
        <w:rPr>
          <w:rFonts w:hint="eastAsia" w:ascii="宋体" w:hAnsi="宋体" w:cs="宋体"/>
          <w:bCs/>
          <w:color w:val="auto"/>
          <w:sz w:val="24"/>
          <w:szCs w:val="24"/>
          <w:highlight w:val="none"/>
        </w:rPr>
        <w:t>1.9 踏勘现场</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25FDA1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1.9.1 投标人须知前附表规定组织踏勘现场的，招标人按投标人须知前附表规定的时间、地点组织投标人踏勘项目现场。 </w:t>
      </w:r>
    </w:p>
    <w:p w14:paraId="01B338D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1.9.2 投标人踏勘现场发生的费用自理。</w:t>
      </w:r>
    </w:p>
    <w:p w14:paraId="266D6F9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1.9.3 除招标人的原因外，投标人自行负责在踏勘现场中所发生的人员伤亡和财产损失。</w:t>
      </w:r>
    </w:p>
    <w:p w14:paraId="3603B2E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1.9.4 </w:t>
      </w:r>
      <w:r>
        <w:rPr>
          <w:rFonts w:hint="eastAsia" w:ascii="宋体" w:hAnsi="宋体"/>
          <w:color w:val="auto"/>
          <w:sz w:val="24"/>
          <w:szCs w:val="24"/>
          <w:highlight w:val="none"/>
          <w:u w:val="single"/>
        </w:rPr>
        <w:t>现场由投标人自行踏勘，投标人不进行踏勘的，视为已熟知现场条件，自行承担相关风险。招标人不对投标人自行踏勘现场作出的判断和决策负责。</w:t>
      </w:r>
    </w:p>
    <w:p w14:paraId="6C4CAA7C">
      <w:pPr>
        <w:keepNext/>
        <w:keepLines/>
        <w:spacing w:line="360" w:lineRule="auto"/>
        <w:outlineLvl w:val="2"/>
        <w:rPr>
          <w:rFonts w:hint="eastAsia" w:ascii="宋体" w:hAnsi="宋体" w:cs="宋体"/>
          <w:bCs/>
          <w:color w:val="auto"/>
          <w:sz w:val="24"/>
          <w:szCs w:val="24"/>
          <w:highlight w:val="none"/>
        </w:rPr>
      </w:pPr>
      <w:bookmarkStart w:id="175" w:name="_Toc5838"/>
      <w:bookmarkStart w:id="176" w:name="_Toc11545"/>
      <w:bookmarkStart w:id="177" w:name="_Toc9067"/>
      <w:bookmarkStart w:id="178" w:name="_Toc11038"/>
      <w:bookmarkStart w:id="179" w:name="_Toc485211048"/>
      <w:bookmarkStart w:id="180" w:name="_Toc247513963"/>
      <w:bookmarkStart w:id="181" w:name="_Toc27158"/>
      <w:bookmarkStart w:id="182" w:name="_Toc11636"/>
      <w:bookmarkStart w:id="183" w:name="_Toc3400"/>
      <w:bookmarkStart w:id="184" w:name="_Toc152042316"/>
      <w:bookmarkStart w:id="185" w:name="_Toc144974508"/>
      <w:bookmarkStart w:id="186" w:name="_Toc11403"/>
      <w:bookmarkStart w:id="187" w:name="_Toc21953"/>
      <w:bookmarkStart w:id="188" w:name="_Toc247527564"/>
      <w:bookmarkStart w:id="189" w:name="_Toc152045540"/>
      <w:bookmarkStart w:id="190" w:name="_Toc16992"/>
      <w:r>
        <w:rPr>
          <w:rFonts w:hint="eastAsia" w:ascii="宋体" w:hAnsi="宋体" w:cs="宋体"/>
          <w:bCs/>
          <w:color w:val="auto"/>
          <w:sz w:val="24"/>
          <w:szCs w:val="24"/>
          <w:highlight w:val="none"/>
        </w:rPr>
        <w:t xml:space="preserve">1.10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bCs/>
          <w:color w:val="auto"/>
          <w:sz w:val="24"/>
          <w:szCs w:val="24"/>
          <w:highlight w:val="none"/>
        </w:rPr>
        <w:t>招标答疑</w:t>
      </w:r>
      <w:bookmarkEnd w:id="190"/>
    </w:p>
    <w:p w14:paraId="525FF1C2">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1.10.1 招标答疑采用网上答疑方式进行。投标人若对招标文件（包括招标图纸、清单、最高投标限价、合同等）有疑问的，可在规定的时间内通过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网站进入提问区域将问题提交给招标人或招标代理人，提交问题时一律不得署名。</w:t>
      </w:r>
    </w:p>
    <w:p w14:paraId="4063D8AA">
      <w:pPr>
        <w:spacing w:line="360" w:lineRule="auto"/>
        <w:ind w:firstLine="480" w:firstLineChars="200"/>
        <w:rPr>
          <w:rFonts w:hint="eastAsia" w:ascii="宋体" w:hAnsi="宋体" w:cs="宋体"/>
          <w:color w:val="auto"/>
          <w:sz w:val="24"/>
          <w:szCs w:val="24"/>
          <w:highlight w:val="none"/>
          <w:u w:val="single"/>
        </w:rPr>
      </w:pPr>
      <w:bookmarkStart w:id="191" w:name="_Toc21882"/>
      <w:bookmarkStart w:id="192" w:name="_Toc14422"/>
      <w:bookmarkStart w:id="193" w:name="_Toc16844"/>
      <w:bookmarkStart w:id="194" w:name="_Toc9507"/>
      <w:r>
        <w:rPr>
          <w:rFonts w:hint="eastAsia" w:ascii="宋体" w:hAnsi="宋体" w:cs="宋体"/>
          <w:color w:val="auto"/>
          <w:sz w:val="24"/>
          <w:szCs w:val="24"/>
          <w:highlight w:val="none"/>
          <w:u w:val="single"/>
        </w:rPr>
        <w:t>网上答疑的操作指南为：</w:t>
      </w:r>
      <w:r>
        <w:rPr>
          <w:rFonts w:hint="eastAsia" w:ascii="宋体" w:hAnsi="宋体" w:cs="宋体"/>
          <w:color w:val="auto"/>
          <w:sz w:val="24"/>
          <w:szCs w:val="24"/>
          <w:highlight w:val="none"/>
          <w:u w:val="single"/>
          <w:lang w:eastAsia="zh-CN"/>
        </w:rPr>
        <w:t>登录广州交易集团有限公司（广州公共资源交易中心）</w:t>
      </w:r>
      <w:r>
        <w:rPr>
          <w:rFonts w:hint="eastAsia" w:ascii="宋体" w:hAnsi="宋体" w:cs="宋体"/>
          <w:color w:val="auto"/>
          <w:sz w:val="24"/>
          <w:szCs w:val="24"/>
          <w:highlight w:val="none"/>
          <w:u w:val="single"/>
        </w:rPr>
        <w:t>网站→进入“我是投标人”→进入“新建设工程交易平台”→进入“我的投标”→进入“招标答疑提问”→通过项目编号或名称找到所需的项目→在上述的答疑时间内点击“答疑提问”进入到提问区域→无记名或匿名提出问题</w:t>
      </w:r>
      <w:bookmarkEnd w:id="191"/>
      <w:bookmarkEnd w:id="192"/>
      <w:bookmarkEnd w:id="193"/>
      <w:bookmarkEnd w:id="194"/>
      <w:r>
        <w:rPr>
          <w:rFonts w:hint="eastAsia" w:ascii="宋体" w:hAnsi="宋体" w:cs="宋体"/>
          <w:color w:val="auto"/>
          <w:sz w:val="24"/>
          <w:szCs w:val="24"/>
          <w:highlight w:val="none"/>
          <w:u w:val="single"/>
        </w:rPr>
        <w:t>。</w:t>
      </w:r>
    </w:p>
    <w:p w14:paraId="5FC749B1">
      <w:pPr>
        <w:spacing w:line="360" w:lineRule="auto"/>
        <w:ind w:firstLine="480" w:firstLineChars="200"/>
        <w:rPr>
          <w:rFonts w:hint="eastAsia" w:ascii="宋体" w:hAnsi="宋体" w:cs="宋体"/>
          <w:color w:val="auto"/>
          <w:sz w:val="24"/>
          <w:szCs w:val="24"/>
          <w:highlight w:val="none"/>
          <w:u w:val="single"/>
        </w:rPr>
      </w:pPr>
      <w:bookmarkStart w:id="195" w:name="_Toc31603"/>
      <w:bookmarkStart w:id="196" w:name="_Toc19746"/>
      <w:bookmarkStart w:id="197" w:name="_Toc22325"/>
      <w:bookmarkStart w:id="198" w:name="_Toc17089"/>
      <w:r>
        <w:rPr>
          <w:rFonts w:hint="eastAsia" w:ascii="宋体" w:hAnsi="宋体" w:cs="宋体"/>
          <w:color w:val="auto"/>
          <w:sz w:val="24"/>
          <w:szCs w:val="24"/>
          <w:highlight w:val="none"/>
          <w:u w:val="single"/>
        </w:rPr>
        <w:t>1.10.2投标人应在投标人须知前附表规定的时间前，按前附表载明的方式提出问题。招标人应在递交投标文件截止时间15日前解答投标人对招标文件提出的疑问，形成答疑纪要，在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网站“项目查询(日程安排、答疑纪要)”专区上发布。</w:t>
      </w:r>
      <w:bookmarkEnd w:id="195"/>
      <w:bookmarkEnd w:id="196"/>
      <w:bookmarkEnd w:id="197"/>
      <w:bookmarkEnd w:id="198"/>
    </w:p>
    <w:p w14:paraId="4F1770CA">
      <w:pPr>
        <w:spacing w:line="360" w:lineRule="auto"/>
        <w:ind w:firstLine="480" w:firstLineChars="200"/>
        <w:rPr>
          <w:rFonts w:hint="eastAsia" w:ascii="宋体" w:hAnsi="宋体" w:cs="宋体"/>
          <w:color w:val="auto"/>
          <w:sz w:val="24"/>
          <w:szCs w:val="24"/>
          <w:highlight w:val="none"/>
          <w:u w:val="single"/>
        </w:rPr>
      </w:pPr>
      <w:bookmarkStart w:id="199" w:name="_Toc17542"/>
      <w:bookmarkStart w:id="200" w:name="_Toc14003"/>
      <w:bookmarkStart w:id="201" w:name="_Toc23655"/>
      <w:bookmarkStart w:id="202" w:name="_Toc12054"/>
      <w:r>
        <w:rPr>
          <w:rFonts w:hint="eastAsia" w:ascii="宋体" w:hAnsi="宋体" w:cs="宋体"/>
          <w:color w:val="auto"/>
          <w:sz w:val="24"/>
          <w:szCs w:val="24"/>
          <w:highlight w:val="none"/>
          <w:u w:val="single"/>
        </w:rPr>
        <w:t>1.10.3招标答疑纪要一经在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网站发布，视作已发放给所有投标人。</w:t>
      </w:r>
      <w:bookmarkEnd w:id="199"/>
      <w:bookmarkEnd w:id="200"/>
      <w:bookmarkEnd w:id="201"/>
      <w:bookmarkEnd w:id="202"/>
    </w:p>
    <w:p w14:paraId="7E20D6E1">
      <w:pPr>
        <w:spacing w:line="360" w:lineRule="auto"/>
        <w:ind w:firstLine="480" w:firstLineChars="200"/>
        <w:rPr>
          <w:rFonts w:hint="eastAsia" w:ascii="宋体" w:hAnsi="宋体" w:cs="宋体"/>
          <w:color w:val="auto"/>
          <w:sz w:val="24"/>
          <w:szCs w:val="24"/>
          <w:highlight w:val="none"/>
          <w:u w:val="single"/>
        </w:rPr>
      </w:pPr>
      <w:bookmarkStart w:id="203" w:name="_Toc22640"/>
      <w:bookmarkStart w:id="204" w:name="_Toc23270"/>
      <w:bookmarkStart w:id="205" w:name="_Toc2020"/>
      <w:bookmarkStart w:id="206" w:name="_Toc11460"/>
      <w:r>
        <w:rPr>
          <w:rFonts w:hint="eastAsia" w:ascii="宋体" w:hAnsi="宋体" w:cs="宋体"/>
          <w:color w:val="auto"/>
          <w:sz w:val="24"/>
          <w:szCs w:val="24"/>
          <w:highlight w:val="none"/>
          <w:u w:val="single"/>
        </w:rPr>
        <w:t>1.10.4招标答疑纪要为招标文件的一部分。投标人可在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网站浏览、下载招标答疑纪要。</w:t>
      </w:r>
      <w:bookmarkEnd w:id="203"/>
      <w:bookmarkEnd w:id="204"/>
      <w:bookmarkEnd w:id="205"/>
      <w:bookmarkEnd w:id="206"/>
    </w:p>
    <w:p w14:paraId="0FEEFECE">
      <w:pPr>
        <w:pStyle w:val="14"/>
        <w:spacing w:before="0" w:after="0" w:line="360" w:lineRule="auto"/>
        <w:ind w:firstLine="480" w:firstLineChars="200"/>
        <w:rPr>
          <w:rFonts w:hint="eastAsia" w:ascii="宋体" w:hAnsi="宋体"/>
          <w:color w:val="auto"/>
          <w:sz w:val="24"/>
          <w:szCs w:val="24"/>
          <w:highlight w:val="none"/>
        </w:rPr>
      </w:pPr>
      <w:bookmarkStart w:id="207" w:name="_Toc279"/>
      <w:bookmarkStart w:id="208" w:name="_Toc27641"/>
      <w:bookmarkStart w:id="209" w:name="_Toc8182"/>
      <w:bookmarkStart w:id="210" w:name="_Toc2639"/>
      <w:r>
        <w:rPr>
          <w:rFonts w:hint="eastAsia" w:ascii="宋体" w:hAnsi="宋体" w:cs="宋体"/>
          <w:b w:val="0"/>
          <w:bCs w:val="0"/>
          <w:caps w:val="0"/>
          <w:color w:val="auto"/>
          <w:sz w:val="24"/>
          <w:szCs w:val="24"/>
          <w:highlight w:val="none"/>
          <w:u w:val="single"/>
        </w:rPr>
        <w:t>1.10.5若招标答疑纪要与招标文件有矛盾时，以</w:t>
      </w:r>
      <w:r>
        <w:rPr>
          <w:rFonts w:hint="eastAsia" w:ascii="宋体" w:hAnsi="宋体" w:cs="宋体"/>
          <w:b w:val="0"/>
          <w:bCs w:val="0"/>
          <w:caps w:val="0"/>
          <w:color w:val="auto"/>
          <w:sz w:val="24"/>
          <w:szCs w:val="24"/>
          <w:highlight w:val="none"/>
          <w:u w:val="single"/>
          <w:lang w:eastAsia="zh-CN"/>
        </w:rPr>
        <w:t>广州交易集团有限公司（广州公共资源交易中心）</w:t>
      </w:r>
      <w:r>
        <w:rPr>
          <w:rFonts w:hint="eastAsia" w:ascii="宋体" w:hAnsi="宋体" w:cs="宋体"/>
          <w:b w:val="0"/>
          <w:bCs w:val="0"/>
          <w:caps w:val="0"/>
          <w:color w:val="auto"/>
          <w:sz w:val="24"/>
          <w:szCs w:val="24"/>
          <w:highlight w:val="none"/>
          <w:u w:val="single"/>
        </w:rPr>
        <w:t>网站最后发布的答疑纪要为准。</w:t>
      </w:r>
      <w:bookmarkEnd w:id="207"/>
      <w:bookmarkEnd w:id="208"/>
      <w:bookmarkEnd w:id="209"/>
      <w:bookmarkEnd w:id="210"/>
    </w:p>
    <w:p w14:paraId="27847CDB">
      <w:pPr>
        <w:keepNext/>
        <w:keepLines/>
        <w:spacing w:line="360" w:lineRule="auto"/>
        <w:outlineLvl w:val="2"/>
        <w:rPr>
          <w:rFonts w:hint="eastAsia" w:ascii="宋体" w:hAnsi="宋体" w:cs="宋体"/>
          <w:bCs/>
          <w:color w:val="auto"/>
          <w:sz w:val="24"/>
          <w:szCs w:val="24"/>
          <w:highlight w:val="yellow"/>
        </w:rPr>
      </w:pPr>
      <w:bookmarkStart w:id="211" w:name="_Toc4319"/>
      <w:bookmarkStart w:id="212" w:name="_Toc30953"/>
      <w:bookmarkStart w:id="213" w:name="_Toc14099"/>
      <w:bookmarkStart w:id="214" w:name="_Toc247527565"/>
      <w:bookmarkStart w:id="215" w:name="_Toc16758"/>
      <w:bookmarkStart w:id="216" w:name="_Toc25557"/>
      <w:bookmarkStart w:id="217" w:name="_Toc6742"/>
      <w:bookmarkStart w:id="218" w:name="_Toc152045541"/>
      <w:bookmarkStart w:id="219" w:name="_Toc4698"/>
      <w:bookmarkStart w:id="220" w:name="_Toc14541"/>
      <w:bookmarkStart w:id="221" w:name="_Toc485211049"/>
      <w:bookmarkStart w:id="222" w:name="_Toc144974509"/>
      <w:bookmarkStart w:id="223" w:name="_Toc31934"/>
      <w:bookmarkStart w:id="224" w:name="_Toc32689"/>
      <w:bookmarkStart w:id="225" w:name="_Toc247513964"/>
      <w:bookmarkStart w:id="226" w:name="_Toc152042317"/>
      <w:r>
        <w:rPr>
          <w:rFonts w:hint="eastAsia" w:ascii="宋体" w:hAnsi="宋体" w:cs="宋体"/>
          <w:bCs/>
          <w:color w:val="auto"/>
          <w:sz w:val="24"/>
          <w:szCs w:val="24"/>
          <w:highlight w:val="none"/>
        </w:rPr>
        <w:t>1.11 分包</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FEF0917">
      <w:pPr>
        <w:keepNext/>
        <w:keepLines/>
        <w:spacing w:line="360" w:lineRule="auto"/>
        <w:ind w:firstLine="480" w:firstLineChars="200"/>
        <w:outlineLvl w:val="2"/>
        <w:rPr>
          <w:rFonts w:hint="eastAsia" w:ascii="宋体" w:hAnsi="宋体" w:cs="宋体"/>
          <w:bCs/>
          <w:color w:val="auto"/>
          <w:sz w:val="24"/>
          <w:szCs w:val="24"/>
          <w:highlight w:val="none"/>
        </w:rPr>
      </w:pPr>
      <w:bookmarkStart w:id="227" w:name="_Toc247513965"/>
      <w:bookmarkStart w:id="228" w:name="_Toc11568"/>
      <w:bookmarkStart w:id="229" w:name="_Toc29868"/>
      <w:bookmarkStart w:id="230" w:name="_Toc13443"/>
      <w:bookmarkStart w:id="231" w:name="_Toc6602"/>
      <w:bookmarkStart w:id="232" w:name="_Toc27670"/>
      <w:bookmarkStart w:id="233" w:name="_Toc22035"/>
      <w:bookmarkStart w:id="234" w:name="_Toc247527566"/>
      <w:bookmarkStart w:id="235" w:name="_Toc20842"/>
      <w:bookmarkStart w:id="236" w:name="_Toc32073"/>
      <w:bookmarkStart w:id="237" w:name="_Toc18430"/>
      <w:bookmarkStart w:id="238" w:name="_Toc13266"/>
      <w:bookmarkStart w:id="239" w:name="_Toc485211050"/>
      <w:r>
        <w:rPr>
          <w:rFonts w:hint="eastAsia" w:ascii="宋体" w:hAnsi="宋体" w:cs="宋体"/>
          <w:bCs/>
          <w:color w:val="auto"/>
          <w:sz w:val="24"/>
          <w:szCs w:val="24"/>
          <w:highlight w:val="none"/>
        </w:rPr>
        <w:t>1.11.1 投标人须知前附表规定应当由分包人实施的非主体、非关键性工作，投标人应当按照第五章“发包人要求”的规定提供分包人侯选名单及其相应资料。</w:t>
      </w:r>
    </w:p>
    <w:p w14:paraId="190A8439">
      <w:pPr>
        <w:keepNext/>
        <w:keepLines/>
        <w:spacing w:line="360" w:lineRule="auto"/>
        <w:ind w:firstLine="480" w:firstLineChars="200"/>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t>1.11.2 招标人允许投标人在中标后将中标项目的部分非主体、非关键性工作进行分包的，应符合投标人须知前附表规定的分包内容、资质要求等限制性条件。</w:t>
      </w:r>
    </w:p>
    <w:p w14:paraId="4951D14B">
      <w:pPr>
        <w:keepNext/>
        <w:keepLines/>
        <w:spacing w:line="360" w:lineRule="auto"/>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 偏离</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01639FD6">
      <w:pPr>
        <w:spacing w:line="360" w:lineRule="auto"/>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《投标人须知前附表》允许投标文件偏离招标文件某些要求的，偏离应当符合招标文件规定的偏离范围和幅度。</w:t>
      </w:r>
    </w:p>
    <w:p w14:paraId="23810A0B">
      <w:pPr>
        <w:keepNext/>
        <w:keepLines/>
        <w:spacing w:line="360" w:lineRule="auto"/>
        <w:outlineLvl w:val="1"/>
        <w:rPr>
          <w:rFonts w:hint="eastAsia" w:ascii="宋体" w:hAnsi="宋体" w:cs="宋体"/>
          <w:b/>
          <w:bCs/>
          <w:color w:val="auto"/>
          <w:sz w:val="28"/>
          <w:szCs w:val="28"/>
          <w:highlight w:val="none"/>
        </w:rPr>
      </w:pPr>
      <w:bookmarkStart w:id="240" w:name="_Toc29206"/>
      <w:bookmarkStart w:id="241" w:name="_Toc3075"/>
      <w:bookmarkStart w:id="242" w:name="_Toc485211051"/>
      <w:bookmarkStart w:id="243" w:name="_Toc25604"/>
      <w:bookmarkStart w:id="244" w:name="_Toc152042318"/>
      <w:bookmarkStart w:id="245" w:name="_Toc152045542"/>
      <w:bookmarkStart w:id="246" w:name="_Toc12882"/>
      <w:bookmarkStart w:id="247" w:name="_Toc247527567"/>
      <w:bookmarkStart w:id="248" w:name="_Toc6093"/>
      <w:bookmarkStart w:id="249" w:name="_Toc18141"/>
      <w:bookmarkStart w:id="250" w:name="_Toc144974510"/>
      <w:bookmarkStart w:id="251" w:name="_Toc29934"/>
      <w:bookmarkStart w:id="252" w:name="_Toc2209"/>
      <w:bookmarkStart w:id="253" w:name="_Toc3403"/>
      <w:bookmarkStart w:id="254" w:name="_Toc247513966"/>
      <w:bookmarkStart w:id="255" w:name="_Toc29050"/>
      <w:r>
        <w:rPr>
          <w:rFonts w:hint="eastAsia" w:ascii="宋体" w:hAnsi="宋体" w:cs="宋体"/>
          <w:b/>
          <w:bCs/>
          <w:color w:val="auto"/>
          <w:sz w:val="28"/>
          <w:szCs w:val="28"/>
          <w:highlight w:val="none"/>
        </w:rPr>
        <w:t>2. 招标文件</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56E2BB7">
      <w:pPr>
        <w:keepNext/>
        <w:keepLines/>
        <w:spacing w:line="360" w:lineRule="auto"/>
        <w:outlineLvl w:val="2"/>
        <w:rPr>
          <w:rFonts w:hint="eastAsia" w:ascii="宋体" w:hAnsi="宋体" w:cs="宋体"/>
          <w:bCs/>
          <w:color w:val="auto"/>
          <w:sz w:val="24"/>
          <w:szCs w:val="24"/>
          <w:highlight w:val="none"/>
        </w:rPr>
      </w:pPr>
      <w:bookmarkStart w:id="256" w:name="_Toc21592"/>
      <w:bookmarkStart w:id="257" w:name="_Toc247527568"/>
      <w:bookmarkStart w:id="258" w:name="_Toc485211052"/>
      <w:bookmarkStart w:id="259" w:name="_Toc152045543"/>
      <w:bookmarkStart w:id="260" w:name="_Toc11748"/>
      <w:bookmarkStart w:id="261" w:name="_Toc144974511"/>
      <w:bookmarkStart w:id="262" w:name="_Toc3440"/>
      <w:bookmarkStart w:id="263" w:name="_Toc4736"/>
      <w:bookmarkStart w:id="264" w:name="_Toc15061"/>
      <w:bookmarkStart w:id="265" w:name="_Toc12359"/>
      <w:bookmarkStart w:id="266" w:name="_Toc152042319"/>
      <w:bookmarkStart w:id="267" w:name="_Toc13776"/>
      <w:bookmarkStart w:id="268" w:name="_Toc23401"/>
      <w:bookmarkStart w:id="269" w:name="_Toc23492"/>
      <w:bookmarkStart w:id="270" w:name="_Toc21925"/>
      <w:bookmarkStart w:id="271" w:name="_Toc247513967"/>
      <w:r>
        <w:rPr>
          <w:rFonts w:hint="eastAsia" w:ascii="宋体" w:hAnsi="宋体" w:cs="宋体"/>
          <w:bCs/>
          <w:color w:val="auto"/>
          <w:sz w:val="24"/>
          <w:szCs w:val="24"/>
          <w:highlight w:val="none"/>
        </w:rPr>
        <w:t>2.1 招标文件的组成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483859B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2.1.1本招标文件包括：</w:t>
      </w:r>
    </w:p>
    <w:p w14:paraId="6D40A1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（1）投标人须知；</w:t>
      </w:r>
    </w:p>
    <w:p w14:paraId="567221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（2）评标办法；</w:t>
      </w:r>
    </w:p>
    <w:p w14:paraId="360BA5D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（3）合同条款及格式(另册)；</w:t>
      </w:r>
    </w:p>
    <w:p w14:paraId="700C30B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（4）发包人要求；</w:t>
      </w:r>
    </w:p>
    <w:p w14:paraId="6A1A21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（5）发包人提供的资料和条件(另册)；</w:t>
      </w:r>
    </w:p>
    <w:p w14:paraId="534E4A5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（6）投标文件格式；</w:t>
      </w:r>
    </w:p>
    <w:p w14:paraId="526B3C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（7）《投标人须知前附表》规定的其他资料。</w:t>
      </w:r>
    </w:p>
    <w:p w14:paraId="3C0D6B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2.1.2根据本章第2.2款和第2.3款对招标文件所作的澄清、修改，构成招标文件的组成部分。</w:t>
      </w:r>
      <w:r>
        <w:rPr>
          <w:rFonts w:hint="eastAsia" w:ascii="宋体" w:hAnsi="宋体" w:cs="宋体"/>
          <w:color w:val="auto"/>
          <w:sz w:val="24"/>
          <w:szCs w:val="24"/>
          <w:highlight w:val="none"/>
          <w:u w:val="single"/>
        </w:rPr>
        <w:t>当招标文件的澄清、修改等在同一内容的表述不一致时，以最后发出的书面文件为准</w:t>
      </w:r>
      <w:r>
        <w:rPr>
          <w:rFonts w:hint="eastAsia" w:ascii="宋体" w:hAnsi="宋体" w:cs="宋体"/>
          <w:color w:val="auto"/>
          <w:sz w:val="24"/>
          <w:szCs w:val="24"/>
          <w:highlight w:val="none"/>
        </w:rPr>
        <w:t>。</w:t>
      </w:r>
    </w:p>
    <w:p w14:paraId="642C9042">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7939ADF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2.1.4投标人一旦中标，招标文件的内容对招标人和中标人双方均有约束力。</w:t>
      </w:r>
    </w:p>
    <w:p w14:paraId="1DCE768E">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2.1.5发布招标公告的同时，通过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网站发布招标文件。</w:t>
      </w:r>
    </w:p>
    <w:p w14:paraId="459F16B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2.1.6招标文件一经在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网站发布，视作已发放给所有投标人。</w:t>
      </w:r>
    </w:p>
    <w:p w14:paraId="100208E1">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p>
    <w:p w14:paraId="1A46233C">
      <w:pPr>
        <w:keepNext/>
        <w:keepLines/>
        <w:spacing w:line="360" w:lineRule="auto"/>
        <w:outlineLvl w:val="2"/>
        <w:rPr>
          <w:rFonts w:hint="eastAsia" w:ascii="宋体" w:hAnsi="宋体" w:cs="宋体"/>
          <w:bCs/>
          <w:color w:val="auto"/>
          <w:sz w:val="24"/>
          <w:szCs w:val="24"/>
          <w:highlight w:val="none"/>
        </w:rPr>
      </w:pPr>
      <w:bookmarkStart w:id="272" w:name="_Toc18331"/>
      <w:bookmarkStart w:id="273" w:name="_Toc152045544"/>
      <w:bookmarkStart w:id="274" w:name="_Toc13002"/>
      <w:bookmarkStart w:id="275" w:name="_Toc8575"/>
      <w:bookmarkStart w:id="276" w:name="_Toc25303"/>
      <w:bookmarkStart w:id="277" w:name="_Toc22464"/>
      <w:bookmarkStart w:id="278" w:name="_Toc23964"/>
      <w:bookmarkStart w:id="279" w:name="_Toc152042320"/>
      <w:bookmarkStart w:id="280" w:name="_Toc144974512"/>
      <w:bookmarkStart w:id="281" w:name="_Toc26751"/>
      <w:bookmarkStart w:id="282" w:name="_Toc247513968"/>
      <w:bookmarkStart w:id="283" w:name="_Toc247527569"/>
      <w:bookmarkStart w:id="284" w:name="_Toc24492"/>
      <w:bookmarkStart w:id="285" w:name="_Toc21381"/>
      <w:bookmarkStart w:id="286" w:name="_Toc485211053"/>
      <w:bookmarkStart w:id="287" w:name="_Toc30001"/>
      <w:r>
        <w:rPr>
          <w:rFonts w:hint="eastAsia" w:ascii="宋体" w:hAnsi="宋体" w:cs="宋体"/>
          <w:bCs/>
          <w:color w:val="auto"/>
          <w:sz w:val="24"/>
          <w:szCs w:val="24"/>
          <w:highlight w:val="none"/>
        </w:rPr>
        <w:t>2.2 招标文件的澄清</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423FD006">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2.2.1 投标人应仔细阅读和检查招标文件的全部内容。如发现缺页或附件不全，应及时向招标人提出，以便补齐。如有疑问，</w:t>
      </w:r>
      <w:r>
        <w:rPr>
          <w:rFonts w:hint="eastAsia" w:ascii="宋体" w:hAnsi="宋体" w:cs="宋体"/>
          <w:color w:val="auto"/>
          <w:sz w:val="24"/>
          <w:szCs w:val="24"/>
          <w:highlight w:val="none"/>
          <w:u w:val="single"/>
        </w:rPr>
        <w:t>可在规定的时间内通过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网站进入提问区域将问题提交给招标人或招标代理人，提交问题时一律不得署名。</w:t>
      </w:r>
    </w:p>
    <w:p w14:paraId="3FF9B57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2.2.2招标人应在投标截止时间15日前解答投标人对招标文件提出的疑问，形成答疑纪要，方可在交易中心网站“项目查询(日程安排、答疑纪要)”专区发布。</w:t>
      </w:r>
    </w:p>
    <w:p w14:paraId="2542CEE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2.2.3招标答疑纪要一经在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网站发布，视作已发放给所有投标人。</w:t>
      </w:r>
    </w:p>
    <w:p w14:paraId="224D309F">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2.2.4招标答疑纪要为招标文件的一部分。投标人可在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网站浏览、下载招标答疑纪要。</w:t>
      </w:r>
    </w:p>
    <w:p w14:paraId="1A4DA24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2.2.5若招标答疑纪要与招标文件有矛盾时，以</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网站最后发布的答疑纪要为准。</w:t>
      </w:r>
    </w:p>
    <w:p w14:paraId="5E13819C">
      <w:pPr>
        <w:keepNext/>
        <w:keepLines/>
        <w:spacing w:line="360" w:lineRule="auto"/>
        <w:outlineLvl w:val="2"/>
        <w:rPr>
          <w:rFonts w:hint="eastAsia" w:ascii="宋体" w:hAnsi="宋体" w:cs="宋体"/>
          <w:bCs/>
          <w:color w:val="auto"/>
          <w:sz w:val="24"/>
          <w:szCs w:val="24"/>
          <w:highlight w:val="none"/>
        </w:rPr>
      </w:pPr>
      <w:bookmarkStart w:id="288" w:name="_Toc30706"/>
      <w:bookmarkStart w:id="289" w:name="_Toc247527570"/>
      <w:bookmarkStart w:id="290" w:name="_Toc152042321"/>
      <w:bookmarkStart w:id="291" w:name="_Toc9598"/>
      <w:bookmarkStart w:id="292" w:name="_Toc152045545"/>
      <w:bookmarkStart w:id="293" w:name="_Toc27838"/>
      <w:bookmarkStart w:id="294" w:name="_Toc20025"/>
      <w:bookmarkStart w:id="295" w:name="_Toc20966"/>
      <w:bookmarkStart w:id="296" w:name="_Toc22980"/>
      <w:bookmarkStart w:id="297" w:name="_Toc13082"/>
      <w:bookmarkStart w:id="298" w:name="_Toc485211054"/>
      <w:bookmarkStart w:id="299" w:name="_Toc144974513"/>
      <w:bookmarkStart w:id="300" w:name="_Toc6379"/>
      <w:bookmarkStart w:id="301" w:name="_Toc15828"/>
      <w:bookmarkStart w:id="302" w:name="_Toc247513969"/>
      <w:bookmarkStart w:id="303" w:name="_Toc22060"/>
      <w:r>
        <w:rPr>
          <w:rFonts w:hint="eastAsia" w:ascii="宋体" w:hAnsi="宋体" w:cs="宋体"/>
          <w:bCs/>
          <w:color w:val="auto"/>
          <w:sz w:val="24"/>
          <w:szCs w:val="24"/>
          <w:highlight w:val="none"/>
        </w:rPr>
        <w:t>2.3 招标文件的修改</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61D99CA2">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2.3.1招标文件发出后,在提交投标文件截止时间15日前，招标人可对招标文件进行必要的澄清或修改。</w:t>
      </w:r>
    </w:p>
    <w:p w14:paraId="4D055B64">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2.3.2招标文件的澄清或修改在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网站上发布。招标文件的澄清或修改一经在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网站发布，视作已发放给所有投标人，招标文件的修改内容作为招标文件的组成部分，具有约束作用。</w:t>
      </w:r>
    </w:p>
    <w:p w14:paraId="754A717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2.3.3招标文件的澄清、修改均以</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网站发布的内容为准。当招标文件的澄清、修改在同一内容的表述不一致时，以</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网站最后发布的内容为准。</w:t>
      </w:r>
    </w:p>
    <w:p w14:paraId="70DBA86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03DCF842">
      <w:pPr>
        <w:keepNext/>
        <w:keepLines/>
        <w:spacing w:line="360" w:lineRule="auto"/>
        <w:outlineLvl w:val="1"/>
        <w:rPr>
          <w:rFonts w:hint="eastAsia" w:ascii="宋体" w:hAnsi="宋体" w:cs="宋体"/>
          <w:b/>
          <w:bCs/>
          <w:color w:val="auto"/>
          <w:sz w:val="28"/>
          <w:szCs w:val="28"/>
          <w:highlight w:val="none"/>
        </w:rPr>
      </w:pPr>
      <w:bookmarkStart w:id="304" w:name="_Toc27747"/>
      <w:bookmarkStart w:id="305" w:name="_Toc247527571"/>
      <w:bookmarkStart w:id="306" w:name="_Toc22993"/>
      <w:bookmarkStart w:id="307" w:name="_Toc20660"/>
      <w:bookmarkStart w:id="308" w:name="_Toc152045546"/>
      <w:bookmarkStart w:id="309" w:name="_Toc144974514"/>
      <w:bookmarkStart w:id="310" w:name="_Toc485211055"/>
      <w:bookmarkStart w:id="311" w:name="_Toc247513970"/>
      <w:bookmarkStart w:id="312" w:name="_Toc13105"/>
      <w:bookmarkStart w:id="313" w:name="_Toc152042322"/>
      <w:bookmarkStart w:id="314" w:name="_Toc2293"/>
      <w:bookmarkStart w:id="315" w:name="_Toc30688"/>
      <w:bookmarkStart w:id="316" w:name="_Toc11146"/>
      <w:bookmarkStart w:id="317" w:name="_Toc18287"/>
      <w:bookmarkStart w:id="318" w:name="_Toc11716"/>
      <w:r>
        <w:rPr>
          <w:rFonts w:hint="eastAsia" w:ascii="宋体" w:hAnsi="宋体" w:cs="宋体"/>
          <w:b/>
          <w:bCs/>
          <w:color w:val="auto"/>
          <w:sz w:val="28"/>
          <w:szCs w:val="28"/>
          <w:highlight w:val="none"/>
        </w:rPr>
        <w:t>3. 投标文件</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C3BCD39">
      <w:pPr>
        <w:keepNext/>
        <w:keepLines/>
        <w:spacing w:line="360" w:lineRule="auto"/>
        <w:outlineLvl w:val="2"/>
        <w:rPr>
          <w:rFonts w:hint="eastAsia" w:ascii="宋体" w:hAnsi="宋体" w:cs="宋体"/>
          <w:b/>
          <w:color w:val="auto"/>
          <w:sz w:val="24"/>
          <w:szCs w:val="24"/>
          <w:highlight w:val="none"/>
        </w:rPr>
      </w:pPr>
      <w:bookmarkStart w:id="319" w:name="_Toc144974515"/>
      <w:bookmarkStart w:id="320" w:name="_Toc247527572"/>
      <w:bookmarkStart w:id="321" w:name="_Toc10975"/>
      <w:bookmarkStart w:id="322" w:name="_Toc13959"/>
      <w:bookmarkStart w:id="323" w:name="_Toc18769"/>
      <w:bookmarkStart w:id="324" w:name="_Toc436834149"/>
      <w:bookmarkStart w:id="325" w:name="_Toc10609"/>
      <w:bookmarkStart w:id="326" w:name="_Toc31828"/>
      <w:bookmarkStart w:id="327" w:name="_Toc16238"/>
      <w:bookmarkStart w:id="328" w:name="_Toc19073"/>
      <w:bookmarkStart w:id="329" w:name="_Toc436834742"/>
      <w:bookmarkStart w:id="330" w:name="_Toc152045547"/>
      <w:bookmarkStart w:id="331" w:name="_Toc152042323"/>
      <w:bookmarkStart w:id="332" w:name="_Toc384759593"/>
      <w:bookmarkStart w:id="333" w:name="_Toc485211056"/>
      <w:bookmarkStart w:id="334" w:name="_Toc18043"/>
      <w:bookmarkStart w:id="335" w:name="_Toc678"/>
      <w:bookmarkStart w:id="336" w:name="_Toc3746"/>
      <w:bookmarkStart w:id="337" w:name="_Toc247513971"/>
      <w:r>
        <w:rPr>
          <w:rFonts w:hint="eastAsia" w:ascii="宋体" w:hAnsi="宋体" w:cs="宋体"/>
          <w:b/>
          <w:color w:val="auto"/>
          <w:sz w:val="24"/>
          <w:szCs w:val="24"/>
          <w:highlight w:val="none"/>
        </w:rPr>
        <w:t>3.1 投标文件的组成</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1C750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3.1.1 </w:t>
      </w:r>
      <w:r>
        <w:rPr>
          <w:rFonts w:hint="eastAsia" w:ascii="宋体" w:hAnsi="宋体" w:cs="宋体"/>
          <w:b/>
          <w:bCs/>
          <w:color w:val="auto"/>
          <w:sz w:val="24"/>
          <w:szCs w:val="24"/>
          <w:highlight w:val="none"/>
          <w:u w:val="single"/>
        </w:rPr>
        <w:t>投标文件由资格审查文件、形式评审文件、工程总承包实施方案响应性评审</w:t>
      </w:r>
      <w:r>
        <w:rPr>
          <w:rFonts w:hint="eastAsia" w:ascii="宋体" w:hAnsi="宋体" w:cs="宋体"/>
          <w:b/>
          <w:bCs/>
          <w:color w:val="auto"/>
          <w:sz w:val="24"/>
          <w:szCs w:val="24"/>
          <w:highlight w:val="none"/>
          <w:u w:val="single"/>
          <w:lang w:val="en-US" w:eastAsia="zh-CN"/>
        </w:rPr>
        <w:t>文件</w:t>
      </w:r>
      <w:r>
        <w:rPr>
          <w:rFonts w:hint="eastAsia" w:ascii="宋体" w:hAnsi="宋体" w:cs="宋体"/>
          <w:b/>
          <w:bCs/>
          <w:color w:val="auto"/>
          <w:sz w:val="24"/>
          <w:szCs w:val="24"/>
          <w:highlight w:val="none"/>
          <w:u w:val="single"/>
        </w:rPr>
        <w:t>、定标文件组成</w:t>
      </w:r>
      <w:r>
        <w:rPr>
          <w:rFonts w:hint="eastAsia" w:ascii="宋体" w:hAnsi="宋体" w:cs="宋体"/>
          <w:color w:val="auto"/>
          <w:sz w:val="24"/>
          <w:szCs w:val="24"/>
          <w:highlight w:val="none"/>
        </w:rPr>
        <w:t>。如招标文件没有格式规定的，由投标人自行编制。</w:t>
      </w:r>
    </w:p>
    <w:p w14:paraId="5A09F4AC">
      <w:pPr>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3.1.2资格审查文件包括但不限于下列内容：</w:t>
      </w:r>
    </w:p>
    <w:p w14:paraId="75B1C45C">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法定代表人证明书</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法定代表人授权委托书</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出具）；</w:t>
      </w:r>
    </w:p>
    <w:p w14:paraId="47EC81DE">
      <w:pPr>
        <w:spacing w:line="360" w:lineRule="auto"/>
        <w:ind w:firstLine="480" w:firstLineChars="200"/>
        <w:rPr>
          <w:rFonts w:hint="eastAsia" w:ascii="宋体" w:hAnsi="宋体" w:cs="宋体"/>
          <w:color w:val="auto"/>
          <w:kern w:val="0"/>
          <w:sz w:val="24"/>
          <w:szCs w:val="24"/>
          <w:highlight w:val="none"/>
          <w:u w:val="single"/>
          <w:lang w:eastAsia="zh-CN"/>
        </w:rPr>
      </w:pPr>
      <w:r>
        <w:rPr>
          <w:rFonts w:hint="eastAsia" w:ascii="宋体" w:hAnsi="宋体" w:cs="宋体"/>
          <w:color w:val="auto"/>
          <w:kern w:val="0"/>
          <w:sz w:val="24"/>
          <w:szCs w:val="24"/>
          <w:highlight w:val="none"/>
          <w:u w:val="single"/>
          <w:lang w:eastAsia="zh-CN"/>
        </w:rPr>
        <w:t>（3）企业营业执照扫描件或电子证照</w:t>
      </w:r>
      <w:r>
        <w:rPr>
          <w:rFonts w:hint="eastAsia" w:ascii="宋体" w:hAnsi="宋体" w:cs="宋体"/>
          <w:color w:val="auto"/>
          <w:kern w:val="0"/>
          <w:sz w:val="24"/>
          <w:szCs w:val="24"/>
          <w:highlight w:val="none"/>
          <w:u w:val="single"/>
        </w:rPr>
        <w:t>（联合体投标的，联合体各方均提供）；</w:t>
      </w:r>
    </w:p>
    <w:p w14:paraId="210927B5">
      <w:pPr>
        <w:spacing w:line="360" w:lineRule="auto"/>
        <w:ind w:firstLine="480" w:firstLineChars="200"/>
        <w:rPr>
          <w:rFonts w:hint="eastAsia" w:ascii="宋体" w:hAnsi="宋体" w:cs="宋体"/>
          <w:color w:val="auto"/>
          <w:kern w:val="0"/>
          <w:sz w:val="24"/>
          <w:szCs w:val="24"/>
          <w:highlight w:val="none"/>
          <w:u w:val="single"/>
          <w:lang w:eastAsia="zh-CN"/>
        </w:rPr>
      </w:pPr>
      <w:r>
        <w:rPr>
          <w:rFonts w:hint="eastAsia" w:ascii="宋体" w:hAnsi="宋体" w:cs="宋体"/>
          <w:color w:val="auto"/>
          <w:kern w:val="0"/>
          <w:sz w:val="24"/>
          <w:szCs w:val="24"/>
          <w:highlight w:val="none"/>
          <w:u w:val="single"/>
          <w:lang w:eastAsia="zh-CN"/>
        </w:rPr>
        <w:t>（4）企业资质证书扫描件或电子证照；</w:t>
      </w:r>
      <w:r>
        <w:rPr>
          <w:rFonts w:hint="eastAsia" w:ascii="宋体" w:hAnsi="宋体" w:cs="宋体"/>
          <w:color w:val="auto"/>
          <w:kern w:val="0"/>
          <w:sz w:val="24"/>
          <w:szCs w:val="24"/>
          <w:highlight w:val="none"/>
          <w:u w:val="single"/>
        </w:rPr>
        <w:t>（联合体投标的，联合体各方均提供）</w:t>
      </w:r>
    </w:p>
    <w:p w14:paraId="53F8E02F">
      <w:pPr>
        <w:spacing w:line="360" w:lineRule="auto"/>
        <w:ind w:firstLine="480" w:firstLineChars="200"/>
        <w:rPr>
          <w:rFonts w:hint="eastAsia" w:ascii="宋体" w:hAnsi="宋体" w:cs="宋体"/>
          <w:color w:val="auto"/>
          <w:kern w:val="0"/>
          <w:sz w:val="24"/>
          <w:szCs w:val="24"/>
          <w:highlight w:val="none"/>
          <w:u w:val="single"/>
          <w:lang w:eastAsia="zh-CN"/>
        </w:rPr>
      </w:pPr>
      <w:r>
        <w:rPr>
          <w:rFonts w:hint="eastAsia" w:ascii="宋体" w:hAnsi="宋体" w:cs="宋体"/>
          <w:color w:val="auto"/>
          <w:kern w:val="0"/>
          <w:sz w:val="24"/>
          <w:szCs w:val="24"/>
          <w:highlight w:val="none"/>
          <w:u w:val="single"/>
          <w:lang w:eastAsia="zh-CN"/>
        </w:rPr>
        <w:t>（5）建筑施工企业安全生产许可证扫描件或电子证照</w:t>
      </w:r>
      <w:r>
        <w:rPr>
          <w:rFonts w:hint="eastAsia" w:ascii="宋体" w:hAnsi="宋体" w:cs="宋体"/>
          <w:color w:val="auto"/>
          <w:kern w:val="0"/>
          <w:sz w:val="24"/>
          <w:szCs w:val="24"/>
          <w:highlight w:val="none"/>
          <w:u w:val="single"/>
        </w:rPr>
        <w:t>（联合体投标的，由</w:t>
      </w:r>
      <w:r>
        <w:rPr>
          <w:rFonts w:hint="eastAsia" w:ascii="宋体" w:hAnsi="宋体" w:cs="宋体"/>
          <w:color w:val="auto"/>
          <w:kern w:val="0"/>
          <w:sz w:val="24"/>
          <w:szCs w:val="24"/>
          <w:highlight w:val="none"/>
          <w:u w:val="single"/>
          <w:lang w:val="en-US" w:eastAsia="zh-CN"/>
        </w:rPr>
        <w:t>联合体牵头单位</w:t>
      </w:r>
      <w:r>
        <w:rPr>
          <w:rFonts w:hint="eastAsia" w:ascii="宋体" w:hAnsi="宋体" w:cs="宋体"/>
          <w:color w:val="auto"/>
          <w:kern w:val="0"/>
          <w:sz w:val="24"/>
          <w:szCs w:val="24"/>
          <w:highlight w:val="none"/>
          <w:u w:val="single"/>
        </w:rPr>
        <w:t>提供）</w:t>
      </w:r>
      <w:r>
        <w:rPr>
          <w:rFonts w:hint="eastAsia" w:ascii="宋体" w:hAnsi="宋体" w:cs="宋体"/>
          <w:color w:val="auto"/>
          <w:kern w:val="0"/>
          <w:sz w:val="24"/>
          <w:szCs w:val="24"/>
          <w:highlight w:val="none"/>
          <w:u w:val="single"/>
          <w:lang w:eastAsia="zh-CN"/>
        </w:rPr>
        <w:t>；</w:t>
      </w:r>
    </w:p>
    <w:p w14:paraId="7DDDBF6D">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拟派项目负责人【（兼施工负责人，下同）联合体投标的，由联合体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提供】的有效期内的建造师注册证书扫描件或电子证书；</w:t>
      </w:r>
    </w:p>
    <w:p w14:paraId="0BE892D0">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拟派</w:t>
      </w:r>
      <w:r>
        <w:rPr>
          <w:rFonts w:hint="eastAsia" w:ascii="宋体" w:hAnsi="宋体" w:cs="宋体"/>
          <w:color w:val="auto"/>
          <w:kern w:val="0"/>
          <w:sz w:val="24"/>
          <w:szCs w:val="24"/>
          <w:highlight w:val="none"/>
          <w:u w:val="single"/>
          <w:lang w:eastAsia="zh-CN"/>
        </w:rPr>
        <w:t>项目负责人</w:t>
      </w:r>
      <w:r>
        <w:rPr>
          <w:rFonts w:hint="eastAsia" w:ascii="宋体" w:hAnsi="宋体" w:cs="宋体"/>
          <w:color w:val="auto"/>
          <w:kern w:val="0"/>
          <w:sz w:val="24"/>
          <w:szCs w:val="24"/>
          <w:highlight w:val="none"/>
          <w:u w:val="single"/>
        </w:rPr>
        <w:t>【（兼施工负责人，下同）联合体投标的，由联合体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提供】</w:t>
      </w:r>
      <w:r>
        <w:rPr>
          <w:rFonts w:hint="eastAsia" w:ascii="宋体" w:hAnsi="宋体" w:cs="宋体"/>
          <w:color w:val="auto"/>
          <w:kern w:val="0"/>
          <w:sz w:val="24"/>
          <w:szCs w:val="24"/>
          <w:highlight w:val="none"/>
          <w:u w:val="single"/>
          <w:lang w:eastAsia="zh-CN"/>
        </w:rPr>
        <w:t>在有效期内的安全生产考核合格证书（B类）或建筑施工企业项目负责人安全生产考核合格证书</w:t>
      </w:r>
      <w:r>
        <w:rPr>
          <w:rFonts w:hint="eastAsia" w:ascii="宋体" w:hAnsi="宋体" w:cs="宋体"/>
          <w:b w:val="0"/>
          <w:bCs w:val="0"/>
          <w:color w:val="auto"/>
          <w:kern w:val="0"/>
          <w:sz w:val="24"/>
          <w:szCs w:val="24"/>
          <w:highlight w:val="none"/>
          <w:u w:val="single"/>
          <w:lang w:eastAsia="zh-CN"/>
        </w:rPr>
        <w:t>扫描件或电子证书</w:t>
      </w:r>
      <w:r>
        <w:rPr>
          <w:rFonts w:hint="eastAsia" w:ascii="宋体" w:hAnsi="宋体" w:cs="宋体"/>
          <w:color w:val="auto"/>
          <w:kern w:val="0"/>
          <w:sz w:val="24"/>
          <w:szCs w:val="24"/>
          <w:highlight w:val="none"/>
          <w:u w:val="single"/>
        </w:rPr>
        <w:t>；</w:t>
      </w:r>
    </w:p>
    <w:p w14:paraId="0598CA8E">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8</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拟派设计负责人（联合体投标的，由承担设计任务方提供）注册证书；香港专业人士参与投标的，须提供在广东省住房和城乡建设主管部门备案且备案的业务范围符合本招标项目对设计负责人要求的证明材料；</w:t>
      </w:r>
    </w:p>
    <w:p w14:paraId="39812090">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9</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拟派施工技术负责人（联合体投标的，由联合体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提供）职称证书；</w:t>
      </w:r>
    </w:p>
    <w:p w14:paraId="37EC8389">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拟派专职安全员（按网上投标登记时选择拟投标的专职安全员，联合体投标的，由联合体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提供）在有效期内的安全考核合格证书（C类）或建筑施工企业专职安全生产管理人员安全生产考核合格证书（C3）</w:t>
      </w:r>
      <w:r>
        <w:rPr>
          <w:rFonts w:hint="eastAsia" w:ascii="宋体" w:hAnsi="宋体" w:cs="宋体"/>
          <w:b w:val="0"/>
          <w:bCs w:val="0"/>
          <w:color w:val="auto"/>
          <w:kern w:val="0"/>
          <w:sz w:val="24"/>
          <w:szCs w:val="24"/>
          <w:highlight w:val="none"/>
          <w:u w:val="single"/>
        </w:rPr>
        <w:t>扫描件或电子证书</w:t>
      </w:r>
      <w:r>
        <w:rPr>
          <w:rFonts w:hint="eastAsia" w:ascii="宋体" w:hAnsi="宋体" w:cs="宋体"/>
          <w:color w:val="auto"/>
          <w:kern w:val="0"/>
          <w:sz w:val="24"/>
          <w:szCs w:val="24"/>
          <w:highlight w:val="none"/>
          <w:u w:val="single"/>
        </w:rPr>
        <w:t>；</w:t>
      </w:r>
    </w:p>
    <w:p w14:paraId="3F55FB6E">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11</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投标人拟</w:t>
      </w:r>
      <w:r>
        <w:rPr>
          <w:rFonts w:hint="eastAsia" w:ascii="宋体" w:hAnsi="宋体" w:cs="宋体"/>
          <w:color w:val="auto"/>
          <w:kern w:val="0"/>
          <w:sz w:val="24"/>
          <w:szCs w:val="24"/>
          <w:highlight w:val="none"/>
          <w:u w:val="single"/>
          <w:lang w:val="en-US" w:eastAsia="zh-CN"/>
        </w:rPr>
        <w:t>派</w:t>
      </w:r>
      <w:r>
        <w:rPr>
          <w:rFonts w:hint="eastAsia" w:ascii="宋体" w:hAnsi="宋体" w:cs="宋体"/>
          <w:color w:val="auto"/>
          <w:kern w:val="0"/>
          <w:sz w:val="24"/>
          <w:szCs w:val="24"/>
          <w:highlight w:val="none"/>
          <w:u w:val="single"/>
        </w:rPr>
        <w:t>本工程</w:t>
      </w:r>
      <w:r>
        <w:rPr>
          <w:rFonts w:hint="eastAsia" w:ascii="宋体" w:hAnsi="宋体" w:cs="宋体"/>
          <w:color w:val="auto"/>
          <w:kern w:val="0"/>
          <w:sz w:val="24"/>
          <w:szCs w:val="24"/>
          <w:highlight w:val="none"/>
          <w:u w:val="single"/>
          <w:lang w:val="en-US" w:eastAsia="zh-CN"/>
        </w:rPr>
        <w:t>的</w:t>
      </w:r>
      <w:r>
        <w:rPr>
          <w:rFonts w:hint="eastAsia" w:ascii="宋体" w:hAnsi="宋体" w:cs="宋体"/>
          <w:color w:val="auto"/>
          <w:kern w:val="0"/>
          <w:sz w:val="24"/>
          <w:szCs w:val="24"/>
          <w:highlight w:val="none"/>
          <w:u w:val="single"/>
        </w:rPr>
        <w:t>项目负责人</w:t>
      </w:r>
      <w:r>
        <w:rPr>
          <w:rFonts w:hint="eastAsia" w:ascii="宋体" w:hAnsi="宋体" w:cs="宋体"/>
          <w:color w:val="auto"/>
          <w:sz w:val="24"/>
          <w:szCs w:val="24"/>
          <w:highlight w:val="none"/>
          <w:u w:val="single"/>
        </w:rPr>
        <w:t>（兼施工负责人）</w:t>
      </w:r>
      <w:r>
        <w:rPr>
          <w:rFonts w:hint="eastAsia" w:ascii="宋体" w:hAnsi="宋体" w:cs="宋体"/>
          <w:color w:val="auto"/>
          <w:kern w:val="0"/>
          <w:sz w:val="24"/>
          <w:szCs w:val="24"/>
          <w:highlight w:val="none"/>
          <w:u w:val="single"/>
        </w:rPr>
        <w:t>、设计负责人、施工技术负责人和专职安全员近一个月</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5</w:t>
      </w:r>
      <w:r>
        <w:rPr>
          <w:rFonts w:hint="eastAsia" w:ascii="宋体" w:hAnsi="宋体" w:cs="宋体"/>
          <w:color w:val="auto"/>
          <w:kern w:val="0"/>
          <w:sz w:val="24"/>
          <w:szCs w:val="24"/>
          <w:highlight w:val="none"/>
          <w:u w:val="single"/>
        </w:rPr>
        <w:t>年</w:t>
      </w:r>
      <w:r>
        <w:rPr>
          <w:rFonts w:hint="eastAsia" w:ascii="宋体" w:hAnsi="宋体" w:cs="宋体"/>
          <w:color w:val="auto"/>
          <w:kern w:val="0"/>
          <w:sz w:val="24"/>
          <w:szCs w:val="24"/>
          <w:highlight w:val="none"/>
          <w:u w:val="single"/>
          <w:lang w:val="en-US" w:eastAsia="zh-CN"/>
        </w:rPr>
        <w:t>8</w:t>
      </w:r>
      <w:r>
        <w:rPr>
          <w:rFonts w:hint="eastAsia" w:ascii="宋体" w:hAnsi="宋体" w:cs="宋体"/>
          <w:color w:val="auto"/>
          <w:kern w:val="0"/>
          <w:sz w:val="24"/>
          <w:szCs w:val="24"/>
          <w:highlight w:val="none"/>
          <w:u w:val="single"/>
        </w:rPr>
        <w:t>月）</w:t>
      </w:r>
      <w:r>
        <w:rPr>
          <w:rFonts w:hint="eastAsia" w:ascii="宋体" w:hAnsi="宋体" w:cs="宋体"/>
          <w:color w:val="auto"/>
          <w:kern w:val="0"/>
          <w:sz w:val="24"/>
          <w:szCs w:val="24"/>
          <w:highlight w:val="none"/>
          <w:u w:val="single"/>
        </w:rPr>
        <w:t>的社保证明材料，社保证明需能反映参保人在相应单位（含分公司等分支机构）缴纳</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若当地政策</w:t>
      </w:r>
      <w:r>
        <w:rPr>
          <w:rFonts w:hint="eastAsia" w:ascii="宋体" w:hAnsi="宋体" w:cs="宋体"/>
          <w:color w:val="auto"/>
          <w:kern w:val="0"/>
          <w:sz w:val="24"/>
          <w:szCs w:val="24"/>
          <w:highlight w:val="none"/>
          <w:u w:val="single"/>
          <w:lang w:val="en-US" w:eastAsia="zh-CN"/>
        </w:rPr>
        <w:t>对</w:t>
      </w:r>
      <w:r>
        <w:rPr>
          <w:rFonts w:hint="eastAsia" w:ascii="宋体" w:hAnsi="宋体" w:cs="宋体"/>
          <w:color w:val="auto"/>
          <w:kern w:val="0"/>
          <w:sz w:val="24"/>
          <w:szCs w:val="24"/>
          <w:highlight w:val="none"/>
          <w:u w:val="single"/>
        </w:rPr>
        <w:t>缴纳社保</w:t>
      </w:r>
      <w:r>
        <w:rPr>
          <w:rFonts w:hint="eastAsia" w:ascii="宋体" w:hAnsi="宋体" w:cs="宋体"/>
          <w:color w:val="auto"/>
          <w:kern w:val="0"/>
          <w:sz w:val="24"/>
          <w:szCs w:val="24"/>
          <w:highlight w:val="none"/>
          <w:u w:val="single"/>
          <w:lang w:val="en-US" w:eastAsia="zh-CN"/>
        </w:rPr>
        <w:t>有不同的规定</w:t>
      </w:r>
      <w:r>
        <w:rPr>
          <w:rFonts w:hint="eastAsia" w:ascii="宋体" w:hAnsi="宋体" w:cs="宋体"/>
          <w:color w:val="auto"/>
          <w:kern w:val="0"/>
          <w:sz w:val="24"/>
          <w:szCs w:val="24"/>
          <w:highlight w:val="none"/>
          <w:u w:val="single"/>
        </w:rPr>
        <w:t>，可提供</w:t>
      </w:r>
      <w:r>
        <w:rPr>
          <w:rFonts w:hint="eastAsia" w:ascii="宋体" w:hAnsi="宋体" w:cs="宋体"/>
          <w:color w:val="auto"/>
          <w:kern w:val="0"/>
          <w:sz w:val="24"/>
          <w:szCs w:val="24"/>
          <w:highlight w:val="none"/>
          <w:u w:val="single"/>
        </w:rPr>
        <w:t>2025年</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u w:val="single"/>
        </w:rPr>
        <w:t>月</w:t>
      </w:r>
      <w:r>
        <w:rPr>
          <w:rFonts w:hint="eastAsia" w:ascii="宋体" w:hAnsi="宋体" w:cs="宋体"/>
          <w:color w:val="auto"/>
          <w:kern w:val="0"/>
          <w:sz w:val="24"/>
          <w:szCs w:val="24"/>
          <w:highlight w:val="none"/>
          <w:u w:val="single"/>
        </w:rPr>
        <w:t>在投标单位购买社保缴纳证明材料，须同时提供允许隔月缴纳社保的相关证明文件；若当地政府部门允许企业缓缴社会保险费且投标人未缴纳的，投标人可提供当地政府部门允许缓缴社保的相关文件作为缴纳社保的证明。</w:t>
      </w:r>
    </w:p>
    <w:p w14:paraId="5E4B15F2">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12</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《投标人声明》【按招标公告附件一要求编制（联合体投标的，由联合体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出具）】；</w:t>
      </w:r>
    </w:p>
    <w:p w14:paraId="729C279C">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13</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《联合体共同投标协议》（如有，</w:t>
      </w:r>
      <w:r>
        <w:rPr>
          <w:rFonts w:hint="eastAsia" w:ascii="宋体" w:hAnsi="宋体" w:cs="宋体"/>
          <w:color w:val="auto"/>
          <w:kern w:val="0"/>
          <w:sz w:val="24"/>
          <w:szCs w:val="24"/>
          <w:highlight w:val="none"/>
          <w:u w:val="single"/>
          <w:lang w:val="en-US" w:eastAsia="zh-CN"/>
        </w:rPr>
        <w:t>可参考</w:t>
      </w:r>
      <w:r>
        <w:rPr>
          <w:rFonts w:hint="eastAsia" w:ascii="宋体" w:hAnsi="宋体" w:cs="宋体"/>
          <w:color w:val="auto"/>
          <w:kern w:val="0"/>
          <w:sz w:val="24"/>
          <w:szCs w:val="24"/>
          <w:highlight w:val="none"/>
          <w:u w:val="single"/>
        </w:rPr>
        <w:t>招标公告附件二编制，联合体投标的需提供）；</w:t>
      </w:r>
    </w:p>
    <w:p w14:paraId="30F73CA0">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14</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投标人（若为联合体投标，</w:t>
      </w:r>
      <w:r>
        <w:rPr>
          <w:rFonts w:hint="eastAsia" w:ascii="宋体" w:hAnsi="宋体" w:cs="宋体"/>
          <w:sz w:val="24"/>
          <w:szCs w:val="24"/>
        </w:rPr>
        <w:t>指联合体各方</w:t>
      </w:r>
      <w:r>
        <w:rPr>
          <w:rFonts w:hint="eastAsia" w:ascii="宋体" w:hAnsi="宋体" w:cs="宋体"/>
          <w:color w:val="auto"/>
          <w:kern w:val="0"/>
          <w:sz w:val="24"/>
          <w:szCs w:val="24"/>
          <w:highlight w:val="none"/>
          <w:u w:val="single"/>
        </w:rPr>
        <w:t>）须在广州市住建行业信用管理平台建立企业信用档案，及拟担任本项目的项目负责人（兼施工负责人）、专职安全人员</w:t>
      </w:r>
      <w:r>
        <w:rPr>
          <w:rFonts w:hint="eastAsia" w:ascii="宋体" w:hAnsi="宋体" w:cs="宋体"/>
          <w:color w:val="auto"/>
          <w:kern w:val="0"/>
          <w:sz w:val="24"/>
          <w:szCs w:val="24"/>
          <w:highlight w:val="none"/>
          <w:u w:val="single"/>
          <w:lang w:eastAsia="zh-CN"/>
        </w:rPr>
        <w:t>、</w:t>
      </w:r>
      <w:r>
        <w:rPr>
          <w:rFonts w:hint="eastAsia" w:ascii="宋体" w:hAnsi="宋体"/>
          <w:b/>
          <w:bCs/>
          <w:sz w:val="24"/>
          <w:szCs w:val="24"/>
        </w:rPr>
        <w:t>设计负责人</w:t>
      </w:r>
      <w:r>
        <w:rPr>
          <w:rFonts w:hint="eastAsia" w:ascii="宋体" w:hAnsi="宋体"/>
          <w:b/>
          <w:bCs/>
          <w:sz w:val="24"/>
          <w:szCs w:val="24"/>
          <w:lang w:val="en-US" w:eastAsia="zh-CN"/>
        </w:rPr>
        <w:t>须</w:t>
      </w:r>
      <w:r>
        <w:rPr>
          <w:rFonts w:hint="eastAsia" w:ascii="宋体" w:hAnsi="宋体" w:cs="宋体"/>
          <w:color w:val="auto"/>
          <w:kern w:val="0"/>
          <w:sz w:val="24"/>
          <w:szCs w:val="24"/>
          <w:highlight w:val="none"/>
          <w:u w:val="single"/>
        </w:rPr>
        <w:t>是本企业信用档案中的在册人员。（信用档案办理详见《广州市住建行业信用管理平台企业信息录入指引》http://zfcj.gz.gov.cn/zwgk/zsdwxxgkzl/gzsjzyglfwzx/bszy/）。</w:t>
      </w:r>
    </w:p>
    <w:p w14:paraId="5B577014">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15</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投标人（联合体投标的，指联合体各方）未被列入拖欠农民工工资失信联合惩戒对象名单。</w:t>
      </w:r>
      <w:r>
        <w:rPr>
          <w:rFonts w:hint="eastAsia" w:ascii="宋体" w:hAnsi="宋体"/>
          <w:color w:val="auto"/>
          <w:sz w:val="24"/>
          <w:szCs w:val="24"/>
          <w:highlight w:val="none"/>
          <w:u w:val="single"/>
        </w:rPr>
        <w:t>（本项评审投标人无需提供资料，按</w:t>
      </w:r>
      <w:r>
        <w:rPr>
          <w:rFonts w:hint="eastAsia" w:ascii="宋体" w:hAnsi="宋体"/>
          <w:color w:val="auto"/>
          <w:sz w:val="24"/>
          <w:szCs w:val="24"/>
          <w:highlight w:val="none"/>
          <w:u w:val="single"/>
          <w:lang w:val="en-US" w:eastAsia="zh-CN"/>
        </w:rPr>
        <w:t>投标截止时间</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u w:val="single"/>
        </w:rPr>
        <w:t>交易系统比对的结果进行评审）</w:t>
      </w:r>
    </w:p>
    <w:p w14:paraId="632F1F81">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16</w:t>
      </w:r>
      <w:r>
        <w:rPr>
          <w:rFonts w:hint="eastAsia" w:ascii="宋体" w:hAnsi="宋体" w:cs="宋体"/>
          <w:color w:val="auto"/>
          <w:kern w:val="0"/>
          <w:sz w:val="24"/>
          <w:szCs w:val="24"/>
          <w:highlight w:val="none"/>
          <w:u w:val="single"/>
        </w:rPr>
        <w:t>）投标人认为需要提交的其他资料。</w:t>
      </w:r>
    </w:p>
    <w:p w14:paraId="1957EE7A">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注：</w:t>
      </w:r>
      <w:r>
        <w:rPr>
          <w:rFonts w:hint="eastAsia" w:ascii="宋体" w:hAnsi="宋体" w:cs="宋体"/>
          <w:color w:val="auto"/>
          <w:kern w:val="0"/>
          <w:sz w:val="24"/>
          <w:szCs w:val="24"/>
          <w:highlight w:val="none"/>
          <w:u w:val="single"/>
          <w:lang w:val="en-US" w:eastAsia="zh-CN"/>
        </w:rPr>
        <w:t>1.</w:t>
      </w:r>
      <w:r>
        <w:rPr>
          <w:rFonts w:hint="eastAsia" w:ascii="宋体" w:hAnsi="宋体" w:cs="宋体"/>
          <w:color w:val="auto"/>
          <w:kern w:val="0"/>
          <w:sz w:val="24"/>
          <w:szCs w:val="24"/>
          <w:highlight w:val="none"/>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专职安全生产管理人员实施机械、土建、综合分类管理的，本项目要求安全生产考核合格证（C类）或建筑施工企业专职安全生产管理人员安全生产考核合格证书须为综合类（C3）。其中，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5E1488B7">
      <w:pPr>
        <w:spacing w:line="360" w:lineRule="auto"/>
        <w:ind w:firstLine="482" w:firstLineChars="200"/>
        <w:rPr>
          <w:rFonts w:hint="eastAsia" w:ascii="宋体" w:hAnsi="宋体" w:cs="宋体"/>
          <w:b/>
          <w:bCs/>
          <w:color w:val="auto"/>
          <w:kern w:val="0"/>
          <w:sz w:val="24"/>
          <w:szCs w:val="24"/>
          <w:highlight w:val="none"/>
          <w:u w:val="single"/>
        </w:rPr>
      </w:pPr>
      <w:r>
        <w:rPr>
          <w:rFonts w:hint="eastAsia" w:ascii="宋体" w:hAnsi="宋体" w:cs="宋体"/>
          <w:b/>
          <w:bCs/>
          <w:color w:val="auto"/>
          <w:kern w:val="0"/>
          <w:sz w:val="24"/>
          <w:szCs w:val="24"/>
          <w:highlight w:val="none"/>
          <w:u w:val="single"/>
          <w:lang w:val="en-US" w:eastAsia="zh-CN"/>
        </w:rPr>
        <w:t>2</w:t>
      </w:r>
      <w:r>
        <w:rPr>
          <w:rFonts w:hint="eastAsia" w:ascii="宋体" w:hAnsi="宋体" w:cs="宋体"/>
          <w:b/>
          <w:bCs/>
          <w:color w:val="auto"/>
          <w:kern w:val="0"/>
          <w:sz w:val="24"/>
          <w:szCs w:val="24"/>
          <w:highlight w:val="none"/>
          <w:u w:val="single"/>
        </w:rPr>
        <w:t>.相关电子证书按规定需打印后手写本人签名的，应按照规定手写本人签名后再扫描提交。</w:t>
      </w:r>
    </w:p>
    <w:p w14:paraId="738EF82B">
      <w:pPr>
        <w:spacing w:line="360" w:lineRule="auto"/>
        <w:ind w:firstLine="482" w:firstLineChars="200"/>
        <w:rPr>
          <w:rFonts w:hint="eastAsia"/>
          <w:color w:val="auto"/>
          <w:highlight w:val="none"/>
        </w:rPr>
      </w:pPr>
      <w:r>
        <w:rPr>
          <w:rFonts w:hint="eastAsia" w:ascii="宋体" w:hAnsi="宋体" w:cs="宋体"/>
          <w:b/>
          <w:bCs/>
          <w:color w:val="auto"/>
          <w:kern w:val="0"/>
          <w:sz w:val="24"/>
          <w:szCs w:val="24"/>
          <w:highlight w:val="none"/>
          <w:u w:val="single"/>
          <w:lang w:val="en-US" w:eastAsia="zh-CN"/>
        </w:rPr>
        <w:t>3</w:t>
      </w:r>
      <w:r>
        <w:rPr>
          <w:rFonts w:hint="eastAsia" w:ascii="宋体" w:hAnsi="宋体" w:cs="宋体"/>
          <w:b/>
          <w:bCs/>
          <w:color w:val="auto"/>
          <w:kern w:val="0"/>
          <w:sz w:val="24"/>
          <w:szCs w:val="24"/>
          <w:highlight w:val="none"/>
          <w:u w:val="single"/>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05CE3E4">
      <w:pPr>
        <w:wordWrap w:val="0"/>
        <w:snapToGrid w:val="0"/>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3.1.3形式评审文件和响应性评审文件</w:t>
      </w:r>
      <w:r>
        <w:rPr>
          <w:rFonts w:hint="eastAsia" w:ascii="宋体" w:hAnsi="宋体" w:cs="宋体"/>
          <w:b/>
          <w:bCs/>
          <w:color w:val="auto"/>
          <w:sz w:val="24"/>
          <w:szCs w:val="24"/>
          <w:highlight w:val="none"/>
          <w:u w:val="single"/>
        </w:rPr>
        <w:t>包括但不限于下列内容：</w:t>
      </w:r>
    </w:p>
    <w:p w14:paraId="6B26408E">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（1）投标承诺书（见招标文件第六章 格式二）；</w:t>
      </w:r>
    </w:p>
    <w:p w14:paraId="18062673">
      <w:pPr>
        <w:pStyle w:val="24"/>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（2）投标书</w:t>
      </w:r>
      <w:r>
        <w:rPr>
          <w:rFonts w:hint="eastAsia" w:ascii="宋体" w:hAnsi="宋体" w:cs="宋体"/>
          <w:color w:val="auto"/>
          <w:kern w:val="0"/>
          <w:sz w:val="24"/>
          <w:szCs w:val="24"/>
          <w:highlight w:val="none"/>
          <w:u w:val="single"/>
        </w:rPr>
        <w:t>（见招标文件第六章 格式三）；</w:t>
      </w:r>
    </w:p>
    <w:p w14:paraId="4F93885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（3）合同承诺书</w:t>
      </w:r>
      <w:r>
        <w:rPr>
          <w:rFonts w:hint="eastAsia" w:ascii="宋体" w:hAnsi="宋体" w:cs="宋体"/>
          <w:color w:val="auto"/>
          <w:kern w:val="0"/>
          <w:sz w:val="24"/>
          <w:szCs w:val="24"/>
          <w:highlight w:val="none"/>
          <w:u w:val="single"/>
        </w:rPr>
        <w:t>（见招标文件第六章 格式五）；</w:t>
      </w:r>
    </w:p>
    <w:p w14:paraId="6C1457D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（4）危险性较大的分部分项工程清单及超过一定规模的危险性较大的分部分项工程清单</w:t>
      </w:r>
      <w:r>
        <w:rPr>
          <w:rFonts w:hint="eastAsia" w:ascii="宋体" w:hAnsi="宋体" w:cs="宋体"/>
          <w:color w:val="auto"/>
          <w:kern w:val="0"/>
          <w:sz w:val="24"/>
          <w:szCs w:val="24"/>
          <w:highlight w:val="none"/>
          <w:u w:val="single"/>
        </w:rPr>
        <w:t>（见招标文件第六章 格式六）；</w:t>
      </w:r>
    </w:p>
    <w:p w14:paraId="6EA5B659">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（5）投标报价（见招标文件第六章 格式七）；</w:t>
      </w:r>
    </w:p>
    <w:p w14:paraId="70E9BBC4">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（6）工程总承包项目管理团队人员信息表（见招标文件第六章 格式八）；</w:t>
      </w:r>
    </w:p>
    <w:p w14:paraId="4CCA23A2">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（7）</w:t>
      </w:r>
      <w:r>
        <w:rPr>
          <w:rFonts w:hint="eastAsia" w:ascii="宋体" w:hAnsi="宋体" w:cs="宋体"/>
          <w:color w:val="auto"/>
          <w:sz w:val="24"/>
          <w:szCs w:val="24"/>
          <w:highlight w:val="none"/>
          <w:u w:val="single"/>
        </w:rPr>
        <w:t>参与编制投标文件人员名单</w:t>
      </w:r>
      <w:r>
        <w:rPr>
          <w:rFonts w:hint="eastAsia" w:ascii="宋体" w:hAnsi="宋体" w:cs="宋体"/>
          <w:color w:val="auto"/>
          <w:kern w:val="0"/>
          <w:sz w:val="24"/>
          <w:szCs w:val="24"/>
          <w:highlight w:val="none"/>
          <w:u w:val="single"/>
        </w:rPr>
        <w:t>（见招标文件第六章 格式四）；</w:t>
      </w:r>
    </w:p>
    <w:p w14:paraId="64831482">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（8）投标人根据招标文件要求认为需要提交的其它文件。</w:t>
      </w:r>
    </w:p>
    <w:p w14:paraId="62C44838">
      <w:pPr>
        <w:spacing w:line="36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u w:val="single"/>
        </w:rPr>
        <w:t>3.1.4定标文件包括但不限于下列内容：</w:t>
      </w:r>
    </w:p>
    <w:p w14:paraId="27C03D83">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（1）投标报价；</w:t>
      </w:r>
    </w:p>
    <w:p w14:paraId="2DEC0F7B">
      <w:pPr>
        <w:pStyle w:val="8"/>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（2）项目管理团队；</w:t>
      </w:r>
    </w:p>
    <w:p w14:paraId="095AFE9C">
      <w:pPr>
        <w:pStyle w:val="8"/>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（3）工程总承包方案</w:t>
      </w:r>
      <w:r>
        <w:rPr>
          <w:rFonts w:hint="eastAsia" w:ascii="宋体" w:hAnsi="宋体" w:cs="宋体"/>
          <w:color w:val="auto"/>
          <w:sz w:val="24"/>
          <w:szCs w:val="24"/>
          <w:highlight w:val="none"/>
          <w:u w:val="single"/>
          <w:lang w:eastAsia="zh-CN"/>
        </w:rPr>
        <w:t>：</w:t>
      </w:r>
      <w:r>
        <w:rPr>
          <w:rFonts w:hint="eastAsia" w:ascii="宋体" w:hAnsi="宋体" w:cs="宋体"/>
          <w:b/>
          <w:bCs/>
          <w:color w:val="auto"/>
          <w:sz w:val="24"/>
          <w:szCs w:val="24"/>
          <w:highlight w:val="none"/>
          <w:u w:val="single"/>
        </w:rPr>
        <w:t>投标人在编制方案时应按照招标文件</w:t>
      </w:r>
      <w:r>
        <w:rPr>
          <w:rFonts w:hint="eastAsia" w:ascii="宋体" w:hAnsi="宋体" w:cs="宋体"/>
          <w:b/>
          <w:bCs/>
          <w:color w:val="auto"/>
          <w:sz w:val="24"/>
          <w:szCs w:val="24"/>
          <w:highlight w:val="none"/>
          <w:u w:val="single"/>
          <w:lang w:val="en-US" w:eastAsia="zh-CN"/>
        </w:rPr>
        <w:t>的定标因素表</w:t>
      </w:r>
      <w:r>
        <w:rPr>
          <w:rFonts w:hint="eastAsia" w:ascii="宋体" w:hAnsi="宋体" w:cs="宋体"/>
          <w:b/>
          <w:bCs/>
          <w:color w:val="auto"/>
          <w:sz w:val="24"/>
          <w:szCs w:val="24"/>
          <w:highlight w:val="none"/>
          <w:u w:val="single"/>
        </w:rPr>
        <w:t>要求，并针对本项目的关键技术、工艺、重点、难点以及拟在本项目采用的新工艺、新技术、新材料编制，应突出重点，标准、规范中已有的内容无需赘述，一般篇幅不宜超过150页；对于技术特别复杂，施工工艺超出国家标准的项目，方案的篇幅要求可适当放宽，但不宜超过200页。超过部分不予评审。</w:t>
      </w:r>
    </w:p>
    <w:p w14:paraId="38051791">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按照《定标因素表》的要求或</w:t>
      </w:r>
      <w:r>
        <w:rPr>
          <w:rFonts w:hint="eastAsia" w:ascii="宋体" w:hAnsi="宋体" w:cs="宋体"/>
          <w:color w:val="auto"/>
          <w:sz w:val="24"/>
          <w:szCs w:val="24"/>
          <w:highlight w:val="none"/>
          <w:u w:val="single"/>
        </w:rPr>
        <w:t>投标人</w:t>
      </w:r>
      <w:r>
        <w:rPr>
          <w:rFonts w:hint="eastAsia" w:ascii="宋体" w:hAnsi="宋体" w:cs="宋体"/>
          <w:color w:val="auto"/>
          <w:kern w:val="0"/>
          <w:sz w:val="24"/>
          <w:szCs w:val="24"/>
          <w:highlight w:val="none"/>
          <w:u w:val="single"/>
        </w:rPr>
        <w:t>实施本项目的其他优势证明资料。</w:t>
      </w:r>
    </w:p>
    <w:p w14:paraId="6D0410BB">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注：投标人应根据电子招标文件中“定标文件”各模块对应上传定标因素资料。</w:t>
      </w:r>
    </w:p>
    <w:p w14:paraId="185A2FBE">
      <w:pPr>
        <w:keepNext/>
        <w:keepLines/>
        <w:spacing w:line="360" w:lineRule="auto"/>
        <w:outlineLvl w:val="2"/>
        <w:rPr>
          <w:rFonts w:hint="eastAsia" w:ascii="宋体" w:hAnsi="宋体" w:cs="宋体"/>
          <w:bCs/>
          <w:color w:val="auto"/>
          <w:sz w:val="24"/>
          <w:szCs w:val="24"/>
          <w:highlight w:val="none"/>
        </w:rPr>
      </w:pPr>
      <w:bookmarkStart w:id="338" w:name="_Toc485211057"/>
      <w:bookmarkStart w:id="339" w:name="_Toc92"/>
      <w:bookmarkStart w:id="340" w:name="_Toc247513972"/>
      <w:bookmarkStart w:id="341" w:name="_Toc300834969"/>
      <w:bookmarkStart w:id="342" w:name="_Toc8600"/>
      <w:bookmarkStart w:id="343" w:name="_Toc152045548"/>
      <w:bookmarkStart w:id="344" w:name="_Toc436834743"/>
      <w:bookmarkStart w:id="345" w:name="_Toc436834150"/>
      <w:bookmarkStart w:id="346" w:name="_Toc32164"/>
      <w:bookmarkStart w:id="347" w:name="_Toc8042"/>
      <w:bookmarkStart w:id="348" w:name="_Toc152042324"/>
      <w:bookmarkStart w:id="349" w:name="_Toc144974516"/>
      <w:bookmarkStart w:id="350" w:name="_Toc29223"/>
      <w:bookmarkStart w:id="351" w:name="_Toc24837"/>
      <w:bookmarkStart w:id="352" w:name="_Toc3423"/>
      <w:bookmarkStart w:id="353" w:name="_Toc12966"/>
      <w:bookmarkStart w:id="354" w:name="_Toc19364"/>
      <w:bookmarkStart w:id="355" w:name="_Toc6661"/>
      <w:bookmarkStart w:id="356" w:name="_Toc247527573"/>
      <w:bookmarkStart w:id="357" w:name="_Toc399165392"/>
      <w:r>
        <w:rPr>
          <w:rFonts w:hint="eastAsia" w:ascii="宋体" w:hAnsi="宋体" w:cs="宋体"/>
          <w:bCs/>
          <w:color w:val="auto"/>
          <w:sz w:val="24"/>
          <w:szCs w:val="24"/>
          <w:highlight w:val="none"/>
        </w:rPr>
        <w:t>3.2 投标报价</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5BABFB3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3.2.1投标人应充分了解施工场地的位置、周边环境、道路、装卸、保管、安装限制以及影响投标报价的其他要素。投标人根据投标设计，结合市场情况进行投标报价。</w:t>
      </w:r>
    </w:p>
    <w:p w14:paraId="650C2A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3.2.2招标人设有最高投标限价的，投标人的投标报价不得超过最高投标限价，最高投标限价或其计算方法在《投标人须知前附表》中载明。</w:t>
      </w:r>
    </w:p>
    <w:p w14:paraId="37F30A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3.2.3 投标报价的其他要求见《投标人须知前附表》。</w:t>
      </w:r>
    </w:p>
    <w:p w14:paraId="2804DD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3.2.4 本工程的投标报价采用投标须知前附表第3.2.5条所规定的方式。</w:t>
      </w:r>
    </w:p>
    <w:p w14:paraId="6D6FE65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3.2.5投标人的投标报价，应是按照投标须知前附表第1.3.2条的工期要求，在投标须知前附表第1.1.5条的建设地点，完成投标须知前附表第1.3.1条的招标范围内列明工作的全部费用，包括但不限于完成工作的成本、利润、税金、技术措施费、大型机械进出场费、风险费以及政策性文件规定费用等，不得以任何理由予以重复计算。</w:t>
      </w:r>
    </w:p>
    <w:p w14:paraId="21EF0E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3.2.6造价承包和变更结算方式详见合同条款。</w:t>
      </w:r>
    </w:p>
    <w:p w14:paraId="2C0D20A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3.2.7投标人可先到工地踏勘以充分了解工地位置、情况、道路、储存空间、装卸限制及任何其他足以影响承包价的情况，任何因忽视或误解工地情况而导致的索赔或工期延长申请将不被批准。</w:t>
      </w:r>
    </w:p>
    <w:p w14:paraId="704E165F">
      <w:pPr>
        <w:keepNext/>
        <w:keepLines/>
        <w:spacing w:line="360" w:lineRule="auto"/>
        <w:outlineLvl w:val="2"/>
        <w:rPr>
          <w:rFonts w:hint="eastAsia" w:ascii="宋体" w:hAnsi="宋体" w:cs="宋体"/>
          <w:b/>
          <w:color w:val="auto"/>
          <w:sz w:val="24"/>
          <w:szCs w:val="24"/>
          <w:highlight w:val="none"/>
        </w:rPr>
      </w:pPr>
      <w:bookmarkStart w:id="358" w:name="_Toc144974517"/>
      <w:bookmarkStart w:id="359" w:name="_Toc4826"/>
      <w:bookmarkStart w:id="360" w:name="_Toc9785"/>
      <w:bookmarkStart w:id="361" w:name="_Toc30468"/>
      <w:bookmarkStart w:id="362" w:name="_Toc152042325"/>
      <w:bookmarkStart w:id="363" w:name="_Toc22871"/>
      <w:bookmarkStart w:id="364" w:name="_Toc19098"/>
      <w:bookmarkStart w:id="365" w:name="_Toc485211058"/>
      <w:bookmarkStart w:id="366" w:name="_Toc10475"/>
      <w:bookmarkStart w:id="367" w:name="_Toc13045"/>
      <w:bookmarkStart w:id="368" w:name="_Toc13869"/>
      <w:bookmarkStart w:id="369" w:name="_Toc436834744"/>
      <w:bookmarkStart w:id="370" w:name="_Toc300834970"/>
      <w:bookmarkStart w:id="371" w:name="_Toc436834151"/>
      <w:bookmarkStart w:id="372" w:name="_Toc9600"/>
      <w:bookmarkStart w:id="373" w:name="_Toc399165393"/>
      <w:bookmarkStart w:id="374" w:name="_Toc247513973"/>
      <w:bookmarkStart w:id="375" w:name="_Toc152045549"/>
      <w:bookmarkStart w:id="376" w:name="_Toc247527574"/>
      <w:bookmarkStart w:id="377" w:name="_Toc31054"/>
      <w:r>
        <w:rPr>
          <w:rFonts w:hint="eastAsia" w:ascii="宋体" w:hAnsi="宋体" w:cs="宋体"/>
          <w:b/>
          <w:color w:val="auto"/>
          <w:sz w:val="24"/>
          <w:szCs w:val="24"/>
          <w:highlight w:val="none"/>
        </w:rPr>
        <w:t>3.3 投标有效期</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B67587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3.3.1投标有效期按须知前附表的规定。</w:t>
      </w:r>
    </w:p>
    <w:p w14:paraId="4DEFC0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3.3.2 在投标有效期内，投标人撤销或修改其投标文件的，应承担招标文件和法律规定的责任。</w:t>
      </w:r>
    </w:p>
    <w:p w14:paraId="4719F80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3.3.3 出现特殊情况需要延长投标有效期的，招标人以书面形式通知所有投标人延长投标有效期。投标人同意延长的，不得要求或被允许修改或撤销其投标文件；投标人拒绝延长的，其投标失效。</w:t>
      </w:r>
    </w:p>
    <w:p w14:paraId="2E5E207A">
      <w:pPr>
        <w:keepNext/>
        <w:keepLines/>
        <w:spacing w:line="360" w:lineRule="auto"/>
        <w:outlineLvl w:val="2"/>
        <w:rPr>
          <w:rFonts w:hint="eastAsia" w:ascii="宋体" w:hAnsi="宋体" w:cs="宋体"/>
          <w:b/>
          <w:color w:val="auto"/>
          <w:sz w:val="24"/>
          <w:szCs w:val="24"/>
          <w:highlight w:val="none"/>
        </w:rPr>
      </w:pPr>
      <w:bookmarkStart w:id="378" w:name="_Toc247513974"/>
      <w:bookmarkStart w:id="379" w:name="_Toc436834152"/>
      <w:bookmarkStart w:id="380" w:name="_Toc152045550"/>
      <w:bookmarkStart w:id="381" w:name="_Toc31634"/>
      <w:bookmarkStart w:id="382" w:name="_Toc21972"/>
      <w:bookmarkStart w:id="383" w:name="_Toc11120"/>
      <w:bookmarkStart w:id="384" w:name="_Toc13048"/>
      <w:bookmarkStart w:id="385" w:name="_Toc485211059"/>
      <w:bookmarkStart w:id="386" w:name="_Toc26430"/>
      <w:bookmarkStart w:id="387" w:name="_Toc13638"/>
      <w:bookmarkStart w:id="388" w:name="_Toc399165394"/>
      <w:bookmarkStart w:id="389" w:name="_Toc144974518"/>
      <w:bookmarkStart w:id="390" w:name="_Toc300834971"/>
      <w:bookmarkStart w:id="391" w:name="_Toc247527575"/>
      <w:bookmarkStart w:id="392" w:name="_Toc152042326"/>
      <w:bookmarkStart w:id="393" w:name="_Toc29105"/>
      <w:bookmarkStart w:id="394" w:name="_Toc26267"/>
      <w:bookmarkStart w:id="395" w:name="_Toc436834745"/>
      <w:bookmarkStart w:id="396" w:name="_Toc680"/>
      <w:bookmarkStart w:id="397" w:name="_Toc6160"/>
      <w:r>
        <w:rPr>
          <w:rFonts w:hint="eastAsia" w:ascii="宋体" w:hAnsi="宋体" w:cs="宋体"/>
          <w:b/>
          <w:color w:val="auto"/>
          <w:sz w:val="24"/>
          <w:szCs w:val="24"/>
          <w:highlight w:val="none"/>
        </w:rPr>
        <w:t>3.4 投标担保</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2308BB1">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3.4.1 投标人在递交投标文件的同时，应按投标人须知前附表规定的金额、担保形式递交投标担保，并作为其投标文件的组成部分。联合体投标的，其投标担保可由投标人(联合体</w:t>
      </w:r>
      <w:r>
        <w:rPr>
          <w:rFonts w:hint="eastAsia" w:ascii="宋体" w:hAnsi="宋体" w:cs="宋体"/>
          <w:strike/>
          <w:color w:val="auto"/>
          <w:sz w:val="24"/>
          <w:highlight w:val="none"/>
          <w:lang w:eastAsia="zh-CN"/>
        </w:rPr>
        <w:t>牵头单位</w:t>
      </w:r>
      <w:r>
        <w:rPr>
          <w:rFonts w:ascii="宋体" w:hAnsi="宋体" w:cs="宋体"/>
          <w:strike/>
          <w:color w:val="auto"/>
          <w:sz w:val="24"/>
          <w:highlight w:val="none"/>
        </w:rPr>
        <w:t>)递交，并应符合投标人须知前附表的规定。</w:t>
      </w:r>
    </w:p>
    <w:p w14:paraId="5D7154BF">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3.4.2 投标人不按本章第3.4.1项要求提交投标担保的，将否决其投标。</w:t>
      </w:r>
    </w:p>
    <w:p w14:paraId="5D60722C">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3.4.3中标候选人以外的投标人的投标保证金将尽快退还，最迟不超过中标通知书发出之日起五日内。</w:t>
      </w:r>
    </w:p>
    <w:p w14:paraId="04300374">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3.4.4中标人和其他中标候选人的投标保证金，在书面合同订立之日起五日内予以退还。</w:t>
      </w:r>
    </w:p>
    <w:p w14:paraId="51F8B502">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 xml:space="preserve">3.4.5有下列情形之一的，投标担保将不予退还： </w:t>
      </w:r>
    </w:p>
    <w:p w14:paraId="7B31EC6A">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（1）投标人在规定的投标有效期内撤销或修改其投标文件；</w:t>
      </w:r>
    </w:p>
    <w:p w14:paraId="3924936A">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（2）中标人在收到中标通知书后，无正当理由拒签合同或未按招标文件规定提交履约担保。</w:t>
      </w:r>
    </w:p>
    <w:p w14:paraId="2C144B1F">
      <w:pPr>
        <w:keepNext/>
        <w:keepLines/>
        <w:spacing w:line="360" w:lineRule="auto"/>
        <w:outlineLvl w:val="2"/>
        <w:rPr>
          <w:rFonts w:hint="eastAsia" w:ascii="宋体" w:hAnsi="宋体" w:cs="宋体"/>
          <w:b/>
          <w:color w:val="auto"/>
          <w:szCs w:val="21"/>
          <w:highlight w:val="none"/>
        </w:rPr>
      </w:pPr>
      <w:bookmarkStart w:id="398" w:name="_Toc10212"/>
      <w:bookmarkStart w:id="399" w:name="_Toc22700"/>
      <w:bookmarkStart w:id="400" w:name="_Toc485211060"/>
      <w:bookmarkStart w:id="401" w:name="_Toc5399"/>
      <w:bookmarkStart w:id="402" w:name="_Toc300834972"/>
      <w:bookmarkStart w:id="403" w:name="_Toc436834153"/>
      <w:bookmarkStart w:id="404" w:name="_Toc24641"/>
      <w:bookmarkStart w:id="405" w:name="_Toc152045551"/>
      <w:bookmarkStart w:id="406" w:name="_Toc29352"/>
      <w:bookmarkStart w:id="407" w:name="_Toc399165395"/>
      <w:bookmarkStart w:id="408" w:name="_Toc16018"/>
      <w:bookmarkStart w:id="409" w:name="_Toc247513975"/>
      <w:bookmarkStart w:id="410" w:name="_Toc432"/>
      <w:bookmarkStart w:id="411" w:name="_Toc247527576"/>
      <w:bookmarkStart w:id="412" w:name="_Toc26980"/>
      <w:bookmarkStart w:id="413" w:name="_Toc3053"/>
      <w:bookmarkStart w:id="414" w:name="_Toc436834746"/>
      <w:bookmarkStart w:id="415" w:name="_Toc144974519"/>
      <w:bookmarkStart w:id="416" w:name="_Toc32455"/>
      <w:bookmarkStart w:id="417" w:name="_Toc152042327"/>
      <w:r>
        <w:rPr>
          <w:rFonts w:hint="eastAsia" w:ascii="宋体" w:hAnsi="宋体" w:cs="宋体"/>
          <w:b/>
          <w:color w:val="auto"/>
          <w:szCs w:val="21"/>
          <w:highlight w:val="none"/>
        </w:rPr>
        <w:t>3.5 资格审查资料</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83A0674">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u w:val="single"/>
        </w:rPr>
        <w:t>根据招标公告第3点投标人资格要求内容提供资料和投标人认为需要提交的其他资料。</w:t>
      </w:r>
    </w:p>
    <w:p w14:paraId="63A2BC1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采用电子化资格后审</w:t>
      </w:r>
      <w:bookmarkStart w:id="418" w:name="_Toc439240619"/>
      <w:bookmarkStart w:id="419" w:name="_Toc439246018"/>
      <w:bookmarkStart w:id="420" w:name="_Toc356469198"/>
      <w:bookmarkStart w:id="421" w:name="_Toc357089532"/>
      <w:r>
        <w:rPr>
          <w:rFonts w:hint="eastAsia" w:ascii="宋体" w:hAnsi="宋体" w:cs="宋体"/>
          <w:color w:val="auto"/>
          <w:sz w:val="24"/>
          <w:szCs w:val="24"/>
          <w:highlight w:val="none"/>
          <w:u w:val="single"/>
        </w:rPr>
        <w:t>，由综合评标委员会负</w:t>
      </w:r>
      <w:bookmarkEnd w:id="418"/>
      <w:bookmarkEnd w:id="419"/>
      <w:bookmarkEnd w:id="420"/>
      <w:bookmarkEnd w:id="421"/>
      <w:r>
        <w:rPr>
          <w:rFonts w:hint="eastAsia" w:ascii="宋体" w:hAnsi="宋体" w:cs="宋体"/>
          <w:color w:val="auto"/>
          <w:sz w:val="24"/>
          <w:szCs w:val="24"/>
          <w:highlight w:val="none"/>
          <w:u w:val="single"/>
        </w:rPr>
        <w:t>责对投标人的资格进行审查，评标时只对通过资格审查的投标人进行下一阶段的评审。</w:t>
      </w:r>
    </w:p>
    <w:p w14:paraId="40784C96">
      <w:pPr>
        <w:keepNext/>
        <w:keepLines/>
        <w:spacing w:line="360" w:lineRule="auto"/>
        <w:outlineLvl w:val="2"/>
        <w:rPr>
          <w:rFonts w:hint="eastAsia" w:ascii="宋体" w:hAnsi="宋体" w:cs="宋体"/>
          <w:b/>
          <w:color w:val="auto"/>
          <w:sz w:val="24"/>
          <w:szCs w:val="24"/>
          <w:highlight w:val="none"/>
        </w:rPr>
      </w:pPr>
      <w:bookmarkStart w:id="422" w:name="_Toc27106"/>
      <w:bookmarkStart w:id="423" w:name="_Toc152042329"/>
      <w:bookmarkStart w:id="424" w:name="_Toc247527578"/>
      <w:bookmarkStart w:id="425" w:name="_Toc436834747"/>
      <w:bookmarkStart w:id="426" w:name="_Toc152045553"/>
      <w:bookmarkStart w:id="427" w:name="_Toc399165396"/>
      <w:bookmarkStart w:id="428" w:name="_Toc436834154"/>
      <w:bookmarkStart w:id="429" w:name="_Toc247513977"/>
      <w:bookmarkStart w:id="430" w:name="_Toc30313"/>
      <w:bookmarkStart w:id="431" w:name="_Toc16473"/>
      <w:bookmarkStart w:id="432" w:name="_Toc21267"/>
      <w:bookmarkStart w:id="433" w:name="_Toc144974521"/>
      <w:bookmarkStart w:id="434" w:name="_Toc7912"/>
      <w:bookmarkStart w:id="435" w:name="_Toc20485"/>
      <w:bookmarkStart w:id="436" w:name="_Toc19287"/>
      <w:bookmarkStart w:id="437" w:name="_Toc485211061"/>
      <w:bookmarkStart w:id="438" w:name="_Toc21856"/>
      <w:bookmarkStart w:id="439" w:name="_Toc300834974"/>
      <w:bookmarkStart w:id="440" w:name="_Toc19123"/>
      <w:bookmarkStart w:id="441" w:name="_Toc14964"/>
      <w:r>
        <w:rPr>
          <w:rFonts w:hint="eastAsia" w:ascii="宋体" w:hAnsi="宋体" w:cs="宋体"/>
          <w:b/>
          <w:color w:val="auto"/>
          <w:sz w:val="24"/>
          <w:szCs w:val="24"/>
          <w:highlight w:val="none"/>
        </w:rPr>
        <w:t>3.6 备选投标方案</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1013DAF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除《投标人须知前附表》另有规定外，投标人不得递交备选投标方案。</w:t>
      </w:r>
    </w:p>
    <w:p w14:paraId="3A6DE79F">
      <w:pPr>
        <w:keepNext/>
        <w:keepLines/>
        <w:spacing w:line="360" w:lineRule="auto"/>
        <w:outlineLvl w:val="2"/>
        <w:rPr>
          <w:rFonts w:hint="eastAsia" w:ascii="宋体" w:hAnsi="宋体" w:cs="宋体"/>
          <w:b/>
          <w:color w:val="auto"/>
          <w:sz w:val="24"/>
          <w:szCs w:val="24"/>
          <w:highlight w:val="none"/>
        </w:rPr>
      </w:pPr>
      <w:bookmarkStart w:id="442" w:name="_Toc144974522"/>
      <w:bookmarkStart w:id="443" w:name="_Toc19858"/>
      <w:bookmarkStart w:id="444" w:name="_Toc247527579"/>
      <w:bookmarkStart w:id="445" w:name="_Toc19573"/>
      <w:bookmarkStart w:id="446" w:name="_Toc436834748"/>
      <w:bookmarkStart w:id="447" w:name="_Toc21558"/>
      <w:bookmarkStart w:id="448" w:name="_Toc247513978"/>
      <w:bookmarkStart w:id="449" w:name="_Toc485211062"/>
      <w:bookmarkStart w:id="450" w:name="_Toc399165397"/>
      <w:bookmarkStart w:id="451" w:name="_Toc152042330"/>
      <w:bookmarkStart w:id="452" w:name="_Toc9691"/>
      <w:bookmarkStart w:id="453" w:name="_Toc10840"/>
      <w:bookmarkStart w:id="454" w:name="_Toc891"/>
      <w:bookmarkStart w:id="455" w:name="_Toc28735"/>
      <w:bookmarkStart w:id="456" w:name="_Toc12905"/>
      <w:bookmarkStart w:id="457" w:name="_Toc300834975"/>
      <w:bookmarkStart w:id="458" w:name="_Toc152045554"/>
      <w:bookmarkStart w:id="459" w:name="_Toc2357"/>
      <w:bookmarkStart w:id="460" w:name="_Toc436834155"/>
      <w:bookmarkStart w:id="461" w:name="_Toc18853"/>
      <w:r>
        <w:rPr>
          <w:rFonts w:hint="eastAsia" w:ascii="宋体" w:hAnsi="宋体" w:cs="宋体"/>
          <w:b/>
          <w:color w:val="auto"/>
          <w:sz w:val="24"/>
          <w:szCs w:val="24"/>
          <w:highlight w:val="none"/>
        </w:rPr>
        <w:t>3.7 投标文件</w:t>
      </w:r>
      <w:r>
        <w:rPr>
          <w:rFonts w:hint="eastAsia" w:ascii="宋体" w:hAnsi="宋体" w:cs="宋体"/>
          <w:b/>
          <w:color w:val="auto"/>
          <w:sz w:val="24"/>
          <w:szCs w:val="24"/>
          <w:highlight w:val="none"/>
          <w:u w:val="single"/>
        </w:rPr>
        <w:t>及定标文件</w:t>
      </w:r>
      <w:r>
        <w:rPr>
          <w:rFonts w:hint="eastAsia" w:ascii="宋体" w:hAnsi="宋体" w:cs="宋体"/>
          <w:b/>
          <w:color w:val="auto"/>
          <w:sz w:val="24"/>
          <w:szCs w:val="24"/>
          <w:highlight w:val="none"/>
        </w:rPr>
        <w:t>的编制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368B6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3.7.1 </w:t>
      </w:r>
      <w:r>
        <w:rPr>
          <w:rFonts w:hint="eastAsia" w:ascii="宋体" w:hAnsi="宋体" w:cs="宋体"/>
          <w:color w:val="auto"/>
          <w:sz w:val="24"/>
          <w:szCs w:val="24"/>
          <w:highlight w:val="none"/>
          <w:u w:val="single"/>
        </w:rPr>
        <w:t>招标文件第六章“投标文件格式”有提供格式要求的投标文件应按其进行编写盖章</w:t>
      </w:r>
      <w:r>
        <w:rPr>
          <w:rFonts w:hint="eastAsia" w:ascii="宋体" w:hAnsi="宋体" w:cs="宋体"/>
          <w:color w:val="auto"/>
          <w:sz w:val="24"/>
          <w:szCs w:val="24"/>
          <w:highlight w:val="none"/>
        </w:rPr>
        <w:t>，如有必要，可以增加附页，作为投标文件的组成部分。其中，投标书在满足招标文件实质性要求的基础上，可以提出比招标文件要求更有利于招标人的承诺。</w:t>
      </w:r>
    </w:p>
    <w:p w14:paraId="7EF4821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 投标文件应当对招标文件有关招标范围、投标有效期、工期、质量标准、发包人要求等实质性内容作出响应。</w:t>
      </w:r>
    </w:p>
    <w:p w14:paraId="7635AD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投标人采用单位数字证书，按招标文件要求在相应位置加盖电子印章。投标文件中需个人签字或盖章的，应加盖个人电子印章或在线下完成后扫描上传。按照交易平台关于全流程电子化项目的相关指南进行操作；</w:t>
      </w:r>
    </w:p>
    <w:p w14:paraId="54DD9C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联合体投标时，除《联合体共同投标协议》必须由联合体各方分别按要求进行签字、盖章[法定代表人证明书及授权委托书可由联合体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出具（其中“单位”一栏可只填写联合体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名称）]外，其他资料若需要签字或盖章的均可由联合体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签字或盖章；其他内容及落款中的“投标人”、“声明企业”应填写联合体各方的单位全称【格式示例：(主)单位全称(成)单位全称】，由联合体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按格式要求签字或盖章即可。</w:t>
      </w:r>
    </w:p>
    <w:p w14:paraId="05A4BB48">
      <w:pPr>
        <w:keepNext/>
        <w:keepLines/>
        <w:spacing w:line="360" w:lineRule="auto"/>
        <w:outlineLvl w:val="1"/>
        <w:rPr>
          <w:rFonts w:hint="eastAsia" w:ascii="宋体" w:hAnsi="宋体" w:cs="宋体"/>
          <w:b/>
          <w:bCs/>
          <w:color w:val="auto"/>
          <w:sz w:val="28"/>
          <w:szCs w:val="28"/>
          <w:highlight w:val="none"/>
        </w:rPr>
      </w:pPr>
      <w:bookmarkStart w:id="462" w:name="_Toc485211063"/>
      <w:bookmarkStart w:id="463" w:name="_Toc19013"/>
      <w:bookmarkStart w:id="464" w:name="_Toc144974523"/>
      <w:bookmarkStart w:id="465" w:name="_Toc8014"/>
      <w:bookmarkStart w:id="466" w:name="_Toc436834156"/>
      <w:bookmarkStart w:id="467" w:name="_Toc8135"/>
      <w:bookmarkStart w:id="468" w:name="_Toc5356"/>
      <w:bookmarkStart w:id="469" w:name="_Toc152045555"/>
      <w:bookmarkStart w:id="470" w:name="_Toc384759600"/>
      <w:bookmarkStart w:id="471" w:name="_Toc247513979"/>
      <w:bookmarkStart w:id="472" w:name="_Toc18915"/>
      <w:bookmarkStart w:id="473" w:name="_Toc436834749"/>
      <w:bookmarkStart w:id="474" w:name="_Toc22778"/>
      <w:bookmarkStart w:id="475" w:name="_Toc29511"/>
      <w:bookmarkStart w:id="476" w:name="_Toc4201"/>
      <w:bookmarkStart w:id="477" w:name="_Toc152042331"/>
      <w:bookmarkStart w:id="478" w:name="_Toc19642"/>
      <w:bookmarkStart w:id="479" w:name="_Toc18477"/>
      <w:bookmarkStart w:id="480" w:name="_Toc247527580"/>
      <w:bookmarkStart w:id="481" w:name="_Toc247513981"/>
      <w:bookmarkStart w:id="482" w:name="_Toc247527582"/>
      <w:bookmarkStart w:id="483" w:name="_Toc152045557"/>
      <w:bookmarkStart w:id="484" w:name="_Toc300834978"/>
      <w:bookmarkStart w:id="485" w:name="_Toc152042333"/>
      <w:bookmarkStart w:id="486" w:name="_Toc399165400"/>
      <w:bookmarkStart w:id="487" w:name="_Toc144974525"/>
      <w:r>
        <w:rPr>
          <w:rFonts w:hint="eastAsia" w:ascii="宋体" w:hAnsi="宋体" w:cs="宋体"/>
          <w:b/>
          <w:bCs/>
          <w:color w:val="auto"/>
          <w:sz w:val="28"/>
          <w:szCs w:val="28"/>
          <w:highlight w:val="none"/>
        </w:rPr>
        <w:t>4. 投标</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0E7A857E">
      <w:pPr>
        <w:keepNext/>
        <w:keepLines/>
        <w:spacing w:line="360" w:lineRule="auto"/>
        <w:outlineLvl w:val="2"/>
        <w:rPr>
          <w:rFonts w:hint="eastAsia" w:ascii="宋体" w:hAnsi="宋体" w:cs="宋体"/>
          <w:bCs/>
          <w:color w:val="auto"/>
          <w:sz w:val="24"/>
          <w:szCs w:val="24"/>
          <w:highlight w:val="none"/>
        </w:rPr>
      </w:pPr>
      <w:bookmarkStart w:id="488" w:name="_Toc384759601"/>
      <w:bookmarkStart w:id="489" w:name="_Toc14380"/>
      <w:bookmarkStart w:id="490" w:name="_Toc32403"/>
      <w:bookmarkStart w:id="491" w:name="_Toc247513980"/>
      <w:bookmarkStart w:id="492" w:name="_Toc436834750"/>
      <w:bookmarkStart w:id="493" w:name="_Toc21175"/>
      <w:bookmarkStart w:id="494" w:name="_Toc26110"/>
      <w:bookmarkStart w:id="495" w:name="_Toc8390"/>
      <w:bookmarkStart w:id="496" w:name="_Toc485211064"/>
      <w:bookmarkStart w:id="497" w:name="_Toc12356"/>
      <w:bookmarkStart w:id="498" w:name="_Toc24340"/>
      <w:bookmarkStart w:id="499" w:name="_Toc436834157"/>
      <w:bookmarkStart w:id="500" w:name="_Toc144974524"/>
      <w:bookmarkStart w:id="501" w:name="_Toc28266"/>
      <w:bookmarkStart w:id="502" w:name="_Toc26252"/>
      <w:bookmarkStart w:id="503" w:name="_Toc152045556"/>
      <w:bookmarkStart w:id="504" w:name="_Toc25808"/>
      <w:bookmarkStart w:id="505" w:name="_Toc247527581"/>
      <w:bookmarkStart w:id="506" w:name="_Toc152042332"/>
      <w:r>
        <w:rPr>
          <w:rFonts w:hint="eastAsia" w:ascii="宋体" w:hAnsi="宋体" w:cs="宋体"/>
          <w:bCs/>
          <w:color w:val="auto"/>
          <w:sz w:val="24"/>
          <w:szCs w:val="24"/>
          <w:highlight w:val="none"/>
        </w:rPr>
        <w:t>4.1 投标文件及定标文件的密封和标记</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6EB8D3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4.1.1投标人应当按照招标文件和电子招标投标交易平台的要求加密投标文件，具体操作详见《房屋建筑和市政基础设施工程全流程电子化项目专章》。</w:t>
      </w:r>
    </w:p>
    <w:p w14:paraId="62FC3DC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 投标文件封套上应写明的内容见投标人须知前附表。</w:t>
      </w:r>
    </w:p>
    <w:p w14:paraId="6D5C905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 未按本章第4.1.1项或第4.1.2项要求密封和加写标记的投标文件，招标人不予受理。</w:t>
      </w:r>
    </w:p>
    <w:p w14:paraId="6D7998BB">
      <w:pPr>
        <w:keepNext/>
        <w:keepLines/>
        <w:spacing w:line="360" w:lineRule="auto"/>
        <w:outlineLvl w:val="2"/>
        <w:rPr>
          <w:rFonts w:hint="eastAsia" w:ascii="宋体" w:hAnsi="宋体" w:cs="宋体"/>
          <w:bCs/>
          <w:color w:val="auto"/>
          <w:sz w:val="24"/>
          <w:szCs w:val="24"/>
          <w:highlight w:val="none"/>
        </w:rPr>
      </w:pPr>
      <w:bookmarkStart w:id="507" w:name="_Toc13525"/>
      <w:bookmarkStart w:id="508" w:name="_Toc11665"/>
      <w:bookmarkStart w:id="509" w:name="_Toc10998"/>
      <w:bookmarkStart w:id="510" w:name="_Toc20463"/>
      <w:bookmarkStart w:id="511" w:name="_Toc436834751"/>
      <w:bookmarkStart w:id="512" w:name="_Toc8844"/>
      <w:bookmarkStart w:id="513" w:name="_Toc18437"/>
      <w:bookmarkStart w:id="514" w:name="_Toc22154"/>
      <w:bookmarkStart w:id="515" w:name="_Toc20862"/>
      <w:bookmarkStart w:id="516" w:name="_Toc26573"/>
      <w:bookmarkStart w:id="517" w:name="_Toc485211065"/>
      <w:bookmarkStart w:id="518" w:name="_Toc29781"/>
      <w:bookmarkStart w:id="519" w:name="_Toc436834158"/>
      <w:r>
        <w:rPr>
          <w:rFonts w:hint="eastAsia" w:ascii="宋体" w:hAnsi="宋体" w:cs="宋体"/>
          <w:bCs/>
          <w:color w:val="auto"/>
          <w:sz w:val="24"/>
          <w:szCs w:val="24"/>
          <w:highlight w:val="none"/>
        </w:rPr>
        <w:t>4.2 投标文件</w:t>
      </w:r>
      <w:r>
        <w:rPr>
          <w:rFonts w:hint="eastAsia" w:ascii="宋体" w:hAnsi="宋体" w:cs="宋体"/>
          <w:bCs/>
          <w:color w:val="auto"/>
          <w:sz w:val="24"/>
          <w:szCs w:val="24"/>
          <w:highlight w:val="none"/>
          <w:u w:val="single"/>
        </w:rPr>
        <w:t>及定标文件</w:t>
      </w:r>
      <w:r>
        <w:rPr>
          <w:rFonts w:hint="eastAsia" w:ascii="宋体" w:hAnsi="宋体" w:cs="宋体"/>
          <w:bCs/>
          <w:color w:val="auto"/>
          <w:sz w:val="24"/>
          <w:szCs w:val="24"/>
          <w:highlight w:val="none"/>
        </w:rPr>
        <w:t>的递交</w:t>
      </w:r>
      <w:bookmarkEnd w:id="481"/>
      <w:bookmarkEnd w:id="482"/>
      <w:bookmarkEnd w:id="483"/>
      <w:bookmarkEnd w:id="484"/>
      <w:bookmarkEnd w:id="485"/>
      <w:bookmarkEnd w:id="486"/>
      <w:bookmarkEnd w:id="487"/>
      <w:bookmarkEnd w:id="507"/>
      <w:bookmarkEnd w:id="508"/>
      <w:bookmarkEnd w:id="509"/>
      <w:bookmarkEnd w:id="510"/>
      <w:bookmarkEnd w:id="511"/>
      <w:bookmarkEnd w:id="512"/>
      <w:bookmarkEnd w:id="513"/>
      <w:bookmarkEnd w:id="514"/>
      <w:bookmarkEnd w:id="515"/>
      <w:bookmarkEnd w:id="516"/>
      <w:bookmarkEnd w:id="517"/>
      <w:bookmarkEnd w:id="518"/>
      <w:bookmarkEnd w:id="519"/>
    </w:p>
    <w:p w14:paraId="3FB97CCC">
      <w:pPr>
        <w:spacing w:line="360" w:lineRule="auto"/>
        <w:ind w:firstLine="480" w:firstLineChars="200"/>
        <w:rPr>
          <w:rFonts w:hint="eastAsia" w:ascii="宋体" w:hAnsi="宋体" w:cs="宋体"/>
          <w:color w:val="auto"/>
          <w:sz w:val="24"/>
          <w:szCs w:val="24"/>
          <w:highlight w:val="none"/>
        </w:rPr>
      </w:pPr>
      <w:bookmarkStart w:id="520" w:name="_Toc144974526"/>
      <w:bookmarkStart w:id="521" w:name="_Toc399165401"/>
      <w:bookmarkStart w:id="522" w:name="_Toc152045558"/>
      <w:bookmarkStart w:id="523" w:name="_Toc247527583"/>
      <w:bookmarkStart w:id="524" w:name="_Toc152042334"/>
      <w:bookmarkStart w:id="525" w:name="_Toc300834979"/>
      <w:bookmarkStart w:id="526" w:name="_Toc247513982"/>
      <w:r>
        <w:rPr>
          <w:rFonts w:hint="eastAsia" w:ascii="宋体" w:hAnsi="宋体" w:cs="宋体"/>
          <w:color w:val="auto"/>
          <w:sz w:val="24"/>
          <w:szCs w:val="24"/>
          <w:highlight w:val="none"/>
        </w:rPr>
        <w:t>4.2.1 投标人应在第2.2.2项规定的投标截止时间前递交投标文件。</w:t>
      </w:r>
    </w:p>
    <w:p w14:paraId="3DD49B3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4.2.2 投标人递交投标文件的地点：见投标人须知前附表。</w:t>
      </w:r>
    </w:p>
    <w:p w14:paraId="0FDE5F4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4.2.3 除投标人须知前附表另有规定外，投标人所递交的投标文件不予退还。</w:t>
      </w:r>
    </w:p>
    <w:p w14:paraId="568C93F2">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4.2.4 投</w:t>
      </w:r>
      <w:r>
        <w:rPr>
          <w:rFonts w:hint="eastAsia" w:ascii="宋体" w:hAnsi="宋体" w:cs="宋体"/>
          <w:color w:val="auto"/>
          <w:spacing w:val="-2"/>
          <w:sz w:val="24"/>
          <w:szCs w:val="24"/>
          <w:highlight w:val="none"/>
          <w:u w:val="single"/>
        </w:rPr>
        <w:t>标</w:t>
      </w:r>
      <w:r>
        <w:rPr>
          <w:rFonts w:hint="eastAsia" w:ascii="宋体" w:hAnsi="宋体" w:cs="宋体"/>
          <w:color w:val="auto"/>
          <w:sz w:val="24"/>
          <w:szCs w:val="24"/>
          <w:highlight w:val="none"/>
          <w:u w:val="single"/>
        </w:rPr>
        <w:t>人</w:t>
      </w:r>
      <w:r>
        <w:rPr>
          <w:rFonts w:hint="eastAsia" w:ascii="宋体" w:hAnsi="宋体" w:cs="宋体"/>
          <w:color w:val="auto"/>
          <w:spacing w:val="-2"/>
          <w:sz w:val="24"/>
          <w:szCs w:val="24"/>
          <w:highlight w:val="none"/>
          <w:u w:val="single"/>
        </w:rPr>
        <w:t>完</w:t>
      </w:r>
      <w:r>
        <w:rPr>
          <w:rFonts w:hint="eastAsia" w:ascii="宋体" w:hAnsi="宋体" w:cs="宋体"/>
          <w:color w:val="auto"/>
          <w:sz w:val="24"/>
          <w:szCs w:val="24"/>
          <w:highlight w:val="none"/>
          <w:u w:val="single"/>
        </w:rPr>
        <w:t>成</w:t>
      </w:r>
      <w:r>
        <w:rPr>
          <w:rFonts w:hint="eastAsia" w:ascii="宋体" w:hAnsi="宋体" w:cs="宋体"/>
          <w:color w:val="auto"/>
          <w:spacing w:val="-2"/>
          <w:sz w:val="24"/>
          <w:szCs w:val="24"/>
          <w:highlight w:val="none"/>
          <w:u w:val="single"/>
        </w:rPr>
        <w:t>电</w:t>
      </w:r>
      <w:r>
        <w:rPr>
          <w:rFonts w:hint="eastAsia" w:ascii="宋体" w:hAnsi="宋体" w:cs="宋体"/>
          <w:color w:val="auto"/>
          <w:sz w:val="24"/>
          <w:szCs w:val="24"/>
          <w:highlight w:val="none"/>
          <w:u w:val="single"/>
        </w:rPr>
        <w:t>子投</w:t>
      </w:r>
      <w:r>
        <w:rPr>
          <w:rFonts w:hint="eastAsia" w:ascii="宋体" w:hAnsi="宋体" w:cs="宋体"/>
          <w:color w:val="auto"/>
          <w:spacing w:val="-2"/>
          <w:sz w:val="24"/>
          <w:szCs w:val="24"/>
          <w:highlight w:val="none"/>
          <w:u w:val="single"/>
        </w:rPr>
        <w:t>标</w:t>
      </w:r>
      <w:r>
        <w:rPr>
          <w:rFonts w:hint="eastAsia" w:ascii="宋体" w:hAnsi="宋体" w:cs="宋体"/>
          <w:color w:val="auto"/>
          <w:sz w:val="24"/>
          <w:szCs w:val="24"/>
          <w:highlight w:val="none"/>
          <w:u w:val="single"/>
        </w:rPr>
        <w:t>文</w:t>
      </w:r>
      <w:r>
        <w:rPr>
          <w:rFonts w:hint="eastAsia" w:ascii="宋体" w:hAnsi="宋体" w:cs="宋体"/>
          <w:color w:val="auto"/>
          <w:spacing w:val="-2"/>
          <w:sz w:val="24"/>
          <w:szCs w:val="24"/>
          <w:highlight w:val="none"/>
          <w:u w:val="single"/>
        </w:rPr>
        <w:t>件及定标文件</w:t>
      </w:r>
      <w:r>
        <w:rPr>
          <w:rFonts w:hint="eastAsia" w:ascii="宋体" w:hAnsi="宋体" w:cs="宋体"/>
          <w:color w:val="auto"/>
          <w:sz w:val="24"/>
          <w:szCs w:val="24"/>
          <w:highlight w:val="none"/>
          <w:u w:val="single"/>
        </w:rPr>
        <w:t>上</w:t>
      </w:r>
      <w:r>
        <w:rPr>
          <w:rFonts w:hint="eastAsia" w:ascii="宋体" w:hAnsi="宋体" w:cs="宋体"/>
          <w:color w:val="auto"/>
          <w:spacing w:val="-2"/>
          <w:sz w:val="24"/>
          <w:szCs w:val="24"/>
          <w:highlight w:val="none"/>
          <w:u w:val="single"/>
        </w:rPr>
        <w:t>传</w:t>
      </w:r>
      <w:r>
        <w:rPr>
          <w:rFonts w:hint="eastAsia" w:ascii="宋体" w:hAnsi="宋体" w:cs="宋体"/>
          <w:color w:val="auto"/>
          <w:sz w:val="24"/>
          <w:szCs w:val="24"/>
          <w:highlight w:val="none"/>
          <w:u w:val="single"/>
        </w:rPr>
        <w:t>后</w:t>
      </w:r>
      <w:r>
        <w:rPr>
          <w:rFonts w:hint="eastAsia" w:ascii="宋体" w:hAnsi="宋体" w:cs="宋体"/>
          <w:color w:val="auto"/>
          <w:spacing w:val="-5"/>
          <w:sz w:val="24"/>
          <w:szCs w:val="24"/>
          <w:highlight w:val="none"/>
          <w:u w:val="single"/>
        </w:rPr>
        <w:t>，</w:t>
      </w:r>
      <w:r>
        <w:rPr>
          <w:rFonts w:hint="eastAsia" w:ascii="宋体" w:hAnsi="宋体" w:cs="宋体"/>
          <w:color w:val="auto"/>
          <w:sz w:val="24"/>
          <w:szCs w:val="24"/>
          <w:highlight w:val="none"/>
          <w:u w:val="single"/>
        </w:rPr>
        <w:t>电</w:t>
      </w:r>
      <w:r>
        <w:rPr>
          <w:rFonts w:hint="eastAsia" w:ascii="宋体" w:hAnsi="宋体" w:cs="宋体"/>
          <w:color w:val="auto"/>
          <w:spacing w:val="-2"/>
          <w:sz w:val="24"/>
          <w:szCs w:val="24"/>
          <w:highlight w:val="none"/>
          <w:u w:val="single"/>
        </w:rPr>
        <w:t>子</w:t>
      </w:r>
      <w:r>
        <w:rPr>
          <w:rFonts w:hint="eastAsia" w:ascii="宋体" w:hAnsi="宋体" w:cs="宋体"/>
          <w:color w:val="auto"/>
          <w:sz w:val="24"/>
          <w:szCs w:val="24"/>
          <w:highlight w:val="none"/>
          <w:u w:val="single"/>
        </w:rPr>
        <w:t>招标</w:t>
      </w:r>
      <w:r>
        <w:rPr>
          <w:rFonts w:hint="eastAsia" w:ascii="宋体" w:hAnsi="宋体" w:cs="宋体"/>
          <w:color w:val="auto"/>
          <w:spacing w:val="-2"/>
          <w:sz w:val="24"/>
          <w:szCs w:val="24"/>
          <w:highlight w:val="none"/>
          <w:u w:val="single"/>
        </w:rPr>
        <w:t>投</w:t>
      </w:r>
      <w:r>
        <w:rPr>
          <w:rFonts w:hint="eastAsia" w:ascii="宋体" w:hAnsi="宋体" w:cs="宋体"/>
          <w:color w:val="auto"/>
          <w:sz w:val="24"/>
          <w:szCs w:val="24"/>
          <w:highlight w:val="none"/>
          <w:u w:val="single"/>
        </w:rPr>
        <w:t>标</w:t>
      </w:r>
      <w:r>
        <w:rPr>
          <w:rFonts w:hint="eastAsia" w:ascii="宋体" w:hAnsi="宋体" w:cs="宋体"/>
          <w:color w:val="auto"/>
          <w:spacing w:val="-2"/>
          <w:sz w:val="24"/>
          <w:szCs w:val="24"/>
          <w:highlight w:val="none"/>
          <w:u w:val="single"/>
        </w:rPr>
        <w:t>交</w:t>
      </w:r>
      <w:r>
        <w:rPr>
          <w:rFonts w:hint="eastAsia" w:ascii="宋体" w:hAnsi="宋体" w:cs="宋体"/>
          <w:color w:val="auto"/>
          <w:sz w:val="24"/>
          <w:szCs w:val="24"/>
          <w:highlight w:val="none"/>
          <w:u w:val="single"/>
        </w:rPr>
        <w:t>易</w:t>
      </w:r>
      <w:r>
        <w:rPr>
          <w:rFonts w:hint="eastAsia" w:ascii="宋体" w:hAnsi="宋体" w:cs="宋体"/>
          <w:color w:val="auto"/>
          <w:spacing w:val="-2"/>
          <w:sz w:val="24"/>
          <w:szCs w:val="24"/>
          <w:highlight w:val="none"/>
          <w:u w:val="single"/>
        </w:rPr>
        <w:t>平</w:t>
      </w:r>
      <w:r>
        <w:rPr>
          <w:rFonts w:hint="eastAsia" w:ascii="宋体" w:hAnsi="宋体" w:cs="宋体"/>
          <w:color w:val="auto"/>
          <w:sz w:val="24"/>
          <w:szCs w:val="24"/>
          <w:highlight w:val="none"/>
          <w:u w:val="single"/>
        </w:rPr>
        <w:t>台</w:t>
      </w:r>
      <w:r>
        <w:rPr>
          <w:rFonts w:hint="eastAsia" w:ascii="宋体" w:hAnsi="宋体" w:cs="宋体"/>
          <w:color w:val="auto"/>
          <w:spacing w:val="-2"/>
          <w:sz w:val="24"/>
          <w:szCs w:val="24"/>
          <w:highlight w:val="none"/>
          <w:u w:val="single"/>
        </w:rPr>
        <w:t>即</w:t>
      </w:r>
      <w:r>
        <w:rPr>
          <w:rFonts w:hint="eastAsia" w:ascii="宋体" w:hAnsi="宋体" w:cs="宋体"/>
          <w:color w:val="auto"/>
          <w:sz w:val="24"/>
          <w:szCs w:val="24"/>
          <w:highlight w:val="none"/>
          <w:u w:val="single"/>
        </w:rPr>
        <w:t>时</w:t>
      </w:r>
      <w:r>
        <w:rPr>
          <w:rFonts w:hint="eastAsia" w:ascii="宋体" w:hAnsi="宋体" w:cs="宋体"/>
          <w:color w:val="auto"/>
          <w:spacing w:val="-2"/>
          <w:sz w:val="24"/>
          <w:szCs w:val="24"/>
          <w:highlight w:val="none"/>
          <w:u w:val="single"/>
        </w:rPr>
        <w:t>向</w:t>
      </w:r>
      <w:r>
        <w:rPr>
          <w:rFonts w:hint="eastAsia" w:ascii="宋体" w:hAnsi="宋体" w:cs="宋体"/>
          <w:color w:val="auto"/>
          <w:sz w:val="24"/>
          <w:szCs w:val="24"/>
          <w:highlight w:val="none"/>
          <w:u w:val="single"/>
        </w:rPr>
        <w:t>投标</w:t>
      </w:r>
      <w:r>
        <w:rPr>
          <w:rFonts w:hint="eastAsia" w:ascii="宋体" w:hAnsi="宋体" w:cs="宋体"/>
          <w:color w:val="auto"/>
          <w:spacing w:val="-2"/>
          <w:sz w:val="24"/>
          <w:szCs w:val="24"/>
          <w:highlight w:val="none"/>
          <w:u w:val="single"/>
        </w:rPr>
        <w:t>人</w:t>
      </w:r>
      <w:r>
        <w:rPr>
          <w:rFonts w:hint="eastAsia" w:ascii="宋体" w:hAnsi="宋体" w:cs="宋体"/>
          <w:color w:val="auto"/>
          <w:sz w:val="24"/>
          <w:szCs w:val="24"/>
          <w:highlight w:val="none"/>
          <w:u w:val="single"/>
        </w:rPr>
        <w:t>发</w:t>
      </w:r>
      <w:r>
        <w:rPr>
          <w:rFonts w:hint="eastAsia" w:ascii="宋体" w:hAnsi="宋体" w:cs="宋体"/>
          <w:color w:val="auto"/>
          <w:spacing w:val="-2"/>
          <w:sz w:val="24"/>
          <w:szCs w:val="24"/>
          <w:highlight w:val="none"/>
          <w:u w:val="single"/>
        </w:rPr>
        <w:t>出</w:t>
      </w:r>
      <w:r>
        <w:rPr>
          <w:rFonts w:hint="eastAsia" w:ascii="宋体" w:hAnsi="宋体" w:cs="宋体"/>
          <w:color w:val="auto"/>
          <w:sz w:val="24"/>
          <w:szCs w:val="24"/>
          <w:highlight w:val="none"/>
          <w:u w:val="single"/>
        </w:rPr>
        <w:t>递交回</w:t>
      </w:r>
      <w:r>
        <w:rPr>
          <w:rFonts w:hint="eastAsia" w:ascii="宋体" w:hAnsi="宋体" w:cs="宋体"/>
          <w:color w:val="auto"/>
          <w:spacing w:val="-2"/>
          <w:sz w:val="24"/>
          <w:szCs w:val="24"/>
          <w:highlight w:val="none"/>
          <w:u w:val="single"/>
        </w:rPr>
        <w:t>执</w:t>
      </w:r>
      <w:r>
        <w:rPr>
          <w:rFonts w:hint="eastAsia" w:ascii="宋体" w:hAnsi="宋体" w:cs="宋体"/>
          <w:color w:val="auto"/>
          <w:sz w:val="24"/>
          <w:szCs w:val="24"/>
          <w:highlight w:val="none"/>
          <w:u w:val="single"/>
        </w:rPr>
        <w:t>通</w:t>
      </w:r>
      <w:r>
        <w:rPr>
          <w:rFonts w:hint="eastAsia" w:ascii="宋体" w:hAnsi="宋体" w:cs="宋体"/>
          <w:color w:val="auto"/>
          <w:spacing w:val="-3"/>
          <w:sz w:val="24"/>
          <w:szCs w:val="24"/>
          <w:highlight w:val="none"/>
          <w:u w:val="single"/>
        </w:rPr>
        <w:t>知</w:t>
      </w:r>
      <w:r>
        <w:rPr>
          <w:rFonts w:hint="eastAsia" w:ascii="宋体" w:hAnsi="宋体" w:cs="宋体"/>
          <w:color w:val="auto"/>
          <w:sz w:val="24"/>
          <w:szCs w:val="24"/>
          <w:highlight w:val="none"/>
          <w:u w:val="single"/>
        </w:rPr>
        <w:t>。</w:t>
      </w:r>
      <w:r>
        <w:rPr>
          <w:rFonts w:hint="eastAsia" w:ascii="宋体" w:hAnsi="宋体" w:cs="宋体"/>
          <w:color w:val="auto"/>
          <w:spacing w:val="-2"/>
          <w:sz w:val="24"/>
          <w:szCs w:val="24"/>
          <w:highlight w:val="none"/>
          <w:u w:val="single"/>
        </w:rPr>
        <w:t>递</w:t>
      </w:r>
      <w:r>
        <w:rPr>
          <w:rFonts w:hint="eastAsia" w:ascii="宋体" w:hAnsi="宋体" w:cs="宋体"/>
          <w:color w:val="auto"/>
          <w:sz w:val="24"/>
          <w:szCs w:val="24"/>
          <w:highlight w:val="none"/>
          <w:u w:val="single"/>
        </w:rPr>
        <w:t>交</w:t>
      </w:r>
      <w:r>
        <w:rPr>
          <w:rFonts w:hint="eastAsia" w:ascii="宋体" w:hAnsi="宋体" w:cs="宋体"/>
          <w:color w:val="auto"/>
          <w:spacing w:val="-2"/>
          <w:sz w:val="24"/>
          <w:szCs w:val="24"/>
          <w:highlight w:val="none"/>
          <w:u w:val="single"/>
        </w:rPr>
        <w:t>时</w:t>
      </w:r>
      <w:r>
        <w:rPr>
          <w:rFonts w:hint="eastAsia" w:ascii="宋体" w:hAnsi="宋体" w:cs="宋体"/>
          <w:color w:val="auto"/>
          <w:sz w:val="24"/>
          <w:szCs w:val="24"/>
          <w:highlight w:val="none"/>
          <w:u w:val="single"/>
        </w:rPr>
        <w:t>间</w:t>
      </w:r>
      <w:r>
        <w:rPr>
          <w:rFonts w:hint="eastAsia" w:ascii="宋体" w:hAnsi="宋体" w:cs="宋体"/>
          <w:color w:val="auto"/>
          <w:spacing w:val="-2"/>
          <w:sz w:val="24"/>
          <w:szCs w:val="24"/>
          <w:highlight w:val="none"/>
          <w:u w:val="single"/>
        </w:rPr>
        <w:t>以</w:t>
      </w:r>
      <w:r>
        <w:rPr>
          <w:rFonts w:hint="eastAsia" w:ascii="宋体" w:hAnsi="宋体" w:cs="宋体"/>
          <w:color w:val="auto"/>
          <w:sz w:val="24"/>
          <w:szCs w:val="24"/>
          <w:highlight w:val="none"/>
          <w:u w:val="single"/>
        </w:rPr>
        <w:t>递交</w:t>
      </w:r>
      <w:r>
        <w:rPr>
          <w:rFonts w:hint="eastAsia" w:ascii="宋体" w:hAnsi="宋体" w:cs="宋体"/>
          <w:color w:val="auto"/>
          <w:spacing w:val="-2"/>
          <w:sz w:val="24"/>
          <w:szCs w:val="24"/>
          <w:highlight w:val="none"/>
          <w:u w:val="single"/>
        </w:rPr>
        <w:t>回</w:t>
      </w:r>
      <w:r>
        <w:rPr>
          <w:rFonts w:hint="eastAsia" w:ascii="宋体" w:hAnsi="宋体" w:cs="宋体"/>
          <w:color w:val="auto"/>
          <w:sz w:val="24"/>
          <w:szCs w:val="24"/>
          <w:highlight w:val="none"/>
          <w:u w:val="single"/>
        </w:rPr>
        <w:t>执</w:t>
      </w:r>
      <w:r>
        <w:rPr>
          <w:rFonts w:hint="eastAsia" w:ascii="宋体" w:hAnsi="宋体" w:cs="宋体"/>
          <w:color w:val="auto"/>
          <w:spacing w:val="-2"/>
          <w:sz w:val="24"/>
          <w:szCs w:val="24"/>
          <w:highlight w:val="none"/>
          <w:u w:val="single"/>
        </w:rPr>
        <w:t>通</w:t>
      </w:r>
      <w:r>
        <w:rPr>
          <w:rFonts w:hint="eastAsia" w:ascii="宋体" w:hAnsi="宋体" w:cs="宋体"/>
          <w:color w:val="auto"/>
          <w:sz w:val="24"/>
          <w:szCs w:val="24"/>
          <w:highlight w:val="none"/>
          <w:u w:val="single"/>
        </w:rPr>
        <w:t>知</w:t>
      </w:r>
      <w:r>
        <w:rPr>
          <w:rFonts w:hint="eastAsia" w:ascii="宋体" w:hAnsi="宋体" w:cs="宋体"/>
          <w:color w:val="auto"/>
          <w:spacing w:val="-2"/>
          <w:sz w:val="24"/>
          <w:szCs w:val="24"/>
          <w:highlight w:val="none"/>
          <w:u w:val="single"/>
        </w:rPr>
        <w:t>载</w:t>
      </w:r>
      <w:r>
        <w:rPr>
          <w:rFonts w:hint="eastAsia" w:ascii="宋体" w:hAnsi="宋体" w:cs="宋体"/>
          <w:color w:val="auto"/>
          <w:sz w:val="24"/>
          <w:szCs w:val="24"/>
          <w:highlight w:val="none"/>
          <w:u w:val="single"/>
        </w:rPr>
        <w:t>明</w:t>
      </w:r>
      <w:r>
        <w:rPr>
          <w:rFonts w:hint="eastAsia" w:ascii="宋体" w:hAnsi="宋体" w:cs="宋体"/>
          <w:color w:val="auto"/>
          <w:spacing w:val="-2"/>
          <w:sz w:val="24"/>
          <w:szCs w:val="24"/>
          <w:highlight w:val="none"/>
          <w:u w:val="single"/>
        </w:rPr>
        <w:t>的</w:t>
      </w:r>
      <w:r>
        <w:rPr>
          <w:rFonts w:hint="eastAsia" w:ascii="宋体" w:hAnsi="宋体" w:cs="宋体"/>
          <w:color w:val="auto"/>
          <w:sz w:val="24"/>
          <w:szCs w:val="24"/>
          <w:highlight w:val="none"/>
          <w:u w:val="single"/>
        </w:rPr>
        <w:t>传</w:t>
      </w:r>
      <w:r>
        <w:rPr>
          <w:rFonts w:hint="eastAsia" w:ascii="宋体" w:hAnsi="宋体" w:cs="宋体"/>
          <w:color w:val="auto"/>
          <w:spacing w:val="-2"/>
          <w:sz w:val="24"/>
          <w:szCs w:val="24"/>
          <w:highlight w:val="none"/>
          <w:u w:val="single"/>
        </w:rPr>
        <w:t>输</w:t>
      </w:r>
      <w:r>
        <w:rPr>
          <w:rFonts w:hint="eastAsia" w:ascii="宋体" w:hAnsi="宋体" w:cs="宋体"/>
          <w:color w:val="auto"/>
          <w:sz w:val="24"/>
          <w:szCs w:val="24"/>
          <w:highlight w:val="none"/>
          <w:u w:val="single"/>
        </w:rPr>
        <w:t>完成</w:t>
      </w:r>
      <w:r>
        <w:rPr>
          <w:rFonts w:hint="eastAsia" w:ascii="宋体" w:hAnsi="宋体" w:cs="宋体"/>
          <w:color w:val="auto"/>
          <w:spacing w:val="-2"/>
          <w:sz w:val="24"/>
          <w:szCs w:val="24"/>
          <w:highlight w:val="none"/>
          <w:u w:val="single"/>
        </w:rPr>
        <w:t>时</w:t>
      </w:r>
      <w:r>
        <w:rPr>
          <w:rFonts w:hint="eastAsia" w:ascii="宋体" w:hAnsi="宋体" w:cs="宋体"/>
          <w:color w:val="auto"/>
          <w:sz w:val="24"/>
          <w:szCs w:val="24"/>
          <w:highlight w:val="none"/>
          <w:u w:val="single"/>
        </w:rPr>
        <w:t>间</w:t>
      </w:r>
      <w:r>
        <w:rPr>
          <w:rFonts w:hint="eastAsia" w:ascii="宋体" w:hAnsi="宋体" w:cs="宋体"/>
          <w:color w:val="auto"/>
          <w:spacing w:val="-2"/>
          <w:sz w:val="24"/>
          <w:szCs w:val="24"/>
          <w:highlight w:val="none"/>
          <w:u w:val="single"/>
        </w:rPr>
        <w:t>为</w:t>
      </w:r>
      <w:r>
        <w:rPr>
          <w:rFonts w:hint="eastAsia" w:ascii="宋体" w:hAnsi="宋体" w:cs="宋体"/>
          <w:color w:val="auto"/>
          <w:sz w:val="24"/>
          <w:szCs w:val="24"/>
          <w:highlight w:val="none"/>
          <w:u w:val="single"/>
        </w:rPr>
        <w:t>准。</w:t>
      </w:r>
    </w:p>
    <w:p w14:paraId="74DEEAB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4.2.5 </w:t>
      </w:r>
      <w:r>
        <w:rPr>
          <w:rFonts w:hint="eastAsia" w:ascii="宋体" w:hAnsi="宋体" w:cs="宋体"/>
          <w:color w:val="auto"/>
          <w:spacing w:val="-2"/>
          <w:sz w:val="24"/>
          <w:szCs w:val="24"/>
          <w:highlight w:val="none"/>
          <w:u w:val="single"/>
        </w:rPr>
        <w:t>逾</w:t>
      </w:r>
      <w:r>
        <w:rPr>
          <w:rFonts w:hint="eastAsia" w:ascii="宋体" w:hAnsi="宋体" w:cs="宋体"/>
          <w:color w:val="auto"/>
          <w:sz w:val="24"/>
          <w:szCs w:val="24"/>
          <w:highlight w:val="none"/>
          <w:u w:val="single"/>
          <w:lang w:val="en-US" w:eastAsia="zh-CN"/>
        </w:rPr>
        <w:t>期</w:t>
      </w:r>
      <w:r>
        <w:rPr>
          <w:rFonts w:hint="eastAsia" w:ascii="宋体" w:hAnsi="宋体" w:cs="宋体"/>
          <w:color w:val="auto"/>
          <w:spacing w:val="-2"/>
          <w:sz w:val="24"/>
          <w:szCs w:val="24"/>
          <w:highlight w:val="none"/>
          <w:u w:val="single"/>
        </w:rPr>
        <w:t>送</w:t>
      </w:r>
      <w:r>
        <w:rPr>
          <w:rFonts w:hint="eastAsia" w:ascii="宋体" w:hAnsi="宋体" w:cs="宋体"/>
          <w:color w:val="auto"/>
          <w:sz w:val="24"/>
          <w:szCs w:val="24"/>
          <w:highlight w:val="none"/>
          <w:u w:val="single"/>
        </w:rPr>
        <w:t>达</w:t>
      </w:r>
      <w:r>
        <w:rPr>
          <w:rFonts w:hint="eastAsia" w:ascii="宋体" w:hAnsi="宋体" w:cs="宋体"/>
          <w:color w:val="auto"/>
          <w:spacing w:val="-2"/>
          <w:sz w:val="24"/>
          <w:szCs w:val="24"/>
          <w:highlight w:val="none"/>
          <w:u w:val="single"/>
        </w:rPr>
        <w:t>的投</w:t>
      </w:r>
      <w:r>
        <w:rPr>
          <w:rFonts w:hint="eastAsia" w:ascii="宋体" w:hAnsi="宋体" w:cs="宋体"/>
          <w:color w:val="auto"/>
          <w:sz w:val="24"/>
          <w:szCs w:val="24"/>
          <w:highlight w:val="none"/>
          <w:u w:val="single"/>
        </w:rPr>
        <w:t>标文</w:t>
      </w:r>
      <w:r>
        <w:rPr>
          <w:rFonts w:hint="eastAsia" w:ascii="宋体" w:hAnsi="宋体" w:cs="宋体"/>
          <w:color w:val="auto"/>
          <w:spacing w:val="-2"/>
          <w:sz w:val="24"/>
          <w:szCs w:val="24"/>
          <w:highlight w:val="none"/>
          <w:u w:val="single"/>
        </w:rPr>
        <w:t>件及定标文件</w:t>
      </w:r>
      <w:r>
        <w:rPr>
          <w:rFonts w:hint="eastAsia" w:ascii="宋体" w:hAnsi="宋体" w:cs="宋体"/>
          <w:color w:val="auto"/>
          <w:sz w:val="24"/>
          <w:szCs w:val="24"/>
          <w:highlight w:val="none"/>
          <w:u w:val="single"/>
        </w:rPr>
        <w:t>，</w:t>
      </w:r>
      <w:r>
        <w:rPr>
          <w:rFonts w:hint="eastAsia" w:ascii="宋体" w:hAnsi="宋体" w:cs="宋体"/>
          <w:color w:val="auto"/>
          <w:spacing w:val="-2"/>
          <w:sz w:val="24"/>
          <w:szCs w:val="24"/>
          <w:highlight w:val="none"/>
          <w:u w:val="single"/>
        </w:rPr>
        <w:t>电</w:t>
      </w:r>
      <w:r>
        <w:rPr>
          <w:rFonts w:hint="eastAsia" w:ascii="宋体" w:hAnsi="宋体" w:cs="宋体"/>
          <w:color w:val="auto"/>
          <w:sz w:val="24"/>
          <w:szCs w:val="24"/>
          <w:highlight w:val="none"/>
          <w:u w:val="single"/>
        </w:rPr>
        <w:t>子</w:t>
      </w:r>
      <w:r>
        <w:rPr>
          <w:rFonts w:hint="eastAsia" w:ascii="宋体" w:hAnsi="宋体" w:cs="宋体"/>
          <w:color w:val="auto"/>
          <w:spacing w:val="-2"/>
          <w:sz w:val="24"/>
          <w:szCs w:val="24"/>
          <w:highlight w:val="none"/>
          <w:u w:val="single"/>
        </w:rPr>
        <w:t>招</w:t>
      </w:r>
      <w:r>
        <w:rPr>
          <w:rFonts w:hint="eastAsia" w:ascii="宋体" w:hAnsi="宋体" w:cs="宋体"/>
          <w:color w:val="auto"/>
          <w:sz w:val="24"/>
          <w:szCs w:val="24"/>
          <w:highlight w:val="none"/>
          <w:u w:val="single"/>
        </w:rPr>
        <w:t>标</w:t>
      </w:r>
      <w:r>
        <w:rPr>
          <w:rFonts w:hint="eastAsia" w:ascii="宋体" w:hAnsi="宋体" w:cs="宋体"/>
          <w:color w:val="auto"/>
          <w:spacing w:val="-2"/>
          <w:sz w:val="24"/>
          <w:szCs w:val="24"/>
          <w:highlight w:val="none"/>
          <w:u w:val="single"/>
        </w:rPr>
        <w:t>投</w:t>
      </w:r>
      <w:r>
        <w:rPr>
          <w:rFonts w:hint="eastAsia" w:ascii="宋体" w:hAnsi="宋体" w:cs="宋体"/>
          <w:color w:val="auto"/>
          <w:sz w:val="24"/>
          <w:szCs w:val="24"/>
          <w:highlight w:val="none"/>
          <w:u w:val="single"/>
        </w:rPr>
        <w:t>标</w:t>
      </w:r>
      <w:r>
        <w:rPr>
          <w:rFonts w:hint="eastAsia" w:ascii="宋体" w:hAnsi="宋体" w:cs="宋体"/>
          <w:color w:val="auto"/>
          <w:spacing w:val="-2"/>
          <w:sz w:val="24"/>
          <w:szCs w:val="24"/>
          <w:highlight w:val="none"/>
          <w:u w:val="single"/>
        </w:rPr>
        <w:t>交</w:t>
      </w:r>
      <w:r>
        <w:rPr>
          <w:rFonts w:hint="eastAsia" w:ascii="宋体" w:hAnsi="宋体" w:cs="宋体"/>
          <w:color w:val="auto"/>
          <w:sz w:val="24"/>
          <w:szCs w:val="24"/>
          <w:highlight w:val="none"/>
          <w:u w:val="single"/>
        </w:rPr>
        <w:t>易平</w:t>
      </w:r>
      <w:r>
        <w:rPr>
          <w:rFonts w:hint="eastAsia" w:ascii="宋体" w:hAnsi="宋体" w:cs="宋体"/>
          <w:color w:val="auto"/>
          <w:spacing w:val="-2"/>
          <w:sz w:val="24"/>
          <w:szCs w:val="24"/>
          <w:highlight w:val="none"/>
          <w:u w:val="single"/>
        </w:rPr>
        <w:t>台</w:t>
      </w:r>
      <w:r>
        <w:rPr>
          <w:rFonts w:hint="eastAsia" w:ascii="宋体" w:hAnsi="宋体" w:cs="宋体"/>
          <w:color w:val="auto"/>
          <w:sz w:val="24"/>
          <w:szCs w:val="24"/>
          <w:highlight w:val="none"/>
          <w:u w:val="single"/>
        </w:rPr>
        <w:t>将</w:t>
      </w:r>
      <w:r>
        <w:rPr>
          <w:rFonts w:hint="eastAsia" w:ascii="宋体" w:hAnsi="宋体" w:cs="宋体"/>
          <w:color w:val="auto"/>
          <w:spacing w:val="-2"/>
          <w:sz w:val="24"/>
          <w:szCs w:val="24"/>
          <w:highlight w:val="none"/>
          <w:u w:val="single"/>
        </w:rPr>
        <w:t>予</w:t>
      </w:r>
      <w:r>
        <w:rPr>
          <w:rFonts w:hint="eastAsia" w:ascii="宋体" w:hAnsi="宋体" w:cs="宋体"/>
          <w:color w:val="auto"/>
          <w:sz w:val="24"/>
          <w:szCs w:val="24"/>
          <w:highlight w:val="none"/>
          <w:u w:val="single"/>
        </w:rPr>
        <w:t>以</w:t>
      </w:r>
      <w:r>
        <w:rPr>
          <w:rFonts w:hint="eastAsia" w:ascii="宋体" w:hAnsi="宋体" w:cs="宋体"/>
          <w:color w:val="auto"/>
          <w:spacing w:val="-2"/>
          <w:sz w:val="24"/>
          <w:szCs w:val="24"/>
          <w:highlight w:val="none"/>
          <w:u w:val="single"/>
        </w:rPr>
        <w:t>拒</w:t>
      </w:r>
      <w:r>
        <w:rPr>
          <w:rFonts w:hint="eastAsia" w:ascii="宋体" w:hAnsi="宋体" w:cs="宋体"/>
          <w:color w:val="auto"/>
          <w:sz w:val="24"/>
          <w:szCs w:val="24"/>
          <w:highlight w:val="none"/>
          <w:u w:val="single"/>
        </w:rPr>
        <w:t>收。</w:t>
      </w:r>
    </w:p>
    <w:p w14:paraId="7E3E2A5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4.2.6到投标截止时间止，若收到的投标文件少于3</w:t>
      </w:r>
      <w:r>
        <w:rPr>
          <w:rFonts w:hint="eastAsia" w:ascii="宋体" w:hAnsi="宋体" w:cs="宋体"/>
          <w:b/>
          <w:bCs/>
          <w:color w:val="auto"/>
          <w:sz w:val="24"/>
          <w:szCs w:val="24"/>
          <w:highlight w:val="none"/>
        </w:rPr>
        <w:t>家</w:t>
      </w:r>
      <w:r>
        <w:rPr>
          <w:rFonts w:hint="eastAsia" w:ascii="宋体" w:hAnsi="宋体" w:cs="宋体"/>
          <w:color w:val="auto"/>
          <w:sz w:val="24"/>
          <w:szCs w:val="24"/>
          <w:highlight w:val="none"/>
        </w:rPr>
        <w:t>的，则招标失败，将依法重新招标。</w:t>
      </w:r>
    </w:p>
    <w:p w14:paraId="50ED270F">
      <w:pPr>
        <w:keepNext/>
        <w:keepLines/>
        <w:spacing w:line="360" w:lineRule="auto"/>
        <w:outlineLvl w:val="2"/>
        <w:rPr>
          <w:rFonts w:hint="eastAsia" w:ascii="宋体" w:hAnsi="宋体" w:cs="宋体"/>
          <w:bCs/>
          <w:color w:val="auto"/>
          <w:sz w:val="24"/>
          <w:szCs w:val="24"/>
          <w:highlight w:val="none"/>
        </w:rPr>
      </w:pPr>
      <w:bookmarkStart w:id="527" w:name="_Toc14142"/>
      <w:bookmarkStart w:id="528" w:name="_Toc13787"/>
      <w:bookmarkStart w:id="529" w:name="_Toc436834752"/>
      <w:bookmarkStart w:id="530" w:name="_Toc27403"/>
      <w:bookmarkStart w:id="531" w:name="_Toc29112"/>
      <w:bookmarkStart w:id="532" w:name="_Toc8164"/>
      <w:bookmarkStart w:id="533" w:name="_Toc1087"/>
      <w:bookmarkStart w:id="534" w:name="_Toc2195"/>
      <w:bookmarkStart w:id="535" w:name="_Toc436834159"/>
      <w:bookmarkStart w:id="536" w:name="_Toc12422"/>
      <w:bookmarkStart w:id="537" w:name="_Toc485211066"/>
      <w:bookmarkStart w:id="538" w:name="_Toc27723"/>
      <w:bookmarkStart w:id="539" w:name="_Toc7320"/>
      <w:r>
        <w:rPr>
          <w:rFonts w:hint="eastAsia" w:ascii="宋体" w:hAnsi="宋体" w:cs="宋体"/>
          <w:bCs/>
          <w:color w:val="auto"/>
          <w:sz w:val="24"/>
          <w:szCs w:val="24"/>
          <w:highlight w:val="none"/>
        </w:rPr>
        <w:t>4.3 投标文件的修改与撤回</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DFA556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 在本章第4.2.1项规定的投标截止时间前，投标人可以修改或撤回已递交的投标文件，但应以书面形式通知招标人。</w:t>
      </w:r>
    </w:p>
    <w:p w14:paraId="549F536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4.3.2 </w:t>
      </w:r>
      <w:r>
        <w:rPr>
          <w:rFonts w:hint="eastAsia" w:ascii="宋体" w:hAnsi="宋体" w:cs="宋体"/>
          <w:color w:val="auto"/>
          <w:sz w:val="24"/>
          <w:szCs w:val="24"/>
          <w:highlight w:val="none"/>
          <w:u w:val="single"/>
        </w:rPr>
        <w:t>投标人修改或撤回已递交投标文件的通知，应按照本章第3.7.3项的要求加盖电子印章。电子招标投标交易平台收到通知后，即时向投标人发出确认回执通知。</w:t>
      </w:r>
    </w:p>
    <w:p w14:paraId="18652E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4.3.3 修改的内容为投标文件的组成部分。修改的投标文件应按照本章第3条、第4条规定进行编制、密封、标记和递交，并标明“修改”字样。</w:t>
      </w:r>
    </w:p>
    <w:p w14:paraId="26D77E6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4.3.4 在投标截止时间之后，投标人不得补充、修改和更换投标文件。</w:t>
      </w:r>
    </w:p>
    <w:p w14:paraId="751E681C">
      <w:pPr>
        <w:keepNext/>
        <w:keepLines/>
        <w:spacing w:line="360" w:lineRule="auto"/>
        <w:outlineLvl w:val="1"/>
        <w:rPr>
          <w:rFonts w:hint="eastAsia" w:ascii="宋体" w:hAnsi="宋体" w:cs="宋体"/>
          <w:b/>
          <w:bCs/>
          <w:color w:val="auto"/>
          <w:sz w:val="28"/>
          <w:szCs w:val="28"/>
          <w:highlight w:val="none"/>
        </w:rPr>
      </w:pPr>
      <w:bookmarkStart w:id="540" w:name="_Toc144974527"/>
      <w:bookmarkStart w:id="541" w:name="_Toc30507"/>
      <w:bookmarkStart w:id="542" w:name="_Toc436834160"/>
      <w:bookmarkStart w:id="543" w:name="_Toc399165402"/>
      <w:bookmarkStart w:id="544" w:name="_Toc436834753"/>
      <w:bookmarkStart w:id="545" w:name="_Toc26618"/>
      <w:bookmarkStart w:id="546" w:name="_Toc152045559"/>
      <w:bookmarkStart w:id="547" w:name="_Toc31450"/>
      <w:bookmarkStart w:id="548" w:name="_Toc485211067"/>
      <w:bookmarkStart w:id="549" w:name="_Toc20349"/>
      <w:bookmarkStart w:id="550" w:name="_Toc247527584"/>
      <w:bookmarkStart w:id="551" w:name="_Toc152042335"/>
      <w:bookmarkStart w:id="552" w:name="_Toc16642"/>
      <w:bookmarkStart w:id="553" w:name="_Toc12170"/>
      <w:bookmarkStart w:id="554" w:name="_Toc17608"/>
      <w:bookmarkStart w:id="555" w:name="_Toc6364"/>
      <w:bookmarkStart w:id="556" w:name="_Toc247513983"/>
      <w:bookmarkStart w:id="557" w:name="_Toc4459"/>
      <w:bookmarkStart w:id="558" w:name="_Toc300834980"/>
      <w:bookmarkStart w:id="559" w:name="_Toc5421"/>
      <w:r>
        <w:rPr>
          <w:rFonts w:hint="eastAsia" w:ascii="宋体" w:hAnsi="宋体" w:cs="宋体"/>
          <w:b/>
          <w:bCs/>
          <w:color w:val="auto"/>
          <w:sz w:val="28"/>
          <w:szCs w:val="28"/>
          <w:highlight w:val="none"/>
        </w:rPr>
        <w:t>5. 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Start w:id="560" w:name="_Toc24982"/>
      <w:bookmarkStart w:id="561" w:name="_Toc152042336"/>
      <w:bookmarkStart w:id="562" w:name="_Toc399165403"/>
      <w:bookmarkStart w:id="563" w:name="_Toc247527585"/>
      <w:bookmarkStart w:id="564" w:name="_Toc436834754"/>
      <w:bookmarkStart w:id="565" w:name="_Toc19541"/>
      <w:bookmarkStart w:id="566" w:name="_Toc7901"/>
      <w:bookmarkStart w:id="567" w:name="_Toc29641"/>
      <w:bookmarkStart w:id="568" w:name="_Toc22565"/>
      <w:bookmarkStart w:id="569" w:name="_Toc247513984"/>
      <w:bookmarkStart w:id="570" w:name="_Toc144974528"/>
      <w:bookmarkStart w:id="571" w:name="_Toc436834161"/>
      <w:bookmarkStart w:id="572" w:name="_Toc6981"/>
      <w:bookmarkStart w:id="573" w:name="_Toc300834981"/>
      <w:bookmarkStart w:id="574" w:name="_Toc18579"/>
      <w:bookmarkStart w:id="575" w:name="_Toc152045560"/>
      <w:bookmarkStart w:id="576" w:name="_Toc4802"/>
      <w:bookmarkStart w:id="577" w:name="_Toc10949"/>
      <w:bookmarkStart w:id="578" w:name="_Toc24693"/>
      <w:bookmarkStart w:id="579" w:name="_Toc485211068"/>
    </w:p>
    <w:p w14:paraId="2135113B">
      <w:pPr>
        <w:keepNext/>
        <w:keepLines/>
        <w:spacing w:line="360" w:lineRule="auto"/>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t>5.1 开标时间和地点</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52AC0FA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招标人在本章第4.2.1项规定的投标截止时间（开标时间）和《投标人须知前附表》规定的地点公开开标。</w:t>
      </w:r>
      <w:r>
        <w:rPr>
          <w:rFonts w:hint="eastAsia" w:ascii="宋体" w:hAnsi="宋体" w:cs="宋体"/>
          <w:color w:val="auto"/>
          <w:sz w:val="24"/>
          <w:szCs w:val="24"/>
          <w:highlight w:val="none"/>
          <w:u w:val="single"/>
        </w:rPr>
        <w:t>投标人（法定代表人或其委托代理人）可自行决定是否参加开标。投标人不参加的，视为认可开标过程及结果</w:t>
      </w:r>
      <w:r>
        <w:rPr>
          <w:rFonts w:hint="eastAsia" w:ascii="宋体" w:hAnsi="宋体" w:cs="宋体"/>
          <w:color w:val="auto"/>
          <w:sz w:val="24"/>
          <w:szCs w:val="24"/>
          <w:highlight w:val="none"/>
        </w:rPr>
        <w:t>。</w:t>
      </w:r>
      <w:bookmarkStart w:id="580" w:name="_Toc436834755"/>
      <w:bookmarkStart w:id="581" w:name="_Toc300834982"/>
      <w:bookmarkStart w:id="582" w:name="_Toc13039"/>
      <w:bookmarkStart w:id="583" w:name="_Toc1215"/>
      <w:bookmarkStart w:id="584" w:name="_Toc32550"/>
      <w:bookmarkStart w:id="585" w:name="_Toc149"/>
      <w:bookmarkStart w:id="586" w:name="_Toc152042337"/>
      <w:bookmarkStart w:id="587" w:name="_Toc436834162"/>
      <w:bookmarkStart w:id="588" w:name="_Toc22128"/>
      <w:bookmarkStart w:id="589" w:name="_Toc2356"/>
      <w:bookmarkStart w:id="590" w:name="_Toc21731"/>
      <w:bookmarkStart w:id="591" w:name="_Toc247527586"/>
      <w:bookmarkStart w:id="592" w:name="_Toc1228"/>
      <w:bookmarkStart w:id="593" w:name="_Toc399165404"/>
      <w:bookmarkStart w:id="594" w:name="_Toc485211069"/>
      <w:bookmarkStart w:id="595" w:name="_Toc29350"/>
      <w:bookmarkStart w:id="596" w:name="_Toc144974529"/>
      <w:bookmarkStart w:id="597" w:name="_Toc152045561"/>
      <w:bookmarkStart w:id="598" w:name="_Toc11280"/>
      <w:bookmarkStart w:id="599" w:name="_Toc247513985"/>
      <w:bookmarkStart w:id="600" w:name="_Toc300834983"/>
      <w:bookmarkStart w:id="601" w:name="_Toc399165405"/>
    </w:p>
    <w:p w14:paraId="041D8603">
      <w:pPr>
        <w:keepNext/>
        <w:keepLines/>
        <w:spacing w:line="360" w:lineRule="auto"/>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t>5.2 开标程序</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D66ABFD">
      <w:pPr>
        <w:spacing w:line="360" w:lineRule="auto"/>
        <w:ind w:firstLine="480" w:firstLineChars="200"/>
        <w:rPr>
          <w:rFonts w:hint="eastAsia" w:ascii="宋体" w:hAnsi="宋体" w:cs="宋体"/>
          <w:color w:val="auto"/>
          <w:sz w:val="24"/>
          <w:szCs w:val="24"/>
          <w:highlight w:val="none"/>
          <w:u w:val="single"/>
        </w:rPr>
      </w:pPr>
      <w:bookmarkStart w:id="602" w:name="_Toc4656"/>
      <w:r>
        <w:rPr>
          <w:rFonts w:hint="eastAsia" w:ascii="宋体" w:hAnsi="宋体" w:cs="宋体"/>
          <w:color w:val="auto"/>
          <w:sz w:val="24"/>
          <w:szCs w:val="24"/>
          <w:highlight w:val="none"/>
          <w:u w:val="single"/>
        </w:rPr>
        <w:t>主持人按下列程序进行开标：</w:t>
      </w:r>
      <w:bookmarkEnd w:id="602"/>
    </w:p>
    <w:p w14:paraId="3E2AE7DB">
      <w:pPr>
        <w:spacing w:line="360" w:lineRule="auto"/>
        <w:ind w:firstLine="480" w:firstLineChars="200"/>
        <w:rPr>
          <w:rFonts w:hint="eastAsia" w:ascii="宋体" w:hAnsi="宋体" w:cs="宋体"/>
          <w:color w:val="auto"/>
          <w:sz w:val="24"/>
          <w:szCs w:val="24"/>
          <w:highlight w:val="none"/>
          <w:u w:val="single"/>
        </w:rPr>
      </w:pPr>
      <w:bookmarkStart w:id="603" w:name="_Toc31709"/>
      <w:r>
        <w:rPr>
          <w:rFonts w:hint="eastAsia" w:ascii="宋体" w:hAnsi="宋体" w:cs="宋体"/>
          <w:color w:val="auto"/>
          <w:sz w:val="24"/>
          <w:szCs w:val="24"/>
          <w:highlight w:val="none"/>
          <w:u w:val="single"/>
        </w:rPr>
        <w:t>（1）宣布开标纪律；</w:t>
      </w:r>
      <w:bookmarkEnd w:id="603"/>
    </w:p>
    <w:p w14:paraId="34FD183E">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（2）在投标截止时间后</w:t>
      </w:r>
      <w:r>
        <w:rPr>
          <w:rFonts w:hint="eastAsia" w:ascii="宋体" w:hAnsi="宋体" w:cs="宋体"/>
          <w:b/>
          <w:bCs/>
          <w:color w:val="auto"/>
          <w:sz w:val="24"/>
          <w:szCs w:val="24"/>
          <w:highlight w:val="none"/>
          <w:u w:val="single"/>
          <w:lang w:val="en-US" w:eastAsia="zh-CN"/>
        </w:rPr>
        <w:t>一</w:t>
      </w:r>
      <w:r>
        <w:rPr>
          <w:rFonts w:hint="eastAsia" w:ascii="宋体" w:hAnsi="宋体" w:cs="宋体"/>
          <w:b/>
          <w:bCs/>
          <w:color w:val="auto"/>
          <w:sz w:val="24"/>
          <w:szCs w:val="24"/>
          <w:highlight w:val="none"/>
          <w:u w:val="single"/>
        </w:rPr>
        <w:t>小时</w:t>
      </w:r>
      <w:r>
        <w:rPr>
          <w:rFonts w:hint="eastAsia" w:ascii="宋体" w:hAnsi="宋体" w:cs="宋体"/>
          <w:color w:val="auto"/>
          <w:sz w:val="24"/>
          <w:szCs w:val="24"/>
          <w:highlight w:val="none"/>
          <w:u w:val="single"/>
        </w:rPr>
        <w:t>内，</w:t>
      </w:r>
      <w:r>
        <w:rPr>
          <w:rFonts w:hint="eastAsia" w:ascii="宋体" w:hAnsi="宋体" w:cs="宋体"/>
          <w:color w:val="auto"/>
          <w:sz w:val="24"/>
          <w:szCs w:val="24"/>
          <w:highlight w:val="none"/>
          <w:u w:val="single"/>
        </w:rPr>
        <w:t>投标人通过递交投标文件及定标文件的交易平台对已递交的电子投标文件及定标文件进行解密。投标人完成解密后，再由招标人进行解密（投标人只用执行一次解密，招标人执行解密次数根据招标文件</w:t>
      </w:r>
      <w:bookmarkStart w:id="1136" w:name="_GoBack"/>
      <w:bookmarkEnd w:id="1136"/>
      <w:r>
        <w:rPr>
          <w:rFonts w:hint="eastAsia" w:ascii="宋体" w:hAnsi="宋体" w:cs="宋体"/>
          <w:color w:val="auto"/>
          <w:sz w:val="24"/>
          <w:szCs w:val="24"/>
          <w:highlight w:val="none"/>
          <w:u w:val="single"/>
        </w:rPr>
        <w:t>开标次数确定）。</w:t>
      </w:r>
    </w:p>
    <w:p w14:paraId="2120375D">
      <w:pPr>
        <w:spacing w:line="360" w:lineRule="auto"/>
        <w:ind w:firstLine="480" w:firstLineChars="200"/>
        <w:rPr>
          <w:rFonts w:hint="eastAsia" w:ascii="宋体" w:hAnsi="宋体" w:cs="宋体"/>
          <w:color w:val="auto"/>
          <w:sz w:val="24"/>
          <w:szCs w:val="24"/>
          <w:highlight w:val="none"/>
          <w:u w:val="single"/>
        </w:rPr>
      </w:pPr>
      <w:bookmarkStart w:id="604" w:name="_Toc5578"/>
      <w:r>
        <w:rPr>
          <w:rFonts w:hint="eastAsia" w:ascii="宋体" w:hAnsi="宋体" w:cs="宋体"/>
          <w:color w:val="auto"/>
          <w:sz w:val="24"/>
          <w:szCs w:val="24"/>
          <w:highlight w:val="none"/>
          <w:u w:val="single"/>
        </w:rPr>
        <w:t>（3）解密完成后，公布：a投标人名称；b投标文件递交情况；c投标文件解密情况；d项目负责人(</w:t>
      </w:r>
      <w:r>
        <w:rPr>
          <w:rFonts w:hint="eastAsia" w:ascii="宋体" w:hAnsi="宋体" w:cs="宋体"/>
          <w:color w:val="auto"/>
          <w:sz w:val="24"/>
          <w:highlight w:val="none"/>
          <w:u w:val="single"/>
        </w:rPr>
        <w:t>兼施工负责人</w:t>
      </w:r>
      <w:r>
        <w:rPr>
          <w:rFonts w:hint="eastAsia" w:ascii="宋体" w:hAnsi="宋体" w:cs="宋体"/>
          <w:color w:val="auto"/>
          <w:sz w:val="24"/>
          <w:szCs w:val="24"/>
          <w:highlight w:val="none"/>
          <w:u w:val="single"/>
        </w:rPr>
        <w:t>)、设计负责人、专职安全员；e投标报价；f工期；g质量标准等主要内容，并记录在案。未在规定时间内解密的投标文件不参与开标、评标。</w:t>
      </w:r>
      <w:bookmarkEnd w:id="604"/>
    </w:p>
    <w:p w14:paraId="6C7C31A8">
      <w:pPr>
        <w:spacing w:line="360" w:lineRule="auto"/>
        <w:ind w:firstLine="480" w:firstLineChars="200"/>
        <w:rPr>
          <w:rFonts w:hint="eastAsia" w:ascii="宋体" w:hAnsi="宋体" w:cs="宋体"/>
          <w:color w:val="auto"/>
          <w:sz w:val="24"/>
          <w:szCs w:val="24"/>
          <w:highlight w:val="none"/>
          <w:u w:val="single"/>
        </w:rPr>
      </w:pPr>
      <w:bookmarkStart w:id="605" w:name="_Toc25551"/>
      <w:r>
        <w:rPr>
          <w:rFonts w:hint="eastAsia" w:ascii="宋体" w:hAnsi="宋体" w:cs="宋体"/>
          <w:color w:val="auto"/>
          <w:sz w:val="24"/>
          <w:szCs w:val="24"/>
          <w:highlight w:val="none"/>
          <w:u w:val="single"/>
        </w:rPr>
        <w:t>（4）截标后，开标开始时间因故推迟的，相关评标信息仍以原定的开标开始时间的信息为准。</w:t>
      </w:r>
      <w:bookmarkEnd w:id="605"/>
    </w:p>
    <w:p w14:paraId="4376CAA3">
      <w:pPr>
        <w:spacing w:line="360" w:lineRule="auto"/>
        <w:ind w:firstLine="480" w:firstLineChars="200"/>
        <w:rPr>
          <w:rFonts w:hint="eastAsia" w:ascii="宋体" w:hAnsi="宋体" w:cs="宋体"/>
          <w:color w:val="auto"/>
          <w:sz w:val="24"/>
          <w:szCs w:val="24"/>
          <w:highlight w:val="none"/>
          <w:u w:val="single"/>
        </w:rPr>
      </w:pPr>
      <w:bookmarkStart w:id="606" w:name="_Toc31329"/>
      <w:r>
        <w:rPr>
          <w:rFonts w:hint="eastAsia" w:ascii="宋体" w:hAnsi="宋体" w:cs="宋体"/>
          <w:color w:val="auto"/>
          <w:sz w:val="24"/>
          <w:szCs w:val="24"/>
          <w:highlight w:val="none"/>
          <w:u w:val="single"/>
        </w:rPr>
        <w:t>（5）备用光盘的读取按“10 电子招标投标”第6点的规定执行。</w:t>
      </w:r>
      <w:bookmarkEnd w:id="606"/>
    </w:p>
    <w:p w14:paraId="03DFCE67">
      <w:pPr>
        <w:spacing w:line="360" w:lineRule="auto"/>
        <w:ind w:firstLine="480" w:firstLineChars="200"/>
        <w:rPr>
          <w:rFonts w:hint="eastAsia" w:ascii="宋体" w:hAnsi="宋体" w:cs="宋体"/>
          <w:color w:val="auto"/>
          <w:sz w:val="24"/>
          <w:szCs w:val="24"/>
          <w:highlight w:val="none"/>
          <w:u w:val="single"/>
        </w:rPr>
      </w:pPr>
      <w:bookmarkStart w:id="607" w:name="_Toc1467"/>
      <w:r>
        <w:rPr>
          <w:rFonts w:hint="eastAsia" w:ascii="宋体" w:hAnsi="宋体" w:cs="宋体"/>
          <w:color w:val="auto"/>
          <w:sz w:val="24"/>
          <w:szCs w:val="24"/>
          <w:highlight w:val="none"/>
          <w:u w:val="single"/>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bookmarkEnd w:id="607"/>
    </w:p>
    <w:p w14:paraId="5CA2244C">
      <w:pPr>
        <w:spacing w:line="360" w:lineRule="auto"/>
        <w:ind w:firstLine="480" w:firstLineChars="200"/>
        <w:rPr>
          <w:rFonts w:hint="eastAsia" w:ascii="宋体" w:hAnsi="宋体" w:cs="宋体"/>
          <w:color w:val="auto"/>
          <w:sz w:val="24"/>
          <w:szCs w:val="24"/>
          <w:highlight w:val="none"/>
          <w:u w:val="single"/>
        </w:rPr>
      </w:pPr>
      <w:bookmarkStart w:id="608" w:name="_Toc17321"/>
      <w:r>
        <w:rPr>
          <w:rFonts w:hint="eastAsia" w:ascii="宋体" w:hAnsi="宋体" w:cs="宋体"/>
          <w:color w:val="auto"/>
          <w:sz w:val="24"/>
          <w:szCs w:val="24"/>
          <w:highlight w:val="none"/>
          <w:u w:val="single"/>
        </w:rPr>
        <w:t>（7）参加现场开标的投标人对开标结果有异议的，应当在开标现场提出，同时出示本人身份证原件，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608"/>
    </w:p>
    <w:p w14:paraId="5D35A998">
      <w:pPr>
        <w:spacing w:line="360" w:lineRule="auto"/>
        <w:ind w:firstLine="480" w:firstLineChars="200"/>
        <w:rPr>
          <w:rFonts w:hint="eastAsia" w:ascii="宋体" w:hAnsi="宋体" w:cs="宋体"/>
          <w:color w:val="auto"/>
          <w:sz w:val="24"/>
          <w:szCs w:val="24"/>
          <w:highlight w:val="none"/>
          <w:u w:val="single"/>
        </w:rPr>
      </w:pPr>
      <w:bookmarkStart w:id="609" w:name="_Toc16988"/>
      <w:r>
        <w:rPr>
          <w:rFonts w:hint="eastAsia" w:ascii="宋体" w:hAnsi="宋体" w:cs="宋体"/>
          <w:color w:val="auto"/>
          <w:sz w:val="24"/>
          <w:szCs w:val="24"/>
          <w:highlight w:val="none"/>
          <w:u w:val="single"/>
        </w:rPr>
        <w:t>（8）投标人未参加开标或在规定的时间内未提出异议的，视为对开标无异议。</w:t>
      </w:r>
      <w:bookmarkEnd w:id="609"/>
    </w:p>
    <w:p w14:paraId="3AE81246">
      <w:pPr>
        <w:spacing w:line="360" w:lineRule="auto"/>
        <w:ind w:firstLine="480" w:firstLineChars="200"/>
        <w:rPr>
          <w:rFonts w:hint="eastAsia" w:ascii="宋体" w:hAnsi="宋体" w:cs="宋体"/>
          <w:color w:val="auto"/>
          <w:sz w:val="24"/>
          <w:szCs w:val="24"/>
          <w:highlight w:val="none"/>
          <w:u w:val="single"/>
        </w:rPr>
      </w:pPr>
      <w:bookmarkStart w:id="610" w:name="_Toc21370"/>
      <w:r>
        <w:rPr>
          <w:rFonts w:hint="eastAsia" w:ascii="宋体" w:hAnsi="宋体" w:cs="宋体"/>
          <w:color w:val="auto"/>
          <w:sz w:val="24"/>
          <w:szCs w:val="24"/>
          <w:highlight w:val="none"/>
          <w:u w:val="single"/>
        </w:rPr>
        <w:t>（9）开标时，两个（含两个）以上的投标人加密打包投标文件电脑机器特征码一致的，不参与下一程序，并由评标委员会否决其投标。</w:t>
      </w:r>
      <w:bookmarkEnd w:id="610"/>
    </w:p>
    <w:p w14:paraId="48404543">
      <w:pPr>
        <w:spacing w:line="360" w:lineRule="auto"/>
        <w:ind w:firstLine="480" w:firstLineChars="200"/>
        <w:rPr>
          <w:rFonts w:hint="eastAsia" w:ascii="宋体" w:hAnsi="宋体" w:cs="宋体"/>
          <w:color w:val="auto"/>
          <w:sz w:val="24"/>
          <w:szCs w:val="24"/>
          <w:highlight w:val="none"/>
          <w:u w:val="single"/>
        </w:rPr>
      </w:pPr>
      <w:bookmarkStart w:id="611" w:name="_Toc5231"/>
      <w:r>
        <w:rPr>
          <w:rFonts w:hint="eastAsia" w:ascii="宋体" w:hAnsi="宋体" w:cs="宋体"/>
          <w:color w:val="auto"/>
          <w:sz w:val="24"/>
          <w:szCs w:val="24"/>
          <w:highlight w:val="none"/>
          <w:u w:val="single"/>
        </w:rPr>
        <w:t>（10）</w:t>
      </w:r>
      <w:bookmarkEnd w:id="611"/>
      <w:bookmarkStart w:id="612" w:name="_Toc24790"/>
      <w:r>
        <w:rPr>
          <w:rFonts w:hint="eastAsia" w:ascii="宋体" w:hAnsi="宋体" w:cs="宋体"/>
          <w:color w:val="auto"/>
          <w:sz w:val="24"/>
          <w:szCs w:val="24"/>
          <w:highlight w:val="none"/>
          <w:u w:val="single"/>
        </w:rPr>
        <w:t>投标人代表、招标人代表、监标人、记录人等有关人员在开标记录上签字确认；若有关人员不签字的，不影响开标程序</w:t>
      </w:r>
      <w:bookmarkEnd w:id="612"/>
      <w:r>
        <w:rPr>
          <w:rFonts w:hint="eastAsia" w:ascii="宋体" w:hAnsi="宋体" w:cs="宋体"/>
          <w:color w:val="auto"/>
          <w:sz w:val="24"/>
          <w:szCs w:val="24"/>
          <w:highlight w:val="none"/>
          <w:u w:val="single"/>
        </w:rPr>
        <w:t>。</w:t>
      </w:r>
    </w:p>
    <w:p w14:paraId="5656CE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（11）开标结束</w:t>
      </w:r>
      <w:r>
        <w:rPr>
          <w:rFonts w:hint="eastAsia" w:ascii="宋体" w:hAnsi="宋体" w:cs="宋体"/>
          <w:color w:val="auto"/>
          <w:sz w:val="24"/>
          <w:szCs w:val="24"/>
          <w:highlight w:val="none"/>
        </w:rPr>
        <w:t>。</w:t>
      </w:r>
      <w:bookmarkStart w:id="613" w:name="_Toc27243"/>
      <w:bookmarkStart w:id="614" w:name="_Toc436834756"/>
      <w:bookmarkStart w:id="615" w:name="_Toc20459"/>
      <w:bookmarkStart w:id="616" w:name="_Toc11445"/>
      <w:bookmarkStart w:id="617" w:name="_Toc436834163"/>
      <w:bookmarkStart w:id="618" w:name="_Toc485211070"/>
      <w:bookmarkStart w:id="619" w:name="_Toc30580"/>
      <w:bookmarkStart w:id="620" w:name="_Toc28564"/>
      <w:bookmarkStart w:id="621" w:name="_Toc1755"/>
      <w:bookmarkStart w:id="622" w:name="_Toc3636"/>
      <w:bookmarkStart w:id="623" w:name="_Toc19375"/>
    </w:p>
    <w:p w14:paraId="65BBE5DB">
      <w:pPr>
        <w:keepNext/>
        <w:keepLines/>
        <w:spacing w:line="360" w:lineRule="auto"/>
        <w:outlineLvl w:val="2"/>
        <w:rPr>
          <w:rFonts w:hint="eastAsia" w:ascii="宋体" w:hAnsi="宋体" w:cs="宋体"/>
          <w:bCs/>
          <w:color w:val="auto"/>
          <w:sz w:val="24"/>
          <w:szCs w:val="24"/>
          <w:highlight w:val="none"/>
        </w:rPr>
      </w:pPr>
      <w:bookmarkStart w:id="624" w:name="_Toc18744"/>
      <w:bookmarkStart w:id="625" w:name="_Toc30018"/>
      <w:r>
        <w:rPr>
          <w:rFonts w:hint="eastAsia" w:ascii="宋体" w:hAnsi="宋体" w:cs="宋体"/>
          <w:bCs/>
          <w:color w:val="auto"/>
          <w:sz w:val="24"/>
          <w:szCs w:val="24"/>
          <w:highlight w:val="none"/>
        </w:rPr>
        <w:t>5.3 开标异议</w:t>
      </w:r>
      <w:bookmarkEnd w:id="600"/>
      <w:bookmarkEnd w:id="601"/>
      <w:bookmarkEnd w:id="613"/>
      <w:bookmarkEnd w:id="614"/>
      <w:bookmarkEnd w:id="615"/>
      <w:bookmarkEnd w:id="616"/>
      <w:bookmarkEnd w:id="617"/>
      <w:bookmarkEnd w:id="618"/>
      <w:bookmarkEnd w:id="619"/>
      <w:bookmarkEnd w:id="620"/>
      <w:bookmarkEnd w:id="621"/>
      <w:bookmarkEnd w:id="622"/>
      <w:bookmarkEnd w:id="623"/>
      <w:bookmarkEnd w:id="624"/>
      <w:bookmarkEnd w:id="625"/>
    </w:p>
    <w:p w14:paraId="479829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投标人对开标有异议的，应当在</w:t>
      </w:r>
      <w:r>
        <w:rPr>
          <w:rFonts w:hint="eastAsia" w:ascii="宋体" w:hAnsi="宋体" w:cs="宋体"/>
          <w:color w:val="auto"/>
          <w:sz w:val="24"/>
          <w:szCs w:val="24"/>
          <w:highlight w:val="none"/>
          <w:u w:val="single"/>
        </w:rPr>
        <w:t>交易平台规定的时间内</w:t>
      </w:r>
      <w:r>
        <w:rPr>
          <w:rFonts w:hint="eastAsia" w:ascii="宋体" w:hAnsi="宋体" w:cs="宋体"/>
          <w:color w:val="auto"/>
          <w:sz w:val="24"/>
          <w:szCs w:val="24"/>
          <w:highlight w:val="none"/>
        </w:rPr>
        <w:t>提出，招标人当场作出答复，并制作记录。</w:t>
      </w:r>
    </w:p>
    <w:p w14:paraId="65A376C0">
      <w:pPr>
        <w:keepNext/>
        <w:keepLines/>
        <w:spacing w:line="360" w:lineRule="auto"/>
        <w:outlineLvl w:val="1"/>
        <w:rPr>
          <w:rFonts w:hint="eastAsia" w:ascii="宋体" w:hAnsi="宋体" w:cs="宋体"/>
          <w:b/>
          <w:bCs/>
          <w:color w:val="auto"/>
          <w:sz w:val="28"/>
          <w:szCs w:val="28"/>
          <w:highlight w:val="none"/>
        </w:rPr>
      </w:pPr>
      <w:bookmarkStart w:id="626" w:name="_Toc21872"/>
      <w:bookmarkStart w:id="627" w:name="_Toc6781"/>
      <w:bookmarkStart w:id="628" w:name="_Toc29634"/>
      <w:bookmarkStart w:id="629" w:name="_Toc300834984"/>
      <w:bookmarkStart w:id="630" w:name="_Toc16899"/>
      <w:bookmarkStart w:id="631" w:name="_Toc152045562"/>
      <w:bookmarkStart w:id="632" w:name="_Toc485211071"/>
      <w:bookmarkStart w:id="633" w:name="_Toc29948"/>
      <w:bookmarkStart w:id="634" w:name="_Toc152042338"/>
      <w:bookmarkStart w:id="635" w:name="_Toc17424"/>
      <w:bookmarkStart w:id="636" w:name="_Toc791"/>
      <w:bookmarkStart w:id="637" w:name="_Toc27065"/>
      <w:bookmarkStart w:id="638" w:name="_Toc247513986"/>
      <w:bookmarkStart w:id="639" w:name="_Toc436834164"/>
      <w:bookmarkStart w:id="640" w:name="_Toc2702"/>
      <w:bookmarkStart w:id="641" w:name="_Toc3138"/>
      <w:bookmarkStart w:id="642" w:name="_Toc144974530"/>
      <w:bookmarkStart w:id="643" w:name="_Toc436834757"/>
      <w:bookmarkStart w:id="644" w:name="_Toc399165406"/>
      <w:bookmarkStart w:id="645" w:name="_Toc247527587"/>
      <w:r>
        <w:rPr>
          <w:rFonts w:hint="eastAsia" w:ascii="宋体" w:hAnsi="宋体" w:cs="宋体"/>
          <w:b/>
          <w:bCs/>
          <w:color w:val="auto"/>
          <w:sz w:val="28"/>
          <w:szCs w:val="28"/>
          <w:highlight w:val="none"/>
        </w:rPr>
        <w:t>6. 评标</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3FFBFAD7">
      <w:pPr>
        <w:keepNext/>
        <w:keepLines/>
        <w:spacing w:line="360" w:lineRule="auto"/>
        <w:outlineLvl w:val="2"/>
        <w:rPr>
          <w:rFonts w:hint="eastAsia" w:ascii="宋体" w:hAnsi="宋体" w:cs="宋体"/>
          <w:bCs/>
          <w:color w:val="auto"/>
          <w:sz w:val="24"/>
          <w:szCs w:val="24"/>
          <w:highlight w:val="none"/>
        </w:rPr>
      </w:pPr>
      <w:bookmarkStart w:id="646" w:name="_Toc144974531"/>
      <w:bookmarkStart w:id="647" w:name="_Toc16779"/>
      <w:bookmarkStart w:id="648" w:name="_Toc300834985"/>
      <w:bookmarkStart w:id="649" w:name="_Toc26166"/>
      <w:bookmarkStart w:id="650" w:name="_Toc247513987"/>
      <w:bookmarkStart w:id="651" w:name="_Toc1432"/>
      <w:bookmarkStart w:id="652" w:name="_Toc22048"/>
      <w:bookmarkStart w:id="653" w:name="_Toc399165407"/>
      <w:bookmarkStart w:id="654" w:name="_Toc247527588"/>
      <w:bookmarkStart w:id="655" w:name="_Toc25490"/>
      <w:bookmarkStart w:id="656" w:name="_Toc152042339"/>
      <w:bookmarkStart w:id="657" w:name="_Toc6630"/>
      <w:bookmarkStart w:id="658" w:name="_Toc436834758"/>
      <w:bookmarkStart w:id="659" w:name="_Toc12762"/>
      <w:bookmarkStart w:id="660" w:name="_Toc9770"/>
      <w:bookmarkStart w:id="661" w:name="_Toc29291"/>
      <w:bookmarkStart w:id="662" w:name="_Toc485211072"/>
      <w:bookmarkStart w:id="663" w:name="_Toc436834165"/>
      <w:bookmarkStart w:id="664" w:name="_Toc16102"/>
      <w:bookmarkStart w:id="665" w:name="_Toc152045563"/>
      <w:r>
        <w:rPr>
          <w:rFonts w:hint="eastAsia" w:ascii="宋体" w:hAnsi="宋体" w:cs="宋体"/>
          <w:bCs/>
          <w:color w:val="auto"/>
          <w:sz w:val="24"/>
          <w:szCs w:val="24"/>
          <w:highlight w:val="none"/>
        </w:rPr>
        <w:t>6.1 评标委员会</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369719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6.1.1评标由招标人依法组建的评标委员会负责，评标委员会</w:t>
      </w:r>
      <w:r>
        <w:rPr>
          <w:rFonts w:hint="eastAsia" w:ascii="宋体" w:hAnsi="宋体" w:cs="宋体"/>
          <w:color w:val="auto"/>
          <w:sz w:val="24"/>
          <w:szCs w:val="24"/>
          <w:highlight w:val="none"/>
          <w:u w:val="single"/>
        </w:rPr>
        <w:t>由招标人依法组建</w:t>
      </w:r>
      <w:r>
        <w:rPr>
          <w:rFonts w:hint="eastAsia" w:ascii="宋体" w:hAnsi="宋体" w:cs="宋体"/>
          <w:color w:val="auto"/>
          <w:sz w:val="24"/>
          <w:szCs w:val="24"/>
          <w:highlight w:val="none"/>
        </w:rPr>
        <w:t>。</w:t>
      </w:r>
      <w:bookmarkStart w:id="666" w:name="_Toc399165408"/>
      <w:bookmarkStart w:id="667" w:name="_Toc144974532"/>
      <w:bookmarkStart w:id="668" w:name="_Toc247527589"/>
      <w:bookmarkStart w:id="669" w:name="_Toc247513988"/>
      <w:bookmarkStart w:id="670" w:name="_Toc152042340"/>
      <w:bookmarkStart w:id="671" w:name="_Toc152045564"/>
      <w:bookmarkStart w:id="672" w:name="_Toc300834986"/>
    </w:p>
    <w:p w14:paraId="5DA9A2A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6.1.2 评标委员会成员有下列情形之一的，应当回避：</w:t>
      </w:r>
    </w:p>
    <w:p w14:paraId="53316EF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（1）投标人或投标人主要负责人的近亲属；</w:t>
      </w:r>
    </w:p>
    <w:p w14:paraId="68166A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（2）项目主管部门或者行政监督部门的人员；</w:t>
      </w:r>
    </w:p>
    <w:p w14:paraId="0EB4B0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（3）与投标人有经济利益关系，可能影响对投标公正评审的；</w:t>
      </w:r>
    </w:p>
    <w:p w14:paraId="23219C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（4）曾因在招标、评标以及其他与招标投标有关活动中从事违法行为而受过行政处罚或刑事处罚的；</w:t>
      </w:r>
    </w:p>
    <w:p w14:paraId="39D83F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（5）与投标人有其他利害关系。</w:t>
      </w:r>
    </w:p>
    <w:p w14:paraId="07CC6422">
      <w:pPr>
        <w:pStyle w:val="20"/>
        <w:rPr>
          <w:rFonts w:hint="eastAsia"/>
          <w:color w:val="auto"/>
          <w:highlight w:val="none"/>
        </w:rPr>
      </w:pPr>
      <w:r>
        <w:rPr>
          <w:rFonts w:hint="eastAsia" w:ascii="宋体" w:hAnsi="宋体" w:cs="宋体"/>
          <w:b/>
          <w:bCs/>
          <w:color w:val="auto"/>
          <w:highlight w:val="none"/>
        </w:rPr>
        <w:t>6.1.3 评标委员会在开始评标前，应了解评标专家的职责及守则，认真阅读附件</w:t>
      </w:r>
      <w:r>
        <w:rPr>
          <w:rFonts w:hint="eastAsia" w:ascii="宋体" w:hAnsi="宋体" w:cs="宋体"/>
          <w:b/>
          <w:bCs/>
          <w:color w:val="auto"/>
          <w:highlight w:val="none"/>
          <w:lang w:val="en-US" w:eastAsia="zh-CN"/>
        </w:rPr>
        <w:t>五</w:t>
      </w:r>
      <w:r>
        <w:rPr>
          <w:rFonts w:hint="eastAsia" w:ascii="宋体" w:hAnsi="宋体" w:cs="宋体"/>
          <w:b/>
          <w:bCs/>
          <w:color w:val="auto"/>
          <w:highlight w:val="none"/>
        </w:rPr>
        <w:t>《评标委员会成员声明》的内容并签名，签字后方可进行评标；</w:t>
      </w:r>
    </w:p>
    <w:p w14:paraId="65847A9D">
      <w:pPr>
        <w:keepNext/>
        <w:keepLines/>
        <w:spacing w:line="360" w:lineRule="auto"/>
        <w:outlineLvl w:val="2"/>
        <w:rPr>
          <w:rFonts w:hint="eastAsia" w:ascii="宋体" w:hAnsi="宋体" w:cs="宋体"/>
          <w:bCs/>
          <w:color w:val="auto"/>
          <w:sz w:val="24"/>
          <w:szCs w:val="24"/>
          <w:highlight w:val="none"/>
        </w:rPr>
      </w:pPr>
      <w:bookmarkStart w:id="673" w:name="_Toc30304"/>
      <w:bookmarkStart w:id="674" w:name="_Toc436834759"/>
      <w:bookmarkStart w:id="675" w:name="_Toc28088"/>
      <w:bookmarkStart w:id="676" w:name="_Toc10755"/>
      <w:bookmarkStart w:id="677" w:name="_Toc14481"/>
      <w:bookmarkStart w:id="678" w:name="_Toc29188"/>
      <w:bookmarkStart w:id="679" w:name="_Toc485211073"/>
      <w:bookmarkStart w:id="680" w:name="_Toc22045"/>
      <w:bookmarkStart w:id="681" w:name="_Toc1675"/>
      <w:bookmarkStart w:id="682" w:name="_Toc7385"/>
      <w:bookmarkStart w:id="683" w:name="_Toc436834166"/>
      <w:bookmarkStart w:id="684" w:name="_Toc23158"/>
      <w:bookmarkStart w:id="685" w:name="_Toc12018"/>
      <w:r>
        <w:rPr>
          <w:rFonts w:hint="eastAsia" w:ascii="宋体" w:hAnsi="宋体" w:cs="宋体"/>
          <w:bCs/>
          <w:color w:val="auto"/>
          <w:sz w:val="24"/>
          <w:szCs w:val="24"/>
          <w:highlight w:val="none"/>
        </w:rPr>
        <w:t>6.2 评标原则</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31CB8A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评标活动遵循公平、公正、科学和择优的原则。</w:t>
      </w:r>
    </w:p>
    <w:p w14:paraId="684BE97D">
      <w:pPr>
        <w:keepNext/>
        <w:keepLines/>
        <w:spacing w:line="360" w:lineRule="auto"/>
        <w:outlineLvl w:val="2"/>
        <w:rPr>
          <w:rFonts w:hint="eastAsia" w:ascii="宋体" w:hAnsi="宋体" w:cs="宋体"/>
          <w:bCs/>
          <w:color w:val="auto"/>
          <w:sz w:val="24"/>
          <w:szCs w:val="24"/>
          <w:highlight w:val="none"/>
        </w:rPr>
      </w:pPr>
      <w:bookmarkStart w:id="686" w:name="_Toc14592"/>
      <w:bookmarkStart w:id="687" w:name="_Toc436834167"/>
      <w:bookmarkStart w:id="688" w:name="_Toc485211074"/>
      <w:bookmarkStart w:id="689" w:name="_Toc247513989"/>
      <w:bookmarkStart w:id="690" w:name="_Toc19074"/>
      <w:bookmarkStart w:id="691" w:name="_Toc152045565"/>
      <w:bookmarkStart w:id="692" w:name="_Toc6398"/>
      <w:bookmarkStart w:id="693" w:name="_Toc18962"/>
      <w:bookmarkStart w:id="694" w:name="_Toc18940"/>
      <w:bookmarkStart w:id="695" w:name="_Toc144974533"/>
      <w:bookmarkStart w:id="696" w:name="_Toc21087"/>
      <w:bookmarkStart w:id="697" w:name="_Toc22884"/>
      <w:bookmarkStart w:id="698" w:name="_Toc399165409"/>
      <w:bookmarkStart w:id="699" w:name="_Toc247527590"/>
      <w:bookmarkStart w:id="700" w:name="_Toc300834987"/>
      <w:bookmarkStart w:id="701" w:name="_Toc152042341"/>
      <w:bookmarkStart w:id="702" w:name="_Toc436834760"/>
      <w:bookmarkStart w:id="703" w:name="_Toc22925"/>
      <w:bookmarkStart w:id="704" w:name="_Toc24080"/>
      <w:bookmarkStart w:id="705" w:name="_Toc23921"/>
      <w:r>
        <w:rPr>
          <w:rFonts w:hint="eastAsia" w:ascii="宋体" w:hAnsi="宋体" w:cs="宋体"/>
          <w:bCs/>
          <w:color w:val="auto"/>
          <w:sz w:val="24"/>
          <w:szCs w:val="24"/>
          <w:highlight w:val="none"/>
        </w:rPr>
        <w:t>6.3 评标</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7EB7FB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评标委员会按照第二章“评标和定标办法”规定的方法、评审因素、标准和程序对投标文件进行评审。第二章“评标和定标办法”没有规定的方法、评审因素和标准，不作为评标依据。</w:t>
      </w:r>
      <w:bookmarkStart w:id="706" w:name="_Toc20501"/>
      <w:bookmarkStart w:id="707" w:name="_Toc27113"/>
      <w:bookmarkStart w:id="708" w:name="_Toc9325"/>
      <w:bookmarkStart w:id="709" w:name="_Toc144974534"/>
      <w:bookmarkStart w:id="710" w:name="_Toc152045566"/>
      <w:bookmarkStart w:id="711" w:name="_Toc16775"/>
      <w:bookmarkStart w:id="712" w:name="_Toc152042342"/>
      <w:bookmarkStart w:id="713" w:name="_Toc436834761"/>
      <w:bookmarkStart w:id="714" w:name="_Toc300834988"/>
      <w:bookmarkStart w:id="715" w:name="_Toc26489"/>
      <w:bookmarkStart w:id="716" w:name="_Toc15814"/>
      <w:bookmarkStart w:id="717" w:name="_Toc247527591"/>
      <w:bookmarkStart w:id="718" w:name="_Toc485211075"/>
      <w:bookmarkStart w:id="719" w:name="_Toc1457"/>
      <w:bookmarkStart w:id="720" w:name="_Toc6048"/>
      <w:bookmarkStart w:id="721" w:name="_Toc399165410"/>
      <w:bookmarkStart w:id="722" w:name="_Toc19417"/>
      <w:bookmarkStart w:id="723" w:name="_Toc30169"/>
      <w:bookmarkStart w:id="724" w:name="_Toc436834168"/>
      <w:bookmarkStart w:id="725" w:name="_Toc247513990"/>
    </w:p>
    <w:p w14:paraId="1D952094">
      <w:pPr>
        <w:keepNext/>
        <w:keepLines/>
        <w:spacing w:line="360" w:lineRule="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7. 合同授予</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Start w:id="726" w:name="_Toc126"/>
      <w:bookmarkStart w:id="727" w:name="_Toc4558"/>
      <w:bookmarkStart w:id="728" w:name="_Toc436834169"/>
      <w:bookmarkStart w:id="729" w:name="_Toc399165411"/>
      <w:bookmarkStart w:id="730" w:name="_Toc23658"/>
      <w:bookmarkStart w:id="731" w:name="_Toc32320"/>
      <w:bookmarkStart w:id="732" w:name="_Toc152042343"/>
      <w:bookmarkStart w:id="733" w:name="_Toc436834762"/>
      <w:bookmarkStart w:id="734" w:name="_Toc300834989"/>
      <w:bookmarkStart w:id="735" w:name="_Toc15433"/>
      <w:bookmarkStart w:id="736" w:name="_Toc17516"/>
      <w:bookmarkStart w:id="737" w:name="_Toc14648"/>
      <w:bookmarkStart w:id="738" w:name="_Toc152045567"/>
      <w:bookmarkStart w:id="739" w:name="_Toc26639"/>
      <w:bookmarkStart w:id="740" w:name="_Toc485211076"/>
      <w:bookmarkStart w:id="741" w:name="_Toc247527592"/>
      <w:bookmarkStart w:id="742" w:name="_Toc144974535"/>
      <w:bookmarkStart w:id="743" w:name="_Toc24540"/>
      <w:bookmarkStart w:id="744" w:name="_Toc3151"/>
      <w:bookmarkStart w:id="745" w:name="_Toc247513991"/>
    </w:p>
    <w:p w14:paraId="205ED10F">
      <w:pPr>
        <w:keepNext/>
        <w:keepLines/>
        <w:spacing w:line="360" w:lineRule="auto"/>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7.1 定标方式</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C0406D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7.1.1合格的中标候选人公示结束后10个工作日内在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开展定标工作，在定标委员会完成定标工作后，招标人将在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交易平台和中国招标投标公共服务平台公示中标结果公示。</w:t>
      </w:r>
    </w:p>
    <w:p w14:paraId="3D28D09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7.1.2定标后出现中标人不符合法定情形的，招标人可从其他合格的中标候选人中采用原定标办法，由原定标委员会确定中标人，也可以重新招标</w:t>
      </w:r>
      <w:r>
        <w:rPr>
          <w:rFonts w:hint="eastAsia" w:ascii="宋体" w:hAnsi="宋体" w:cs="宋体"/>
          <w:color w:val="auto"/>
          <w:sz w:val="24"/>
          <w:szCs w:val="24"/>
          <w:highlight w:val="none"/>
        </w:rPr>
        <w:t>。</w:t>
      </w:r>
    </w:p>
    <w:p w14:paraId="57098A8A">
      <w:pPr>
        <w:keepNext/>
        <w:keepLines/>
        <w:spacing w:line="360" w:lineRule="auto"/>
        <w:outlineLvl w:val="2"/>
        <w:rPr>
          <w:rFonts w:hint="eastAsia" w:ascii="宋体" w:hAnsi="宋体" w:cs="宋体"/>
          <w:b/>
          <w:color w:val="auto"/>
          <w:sz w:val="24"/>
          <w:szCs w:val="24"/>
          <w:highlight w:val="none"/>
        </w:rPr>
      </w:pPr>
      <w:bookmarkStart w:id="746" w:name="_Toc399165412"/>
      <w:bookmarkStart w:id="747" w:name="_Toc18148"/>
      <w:bookmarkStart w:id="748" w:name="_Toc436834170"/>
      <w:bookmarkStart w:id="749" w:name="_Toc30794"/>
      <w:bookmarkStart w:id="750" w:name="_Toc485211077"/>
      <w:bookmarkStart w:id="751" w:name="_Toc455"/>
      <w:bookmarkStart w:id="752" w:name="_Toc1089"/>
      <w:bookmarkStart w:id="753" w:name="_Toc8769"/>
      <w:bookmarkStart w:id="754" w:name="_Toc436834763"/>
      <w:bookmarkStart w:id="755" w:name="_Toc23065"/>
      <w:bookmarkStart w:id="756" w:name="_Toc8456"/>
      <w:bookmarkStart w:id="757" w:name="_Toc1391"/>
      <w:bookmarkStart w:id="758" w:name="_Toc11008"/>
      <w:bookmarkStart w:id="759" w:name="_Toc300834990"/>
      <w:bookmarkStart w:id="760" w:name="_Toc20879"/>
      <w:r>
        <w:rPr>
          <w:rFonts w:hint="eastAsia" w:ascii="宋体" w:hAnsi="宋体" w:cs="宋体"/>
          <w:b/>
          <w:color w:val="auto"/>
          <w:sz w:val="24"/>
          <w:szCs w:val="24"/>
          <w:highlight w:val="none"/>
        </w:rPr>
        <w:t xml:space="preserve">7.2 </w:t>
      </w:r>
      <w:r>
        <w:rPr>
          <w:rFonts w:hint="eastAsia" w:ascii="宋体" w:hAnsi="宋体" w:cs="宋体"/>
          <w:b/>
          <w:color w:val="auto"/>
          <w:sz w:val="24"/>
          <w:szCs w:val="24"/>
          <w:highlight w:val="none"/>
          <w:lang w:val="en-US" w:eastAsia="zh-CN"/>
        </w:rPr>
        <w:t>合格的</w:t>
      </w:r>
      <w:r>
        <w:rPr>
          <w:rFonts w:hint="eastAsia" w:ascii="宋体" w:hAnsi="宋体" w:cs="宋体"/>
          <w:b/>
          <w:color w:val="auto"/>
          <w:sz w:val="24"/>
          <w:szCs w:val="24"/>
          <w:highlight w:val="none"/>
        </w:rPr>
        <w:t>中标候选人公示</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Pr>
          <w:rFonts w:hint="eastAsia" w:ascii="宋体" w:hAnsi="宋体" w:cs="宋体"/>
          <w:b/>
          <w:color w:val="auto"/>
          <w:sz w:val="24"/>
          <w:szCs w:val="24"/>
          <w:highlight w:val="none"/>
        </w:rPr>
        <w:t>及中标结果公示</w:t>
      </w:r>
    </w:p>
    <w:p w14:paraId="7864AEE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7.2.1招标人在投标人须知前附表规定的媒介公示合格的中标候选人【不排序，按统一社会信用代码后4位（除校验码外）大小排位，如统一社会信用代码后4位出现字母情况的，字母以“0”进行代替大小排位；如出现后4位（除校验码外）大小一致的，则随机排位】。投标人或其他利害关系人对评标结果有异议的，应当在合格的中标候选人公示期间提出，可以通过线下或线上的形式提出异议。线上提交的，应通过交易平台进行，招标人也应通过交易平台答复线上提交的异议。作出答复前，应当暂停招标投标活动。</w:t>
      </w:r>
    </w:p>
    <w:p w14:paraId="2FC2702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7.2.2在产生合格的中标候选人后，招标人将合格的中标候选人的投标文件商务部分文件的所有内容（包括人员、业绩、奖项等资料）在</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公开。</w:t>
      </w:r>
    </w:p>
    <w:p w14:paraId="752D0274">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7.2.3完成定标工作后，招标人将在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交易平台和中国招标投标公共服务平台公示中标结果，定标后出现中标人不符合法定情形被取消中标资格的，招标人有权组织重新进行</w:t>
      </w:r>
      <w:r>
        <w:rPr>
          <w:rFonts w:hint="eastAsia" w:ascii="宋体" w:hAnsi="宋体" w:cs="宋体"/>
          <w:color w:val="auto"/>
          <w:sz w:val="24"/>
          <w:szCs w:val="24"/>
          <w:highlight w:val="none"/>
          <w:lang w:val="en-US" w:eastAsia="zh-CN"/>
        </w:rPr>
        <w:t>评分</w:t>
      </w:r>
      <w:r>
        <w:rPr>
          <w:rFonts w:hint="eastAsia" w:ascii="宋体" w:hAnsi="宋体" w:cs="宋体"/>
          <w:color w:val="auto"/>
          <w:sz w:val="24"/>
          <w:szCs w:val="24"/>
          <w:highlight w:val="none"/>
        </w:rPr>
        <w:t>确定中标人，也有权重新招标。</w:t>
      </w:r>
    </w:p>
    <w:p w14:paraId="085EC188">
      <w:pPr>
        <w:keepNext/>
        <w:keepLines/>
        <w:spacing w:line="360" w:lineRule="auto"/>
        <w:outlineLvl w:val="2"/>
        <w:rPr>
          <w:rFonts w:hint="eastAsia" w:ascii="宋体" w:hAnsi="宋体" w:cs="宋体"/>
          <w:b/>
          <w:color w:val="auto"/>
          <w:sz w:val="24"/>
          <w:szCs w:val="24"/>
          <w:highlight w:val="none"/>
        </w:rPr>
      </w:pPr>
      <w:bookmarkStart w:id="761" w:name="_Toc144974536"/>
      <w:bookmarkStart w:id="762" w:name="_Toc28986"/>
      <w:bookmarkStart w:id="763" w:name="_Toc436834764"/>
      <w:bookmarkStart w:id="764" w:name="_Toc436834171"/>
      <w:bookmarkStart w:id="765" w:name="_Toc152042344"/>
      <w:bookmarkStart w:id="766" w:name="_Toc19952"/>
      <w:bookmarkStart w:id="767" w:name="_Toc5132"/>
      <w:bookmarkStart w:id="768" w:name="_Toc17946"/>
      <w:bookmarkStart w:id="769" w:name="_Toc247513992"/>
      <w:bookmarkStart w:id="770" w:name="_Toc300834991"/>
      <w:bookmarkStart w:id="771" w:name="_Toc152045568"/>
      <w:bookmarkStart w:id="772" w:name="_Toc485211078"/>
      <w:bookmarkStart w:id="773" w:name="_Toc27933"/>
      <w:bookmarkStart w:id="774" w:name="_Toc31317"/>
      <w:bookmarkStart w:id="775" w:name="_Toc399165413"/>
      <w:bookmarkStart w:id="776" w:name="_Toc8002"/>
      <w:bookmarkStart w:id="777" w:name="_Toc247527593"/>
      <w:bookmarkStart w:id="778" w:name="_Toc3310"/>
      <w:bookmarkStart w:id="779" w:name="_Toc20160"/>
      <w:bookmarkStart w:id="780" w:name="_Toc15766"/>
      <w:r>
        <w:rPr>
          <w:rFonts w:hint="eastAsia" w:ascii="宋体" w:hAnsi="宋体" w:cs="宋体"/>
          <w:b/>
          <w:color w:val="auto"/>
          <w:sz w:val="24"/>
          <w:szCs w:val="24"/>
          <w:highlight w:val="none"/>
        </w:rPr>
        <w:t>7.3 中标通知</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329A3E9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7.3.1在本章第3.3.1款规定的投标有效期内，招标人以书面形式向中标人发出中标通知书。中标通知书按本章附表格式填写。</w:t>
      </w:r>
    </w:p>
    <w:p w14:paraId="2A151E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7.3.2招标人应当自确定中标人后，向招投标监管机构提交招标投标情况的书面报告；经招投标监管机构备案后，方可发出中标通知书。中标通知书由招标人颁发，并经</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确认。</w:t>
      </w:r>
    </w:p>
    <w:p w14:paraId="19549991">
      <w:pPr>
        <w:keepNext/>
        <w:keepLines/>
        <w:spacing w:line="360" w:lineRule="auto"/>
        <w:outlineLvl w:val="2"/>
        <w:rPr>
          <w:rFonts w:hint="eastAsia" w:ascii="宋体" w:hAnsi="宋体" w:cs="宋体"/>
          <w:b/>
          <w:color w:val="auto"/>
          <w:sz w:val="24"/>
          <w:szCs w:val="24"/>
          <w:highlight w:val="none"/>
        </w:rPr>
      </w:pPr>
      <w:bookmarkStart w:id="781" w:name="_Toc28701"/>
      <w:bookmarkStart w:id="782" w:name="_Toc436834172"/>
      <w:bookmarkStart w:id="783" w:name="_Toc14040"/>
      <w:bookmarkStart w:id="784" w:name="_Toc15332"/>
      <w:bookmarkStart w:id="785" w:name="_Toc300834992"/>
      <w:bookmarkStart w:id="786" w:name="_Toc20415"/>
      <w:bookmarkStart w:id="787" w:name="_Toc247527594"/>
      <w:bookmarkStart w:id="788" w:name="_Toc152045569"/>
      <w:bookmarkStart w:id="789" w:name="_Toc29469"/>
      <w:bookmarkStart w:id="790" w:name="_Toc19408"/>
      <w:bookmarkStart w:id="791" w:name="_Toc11792"/>
      <w:bookmarkStart w:id="792" w:name="_Toc485211079"/>
      <w:bookmarkStart w:id="793" w:name="_Toc399165414"/>
      <w:bookmarkStart w:id="794" w:name="_Toc144974537"/>
      <w:bookmarkStart w:id="795" w:name="_Toc247513993"/>
      <w:bookmarkStart w:id="796" w:name="_Toc32175"/>
      <w:bookmarkStart w:id="797" w:name="_Toc16658"/>
      <w:bookmarkStart w:id="798" w:name="_Toc152042345"/>
      <w:bookmarkStart w:id="799" w:name="_Toc436834765"/>
      <w:bookmarkStart w:id="800" w:name="_Toc7052"/>
      <w:r>
        <w:rPr>
          <w:rFonts w:hint="eastAsia" w:ascii="宋体" w:hAnsi="宋体" w:cs="宋体"/>
          <w:b/>
          <w:color w:val="auto"/>
          <w:sz w:val="24"/>
          <w:szCs w:val="24"/>
          <w:highlight w:val="none"/>
        </w:rPr>
        <w:t>7.4 履约担保</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0A58D6C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7.4.1 在签订合同前，中标人应按《投标人须知前附表》规定的担保形式和招标文件第三章“合同条款及格式”规定的或者事先经过招标人书面认可的履约担保格式向招标人提交履约担保（如有约定）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保函有效期覆盖工程质保期</w:t>
      </w:r>
      <w:r>
        <w:rPr>
          <w:rFonts w:hint="eastAsia" w:ascii="宋体" w:hAnsi="宋体" w:cs="宋体"/>
          <w:color w:val="auto"/>
          <w:sz w:val="24"/>
          <w:szCs w:val="24"/>
          <w:highlight w:val="none"/>
        </w:rPr>
        <w:t>。</w:t>
      </w:r>
    </w:p>
    <w:p w14:paraId="275E1FD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7.4.2 中标人不能按本章第7.4.1项要求提交履约担保的，视为放弃中标，给招标人造成的损失的，中标人还应当予以赔偿。</w:t>
      </w:r>
      <w:bookmarkStart w:id="801" w:name="_Toc1426"/>
      <w:bookmarkStart w:id="802" w:name="_Toc247513994"/>
      <w:bookmarkStart w:id="803" w:name="_Toc152042346"/>
      <w:bookmarkStart w:id="804" w:name="_Toc24472"/>
      <w:bookmarkStart w:id="805" w:name="_Toc10427"/>
      <w:bookmarkStart w:id="806" w:name="_Toc26297"/>
      <w:bookmarkStart w:id="807" w:name="_Toc436834766"/>
      <w:bookmarkStart w:id="808" w:name="_Toc29811"/>
      <w:bookmarkStart w:id="809" w:name="_Toc152045570"/>
      <w:bookmarkStart w:id="810" w:name="_Toc13224"/>
      <w:bookmarkStart w:id="811" w:name="_Toc485211080"/>
      <w:bookmarkStart w:id="812" w:name="_Toc30893"/>
      <w:bookmarkStart w:id="813" w:name="_Toc16750"/>
      <w:bookmarkStart w:id="814" w:name="_Toc300834993"/>
      <w:bookmarkStart w:id="815" w:name="_Toc13654"/>
      <w:bookmarkStart w:id="816" w:name="_Toc144974538"/>
      <w:bookmarkStart w:id="817" w:name="_Toc5465"/>
      <w:bookmarkStart w:id="818" w:name="_Toc399165415"/>
      <w:bookmarkStart w:id="819" w:name="_Toc247527595"/>
      <w:bookmarkStart w:id="820" w:name="_Toc436834173"/>
    </w:p>
    <w:p w14:paraId="1E363213">
      <w:pPr>
        <w:keepNext/>
        <w:keepLines/>
        <w:spacing w:line="360" w:lineRule="auto"/>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7.5 签订合同</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99E5B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7.5.1 招标人和中标人应当自中标通知书发出之日起30天内，根据招标文件和中标人的投标文件及定标文件订立书面合同。中标人无正当理由拒签合同的，招标人取消其中标资格；给招标人造成损失的，中标人还应当对损失部分予以赔偿。</w:t>
      </w:r>
    </w:p>
    <w:p w14:paraId="13ECBA9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7.5.2 发出中标通知书后，招标人无正当理由拒签合同的，给中标人造成损失的，还应当赔偿损失。</w:t>
      </w:r>
    </w:p>
    <w:p w14:paraId="772D9F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7.5.3 非经招标人同意，中标人在投标过程中使用的银行名称及</w:t>
      </w:r>
      <w:r>
        <w:rPr>
          <w:rFonts w:hint="eastAsia" w:ascii="宋体" w:hAnsi="宋体" w:cs="宋体"/>
          <w:color w:val="auto"/>
          <w:sz w:val="24"/>
          <w:szCs w:val="24"/>
          <w:highlight w:val="none"/>
          <w:lang w:eastAsia="zh-CN"/>
        </w:rPr>
        <w:t>账号</w:t>
      </w:r>
      <w:r>
        <w:rPr>
          <w:rFonts w:hint="eastAsia" w:ascii="宋体" w:hAnsi="宋体" w:cs="宋体"/>
          <w:color w:val="auto"/>
          <w:sz w:val="24"/>
          <w:szCs w:val="24"/>
          <w:highlight w:val="none"/>
        </w:rPr>
        <w:t>至完成竣工结算不得变更，否则招标人有权停止工程款项的</w:t>
      </w:r>
      <w:r>
        <w:rPr>
          <w:rFonts w:hint="eastAsia" w:ascii="宋体" w:hAnsi="宋体" w:cs="宋体"/>
          <w:color w:val="auto"/>
          <w:sz w:val="24"/>
          <w:szCs w:val="24"/>
          <w:highlight w:val="none"/>
          <w:lang w:eastAsia="zh-CN"/>
        </w:rPr>
        <w:t>拨</w:t>
      </w:r>
      <w:r>
        <w:rPr>
          <w:rFonts w:hint="eastAsia" w:ascii="宋体" w:hAnsi="宋体" w:cs="宋体"/>
          <w:color w:val="auto"/>
          <w:sz w:val="24"/>
          <w:szCs w:val="24"/>
          <w:highlight w:val="none"/>
        </w:rPr>
        <w:t>付及至解除合同，由此造成的一切责任由中标人承担。</w:t>
      </w:r>
    </w:p>
    <w:p w14:paraId="49788D2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7.5.4 招标人支付工程款时，中标人应</w:t>
      </w:r>
      <w:r>
        <w:rPr>
          <w:rFonts w:hint="eastAsia" w:ascii="宋体" w:hAnsi="宋体" w:cs="宋体"/>
          <w:color w:val="auto"/>
          <w:sz w:val="24"/>
          <w:szCs w:val="24"/>
          <w:highlight w:val="none"/>
          <w:u w:val="single"/>
        </w:rPr>
        <w:t>按规定开具发票</w:t>
      </w:r>
      <w:r>
        <w:rPr>
          <w:rFonts w:hint="eastAsia" w:ascii="宋体" w:hAnsi="宋体" w:cs="宋体"/>
          <w:color w:val="auto"/>
          <w:sz w:val="24"/>
          <w:szCs w:val="24"/>
          <w:highlight w:val="none"/>
        </w:rPr>
        <w:t>。</w:t>
      </w:r>
    </w:p>
    <w:p w14:paraId="00EAA79D">
      <w:pPr>
        <w:keepNext/>
        <w:keepLines/>
        <w:spacing w:line="360" w:lineRule="auto"/>
        <w:outlineLvl w:val="1"/>
        <w:rPr>
          <w:rFonts w:hint="eastAsia" w:ascii="宋体" w:hAnsi="宋体" w:cs="宋体"/>
          <w:b/>
          <w:bCs/>
          <w:color w:val="auto"/>
          <w:sz w:val="28"/>
          <w:szCs w:val="28"/>
          <w:highlight w:val="none"/>
        </w:rPr>
      </w:pPr>
      <w:bookmarkStart w:id="821" w:name="_Toc144974539"/>
      <w:bookmarkStart w:id="822" w:name="_Toc247527596"/>
      <w:bookmarkStart w:id="823" w:name="_Toc152045571"/>
      <w:bookmarkStart w:id="824" w:name="_Toc152042347"/>
      <w:bookmarkStart w:id="825" w:name="_Toc247513995"/>
      <w:bookmarkStart w:id="826" w:name="_Toc29250"/>
      <w:bookmarkStart w:id="827" w:name="_Toc18789"/>
      <w:bookmarkStart w:id="828" w:name="_Toc5708"/>
      <w:bookmarkStart w:id="829" w:name="_Toc485211081"/>
      <w:bookmarkStart w:id="830" w:name="_Toc18486"/>
      <w:bookmarkStart w:id="831" w:name="_Toc28927"/>
      <w:bookmarkStart w:id="832" w:name="_Toc25566"/>
      <w:bookmarkStart w:id="833" w:name="_Toc6337"/>
      <w:bookmarkStart w:id="834" w:name="_Toc7834"/>
      <w:bookmarkStart w:id="835" w:name="_Toc11110"/>
      <w:bookmarkStart w:id="836" w:name="_Toc300834994"/>
      <w:bookmarkStart w:id="837" w:name="_Toc436834174"/>
      <w:bookmarkStart w:id="838" w:name="_Toc399165416"/>
      <w:bookmarkStart w:id="839" w:name="_Toc23073"/>
      <w:bookmarkStart w:id="840" w:name="_Toc436834767"/>
      <w:r>
        <w:rPr>
          <w:rFonts w:hint="eastAsia" w:ascii="宋体" w:hAnsi="宋体" w:cs="宋体"/>
          <w:b/>
          <w:bCs/>
          <w:color w:val="auto"/>
          <w:sz w:val="28"/>
          <w:szCs w:val="28"/>
          <w:highlight w:val="none"/>
        </w:rPr>
        <w:t>8.</w:t>
      </w:r>
      <w:bookmarkEnd w:id="821"/>
      <w:bookmarkEnd w:id="822"/>
      <w:bookmarkEnd w:id="823"/>
      <w:bookmarkEnd w:id="824"/>
      <w:bookmarkEnd w:id="825"/>
      <w:bookmarkStart w:id="841" w:name="_Toc152042350"/>
      <w:bookmarkStart w:id="842" w:name="_Toc247527599"/>
      <w:bookmarkStart w:id="843" w:name="_Toc247513998"/>
      <w:bookmarkStart w:id="844" w:name="_Toc152045574"/>
      <w:bookmarkStart w:id="845" w:name="_Toc144974542"/>
      <w:r>
        <w:rPr>
          <w:rFonts w:hint="eastAsia" w:ascii="宋体" w:hAnsi="宋体" w:cs="宋体"/>
          <w:b/>
          <w:bCs/>
          <w:color w:val="auto"/>
          <w:sz w:val="28"/>
          <w:szCs w:val="28"/>
          <w:highlight w:val="none"/>
        </w:rPr>
        <w:t xml:space="preserve"> 纪律和监督</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52B60C84">
      <w:pPr>
        <w:keepNext/>
        <w:keepLines/>
        <w:spacing w:line="360" w:lineRule="auto"/>
        <w:outlineLvl w:val="2"/>
        <w:rPr>
          <w:rFonts w:hint="eastAsia" w:ascii="宋体" w:hAnsi="宋体" w:cs="宋体"/>
          <w:bCs/>
          <w:color w:val="auto"/>
          <w:sz w:val="24"/>
          <w:szCs w:val="24"/>
          <w:highlight w:val="none"/>
        </w:rPr>
      </w:pPr>
      <w:bookmarkStart w:id="846" w:name="_Toc247527600"/>
      <w:bookmarkStart w:id="847" w:name="_Toc144974543"/>
      <w:bookmarkStart w:id="848" w:name="_Toc152045575"/>
      <w:bookmarkStart w:id="849" w:name="_Toc5172"/>
      <w:bookmarkStart w:id="850" w:name="_Toc8648"/>
      <w:bookmarkStart w:id="851" w:name="_Toc3121"/>
      <w:bookmarkStart w:id="852" w:name="_Toc1452"/>
      <w:bookmarkStart w:id="853" w:name="_Toc436834175"/>
      <w:bookmarkStart w:id="854" w:name="_Toc24913"/>
      <w:bookmarkStart w:id="855" w:name="_Toc485211082"/>
      <w:bookmarkStart w:id="856" w:name="_Toc436834768"/>
      <w:bookmarkStart w:id="857" w:name="_Toc25919"/>
      <w:bookmarkStart w:id="858" w:name="_Toc25574"/>
      <w:bookmarkStart w:id="859" w:name="_Toc300834995"/>
      <w:bookmarkStart w:id="860" w:name="_Toc26815"/>
      <w:bookmarkStart w:id="861" w:name="_Toc247513999"/>
      <w:bookmarkStart w:id="862" w:name="_Toc152042351"/>
      <w:bookmarkStart w:id="863" w:name="_Toc1360"/>
      <w:bookmarkStart w:id="864" w:name="_Toc10936"/>
      <w:bookmarkStart w:id="865" w:name="_Toc399165417"/>
      <w:r>
        <w:rPr>
          <w:rFonts w:hint="eastAsia" w:ascii="宋体" w:hAnsi="宋体" w:cs="宋体"/>
          <w:bCs/>
          <w:color w:val="auto"/>
          <w:sz w:val="24"/>
          <w:szCs w:val="24"/>
          <w:highlight w:val="none"/>
        </w:rPr>
        <w:t>8.1 对招标人的纪律要求</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2608BD0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招标人不得泄漏招标投标活动中应当保密的情况和资料，不得与投标人串通损害国家利益、社会公共利益或者他人合法权益。</w:t>
      </w:r>
    </w:p>
    <w:p w14:paraId="5808A4CB">
      <w:pPr>
        <w:keepNext/>
        <w:keepLines/>
        <w:spacing w:line="360" w:lineRule="auto"/>
        <w:outlineLvl w:val="2"/>
        <w:rPr>
          <w:rFonts w:hint="eastAsia" w:ascii="宋体" w:hAnsi="宋体" w:cs="宋体"/>
          <w:bCs/>
          <w:color w:val="auto"/>
          <w:sz w:val="24"/>
          <w:szCs w:val="24"/>
          <w:highlight w:val="none"/>
        </w:rPr>
      </w:pPr>
      <w:bookmarkStart w:id="866" w:name="_Toc21852"/>
      <w:bookmarkStart w:id="867" w:name="_Toc24737"/>
      <w:bookmarkStart w:id="868" w:name="_Toc300834996"/>
      <w:bookmarkStart w:id="869" w:name="_Toc247527601"/>
      <w:bookmarkStart w:id="870" w:name="_Toc247514000"/>
      <w:bookmarkStart w:id="871" w:name="_Toc10085"/>
      <w:bookmarkStart w:id="872" w:name="_Toc485211083"/>
      <w:bookmarkStart w:id="873" w:name="_Toc28773"/>
      <w:bookmarkStart w:id="874" w:name="_Toc9604"/>
      <w:bookmarkStart w:id="875" w:name="_Toc21966"/>
      <w:bookmarkStart w:id="876" w:name="_Toc11497"/>
      <w:bookmarkStart w:id="877" w:name="_Toc152045576"/>
      <w:bookmarkStart w:id="878" w:name="_Toc152042352"/>
      <w:bookmarkStart w:id="879" w:name="_Toc3971"/>
      <w:bookmarkStart w:id="880" w:name="_Toc436834176"/>
      <w:bookmarkStart w:id="881" w:name="_Toc144974544"/>
      <w:bookmarkStart w:id="882" w:name="_Toc25854"/>
      <w:bookmarkStart w:id="883" w:name="_Toc7734"/>
      <w:bookmarkStart w:id="884" w:name="_Toc399165418"/>
      <w:bookmarkStart w:id="885" w:name="_Toc436834769"/>
      <w:r>
        <w:rPr>
          <w:rFonts w:hint="eastAsia" w:ascii="宋体" w:hAnsi="宋体" w:cs="宋体"/>
          <w:bCs/>
          <w:color w:val="auto"/>
          <w:sz w:val="24"/>
          <w:szCs w:val="24"/>
          <w:highlight w:val="none"/>
        </w:rPr>
        <w:t>8.2 对投标人的纪律要求</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49A247A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57D5F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投标人如在本项目中存在串通投标、弄虚作假骗取中标、行贿情形的，中标无效，行政监督部门将对其违法行为进行政处罚。该投标人将被招标人列入黑名单并限制其参与招标人后续项目的投标。</w:t>
      </w:r>
    </w:p>
    <w:p w14:paraId="4A59503A">
      <w:pPr>
        <w:keepNext/>
        <w:keepLines/>
        <w:spacing w:line="360" w:lineRule="auto"/>
        <w:outlineLvl w:val="2"/>
        <w:rPr>
          <w:rFonts w:hint="eastAsia" w:ascii="宋体" w:hAnsi="宋体" w:cs="宋体"/>
          <w:bCs/>
          <w:color w:val="auto"/>
          <w:sz w:val="24"/>
          <w:szCs w:val="24"/>
          <w:highlight w:val="none"/>
        </w:rPr>
      </w:pPr>
      <w:bookmarkStart w:id="886" w:name="_Toc9452"/>
      <w:bookmarkStart w:id="887" w:name="_Toc436834770"/>
      <w:bookmarkStart w:id="888" w:name="_Toc436834177"/>
      <w:bookmarkStart w:id="889" w:name="_Toc7942"/>
      <w:bookmarkStart w:id="890" w:name="_Toc300834997"/>
      <w:bookmarkStart w:id="891" w:name="_Toc247514001"/>
      <w:bookmarkStart w:id="892" w:name="_Toc247527602"/>
      <w:bookmarkStart w:id="893" w:name="_Toc20671"/>
      <w:bookmarkStart w:id="894" w:name="_Toc144974545"/>
      <w:bookmarkStart w:id="895" w:name="_Toc152045577"/>
      <w:bookmarkStart w:id="896" w:name="_Toc18726"/>
      <w:bookmarkStart w:id="897" w:name="_Toc16502"/>
      <w:bookmarkStart w:id="898" w:name="_Toc1764"/>
      <w:bookmarkStart w:id="899" w:name="_Toc14578"/>
      <w:bookmarkStart w:id="900" w:name="_Toc9436"/>
      <w:bookmarkStart w:id="901" w:name="_Toc152042353"/>
      <w:bookmarkStart w:id="902" w:name="_Toc399165419"/>
      <w:bookmarkStart w:id="903" w:name="_Toc485211084"/>
      <w:bookmarkStart w:id="904" w:name="_Toc12847"/>
      <w:bookmarkStart w:id="905" w:name="_Toc13115"/>
      <w:r>
        <w:rPr>
          <w:rFonts w:hint="eastAsia" w:ascii="宋体" w:hAnsi="宋体" w:cs="宋体"/>
          <w:bCs/>
          <w:color w:val="auto"/>
          <w:sz w:val="24"/>
          <w:szCs w:val="24"/>
          <w:highlight w:val="none"/>
        </w:rPr>
        <w:t>8.3 对评标委员会及定标委员会成员的纪律要求</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72FBB7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w:t>
      </w:r>
      <w:r>
        <w:rPr>
          <w:rFonts w:hint="eastAsia" w:ascii="宋体" w:hAnsi="宋体" w:cs="宋体"/>
          <w:bCs/>
          <w:color w:val="auto"/>
          <w:sz w:val="24"/>
          <w:szCs w:val="24"/>
          <w:highlight w:val="none"/>
          <w:u w:val="single"/>
        </w:rPr>
        <w:t>及定标委员会</w:t>
      </w:r>
      <w:r>
        <w:rPr>
          <w:rFonts w:hint="eastAsia" w:ascii="宋体" w:hAnsi="宋体" w:cs="宋体"/>
          <w:color w:val="auto"/>
          <w:sz w:val="24"/>
          <w:szCs w:val="24"/>
          <w:highlight w:val="none"/>
        </w:rPr>
        <w:t>成员不得收受他人的财物或者其他好处，不得向他人透漏对投标文件</w:t>
      </w:r>
      <w:r>
        <w:rPr>
          <w:rFonts w:hint="eastAsia" w:ascii="宋体" w:hAnsi="宋体" w:cs="宋体"/>
          <w:color w:val="auto"/>
          <w:sz w:val="24"/>
          <w:szCs w:val="24"/>
          <w:highlight w:val="none"/>
          <w:u w:val="single"/>
        </w:rPr>
        <w:t>及定标文件</w:t>
      </w:r>
      <w:r>
        <w:rPr>
          <w:rFonts w:hint="eastAsia" w:ascii="宋体" w:hAnsi="宋体" w:cs="宋体"/>
          <w:color w:val="auto"/>
          <w:sz w:val="24"/>
          <w:szCs w:val="24"/>
          <w:highlight w:val="none"/>
        </w:rPr>
        <w:t>的评审和比较、</w:t>
      </w:r>
      <w:r>
        <w:rPr>
          <w:rFonts w:hint="eastAsia" w:ascii="宋体" w:hAnsi="宋体" w:cs="宋体"/>
          <w:color w:val="auto"/>
          <w:sz w:val="24"/>
          <w:szCs w:val="24"/>
          <w:highlight w:val="none"/>
          <w:u w:val="single"/>
        </w:rPr>
        <w:t>合格的</w:t>
      </w:r>
      <w:r>
        <w:rPr>
          <w:rFonts w:hint="eastAsia" w:ascii="宋体" w:hAnsi="宋体" w:cs="宋体"/>
          <w:color w:val="auto"/>
          <w:sz w:val="24"/>
          <w:szCs w:val="24"/>
          <w:highlight w:val="none"/>
        </w:rPr>
        <w:t>中标候选人的推荐情况以及评标</w:t>
      </w:r>
      <w:r>
        <w:rPr>
          <w:rFonts w:hint="eastAsia" w:ascii="宋体" w:hAnsi="宋体" w:cs="宋体"/>
          <w:color w:val="auto"/>
          <w:sz w:val="24"/>
          <w:szCs w:val="24"/>
          <w:highlight w:val="none"/>
          <w:u w:val="single"/>
        </w:rPr>
        <w:t>及定标</w:t>
      </w:r>
      <w:r>
        <w:rPr>
          <w:rFonts w:hint="eastAsia" w:ascii="宋体" w:hAnsi="宋体" w:cs="宋体"/>
          <w:color w:val="auto"/>
          <w:sz w:val="24"/>
          <w:szCs w:val="24"/>
          <w:highlight w:val="none"/>
        </w:rPr>
        <w:t>有关的其他情况。在评标活动中，评标委员会成员应当客观、公正地履行职责，遵守职业道德，不得擅离职守，影响评标程序正常进行，不得使用第二章“评标和定标办法”没有规定的评审因素和标准进行评标。</w:t>
      </w:r>
    </w:p>
    <w:p w14:paraId="7CC7F824">
      <w:pPr>
        <w:keepNext/>
        <w:keepLines/>
        <w:spacing w:line="360" w:lineRule="auto"/>
        <w:outlineLvl w:val="2"/>
        <w:rPr>
          <w:rFonts w:hint="eastAsia" w:ascii="宋体" w:hAnsi="宋体" w:cs="宋体"/>
          <w:bCs/>
          <w:color w:val="auto"/>
          <w:sz w:val="24"/>
          <w:szCs w:val="24"/>
          <w:highlight w:val="none"/>
        </w:rPr>
      </w:pPr>
      <w:bookmarkStart w:id="906" w:name="_Toc399165420"/>
      <w:bookmarkStart w:id="907" w:name="_Toc247527603"/>
      <w:bookmarkStart w:id="908" w:name="_Toc24670"/>
      <w:bookmarkStart w:id="909" w:name="_Toc436834178"/>
      <w:bookmarkStart w:id="910" w:name="_Toc9582"/>
      <w:bookmarkStart w:id="911" w:name="_Toc247514002"/>
      <w:bookmarkStart w:id="912" w:name="_Toc13233"/>
      <w:bookmarkStart w:id="913" w:name="_Toc23424"/>
      <w:bookmarkStart w:id="914" w:name="_Toc152042354"/>
      <w:bookmarkStart w:id="915" w:name="_Toc6372"/>
      <w:bookmarkStart w:id="916" w:name="_Toc152045578"/>
      <w:bookmarkStart w:id="917" w:name="_Toc15426"/>
      <w:bookmarkStart w:id="918" w:name="_Toc9761"/>
      <w:bookmarkStart w:id="919" w:name="_Toc2073"/>
      <w:bookmarkStart w:id="920" w:name="_Toc436834771"/>
      <w:bookmarkStart w:id="921" w:name="_Toc300834998"/>
      <w:bookmarkStart w:id="922" w:name="_Toc13534"/>
      <w:bookmarkStart w:id="923" w:name="_Toc485211085"/>
      <w:bookmarkStart w:id="924" w:name="_Toc28465"/>
      <w:bookmarkStart w:id="925" w:name="_Toc144974546"/>
      <w:r>
        <w:rPr>
          <w:rFonts w:hint="eastAsia" w:ascii="宋体" w:hAnsi="宋体" w:cs="宋体"/>
          <w:bCs/>
          <w:color w:val="auto"/>
          <w:sz w:val="24"/>
          <w:szCs w:val="24"/>
          <w:highlight w:val="none"/>
        </w:rPr>
        <w:t>8.4 对与评标活动有关的工作人员的纪律要求</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59C4AD72">
      <w:pPr>
        <w:spacing w:line="360" w:lineRule="auto"/>
        <w:ind w:firstLine="480" w:firstLineChars="200"/>
        <w:rPr>
          <w:rFonts w:hint="eastAsia" w:ascii="宋体" w:hAnsi="宋体" w:cs="宋体"/>
          <w:color w:val="auto"/>
          <w:sz w:val="24"/>
          <w:szCs w:val="24"/>
          <w:highlight w:val="none"/>
        </w:rPr>
      </w:pPr>
      <w:bookmarkStart w:id="926" w:name="_Toc152042355"/>
      <w:r>
        <w:rPr>
          <w:rFonts w:hint="eastAsia" w:ascii="宋体" w:hAnsi="宋体" w:cs="宋体"/>
          <w:color w:val="auto"/>
          <w:sz w:val="24"/>
          <w:szCs w:val="24"/>
          <w:highlight w:val="none"/>
        </w:rPr>
        <w:t>与评标活动有关的工作人员不得收受他人的财物或者其他好处，不得向他人透漏对投标文件的评审和比较、</w:t>
      </w:r>
      <w:r>
        <w:rPr>
          <w:rFonts w:hint="eastAsia" w:ascii="宋体" w:hAnsi="宋体" w:cs="宋体"/>
          <w:color w:val="auto"/>
          <w:sz w:val="24"/>
          <w:szCs w:val="24"/>
          <w:highlight w:val="none"/>
          <w:lang w:val="en-US" w:eastAsia="zh-CN"/>
        </w:rPr>
        <w:t>合格的</w:t>
      </w:r>
      <w:r>
        <w:rPr>
          <w:rFonts w:hint="eastAsia" w:ascii="宋体" w:hAnsi="宋体" w:cs="宋体"/>
          <w:color w:val="auto"/>
          <w:sz w:val="24"/>
          <w:szCs w:val="24"/>
          <w:highlight w:val="none"/>
        </w:rPr>
        <w:t>中标候选人的推荐情况以及评标有关的其他情况。在评标活动中，与评标活动有关的工作人员不得擅离职守，影响评标程序正常进行。</w:t>
      </w:r>
      <w:bookmarkEnd w:id="926"/>
    </w:p>
    <w:p w14:paraId="7B9CC4BA">
      <w:pPr>
        <w:keepNext/>
        <w:keepLines/>
        <w:spacing w:line="360" w:lineRule="auto"/>
        <w:outlineLvl w:val="2"/>
        <w:rPr>
          <w:rFonts w:hint="eastAsia" w:ascii="宋体" w:hAnsi="宋体" w:cs="宋体"/>
          <w:bCs/>
          <w:color w:val="auto"/>
          <w:sz w:val="24"/>
          <w:szCs w:val="24"/>
          <w:highlight w:val="none"/>
        </w:rPr>
      </w:pPr>
      <w:bookmarkStart w:id="927" w:name="_Toc436834772"/>
      <w:bookmarkStart w:id="928" w:name="_Toc15882"/>
      <w:bookmarkStart w:id="929" w:name="_Toc22999"/>
      <w:bookmarkStart w:id="930" w:name="_Toc152042356"/>
      <w:bookmarkStart w:id="931" w:name="_Toc247527604"/>
      <w:bookmarkStart w:id="932" w:name="_Toc485211086"/>
      <w:bookmarkStart w:id="933" w:name="_Toc5305"/>
      <w:bookmarkStart w:id="934" w:name="_Toc28353"/>
      <w:bookmarkStart w:id="935" w:name="_Toc5216"/>
      <w:bookmarkStart w:id="936" w:name="_Toc10059"/>
      <w:bookmarkStart w:id="937" w:name="_Toc247514003"/>
      <w:bookmarkStart w:id="938" w:name="_Toc436834179"/>
      <w:bookmarkStart w:id="939" w:name="_Toc152045579"/>
      <w:bookmarkStart w:id="940" w:name="_Toc2374"/>
      <w:bookmarkStart w:id="941" w:name="_Toc300834999"/>
      <w:bookmarkStart w:id="942" w:name="_Toc738"/>
      <w:bookmarkStart w:id="943" w:name="_Toc399165421"/>
      <w:bookmarkStart w:id="944" w:name="_Toc8527"/>
      <w:bookmarkStart w:id="945" w:name="_Toc27663"/>
      <w:r>
        <w:rPr>
          <w:rFonts w:hint="eastAsia" w:ascii="宋体" w:hAnsi="宋体" w:cs="宋体"/>
          <w:bCs/>
          <w:color w:val="auto"/>
          <w:sz w:val="24"/>
          <w:szCs w:val="24"/>
          <w:highlight w:val="none"/>
        </w:rPr>
        <w:t>8.5 投诉</w:t>
      </w:r>
      <w:bookmarkEnd w:id="925"/>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1BD065C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投标人和其他利害关系人认为本次招标活动违反法律、法规和规章规定的，有权向有关行政监督部门投诉。</w:t>
      </w:r>
    </w:p>
    <w:p w14:paraId="4E662F8E">
      <w:pPr>
        <w:keepNext/>
        <w:keepLines/>
        <w:spacing w:line="360" w:lineRule="auto"/>
        <w:outlineLvl w:val="1"/>
        <w:rPr>
          <w:rFonts w:hint="eastAsia" w:ascii="宋体" w:hAnsi="宋体" w:cs="宋体"/>
          <w:b/>
          <w:bCs/>
          <w:color w:val="auto"/>
          <w:sz w:val="28"/>
          <w:szCs w:val="28"/>
          <w:highlight w:val="none"/>
        </w:rPr>
      </w:pPr>
      <w:bookmarkStart w:id="946" w:name="_Toc485211087"/>
      <w:bookmarkStart w:id="947" w:name="_Toc11995"/>
      <w:bookmarkStart w:id="948" w:name="_Toc28528"/>
      <w:bookmarkStart w:id="949" w:name="_Toc22539"/>
      <w:bookmarkStart w:id="950" w:name="_Toc6670"/>
      <w:bookmarkStart w:id="951" w:name="_Toc144974547"/>
      <w:bookmarkStart w:id="952" w:name="_Toc9615"/>
      <w:bookmarkStart w:id="953" w:name="_Toc247514004"/>
      <w:bookmarkStart w:id="954" w:name="_Toc436834180"/>
      <w:bookmarkStart w:id="955" w:name="_Toc13569"/>
      <w:bookmarkStart w:id="956" w:name="_Toc247527605"/>
      <w:bookmarkStart w:id="957" w:name="_Toc436834773"/>
      <w:bookmarkStart w:id="958" w:name="_Toc5380"/>
      <w:bookmarkStart w:id="959" w:name="_Toc152045580"/>
      <w:bookmarkStart w:id="960" w:name="_Toc18590"/>
      <w:bookmarkStart w:id="961" w:name="_Toc152042357"/>
      <w:bookmarkStart w:id="962" w:name="_Toc399165422"/>
      <w:bookmarkStart w:id="963" w:name="_Toc1548"/>
      <w:bookmarkStart w:id="964" w:name="_Toc300835000"/>
      <w:bookmarkStart w:id="965" w:name="_Toc22770"/>
      <w:r>
        <w:rPr>
          <w:rFonts w:hint="eastAsia" w:ascii="宋体" w:hAnsi="宋体" w:cs="宋体"/>
          <w:b/>
          <w:bCs/>
          <w:color w:val="auto"/>
          <w:sz w:val="28"/>
          <w:szCs w:val="28"/>
          <w:highlight w:val="none"/>
        </w:rPr>
        <w:t>9. 需要补充的其他内容</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2192DA0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需要补充的其他内容：见《投标人须知前附表》。</w:t>
      </w:r>
    </w:p>
    <w:p w14:paraId="11E3904F">
      <w:pPr>
        <w:keepNext/>
        <w:keepLines/>
        <w:spacing w:line="360" w:lineRule="auto"/>
        <w:outlineLvl w:val="1"/>
        <w:rPr>
          <w:rFonts w:hint="eastAsia" w:ascii="宋体" w:hAnsi="宋体" w:cs="宋体"/>
          <w:b/>
          <w:bCs/>
          <w:color w:val="auto"/>
          <w:sz w:val="28"/>
          <w:szCs w:val="28"/>
          <w:highlight w:val="none"/>
        </w:rPr>
      </w:pPr>
      <w:bookmarkStart w:id="966" w:name="_Toc399165423"/>
      <w:bookmarkStart w:id="967" w:name="_Toc144"/>
      <w:bookmarkStart w:id="968" w:name="_Toc10015"/>
      <w:bookmarkStart w:id="969" w:name="_Toc5960"/>
      <w:bookmarkStart w:id="970" w:name="_Toc300835001"/>
      <w:bookmarkStart w:id="971" w:name="_Toc29749"/>
      <w:bookmarkStart w:id="972" w:name="_Toc15755"/>
      <w:bookmarkStart w:id="973" w:name="_Toc29306"/>
      <w:bookmarkStart w:id="974" w:name="_Toc18743"/>
      <w:bookmarkStart w:id="975" w:name="_Toc4044"/>
      <w:bookmarkStart w:id="976" w:name="_Toc19525"/>
      <w:bookmarkStart w:id="977" w:name="_Toc436834774"/>
      <w:bookmarkStart w:id="978" w:name="_Toc21545"/>
      <w:bookmarkStart w:id="979" w:name="_Toc436834181"/>
      <w:bookmarkStart w:id="980" w:name="_Toc485211088"/>
      <w:r>
        <w:rPr>
          <w:rFonts w:hint="eastAsia" w:ascii="宋体" w:hAnsi="宋体" w:cs="宋体"/>
          <w:b/>
          <w:bCs/>
          <w:color w:val="auto"/>
          <w:sz w:val="28"/>
          <w:szCs w:val="28"/>
          <w:highlight w:val="none"/>
        </w:rPr>
        <w:t>10. 电子招标投标</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527954E4">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 w:val="24"/>
          <w:szCs w:val="24"/>
          <w:highlight w:val="none"/>
        </w:rPr>
        <w:t>如采用电子招标投标，对投标文件的编制、密封和标记、递交、开标、评标等具体要求，见《投标人须知前附表》。</w:t>
      </w:r>
    </w:p>
    <w:p w14:paraId="2BEBB204">
      <w:pPr>
        <w:spacing w:line="360" w:lineRule="auto"/>
        <w:ind w:firstLine="420" w:firstLineChars="200"/>
        <w:rPr>
          <w:rFonts w:hint="eastAsia" w:ascii="宋体" w:hAnsi="宋体" w:cs="宋体"/>
          <w:color w:val="auto"/>
          <w:szCs w:val="24"/>
          <w:highlight w:val="none"/>
        </w:rPr>
        <w:sectPr>
          <w:footerReference r:id="rId7" w:type="default"/>
          <w:pgSz w:w="11905" w:h="16838"/>
          <w:pgMar w:top="1440" w:right="1080" w:bottom="1440" w:left="1080" w:header="850" w:footer="850" w:gutter="0"/>
          <w:pgNumType w:start="1"/>
          <w:cols w:space="720" w:num="1"/>
          <w:docGrid w:linePitch="312" w:charSpace="0"/>
        </w:sectPr>
      </w:pPr>
    </w:p>
    <w:p w14:paraId="0587E2FB">
      <w:pPr>
        <w:keepNext/>
        <w:keepLines/>
        <w:spacing w:line="360" w:lineRule="auto"/>
        <w:outlineLvl w:val="1"/>
        <w:rPr>
          <w:rFonts w:hint="eastAsia" w:ascii="宋体" w:hAnsi="宋体" w:cs="宋体"/>
          <w:b/>
          <w:bCs/>
          <w:color w:val="auto"/>
          <w:sz w:val="28"/>
          <w:szCs w:val="28"/>
          <w:highlight w:val="none"/>
        </w:rPr>
      </w:pPr>
      <w:bookmarkStart w:id="981" w:name="_Toc14581"/>
      <w:bookmarkStart w:id="982" w:name="_Toc247527606"/>
      <w:bookmarkStart w:id="983" w:name="_Toc152042358"/>
      <w:bookmarkStart w:id="984" w:name="_Toc16275"/>
      <w:bookmarkStart w:id="985" w:name="_Toc3212"/>
      <w:bookmarkStart w:id="986" w:name="_Toc17173"/>
      <w:bookmarkStart w:id="987" w:name="_Toc1292"/>
      <w:bookmarkStart w:id="988" w:name="_Toc28995"/>
      <w:bookmarkStart w:id="989" w:name="_Toc12839"/>
      <w:bookmarkStart w:id="990" w:name="_Toc32530"/>
      <w:bookmarkStart w:id="991" w:name="_Toc3477"/>
      <w:bookmarkStart w:id="992" w:name="_Toc13480"/>
      <w:bookmarkStart w:id="993" w:name="_Toc485211089"/>
      <w:bookmarkStart w:id="994" w:name="_Toc152045581"/>
      <w:bookmarkStart w:id="995" w:name="_Toc144974548"/>
      <w:bookmarkStart w:id="996" w:name="_Toc247514005"/>
      <w:r>
        <w:rPr>
          <w:rFonts w:hint="eastAsia" w:ascii="宋体" w:hAnsi="宋体" w:cs="宋体"/>
          <w:b/>
          <w:bCs/>
          <w:color w:val="auto"/>
          <w:sz w:val="28"/>
          <w:szCs w:val="28"/>
          <w:highlight w:val="none"/>
        </w:rPr>
        <w:t>附件一：开标记录表</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3955FC07">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szCs w:val="24"/>
          <w:highlight w:val="none"/>
        </w:rPr>
        <w:t>开标记录表采用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系统生成格式。</w:t>
      </w:r>
    </w:p>
    <w:p w14:paraId="24D1311D">
      <w:pPr>
        <w:spacing w:line="360" w:lineRule="auto"/>
        <w:rPr>
          <w:rFonts w:hint="eastAsia" w:ascii="宋体" w:hAnsi="宋体" w:cs="宋体"/>
          <w:b/>
          <w:bCs/>
          <w:color w:val="auto"/>
          <w:sz w:val="28"/>
          <w:szCs w:val="28"/>
          <w:highlight w:val="none"/>
        </w:rPr>
      </w:pPr>
      <w:r>
        <w:rPr>
          <w:rFonts w:hint="eastAsia" w:ascii="宋体" w:hAnsi="宋体" w:cs="宋体"/>
          <w:color w:val="auto"/>
          <w:szCs w:val="21"/>
          <w:highlight w:val="none"/>
        </w:rPr>
        <w:br w:type="page"/>
      </w:r>
      <w:bookmarkStart w:id="997" w:name="_Toc7096"/>
      <w:bookmarkStart w:id="998" w:name="_Toc144974549"/>
      <w:bookmarkStart w:id="999" w:name="_Toc22267"/>
      <w:bookmarkStart w:id="1000" w:name="_Toc22250"/>
      <w:bookmarkStart w:id="1001" w:name="_Toc152045582"/>
      <w:bookmarkStart w:id="1002" w:name="_Toc152042359"/>
      <w:bookmarkStart w:id="1003" w:name="_Toc22367"/>
      <w:bookmarkStart w:id="1004" w:name="_Toc12992"/>
      <w:bookmarkStart w:id="1005" w:name="_Toc26951"/>
      <w:bookmarkStart w:id="1006" w:name="_Toc485211090"/>
      <w:bookmarkStart w:id="1007" w:name="_Toc20609"/>
      <w:bookmarkStart w:id="1008" w:name="_Toc23946"/>
      <w:bookmarkStart w:id="1009" w:name="_Toc247527607"/>
      <w:bookmarkStart w:id="1010" w:name="_Toc8530"/>
      <w:bookmarkStart w:id="1011" w:name="_Toc247514006"/>
      <w:r>
        <w:rPr>
          <w:rFonts w:hint="eastAsia" w:ascii="宋体" w:hAnsi="宋体" w:cs="宋体"/>
          <w:b/>
          <w:bCs/>
          <w:color w:val="auto"/>
          <w:sz w:val="28"/>
          <w:szCs w:val="28"/>
          <w:highlight w:val="none"/>
        </w:rPr>
        <w:t>附件二：问题澄清通知</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3F56A200">
      <w:pPr>
        <w:spacing w:line="360" w:lineRule="auto"/>
        <w:jc w:val="center"/>
        <w:rPr>
          <w:rFonts w:hint="eastAsia" w:ascii="宋体" w:hAnsi="宋体" w:cs="宋体"/>
          <w:color w:val="auto"/>
          <w:szCs w:val="21"/>
          <w:highlight w:val="none"/>
        </w:rPr>
      </w:pPr>
    </w:p>
    <w:p w14:paraId="2541F0F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问题澄清通知</w:t>
      </w:r>
    </w:p>
    <w:p w14:paraId="44A6B24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编号：</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514251C2">
      <w:pPr>
        <w:spacing w:line="360" w:lineRule="auto"/>
        <w:rPr>
          <w:rFonts w:hint="eastAsia" w:ascii="宋体" w:hAnsi="宋体" w:cs="宋体"/>
          <w:color w:val="auto"/>
          <w:sz w:val="24"/>
          <w:szCs w:val="24"/>
          <w:highlight w:val="none"/>
        </w:rPr>
      </w:pPr>
    </w:p>
    <w:p w14:paraId="6B9A264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w:t>
      </w:r>
    </w:p>
    <w:p w14:paraId="5A91D23D">
      <w:pPr>
        <w:spacing w:line="360" w:lineRule="auto"/>
        <w:rPr>
          <w:rFonts w:hint="eastAsia" w:ascii="宋体" w:hAnsi="宋体" w:cs="宋体"/>
          <w:color w:val="auto"/>
          <w:sz w:val="24"/>
          <w:szCs w:val="24"/>
          <w:highlight w:val="none"/>
        </w:rPr>
      </w:pPr>
    </w:p>
    <w:p w14:paraId="373960E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招标的评标委员会，对你方的投标文件进行了仔细的审查，现需你方对下列问题以书面形式予以澄清：</w:t>
      </w:r>
    </w:p>
    <w:p w14:paraId="5899DA7E">
      <w:pPr>
        <w:spacing w:line="360" w:lineRule="auto"/>
        <w:rPr>
          <w:rFonts w:hint="eastAsia" w:ascii="宋体" w:hAnsi="宋体" w:cs="宋体"/>
          <w:color w:val="auto"/>
          <w:sz w:val="24"/>
          <w:szCs w:val="24"/>
          <w:highlight w:val="none"/>
        </w:rPr>
      </w:pPr>
    </w:p>
    <w:p w14:paraId="5D5F5C9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w:t>
      </w:r>
    </w:p>
    <w:p w14:paraId="6BECB62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w:t>
      </w:r>
    </w:p>
    <w:p w14:paraId="7E66ED9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B592253">
      <w:pPr>
        <w:spacing w:line="360" w:lineRule="auto"/>
        <w:rPr>
          <w:rFonts w:hint="eastAsia" w:ascii="宋体" w:hAnsi="宋体" w:cs="宋体"/>
          <w:color w:val="auto"/>
          <w:sz w:val="24"/>
          <w:szCs w:val="24"/>
          <w:highlight w:val="none"/>
        </w:rPr>
      </w:pPr>
    </w:p>
    <w:p w14:paraId="50EF82D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请将上述问题的澄清于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时前递交至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（详细地址）或传真至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（传真号码）。采用传真方式的，应在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时前将原件递交至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（详细地址）。</w:t>
      </w:r>
    </w:p>
    <w:p w14:paraId="47E156EB">
      <w:pPr>
        <w:spacing w:line="360" w:lineRule="auto"/>
        <w:rPr>
          <w:rFonts w:hint="eastAsia" w:ascii="宋体" w:hAnsi="宋体" w:cs="宋体"/>
          <w:color w:val="auto"/>
          <w:sz w:val="24"/>
          <w:szCs w:val="24"/>
          <w:highlight w:val="none"/>
        </w:rPr>
      </w:pPr>
    </w:p>
    <w:p w14:paraId="483F8260">
      <w:pPr>
        <w:spacing w:line="360" w:lineRule="auto"/>
        <w:rPr>
          <w:rFonts w:hint="eastAsia" w:ascii="宋体" w:hAnsi="宋体" w:cs="宋体"/>
          <w:color w:val="auto"/>
          <w:sz w:val="24"/>
          <w:szCs w:val="24"/>
          <w:highlight w:val="none"/>
        </w:rPr>
      </w:pPr>
    </w:p>
    <w:p w14:paraId="53E1FA1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评标委员会授权的招标人或招标代理机构：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5093F21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3591C7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E6EB6BD">
      <w:pPr>
        <w:spacing w:line="360" w:lineRule="auto"/>
        <w:rPr>
          <w:rFonts w:hint="eastAsia" w:ascii="宋体" w:hAnsi="宋体" w:cs="宋体"/>
          <w:bCs/>
          <w:color w:val="auto"/>
          <w:sz w:val="28"/>
          <w:szCs w:val="28"/>
          <w:highlight w:val="none"/>
        </w:rPr>
      </w:pPr>
      <w:r>
        <w:rPr>
          <w:rFonts w:hint="eastAsia" w:ascii="宋体" w:hAnsi="宋体" w:cs="宋体"/>
          <w:color w:val="auto"/>
          <w:szCs w:val="24"/>
          <w:highlight w:val="none"/>
        </w:rPr>
        <w:br w:type="page"/>
      </w:r>
      <w:bookmarkStart w:id="1012" w:name="_Toc18238"/>
      <w:bookmarkStart w:id="1013" w:name="_Toc29892"/>
      <w:bookmarkStart w:id="1014" w:name="_Toc152042360"/>
      <w:bookmarkStart w:id="1015" w:name="_Toc20542"/>
      <w:bookmarkStart w:id="1016" w:name="_Toc5410"/>
      <w:bookmarkStart w:id="1017" w:name="_Toc18642"/>
      <w:bookmarkStart w:id="1018" w:name="_Toc4085"/>
      <w:bookmarkStart w:id="1019" w:name="_Toc2612"/>
      <w:bookmarkStart w:id="1020" w:name="_Toc144974550"/>
      <w:bookmarkStart w:id="1021" w:name="_Toc152045583"/>
      <w:bookmarkStart w:id="1022" w:name="_Toc247527608"/>
      <w:bookmarkStart w:id="1023" w:name="_Toc247514007"/>
      <w:bookmarkStart w:id="1024" w:name="_Toc485211091"/>
      <w:bookmarkStart w:id="1025" w:name="_Toc26015"/>
      <w:bookmarkStart w:id="1026" w:name="_Toc21221"/>
      <w:r>
        <w:rPr>
          <w:rFonts w:hint="eastAsia" w:ascii="宋体" w:hAnsi="宋体" w:cs="宋体"/>
          <w:b/>
          <w:bCs/>
          <w:color w:val="auto"/>
          <w:sz w:val="28"/>
          <w:szCs w:val="28"/>
          <w:highlight w:val="none"/>
        </w:rPr>
        <w:t>附件三：问题的澄清</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0D184A70">
      <w:pPr>
        <w:spacing w:line="360" w:lineRule="auto"/>
        <w:jc w:val="center"/>
        <w:rPr>
          <w:rFonts w:hint="eastAsia" w:ascii="宋体" w:hAnsi="宋体" w:cs="宋体"/>
          <w:color w:val="auto"/>
          <w:sz w:val="28"/>
          <w:szCs w:val="28"/>
          <w:highlight w:val="none"/>
        </w:rPr>
      </w:pPr>
    </w:p>
    <w:p w14:paraId="18EF2DFE">
      <w:pPr>
        <w:spacing w:line="360" w:lineRule="auto"/>
        <w:jc w:val="center"/>
        <w:rPr>
          <w:rFonts w:hint="eastAsia" w:ascii="宋体" w:hAnsi="宋体" w:cs="宋体"/>
          <w:color w:val="auto"/>
          <w:sz w:val="28"/>
          <w:szCs w:val="28"/>
          <w:highlight w:val="none"/>
        </w:rPr>
      </w:pPr>
    </w:p>
    <w:p w14:paraId="255DBC1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问题的澄清</w:t>
      </w:r>
    </w:p>
    <w:p w14:paraId="01B4B20B">
      <w:pPr>
        <w:spacing w:line="360" w:lineRule="auto"/>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编号：</w:t>
      </w:r>
      <w:r>
        <w:rPr>
          <w:rFonts w:hint="eastAsia" w:ascii="宋体" w:hAnsi="宋体" w:cs="宋体"/>
          <w:color w:val="auto"/>
          <w:sz w:val="24"/>
          <w:szCs w:val="24"/>
          <w:highlight w:val="none"/>
          <w:u w:val="single"/>
        </w:rPr>
        <w:t xml:space="preserve">                </w:t>
      </w:r>
    </w:p>
    <w:p w14:paraId="1B8C7C65">
      <w:pPr>
        <w:spacing w:line="360" w:lineRule="auto"/>
        <w:rPr>
          <w:rFonts w:hint="eastAsia" w:ascii="宋体" w:hAnsi="宋体" w:cs="宋体"/>
          <w:color w:val="auto"/>
          <w:sz w:val="24"/>
          <w:szCs w:val="24"/>
          <w:highlight w:val="none"/>
          <w:u w:val="single"/>
        </w:rPr>
      </w:pPr>
    </w:p>
    <w:p w14:paraId="2A2E9E7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（项目名称）招标评标委员会：</w:t>
      </w:r>
    </w:p>
    <w:p w14:paraId="0C970D90">
      <w:pPr>
        <w:spacing w:line="360" w:lineRule="auto"/>
        <w:rPr>
          <w:rFonts w:hint="eastAsia" w:ascii="宋体" w:hAnsi="宋体" w:cs="宋体"/>
          <w:color w:val="auto"/>
          <w:sz w:val="24"/>
          <w:szCs w:val="24"/>
          <w:highlight w:val="none"/>
        </w:rPr>
      </w:pPr>
    </w:p>
    <w:p w14:paraId="7862483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问题澄清通知（编号：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）已收悉，现澄清如下：</w:t>
      </w:r>
    </w:p>
    <w:p w14:paraId="0B5C09B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w:t>
      </w:r>
    </w:p>
    <w:p w14:paraId="71092BD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2.</w:t>
      </w:r>
    </w:p>
    <w:p w14:paraId="6DE0B45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20450F7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2C96072">
      <w:pPr>
        <w:spacing w:line="360" w:lineRule="auto"/>
        <w:rPr>
          <w:rFonts w:hint="eastAsia" w:ascii="宋体" w:hAnsi="宋体" w:cs="宋体"/>
          <w:color w:val="auto"/>
          <w:sz w:val="24"/>
          <w:szCs w:val="24"/>
          <w:highlight w:val="none"/>
        </w:rPr>
      </w:pPr>
    </w:p>
    <w:p w14:paraId="7BFDAB82">
      <w:pPr>
        <w:spacing w:line="360" w:lineRule="auto"/>
        <w:rPr>
          <w:rFonts w:hint="eastAsia" w:ascii="宋体" w:hAnsi="宋体" w:cs="宋体"/>
          <w:color w:val="auto"/>
          <w:sz w:val="24"/>
          <w:szCs w:val="24"/>
          <w:highlight w:val="none"/>
        </w:rPr>
      </w:pPr>
    </w:p>
    <w:p w14:paraId="26211D6A">
      <w:pPr>
        <w:spacing w:line="360" w:lineRule="auto"/>
        <w:rPr>
          <w:rFonts w:hint="eastAsia" w:ascii="宋体" w:hAnsi="宋体" w:cs="宋体"/>
          <w:color w:val="auto"/>
          <w:sz w:val="24"/>
          <w:szCs w:val="24"/>
          <w:highlight w:val="none"/>
        </w:rPr>
      </w:pPr>
    </w:p>
    <w:p w14:paraId="1BB9058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2682DBC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390A7B1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14:paraId="1EAB922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582B347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3734F3B">
      <w:pPr>
        <w:spacing w:line="360" w:lineRule="auto"/>
        <w:rPr>
          <w:rFonts w:hint="eastAsia" w:ascii="宋体" w:hAnsi="宋体" w:cs="宋体"/>
          <w:bCs/>
          <w:color w:val="auto"/>
          <w:sz w:val="28"/>
          <w:szCs w:val="28"/>
          <w:highlight w:val="none"/>
        </w:rPr>
      </w:pPr>
      <w:r>
        <w:rPr>
          <w:rFonts w:hint="eastAsia" w:ascii="宋体" w:hAnsi="宋体" w:cs="宋体"/>
          <w:color w:val="auto"/>
          <w:szCs w:val="24"/>
          <w:highlight w:val="none"/>
        </w:rPr>
        <w:br w:type="page"/>
      </w:r>
      <w:bookmarkStart w:id="1027" w:name="_Toc172"/>
      <w:bookmarkStart w:id="1028" w:name="_Toc152042361"/>
      <w:bookmarkStart w:id="1029" w:name="_Toc485211092"/>
      <w:bookmarkStart w:id="1030" w:name="_Toc144974551"/>
      <w:bookmarkStart w:id="1031" w:name="_Toc247527609"/>
      <w:bookmarkStart w:id="1032" w:name="_Toc947"/>
      <w:bookmarkStart w:id="1033" w:name="_Toc247514008"/>
      <w:bookmarkStart w:id="1034" w:name="_Toc23717"/>
      <w:bookmarkStart w:id="1035" w:name="_Toc2111"/>
      <w:bookmarkStart w:id="1036" w:name="_Toc30679"/>
      <w:bookmarkStart w:id="1037" w:name="_Toc152045584"/>
      <w:bookmarkStart w:id="1038" w:name="_Toc22580"/>
      <w:bookmarkStart w:id="1039" w:name="_Toc26426"/>
      <w:bookmarkStart w:id="1040" w:name="_Toc15621"/>
      <w:bookmarkStart w:id="1041" w:name="_Toc14178"/>
      <w:r>
        <w:rPr>
          <w:rFonts w:hint="eastAsia" w:ascii="宋体" w:hAnsi="宋体" w:cs="宋体"/>
          <w:b/>
          <w:bCs/>
          <w:color w:val="auto"/>
          <w:sz w:val="28"/>
          <w:szCs w:val="28"/>
          <w:highlight w:val="none"/>
        </w:rPr>
        <w:t>附件四：中标通知书</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04451519">
      <w:pPr>
        <w:spacing w:line="360" w:lineRule="auto"/>
        <w:rPr>
          <w:rFonts w:hint="eastAsia" w:ascii="宋体" w:hAnsi="宋体" w:cs="宋体"/>
          <w:color w:val="auto"/>
          <w:szCs w:val="24"/>
          <w:highlight w:val="none"/>
        </w:rPr>
      </w:pPr>
    </w:p>
    <w:p w14:paraId="2F361F53">
      <w:pPr>
        <w:spacing w:line="360" w:lineRule="auto"/>
        <w:jc w:val="center"/>
        <w:rPr>
          <w:rFonts w:hint="eastAsia" w:ascii="宋体" w:hAnsi="宋体" w:cs="宋体"/>
          <w:color w:val="auto"/>
          <w:szCs w:val="21"/>
          <w:highlight w:val="none"/>
        </w:rPr>
      </w:pPr>
      <w:r>
        <w:rPr>
          <w:rFonts w:hint="eastAsia" w:ascii="宋体" w:hAnsi="宋体" w:cs="宋体"/>
          <w:color w:val="auto"/>
          <w:sz w:val="24"/>
          <w:szCs w:val="24"/>
          <w:highlight w:val="none"/>
        </w:rPr>
        <w:t>中标通知书采用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格式</w:t>
      </w:r>
    </w:p>
    <w:p w14:paraId="28B1AC64">
      <w:pPr>
        <w:rPr>
          <w:rFonts w:hint="eastAsia" w:ascii="宋体" w:hAnsi="宋体" w:cs="宋体"/>
          <w:color w:val="auto"/>
          <w:szCs w:val="24"/>
          <w:highlight w:val="none"/>
        </w:rPr>
      </w:pPr>
      <w:r>
        <w:rPr>
          <w:rFonts w:hint="eastAsia" w:ascii="宋体" w:hAnsi="宋体" w:cs="宋体"/>
          <w:color w:val="auto"/>
          <w:szCs w:val="24"/>
          <w:highlight w:val="none"/>
        </w:rPr>
        <w:br w:type="page"/>
      </w:r>
    </w:p>
    <w:p w14:paraId="51682E9A">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附件五</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评标委员会成员声明</w:t>
      </w:r>
    </w:p>
    <w:p w14:paraId="2AA2A6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4CEC06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28C702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71810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6B057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w:t>
      </w:r>
      <w:r>
        <w:rPr>
          <w:rFonts w:hint="eastAsia" w:ascii="宋体" w:hAnsi="宋体" w:cs="宋体"/>
          <w:color w:val="auto"/>
          <w:sz w:val="24"/>
          <w:szCs w:val="24"/>
          <w:highlight w:val="none"/>
          <w:lang w:val="en-US" w:eastAsia="zh-CN"/>
        </w:rPr>
        <w:t>合格的</w:t>
      </w:r>
      <w:r>
        <w:rPr>
          <w:rFonts w:hint="eastAsia" w:ascii="宋体" w:hAnsi="宋体" w:eastAsia="宋体" w:cs="宋体"/>
          <w:color w:val="auto"/>
          <w:sz w:val="24"/>
          <w:szCs w:val="24"/>
          <w:highlight w:val="none"/>
        </w:rPr>
        <w:t>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ED2A5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2F6E2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DD4FC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3405A39C">
      <w:pPr>
        <w:spacing w:line="360" w:lineRule="auto"/>
        <w:ind w:firstLine="480" w:firstLineChars="200"/>
        <w:rPr>
          <w:rFonts w:hint="eastAsia" w:ascii="宋体" w:hAnsi="宋体" w:eastAsia="宋体" w:cs="宋体"/>
          <w:color w:val="auto"/>
          <w:sz w:val="24"/>
          <w:szCs w:val="24"/>
          <w:highlight w:val="none"/>
        </w:rPr>
      </w:pPr>
    </w:p>
    <w:p w14:paraId="267FD626">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r>
        <w:rPr>
          <w:rFonts w:hint="eastAsia"/>
          <w:color w:val="auto"/>
          <w:highlight w:val="none"/>
        </w:rPr>
        <w:br w:type="page"/>
      </w:r>
    </w:p>
    <w:p w14:paraId="5FC47A5A">
      <w:pPr>
        <w:pStyle w:val="10"/>
        <w:rPr>
          <w:rFonts w:hint="eastAsia"/>
          <w:color w:val="auto"/>
          <w:highlight w:val="none"/>
        </w:rPr>
        <w:sectPr>
          <w:pgSz w:w="11905" w:h="16838"/>
          <w:pgMar w:top="1440" w:right="1080" w:bottom="1440" w:left="1080" w:header="567" w:footer="850" w:gutter="0"/>
          <w:cols w:space="720" w:num="1"/>
          <w:docGrid w:linePitch="312" w:charSpace="0"/>
        </w:sectPr>
      </w:pPr>
    </w:p>
    <w:p w14:paraId="5899EDE9">
      <w:pPr>
        <w:pStyle w:val="2"/>
        <w:spacing w:before="0" w:after="0" w:line="360" w:lineRule="auto"/>
        <w:rPr>
          <w:rFonts w:hint="eastAsia" w:ascii="宋体" w:hAnsi="宋体" w:cs="宋体"/>
          <w:b/>
          <w:bCs w:val="0"/>
          <w:color w:val="auto"/>
          <w:sz w:val="32"/>
          <w:szCs w:val="32"/>
          <w:highlight w:val="none"/>
        </w:rPr>
      </w:pPr>
      <w:bookmarkStart w:id="1042" w:name="_Toc16297"/>
      <w:bookmarkStart w:id="1043" w:name="_Toc5053"/>
      <w:bookmarkStart w:id="1044" w:name="_Toc32048"/>
      <w:bookmarkStart w:id="1045" w:name="_Toc152045598"/>
      <w:bookmarkStart w:id="1046" w:name="_Toc13679"/>
      <w:bookmarkStart w:id="1047" w:name="_Toc485211093"/>
      <w:bookmarkStart w:id="1048" w:name="_Toc144974565"/>
      <w:bookmarkStart w:id="1049" w:name="_Toc247527623"/>
      <w:bookmarkStart w:id="1050" w:name="_Toc24996"/>
      <w:bookmarkStart w:id="1051" w:name="_Toc5899"/>
      <w:bookmarkStart w:id="1052" w:name="_Toc247514022"/>
      <w:bookmarkStart w:id="1053" w:name="_Toc14000"/>
      <w:bookmarkStart w:id="1054" w:name="_Toc152042375"/>
      <w:bookmarkStart w:id="1055" w:name="_Toc354847399"/>
      <w:r>
        <w:rPr>
          <w:rFonts w:hint="eastAsia" w:ascii="宋体" w:hAnsi="宋体" w:cs="宋体"/>
          <w:b/>
          <w:bCs w:val="0"/>
          <w:color w:val="auto"/>
          <w:sz w:val="32"/>
          <w:szCs w:val="32"/>
          <w:highlight w:val="none"/>
        </w:rPr>
        <w:t>第二章 评标和定标办法</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Start w:id="1056" w:name="_Toc247527624"/>
      <w:bookmarkStart w:id="1057" w:name="_Toc152042376"/>
      <w:bookmarkStart w:id="1058" w:name="_Toc144974566"/>
      <w:bookmarkStart w:id="1059" w:name="_Toc152045599"/>
      <w:bookmarkStart w:id="1060" w:name="_Toc247514023"/>
      <w:r>
        <w:rPr>
          <w:rFonts w:hint="eastAsia" w:ascii="宋体" w:hAnsi="宋体" w:cs="宋体"/>
          <w:b/>
          <w:bCs w:val="0"/>
          <w:color w:val="auto"/>
          <w:sz w:val="32"/>
          <w:szCs w:val="32"/>
          <w:highlight w:val="none"/>
        </w:rPr>
        <w:t>（通过制评审法）</w:t>
      </w:r>
    </w:p>
    <w:bookmarkEnd w:id="1056"/>
    <w:bookmarkEnd w:id="1057"/>
    <w:bookmarkEnd w:id="1058"/>
    <w:bookmarkEnd w:id="1059"/>
    <w:bookmarkEnd w:id="1060"/>
    <w:p w14:paraId="1169242F">
      <w:pPr>
        <w:keepNext/>
        <w:keepLines/>
        <w:spacing w:line="360" w:lineRule="auto"/>
        <w:jc w:val="center"/>
        <w:outlineLvl w:val="1"/>
        <w:rPr>
          <w:rFonts w:hint="eastAsia" w:ascii="宋体" w:hAnsi="宋体" w:cs="宋体"/>
          <w:b/>
          <w:bCs/>
          <w:color w:val="auto"/>
          <w:sz w:val="28"/>
          <w:szCs w:val="28"/>
          <w:highlight w:val="none"/>
        </w:rPr>
      </w:pPr>
      <w:bookmarkStart w:id="1061" w:name="_Toc24145"/>
      <w:bookmarkStart w:id="1062" w:name="_Toc28730"/>
      <w:bookmarkStart w:id="1063" w:name="_Toc19639"/>
      <w:bookmarkStart w:id="1064" w:name="_Toc17809"/>
      <w:bookmarkStart w:id="1065" w:name="_Toc3267"/>
      <w:bookmarkStart w:id="1066" w:name="_Toc436834777"/>
      <w:bookmarkStart w:id="1067" w:name="_Toc26731"/>
      <w:bookmarkStart w:id="1068" w:name="_Toc485211094"/>
      <w:bookmarkStart w:id="1069" w:name="_Toc30443"/>
      <w:bookmarkStart w:id="1070" w:name="_Toc25722"/>
      <w:bookmarkStart w:id="1071" w:name="_Toc26598"/>
      <w:bookmarkStart w:id="1072" w:name="_Toc300835009"/>
      <w:bookmarkStart w:id="1073" w:name="_Toc29441"/>
      <w:bookmarkStart w:id="1074" w:name="_Toc436834184"/>
      <w:bookmarkStart w:id="1075" w:name="_Toc399165430"/>
      <w:r>
        <w:rPr>
          <w:rFonts w:hint="eastAsia" w:ascii="宋体" w:hAnsi="宋体" w:cs="宋体"/>
          <w:b/>
          <w:bCs/>
          <w:color w:val="auto"/>
          <w:sz w:val="24"/>
          <w:szCs w:val="24"/>
          <w:highlight w:val="none"/>
        </w:rPr>
        <w:t>评标和定标办法前附表</w:t>
      </w:r>
    </w:p>
    <w:tbl>
      <w:tblPr>
        <w:tblStyle w:val="18"/>
        <w:tblW w:w="89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074"/>
        <w:gridCol w:w="1779"/>
        <w:gridCol w:w="27"/>
        <w:gridCol w:w="5228"/>
      </w:tblGrid>
      <w:tr w14:paraId="0C3F5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A04E8D2">
            <w:pPr>
              <w:widowControl/>
              <w:spacing w:line="360" w:lineRule="auto"/>
              <w:jc w:val="left"/>
              <w:rPr>
                <w:rFonts w:hint="eastAsia" w:ascii="宋体" w:hAnsi="宋体" w:cs="宋体"/>
                <w:b/>
                <w:color w:val="auto"/>
                <w:szCs w:val="24"/>
                <w:highlight w:val="none"/>
              </w:rPr>
            </w:pPr>
            <w:r>
              <w:rPr>
                <w:rFonts w:hint="eastAsia" w:ascii="宋体" w:hAnsi="宋体" w:cs="宋体"/>
                <w:b/>
                <w:color w:val="auto"/>
                <w:szCs w:val="24"/>
                <w:highlight w:val="none"/>
              </w:rPr>
              <w:t>条款号</w:t>
            </w:r>
          </w:p>
        </w:tc>
        <w:tc>
          <w:tcPr>
            <w:tcW w:w="1806" w:type="dxa"/>
            <w:gridSpan w:val="2"/>
            <w:tcBorders>
              <w:top w:val="single" w:color="auto" w:sz="4" w:space="0"/>
              <w:left w:val="single" w:color="auto" w:sz="4" w:space="0"/>
              <w:bottom w:val="single" w:color="auto" w:sz="4" w:space="0"/>
              <w:right w:val="single" w:color="auto" w:sz="4" w:space="0"/>
            </w:tcBorders>
            <w:noWrap w:val="0"/>
            <w:vAlign w:val="center"/>
          </w:tcPr>
          <w:p w14:paraId="2420DF5B">
            <w:pPr>
              <w:widowControl/>
              <w:spacing w:line="360" w:lineRule="auto"/>
              <w:jc w:val="left"/>
              <w:rPr>
                <w:rFonts w:hint="eastAsia" w:ascii="宋体" w:hAnsi="宋体" w:cs="宋体"/>
                <w:b/>
                <w:color w:val="auto"/>
                <w:szCs w:val="24"/>
                <w:highlight w:val="none"/>
              </w:rPr>
            </w:pPr>
            <w:r>
              <w:rPr>
                <w:rFonts w:hint="eastAsia" w:ascii="宋体" w:hAnsi="宋体" w:cs="宋体"/>
                <w:b/>
                <w:color w:val="auto"/>
                <w:szCs w:val="24"/>
                <w:highlight w:val="none"/>
              </w:rPr>
              <w:t>评审因素</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4DC4B885">
            <w:pPr>
              <w:widowControl/>
              <w:spacing w:line="360" w:lineRule="auto"/>
              <w:jc w:val="left"/>
              <w:rPr>
                <w:rFonts w:hint="eastAsia" w:ascii="宋体" w:hAnsi="宋体" w:cs="宋体"/>
                <w:b/>
                <w:color w:val="auto"/>
                <w:szCs w:val="24"/>
                <w:highlight w:val="none"/>
              </w:rPr>
            </w:pPr>
            <w:r>
              <w:rPr>
                <w:rFonts w:hint="eastAsia" w:ascii="宋体" w:hAnsi="宋体" w:cs="宋体"/>
                <w:b/>
                <w:color w:val="auto"/>
                <w:szCs w:val="24"/>
                <w:highlight w:val="none"/>
              </w:rPr>
              <w:t>评审标准</w:t>
            </w:r>
          </w:p>
        </w:tc>
      </w:tr>
      <w:tr w14:paraId="60F95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7D7F007C">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2.1.1</w:t>
            </w:r>
          </w:p>
        </w:tc>
        <w:tc>
          <w:tcPr>
            <w:tcW w:w="1074" w:type="dxa"/>
            <w:vMerge w:val="restart"/>
            <w:tcBorders>
              <w:top w:val="single" w:color="auto" w:sz="4" w:space="0"/>
              <w:left w:val="nil"/>
              <w:bottom w:val="single" w:color="auto" w:sz="4" w:space="0"/>
              <w:right w:val="single" w:color="auto" w:sz="4" w:space="0"/>
            </w:tcBorders>
            <w:noWrap w:val="0"/>
            <w:vAlign w:val="center"/>
          </w:tcPr>
          <w:p w14:paraId="46A1C8DA">
            <w:pPr>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形式评审标准</w:t>
            </w:r>
          </w:p>
        </w:tc>
        <w:tc>
          <w:tcPr>
            <w:tcW w:w="1806" w:type="dxa"/>
            <w:gridSpan w:val="2"/>
            <w:tcBorders>
              <w:top w:val="single" w:color="auto" w:sz="4" w:space="0"/>
              <w:left w:val="single" w:color="auto" w:sz="4" w:space="0"/>
              <w:bottom w:val="single" w:color="auto" w:sz="4" w:space="0"/>
              <w:right w:val="single" w:color="auto" w:sz="4" w:space="0"/>
            </w:tcBorders>
            <w:noWrap w:val="0"/>
            <w:vAlign w:val="center"/>
          </w:tcPr>
          <w:p w14:paraId="0642DD37">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投标人名称</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449C1035">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与营业执照</w:t>
            </w:r>
            <w:r>
              <w:rPr>
                <w:rFonts w:hint="eastAsia" w:ascii="宋体" w:hAnsi="宋体" w:cs="宋体"/>
                <w:color w:val="auto"/>
                <w:szCs w:val="24"/>
                <w:highlight w:val="none"/>
                <w:u w:val="single"/>
              </w:rPr>
              <w:t>或各级政府事业单位登记管理机关颁发的事业单位法人证书</w:t>
            </w:r>
            <w:r>
              <w:rPr>
                <w:rFonts w:hint="eastAsia" w:ascii="宋体" w:hAnsi="宋体" w:cs="宋体"/>
                <w:color w:val="auto"/>
                <w:szCs w:val="24"/>
                <w:highlight w:val="none"/>
              </w:rPr>
              <w:t>、资质证书一致</w:t>
            </w:r>
          </w:p>
        </w:tc>
      </w:tr>
      <w:tr w14:paraId="32B73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29EF32C">
            <w:pPr>
              <w:widowControl/>
              <w:spacing w:line="360" w:lineRule="auto"/>
              <w:jc w:val="left"/>
              <w:rPr>
                <w:rFonts w:ascii="宋体" w:hAnsi="宋体" w:cs="宋体"/>
                <w:color w:val="auto"/>
                <w:szCs w:val="24"/>
                <w:highlight w:val="none"/>
              </w:rPr>
            </w:pPr>
          </w:p>
        </w:tc>
        <w:tc>
          <w:tcPr>
            <w:tcW w:w="1074" w:type="dxa"/>
            <w:vMerge w:val="continue"/>
            <w:tcBorders>
              <w:top w:val="single" w:color="auto" w:sz="4" w:space="0"/>
              <w:left w:val="nil"/>
              <w:bottom w:val="single" w:color="auto" w:sz="4" w:space="0"/>
              <w:right w:val="single" w:color="auto" w:sz="4" w:space="0"/>
            </w:tcBorders>
            <w:noWrap w:val="0"/>
            <w:vAlign w:val="center"/>
          </w:tcPr>
          <w:p w14:paraId="719E926C">
            <w:pPr>
              <w:widowControl/>
              <w:spacing w:line="360" w:lineRule="auto"/>
              <w:jc w:val="center"/>
              <w:rPr>
                <w:rFonts w:ascii="宋体" w:hAnsi="宋体" w:cs="宋体"/>
                <w:color w:val="auto"/>
                <w:szCs w:val="24"/>
                <w:highlight w:val="none"/>
              </w:rPr>
            </w:pPr>
          </w:p>
        </w:tc>
        <w:tc>
          <w:tcPr>
            <w:tcW w:w="1806" w:type="dxa"/>
            <w:gridSpan w:val="2"/>
            <w:tcBorders>
              <w:top w:val="single" w:color="auto" w:sz="4" w:space="0"/>
              <w:left w:val="single" w:color="auto" w:sz="4" w:space="0"/>
              <w:bottom w:val="single" w:color="auto" w:sz="4" w:space="0"/>
              <w:right w:val="single" w:color="auto" w:sz="4" w:space="0"/>
            </w:tcBorders>
            <w:noWrap w:val="0"/>
            <w:vAlign w:val="center"/>
          </w:tcPr>
          <w:p w14:paraId="5753E0CF">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法定代表人证明及授权</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692F2CA2">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投标文件中有有效的法定代表人证明书，或由委托代理人签字或盖章的投标文件中有法定代表人证明书和授权委托证明书</w:t>
            </w:r>
          </w:p>
        </w:tc>
      </w:tr>
      <w:tr w14:paraId="6DD49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08E4B15">
            <w:pPr>
              <w:widowControl/>
              <w:spacing w:line="360" w:lineRule="auto"/>
              <w:jc w:val="left"/>
              <w:rPr>
                <w:rFonts w:ascii="宋体" w:hAnsi="宋体" w:cs="宋体"/>
                <w:color w:val="auto"/>
                <w:szCs w:val="24"/>
                <w:highlight w:val="none"/>
              </w:rPr>
            </w:pPr>
          </w:p>
        </w:tc>
        <w:tc>
          <w:tcPr>
            <w:tcW w:w="1074" w:type="dxa"/>
            <w:vMerge w:val="continue"/>
            <w:tcBorders>
              <w:top w:val="single" w:color="auto" w:sz="4" w:space="0"/>
              <w:left w:val="nil"/>
              <w:bottom w:val="single" w:color="auto" w:sz="4" w:space="0"/>
              <w:right w:val="single" w:color="auto" w:sz="4" w:space="0"/>
            </w:tcBorders>
            <w:noWrap w:val="0"/>
            <w:vAlign w:val="center"/>
          </w:tcPr>
          <w:p w14:paraId="6DE77C3D">
            <w:pPr>
              <w:widowControl/>
              <w:spacing w:line="360" w:lineRule="auto"/>
              <w:jc w:val="center"/>
              <w:rPr>
                <w:rFonts w:ascii="宋体" w:hAnsi="宋体" w:cs="宋体"/>
                <w:color w:val="auto"/>
                <w:szCs w:val="24"/>
                <w:highlight w:val="none"/>
              </w:rPr>
            </w:pPr>
          </w:p>
        </w:tc>
        <w:tc>
          <w:tcPr>
            <w:tcW w:w="1806" w:type="dxa"/>
            <w:gridSpan w:val="2"/>
            <w:tcBorders>
              <w:top w:val="single" w:color="auto" w:sz="4" w:space="0"/>
              <w:left w:val="single" w:color="auto" w:sz="4" w:space="0"/>
              <w:bottom w:val="single" w:color="auto" w:sz="4" w:space="0"/>
              <w:right w:val="single" w:color="auto" w:sz="4" w:space="0"/>
            </w:tcBorders>
            <w:noWrap w:val="0"/>
            <w:vAlign w:val="center"/>
          </w:tcPr>
          <w:p w14:paraId="5960FF49">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投标文件格式</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753EB65D">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符合第六章“投标文件格式”的要求</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格式二、格式三、格式五、格式六、格式八</w:t>
            </w:r>
            <w:r>
              <w:rPr>
                <w:rFonts w:hint="eastAsia" w:ascii="宋体" w:hAnsi="宋体" w:cs="宋体"/>
                <w:color w:val="auto"/>
                <w:szCs w:val="24"/>
                <w:highlight w:val="none"/>
                <w:lang w:eastAsia="zh-CN"/>
              </w:rPr>
              <w:t>）</w:t>
            </w:r>
          </w:p>
        </w:tc>
      </w:tr>
      <w:tr w14:paraId="44D8A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1EBCA3F">
            <w:pPr>
              <w:widowControl/>
              <w:spacing w:line="360" w:lineRule="auto"/>
              <w:jc w:val="left"/>
              <w:rPr>
                <w:rFonts w:ascii="宋体" w:hAnsi="宋体" w:cs="宋体"/>
                <w:color w:val="auto"/>
                <w:szCs w:val="24"/>
                <w:highlight w:val="none"/>
              </w:rPr>
            </w:pPr>
          </w:p>
        </w:tc>
        <w:tc>
          <w:tcPr>
            <w:tcW w:w="1074" w:type="dxa"/>
            <w:vMerge w:val="continue"/>
            <w:tcBorders>
              <w:top w:val="single" w:color="auto" w:sz="4" w:space="0"/>
              <w:left w:val="nil"/>
              <w:bottom w:val="single" w:color="auto" w:sz="4" w:space="0"/>
              <w:right w:val="single" w:color="auto" w:sz="4" w:space="0"/>
            </w:tcBorders>
            <w:noWrap w:val="0"/>
            <w:vAlign w:val="center"/>
          </w:tcPr>
          <w:p w14:paraId="39B52C1D">
            <w:pPr>
              <w:widowControl/>
              <w:spacing w:line="360" w:lineRule="auto"/>
              <w:jc w:val="center"/>
              <w:rPr>
                <w:rFonts w:ascii="宋体" w:hAnsi="宋体" w:cs="宋体"/>
                <w:color w:val="auto"/>
                <w:szCs w:val="24"/>
                <w:highlight w:val="none"/>
              </w:rPr>
            </w:pPr>
          </w:p>
        </w:tc>
        <w:tc>
          <w:tcPr>
            <w:tcW w:w="1806" w:type="dxa"/>
            <w:gridSpan w:val="2"/>
            <w:tcBorders>
              <w:top w:val="single" w:color="auto" w:sz="4" w:space="0"/>
              <w:left w:val="single" w:color="auto" w:sz="4" w:space="0"/>
              <w:bottom w:val="single" w:color="auto" w:sz="4" w:space="0"/>
              <w:right w:val="single" w:color="auto" w:sz="4" w:space="0"/>
            </w:tcBorders>
            <w:noWrap w:val="0"/>
            <w:vAlign w:val="center"/>
          </w:tcPr>
          <w:p w14:paraId="1CC08381">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机器特征码</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00E8E5BD">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不存在投标人与本项目其他投标人加密打包投标文件电脑机器特征码一致的(以</w:t>
            </w:r>
            <w:r>
              <w:rPr>
                <w:rFonts w:hint="eastAsia" w:ascii="宋体" w:hAnsi="宋体" w:cs="宋体"/>
                <w:color w:val="auto"/>
                <w:szCs w:val="24"/>
                <w:highlight w:val="none"/>
                <w:lang w:eastAsia="zh-CN"/>
              </w:rPr>
              <w:t>广州交易集团有限公司（广州公共资源交易中心）</w:t>
            </w:r>
            <w:r>
              <w:rPr>
                <w:rFonts w:hint="eastAsia" w:ascii="宋体" w:hAnsi="宋体" w:cs="宋体"/>
                <w:color w:val="auto"/>
                <w:szCs w:val="24"/>
                <w:highlight w:val="none"/>
              </w:rPr>
              <w:t>交易平台评标系统的检索信息为准)</w:t>
            </w:r>
          </w:p>
        </w:tc>
      </w:tr>
      <w:tr w14:paraId="7F329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1241CD6">
            <w:pPr>
              <w:widowControl/>
              <w:spacing w:line="360" w:lineRule="auto"/>
              <w:jc w:val="left"/>
              <w:rPr>
                <w:rFonts w:ascii="宋体" w:hAnsi="宋体" w:cs="宋体"/>
                <w:color w:val="auto"/>
                <w:szCs w:val="24"/>
                <w:highlight w:val="none"/>
              </w:rPr>
            </w:pPr>
          </w:p>
        </w:tc>
        <w:tc>
          <w:tcPr>
            <w:tcW w:w="1074" w:type="dxa"/>
            <w:vMerge w:val="continue"/>
            <w:tcBorders>
              <w:top w:val="single" w:color="auto" w:sz="4" w:space="0"/>
              <w:left w:val="nil"/>
              <w:bottom w:val="single" w:color="auto" w:sz="4" w:space="0"/>
              <w:right w:val="single" w:color="auto" w:sz="4" w:space="0"/>
            </w:tcBorders>
            <w:noWrap w:val="0"/>
            <w:vAlign w:val="center"/>
          </w:tcPr>
          <w:p w14:paraId="4A308782">
            <w:pPr>
              <w:widowControl/>
              <w:spacing w:line="360" w:lineRule="auto"/>
              <w:jc w:val="center"/>
              <w:rPr>
                <w:rFonts w:ascii="宋体" w:hAnsi="宋体" w:cs="宋体"/>
                <w:color w:val="auto"/>
                <w:szCs w:val="24"/>
                <w:highlight w:val="none"/>
              </w:rPr>
            </w:pPr>
          </w:p>
        </w:tc>
        <w:tc>
          <w:tcPr>
            <w:tcW w:w="1806" w:type="dxa"/>
            <w:gridSpan w:val="2"/>
            <w:tcBorders>
              <w:top w:val="single" w:color="auto" w:sz="4" w:space="0"/>
              <w:left w:val="single" w:color="auto" w:sz="4" w:space="0"/>
              <w:bottom w:val="single" w:color="auto" w:sz="4" w:space="0"/>
              <w:right w:val="single" w:color="auto" w:sz="4" w:space="0"/>
            </w:tcBorders>
            <w:noWrap w:val="0"/>
            <w:vAlign w:val="center"/>
          </w:tcPr>
          <w:p w14:paraId="5DF7EE2D">
            <w:pPr>
              <w:widowControl/>
              <w:spacing w:line="360" w:lineRule="auto"/>
              <w:jc w:val="left"/>
              <w:rPr>
                <w:rFonts w:hint="eastAsia" w:ascii="宋体" w:hAnsi="宋体" w:cs="宋体"/>
                <w:color w:val="auto"/>
                <w:szCs w:val="24"/>
                <w:highlight w:val="none"/>
                <w:u w:val="single"/>
              </w:rPr>
            </w:pPr>
            <w:r>
              <w:rPr>
                <w:rFonts w:hint="eastAsia" w:ascii="宋体" w:hAnsi="宋体" w:cs="宋体"/>
                <w:color w:val="auto"/>
                <w:szCs w:val="24"/>
                <w:highlight w:val="none"/>
                <w:u w:val="single"/>
              </w:rPr>
              <w:t>备选投标方案</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7AB36B6E">
            <w:pPr>
              <w:widowControl/>
              <w:spacing w:line="360" w:lineRule="auto"/>
              <w:jc w:val="left"/>
              <w:rPr>
                <w:rFonts w:hint="eastAsia" w:ascii="宋体" w:hAnsi="宋体" w:cs="宋体"/>
                <w:color w:val="auto"/>
                <w:szCs w:val="24"/>
                <w:highlight w:val="none"/>
                <w:u w:val="single"/>
              </w:rPr>
            </w:pPr>
            <w:r>
              <w:rPr>
                <w:rFonts w:hint="eastAsia" w:ascii="宋体" w:hAnsi="宋体" w:cs="宋体"/>
                <w:color w:val="auto"/>
                <w:szCs w:val="24"/>
                <w:highlight w:val="none"/>
                <w:u w:val="single"/>
              </w:rPr>
              <w:t>不允许</w:t>
            </w:r>
          </w:p>
        </w:tc>
      </w:tr>
      <w:tr w14:paraId="40611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15512B6D">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2.1.2</w:t>
            </w:r>
          </w:p>
        </w:tc>
        <w:tc>
          <w:tcPr>
            <w:tcW w:w="1074" w:type="dxa"/>
            <w:tcBorders>
              <w:top w:val="single" w:color="auto" w:sz="4" w:space="0"/>
              <w:left w:val="nil"/>
              <w:bottom w:val="single" w:color="auto" w:sz="4" w:space="0"/>
              <w:right w:val="single" w:color="auto" w:sz="4" w:space="0"/>
            </w:tcBorders>
            <w:noWrap w:val="0"/>
            <w:vAlign w:val="center"/>
          </w:tcPr>
          <w:p w14:paraId="03B8CD13">
            <w:pPr>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lang w:eastAsia="zh-CN"/>
              </w:rPr>
              <w:t>资格审查</w:t>
            </w:r>
            <w:r>
              <w:rPr>
                <w:rFonts w:hint="eastAsia" w:ascii="宋体" w:hAnsi="宋体" w:cs="宋体"/>
                <w:color w:val="auto"/>
                <w:szCs w:val="24"/>
                <w:highlight w:val="none"/>
              </w:rPr>
              <w:t>标准</w:t>
            </w:r>
          </w:p>
        </w:tc>
        <w:tc>
          <w:tcPr>
            <w:tcW w:w="7034" w:type="dxa"/>
            <w:gridSpan w:val="3"/>
            <w:tcBorders>
              <w:top w:val="single" w:color="auto" w:sz="4" w:space="0"/>
              <w:left w:val="single" w:color="auto" w:sz="4" w:space="0"/>
              <w:bottom w:val="single" w:color="auto" w:sz="4" w:space="0"/>
              <w:right w:val="single" w:color="auto" w:sz="4" w:space="0"/>
            </w:tcBorders>
            <w:noWrap w:val="0"/>
            <w:vAlign w:val="center"/>
          </w:tcPr>
          <w:p w14:paraId="7DE9ECC7">
            <w:pPr>
              <w:widowControl/>
              <w:spacing w:line="360" w:lineRule="auto"/>
              <w:jc w:val="left"/>
              <w:rPr>
                <w:rFonts w:hint="eastAsia" w:ascii="宋体" w:hAnsi="宋体" w:cs="宋体"/>
                <w:color w:val="auto"/>
                <w:szCs w:val="24"/>
                <w:highlight w:val="none"/>
                <w:u w:val="single"/>
              </w:rPr>
            </w:pPr>
            <w:r>
              <w:rPr>
                <w:rFonts w:hint="eastAsia" w:ascii="宋体" w:hAnsi="宋体" w:cs="宋体"/>
                <w:color w:val="auto"/>
                <w:szCs w:val="24"/>
                <w:highlight w:val="none"/>
              </w:rPr>
              <w:t>详见附表1《资格审查评审表》</w:t>
            </w:r>
          </w:p>
        </w:tc>
      </w:tr>
      <w:tr w14:paraId="66560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restart"/>
            <w:tcBorders>
              <w:top w:val="single" w:color="auto" w:sz="4" w:space="0"/>
              <w:left w:val="single" w:color="auto" w:sz="4" w:space="0"/>
              <w:right w:val="single" w:color="auto" w:sz="4" w:space="0"/>
            </w:tcBorders>
            <w:noWrap w:val="0"/>
            <w:vAlign w:val="center"/>
          </w:tcPr>
          <w:p w14:paraId="7F961901">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2.1.3</w:t>
            </w:r>
          </w:p>
        </w:tc>
        <w:tc>
          <w:tcPr>
            <w:tcW w:w="1074" w:type="dxa"/>
            <w:vMerge w:val="restart"/>
            <w:tcBorders>
              <w:top w:val="single" w:color="auto" w:sz="4" w:space="0"/>
              <w:left w:val="single" w:color="auto" w:sz="4" w:space="0"/>
              <w:right w:val="single" w:color="auto" w:sz="4" w:space="0"/>
            </w:tcBorders>
            <w:noWrap w:val="0"/>
            <w:vAlign w:val="center"/>
          </w:tcPr>
          <w:p w14:paraId="6766BCA6">
            <w:pPr>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工程总承包实施方案响应性评审标准</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699E4F74">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投标报价</w:t>
            </w:r>
          </w:p>
        </w:tc>
        <w:tc>
          <w:tcPr>
            <w:tcW w:w="5255" w:type="dxa"/>
            <w:gridSpan w:val="2"/>
            <w:tcBorders>
              <w:top w:val="single" w:color="auto" w:sz="4" w:space="0"/>
              <w:left w:val="single" w:color="auto" w:sz="4" w:space="0"/>
              <w:bottom w:val="single" w:color="auto" w:sz="4" w:space="0"/>
              <w:right w:val="single" w:color="auto" w:sz="4" w:space="0"/>
            </w:tcBorders>
            <w:noWrap w:val="0"/>
            <w:vAlign w:val="center"/>
          </w:tcPr>
          <w:p w14:paraId="420E12B9">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Cs w:val="24"/>
                <w:highlight w:val="none"/>
              </w:rPr>
              <w:t>只能有一个有效报价</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且</w:t>
            </w:r>
            <w:r>
              <w:rPr>
                <w:rFonts w:hint="eastAsia" w:ascii="宋体" w:hAnsi="宋体" w:cs="宋体"/>
                <w:bCs/>
                <w:color w:val="auto"/>
                <w:szCs w:val="21"/>
                <w:highlight w:val="none"/>
              </w:rPr>
              <w:t>投标总报价不高于最高投标限价总价的，或</w:t>
            </w:r>
            <w:r>
              <w:rPr>
                <w:rFonts w:hint="eastAsia" w:ascii="宋体" w:hAnsi="宋体" w:cs="宋体"/>
                <w:bCs/>
                <w:color w:val="auto"/>
                <w:szCs w:val="21"/>
                <w:highlight w:val="none"/>
                <w:lang w:val="en-US" w:eastAsia="zh-CN"/>
              </w:rPr>
              <w:t>各分项投标</w:t>
            </w:r>
            <w:r>
              <w:rPr>
                <w:rFonts w:hint="eastAsia" w:ascii="宋体" w:hAnsi="宋体" w:cs="宋体"/>
                <w:bCs/>
                <w:color w:val="auto"/>
                <w:szCs w:val="21"/>
                <w:highlight w:val="none"/>
              </w:rPr>
              <w:t>报价不高于</w:t>
            </w:r>
            <w:r>
              <w:rPr>
                <w:rFonts w:hint="eastAsia" w:ascii="宋体" w:hAnsi="宋体" w:cs="宋体"/>
                <w:bCs/>
                <w:color w:val="auto"/>
                <w:szCs w:val="21"/>
                <w:highlight w:val="none"/>
                <w:lang w:val="en-US" w:eastAsia="zh-CN"/>
              </w:rPr>
              <w:t>对应的各分项</w:t>
            </w:r>
            <w:r>
              <w:rPr>
                <w:rFonts w:hint="eastAsia" w:ascii="宋体" w:hAnsi="宋体" w:cs="宋体"/>
                <w:bCs/>
                <w:color w:val="auto"/>
                <w:szCs w:val="21"/>
                <w:highlight w:val="none"/>
              </w:rPr>
              <w:t>最高投标限价，并按招标文件第二章“投标人须知”第3.2.4项要求报价且不低于企业成本的</w:t>
            </w:r>
            <w:r>
              <w:rPr>
                <w:rFonts w:hint="eastAsia" w:ascii="宋体" w:hAnsi="宋体" w:eastAsia="宋体" w:cs="宋体"/>
                <w:color w:val="auto"/>
                <w:szCs w:val="21"/>
                <w:highlight w:val="none"/>
              </w:rPr>
              <w:t>（投标人的</w:t>
            </w:r>
            <w:r>
              <w:rPr>
                <w:rFonts w:hint="eastAsia" w:ascii="宋体" w:hAnsi="宋体" w:eastAsia="宋体" w:cs="宋体"/>
                <w:color w:val="auto"/>
                <w:szCs w:val="21"/>
                <w:highlight w:val="none"/>
                <w:lang w:val="en-US" w:eastAsia="zh-CN"/>
              </w:rPr>
              <w:t>建安工程费</w:t>
            </w:r>
            <w:r>
              <w:rPr>
                <w:rFonts w:hint="eastAsia" w:ascii="宋体" w:hAnsi="宋体" w:eastAsia="宋体" w:cs="宋体"/>
                <w:color w:val="auto"/>
                <w:szCs w:val="21"/>
                <w:highlight w:val="none"/>
              </w:rPr>
              <w:t>报价低于</w:t>
            </w:r>
            <w:r>
              <w:rPr>
                <w:rFonts w:hint="eastAsia" w:ascii="宋体" w:hAnsi="宋体" w:eastAsia="宋体" w:cs="宋体"/>
                <w:color w:val="auto"/>
                <w:szCs w:val="21"/>
                <w:highlight w:val="none"/>
                <w:lang w:val="en-US" w:eastAsia="zh-CN"/>
              </w:rPr>
              <w:t>建安工程</w:t>
            </w:r>
            <w:r>
              <w:rPr>
                <w:rFonts w:hint="eastAsia" w:ascii="宋体" w:hAnsi="宋体" w:eastAsia="宋体" w:cs="宋体"/>
                <w:color w:val="auto"/>
                <w:szCs w:val="21"/>
                <w:highlight w:val="none"/>
              </w:rPr>
              <w:t>成本警戒价，或明显低于其他投标</w:t>
            </w:r>
            <w:r>
              <w:rPr>
                <w:rFonts w:hint="eastAsia" w:ascii="宋体" w:hAnsi="宋体" w:eastAsia="宋体" w:cs="宋体"/>
                <w:color w:val="auto"/>
                <w:szCs w:val="21"/>
                <w:highlight w:val="none"/>
                <w:lang w:val="en-US" w:eastAsia="zh-CN"/>
              </w:rPr>
              <w:t>人的建安工程费</w:t>
            </w:r>
            <w:r>
              <w:rPr>
                <w:rFonts w:hint="eastAsia" w:ascii="宋体" w:hAnsi="宋体" w:eastAsia="宋体" w:cs="宋体"/>
                <w:color w:val="auto"/>
                <w:szCs w:val="21"/>
                <w:highlight w:val="none"/>
              </w:rPr>
              <w:t>报价，使得其</w:t>
            </w:r>
            <w:r>
              <w:rPr>
                <w:rFonts w:hint="eastAsia" w:ascii="宋体" w:hAnsi="宋体" w:eastAsia="宋体" w:cs="宋体"/>
                <w:color w:val="auto"/>
                <w:szCs w:val="21"/>
                <w:highlight w:val="none"/>
                <w:lang w:val="en-US" w:eastAsia="zh-CN"/>
              </w:rPr>
              <w:t>建安工程费</w:t>
            </w:r>
            <w:r>
              <w:rPr>
                <w:rFonts w:hint="eastAsia" w:ascii="宋体" w:hAnsi="宋体" w:eastAsia="宋体" w:cs="宋体"/>
                <w:color w:val="auto"/>
                <w:szCs w:val="21"/>
                <w:highlight w:val="none"/>
              </w:rPr>
              <w:t>报价可能低于其个别成本，又不能合理说明或者不能提供相关证明材料，评标委员会认定该投标人低于成本报价的）</w:t>
            </w:r>
            <w:r>
              <w:rPr>
                <w:rFonts w:hint="eastAsia" w:ascii="宋体" w:hAnsi="宋体" w:cs="宋体"/>
                <w:bCs/>
                <w:color w:val="auto"/>
                <w:szCs w:val="21"/>
                <w:highlight w:val="none"/>
              </w:rPr>
              <w:t>。</w:t>
            </w:r>
          </w:p>
        </w:tc>
      </w:tr>
      <w:tr w14:paraId="0D529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noWrap w:val="0"/>
            <w:vAlign w:val="center"/>
          </w:tcPr>
          <w:p w14:paraId="00E9D6EB">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noWrap w:val="0"/>
            <w:vAlign w:val="center"/>
          </w:tcPr>
          <w:p w14:paraId="413E78B6">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22DC3E93">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投标内容</w:t>
            </w:r>
          </w:p>
        </w:tc>
        <w:tc>
          <w:tcPr>
            <w:tcW w:w="5255" w:type="dxa"/>
            <w:gridSpan w:val="2"/>
            <w:tcBorders>
              <w:top w:val="single" w:color="auto" w:sz="4" w:space="0"/>
              <w:left w:val="single" w:color="auto" w:sz="4" w:space="0"/>
              <w:bottom w:val="single" w:color="auto" w:sz="4" w:space="0"/>
              <w:right w:val="single" w:color="auto" w:sz="4" w:space="0"/>
            </w:tcBorders>
            <w:noWrap w:val="0"/>
            <w:vAlign w:val="center"/>
          </w:tcPr>
          <w:p w14:paraId="128C8D56">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投标内容满足本项目所有招标内容（按投标人提供的投标承诺</w:t>
            </w:r>
            <w:r>
              <w:rPr>
                <w:rFonts w:hint="eastAsia" w:ascii="宋体" w:hAnsi="宋体" w:cs="宋体"/>
                <w:bCs/>
                <w:color w:val="auto"/>
                <w:szCs w:val="21"/>
                <w:highlight w:val="none"/>
                <w:lang w:val="en-US" w:eastAsia="zh-CN"/>
              </w:rPr>
              <w:t>书</w:t>
            </w:r>
            <w:r>
              <w:rPr>
                <w:rFonts w:hint="eastAsia" w:ascii="宋体" w:hAnsi="宋体" w:cs="宋体"/>
                <w:bCs/>
                <w:color w:val="auto"/>
                <w:szCs w:val="21"/>
                <w:highlight w:val="none"/>
              </w:rPr>
              <w:t>进行评审）。</w:t>
            </w:r>
          </w:p>
        </w:tc>
      </w:tr>
      <w:tr w14:paraId="6D08B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noWrap w:val="0"/>
            <w:vAlign w:val="center"/>
          </w:tcPr>
          <w:p w14:paraId="0C5E27F2">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noWrap w:val="0"/>
            <w:vAlign w:val="center"/>
          </w:tcPr>
          <w:p w14:paraId="6FC3BCAA">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74D1AD3E">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工期</w:t>
            </w:r>
          </w:p>
        </w:tc>
        <w:tc>
          <w:tcPr>
            <w:tcW w:w="5255" w:type="dxa"/>
            <w:gridSpan w:val="2"/>
            <w:tcBorders>
              <w:top w:val="single" w:color="auto" w:sz="4" w:space="0"/>
              <w:left w:val="single" w:color="auto" w:sz="4" w:space="0"/>
              <w:bottom w:val="single" w:color="auto" w:sz="4" w:space="0"/>
              <w:right w:val="single" w:color="auto" w:sz="4" w:space="0"/>
            </w:tcBorders>
            <w:noWrap w:val="0"/>
            <w:vAlign w:val="center"/>
          </w:tcPr>
          <w:p w14:paraId="1A3598D4">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能满足完成投标项目工期的。</w:t>
            </w:r>
          </w:p>
        </w:tc>
      </w:tr>
      <w:tr w14:paraId="24F7D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noWrap w:val="0"/>
            <w:vAlign w:val="center"/>
          </w:tcPr>
          <w:p w14:paraId="21A01400">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noWrap w:val="0"/>
            <w:vAlign w:val="center"/>
          </w:tcPr>
          <w:p w14:paraId="0E3F7124">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7DF5F400">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质量标准</w:t>
            </w:r>
          </w:p>
        </w:tc>
        <w:tc>
          <w:tcPr>
            <w:tcW w:w="5255" w:type="dxa"/>
            <w:gridSpan w:val="2"/>
            <w:tcBorders>
              <w:top w:val="single" w:color="auto" w:sz="4" w:space="0"/>
              <w:left w:val="single" w:color="auto" w:sz="4" w:space="0"/>
              <w:bottom w:val="single" w:color="auto" w:sz="4" w:space="0"/>
              <w:right w:val="single" w:color="auto" w:sz="4" w:space="0"/>
            </w:tcBorders>
            <w:noWrap w:val="0"/>
            <w:vAlign w:val="center"/>
          </w:tcPr>
          <w:p w14:paraId="450D7488">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符合招标文件第二章“投标人须知”第1.3.3款要求。</w:t>
            </w:r>
          </w:p>
        </w:tc>
      </w:tr>
      <w:tr w14:paraId="34DE0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noWrap w:val="0"/>
            <w:vAlign w:val="center"/>
          </w:tcPr>
          <w:p w14:paraId="62129E2C">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noWrap w:val="0"/>
            <w:vAlign w:val="center"/>
          </w:tcPr>
          <w:p w14:paraId="7675636A">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1173F34F">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投标有效期</w:t>
            </w:r>
          </w:p>
        </w:tc>
        <w:tc>
          <w:tcPr>
            <w:tcW w:w="5255" w:type="dxa"/>
            <w:gridSpan w:val="2"/>
            <w:tcBorders>
              <w:top w:val="single" w:color="auto" w:sz="4" w:space="0"/>
              <w:left w:val="single" w:color="auto" w:sz="4" w:space="0"/>
              <w:bottom w:val="single" w:color="auto" w:sz="4" w:space="0"/>
              <w:right w:val="single" w:color="auto" w:sz="4" w:space="0"/>
            </w:tcBorders>
            <w:noWrap w:val="0"/>
            <w:vAlign w:val="center"/>
          </w:tcPr>
          <w:p w14:paraId="00BF8A9D">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符合第二章“投标人须知”第3.3.1项规定。</w:t>
            </w:r>
          </w:p>
        </w:tc>
      </w:tr>
      <w:tr w14:paraId="27209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noWrap w:val="0"/>
            <w:vAlign w:val="center"/>
          </w:tcPr>
          <w:p w14:paraId="6863E425">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noWrap w:val="0"/>
            <w:vAlign w:val="center"/>
          </w:tcPr>
          <w:p w14:paraId="4E936D8D">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2C412D1F">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拟投入项目团队人员配备及技术水平</w:t>
            </w:r>
          </w:p>
        </w:tc>
        <w:tc>
          <w:tcPr>
            <w:tcW w:w="5255" w:type="dxa"/>
            <w:gridSpan w:val="2"/>
            <w:tcBorders>
              <w:top w:val="single" w:color="auto" w:sz="4" w:space="0"/>
              <w:left w:val="single" w:color="auto" w:sz="4" w:space="0"/>
              <w:bottom w:val="single" w:color="auto" w:sz="4" w:space="0"/>
              <w:right w:val="single" w:color="auto" w:sz="4" w:space="0"/>
            </w:tcBorders>
            <w:noWrap w:val="0"/>
            <w:vAlign w:val="center"/>
          </w:tcPr>
          <w:p w14:paraId="23EB91A1">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提供投标承诺函，承诺中标后按照招标人的要求配备人员（按投标人提供的投标承诺</w:t>
            </w:r>
            <w:r>
              <w:rPr>
                <w:rFonts w:hint="eastAsia" w:ascii="宋体" w:hAnsi="宋体" w:cs="宋体"/>
                <w:bCs/>
                <w:color w:val="auto"/>
                <w:szCs w:val="21"/>
                <w:highlight w:val="none"/>
                <w:lang w:val="en-US" w:eastAsia="zh-CN"/>
              </w:rPr>
              <w:t>书</w:t>
            </w:r>
            <w:r>
              <w:rPr>
                <w:rFonts w:hint="eastAsia" w:ascii="宋体" w:hAnsi="宋体" w:cs="宋体"/>
                <w:bCs/>
                <w:color w:val="auto"/>
                <w:szCs w:val="21"/>
                <w:highlight w:val="none"/>
              </w:rPr>
              <w:t>进行评审）。</w:t>
            </w:r>
          </w:p>
        </w:tc>
      </w:tr>
      <w:tr w14:paraId="255A1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noWrap w:val="0"/>
            <w:vAlign w:val="center"/>
          </w:tcPr>
          <w:p w14:paraId="41E38F95">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noWrap w:val="0"/>
            <w:vAlign w:val="center"/>
          </w:tcPr>
          <w:p w14:paraId="03C2EF3C">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6B781070">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合法合规性</w:t>
            </w:r>
          </w:p>
        </w:tc>
        <w:tc>
          <w:tcPr>
            <w:tcW w:w="5255" w:type="dxa"/>
            <w:gridSpan w:val="2"/>
            <w:tcBorders>
              <w:top w:val="single" w:color="auto" w:sz="4" w:space="0"/>
              <w:left w:val="single" w:color="auto" w:sz="4" w:space="0"/>
              <w:bottom w:val="single" w:color="auto" w:sz="4" w:space="0"/>
              <w:right w:val="single" w:color="auto" w:sz="4" w:space="0"/>
            </w:tcBorders>
            <w:noWrap w:val="0"/>
            <w:vAlign w:val="center"/>
          </w:tcPr>
          <w:p w14:paraId="16E3C70A">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投标人之间不存在《广东省实施&lt;中华人民共和国招标投标法&gt;办法》第十六条所禁止的情形的。有《参与编制投标文件人员名单》的；</w:t>
            </w:r>
          </w:p>
        </w:tc>
      </w:tr>
      <w:tr w14:paraId="27177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404D4C6">
            <w:pPr>
              <w:widowControl/>
              <w:spacing w:line="360" w:lineRule="auto"/>
              <w:jc w:val="left"/>
              <w:rPr>
                <w:rFonts w:hint="eastAsia" w:ascii="宋体" w:hAnsi="宋体" w:cs="宋体"/>
                <w:b/>
                <w:color w:val="auto"/>
                <w:szCs w:val="24"/>
                <w:highlight w:val="none"/>
              </w:rPr>
            </w:pPr>
            <w:r>
              <w:rPr>
                <w:rFonts w:hint="eastAsia" w:ascii="宋体" w:hAnsi="宋体" w:cs="宋体"/>
                <w:b/>
                <w:color w:val="auto"/>
                <w:szCs w:val="24"/>
                <w:highlight w:val="none"/>
              </w:rPr>
              <w:t>3.6</w:t>
            </w:r>
          </w:p>
        </w:tc>
        <w:tc>
          <w:tcPr>
            <w:tcW w:w="1074" w:type="dxa"/>
            <w:tcBorders>
              <w:top w:val="single" w:color="auto" w:sz="4" w:space="0"/>
              <w:left w:val="nil"/>
              <w:bottom w:val="single" w:color="auto" w:sz="4" w:space="0"/>
              <w:right w:val="single" w:color="auto" w:sz="4" w:space="0"/>
            </w:tcBorders>
            <w:noWrap w:val="0"/>
            <w:vAlign w:val="center"/>
          </w:tcPr>
          <w:p w14:paraId="5F1ED605">
            <w:pPr>
              <w:widowControl/>
              <w:spacing w:line="360" w:lineRule="auto"/>
              <w:jc w:val="left"/>
              <w:rPr>
                <w:rFonts w:hint="eastAsia" w:ascii="宋体" w:hAnsi="宋体" w:cs="宋体"/>
                <w:b/>
                <w:color w:val="auto"/>
                <w:szCs w:val="24"/>
                <w:highlight w:val="none"/>
              </w:rPr>
            </w:pPr>
            <w:r>
              <w:rPr>
                <w:rFonts w:hint="eastAsia" w:ascii="宋体" w:hAnsi="宋体" w:cs="宋体"/>
                <w:b/>
                <w:color w:val="auto"/>
                <w:szCs w:val="24"/>
                <w:highlight w:val="none"/>
              </w:rPr>
              <w:t>定标</w:t>
            </w:r>
          </w:p>
        </w:tc>
        <w:tc>
          <w:tcPr>
            <w:tcW w:w="7034" w:type="dxa"/>
            <w:gridSpan w:val="3"/>
            <w:tcBorders>
              <w:top w:val="single" w:color="auto" w:sz="4" w:space="0"/>
              <w:left w:val="single" w:color="auto" w:sz="4" w:space="0"/>
              <w:bottom w:val="single" w:color="auto" w:sz="4" w:space="0"/>
              <w:right w:val="single" w:color="auto" w:sz="4" w:space="0"/>
            </w:tcBorders>
            <w:noWrap w:val="0"/>
            <w:vAlign w:val="center"/>
          </w:tcPr>
          <w:p w14:paraId="22F4DE10">
            <w:pPr>
              <w:spacing w:line="360" w:lineRule="auto"/>
              <w:rPr>
                <w:rFonts w:hint="eastAsia" w:ascii="宋体" w:hAnsi="宋体" w:cs="宋体"/>
                <w:b/>
                <w:bCs/>
                <w:color w:val="auto"/>
                <w:szCs w:val="21"/>
                <w:highlight w:val="none"/>
                <w:u w:val="single"/>
              </w:rPr>
            </w:pPr>
            <w:r>
              <w:rPr>
                <w:rFonts w:hint="eastAsia" w:ascii="宋体" w:hAnsi="宋体" w:cs="宋体"/>
                <w:b/>
                <w:bCs/>
                <w:color w:val="auto"/>
                <w:szCs w:val="24"/>
                <w:highlight w:val="none"/>
              </w:rPr>
              <w:t>定标规则：</w:t>
            </w:r>
            <w:r>
              <w:rPr>
                <w:rFonts w:hint="eastAsia" w:ascii="宋体" w:hAnsi="宋体" w:cs="宋体"/>
                <w:b/>
                <w:bCs/>
                <w:color w:val="auto"/>
                <w:szCs w:val="21"/>
                <w:highlight w:val="none"/>
                <w:u w:val="single"/>
                <w:lang w:val="en-US" w:eastAsia="zh-CN"/>
              </w:rPr>
              <w:t>采用评分法</w:t>
            </w:r>
            <w:r>
              <w:rPr>
                <w:rFonts w:hint="eastAsia" w:ascii="宋体" w:hAnsi="宋体" w:cs="宋体"/>
                <w:b/>
                <w:bCs/>
                <w:color w:val="auto"/>
                <w:szCs w:val="21"/>
                <w:highlight w:val="none"/>
                <w:u w:val="single"/>
              </w:rPr>
              <w:t>。</w:t>
            </w:r>
          </w:p>
          <w:p w14:paraId="19E4AF93">
            <w:pPr>
              <w:widowControl/>
              <w:spacing w:line="360" w:lineRule="auto"/>
              <w:jc w:val="left"/>
              <w:rPr>
                <w:rFonts w:hint="eastAsia" w:ascii="宋体" w:hAnsi="宋体" w:cs="宋体"/>
                <w:b/>
                <w:color w:val="auto"/>
                <w:szCs w:val="24"/>
                <w:highlight w:val="none"/>
              </w:rPr>
            </w:pPr>
            <w:r>
              <w:rPr>
                <w:rFonts w:hint="eastAsia" w:ascii="宋体" w:hAnsi="宋体" w:cs="宋体"/>
                <w:b w:val="0"/>
                <w:bCs w:val="0"/>
                <w:color w:val="auto"/>
                <w:szCs w:val="21"/>
                <w:highlight w:val="none"/>
                <w:u w:val="single"/>
              </w:rPr>
              <w:t>总得分</w:t>
            </w:r>
            <w:r>
              <w:rPr>
                <w:rFonts w:hint="eastAsia" w:ascii="宋体" w:hAnsi="宋体" w:cs="宋体"/>
                <w:b w:val="0"/>
                <w:bCs w:val="0"/>
                <w:color w:val="auto"/>
                <w:szCs w:val="21"/>
                <w:highlight w:val="none"/>
                <w:u w:val="single"/>
                <w:lang w:eastAsia="zh-CN"/>
              </w:rPr>
              <w:t>（</w:t>
            </w:r>
            <w:r>
              <w:rPr>
                <w:rFonts w:hint="eastAsia" w:ascii="宋体" w:hAnsi="宋体" w:cs="宋体"/>
                <w:b w:val="0"/>
                <w:bCs w:val="0"/>
                <w:color w:val="auto"/>
                <w:szCs w:val="21"/>
                <w:highlight w:val="none"/>
                <w:u w:val="single"/>
                <w:lang w:val="en-US" w:eastAsia="zh-CN"/>
              </w:rPr>
              <w:t>满分100分</w:t>
            </w:r>
            <w:r>
              <w:rPr>
                <w:rFonts w:hint="eastAsia" w:ascii="宋体" w:hAnsi="宋体" w:cs="宋体"/>
                <w:b w:val="0"/>
                <w:bCs w:val="0"/>
                <w:color w:val="auto"/>
                <w:szCs w:val="21"/>
                <w:highlight w:val="none"/>
                <w:u w:val="single"/>
                <w:lang w:eastAsia="zh-CN"/>
              </w:rPr>
              <w:t>）</w:t>
            </w:r>
            <w:r>
              <w:rPr>
                <w:rFonts w:hint="eastAsia" w:ascii="宋体" w:hAnsi="宋体" w:cs="宋体"/>
                <w:b w:val="0"/>
                <w:bCs w:val="0"/>
                <w:color w:val="auto"/>
                <w:szCs w:val="21"/>
                <w:highlight w:val="none"/>
                <w:u w:val="single"/>
              </w:rPr>
              <w:t>=方案因素（</w:t>
            </w:r>
            <w:r>
              <w:rPr>
                <w:rFonts w:hint="eastAsia" w:ascii="宋体" w:hAnsi="宋体" w:cs="宋体"/>
                <w:b w:val="0"/>
                <w:bCs w:val="0"/>
                <w:color w:val="auto"/>
                <w:szCs w:val="21"/>
                <w:highlight w:val="none"/>
                <w:u w:val="single"/>
                <w:lang w:val="en-US" w:eastAsia="zh-CN"/>
              </w:rPr>
              <w:t>70</w:t>
            </w:r>
            <w:r>
              <w:rPr>
                <w:rFonts w:hint="eastAsia" w:ascii="宋体" w:hAnsi="宋体" w:cs="宋体"/>
                <w:b w:val="0"/>
                <w:bCs w:val="0"/>
                <w:color w:val="auto"/>
                <w:szCs w:val="21"/>
                <w:highlight w:val="none"/>
                <w:u w:val="single"/>
              </w:rPr>
              <w:t>分）</w:t>
            </w:r>
            <w:r>
              <w:rPr>
                <w:rFonts w:hint="eastAsia" w:ascii="宋体" w:hAnsi="宋体" w:cs="宋体"/>
                <w:b w:val="0"/>
                <w:bCs w:val="0"/>
                <w:color w:val="auto"/>
                <w:szCs w:val="21"/>
                <w:highlight w:val="none"/>
                <w:u w:val="single"/>
                <w:lang w:val="en-US" w:eastAsia="zh-CN"/>
              </w:rPr>
              <w:t>+资信因素（10分）</w:t>
            </w:r>
            <w:r>
              <w:rPr>
                <w:rFonts w:hint="eastAsia" w:ascii="宋体" w:hAnsi="宋体" w:cs="宋体"/>
                <w:b w:val="0"/>
                <w:bCs w:val="0"/>
                <w:color w:val="auto"/>
                <w:szCs w:val="21"/>
                <w:highlight w:val="none"/>
                <w:u w:val="single"/>
              </w:rPr>
              <w:t>+价格因素得分（</w:t>
            </w:r>
            <w:r>
              <w:rPr>
                <w:rFonts w:hint="eastAsia" w:ascii="宋体" w:hAnsi="宋体" w:cs="宋体"/>
                <w:b w:val="0"/>
                <w:bCs w:val="0"/>
                <w:color w:val="auto"/>
                <w:szCs w:val="21"/>
                <w:highlight w:val="none"/>
                <w:u w:val="single"/>
                <w:lang w:val="en-US" w:eastAsia="zh-CN"/>
              </w:rPr>
              <w:t>2</w:t>
            </w:r>
            <w:r>
              <w:rPr>
                <w:rFonts w:hint="eastAsia" w:ascii="宋体" w:hAnsi="宋体" w:cs="宋体"/>
                <w:b w:val="0"/>
                <w:bCs w:val="0"/>
                <w:color w:val="auto"/>
                <w:szCs w:val="21"/>
                <w:highlight w:val="none"/>
                <w:u w:val="single"/>
              </w:rPr>
              <w:t>0分）</w:t>
            </w:r>
          </w:p>
        </w:tc>
      </w:tr>
    </w:tbl>
    <w:p w14:paraId="03C42E0D">
      <w:pPr>
        <w:widowControl/>
        <w:spacing w:line="360" w:lineRule="auto"/>
        <w:jc w:val="left"/>
        <w:rPr>
          <w:rFonts w:hint="eastAsia" w:ascii="宋体" w:hAnsi="宋体" w:cs="宋体"/>
          <w:color w:val="auto"/>
          <w:szCs w:val="24"/>
          <w:highlight w:val="none"/>
        </w:rPr>
      </w:pPr>
    </w:p>
    <w:p w14:paraId="215A8BA0">
      <w:pPr>
        <w:widowControl/>
        <w:spacing w:line="360" w:lineRule="auto"/>
        <w:jc w:val="left"/>
        <w:rPr>
          <w:rFonts w:ascii="宋体" w:hAnsi="宋体" w:cs="宋体"/>
          <w:color w:val="auto"/>
          <w:szCs w:val="24"/>
          <w:highlight w:val="none"/>
        </w:rPr>
      </w:pPr>
    </w:p>
    <w:p w14:paraId="480367B6">
      <w:pPr>
        <w:widowControl/>
        <w:spacing w:line="360" w:lineRule="auto"/>
        <w:jc w:val="left"/>
        <w:rPr>
          <w:rFonts w:hint="eastAsia" w:ascii="宋体" w:hAnsi="宋体" w:cs="宋体"/>
          <w:color w:val="auto"/>
          <w:szCs w:val="24"/>
          <w:highlight w:val="none"/>
        </w:rPr>
      </w:pPr>
    </w:p>
    <w:p w14:paraId="7066A616">
      <w:pPr>
        <w:spacing w:line="360" w:lineRule="auto"/>
        <w:rPr>
          <w:rFonts w:hint="eastAsia" w:ascii="宋体" w:hAnsi="宋体" w:cs="宋体"/>
          <w:color w:val="auto"/>
          <w:szCs w:val="24"/>
          <w:highlight w:val="none"/>
        </w:rPr>
        <w:sectPr>
          <w:headerReference r:id="rId8" w:type="default"/>
          <w:footerReference r:id="rId9" w:type="default"/>
          <w:pgSz w:w="11905" w:h="16838"/>
          <w:pgMar w:top="1440" w:right="1080" w:bottom="1440" w:left="1080" w:header="567" w:footer="850" w:gutter="0"/>
          <w:cols w:space="720" w:num="1"/>
          <w:docGrid w:linePitch="312" w:charSpace="0"/>
        </w:sectPr>
      </w:pPr>
    </w:p>
    <w:p w14:paraId="0276E115">
      <w:pPr>
        <w:keepNext/>
        <w:keepLines/>
        <w:spacing w:line="360" w:lineRule="auto"/>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1. 评标和定标方法</w:t>
      </w:r>
    </w:p>
    <w:p w14:paraId="64256EEB">
      <w:pPr>
        <w:spacing w:line="360" w:lineRule="auto"/>
        <w:ind w:firstLine="482" w:firstLineChars="200"/>
        <w:rPr>
          <w:rFonts w:hint="eastAsia" w:ascii="宋体" w:hAnsi="宋体" w:cs="宋体"/>
          <w:color w:val="auto"/>
          <w:sz w:val="24"/>
          <w:szCs w:val="24"/>
          <w:highlight w:val="none"/>
        </w:rPr>
      </w:pPr>
      <w:r>
        <w:rPr>
          <w:rFonts w:hint="eastAsia" w:ascii="宋体" w:hAnsi="宋体"/>
          <w:b/>
          <w:bCs/>
          <w:color w:val="auto"/>
          <w:sz w:val="24"/>
          <w:szCs w:val="24"/>
          <w:highlight w:val="none"/>
          <w:u w:val="single"/>
        </w:rPr>
        <w:t>本项目采用评定分离办法，评标采用“通过制评审法”的评标办法，定标采用</w:t>
      </w:r>
      <w:r>
        <w:rPr>
          <w:rFonts w:hint="eastAsia" w:ascii="宋体" w:hAnsi="宋体"/>
          <w:b/>
          <w:bCs/>
          <w:color w:val="auto"/>
          <w:sz w:val="24"/>
          <w:szCs w:val="24"/>
          <w:highlight w:val="none"/>
          <w:u w:val="single"/>
          <w:lang w:val="en-US" w:eastAsia="zh-CN"/>
        </w:rPr>
        <w:t>评分法</w:t>
      </w:r>
      <w:r>
        <w:rPr>
          <w:rFonts w:hint="eastAsia" w:ascii="宋体" w:hAnsi="宋体"/>
          <w:b/>
          <w:bCs/>
          <w:color w:val="auto"/>
          <w:sz w:val="24"/>
          <w:szCs w:val="24"/>
          <w:highlight w:val="none"/>
          <w:u w:val="single"/>
        </w:rPr>
        <w:t>的方式择优确定中标人</w:t>
      </w:r>
      <w:r>
        <w:rPr>
          <w:rFonts w:hint="eastAsia" w:ascii="宋体" w:hAnsi="宋体"/>
          <w:color w:val="auto"/>
          <w:sz w:val="24"/>
          <w:szCs w:val="24"/>
          <w:highlight w:val="none"/>
          <w:u w:val="single"/>
        </w:rPr>
        <w:t>。</w:t>
      </w:r>
      <w:r>
        <w:rPr>
          <w:rFonts w:hint="eastAsia" w:ascii="宋体" w:hAnsi="宋体" w:cs="宋体"/>
          <w:color w:val="auto"/>
          <w:sz w:val="24"/>
          <w:szCs w:val="24"/>
          <w:highlight w:val="none"/>
          <w:u w:val="single"/>
        </w:rPr>
        <w:t>评标委员会负责对投标文件的形式</w:t>
      </w:r>
      <w:r>
        <w:rPr>
          <w:rFonts w:hint="eastAsia" w:ascii="宋体" w:hAnsi="宋体" w:cs="宋体"/>
          <w:color w:val="auto"/>
          <w:sz w:val="24"/>
          <w:szCs w:val="24"/>
          <w:highlight w:val="none"/>
          <w:u w:val="single"/>
          <w:lang w:val="en-US" w:eastAsia="zh-CN"/>
        </w:rPr>
        <w:t>评审</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资格审查</w:t>
      </w:r>
      <w:r>
        <w:rPr>
          <w:rFonts w:hint="eastAsia" w:ascii="宋体" w:hAnsi="宋体" w:cs="宋体"/>
          <w:color w:val="auto"/>
          <w:sz w:val="24"/>
          <w:szCs w:val="24"/>
          <w:highlight w:val="none"/>
          <w:u w:val="single"/>
        </w:rPr>
        <w:t>、工程总承包实施方案响应性评审</w:t>
      </w:r>
      <w:r>
        <w:rPr>
          <w:rFonts w:hint="eastAsia" w:ascii="宋体" w:hAnsi="宋体" w:cs="宋体"/>
          <w:color w:val="auto"/>
          <w:sz w:val="24"/>
          <w:szCs w:val="24"/>
          <w:highlight w:val="none"/>
        </w:rPr>
        <w:t>，定标委员会负责对通过评标阶段的</w:t>
      </w:r>
      <w:r>
        <w:rPr>
          <w:rFonts w:hint="eastAsia" w:ascii="宋体" w:hAnsi="宋体" w:cs="宋体"/>
          <w:color w:val="auto"/>
          <w:sz w:val="24"/>
          <w:szCs w:val="24"/>
          <w:highlight w:val="none"/>
          <w:lang w:val="en-US" w:eastAsia="zh-CN"/>
        </w:rPr>
        <w:t>合格的</w:t>
      </w:r>
      <w:r>
        <w:rPr>
          <w:rFonts w:hint="eastAsia" w:ascii="宋体" w:hAnsi="宋体" w:cs="宋体"/>
          <w:color w:val="auto"/>
          <w:sz w:val="24"/>
          <w:szCs w:val="24"/>
          <w:highlight w:val="none"/>
        </w:rPr>
        <w:t>中标候选人进行</w:t>
      </w:r>
      <w:r>
        <w:rPr>
          <w:rFonts w:hint="eastAsia" w:ascii="宋体" w:hAnsi="宋体" w:cs="宋体"/>
          <w:color w:val="auto"/>
          <w:sz w:val="24"/>
          <w:szCs w:val="24"/>
          <w:highlight w:val="none"/>
          <w:lang w:val="en-US" w:eastAsia="zh-CN"/>
        </w:rPr>
        <w:t>评分</w:t>
      </w:r>
      <w:r>
        <w:rPr>
          <w:rFonts w:hint="eastAsia" w:ascii="宋体" w:hAnsi="宋体" w:cs="宋体"/>
          <w:color w:val="auto"/>
          <w:sz w:val="24"/>
          <w:szCs w:val="24"/>
          <w:highlight w:val="none"/>
        </w:rPr>
        <w:t>决定中标人，但投标报价低于其成本的除外。</w:t>
      </w:r>
    </w:p>
    <w:p w14:paraId="12FF0424">
      <w:pPr>
        <w:spacing w:line="360" w:lineRule="auto"/>
        <w:ind w:firstLine="420" w:firstLineChars="200"/>
        <w:rPr>
          <w:rFonts w:hint="eastAsia" w:ascii="宋体" w:hAnsi="宋体" w:cs="宋体"/>
          <w:color w:val="auto"/>
          <w:szCs w:val="24"/>
          <w:highlight w:val="none"/>
        </w:rPr>
      </w:pPr>
    </w:p>
    <w:p w14:paraId="63FDB5F3">
      <w:pPr>
        <w:keepNext/>
        <w:keepLines/>
        <w:spacing w:line="360" w:lineRule="auto"/>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2. 评审标准</w:t>
      </w:r>
    </w:p>
    <w:p w14:paraId="7FC763C5">
      <w:pPr>
        <w:keepNext/>
        <w:keepLines/>
        <w:spacing w:line="360" w:lineRule="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2.1 初步评审标准</w:t>
      </w:r>
    </w:p>
    <w:p w14:paraId="62932F0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 形式评审标准：</w:t>
      </w:r>
      <w:r>
        <w:rPr>
          <w:rFonts w:hint="eastAsia" w:ascii="宋体" w:hAnsi="宋体" w:cs="宋体"/>
          <w:color w:val="auto"/>
          <w:sz w:val="24"/>
          <w:szCs w:val="24"/>
          <w:highlight w:val="none"/>
          <w:u w:val="single"/>
        </w:rPr>
        <w:t>见评标和定标办法前附表</w:t>
      </w:r>
      <w:r>
        <w:rPr>
          <w:rFonts w:hint="eastAsia" w:ascii="宋体" w:hAnsi="宋体" w:cs="宋体"/>
          <w:color w:val="auto"/>
          <w:sz w:val="24"/>
          <w:szCs w:val="24"/>
          <w:highlight w:val="none"/>
        </w:rPr>
        <w:t>。</w:t>
      </w:r>
    </w:p>
    <w:p w14:paraId="5D18D50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2.1.2 </w:t>
      </w:r>
      <w:r>
        <w:rPr>
          <w:rFonts w:hint="eastAsia" w:ascii="宋体" w:hAnsi="宋体" w:cs="宋体"/>
          <w:color w:val="auto"/>
          <w:sz w:val="24"/>
          <w:szCs w:val="24"/>
          <w:highlight w:val="none"/>
          <w:lang w:eastAsia="zh-CN"/>
        </w:rPr>
        <w:t>资格审查</w:t>
      </w:r>
      <w:r>
        <w:rPr>
          <w:rFonts w:hint="eastAsia" w:ascii="宋体" w:hAnsi="宋体" w:cs="宋体"/>
          <w:color w:val="auto"/>
          <w:sz w:val="24"/>
          <w:szCs w:val="24"/>
          <w:highlight w:val="none"/>
        </w:rPr>
        <w:t>标准：</w:t>
      </w:r>
      <w:r>
        <w:rPr>
          <w:rFonts w:hint="eastAsia" w:ascii="宋体" w:hAnsi="宋体" w:cs="宋体"/>
          <w:color w:val="auto"/>
          <w:sz w:val="24"/>
          <w:szCs w:val="24"/>
          <w:highlight w:val="none"/>
          <w:u w:val="single"/>
        </w:rPr>
        <w:t>见评标和定标办法前附表</w:t>
      </w:r>
      <w:r>
        <w:rPr>
          <w:rFonts w:hint="eastAsia" w:ascii="宋体" w:hAnsi="宋体" w:cs="宋体"/>
          <w:color w:val="auto"/>
          <w:sz w:val="24"/>
          <w:szCs w:val="24"/>
          <w:highlight w:val="none"/>
        </w:rPr>
        <w:t>。</w:t>
      </w:r>
    </w:p>
    <w:p w14:paraId="0FEF2F7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工程总承包实施方案响应性评审标准：</w:t>
      </w:r>
      <w:r>
        <w:rPr>
          <w:rFonts w:hint="eastAsia" w:ascii="宋体" w:hAnsi="宋体" w:cs="宋体"/>
          <w:color w:val="auto"/>
          <w:sz w:val="24"/>
          <w:szCs w:val="24"/>
          <w:highlight w:val="none"/>
          <w:u w:val="single"/>
        </w:rPr>
        <w:t>见评标和定标办法前附表</w:t>
      </w:r>
      <w:r>
        <w:rPr>
          <w:rFonts w:hint="eastAsia" w:ascii="宋体" w:hAnsi="宋体" w:cs="宋体"/>
          <w:color w:val="auto"/>
          <w:sz w:val="24"/>
          <w:szCs w:val="24"/>
          <w:highlight w:val="none"/>
        </w:rPr>
        <w:t>。</w:t>
      </w:r>
    </w:p>
    <w:p w14:paraId="333A6EE5">
      <w:pPr>
        <w:spacing w:line="360" w:lineRule="auto"/>
        <w:ind w:firstLine="480" w:firstLineChars="200"/>
        <w:rPr>
          <w:rFonts w:hint="eastAsia" w:ascii="宋体" w:hAnsi="宋体" w:cs="宋体"/>
          <w:color w:val="auto"/>
          <w:sz w:val="24"/>
          <w:szCs w:val="24"/>
          <w:highlight w:val="none"/>
        </w:rPr>
      </w:pPr>
    </w:p>
    <w:p w14:paraId="798AB9AD">
      <w:pPr>
        <w:keepNext/>
        <w:keepLines/>
        <w:spacing w:line="360" w:lineRule="auto"/>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3. 评标、定标程序</w:t>
      </w:r>
    </w:p>
    <w:p w14:paraId="1D90531A">
      <w:pPr>
        <w:tabs>
          <w:tab w:val="left" w:pos="7380"/>
        </w:tabs>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lang w:val="en-US" w:eastAsia="zh-CN"/>
        </w:rPr>
        <w:t>评标委员会在开始评标前，应了解评标专家的职责及守则，认真阅读《评标委员会成员声明》的内容并签名，签字后方可进行评标。</w:t>
      </w:r>
    </w:p>
    <w:p w14:paraId="6B5FCE9C">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u w:val="single"/>
        </w:rPr>
        <w:t>评标委员会依据本章第2.1款规定的标准对投标文件进行初步评审。有一项不符合评审标准的，评标委员会应当否决其投标。未通过审查的，不得进入下一阶段评审。</w:t>
      </w:r>
    </w:p>
    <w:p w14:paraId="73087D8C">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3.1初步评审</w:t>
      </w:r>
      <w:r>
        <w:rPr>
          <w:rFonts w:hint="eastAsia" w:ascii="宋体" w:hAnsi="宋体" w:cs="宋体"/>
          <w:color w:val="auto"/>
          <w:sz w:val="24"/>
          <w:szCs w:val="24"/>
          <w:highlight w:val="none"/>
          <w:u w:val="single"/>
        </w:rPr>
        <w:t>标准：见评标和定标办法前附表</w:t>
      </w:r>
    </w:p>
    <w:p w14:paraId="5DD0BC2E">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3.1.1初步评审</w:t>
      </w:r>
      <w:r>
        <w:rPr>
          <w:rFonts w:hint="eastAsia" w:ascii="宋体" w:hAnsi="宋体" w:cs="宋体"/>
          <w:bCs/>
          <w:color w:val="auto"/>
          <w:sz w:val="24"/>
          <w:szCs w:val="24"/>
          <w:highlight w:val="none"/>
          <w:u w:val="single"/>
          <w:lang w:eastAsia="zh-CN"/>
        </w:rPr>
        <w:t>（形式评审、资格审查</w:t>
      </w:r>
      <w:r>
        <w:rPr>
          <w:rFonts w:hint="eastAsia" w:ascii="宋体" w:hAnsi="宋体" w:cs="宋体"/>
          <w:bCs/>
          <w:color w:val="auto"/>
          <w:sz w:val="24"/>
          <w:szCs w:val="24"/>
          <w:highlight w:val="none"/>
          <w:u w:val="single"/>
          <w:lang w:val="en-US" w:eastAsia="zh-CN"/>
        </w:rPr>
        <w:t>和工程总承包实施方案响应性评审</w:t>
      </w: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rPr>
        <w:t>及评标均由招标人依法组建的评标委员会负责。</w:t>
      </w:r>
    </w:p>
    <w:p w14:paraId="3A8CCFB6">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3.1.2评标委员会的组成：由招标人依法组建。</w:t>
      </w:r>
    </w:p>
    <w:p w14:paraId="45FAD4B6">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w:t>
      </w:r>
      <w:r>
        <w:rPr>
          <w:rFonts w:hint="eastAsia" w:ascii="宋体" w:hAnsi="宋体" w:cs="宋体"/>
          <w:bCs/>
          <w:color w:val="auto"/>
          <w:sz w:val="24"/>
          <w:szCs w:val="24"/>
          <w:highlight w:val="none"/>
          <w:u w:val="single"/>
          <w:lang w:eastAsia="zh-CN"/>
        </w:rPr>
        <w:t>资格审查</w:t>
      </w:r>
      <w:r>
        <w:rPr>
          <w:rFonts w:hint="eastAsia" w:ascii="宋体" w:hAnsi="宋体" w:cs="宋体"/>
          <w:bCs/>
          <w:color w:val="auto"/>
          <w:sz w:val="24"/>
          <w:szCs w:val="24"/>
          <w:highlight w:val="none"/>
          <w:u w:val="single"/>
        </w:rPr>
        <w:t>及评标细则</w:t>
      </w:r>
    </w:p>
    <w:p w14:paraId="61B2E800">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3.2.1</w:t>
      </w:r>
      <w:r>
        <w:rPr>
          <w:rFonts w:hint="eastAsia" w:ascii="宋体" w:hAnsi="宋体" w:cs="宋体"/>
          <w:bCs/>
          <w:color w:val="auto"/>
          <w:sz w:val="24"/>
          <w:szCs w:val="24"/>
          <w:highlight w:val="none"/>
          <w:u w:val="single"/>
          <w:lang w:eastAsia="zh-CN"/>
        </w:rPr>
        <w:t>资格审查</w:t>
      </w:r>
      <w:r>
        <w:rPr>
          <w:rFonts w:hint="eastAsia" w:ascii="宋体" w:hAnsi="宋体" w:cs="宋体"/>
          <w:bCs/>
          <w:color w:val="auto"/>
          <w:sz w:val="24"/>
          <w:szCs w:val="24"/>
          <w:highlight w:val="none"/>
          <w:u w:val="single"/>
        </w:rPr>
        <w:t>流程</w:t>
      </w:r>
    </w:p>
    <w:p w14:paraId="72CADE8D">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评标委员会按</w:t>
      </w:r>
      <w:r>
        <w:rPr>
          <w:rFonts w:hint="eastAsia" w:ascii="宋体" w:hAnsi="宋体" w:cs="宋体"/>
          <w:bCs/>
          <w:color w:val="auto"/>
          <w:sz w:val="24"/>
          <w:szCs w:val="24"/>
          <w:highlight w:val="none"/>
          <w:u w:val="single"/>
          <w:lang w:eastAsia="zh-CN"/>
        </w:rPr>
        <w:t>资格审查</w:t>
      </w:r>
      <w:r>
        <w:rPr>
          <w:rFonts w:hint="eastAsia" w:ascii="宋体" w:hAnsi="宋体" w:cs="宋体"/>
          <w:bCs/>
          <w:color w:val="auto"/>
          <w:sz w:val="24"/>
          <w:szCs w:val="24"/>
          <w:highlight w:val="none"/>
          <w:u w:val="single"/>
        </w:rPr>
        <w:t>标准对所有递交投标文件的投标人进行</w:t>
      </w:r>
      <w:r>
        <w:rPr>
          <w:rFonts w:hint="eastAsia" w:ascii="宋体" w:hAnsi="宋体" w:cs="宋体"/>
          <w:bCs/>
          <w:color w:val="auto"/>
          <w:sz w:val="24"/>
          <w:szCs w:val="24"/>
          <w:highlight w:val="none"/>
          <w:u w:val="single"/>
          <w:lang w:val="en-US" w:eastAsia="zh-CN"/>
        </w:rPr>
        <w:t>资格</w:t>
      </w:r>
      <w:r>
        <w:rPr>
          <w:rFonts w:hint="eastAsia" w:ascii="宋体" w:hAnsi="宋体" w:cs="宋体"/>
          <w:bCs/>
          <w:color w:val="auto"/>
          <w:sz w:val="24"/>
          <w:szCs w:val="24"/>
          <w:highlight w:val="none"/>
          <w:u w:val="single"/>
        </w:rPr>
        <w:t>审查，如资格审查合格的投标人不足3名时，应重新招标。</w:t>
      </w:r>
    </w:p>
    <w:p w14:paraId="7A29D049">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3.2.2投标人资格审查</w:t>
      </w:r>
    </w:p>
    <w:p w14:paraId="50531BA7">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3.2.3资格审查文件中全部符合《资格审查评审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5C27B57">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3.2.4.汇总资格审查情况，编写资格审查报告。</w:t>
      </w:r>
    </w:p>
    <w:p w14:paraId="281E3DAA">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44813977">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特别声明：资审合格后，投标人的资格发生变化而不满足投标人合格条件，在发出中标通知书前，资格问题仍未解决的，招标人将取消其中标资格。</w:t>
      </w:r>
    </w:p>
    <w:p w14:paraId="10BB86A1">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3.3工程总承包实施方案响应性评审：</w:t>
      </w:r>
      <w:r>
        <w:rPr>
          <w:rFonts w:hint="eastAsia" w:ascii="宋体" w:hAnsi="宋体" w:cs="宋体"/>
          <w:color w:val="auto"/>
          <w:sz w:val="24"/>
          <w:szCs w:val="24"/>
          <w:highlight w:val="none"/>
          <w:u w:val="single"/>
        </w:rPr>
        <w:t>见评标和定标办法前附表。</w:t>
      </w:r>
    </w:p>
    <w:p w14:paraId="5634EB0E">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评标委员会按照招标文件规定完成初步评审，向招标人推荐合格的中标候选人，合格的中标候选人不排序。如评标委员会成员的评审意见不一致时，以评标委员会过半数成员的意见作为评标委员会对该情形的认定结论。</w:t>
      </w:r>
    </w:p>
    <w:p w14:paraId="6ED58CAB">
      <w:pPr>
        <w:spacing w:line="360" w:lineRule="auto"/>
        <w:ind w:firstLine="480" w:firstLineChars="200"/>
        <w:rPr>
          <w:rFonts w:hint="eastAsia" w:ascii="宋体" w:hAnsi="宋体" w:cs="宋体"/>
          <w:b/>
          <w:color w:val="auto"/>
          <w:sz w:val="24"/>
          <w:szCs w:val="24"/>
          <w:highlight w:val="none"/>
          <w:u w:val="single"/>
        </w:rPr>
      </w:pPr>
      <w:r>
        <w:rPr>
          <w:rFonts w:hint="eastAsia" w:ascii="宋体" w:hAnsi="宋体" w:cs="宋体"/>
          <w:bCs/>
          <w:color w:val="auto"/>
          <w:sz w:val="24"/>
          <w:szCs w:val="24"/>
          <w:highlight w:val="none"/>
          <w:u w:val="single"/>
        </w:rPr>
        <w:t>3.4评审汇总</w:t>
      </w:r>
    </w:p>
    <w:p w14:paraId="796B19C6">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3.4.1 评标委员会评出合格的投标人全部进入定标阶段；</w:t>
      </w:r>
      <w:r>
        <w:rPr>
          <w:rFonts w:hint="eastAsia" w:ascii="宋体" w:hAnsi="宋体" w:cs="宋体"/>
          <w:bCs/>
          <w:color w:val="auto"/>
          <w:sz w:val="24"/>
          <w:szCs w:val="24"/>
          <w:highlight w:val="none"/>
          <w:u w:val="single"/>
        </w:rPr>
        <w:t>按统一</w:t>
      </w:r>
      <w:r>
        <w:rPr>
          <w:rFonts w:hint="eastAsia" w:ascii="宋体" w:hAnsi="宋体" w:cs="宋体"/>
          <w:bCs/>
          <w:color w:val="auto"/>
          <w:sz w:val="24"/>
          <w:szCs w:val="24"/>
          <w:highlight w:val="none"/>
          <w:u w:val="single"/>
          <w:lang w:val="en-US" w:eastAsia="zh-CN"/>
        </w:rPr>
        <w:t>社会</w:t>
      </w:r>
      <w:r>
        <w:rPr>
          <w:rFonts w:hint="eastAsia" w:ascii="宋体" w:hAnsi="宋体" w:cs="宋体"/>
          <w:bCs/>
          <w:color w:val="auto"/>
          <w:sz w:val="24"/>
          <w:szCs w:val="24"/>
          <w:highlight w:val="none"/>
          <w:u w:val="single"/>
        </w:rPr>
        <w:t>信用代码（联合体投标人，则以</w:t>
      </w:r>
      <w:r>
        <w:rPr>
          <w:rFonts w:hint="eastAsia" w:ascii="宋体" w:hAnsi="宋体" w:cs="宋体"/>
          <w:bCs/>
          <w:color w:val="auto"/>
          <w:sz w:val="24"/>
          <w:szCs w:val="24"/>
          <w:highlight w:val="none"/>
          <w:u w:val="single"/>
          <w:lang w:eastAsia="zh-CN"/>
        </w:rPr>
        <w:t>牵头单位</w:t>
      </w:r>
      <w:r>
        <w:rPr>
          <w:rFonts w:hint="eastAsia" w:ascii="宋体" w:hAnsi="宋体" w:cs="宋体"/>
          <w:bCs/>
          <w:color w:val="auto"/>
          <w:sz w:val="24"/>
          <w:szCs w:val="24"/>
          <w:highlight w:val="none"/>
          <w:u w:val="single"/>
        </w:rPr>
        <w:t>为准）后四位大小排位向招标人推荐不排序的合格的中标候选人</w:t>
      </w:r>
      <w:r>
        <w:rPr>
          <w:rFonts w:hint="eastAsia" w:ascii="宋体" w:hAnsi="宋体" w:cs="宋体"/>
          <w:color w:val="auto"/>
          <w:sz w:val="24"/>
          <w:szCs w:val="24"/>
          <w:highlight w:val="none"/>
          <w:u w:val="single"/>
        </w:rPr>
        <w:t>，并递交资格审查报告及评标报告。</w:t>
      </w:r>
    </w:p>
    <w:p w14:paraId="04651DF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3.4.2</w:t>
      </w:r>
      <w:r>
        <w:rPr>
          <w:rFonts w:hint="eastAsia" w:ascii="宋体" w:hAnsi="宋体" w:cs="宋体"/>
          <w:bCs/>
          <w:color w:val="auto"/>
          <w:sz w:val="24"/>
          <w:szCs w:val="24"/>
          <w:highlight w:val="none"/>
          <w:u w:val="single"/>
        </w:rPr>
        <w:t xml:space="preserve"> 通过初步评审的投标单位不</w:t>
      </w:r>
      <w:r>
        <w:rPr>
          <w:rFonts w:hint="eastAsia" w:ascii="宋体" w:hAnsi="宋体" w:cs="宋体"/>
          <w:color w:val="auto"/>
          <w:sz w:val="24"/>
          <w:szCs w:val="24"/>
          <w:highlight w:val="none"/>
          <w:u w:val="single"/>
        </w:rPr>
        <w:t>足3家，应当依法重新招标。</w:t>
      </w:r>
    </w:p>
    <w:p w14:paraId="565F9797">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3.5投标文件的澄清和补正</w:t>
      </w:r>
    </w:p>
    <w:p w14:paraId="790384C2">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3.5.1 为有助于投标文件的审查、评价和比较，评标期间，经评标委员会中超过2人（含2人）的成员以书面形式提出动议，评标委员会应当书面发出澄清通知，要求投标人对投标文件含义不明确的内容作出澄清。</w:t>
      </w:r>
    </w:p>
    <w:p w14:paraId="5DFFB49D">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1545C43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3.5.3 评标委员会成员均应当阅读投标人的澄清，但应独立参考澄清对投标文件进行评审。</w:t>
      </w:r>
    </w:p>
    <w:p w14:paraId="132526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3.5.4 如果投标文件实质上不响应招标文件的各项要求，评标委员会相应评审将按照初步评审标准予以拒绝，不接受投标人通过修改或撤销其不符合要求的差异或保留，使之成为具有响应性的投标</w:t>
      </w:r>
      <w:r>
        <w:rPr>
          <w:rFonts w:hint="eastAsia" w:ascii="宋体" w:hAnsi="宋体" w:cs="宋体"/>
          <w:color w:val="auto"/>
          <w:sz w:val="24"/>
          <w:szCs w:val="24"/>
          <w:highlight w:val="none"/>
        </w:rPr>
        <w:t>。</w:t>
      </w:r>
    </w:p>
    <w:p w14:paraId="06D12D01">
      <w:pPr>
        <w:keepNext/>
        <w:keepLines/>
        <w:spacing w:line="360" w:lineRule="auto"/>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3.6定标</w:t>
      </w:r>
    </w:p>
    <w:p w14:paraId="17BE6DD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3.6.1</w:t>
      </w:r>
      <w:r>
        <w:rPr>
          <w:rFonts w:hint="eastAsia" w:ascii="宋体" w:hAnsi="宋体" w:cs="宋体"/>
          <w:color w:val="auto"/>
          <w:sz w:val="24"/>
          <w:szCs w:val="24"/>
          <w:highlight w:val="none"/>
          <w:u w:val="single"/>
          <w:lang w:val="en-US" w:eastAsia="zh-CN"/>
        </w:rPr>
        <w:t>合格的</w:t>
      </w:r>
      <w:r>
        <w:rPr>
          <w:rFonts w:hint="eastAsia" w:ascii="宋体" w:hAnsi="宋体" w:cs="宋体"/>
          <w:color w:val="auto"/>
          <w:sz w:val="24"/>
          <w:szCs w:val="24"/>
          <w:highlight w:val="none"/>
          <w:u w:val="single"/>
        </w:rPr>
        <w:t>中标候选人公示结束后，招标人按以下规定组建定标委员会，在评标委员会推荐的合格</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中标候选人</w:t>
      </w:r>
      <w:r>
        <w:rPr>
          <w:rFonts w:hint="eastAsia" w:ascii="宋体" w:hAnsi="宋体" w:cs="宋体"/>
          <w:color w:val="auto"/>
          <w:sz w:val="24"/>
          <w:szCs w:val="24"/>
          <w:highlight w:val="none"/>
          <w:u w:val="single"/>
          <w:lang w:val="en-US" w:eastAsia="zh-CN"/>
        </w:rPr>
        <w:t>中</w:t>
      </w:r>
      <w:r>
        <w:rPr>
          <w:rFonts w:hint="eastAsia" w:ascii="宋体" w:hAnsi="宋体" w:cs="宋体"/>
          <w:color w:val="auto"/>
          <w:sz w:val="24"/>
          <w:szCs w:val="24"/>
          <w:highlight w:val="none"/>
          <w:u w:val="single"/>
        </w:rPr>
        <w:t>确定中标人：</w:t>
      </w:r>
    </w:p>
    <w:p w14:paraId="70BC165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（1）定标由招标人依法组建的定标委员会负责，成员数量为5人或以上单数，定标委员会成员不得参与定标前期准备工作。</w:t>
      </w:r>
    </w:p>
    <w:p w14:paraId="1293DAF7">
      <w:pPr>
        <w:spacing w:line="360" w:lineRule="auto"/>
        <w:ind w:firstLine="480" w:firstLineChars="200"/>
        <w:rPr>
          <w:rFonts w:hint="eastAsia" w:ascii="宋体" w:hAnsi="宋体"/>
          <w:b/>
          <w:bCs/>
          <w:color w:val="auto"/>
          <w:sz w:val="24"/>
          <w:szCs w:val="24"/>
          <w:highlight w:val="none"/>
          <w:u w:val="single"/>
        </w:rPr>
      </w:pPr>
      <w:r>
        <w:rPr>
          <w:rFonts w:hint="eastAsia" w:ascii="宋体" w:hAnsi="宋体" w:cs="宋体"/>
          <w:color w:val="auto"/>
          <w:sz w:val="24"/>
          <w:szCs w:val="24"/>
          <w:highlight w:val="none"/>
          <w:u w:val="single"/>
        </w:rPr>
        <w:t>（2）</w:t>
      </w:r>
      <w:r>
        <w:rPr>
          <w:rFonts w:hint="eastAsia" w:ascii="宋体" w:hAnsi="宋体" w:cs="宋体"/>
          <w:b/>
          <w:bCs/>
          <w:color w:val="auto"/>
          <w:sz w:val="24"/>
          <w:szCs w:val="24"/>
          <w:highlight w:val="none"/>
          <w:u w:val="single"/>
        </w:rPr>
        <w:t>招标人应当组建监督小组对定标过程进行见证监督。</w:t>
      </w:r>
    </w:p>
    <w:p w14:paraId="6D4C604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3.6.2 定标时间和地点：</w:t>
      </w:r>
    </w:p>
    <w:p w14:paraId="7B02DB0E">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招标人在</w:t>
      </w:r>
      <w:r>
        <w:rPr>
          <w:rFonts w:hint="eastAsia" w:ascii="宋体" w:hAnsi="宋体" w:cs="宋体"/>
          <w:color w:val="auto"/>
          <w:sz w:val="24"/>
          <w:szCs w:val="24"/>
          <w:highlight w:val="none"/>
          <w:u w:val="single"/>
          <w:lang w:val="en-US" w:eastAsia="zh-CN"/>
        </w:rPr>
        <w:t>合格的</w:t>
      </w:r>
      <w:r>
        <w:rPr>
          <w:rFonts w:hint="eastAsia" w:ascii="宋体" w:hAnsi="宋体" w:cs="宋体"/>
          <w:color w:val="auto"/>
          <w:sz w:val="24"/>
          <w:szCs w:val="24"/>
          <w:highlight w:val="none"/>
          <w:u w:val="single"/>
        </w:rPr>
        <w:t>中标候选人公示结束后10个工作日内在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举行定标会议，具体定标时间另行通知。</w:t>
      </w:r>
    </w:p>
    <w:p w14:paraId="388A8C8F">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3.6.3定标规则</w:t>
      </w:r>
    </w:p>
    <w:p w14:paraId="0503F1EF">
      <w:pPr>
        <w:spacing w:line="360" w:lineRule="auto"/>
        <w:ind w:firstLine="482" w:firstLineChars="200"/>
        <w:rPr>
          <w:rFonts w:hint="eastAsia" w:ascii="宋体" w:hAnsi="宋体" w:cs="宋体"/>
          <w:color w:val="auto"/>
          <w:sz w:val="24"/>
          <w:szCs w:val="24"/>
          <w:highlight w:val="none"/>
          <w:u w:val="single"/>
        </w:rPr>
      </w:pPr>
      <w:r>
        <w:rPr>
          <w:rFonts w:hint="eastAsia" w:ascii="宋体" w:hAnsi="宋体"/>
          <w:b/>
          <w:bCs/>
          <w:color w:val="auto"/>
          <w:sz w:val="24"/>
          <w:szCs w:val="24"/>
          <w:highlight w:val="none"/>
          <w:u w:val="single"/>
          <w:lang w:val="en-US" w:eastAsia="zh-CN"/>
        </w:rPr>
        <w:t>定标采用评分法。</w:t>
      </w:r>
      <w:r>
        <w:rPr>
          <w:rFonts w:hint="eastAsia" w:ascii="宋体" w:hAnsi="宋体"/>
          <w:color w:val="auto"/>
          <w:sz w:val="24"/>
          <w:szCs w:val="24"/>
          <w:highlight w:val="none"/>
          <w:u w:val="single"/>
          <w:lang w:val="en-US" w:eastAsia="zh-CN"/>
        </w:rPr>
        <w:t>具体</w:t>
      </w:r>
      <w:r>
        <w:rPr>
          <w:rFonts w:hint="eastAsia" w:ascii="宋体" w:hAnsi="宋体"/>
          <w:color w:val="auto"/>
          <w:sz w:val="24"/>
          <w:szCs w:val="24"/>
          <w:highlight w:val="none"/>
          <w:u w:val="single"/>
        </w:rPr>
        <w:t>定标方法如下：</w:t>
      </w:r>
    </w:p>
    <w:p w14:paraId="6B2BCFC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3.6.4定标因素，包含：</w:t>
      </w:r>
    </w:p>
    <w:p w14:paraId="4E9FA7B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（1）方案因素；</w:t>
      </w:r>
    </w:p>
    <w:p w14:paraId="61E58D2E">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资信因素；</w:t>
      </w:r>
    </w:p>
    <w:p w14:paraId="3C0301A5">
      <w:pP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价格因素</w:t>
      </w:r>
      <w:r>
        <w:rPr>
          <w:rFonts w:hint="eastAsia" w:ascii="宋体" w:hAnsi="宋体" w:cs="宋体"/>
          <w:color w:val="auto"/>
          <w:sz w:val="24"/>
          <w:szCs w:val="24"/>
          <w:highlight w:val="none"/>
          <w:u w:val="single"/>
          <w:lang w:val="en-US" w:eastAsia="zh-CN"/>
        </w:rPr>
        <w:t>；</w:t>
      </w:r>
    </w:p>
    <w:p w14:paraId="33E5E76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3.6.5定标程序</w:t>
      </w:r>
    </w:p>
    <w:p w14:paraId="360C478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3.6.5.1定标工作开始后，定标委员会应推荐一人为定标委员会组长，主持当次定标会议。</w:t>
      </w:r>
    </w:p>
    <w:p w14:paraId="69881B89">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3.6.5.2 发放定标文件：评标阶段的评标报告、合格</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中标候选人提交的投标文件（含定标文件）。</w:t>
      </w:r>
    </w:p>
    <w:p w14:paraId="54A913C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3.6.5.3 定标委员会根据</w:t>
      </w:r>
      <w:r>
        <w:rPr>
          <w:rFonts w:hint="eastAsia" w:ascii="宋体" w:hAnsi="宋体" w:cs="宋体"/>
          <w:color w:val="auto"/>
          <w:sz w:val="24"/>
          <w:szCs w:val="24"/>
          <w:highlight w:val="none"/>
          <w:u w:val="single"/>
          <w:lang w:eastAsia="zh-CN"/>
        </w:rPr>
        <w:t>定标文件</w:t>
      </w:r>
      <w:r>
        <w:rPr>
          <w:rFonts w:hint="eastAsia" w:ascii="宋体" w:hAnsi="宋体" w:cs="宋体"/>
          <w:color w:val="auto"/>
          <w:sz w:val="24"/>
          <w:szCs w:val="24"/>
          <w:highlight w:val="none"/>
          <w:u w:val="single"/>
        </w:rPr>
        <w:t>，在同等条件下，根据定标因素及投标人提供的定标部分的投标文件，对进入定标阶段的全部合格的中标候选人的方案因素</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资信因素、</w:t>
      </w:r>
      <w:r>
        <w:rPr>
          <w:rFonts w:hint="eastAsia" w:ascii="宋体" w:hAnsi="宋体" w:cs="宋体"/>
          <w:color w:val="auto"/>
          <w:sz w:val="24"/>
          <w:szCs w:val="24"/>
          <w:highlight w:val="none"/>
          <w:u w:val="single"/>
        </w:rPr>
        <w:t>价格因素进行</w:t>
      </w:r>
      <w:r>
        <w:rPr>
          <w:rFonts w:hint="eastAsia" w:ascii="宋体" w:hAnsi="宋体" w:cs="宋体"/>
          <w:color w:val="auto"/>
          <w:sz w:val="24"/>
          <w:szCs w:val="24"/>
          <w:highlight w:val="none"/>
          <w:u w:val="single"/>
          <w:lang w:val="en-US" w:eastAsia="zh-CN"/>
        </w:rPr>
        <w:t>评分</w:t>
      </w:r>
      <w:r>
        <w:rPr>
          <w:rFonts w:hint="eastAsia" w:ascii="宋体" w:hAnsi="宋体" w:cs="宋体"/>
          <w:color w:val="auto"/>
          <w:sz w:val="24"/>
          <w:szCs w:val="24"/>
          <w:highlight w:val="none"/>
          <w:u w:val="single"/>
        </w:rPr>
        <w:t>。详见《定标因素评审表》。</w:t>
      </w:r>
    </w:p>
    <w:p w14:paraId="6A4BC076">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3.6.5.4 定标委员会计算</w:t>
      </w:r>
      <w:r>
        <w:rPr>
          <w:rFonts w:hint="eastAsia" w:ascii="宋体" w:hAnsi="宋体" w:cs="宋体"/>
          <w:color w:val="auto"/>
          <w:sz w:val="24"/>
          <w:szCs w:val="24"/>
          <w:highlight w:val="none"/>
          <w:u w:val="single"/>
          <w:lang w:val="en-US" w:eastAsia="zh-CN"/>
        </w:rPr>
        <w:t>汇总各合格的</w:t>
      </w:r>
      <w:r>
        <w:rPr>
          <w:rFonts w:hint="eastAsia" w:ascii="宋体" w:hAnsi="宋体" w:cs="宋体"/>
          <w:color w:val="auto"/>
          <w:sz w:val="24"/>
          <w:szCs w:val="24"/>
          <w:highlight w:val="none"/>
          <w:u w:val="single"/>
        </w:rPr>
        <w:t>中标候选人总得分。总得分</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满分100分</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=方案因素（</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0分）</w:t>
      </w:r>
      <w:r>
        <w:rPr>
          <w:rFonts w:hint="eastAsia" w:ascii="宋体" w:hAnsi="宋体" w:cs="宋体"/>
          <w:color w:val="auto"/>
          <w:sz w:val="24"/>
          <w:szCs w:val="24"/>
          <w:highlight w:val="none"/>
          <w:u w:val="single"/>
          <w:lang w:val="en-US" w:eastAsia="zh-CN"/>
        </w:rPr>
        <w:t>+资信因素（10分）</w:t>
      </w:r>
      <w:r>
        <w:rPr>
          <w:rFonts w:hint="eastAsia" w:ascii="宋体" w:hAnsi="宋体" w:cs="宋体"/>
          <w:color w:val="auto"/>
          <w:sz w:val="24"/>
          <w:szCs w:val="24"/>
          <w:highlight w:val="none"/>
          <w:u w:val="single"/>
        </w:rPr>
        <w:t>+价格因素（</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0分</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。总得分四舍五入保留两位小数。</w:t>
      </w:r>
    </w:p>
    <w:p w14:paraId="44B0124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总得分相同的，以投标报价低的排前；若投标报价相同的，以方案因素得分高的排前，若方案因素得分仍相同的，则对具有相同情况的合格的中标候选人，由定标委员会采用记名投票以得票多优先，确定合格的中标候选人的排序，推荐第一的合格的中标候选人为中标人。</w:t>
      </w:r>
    </w:p>
    <w:p w14:paraId="4F23D25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定标委员会确定总得分最高合格的中标候选人为中标人。</w:t>
      </w:r>
    </w:p>
    <w:p w14:paraId="13853CA3">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编写定标报告，定标委员会全体确认后签署定标报告。定标报告由定标委员会全体成员签字，对定标结论持有异议的成员应以书面方式阐述其不同意见和理由。</w:t>
      </w:r>
    </w:p>
    <w:p w14:paraId="228F58E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3.6.6 如在合格中标候选人公示期间或在中标结果公示前出现合格中标候选人放弃其中标候选人资格的情形，招标人有权从其他合格中标候选人中继续采用定标办法，由定标委员会确定中标人，招标人也可以重新招标。如所有的合格中标候选人均放弃其中标候选人资格的，为招标失败，招标人依法重新招标。</w:t>
      </w:r>
    </w:p>
    <w:p w14:paraId="273BF40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3.6.7 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中标候选人中采用原定标办法，由原定标委员会确定中标人，招标人也可以重新招标。</w:t>
      </w:r>
    </w:p>
    <w:p w14:paraId="335D5E9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3.6.8 因投诉生效，需要重新评标或定标的，评标、定标信息仍以投标截止时投标人的信息为准。在评标阶段因特殊原因需要延长投标有效期，投标人拒绝延长投标有效期的，仍参与评标，但不被推荐为合格</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中标候选人；在定标阶段，因特殊原因需要延长投标有效期，合格候选人拒绝延长投标有效期的，该候选人不得参与定标。</w:t>
      </w:r>
    </w:p>
    <w:p w14:paraId="35ADF20B">
      <w:pPr>
        <w:spacing w:line="360" w:lineRule="auto"/>
        <w:ind w:firstLine="480" w:firstLineChars="200"/>
        <w:rPr>
          <w:rFonts w:hint="eastAsia" w:ascii="宋体" w:hAnsi="宋体" w:cs="宋体"/>
          <w:color w:val="auto"/>
          <w:sz w:val="24"/>
          <w:szCs w:val="24"/>
          <w:highlight w:val="none"/>
        </w:rPr>
      </w:pPr>
    </w:p>
    <w:p w14:paraId="5022239A">
      <w:pPr>
        <w:keepNext/>
        <w:keepLines/>
        <w:spacing w:line="360" w:lineRule="auto"/>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4. 评标、定标表格</w:t>
      </w:r>
    </w:p>
    <w:p w14:paraId="6BFFA8D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见后附。</w:t>
      </w:r>
    </w:p>
    <w:p w14:paraId="7E14F7BC">
      <w:pPr>
        <w:spacing w:line="360" w:lineRule="auto"/>
        <w:ind w:firstLine="420" w:firstLineChars="200"/>
        <w:rPr>
          <w:rFonts w:hint="eastAsia" w:ascii="宋体" w:hAnsi="宋体" w:cs="宋体"/>
          <w:color w:val="auto"/>
          <w:szCs w:val="24"/>
          <w:highlight w:val="none"/>
        </w:rPr>
        <w:sectPr>
          <w:pgSz w:w="11905" w:h="16838"/>
          <w:pgMar w:top="1440" w:right="1080" w:bottom="1440" w:left="1080" w:header="567" w:footer="850" w:gutter="0"/>
          <w:cols w:space="720" w:num="1"/>
          <w:docGrid w:linePitch="312" w:charSpace="0"/>
        </w:sectPr>
      </w:pPr>
    </w:p>
    <w:p w14:paraId="7AB57029">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附表一：</w:t>
      </w:r>
    </w:p>
    <w:p w14:paraId="5C6CD62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资格审查评审表</w:t>
      </w:r>
    </w:p>
    <w:tbl>
      <w:tblPr>
        <w:tblStyle w:val="18"/>
        <w:tblW w:w="13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09"/>
        <w:gridCol w:w="11624"/>
        <w:gridCol w:w="425"/>
        <w:gridCol w:w="567"/>
        <w:gridCol w:w="425"/>
      </w:tblGrid>
      <w:tr w14:paraId="4FB78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D1C6E2">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1624" w:type="dxa"/>
            <w:tcBorders>
              <w:top w:val="single" w:color="000000" w:sz="4" w:space="0"/>
              <w:left w:val="single" w:color="000000" w:sz="4" w:space="0"/>
              <w:bottom w:val="single" w:color="000000" w:sz="4" w:space="0"/>
              <w:right w:val="single" w:color="000000" w:sz="4" w:space="0"/>
            </w:tcBorders>
            <w:noWrap w:val="0"/>
            <w:vAlign w:val="top"/>
          </w:tcPr>
          <w:p w14:paraId="6F62F104">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评审内容</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2812FB8B">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038AFB70">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7C2326A5">
            <w:pPr>
              <w:spacing w:line="360" w:lineRule="auto"/>
              <w:rPr>
                <w:rFonts w:hint="eastAsia" w:ascii="宋体" w:hAnsi="宋体" w:cs="宋体"/>
                <w:bCs/>
                <w:color w:val="auto"/>
                <w:szCs w:val="21"/>
                <w:highlight w:val="none"/>
              </w:rPr>
            </w:pPr>
          </w:p>
        </w:tc>
      </w:tr>
      <w:tr w14:paraId="32083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2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B40B3F">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7A87B4AA">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u w:val="single"/>
              </w:rPr>
              <w:t>投标人参加投标的意思表达清楚，投标人代表被授权有效。投标文件中有法定代表人证明书，如投标文件为委托代理人签署应同时附上法定代表人证明书和法定代表人授权书。（若为联合体投标，由</w:t>
            </w:r>
            <w:r>
              <w:rPr>
                <w:rFonts w:hint="eastAsia" w:ascii="宋体" w:hAnsi="宋体" w:cs="宋体"/>
                <w:bCs/>
                <w:color w:val="auto"/>
                <w:szCs w:val="21"/>
                <w:highlight w:val="none"/>
                <w:u w:val="single"/>
                <w:lang w:eastAsia="zh-CN"/>
              </w:rPr>
              <w:t>牵头单位</w:t>
            </w:r>
            <w:r>
              <w:rPr>
                <w:rFonts w:hint="eastAsia" w:ascii="宋体" w:hAnsi="宋体" w:cs="宋体"/>
                <w:bCs/>
                <w:color w:val="auto"/>
                <w:szCs w:val="21"/>
                <w:highlight w:val="none"/>
                <w:u w:val="single"/>
              </w:rPr>
              <w:t>出具即可）。</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30B7FC7F">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01A0CCAE">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4D060A59">
            <w:pPr>
              <w:spacing w:line="360" w:lineRule="auto"/>
              <w:rPr>
                <w:rFonts w:hint="eastAsia" w:ascii="宋体" w:hAnsi="宋体" w:cs="宋体"/>
                <w:bCs/>
                <w:color w:val="auto"/>
                <w:szCs w:val="21"/>
                <w:highlight w:val="none"/>
              </w:rPr>
            </w:pPr>
          </w:p>
        </w:tc>
      </w:tr>
      <w:tr w14:paraId="02E97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1B9538">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0A319BD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投标人（联合体各成员）均具有独立法人资格</w:t>
            </w:r>
            <w:r>
              <w:rPr>
                <w:rFonts w:hint="eastAsia" w:ascii="宋体" w:hAnsi="宋体" w:cs="宋体"/>
                <w:color w:val="auto"/>
                <w:szCs w:val="21"/>
                <w:highlight w:val="none"/>
              </w:rPr>
              <w:t>持有工商行政</w:t>
            </w:r>
            <w:r>
              <w:rPr>
                <w:rFonts w:hint="eastAsia" w:ascii="宋体" w:hAnsi="宋体" w:cs="宋体"/>
                <w:color w:val="auto"/>
                <w:szCs w:val="21"/>
                <w:highlight w:val="none"/>
                <w:u w:val="single"/>
              </w:rPr>
              <w:t>（市场监督）</w:t>
            </w:r>
            <w:r>
              <w:rPr>
                <w:rFonts w:hint="eastAsia" w:ascii="宋体" w:hAnsi="宋体" w:cs="宋体"/>
                <w:color w:val="auto"/>
                <w:szCs w:val="21"/>
                <w:highlight w:val="none"/>
              </w:rPr>
              <w:t>管理部门核发的法人营业执照</w:t>
            </w:r>
            <w:r>
              <w:rPr>
                <w:rFonts w:hint="eastAsia" w:ascii="宋体" w:hAnsi="宋体" w:cs="宋体"/>
                <w:color w:val="auto"/>
                <w:szCs w:val="21"/>
                <w:highlight w:val="none"/>
                <w:u w:val="single"/>
              </w:rPr>
              <w:t>或各级政府事业单位登记管理机关颁发的事业单位法人证书</w:t>
            </w:r>
            <w:r>
              <w:rPr>
                <w:rFonts w:hint="eastAsia" w:ascii="宋体" w:hAnsi="宋体" w:cs="宋体"/>
                <w:bCs/>
                <w:color w:val="auto"/>
                <w:szCs w:val="21"/>
                <w:highlight w:val="none"/>
              </w:rPr>
              <w:t>；</w:t>
            </w:r>
            <w:r>
              <w:rPr>
                <w:rFonts w:hint="eastAsia" w:ascii="宋体" w:hAnsi="宋体" w:cs="宋体"/>
                <w:color w:val="auto"/>
                <w:szCs w:val="21"/>
                <w:highlight w:val="none"/>
              </w:rPr>
              <w:t>按国家法律经营</w:t>
            </w:r>
            <w:r>
              <w:rPr>
                <w:rFonts w:hint="eastAsia" w:ascii="宋体" w:hAnsi="宋体" w:cs="宋体"/>
                <w:bCs/>
                <w:color w:val="auto"/>
                <w:szCs w:val="21"/>
                <w:highlight w:val="none"/>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51DC72D2">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094A2BD1">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7F38AEA0">
            <w:pPr>
              <w:spacing w:line="360" w:lineRule="auto"/>
              <w:rPr>
                <w:rFonts w:hint="eastAsia" w:ascii="宋体" w:hAnsi="宋体" w:cs="宋体"/>
                <w:bCs/>
                <w:color w:val="auto"/>
                <w:szCs w:val="21"/>
                <w:highlight w:val="none"/>
              </w:rPr>
            </w:pPr>
          </w:p>
        </w:tc>
      </w:tr>
      <w:tr w14:paraId="04C7D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8CB7F9">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103A63C0">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投标人（或联合体各成员）企业资质符合招标公告要求</w:t>
            </w:r>
            <w:r>
              <w:rPr>
                <w:rFonts w:hint="eastAsia" w:ascii="宋体" w:hAnsi="宋体" w:cs="宋体"/>
                <w:bCs/>
                <w:color w:val="auto"/>
                <w:szCs w:val="21"/>
                <w:highlight w:val="none"/>
                <w:lang w:eastAsia="zh-CN"/>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4CFF20D0">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227DAA94">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0953AF27">
            <w:pPr>
              <w:spacing w:line="360" w:lineRule="auto"/>
              <w:rPr>
                <w:rFonts w:hint="eastAsia" w:ascii="宋体" w:hAnsi="宋体" w:cs="宋体"/>
                <w:bCs/>
                <w:color w:val="auto"/>
                <w:szCs w:val="21"/>
                <w:highlight w:val="none"/>
              </w:rPr>
            </w:pPr>
          </w:p>
        </w:tc>
      </w:tr>
      <w:tr w14:paraId="543A7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9941C0">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4</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563027A8">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u w:val="single"/>
              </w:rPr>
              <w:t>投标人（若为联合体投标，由施工单位提供）并具有建设行政主管部门颁发的安全生产许可证。</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64DB15EA">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5F77DD9D">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4AA7C427">
            <w:pPr>
              <w:spacing w:line="360" w:lineRule="auto"/>
              <w:rPr>
                <w:rFonts w:hint="eastAsia" w:ascii="宋体" w:hAnsi="宋体" w:cs="宋体"/>
                <w:bCs/>
                <w:color w:val="auto"/>
                <w:szCs w:val="21"/>
                <w:highlight w:val="none"/>
              </w:rPr>
            </w:pPr>
          </w:p>
        </w:tc>
      </w:tr>
      <w:tr w14:paraId="65837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82A6CD">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5</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0E2D9CFE">
            <w:pPr>
              <w:spacing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拟派项目负责人（兼施工负责人）（若为联合体投标，由</w:t>
            </w:r>
            <w:r>
              <w:rPr>
                <w:rFonts w:hint="eastAsia" w:ascii="宋体" w:hAnsi="宋体" w:cs="宋体"/>
                <w:bCs/>
                <w:color w:val="auto"/>
                <w:szCs w:val="21"/>
                <w:highlight w:val="none"/>
                <w:u w:val="single"/>
                <w:lang w:eastAsia="zh-CN"/>
              </w:rPr>
              <w:t>牵头单位</w:t>
            </w:r>
            <w:r>
              <w:rPr>
                <w:rFonts w:hint="eastAsia" w:ascii="宋体" w:hAnsi="宋体" w:cs="宋体"/>
                <w:bCs/>
                <w:color w:val="auto"/>
                <w:szCs w:val="21"/>
                <w:highlight w:val="none"/>
                <w:u w:val="single"/>
              </w:rPr>
              <w:t>提供）满足招标公告要求。</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4FF62928">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717304E3">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65BF175E">
            <w:pPr>
              <w:spacing w:line="360" w:lineRule="auto"/>
              <w:rPr>
                <w:rFonts w:hint="eastAsia" w:ascii="宋体" w:hAnsi="宋体" w:cs="宋体"/>
                <w:bCs/>
                <w:color w:val="auto"/>
                <w:szCs w:val="21"/>
                <w:highlight w:val="none"/>
              </w:rPr>
            </w:pPr>
          </w:p>
        </w:tc>
      </w:tr>
      <w:tr w14:paraId="64DED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5A2619">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6</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3E71A29B">
            <w:pPr>
              <w:spacing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拟派施工技术负责人（若为联合体投标，由</w:t>
            </w:r>
            <w:r>
              <w:rPr>
                <w:rFonts w:hint="eastAsia" w:ascii="宋体" w:hAnsi="宋体" w:cs="宋体"/>
                <w:bCs/>
                <w:color w:val="auto"/>
                <w:szCs w:val="21"/>
                <w:highlight w:val="none"/>
                <w:u w:val="single"/>
                <w:lang w:eastAsia="zh-CN"/>
              </w:rPr>
              <w:t>牵头单位</w:t>
            </w:r>
            <w:r>
              <w:rPr>
                <w:rFonts w:hint="eastAsia" w:ascii="宋体" w:hAnsi="宋体" w:cs="宋体"/>
                <w:bCs/>
                <w:color w:val="auto"/>
                <w:szCs w:val="21"/>
                <w:highlight w:val="none"/>
                <w:u w:val="single"/>
              </w:rPr>
              <w:t>提供）满足招标公告要求。</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30B8429D">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56B26D47">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0585A9DE">
            <w:pPr>
              <w:spacing w:line="360" w:lineRule="auto"/>
              <w:rPr>
                <w:rFonts w:hint="eastAsia" w:ascii="宋体" w:hAnsi="宋体" w:cs="宋体"/>
                <w:bCs/>
                <w:color w:val="auto"/>
                <w:szCs w:val="21"/>
                <w:highlight w:val="none"/>
              </w:rPr>
            </w:pPr>
          </w:p>
        </w:tc>
      </w:tr>
      <w:tr w14:paraId="349BA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F4B6F4">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7</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31B7DFBF">
            <w:pPr>
              <w:spacing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拟派设计负责人（若为联合体投标，由</w:t>
            </w:r>
            <w:r>
              <w:rPr>
                <w:rFonts w:hint="eastAsia" w:ascii="宋体" w:hAnsi="宋体" w:cs="宋体"/>
                <w:bCs/>
                <w:color w:val="auto"/>
                <w:szCs w:val="21"/>
                <w:highlight w:val="none"/>
                <w:u w:val="single"/>
                <w:lang w:val="en-US" w:eastAsia="zh-CN"/>
              </w:rPr>
              <w:t>承接设计任务的成员</w:t>
            </w:r>
            <w:r>
              <w:rPr>
                <w:rFonts w:hint="eastAsia" w:ascii="宋体" w:hAnsi="宋体" w:cs="宋体"/>
                <w:bCs/>
                <w:color w:val="auto"/>
                <w:szCs w:val="21"/>
                <w:highlight w:val="none"/>
                <w:u w:val="single"/>
              </w:rPr>
              <w:t>方提供）满足招标公告要求。</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2F046341">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61365A1C">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4A5D5C54">
            <w:pPr>
              <w:spacing w:line="360" w:lineRule="auto"/>
              <w:rPr>
                <w:rFonts w:hint="eastAsia" w:ascii="宋体" w:hAnsi="宋体" w:cs="宋体"/>
                <w:bCs/>
                <w:color w:val="auto"/>
                <w:szCs w:val="21"/>
                <w:highlight w:val="none"/>
              </w:rPr>
            </w:pPr>
          </w:p>
        </w:tc>
      </w:tr>
      <w:tr w14:paraId="01F77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30F9B0">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8</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783D9CDC">
            <w:pPr>
              <w:spacing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拟派专职安全人员（若为联合体投标，由</w:t>
            </w:r>
            <w:r>
              <w:rPr>
                <w:rFonts w:hint="eastAsia" w:ascii="宋体" w:hAnsi="宋体" w:cs="宋体"/>
                <w:bCs/>
                <w:color w:val="auto"/>
                <w:szCs w:val="21"/>
                <w:highlight w:val="none"/>
                <w:u w:val="single"/>
                <w:lang w:eastAsia="zh-CN"/>
              </w:rPr>
              <w:t>牵头单位</w:t>
            </w:r>
            <w:r>
              <w:rPr>
                <w:rFonts w:hint="eastAsia" w:ascii="宋体" w:hAnsi="宋体" w:cs="宋体"/>
                <w:bCs/>
                <w:color w:val="auto"/>
                <w:szCs w:val="21"/>
                <w:highlight w:val="none"/>
                <w:u w:val="single"/>
              </w:rPr>
              <w:t>提供）须持有在有效期内的安全生产考核合格证书（C类）或建筑施工企业专职安全生产管理人员安全生产考核合格证书（C3）。</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09F8275E">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6F915DED">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70FD3202">
            <w:pPr>
              <w:spacing w:line="360" w:lineRule="auto"/>
              <w:rPr>
                <w:rFonts w:hint="eastAsia" w:ascii="宋体" w:hAnsi="宋体" w:cs="宋体"/>
                <w:bCs/>
                <w:color w:val="auto"/>
                <w:szCs w:val="21"/>
                <w:highlight w:val="none"/>
              </w:rPr>
            </w:pPr>
          </w:p>
        </w:tc>
      </w:tr>
      <w:tr w14:paraId="634B1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617272">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9</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0A7E402E">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u w:val="single"/>
              </w:rPr>
              <w:t>联合体投标的提交《</w:t>
            </w:r>
            <w:bookmarkStart w:id="1076" w:name="_Toc22643"/>
            <w:bookmarkStart w:id="1077" w:name="_Toc12111"/>
            <w:r>
              <w:rPr>
                <w:rFonts w:hint="eastAsia" w:ascii="宋体" w:hAnsi="宋体" w:cs="宋体"/>
                <w:bCs/>
                <w:color w:val="auto"/>
                <w:szCs w:val="21"/>
                <w:highlight w:val="none"/>
                <w:u w:val="single"/>
              </w:rPr>
              <w:t>联合体共同投标协议</w:t>
            </w:r>
            <w:bookmarkEnd w:id="1076"/>
            <w:bookmarkEnd w:id="1077"/>
            <w:r>
              <w:rPr>
                <w:rFonts w:hint="eastAsia" w:ascii="宋体" w:hAnsi="宋体" w:cs="宋体"/>
                <w:bCs/>
                <w:color w:val="auto"/>
                <w:szCs w:val="21"/>
                <w:highlight w:val="none"/>
                <w:u w:val="single"/>
              </w:rPr>
              <w:t>》，联合体组成符合招标公告要求。</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3C552741">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14460D30">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4E1D21EB">
            <w:pPr>
              <w:spacing w:line="360" w:lineRule="auto"/>
              <w:rPr>
                <w:rFonts w:hint="eastAsia" w:ascii="宋体" w:hAnsi="宋体" w:cs="宋体"/>
                <w:bCs/>
                <w:color w:val="auto"/>
                <w:szCs w:val="21"/>
                <w:highlight w:val="none"/>
              </w:rPr>
            </w:pPr>
          </w:p>
        </w:tc>
      </w:tr>
      <w:tr w14:paraId="1EF39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ACC05E">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10</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442078FC">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投标人提供的投标人声明符合招标公告要求。</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220B2C3E">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6E6B0B2D">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34E266F2">
            <w:pPr>
              <w:spacing w:line="360" w:lineRule="auto"/>
              <w:rPr>
                <w:rFonts w:hint="eastAsia" w:ascii="宋体" w:hAnsi="宋体" w:cs="宋体"/>
                <w:bCs/>
                <w:color w:val="auto"/>
                <w:szCs w:val="21"/>
                <w:highlight w:val="none"/>
              </w:rPr>
            </w:pPr>
          </w:p>
        </w:tc>
      </w:tr>
      <w:tr w14:paraId="5D2D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6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79B58B">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11</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0950C431">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u w:val="single"/>
              </w:rPr>
              <w:t>投标人（若为联合体投标，指联合体各方）须在</w:t>
            </w:r>
            <w:r>
              <w:rPr>
                <w:rFonts w:hint="eastAsia" w:ascii="宋体" w:hAnsi="宋体" w:cs="宋体"/>
                <w:bCs/>
                <w:strike w:val="0"/>
                <w:dstrike w:val="0"/>
                <w:color w:val="auto"/>
                <w:szCs w:val="21"/>
                <w:highlight w:val="none"/>
                <w:u w:val="single"/>
              </w:rPr>
              <w:t>广州市住建行业信用管理平台建立企业信用档案，及拟担任本项目的项目负责人（兼施工负责人）、专职安全人员</w:t>
            </w:r>
            <w:r>
              <w:rPr>
                <w:rFonts w:hint="eastAsia" w:ascii="宋体" w:hAnsi="宋体" w:cs="宋体"/>
                <w:bCs/>
                <w:strike w:val="0"/>
                <w:dstrike w:val="0"/>
                <w:color w:val="auto"/>
                <w:szCs w:val="21"/>
                <w:highlight w:val="none"/>
                <w:u w:val="single"/>
                <w:lang w:eastAsia="zh-CN"/>
              </w:rPr>
              <w:t>、设计负责人</w:t>
            </w:r>
            <w:r>
              <w:rPr>
                <w:rFonts w:hint="eastAsia" w:ascii="宋体" w:hAnsi="宋体" w:cs="宋体"/>
                <w:bCs/>
                <w:strike w:val="0"/>
                <w:dstrike w:val="0"/>
                <w:color w:val="auto"/>
                <w:szCs w:val="21"/>
                <w:highlight w:val="none"/>
                <w:u w:val="single"/>
                <w:lang w:val="en-US" w:eastAsia="zh-CN"/>
              </w:rPr>
              <w:t>须</w:t>
            </w:r>
            <w:r>
              <w:rPr>
                <w:rFonts w:hint="eastAsia" w:ascii="宋体" w:hAnsi="宋体" w:cs="宋体"/>
                <w:bCs/>
                <w:strike w:val="0"/>
                <w:dstrike w:val="0"/>
                <w:color w:val="auto"/>
                <w:szCs w:val="21"/>
                <w:highlight w:val="none"/>
                <w:u w:val="single"/>
              </w:rPr>
              <w:t>是本企业信用档案中的在册人员</w:t>
            </w:r>
            <w:r>
              <w:rPr>
                <w:rFonts w:hint="eastAsia" w:ascii="宋体" w:hAnsi="宋体" w:cs="宋体"/>
                <w:bCs/>
                <w:color w:val="auto"/>
                <w:szCs w:val="21"/>
                <w:highlight w:val="none"/>
                <w:u w:val="single"/>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2D4F2157">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1AD0B8E1">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08606DC8">
            <w:pPr>
              <w:spacing w:line="360" w:lineRule="auto"/>
              <w:rPr>
                <w:rFonts w:hint="eastAsia" w:ascii="宋体" w:hAnsi="宋体" w:cs="宋体"/>
                <w:bCs/>
                <w:color w:val="auto"/>
                <w:szCs w:val="21"/>
                <w:highlight w:val="none"/>
              </w:rPr>
            </w:pPr>
          </w:p>
        </w:tc>
      </w:tr>
      <w:tr w14:paraId="72CEF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29BBE6">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12</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66BF22A2">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投标人</w:t>
            </w:r>
            <w:r>
              <w:rPr>
                <w:rFonts w:hint="eastAsia" w:ascii="宋体" w:hAnsi="宋体" w:cs="宋体"/>
                <w:bCs/>
                <w:color w:val="auto"/>
                <w:szCs w:val="21"/>
                <w:highlight w:val="none"/>
                <w:u w:val="single"/>
              </w:rPr>
              <w:t>（联合体各成员）</w:t>
            </w:r>
            <w:r>
              <w:rPr>
                <w:rFonts w:hint="eastAsia" w:ascii="宋体" w:hAnsi="宋体" w:cs="宋体"/>
                <w:bCs/>
                <w:color w:val="auto"/>
                <w:szCs w:val="21"/>
                <w:highlight w:val="none"/>
              </w:rPr>
              <w:t>未出现以下情形：</w:t>
            </w:r>
            <w:r>
              <w:rPr>
                <w:rFonts w:hint="eastAsia" w:ascii="宋体" w:hAnsi="宋体" w:cs="宋体"/>
                <w:bCs/>
                <w:color w:val="auto"/>
                <w:szCs w:val="21"/>
                <w:highlight w:val="none"/>
                <w:u w:val="single"/>
              </w:rPr>
              <w:t>与其它投标人（联合体各成员）的单位负责人为同一人或者存在控股、管理关系的（按投标人提供的《投标人声明》第八条内容进行评审）</w:t>
            </w:r>
            <w:r>
              <w:rPr>
                <w:rFonts w:hint="eastAsia" w:ascii="宋体" w:hAnsi="宋体" w:cs="宋体"/>
                <w:bCs/>
                <w:color w:val="auto"/>
                <w:szCs w:val="21"/>
                <w:highlight w:val="none"/>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00152E66">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79B0B2AD">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197DB2CA">
            <w:pPr>
              <w:spacing w:line="360" w:lineRule="auto"/>
              <w:rPr>
                <w:rFonts w:hint="eastAsia" w:ascii="宋体" w:hAnsi="宋体" w:cs="宋体"/>
                <w:bCs/>
                <w:color w:val="auto"/>
                <w:szCs w:val="21"/>
                <w:highlight w:val="none"/>
              </w:rPr>
            </w:pPr>
          </w:p>
        </w:tc>
      </w:tr>
      <w:tr w14:paraId="0E7B9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B38C7E">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13</w:t>
            </w:r>
          </w:p>
        </w:tc>
        <w:tc>
          <w:tcPr>
            <w:tcW w:w="11624" w:type="dxa"/>
            <w:tcBorders>
              <w:top w:val="single" w:color="000000" w:sz="4" w:space="0"/>
              <w:left w:val="single" w:color="000000" w:sz="4" w:space="0"/>
              <w:bottom w:val="single" w:color="000000" w:sz="4" w:space="0"/>
              <w:right w:val="single" w:color="000000" w:sz="4" w:space="0"/>
            </w:tcBorders>
            <w:noWrap w:val="0"/>
            <w:vAlign w:val="center"/>
          </w:tcPr>
          <w:p w14:paraId="7A092F79">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投标人</w:t>
            </w:r>
            <w:r>
              <w:rPr>
                <w:rFonts w:hint="eastAsia" w:ascii="宋体" w:hAnsi="宋体" w:cs="宋体"/>
                <w:bCs/>
                <w:color w:val="auto"/>
                <w:szCs w:val="21"/>
                <w:highlight w:val="none"/>
                <w:u w:val="single"/>
              </w:rPr>
              <w:t>（联合体各成员）未被列入拖欠农民工工资失信联合惩戒对象名单。本项投标人无需提供资料，按交易系统比对结果进行评审</w:t>
            </w:r>
            <w:r>
              <w:rPr>
                <w:rFonts w:hint="eastAsia" w:ascii="宋体" w:hAnsi="宋体" w:cs="宋体"/>
                <w:bCs/>
                <w:color w:val="auto"/>
                <w:szCs w:val="21"/>
                <w:highlight w:val="none"/>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4679008F">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09D1A9D8">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6D33205A">
            <w:pPr>
              <w:spacing w:line="360" w:lineRule="auto"/>
              <w:rPr>
                <w:rFonts w:hint="eastAsia" w:ascii="宋体" w:hAnsi="宋体" w:cs="宋体"/>
                <w:bCs/>
                <w:color w:val="auto"/>
                <w:szCs w:val="21"/>
                <w:highlight w:val="none"/>
              </w:rPr>
            </w:pPr>
          </w:p>
        </w:tc>
      </w:tr>
      <w:tr w14:paraId="154CC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1" w:hRule="atLeast"/>
        </w:trPr>
        <w:tc>
          <w:tcPr>
            <w:tcW w:w="12333" w:type="dxa"/>
            <w:gridSpan w:val="2"/>
            <w:tcBorders>
              <w:top w:val="single" w:color="000000" w:sz="4" w:space="0"/>
              <w:left w:val="single" w:color="000000" w:sz="4" w:space="0"/>
              <w:bottom w:val="single" w:color="000000" w:sz="4" w:space="0"/>
              <w:right w:val="single" w:color="000000" w:sz="4" w:space="0"/>
            </w:tcBorders>
            <w:noWrap w:val="0"/>
            <w:vAlign w:val="center"/>
          </w:tcPr>
          <w:p w14:paraId="4D2F68DE">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结论</w:t>
            </w: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63917B99">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20FC4742">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noWrap w:val="0"/>
            <w:vAlign w:val="top"/>
          </w:tcPr>
          <w:p w14:paraId="6DC64B17">
            <w:pPr>
              <w:spacing w:line="360" w:lineRule="auto"/>
              <w:rPr>
                <w:rFonts w:hint="eastAsia" w:ascii="宋体" w:hAnsi="宋体" w:cs="宋体"/>
                <w:bCs/>
                <w:color w:val="auto"/>
                <w:szCs w:val="21"/>
                <w:highlight w:val="none"/>
              </w:rPr>
            </w:pPr>
          </w:p>
        </w:tc>
      </w:tr>
    </w:tbl>
    <w:p w14:paraId="046587FD">
      <w:pPr>
        <w:rPr>
          <w:rFonts w:hint="eastAsia" w:ascii="宋体" w:hAnsi="宋体" w:cs="宋体"/>
          <w:bCs/>
          <w:color w:val="auto"/>
          <w:szCs w:val="21"/>
          <w:highlight w:val="none"/>
          <w:u w:val="single"/>
        </w:rPr>
      </w:pPr>
      <w:r>
        <w:rPr>
          <w:rFonts w:hint="eastAsia" w:ascii="宋体" w:hAnsi="宋体" w:cs="宋体"/>
          <w:bCs/>
          <w:color w:val="auto"/>
          <w:szCs w:val="21"/>
          <w:highlight w:val="none"/>
        </w:rPr>
        <w:t>注：</w:t>
      </w:r>
      <w:r>
        <w:rPr>
          <w:rFonts w:hint="eastAsia" w:ascii="宋体" w:hAnsi="宋体" w:cs="宋体"/>
          <w:bCs/>
          <w:color w:val="auto"/>
          <w:szCs w:val="21"/>
          <w:highlight w:val="none"/>
          <w:u w:val="single"/>
        </w:rPr>
        <w:t>1.凡不满足以上任何一项情形，结论均为无效，否则就为有效。有效的记“○”无效的记“×”，全部审查项目均为有效的，结论为“通过”，否则为“不通过”。</w:t>
      </w:r>
    </w:p>
    <w:p w14:paraId="3BFE9B1B">
      <w:pPr>
        <w:rPr>
          <w:rFonts w:hint="eastAsia" w:ascii="宋体" w:hAnsi="宋体" w:cs="宋体"/>
          <w:bCs/>
          <w:color w:val="auto"/>
          <w:szCs w:val="21"/>
          <w:highlight w:val="none"/>
        </w:rPr>
      </w:pPr>
      <w:r>
        <w:rPr>
          <w:rFonts w:hint="eastAsia" w:ascii="宋体" w:hAnsi="宋体" w:cs="宋体"/>
          <w:bCs/>
          <w:color w:val="auto"/>
          <w:szCs w:val="21"/>
          <w:highlight w:val="none"/>
        </w:rPr>
        <w:t>2.如对本表中某种情形的评审意见不一致时，以评审组过半数成员的意见作为评审组对该情形的认定结论。</w:t>
      </w:r>
    </w:p>
    <w:p w14:paraId="3C4726A8">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3.不得将文件顺序、明显的文字错误等列为否决投标的情形。评委发现投标文件中含义不明确、对同类问题表述不一致、有明显文字和计算错误的，应当要求投标人作必要的澄清、说明后再判定投标人是否通过形式审查，不得直接否决投标，若出现评标委员会否决投标的，应在评标报告中载明否决投标的具体情形、原因。</w:t>
      </w:r>
    </w:p>
    <w:p w14:paraId="4C5CBB10">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评委签名：                   日期：</w:t>
      </w:r>
    </w:p>
    <w:p w14:paraId="4DE4F2D2">
      <w:pPr>
        <w:spacing w:line="360" w:lineRule="auto"/>
        <w:rPr>
          <w:rFonts w:ascii="宋体" w:hAnsi="宋体" w:cs="宋体"/>
          <w:b/>
          <w:bCs/>
          <w:color w:val="auto"/>
          <w:sz w:val="24"/>
          <w:szCs w:val="24"/>
          <w:highlight w:val="none"/>
        </w:rPr>
      </w:pPr>
    </w:p>
    <w:p w14:paraId="538EA25F">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368A0CC5">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附表</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 xml:space="preserve">： </w:t>
      </w:r>
    </w:p>
    <w:p w14:paraId="3F614BB0">
      <w:pPr>
        <w:spacing w:line="360" w:lineRule="auto"/>
        <w:rPr>
          <w:rFonts w:hint="eastAsia" w:ascii="宋体" w:hAnsi="宋体" w:cs="宋体"/>
          <w:b/>
          <w:color w:val="auto"/>
          <w:sz w:val="24"/>
          <w:szCs w:val="24"/>
          <w:highlight w:val="none"/>
        </w:rPr>
      </w:pPr>
    </w:p>
    <w:p w14:paraId="3E4A7540">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算术复核表</w:t>
      </w:r>
    </w:p>
    <w:p w14:paraId="3CE7A5DC">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工程名称：</w:t>
      </w:r>
    </w:p>
    <w:tbl>
      <w:tblPr>
        <w:tblStyle w:val="18"/>
        <w:tblW w:w="14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4297"/>
        <w:gridCol w:w="2330"/>
        <w:gridCol w:w="3101"/>
        <w:gridCol w:w="3423"/>
      </w:tblGrid>
      <w:tr w14:paraId="5D27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4F9A516E">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编号</w:t>
            </w:r>
          </w:p>
        </w:tc>
        <w:tc>
          <w:tcPr>
            <w:tcW w:w="4297" w:type="dxa"/>
            <w:tcBorders>
              <w:top w:val="single" w:color="auto" w:sz="4" w:space="0"/>
              <w:left w:val="nil"/>
              <w:bottom w:val="single" w:color="auto" w:sz="4" w:space="0"/>
              <w:right w:val="single" w:color="auto" w:sz="4" w:space="0"/>
            </w:tcBorders>
            <w:noWrap w:val="0"/>
            <w:vAlign w:val="top"/>
          </w:tcPr>
          <w:p w14:paraId="2E59C4D4">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tc>
        <w:tc>
          <w:tcPr>
            <w:tcW w:w="2330" w:type="dxa"/>
            <w:tcBorders>
              <w:top w:val="single" w:color="auto" w:sz="4" w:space="0"/>
              <w:left w:val="nil"/>
              <w:bottom w:val="single" w:color="auto" w:sz="4" w:space="0"/>
              <w:right w:val="single" w:color="auto" w:sz="4" w:space="0"/>
            </w:tcBorders>
            <w:noWrap w:val="0"/>
            <w:vAlign w:val="top"/>
          </w:tcPr>
          <w:p w14:paraId="03408DA0">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原投标报价（A）</w:t>
            </w:r>
          </w:p>
        </w:tc>
        <w:tc>
          <w:tcPr>
            <w:tcW w:w="3101" w:type="dxa"/>
            <w:tcBorders>
              <w:top w:val="single" w:color="auto" w:sz="4" w:space="0"/>
              <w:left w:val="nil"/>
              <w:bottom w:val="single" w:color="auto" w:sz="4" w:space="0"/>
              <w:right w:val="single" w:color="auto" w:sz="4" w:space="0"/>
            </w:tcBorders>
            <w:noWrap w:val="0"/>
            <w:vAlign w:val="top"/>
          </w:tcPr>
          <w:p w14:paraId="081AC5FB">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算术</w:t>
            </w:r>
            <w:r>
              <w:rPr>
                <w:rFonts w:hint="eastAsia" w:ascii="宋体" w:hAnsi="宋体" w:cs="宋体"/>
                <w:bCs/>
                <w:color w:val="auto"/>
                <w:sz w:val="24"/>
                <w:szCs w:val="24"/>
                <w:highlight w:val="none"/>
              </w:rPr>
              <w:t>复核后投标报价（B）</w:t>
            </w:r>
          </w:p>
        </w:tc>
        <w:tc>
          <w:tcPr>
            <w:tcW w:w="3423" w:type="dxa"/>
            <w:tcBorders>
              <w:top w:val="single" w:color="auto" w:sz="4" w:space="0"/>
              <w:left w:val="nil"/>
              <w:bottom w:val="single" w:color="auto" w:sz="4" w:space="0"/>
              <w:right w:val="single" w:color="auto" w:sz="4" w:space="0"/>
            </w:tcBorders>
            <w:noWrap w:val="0"/>
            <w:vAlign w:val="top"/>
          </w:tcPr>
          <w:p w14:paraId="227CFAE0">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误差率（r=|A-B|/A*100%）</w:t>
            </w:r>
          </w:p>
        </w:tc>
      </w:tr>
      <w:tr w14:paraId="2954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5EDF4A1A">
            <w:pPr>
              <w:spacing w:line="360" w:lineRule="auto"/>
              <w:rPr>
                <w:rFonts w:hint="eastAsia" w:ascii="宋体" w:hAnsi="宋体" w:cs="宋体"/>
                <w:bCs/>
                <w:color w:val="auto"/>
                <w:sz w:val="24"/>
                <w:szCs w:val="24"/>
                <w:highlight w:val="none"/>
              </w:rPr>
            </w:pPr>
          </w:p>
        </w:tc>
        <w:tc>
          <w:tcPr>
            <w:tcW w:w="4297" w:type="dxa"/>
            <w:tcBorders>
              <w:top w:val="single" w:color="auto" w:sz="4" w:space="0"/>
              <w:left w:val="nil"/>
              <w:bottom w:val="single" w:color="auto" w:sz="4" w:space="0"/>
              <w:right w:val="single" w:color="auto" w:sz="4" w:space="0"/>
            </w:tcBorders>
            <w:noWrap w:val="0"/>
            <w:vAlign w:val="top"/>
          </w:tcPr>
          <w:p w14:paraId="1275E7E4">
            <w:pPr>
              <w:spacing w:line="360" w:lineRule="auto"/>
              <w:rPr>
                <w:rFonts w:hint="eastAsia" w:ascii="宋体" w:hAnsi="宋体" w:cs="宋体"/>
                <w:bCs/>
                <w:color w:val="auto"/>
                <w:sz w:val="24"/>
                <w:szCs w:val="24"/>
                <w:highlight w:val="none"/>
              </w:rPr>
            </w:pPr>
          </w:p>
        </w:tc>
        <w:tc>
          <w:tcPr>
            <w:tcW w:w="2330" w:type="dxa"/>
            <w:tcBorders>
              <w:top w:val="single" w:color="auto" w:sz="4" w:space="0"/>
              <w:left w:val="nil"/>
              <w:bottom w:val="single" w:color="auto" w:sz="4" w:space="0"/>
              <w:right w:val="single" w:color="auto" w:sz="4" w:space="0"/>
            </w:tcBorders>
            <w:noWrap w:val="0"/>
            <w:vAlign w:val="top"/>
          </w:tcPr>
          <w:p w14:paraId="1E6E6129">
            <w:pPr>
              <w:spacing w:line="360" w:lineRule="auto"/>
              <w:rPr>
                <w:rFonts w:hint="eastAsia" w:ascii="宋体" w:hAnsi="宋体" w:cs="宋体"/>
                <w:bCs/>
                <w:color w:val="auto"/>
                <w:sz w:val="24"/>
                <w:szCs w:val="24"/>
                <w:highlight w:val="none"/>
              </w:rPr>
            </w:pPr>
          </w:p>
        </w:tc>
        <w:tc>
          <w:tcPr>
            <w:tcW w:w="3101" w:type="dxa"/>
            <w:tcBorders>
              <w:top w:val="single" w:color="auto" w:sz="4" w:space="0"/>
              <w:left w:val="nil"/>
              <w:bottom w:val="single" w:color="auto" w:sz="4" w:space="0"/>
              <w:right w:val="single" w:color="auto" w:sz="4" w:space="0"/>
            </w:tcBorders>
            <w:noWrap w:val="0"/>
            <w:vAlign w:val="top"/>
          </w:tcPr>
          <w:p w14:paraId="583431D5">
            <w:pPr>
              <w:spacing w:line="360" w:lineRule="auto"/>
              <w:rPr>
                <w:rFonts w:hint="eastAsia" w:ascii="宋体" w:hAnsi="宋体" w:cs="宋体"/>
                <w:bCs/>
                <w:color w:val="auto"/>
                <w:sz w:val="24"/>
                <w:szCs w:val="24"/>
                <w:highlight w:val="none"/>
              </w:rPr>
            </w:pPr>
          </w:p>
        </w:tc>
        <w:tc>
          <w:tcPr>
            <w:tcW w:w="3423" w:type="dxa"/>
            <w:tcBorders>
              <w:top w:val="single" w:color="auto" w:sz="4" w:space="0"/>
              <w:left w:val="nil"/>
              <w:bottom w:val="single" w:color="auto" w:sz="4" w:space="0"/>
              <w:right w:val="single" w:color="auto" w:sz="4" w:space="0"/>
            </w:tcBorders>
            <w:noWrap w:val="0"/>
            <w:vAlign w:val="top"/>
          </w:tcPr>
          <w:p w14:paraId="3B2172D4">
            <w:pPr>
              <w:spacing w:line="360" w:lineRule="auto"/>
              <w:rPr>
                <w:rFonts w:hint="eastAsia" w:ascii="宋体" w:hAnsi="宋体" w:cs="宋体"/>
                <w:bCs/>
                <w:color w:val="auto"/>
                <w:sz w:val="24"/>
                <w:szCs w:val="24"/>
                <w:highlight w:val="none"/>
              </w:rPr>
            </w:pPr>
          </w:p>
        </w:tc>
      </w:tr>
      <w:tr w14:paraId="3D43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63BB4B2C">
            <w:pPr>
              <w:spacing w:line="360" w:lineRule="auto"/>
              <w:rPr>
                <w:rFonts w:hint="eastAsia" w:ascii="宋体" w:hAnsi="宋体" w:cs="宋体"/>
                <w:bCs/>
                <w:color w:val="auto"/>
                <w:sz w:val="24"/>
                <w:szCs w:val="24"/>
                <w:highlight w:val="none"/>
              </w:rPr>
            </w:pPr>
          </w:p>
        </w:tc>
        <w:tc>
          <w:tcPr>
            <w:tcW w:w="4297" w:type="dxa"/>
            <w:tcBorders>
              <w:top w:val="single" w:color="auto" w:sz="4" w:space="0"/>
              <w:left w:val="nil"/>
              <w:bottom w:val="single" w:color="auto" w:sz="4" w:space="0"/>
              <w:right w:val="single" w:color="auto" w:sz="4" w:space="0"/>
            </w:tcBorders>
            <w:noWrap w:val="0"/>
            <w:vAlign w:val="top"/>
          </w:tcPr>
          <w:p w14:paraId="164298EB">
            <w:pPr>
              <w:spacing w:line="360" w:lineRule="auto"/>
              <w:rPr>
                <w:rFonts w:hint="eastAsia" w:ascii="宋体" w:hAnsi="宋体" w:cs="宋体"/>
                <w:bCs/>
                <w:color w:val="auto"/>
                <w:sz w:val="24"/>
                <w:szCs w:val="24"/>
                <w:highlight w:val="none"/>
              </w:rPr>
            </w:pPr>
          </w:p>
        </w:tc>
        <w:tc>
          <w:tcPr>
            <w:tcW w:w="2330" w:type="dxa"/>
            <w:tcBorders>
              <w:top w:val="single" w:color="auto" w:sz="4" w:space="0"/>
              <w:left w:val="nil"/>
              <w:bottom w:val="single" w:color="auto" w:sz="4" w:space="0"/>
              <w:right w:val="single" w:color="auto" w:sz="4" w:space="0"/>
            </w:tcBorders>
            <w:noWrap w:val="0"/>
            <w:vAlign w:val="top"/>
          </w:tcPr>
          <w:p w14:paraId="3435BA79">
            <w:pPr>
              <w:spacing w:line="360" w:lineRule="auto"/>
              <w:rPr>
                <w:rFonts w:hint="eastAsia" w:ascii="宋体" w:hAnsi="宋体" w:cs="宋体"/>
                <w:bCs/>
                <w:color w:val="auto"/>
                <w:sz w:val="24"/>
                <w:szCs w:val="24"/>
                <w:highlight w:val="none"/>
              </w:rPr>
            </w:pPr>
          </w:p>
        </w:tc>
        <w:tc>
          <w:tcPr>
            <w:tcW w:w="3101" w:type="dxa"/>
            <w:tcBorders>
              <w:top w:val="single" w:color="auto" w:sz="4" w:space="0"/>
              <w:left w:val="nil"/>
              <w:bottom w:val="single" w:color="auto" w:sz="4" w:space="0"/>
              <w:right w:val="single" w:color="auto" w:sz="4" w:space="0"/>
            </w:tcBorders>
            <w:noWrap w:val="0"/>
            <w:vAlign w:val="top"/>
          </w:tcPr>
          <w:p w14:paraId="130E36E2">
            <w:pPr>
              <w:spacing w:line="360" w:lineRule="auto"/>
              <w:rPr>
                <w:rFonts w:hint="eastAsia" w:ascii="宋体" w:hAnsi="宋体" w:cs="宋体"/>
                <w:bCs/>
                <w:color w:val="auto"/>
                <w:sz w:val="24"/>
                <w:szCs w:val="24"/>
                <w:highlight w:val="none"/>
              </w:rPr>
            </w:pPr>
          </w:p>
        </w:tc>
        <w:tc>
          <w:tcPr>
            <w:tcW w:w="3423" w:type="dxa"/>
            <w:tcBorders>
              <w:top w:val="single" w:color="auto" w:sz="4" w:space="0"/>
              <w:left w:val="nil"/>
              <w:bottom w:val="single" w:color="auto" w:sz="4" w:space="0"/>
              <w:right w:val="single" w:color="auto" w:sz="4" w:space="0"/>
            </w:tcBorders>
            <w:noWrap w:val="0"/>
            <w:vAlign w:val="top"/>
          </w:tcPr>
          <w:p w14:paraId="6FD900C9">
            <w:pPr>
              <w:spacing w:line="360" w:lineRule="auto"/>
              <w:rPr>
                <w:rFonts w:hint="eastAsia" w:ascii="宋体" w:hAnsi="宋体" w:cs="宋体"/>
                <w:bCs/>
                <w:color w:val="auto"/>
                <w:sz w:val="24"/>
                <w:szCs w:val="24"/>
                <w:highlight w:val="none"/>
              </w:rPr>
            </w:pPr>
          </w:p>
        </w:tc>
      </w:tr>
      <w:tr w14:paraId="1625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38E96691">
            <w:pPr>
              <w:spacing w:line="360" w:lineRule="auto"/>
              <w:rPr>
                <w:rFonts w:hint="eastAsia" w:ascii="宋体" w:hAnsi="宋体" w:cs="宋体"/>
                <w:b/>
                <w:color w:val="auto"/>
                <w:sz w:val="24"/>
                <w:szCs w:val="24"/>
                <w:highlight w:val="none"/>
              </w:rPr>
            </w:pPr>
          </w:p>
        </w:tc>
        <w:tc>
          <w:tcPr>
            <w:tcW w:w="4297" w:type="dxa"/>
            <w:tcBorders>
              <w:top w:val="single" w:color="auto" w:sz="4" w:space="0"/>
              <w:left w:val="nil"/>
              <w:bottom w:val="single" w:color="auto" w:sz="4" w:space="0"/>
              <w:right w:val="single" w:color="auto" w:sz="4" w:space="0"/>
            </w:tcBorders>
            <w:noWrap w:val="0"/>
            <w:vAlign w:val="top"/>
          </w:tcPr>
          <w:p w14:paraId="034CF72C">
            <w:pPr>
              <w:spacing w:line="360" w:lineRule="auto"/>
              <w:rPr>
                <w:rFonts w:hint="eastAsia" w:ascii="宋体" w:hAnsi="宋体" w:cs="宋体"/>
                <w:b/>
                <w:color w:val="auto"/>
                <w:sz w:val="24"/>
                <w:szCs w:val="24"/>
                <w:highlight w:val="none"/>
              </w:rPr>
            </w:pPr>
          </w:p>
        </w:tc>
        <w:tc>
          <w:tcPr>
            <w:tcW w:w="2330" w:type="dxa"/>
            <w:tcBorders>
              <w:top w:val="single" w:color="auto" w:sz="4" w:space="0"/>
              <w:left w:val="nil"/>
              <w:bottom w:val="single" w:color="auto" w:sz="4" w:space="0"/>
              <w:right w:val="single" w:color="auto" w:sz="4" w:space="0"/>
            </w:tcBorders>
            <w:noWrap w:val="0"/>
            <w:vAlign w:val="top"/>
          </w:tcPr>
          <w:p w14:paraId="57377BF5">
            <w:pPr>
              <w:spacing w:line="360" w:lineRule="auto"/>
              <w:rPr>
                <w:rFonts w:hint="eastAsia" w:ascii="宋体" w:hAnsi="宋体" w:cs="宋体"/>
                <w:b/>
                <w:color w:val="auto"/>
                <w:sz w:val="24"/>
                <w:szCs w:val="24"/>
                <w:highlight w:val="none"/>
              </w:rPr>
            </w:pPr>
          </w:p>
        </w:tc>
        <w:tc>
          <w:tcPr>
            <w:tcW w:w="3101" w:type="dxa"/>
            <w:tcBorders>
              <w:top w:val="single" w:color="auto" w:sz="4" w:space="0"/>
              <w:left w:val="nil"/>
              <w:bottom w:val="single" w:color="auto" w:sz="4" w:space="0"/>
              <w:right w:val="single" w:color="auto" w:sz="4" w:space="0"/>
            </w:tcBorders>
            <w:noWrap w:val="0"/>
            <w:vAlign w:val="top"/>
          </w:tcPr>
          <w:p w14:paraId="2B6256A8">
            <w:pPr>
              <w:spacing w:line="360" w:lineRule="auto"/>
              <w:rPr>
                <w:rFonts w:hint="eastAsia" w:ascii="宋体" w:hAnsi="宋体" w:cs="宋体"/>
                <w:b/>
                <w:color w:val="auto"/>
                <w:sz w:val="24"/>
                <w:szCs w:val="24"/>
                <w:highlight w:val="none"/>
              </w:rPr>
            </w:pPr>
          </w:p>
        </w:tc>
        <w:tc>
          <w:tcPr>
            <w:tcW w:w="3423" w:type="dxa"/>
            <w:tcBorders>
              <w:top w:val="single" w:color="auto" w:sz="4" w:space="0"/>
              <w:left w:val="nil"/>
              <w:bottom w:val="single" w:color="auto" w:sz="4" w:space="0"/>
              <w:right w:val="single" w:color="auto" w:sz="4" w:space="0"/>
            </w:tcBorders>
            <w:noWrap w:val="0"/>
            <w:vAlign w:val="top"/>
          </w:tcPr>
          <w:p w14:paraId="20FAFA16">
            <w:pPr>
              <w:spacing w:line="360" w:lineRule="auto"/>
              <w:rPr>
                <w:rFonts w:hint="eastAsia" w:ascii="宋体" w:hAnsi="宋体" w:cs="宋体"/>
                <w:b/>
                <w:color w:val="auto"/>
                <w:sz w:val="24"/>
                <w:szCs w:val="24"/>
                <w:highlight w:val="none"/>
              </w:rPr>
            </w:pPr>
          </w:p>
        </w:tc>
      </w:tr>
      <w:tr w14:paraId="5A12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1AC024B2">
            <w:pPr>
              <w:spacing w:line="360" w:lineRule="auto"/>
              <w:rPr>
                <w:rFonts w:hint="eastAsia" w:ascii="宋体" w:hAnsi="宋体" w:cs="宋体"/>
                <w:b/>
                <w:color w:val="auto"/>
                <w:sz w:val="24"/>
                <w:szCs w:val="24"/>
                <w:highlight w:val="none"/>
              </w:rPr>
            </w:pPr>
          </w:p>
        </w:tc>
        <w:tc>
          <w:tcPr>
            <w:tcW w:w="4297" w:type="dxa"/>
            <w:tcBorders>
              <w:top w:val="single" w:color="auto" w:sz="4" w:space="0"/>
              <w:left w:val="nil"/>
              <w:bottom w:val="single" w:color="auto" w:sz="4" w:space="0"/>
              <w:right w:val="single" w:color="auto" w:sz="4" w:space="0"/>
            </w:tcBorders>
            <w:noWrap w:val="0"/>
            <w:vAlign w:val="top"/>
          </w:tcPr>
          <w:p w14:paraId="56794FDE">
            <w:pPr>
              <w:spacing w:line="360" w:lineRule="auto"/>
              <w:rPr>
                <w:rFonts w:hint="eastAsia" w:ascii="宋体" w:hAnsi="宋体" w:cs="宋体"/>
                <w:b/>
                <w:color w:val="auto"/>
                <w:sz w:val="24"/>
                <w:szCs w:val="24"/>
                <w:highlight w:val="none"/>
              </w:rPr>
            </w:pPr>
          </w:p>
        </w:tc>
        <w:tc>
          <w:tcPr>
            <w:tcW w:w="2330" w:type="dxa"/>
            <w:tcBorders>
              <w:top w:val="single" w:color="auto" w:sz="4" w:space="0"/>
              <w:left w:val="nil"/>
              <w:bottom w:val="single" w:color="auto" w:sz="4" w:space="0"/>
              <w:right w:val="single" w:color="auto" w:sz="4" w:space="0"/>
            </w:tcBorders>
            <w:noWrap w:val="0"/>
            <w:vAlign w:val="top"/>
          </w:tcPr>
          <w:p w14:paraId="1FFCC1FC">
            <w:pPr>
              <w:spacing w:line="360" w:lineRule="auto"/>
              <w:rPr>
                <w:rFonts w:hint="eastAsia" w:ascii="宋体" w:hAnsi="宋体" w:cs="宋体"/>
                <w:b/>
                <w:color w:val="auto"/>
                <w:sz w:val="24"/>
                <w:szCs w:val="24"/>
                <w:highlight w:val="none"/>
              </w:rPr>
            </w:pPr>
          </w:p>
        </w:tc>
        <w:tc>
          <w:tcPr>
            <w:tcW w:w="3101" w:type="dxa"/>
            <w:tcBorders>
              <w:top w:val="single" w:color="auto" w:sz="4" w:space="0"/>
              <w:left w:val="nil"/>
              <w:bottom w:val="single" w:color="auto" w:sz="4" w:space="0"/>
              <w:right w:val="single" w:color="auto" w:sz="4" w:space="0"/>
            </w:tcBorders>
            <w:noWrap w:val="0"/>
            <w:vAlign w:val="top"/>
          </w:tcPr>
          <w:p w14:paraId="20BB7BE0">
            <w:pPr>
              <w:spacing w:line="360" w:lineRule="auto"/>
              <w:rPr>
                <w:rFonts w:hint="eastAsia" w:ascii="宋体" w:hAnsi="宋体" w:cs="宋体"/>
                <w:b/>
                <w:color w:val="auto"/>
                <w:sz w:val="24"/>
                <w:szCs w:val="24"/>
                <w:highlight w:val="none"/>
              </w:rPr>
            </w:pPr>
          </w:p>
        </w:tc>
        <w:tc>
          <w:tcPr>
            <w:tcW w:w="3423" w:type="dxa"/>
            <w:tcBorders>
              <w:top w:val="single" w:color="auto" w:sz="4" w:space="0"/>
              <w:left w:val="nil"/>
              <w:bottom w:val="single" w:color="auto" w:sz="4" w:space="0"/>
              <w:right w:val="single" w:color="auto" w:sz="4" w:space="0"/>
            </w:tcBorders>
            <w:noWrap w:val="0"/>
            <w:vAlign w:val="top"/>
          </w:tcPr>
          <w:p w14:paraId="335B503C">
            <w:pPr>
              <w:spacing w:line="360" w:lineRule="auto"/>
              <w:rPr>
                <w:rFonts w:hint="eastAsia" w:ascii="宋体" w:hAnsi="宋体" w:cs="宋体"/>
                <w:b/>
                <w:color w:val="auto"/>
                <w:sz w:val="24"/>
                <w:szCs w:val="24"/>
                <w:highlight w:val="none"/>
              </w:rPr>
            </w:pPr>
          </w:p>
        </w:tc>
      </w:tr>
    </w:tbl>
    <w:p w14:paraId="420D65E7">
      <w:pPr>
        <w:spacing w:line="360" w:lineRule="auto"/>
        <w:rPr>
          <w:rFonts w:hint="eastAsia" w:ascii="宋体" w:hAnsi="宋体" w:cs="宋体"/>
          <w:b/>
          <w:color w:val="auto"/>
          <w:sz w:val="24"/>
          <w:szCs w:val="24"/>
          <w:highlight w:val="none"/>
        </w:rPr>
      </w:pPr>
    </w:p>
    <w:p w14:paraId="752475ED">
      <w:pPr>
        <w:spacing w:line="360" w:lineRule="auto"/>
        <w:rPr>
          <w:rFonts w:hint="eastAsia" w:ascii="宋体" w:hAnsi="宋体" w:cs="宋体"/>
          <w:b/>
          <w:color w:val="auto"/>
          <w:sz w:val="24"/>
          <w:szCs w:val="24"/>
          <w:highlight w:val="none"/>
        </w:rPr>
      </w:pPr>
    </w:p>
    <w:p w14:paraId="4B7EDFE6">
      <w:pPr>
        <w:spacing w:line="360" w:lineRule="auto"/>
        <w:rPr>
          <w:rFonts w:hint="eastAsia" w:ascii="宋体" w:hAnsi="宋体" w:cs="宋体"/>
          <w:bCs/>
          <w:color w:val="auto"/>
          <w:sz w:val="24"/>
          <w:szCs w:val="24"/>
          <w:highlight w:val="none"/>
        </w:rPr>
        <w:sectPr>
          <w:pgSz w:w="16838" w:h="11905" w:orient="landscape"/>
          <w:pgMar w:top="1440" w:right="1080" w:bottom="1440" w:left="1080" w:header="851" w:footer="992" w:gutter="0"/>
          <w:cols w:space="720" w:num="1"/>
          <w:docGrid w:type="lines" w:linePitch="319" w:charSpace="0"/>
        </w:sectPr>
      </w:pPr>
      <w:r>
        <w:rPr>
          <w:rFonts w:hint="eastAsia" w:ascii="宋体" w:hAnsi="宋体" w:cs="宋体"/>
          <w:bCs/>
          <w:color w:val="auto"/>
          <w:sz w:val="24"/>
          <w:szCs w:val="24"/>
          <w:highlight w:val="none"/>
        </w:rPr>
        <w:t>评委签名：                              日期</w:t>
      </w:r>
    </w:p>
    <w:p w14:paraId="7B5F238F">
      <w:pPr>
        <w:spacing w:line="360" w:lineRule="auto"/>
        <w:jc w:val="left"/>
        <w:rPr>
          <w:rFonts w:hint="eastAsia" w:ascii="宋体" w:hAnsi="宋体" w:eastAsia="宋体" w:cs="宋体"/>
          <w:b/>
          <w:bCs/>
          <w:color w:val="auto"/>
          <w:highlight w:val="none"/>
          <w:lang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三</w:t>
      </w:r>
    </w:p>
    <w:p w14:paraId="0F750970">
      <w:pPr>
        <w:pStyle w:val="11"/>
        <w:spacing w:line="360" w:lineRule="auto"/>
        <w:jc w:val="center"/>
        <w:rPr>
          <w:rFonts w:hint="eastAsia" w:hAnsi="宋体"/>
          <w:b/>
          <w:color w:val="auto"/>
          <w:sz w:val="36"/>
          <w:szCs w:val="36"/>
          <w:highlight w:val="none"/>
        </w:rPr>
      </w:pPr>
      <w:r>
        <w:rPr>
          <w:rFonts w:hint="eastAsia" w:hAnsi="宋体"/>
          <w:b/>
          <w:color w:val="auto"/>
          <w:sz w:val="36"/>
          <w:szCs w:val="36"/>
          <w:highlight w:val="none"/>
        </w:rPr>
        <w:t>定标因素评审表</w:t>
      </w:r>
    </w:p>
    <w:p w14:paraId="3E789EF4">
      <w:pPr>
        <w:spacing w:line="360" w:lineRule="auto"/>
        <w:ind w:right="-325" w:rightChars="-155" w:firstLine="420" w:firstLineChars="200"/>
        <w:rPr>
          <w:rFonts w:ascii="宋体" w:hAnsi="宋体"/>
          <w:color w:val="auto"/>
          <w:highlight w:val="none"/>
        </w:rPr>
      </w:pPr>
    </w:p>
    <w:tbl>
      <w:tblPr>
        <w:tblStyle w:val="18"/>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010"/>
        <w:gridCol w:w="1367"/>
        <w:gridCol w:w="7101"/>
      </w:tblGrid>
      <w:tr w14:paraId="6241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82" w:type="dxa"/>
            <w:tcBorders>
              <w:top w:val="single" w:color="auto" w:sz="4" w:space="0"/>
              <w:left w:val="single" w:color="auto" w:sz="4" w:space="0"/>
              <w:bottom w:val="single" w:color="auto" w:sz="4" w:space="0"/>
              <w:right w:val="single" w:color="auto" w:sz="4" w:space="0"/>
            </w:tcBorders>
            <w:noWrap w:val="0"/>
            <w:vAlign w:val="center"/>
          </w:tcPr>
          <w:p w14:paraId="1291C257">
            <w:pPr>
              <w:jc w:val="center"/>
              <w:rPr>
                <w:rFonts w:ascii="宋体" w:hAnsi="宋体"/>
                <w:color w:val="auto"/>
                <w:szCs w:val="21"/>
                <w:highlight w:val="none"/>
                <w:u w:val="none"/>
              </w:rPr>
            </w:pPr>
            <w:r>
              <w:rPr>
                <w:rFonts w:hint="eastAsia" w:ascii="宋体" w:hAnsi="宋体"/>
                <w:color w:val="auto"/>
                <w:szCs w:val="21"/>
                <w:highlight w:val="none"/>
                <w:u w:val="none"/>
              </w:rPr>
              <w:t>序号</w:t>
            </w:r>
          </w:p>
        </w:tc>
        <w:tc>
          <w:tcPr>
            <w:tcW w:w="2377" w:type="dxa"/>
            <w:gridSpan w:val="2"/>
            <w:tcBorders>
              <w:top w:val="single" w:color="auto" w:sz="4" w:space="0"/>
              <w:left w:val="single" w:color="auto" w:sz="4" w:space="0"/>
              <w:bottom w:val="single" w:color="auto" w:sz="4" w:space="0"/>
              <w:right w:val="single" w:color="auto" w:sz="4" w:space="0"/>
            </w:tcBorders>
            <w:noWrap w:val="0"/>
            <w:vAlign w:val="center"/>
          </w:tcPr>
          <w:p w14:paraId="0C32E9D1">
            <w:pPr>
              <w:jc w:val="center"/>
              <w:rPr>
                <w:rFonts w:hint="eastAsia" w:ascii="宋体" w:hAnsi="宋体"/>
                <w:color w:val="auto"/>
                <w:szCs w:val="21"/>
                <w:highlight w:val="none"/>
                <w:u w:val="none"/>
              </w:rPr>
            </w:pPr>
            <w:r>
              <w:rPr>
                <w:rFonts w:hint="eastAsia" w:ascii="宋体" w:hAnsi="宋体"/>
                <w:color w:val="auto"/>
                <w:szCs w:val="21"/>
                <w:highlight w:val="none"/>
                <w:u w:val="none"/>
              </w:rPr>
              <w:t>定标因素</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3A913B69">
            <w:pPr>
              <w:jc w:val="center"/>
              <w:rPr>
                <w:rFonts w:ascii="宋体" w:hAnsi="宋体"/>
                <w:color w:val="auto"/>
                <w:szCs w:val="21"/>
                <w:highlight w:val="none"/>
                <w:u w:val="none"/>
              </w:rPr>
            </w:pPr>
            <w:r>
              <w:rPr>
                <w:rFonts w:hint="eastAsia" w:ascii="宋体" w:hAnsi="宋体"/>
                <w:color w:val="auto"/>
                <w:szCs w:val="21"/>
                <w:highlight w:val="none"/>
                <w:u w:val="none"/>
              </w:rPr>
              <w:t>定标评价的内容</w:t>
            </w:r>
          </w:p>
        </w:tc>
      </w:tr>
      <w:tr w14:paraId="1C9C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482" w:type="dxa"/>
            <w:vMerge w:val="restart"/>
            <w:tcBorders>
              <w:top w:val="single" w:color="auto" w:sz="4" w:space="0"/>
              <w:left w:val="single" w:color="auto" w:sz="4" w:space="0"/>
              <w:right w:val="single" w:color="auto" w:sz="4" w:space="0"/>
            </w:tcBorders>
            <w:noWrap w:val="0"/>
            <w:vAlign w:val="center"/>
          </w:tcPr>
          <w:p w14:paraId="17872CE2">
            <w:pPr>
              <w:jc w:val="center"/>
              <w:rPr>
                <w:rFonts w:hint="eastAsia" w:ascii="宋体" w:hAnsi="宋体" w:eastAsia="宋体"/>
                <w:color w:val="auto"/>
                <w:szCs w:val="21"/>
                <w:highlight w:val="none"/>
                <w:u w:val="none"/>
                <w:lang w:eastAsia="zh-CN"/>
              </w:rPr>
            </w:pPr>
            <w:r>
              <w:rPr>
                <w:rFonts w:hint="eastAsia" w:ascii="宋体" w:hAnsi="宋体"/>
                <w:color w:val="auto"/>
                <w:szCs w:val="21"/>
                <w:highlight w:val="none"/>
                <w:u w:val="none"/>
                <w:lang w:val="en-US" w:eastAsia="zh-CN"/>
              </w:rPr>
              <w:t>1</w:t>
            </w:r>
          </w:p>
        </w:tc>
        <w:tc>
          <w:tcPr>
            <w:tcW w:w="1010" w:type="dxa"/>
            <w:vMerge w:val="restart"/>
            <w:tcBorders>
              <w:top w:val="single" w:color="auto" w:sz="4" w:space="0"/>
              <w:left w:val="single" w:color="auto" w:sz="4" w:space="0"/>
              <w:right w:val="single" w:color="auto" w:sz="4" w:space="0"/>
            </w:tcBorders>
            <w:noWrap w:val="0"/>
            <w:vAlign w:val="center"/>
          </w:tcPr>
          <w:p w14:paraId="1D1331AA">
            <w:pPr>
              <w:jc w:val="left"/>
              <w:rPr>
                <w:rFonts w:ascii="宋体" w:hAnsi="宋体" w:cs="宋体"/>
                <w:color w:val="auto"/>
                <w:szCs w:val="21"/>
                <w:highlight w:val="none"/>
                <w:u w:val="none"/>
              </w:rPr>
            </w:pPr>
            <w:r>
              <w:rPr>
                <w:rFonts w:hint="eastAsia" w:ascii="宋体" w:hAnsi="宋体" w:cs="宋体"/>
                <w:color w:val="auto"/>
                <w:szCs w:val="21"/>
                <w:highlight w:val="none"/>
                <w:u w:val="none"/>
              </w:rPr>
              <w:t>方案因素（</w:t>
            </w:r>
            <w:r>
              <w:rPr>
                <w:rFonts w:hint="eastAsia" w:ascii="宋体" w:hAnsi="宋体" w:cs="宋体"/>
                <w:color w:val="auto"/>
                <w:szCs w:val="21"/>
                <w:highlight w:val="none"/>
                <w:u w:val="none"/>
                <w:lang w:val="en-US" w:eastAsia="zh-CN"/>
              </w:rPr>
              <w:t>7</w:t>
            </w:r>
            <w:r>
              <w:rPr>
                <w:rFonts w:hint="eastAsia" w:ascii="宋体" w:hAnsi="宋体" w:cs="宋体"/>
                <w:color w:val="auto"/>
                <w:szCs w:val="21"/>
                <w:highlight w:val="none"/>
                <w:u w:val="none"/>
              </w:rPr>
              <w:t>0分）</w:t>
            </w:r>
          </w:p>
        </w:tc>
        <w:tc>
          <w:tcPr>
            <w:tcW w:w="1367" w:type="dxa"/>
            <w:tcBorders>
              <w:top w:val="single" w:color="auto" w:sz="4" w:space="0"/>
              <w:left w:val="single" w:color="auto" w:sz="4" w:space="0"/>
              <w:right w:val="single" w:color="auto" w:sz="4" w:space="0"/>
            </w:tcBorders>
            <w:noWrap w:val="0"/>
            <w:vAlign w:val="center"/>
          </w:tcPr>
          <w:p w14:paraId="6DBADA12">
            <w:pPr>
              <w:spacing w:line="240" w:lineRule="auto"/>
              <w:jc w:val="left"/>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安全控制措施</w:t>
            </w:r>
            <w:r>
              <w:rPr>
                <w:rFonts w:hint="eastAsia" w:ascii="宋体" w:hAnsi="宋体" w:eastAsia="宋体" w:cs="宋体"/>
                <w:color w:val="auto"/>
                <w:szCs w:val="21"/>
                <w:highlight w:val="none"/>
                <w:u w:val="none"/>
                <w:lang w:val="en-US" w:eastAsia="zh-CN"/>
              </w:rPr>
              <w:t>（10分）</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75465AAE">
            <w:pPr>
              <w:pStyle w:val="32"/>
              <w:spacing w:before="130" w:line="220" w:lineRule="auto"/>
              <w:ind w:left="99"/>
              <w:jc w:val="both"/>
              <w:rPr>
                <w:rFonts w:hint="eastAsia" w:ascii="宋体" w:hAnsi="宋体"/>
                <w:b/>
                <w:bCs/>
                <w:color w:val="auto"/>
                <w:szCs w:val="21"/>
                <w:highlight w:val="none"/>
                <w:u w:val="none"/>
              </w:rPr>
            </w:pPr>
            <w:r>
              <w:rPr>
                <w:rFonts w:hint="eastAsia" w:ascii="宋体" w:hAnsi="宋体"/>
                <w:b/>
                <w:bCs/>
                <w:color w:val="auto"/>
                <w:szCs w:val="21"/>
                <w:highlight w:val="none"/>
                <w:u w:val="none"/>
              </w:rPr>
              <w:t>定标委员会对合格的中标候选人的安全控制措施进行评审：</w:t>
            </w:r>
          </w:p>
          <w:p w14:paraId="5F9A5E0A">
            <w:pPr>
              <w:pStyle w:val="32"/>
              <w:spacing w:before="130" w:line="220" w:lineRule="auto"/>
              <w:ind w:left="99" w:right="0" w:firstLine="0"/>
              <w:rPr>
                <w:spacing w:val="-3"/>
              </w:rPr>
            </w:pPr>
            <w:r>
              <w:rPr>
                <w:spacing w:val="-1"/>
              </w:rPr>
              <w:t>根据本工程的特点，从安全生产保证措施、文明施工保证措</w:t>
            </w:r>
            <w:r>
              <w:rPr>
                <w:spacing w:val="16"/>
              </w:rPr>
              <w:t xml:space="preserve"> </w:t>
            </w:r>
            <w:r>
              <w:rPr>
                <w:spacing w:val="-3"/>
              </w:rPr>
              <w:t>施、应急预案等方面提出安全控制措施措施：</w:t>
            </w:r>
          </w:p>
          <w:p w14:paraId="256E39DC">
            <w:pPr>
              <w:pStyle w:val="32"/>
              <w:spacing w:before="130" w:line="220" w:lineRule="auto"/>
              <w:ind w:left="99" w:right="0" w:firstLine="0"/>
              <w:rPr>
                <w:spacing w:val="-2"/>
              </w:rPr>
            </w:pPr>
            <w:r>
              <w:rPr>
                <w:spacing w:val="-2"/>
              </w:rPr>
              <w:t>【优】措施有效、合理、可操作性强的，得</w:t>
            </w:r>
            <w:r>
              <w:rPr>
                <w:rFonts w:hint="eastAsia"/>
                <w:spacing w:val="-28"/>
                <w:lang w:val="en-US" w:eastAsia="zh-CN"/>
              </w:rPr>
              <w:t>8-10</w:t>
            </w:r>
            <w:r>
              <w:rPr>
                <w:spacing w:val="-2"/>
              </w:rPr>
              <w:t>分。</w:t>
            </w:r>
          </w:p>
          <w:p w14:paraId="25A03B8F">
            <w:pPr>
              <w:pStyle w:val="32"/>
              <w:spacing w:before="130" w:line="220" w:lineRule="auto"/>
              <w:ind w:left="99" w:right="0" w:firstLine="0"/>
              <w:rPr>
                <w:spacing w:val="-11"/>
              </w:rPr>
            </w:pPr>
            <w:r>
              <w:rPr>
                <w:spacing w:val="-1"/>
              </w:rPr>
              <w:t>【良】措施效果较好、较合理，现场可操作性较强的，得</w:t>
            </w:r>
            <w:r>
              <w:rPr>
                <w:spacing w:val="-26"/>
              </w:rPr>
              <w:t xml:space="preserve"> </w:t>
            </w:r>
            <w:r>
              <w:rPr>
                <w:rFonts w:hint="eastAsia"/>
                <w:spacing w:val="-26"/>
                <w:lang w:val="en-US" w:eastAsia="zh-CN"/>
              </w:rPr>
              <w:t>5-7</w:t>
            </w:r>
            <w:r>
              <w:rPr>
                <w:spacing w:val="-11"/>
              </w:rPr>
              <w:t>分。</w:t>
            </w:r>
          </w:p>
          <w:p w14:paraId="4E0AF3D9">
            <w:pPr>
              <w:pStyle w:val="32"/>
              <w:spacing w:before="130" w:line="220" w:lineRule="auto"/>
              <w:ind w:left="99" w:right="0" w:firstLine="0"/>
              <w:rPr>
                <w:spacing w:val="-2"/>
              </w:rPr>
            </w:pPr>
            <w:r>
              <w:rPr>
                <w:spacing w:val="-2"/>
              </w:rPr>
              <w:t>【中】措施效果一般，现场可操作性一般的，得</w:t>
            </w:r>
            <w:r>
              <w:rPr>
                <w:spacing w:val="-24"/>
              </w:rPr>
              <w:t xml:space="preserve"> </w:t>
            </w:r>
            <w:r>
              <w:rPr>
                <w:rFonts w:hint="eastAsia"/>
                <w:spacing w:val="-2"/>
                <w:lang w:val="en-US" w:eastAsia="zh-CN"/>
              </w:rPr>
              <w:t>2-4</w:t>
            </w:r>
            <w:r>
              <w:rPr>
                <w:spacing w:val="-2"/>
              </w:rPr>
              <w:t>分。</w:t>
            </w:r>
          </w:p>
          <w:p w14:paraId="474AB6FF">
            <w:pPr>
              <w:pStyle w:val="32"/>
              <w:spacing w:before="130" w:line="220" w:lineRule="auto"/>
              <w:ind w:left="99"/>
              <w:jc w:val="both"/>
              <w:rPr>
                <w:spacing w:val="-11"/>
              </w:rPr>
            </w:pPr>
            <w:r>
              <w:rPr>
                <w:spacing w:val="2"/>
              </w:rPr>
              <w:t>【差】措施效果或现场可操作性较差或没有提供措施的，得</w:t>
            </w:r>
            <w:r>
              <w:rPr>
                <w:rFonts w:hint="eastAsia"/>
                <w:spacing w:val="2"/>
                <w:lang w:val="en-US" w:eastAsia="zh-CN"/>
              </w:rPr>
              <w:t>0-1</w:t>
            </w:r>
            <w:r>
              <w:rPr>
                <w:spacing w:val="-11"/>
              </w:rPr>
              <w:t>分。</w:t>
            </w:r>
          </w:p>
          <w:p w14:paraId="7E2097AD">
            <w:pPr>
              <w:pStyle w:val="32"/>
              <w:spacing w:before="130" w:line="220" w:lineRule="auto"/>
              <w:ind w:left="99"/>
              <w:jc w:val="both"/>
              <w:rPr>
                <w:rFonts w:hint="eastAsia" w:ascii="Calibri" w:hAnsi="Calibri"/>
                <w:color w:val="auto"/>
                <w:szCs w:val="22"/>
                <w:highlight w:val="none"/>
                <w:u w:val="none"/>
              </w:rPr>
            </w:pPr>
            <w:r>
              <w:rPr>
                <w:spacing w:val="-4"/>
              </w:rPr>
              <w:t>注：本项最高得</w:t>
            </w:r>
            <w:r>
              <w:rPr>
                <w:spacing w:val="-42"/>
              </w:rPr>
              <w:t xml:space="preserve"> </w:t>
            </w:r>
            <w:r>
              <w:rPr>
                <w:rFonts w:hint="eastAsia"/>
                <w:spacing w:val="-4"/>
                <w:lang w:val="en-US" w:eastAsia="zh-CN"/>
              </w:rPr>
              <w:t>10</w:t>
            </w:r>
            <w:r>
              <w:rPr>
                <w:spacing w:val="-4"/>
              </w:rPr>
              <w:t>分。</w:t>
            </w:r>
          </w:p>
        </w:tc>
      </w:tr>
      <w:tr w14:paraId="6AB3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82" w:type="dxa"/>
            <w:vMerge w:val="continue"/>
            <w:tcBorders>
              <w:left w:val="single" w:color="auto" w:sz="4" w:space="0"/>
              <w:right w:val="single" w:color="auto" w:sz="4" w:space="0"/>
            </w:tcBorders>
            <w:noWrap w:val="0"/>
            <w:vAlign w:val="center"/>
          </w:tcPr>
          <w:p w14:paraId="7D5D6B65">
            <w:pPr>
              <w:jc w:val="center"/>
              <w:rPr>
                <w:rFonts w:hint="eastAsia" w:ascii="宋体" w:hAnsi="宋体" w:eastAsia="宋体"/>
                <w:color w:val="auto"/>
                <w:szCs w:val="21"/>
                <w:highlight w:val="none"/>
                <w:u w:val="none"/>
                <w:lang w:eastAsia="zh-CN"/>
              </w:rPr>
            </w:pPr>
          </w:p>
        </w:tc>
        <w:tc>
          <w:tcPr>
            <w:tcW w:w="1010" w:type="dxa"/>
            <w:vMerge w:val="continue"/>
            <w:tcBorders>
              <w:left w:val="single" w:color="auto" w:sz="4" w:space="0"/>
              <w:right w:val="single" w:color="auto" w:sz="4" w:space="0"/>
            </w:tcBorders>
            <w:noWrap w:val="0"/>
            <w:vAlign w:val="center"/>
          </w:tcPr>
          <w:p w14:paraId="18BAF7C4">
            <w:pPr>
              <w:jc w:val="left"/>
              <w:rPr>
                <w:rFonts w:ascii="宋体" w:hAnsi="宋体"/>
                <w:color w:val="auto"/>
                <w:szCs w:val="21"/>
                <w:highlight w:val="none"/>
                <w:u w:val="none"/>
              </w:rPr>
            </w:pPr>
          </w:p>
        </w:tc>
        <w:tc>
          <w:tcPr>
            <w:tcW w:w="1367" w:type="dxa"/>
            <w:tcBorders>
              <w:left w:val="single" w:color="auto" w:sz="4" w:space="0"/>
              <w:right w:val="single" w:color="auto" w:sz="4" w:space="0"/>
            </w:tcBorders>
            <w:noWrap w:val="0"/>
            <w:vAlign w:val="center"/>
          </w:tcPr>
          <w:p w14:paraId="33265E50">
            <w:pPr>
              <w:pStyle w:val="24"/>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质量控制措施</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10分</w:t>
            </w:r>
            <w:r>
              <w:rPr>
                <w:rFonts w:hint="eastAsia" w:ascii="宋体" w:hAnsi="宋体" w:cs="宋体"/>
                <w:color w:val="auto"/>
                <w:szCs w:val="21"/>
                <w:highlight w:val="none"/>
                <w:u w:val="none"/>
                <w:lang w:eastAsia="zh-CN"/>
              </w:rPr>
              <w:t>）</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752E7337">
            <w:pPr>
              <w:pStyle w:val="24"/>
              <w:spacing w:before="133"/>
              <w:ind w:left="109" w:right="195"/>
              <w:rPr>
                <w:spacing w:val="-1"/>
              </w:rPr>
            </w:pPr>
            <w:r>
              <w:rPr>
                <w:rFonts w:hint="eastAsia" w:ascii="宋体" w:hAnsi="宋体" w:cs="宋体"/>
                <w:b/>
                <w:bCs/>
                <w:color w:val="auto"/>
                <w:szCs w:val="21"/>
                <w:highlight w:val="none"/>
                <w:u w:val="none"/>
              </w:rPr>
              <w:t>定标委员会对合格的中标候选人的质量控制措施进行评审：</w:t>
            </w:r>
          </w:p>
          <w:p w14:paraId="488771A7">
            <w:pPr>
              <w:pStyle w:val="24"/>
              <w:spacing w:before="133"/>
              <w:ind w:left="109" w:right="195"/>
            </w:pPr>
            <w:r>
              <w:rPr>
                <w:spacing w:val="-1"/>
              </w:rPr>
              <w:t>根据本工程特点，从质量保证体系、材料的检测、质量通病等</w:t>
            </w:r>
            <w:r>
              <w:rPr>
                <w:spacing w:val="17"/>
              </w:rPr>
              <w:t xml:space="preserve"> </w:t>
            </w:r>
            <w:r>
              <w:rPr>
                <w:spacing w:val="-3"/>
              </w:rPr>
              <w:t>三个方面的防治提出质量控制措施：</w:t>
            </w:r>
          </w:p>
          <w:p w14:paraId="715A4764">
            <w:pPr>
              <w:pStyle w:val="32"/>
              <w:spacing w:before="0" w:line="220" w:lineRule="auto"/>
              <w:ind w:left="99" w:right="0" w:firstLine="0"/>
              <w:rPr>
                <w:spacing w:val="-2"/>
              </w:rPr>
            </w:pPr>
            <w:r>
              <w:rPr>
                <w:spacing w:val="-2"/>
              </w:rPr>
              <w:t>【优】措施有效、合理、可操作性强的，得</w:t>
            </w:r>
            <w:r>
              <w:rPr>
                <w:spacing w:val="-28"/>
              </w:rPr>
              <w:t xml:space="preserve"> </w:t>
            </w:r>
            <w:r>
              <w:rPr>
                <w:rFonts w:hint="eastAsia"/>
                <w:spacing w:val="-2"/>
                <w:lang w:val="en-US" w:eastAsia="zh-CN"/>
              </w:rPr>
              <w:t>8-10</w:t>
            </w:r>
            <w:r>
              <w:rPr>
                <w:spacing w:val="-2"/>
              </w:rPr>
              <w:t>分。</w:t>
            </w:r>
          </w:p>
          <w:p w14:paraId="42A1B9A5">
            <w:pPr>
              <w:pStyle w:val="32"/>
              <w:spacing w:before="0" w:line="220" w:lineRule="auto"/>
              <w:ind w:left="99" w:right="0" w:firstLine="0"/>
            </w:pPr>
            <w:r>
              <w:rPr>
                <w:spacing w:val="-1"/>
              </w:rPr>
              <w:t>【良】措施效果较好、较合理，现场可操作性较强的，得</w:t>
            </w:r>
            <w:r>
              <w:rPr>
                <w:rFonts w:hint="eastAsia"/>
                <w:spacing w:val="-1"/>
                <w:lang w:val="en-US" w:eastAsia="zh-CN"/>
              </w:rPr>
              <w:t>5-</w:t>
            </w:r>
            <w:r>
              <w:rPr>
                <w:rFonts w:hint="eastAsia"/>
                <w:spacing w:val="-26"/>
                <w:lang w:val="en-US" w:eastAsia="zh-CN"/>
              </w:rPr>
              <w:t>7</w:t>
            </w:r>
            <w:r>
              <w:rPr>
                <w:spacing w:val="-11"/>
              </w:rPr>
              <w:t>分。</w:t>
            </w:r>
          </w:p>
          <w:p w14:paraId="338D3C85">
            <w:pPr>
              <w:pStyle w:val="32"/>
              <w:spacing w:before="0" w:line="220" w:lineRule="auto"/>
              <w:ind w:left="99" w:right="0" w:firstLine="0"/>
              <w:rPr>
                <w:spacing w:val="-2"/>
              </w:rPr>
            </w:pPr>
            <w:r>
              <w:rPr>
                <w:spacing w:val="-2"/>
              </w:rPr>
              <w:t>【中】措施效果一般，现场可操作性一般的，得</w:t>
            </w:r>
            <w:r>
              <w:rPr>
                <w:rFonts w:hint="eastAsia"/>
                <w:spacing w:val="-2"/>
                <w:lang w:val="en-US" w:eastAsia="zh-CN"/>
              </w:rPr>
              <w:t>2-4</w:t>
            </w:r>
            <w:r>
              <w:rPr>
                <w:spacing w:val="-2"/>
              </w:rPr>
              <w:t>分。</w:t>
            </w:r>
          </w:p>
          <w:p w14:paraId="1676284E">
            <w:pPr>
              <w:pStyle w:val="32"/>
              <w:spacing w:before="0" w:line="220" w:lineRule="auto"/>
              <w:ind w:left="99" w:right="0" w:firstLine="0"/>
            </w:pPr>
            <w:r>
              <w:rPr>
                <w:spacing w:val="2"/>
              </w:rPr>
              <w:t>【差】措施效果或现场可操作性较差或没有提供措施的，得</w:t>
            </w:r>
            <w:r>
              <w:rPr>
                <w:rFonts w:hint="eastAsia"/>
                <w:spacing w:val="2"/>
                <w:lang w:val="en-US" w:eastAsia="zh-CN"/>
              </w:rPr>
              <w:t>0-1</w:t>
            </w:r>
            <w:r>
              <w:rPr>
                <w:spacing w:val="-11"/>
              </w:rPr>
              <w:t>分。</w:t>
            </w:r>
          </w:p>
          <w:p w14:paraId="686F0FA8">
            <w:pPr>
              <w:pStyle w:val="24"/>
              <w:rPr>
                <w:rFonts w:ascii="宋体" w:hAnsi="宋体"/>
                <w:color w:val="auto"/>
                <w:szCs w:val="21"/>
                <w:highlight w:val="none"/>
                <w:u w:val="none"/>
              </w:rPr>
            </w:pPr>
            <w:r>
              <w:rPr>
                <w:spacing w:val="-4"/>
              </w:rPr>
              <w:t>注：本项最高得</w:t>
            </w:r>
            <w:r>
              <w:rPr>
                <w:spacing w:val="-42"/>
              </w:rPr>
              <w:t xml:space="preserve"> </w:t>
            </w:r>
            <w:r>
              <w:rPr>
                <w:rFonts w:hint="eastAsia"/>
                <w:spacing w:val="-42"/>
                <w:lang w:val="en-US" w:eastAsia="zh-CN"/>
              </w:rPr>
              <w:t>10</w:t>
            </w:r>
            <w:r>
              <w:rPr>
                <w:spacing w:val="-42"/>
              </w:rPr>
              <w:t xml:space="preserve"> </w:t>
            </w:r>
            <w:r>
              <w:rPr>
                <w:spacing w:val="-4"/>
              </w:rPr>
              <w:t>分。</w:t>
            </w:r>
          </w:p>
        </w:tc>
      </w:tr>
      <w:tr w14:paraId="06A8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82" w:type="dxa"/>
            <w:vMerge w:val="continue"/>
            <w:tcBorders>
              <w:left w:val="single" w:color="auto" w:sz="4" w:space="0"/>
              <w:right w:val="single" w:color="auto" w:sz="4" w:space="0"/>
            </w:tcBorders>
            <w:noWrap w:val="0"/>
            <w:vAlign w:val="center"/>
          </w:tcPr>
          <w:p w14:paraId="7B76A1C0">
            <w:pPr>
              <w:jc w:val="center"/>
              <w:rPr>
                <w:rFonts w:hint="eastAsia" w:ascii="宋体" w:hAnsi="宋体" w:eastAsia="宋体"/>
                <w:color w:val="auto"/>
                <w:szCs w:val="21"/>
                <w:highlight w:val="none"/>
                <w:u w:val="none"/>
                <w:lang w:eastAsia="zh-CN"/>
              </w:rPr>
            </w:pPr>
          </w:p>
        </w:tc>
        <w:tc>
          <w:tcPr>
            <w:tcW w:w="1010" w:type="dxa"/>
            <w:vMerge w:val="continue"/>
            <w:tcBorders>
              <w:left w:val="single" w:color="auto" w:sz="4" w:space="0"/>
              <w:right w:val="single" w:color="auto" w:sz="4" w:space="0"/>
            </w:tcBorders>
            <w:noWrap w:val="0"/>
            <w:vAlign w:val="center"/>
          </w:tcPr>
          <w:p w14:paraId="4E5B079B">
            <w:pPr>
              <w:jc w:val="left"/>
              <w:rPr>
                <w:rFonts w:ascii="宋体" w:hAnsi="宋体"/>
                <w:color w:val="auto"/>
                <w:szCs w:val="21"/>
                <w:highlight w:val="none"/>
                <w:u w:val="none"/>
              </w:rPr>
            </w:pPr>
          </w:p>
        </w:tc>
        <w:tc>
          <w:tcPr>
            <w:tcW w:w="1367" w:type="dxa"/>
            <w:tcBorders>
              <w:left w:val="single" w:color="auto" w:sz="4" w:space="0"/>
              <w:right w:val="single" w:color="auto" w:sz="4" w:space="0"/>
            </w:tcBorders>
            <w:noWrap w:val="0"/>
            <w:vAlign w:val="center"/>
          </w:tcPr>
          <w:p w14:paraId="5676B5DB">
            <w:pPr>
              <w:pStyle w:val="24"/>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进度控制措施（</w:t>
            </w:r>
            <w:r>
              <w:rPr>
                <w:rFonts w:hint="eastAsia" w:ascii="宋体" w:hAnsi="宋体" w:cs="宋体"/>
                <w:color w:val="auto"/>
                <w:szCs w:val="21"/>
                <w:highlight w:val="none"/>
                <w:u w:val="none"/>
                <w:lang w:val="en-US" w:eastAsia="zh-CN"/>
              </w:rPr>
              <w:t>10分</w:t>
            </w:r>
            <w:r>
              <w:rPr>
                <w:rFonts w:hint="eastAsia" w:ascii="宋体" w:hAnsi="宋体" w:cs="宋体"/>
                <w:color w:val="auto"/>
                <w:szCs w:val="21"/>
                <w:highlight w:val="none"/>
                <w:u w:val="none"/>
                <w:lang w:eastAsia="zh-CN"/>
              </w:rPr>
              <w:t>）</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7C70225C">
            <w:pPr>
              <w:pStyle w:val="24"/>
              <w:spacing w:before="129"/>
              <w:ind w:left="107" w:right="195"/>
              <w:rPr>
                <w:spacing w:val="-1"/>
              </w:rPr>
            </w:pPr>
            <w:r>
              <w:rPr>
                <w:rFonts w:hint="eastAsia" w:ascii="宋体" w:hAnsi="宋体" w:cs="宋体"/>
                <w:b/>
                <w:bCs/>
                <w:color w:val="auto"/>
                <w:szCs w:val="21"/>
                <w:highlight w:val="none"/>
                <w:u w:val="none"/>
              </w:rPr>
              <w:t>定标委员会对合格的中标候选人的进度控制措施进行评审：</w:t>
            </w:r>
          </w:p>
          <w:p w14:paraId="35BFD6D8">
            <w:pPr>
              <w:pStyle w:val="24"/>
              <w:spacing w:before="1"/>
              <w:ind w:left="109" w:right="195"/>
              <w:jc w:val="both"/>
              <w:rPr>
                <w:spacing w:val="-6"/>
              </w:rPr>
            </w:pPr>
            <w:r>
              <w:rPr>
                <w:spacing w:val="-1"/>
              </w:rPr>
              <w:t>根据本工程的特点，制定了相应的工期目标、施工进度计划和</w:t>
            </w:r>
            <w:r>
              <w:rPr>
                <w:spacing w:val="-6"/>
              </w:rPr>
              <w:t>进度保证措施的：</w:t>
            </w:r>
          </w:p>
          <w:p w14:paraId="20343747">
            <w:pPr>
              <w:pStyle w:val="24"/>
              <w:spacing w:before="1"/>
              <w:ind w:left="110" w:right="102"/>
              <w:jc w:val="both"/>
              <w:rPr>
                <w:spacing w:val="-3"/>
              </w:rPr>
            </w:pPr>
            <w:r>
              <w:t xml:space="preserve">【优】施工进度计划结合实际施工情况，制定的进度保证措施 </w:t>
            </w:r>
            <w:r>
              <w:rPr>
                <w:spacing w:val="-1"/>
              </w:rPr>
              <w:t>现场实操性强，能有效保证施工进度的，施工工期进度计划比</w:t>
            </w:r>
            <w:r>
              <w:rPr>
                <w:spacing w:val="16"/>
              </w:rPr>
              <w:t xml:space="preserve"> </w:t>
            </w:r>
            <w:r>
              <w:rPr>
                <w:spacing w:val="-3"/>
              </w:rPr>
              <w:t>招标文件规定的时间提前</w:t>
            </w:r>
            <w:r>
              <w:rPr>
                <w:spacing w:val="-37"/>
              </w:rPr>
              <w:t xml:space="preserve"> </w:t>
            </w:r>
            <w:r>
              <w:rPr>
                <w:spacing w:val="-3"/>
              </w:rPr>
              <w:t>5</w:t>
            </w:r>
            <w:r>
              <w:rPr>
                <w:spacing w:val="-40"/>
              </w:rPr>
              <w:t xml:space="preserve"> </w:t>
            </w:r>
            <w:r>
              <w:rPr>
                <w:spacing w:val="-3"/>
              </w:rPr>
              <w:t>天或以上的，得</w:t>
            </w:r>
            <w:r>
              <w:rPr>
                <w:spacing w:val="-45"/>
              </w:rPr>
              <w:t xml:space="preserve"> </w:t>
            </w:r>
            <w:r>
              <w:rPr>
                <w:rFonts w:hint="eastAsia"/>
                <w:spacing w:val="-3"/>
                <w:lang w:val="en-US" w:eastAsia="zh-CN"/>
              </w:rPr>
              <w:t>8-10</w:t>
            </w:r>
            <w:r>
              <w:rPr>
                <w:spacing w:val="-3"/>
              </w:rPr>
              <w:t>分。</w:t>
            </w:r>
          </w:p>
          <w:p w14:paraId="5AA20C0F">
            <w:pPr>
              <w:pStyle w:val="24"/>
              <w:spacing w:before="1"/>
              <w:ind w:left="110" w:right="195"/>
              <w:jc w:val="both"/>
              <w:rPr>
                <w:spacing w:val="-4"/>
              </w:rPr>
            </w:pPr>
            <w:r>
              <w:rPr>
                <w:spacing w:val="-1"/>
              </w:rPr>
              <w:t>【良】 施工进度计划结合实际施工情况，制定的进度保证措施</w:t>
            </w:r>
            <w:r>
              <w:rPr>
                <w:spacing w:val="16"/>
              </w:rPr>
              <w:t xml:space="preserve"> </w:t>
            </w:r>
            <w:r>
              <w:rPr>
                <w:spacing w:val="-1"/>
              </w:rPr>
              <w:t>现场实操性较强，基本能保证施工进度的，施工工期进度计划</w:t>
            </w:r>
            <w:r>
              <w:rPr>
                <w:spacing w:val="8"/>
              </w:rPr>
              <w:t xml:space="preserve">  </w:t>
            </w:r>
            <w:r>
              <w:rPr>
                <w:spacing w:val="-4"/>
              </w:rPr>
              <w:t>比招标文件规定的时间提前</w:t>
            </w:r>
            <w:r>
              <w:rPr>
                <w:spacing w:val="-15"/>
              </w:rPr>
              <w:t xml:space="preserve"> </w:t>
            </w:r>
            <w:r>
              <w:rPr>
                <w:spacing w:val="-4"/>
              </w:rPr>
              <w:t>1</w:t>
            </w:r>
            <w:r>
              <w:rPr>
                <w:spacing w:val="-40"/>
              </w:rPr>
              <w:t xml:space="preserve"> </w:t>
            </w:r>
            <w:r>
              <w:rPr>
                <w:spacing w:val="-4"/>
              </w:rPr>
              <w:t>天或以上的，得</w:t>
            </w:r>
            <w:r>
              <w:rPr>
                <w:spacing w:val="-42"/>
              </w:rPr>
              <w:t xml:space="preserve"> </w:t>
            </w:r>
            <w:r>
              <w:rPr>
                <w:rFonts w:hint="eastAsia"/>
                <w:spacing w:val="-4"/>
                <w:lang w:val="en-US" w:eastAsia="zh-CN"/>
              </w:rPr>
              <w:t>5-7</w:t>
            </w:r>
            <w:r>
              <w:rPr>
                <w:spacing w:val="-4"/>
              </w:rPr>
              <w:t>分。</w:t>
            </w:r>
          </w:p>
          <w:p w14:paraId="14754563">
            <w:pPr>
              <w:pStyle w:val="24"/>
              <w:rPr>
                <w:spacing w:val="-8"/>
              </w:rPr>
            </w:pPr>
            <w:r>
              <w:t xml:space="preserve">【中】施工进度计划结合实际施工情况，制定的进度保证措施 </w:t>
            </w:r>
            <w:r>
              <w:rPr>
                <w:spacing w:val="-1"/>
              </w:rPr>
              <w:t>现场实操性一般的，施工工期进度计划满足招标文件规定的时</w:t>
            </w:r>
            <w:r>
              <w:rPr>
                <w:spacing w:val="16"/>
              </w:rPr>
              <w:t xml:space="preserve"> </w:t>
            </w:r>
            <w:r>
              <w:rPr>
                <w:spacing w:val="-8"/>
              </w:rPr>
              <w:t>间的，得</w:t>
            </w:r>
            <w:r>
              <w:rPr>
                <w:spacing w:val="-28"/>
              </w:rPr>
              <w:t xml:space="preserve"> </w:t>
            </w:r>
            <w:r>
              <w:rPr>
                <w:rFonts w:hint="eastAsia"/>
                <w:spacing w:val="-28"/>
                <w:lang w:val="en-US" w:eastAsia="zh-CN"/>
              </w:rPr>
              <w:t>2-</w:t>
            </w:r>
            <w:r>
              <w:rPr>
                <w:rFonts w:hint="eastAsia"/>
                <w:spacing w:val="-8"/>
                <w:lang w:val="en-US" w:eastAsia="zh-CN"/>
              </w:rPr>
              <w:t>4</w:t>
            </w:r>
            <w:r>
              <w:rPr>
                <w:spacing w:val="-8"/>
              </w:rPr>
              <w:t>分。</w:t>
            </w:r>
          </w:p>
          <w:p w14:paraId="6766D353">
            <w:pPr>
              <w:pStyle w:val="24"/>
            </w:pPr>
            <w:r>
              <w:rPr>
                <w:spacing w:val="-3"/>
              </w:rPr>
              <w:t>【差】措施效果较差或没有提供措施的，得</w:t>
            </w:r>
            <w:r>
              <w:rPr>
                <w:spacing w:val="-27"/>
              </w:rPr>
              <w:t xml:space="preserve"> </w:t>
            </w:r>
            <w:r>
              <w:rPr>
                <w:spacing w:val="-3"/>
              </w:rPr>
              <w:t>0</w:t>
            </w:r>
            <w:r>
              <w:rPr>
                <w:spacing w:val="-41"/>
              </w:rPr>
              <w:t xml:space="preserve"> </w:t>
            </w:r>
            <w:r>
              <w:rPr>
                <w:rFonts w:hint="eastAsia"/>
                <w:spacing w:val="-41"/>
                <w:lang w:val="en-US" w:eastAsia="zh-CN"/>
              </w:rPr>
              <w:t>-1</w:t>
            </w:r>
            <w:r>
              <w:rPr>
                <w:spacing w:val="-3"/>
              </w:rPr>
              <w:t>分。</w:t>
            </w:r>
            <w:r>
              <w:t xml:space="preserve"> </w:t>
            </w:r>
          </w:p>
          <w:p w14:paraId="08BFE259">
            <w:pPr>
              <w:pStyle w:val="24"/>
              <w:rPr>
                <w:rFonts w:hint="eastAsia" w:ascii="宋体" w:hAnsi="宋体" w:cs="宋体"/>
                <w:color w:val="auto"/>
                <w:szCs w:val="21"/>
                <w:highlight w:val="none"/>
                <w:u w:val="none"/>
              </w:rPr>
            </w:pPr>
            <w:r>
              <w:rPr>
                <w:spacing w:val="-4"/>
              </w:rPr>
              <w:t>注：本项最高得</w:t>
            </w:r>
            <w:r>
              <w:rPr>
                <w:spacing w:val="-42"/>
              </w:rPr>
              <w:t xml:space="preserve"> </w:t>
            </w:r>
            <w:r>
              <w:rPr>
                <w:rFonts w:hint="eastAsia"/>
                <w:spacing w:val="-4"/>
                <w:lang w:val="en-US" w:eastAsia="zh-CN"/>
              </w:rPr>
              <w:t>10</w:t>
            </w:r>
            <w:r>
              <w:rPr>
                <w:spacing w:val="-4"/>
              </w:rPr>
              <w:t>分。</w:t>
            </w:r>
          </w:p>
        </w:tc>
      </w:tr>
      <w:tr w14:paraId="1C98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82" w:type="dxa"/>
            <w:vMerge w:val="continue"/>
            <w:tcBorders>
              <w:left w:val="single" w:color="auto" w:sz="4" w:space="0"/>
              <w:right w:val="single" w:color="auto" w:sz="4" w:space="0"/>
            </w:tcBorders>
            <w:noWrap w:val="0"/>
            <w:vAlign w:val="center"/>
          </w:tcPr>
          <w:p w14:paraId="59FBE61C">
            <w:pPr>
              <w:jc w:val="center"/>
              <w:rPr>
                <w:rFonts w:hint="eastAsia" w:ascii="宋体" w:hAnsi="宋体" w:eastAsia="宋体"/>
                <w:color w:val="auto"/>
                <w:szCs w:val="21"/>
                <w:highlight w:val="none"/>
                <w:u w:val="none"/>
                <w:lang w:eastAsia="zh-CN"/>
              </w:rPr>
            </w:pPr>
          </w:p>
        </w:tc>
        <w:tc>
          <w:tcPr>
            <w:tcW w:w="1010" w:type="dxa"/>
            <w:vMerge w:val="continue"/>
            <w:tcBorders>
              <w:left w:val="single" w:color="auto" w:sz="4" w:space="0"/>
              <w:right w:val="single" w:color="auto" w:sz="4" w:space="0"/>
            </w:tcBorders>
            <w:noWrap w:val="0"/>
            <w:vAlign w:val="center"/>
          </w:tcPr>
          <w:p w14:paraId="18E28B7B">
            <w:pPr>
              <w:jc w:val="left"/>
              <w:rPr>
                <w:rFonts w:ascii="宋体" w:hAnsi="宋体"/>
                <w:color w:val="auto"/>
                <w:szCs w:val="21"/>
                <w:highlight w:val="none"/>
                <w:u w:val="none"/>
              </w:rPr>
            </w:pPr>
          </w:p>
        </w:tc>
        <w:tc>
          <w:tcPr>
            <w:tcW w:w="1367" w:type="dxa"/>
            <w:tcBorders>
              <w:left w:val="single" w:color="auto" w:sz="4" w:space="0"/>
              <w:right w:val="single" w:color="auto" w:sz="4" w:space="0"/>
            </w:tcBorders>
            <w:noWrap w:val="0"/>
            <w:vAlign w:val="center"/>
          </w:tcPr>
          <w:p w14:paraId="60D988A6">
            <w:pPr>
              <w:pStyle w:val="24"/>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绿色节能控制措施（</w:t>
            </w:r>
            <w:r>
              <w:rPr>
                <w:rFonts w:hint="eastAsia" w:ascii="宋体" w:hAnsi="宋体" w:cs="宋体"/>
                <w:color w:val="auto"/>
                <w:szCs w:val="21"/>
                <w:highlight w:val="none"/>
                <w:u w:val="none"/>
                <w:lang w:val="en-US" w:eastAsia="zh-CN"/>
              </w:rPr>
              <w:t>10分</w:t>
            </w:r>
            <w:r>
              <w:rPr>
                <w:rFonts w:hint="eastAsia" w:ascii="宋体" w:hAnsi="宋体" w:cs="宋体"/>
                <w:color w:val="auto"/>
                <w:szCs w:val="21"/>
                <w:highlight w:val="none"/>
                <w:u w:val="none"/>
                <w:lang w:eastAsia="zh-CN"/>
              </w:rPr>
              <w:t>）</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522988C4">
            <w:pPr>
              <w:pStyle w:val="24"/>
              <w:spacing w:before="133"/>
              <w:ind w:left="112" w:right="195"/>
              <w:rPr>
                <w:spacing w:val="-1"/>
              </w:rPr>
            </w:pPr>
            <w:r>
              <w:rPr>
                <w:rFonts w:hint="eastAsia" w:ascii="宋体" w:hAnsi="宋体" w:cs="宋体"/>
                <w:b/>
                <w:bCs/>
                <w:color w:val="auto"/>
                <w:szCs w:val="21"/>
                <w:highlight w:val="none"/>
                <w:u w:val="none"/>
              </w:rPr>
              <w:t>定标委员会对合格的中标候选人的绿色节能控制措施进行评审：</w:t>
            </w:r>
          </w:p>
          <w:p w14:paraId="054FADC0">
            <w:pPr>
              <w:pStyle w:val="24"/>
              <w:ind w:left="99"/>
              <w:rPr>
                <w:spacing w:val="-5"/>
              </w:rPr>
            </w:pPr>
            <w:r>
              <w:rPr>
                <w:spacing w:val="-1"/>
              </w:rPr>
              <w:t>建立完善的绿色节能控制措施，根据本工程的特点，提出材料</w:t>
            </w:r>
            <w:r>
              <w:rPr>
                <w:spacing w:val="15"/>
              </w:rPr>
              <w:t xml:space="preserve"> </w:t>
            </w:r>
            <w:r>
              <w:rPr>
                <w:spacing w:val="-5"/>
              </w:rPr>
              <w:t>消耗、环境保护控制措施：</w:t>
            </w:r>
          </w:p>
          <w:p w14:paraId="748037E4">
            <w:pPr>
              <w:pStyle w:val="24"/>
              <w:spacing w:before="217"/>
              <w:ind w:left="99"/>
              <w:rPr>
                <w:spacing w:val="-2"/>
              </w:rPr>
            </w:pPr>
            <w:r>
              <w:rPr>
                <w:spacing w:val="-2"/>
              </w:rPr>
              <w:t>【优】措施有效、合理、可操作性强的，得</w:t>
            </w:r>
            <w:r>
              <w:rPr>
                <w:spacing w:val="-28"/>
              </w:rPr>
              <w:t xml:space="preserve"> </w:t>
            </w:r>
            <w:r>
              <w:rPr>
                <w:rFonts w:hint="eastAsia"/>
                <w:spacing w:val="-2"/>
                <w:lang w:val="en-US" w:eastAsia="zh-CN"/>
              </w:rPr>
              <w:t>8-10</w:t>
            </w:r>
            <w:r>
              <w:rPr>
                <w:spacing w:val="-42"/>
              </w:rPr>
              <w:t xml:space="preserve"> </w:t>
            </w:r>
            <w:r>
              <w:rPr>
                <w:spacing w:val="-2"/>
              </w:rPr>
              <w:t>分。</w:t>
            </w:r>
          </w:p>
          <w:p w14:paraId="18CCF43D">
            <w:pPr>
              <w:pStyle w:val="24"/>
              <w:spacing w:before="217"/>
              <w:ind w:left="99"/>
              <w:rPr>
                <w:spacing w:val="-2"/>
              </w:rPr>
            </w:pPr>
            <w:r>
              <w:rPr>
                <w:spacing w:val="-2"/>
              </w:rPr>
              <w:t>【良】措施较有效，现场可操作性较强的，得</w:t>
            </w:r>
            <w:r>
              <w:rPr>
                <w:spacing w:val="-26"/>
              </w:rPr>
              <w:t xml:space="preserve"> </w:t>
            </w:r>
            <w:r>
              <w:rPr>
                <w:rFonts w:hint="eastAsia"/>
                <w:spacing w:val="-2"/>
                <w:lang w:val="en-US" w:eastAsia="zh-CN"/>
              </w:rPr>
              <w:t>5-7</w:t>
            </w:r>
            <w:r>
              <w:rPr>
                <w:spacing w:val="-2"/>
              </w:rPr>
              <w:t>分。</w:t>
            </w:r>
          </w:p>
          <w:p w14:paraId="335BF914">
            <w:pPr>
              <w:pStyle w:val="24"/>
              <w:spacing w:before="217"/>
              <w:ind w:left="99"/>
            </w:pPr>
            <w:r>
              <w:rPr>
                <w:spacing w:val="-1"/>
              </w:rPr>
              <w:t>【中】措施效果一般，现场可操作性一般的，得</w:t>
            </w:r>
            <w:r>
              <w:rPr>
                <w:spacing w:val="-42"/>
              </w:rPr>
              <w:t xml:space="preserve"> </w:t>
            </w:r>
            <w:r>
              <w:rPr>
                <w:rFonts w:hint="eastAsia"/>
                <w:spacing w:val="-1"/>
                <w:lang w:val="en-US" w:eastAsia="zh-CN"/>
              </w:rPr>
              <w:t>2-4</w:t>
            </w:r>
            <w:r>
              <w:rPr>
                <w:spacing w:val="-2"/>
              </w:rPr>
              <w:t>分。</w:t>
            </w:r>
          </w:p>
          <w:p w14:paraId="4CC158DC">
            <w:pPr>
              <w:pStyle w:val="24"/>
              <w:rPr>
                <w:spacing w:val="-3"/>
              </w:rPr>
            </w:pPr>
            <w:r>
              <w:rPr>
                <w:spacing w:val="-3"/>
              </w:rPr>
              <w:t>【差】措施效果较差或没有提供措施的，得</w:t>
            </w:r>
            <w:r>
              <w:rPr>
                <w:spacing w:val="-27"/>
              </w:rPr>
              <w:t xml:space="preserve"> </w:t>
            </w:r>
            <w:r>
              <w:rPr>
                <w:rFonts w:hint="eastAsia"/>
                <w:spacing w:val="-3"/>
                <w:lang w:val="en-US" w:eastAsia="zh-CN"/>
              </w:rPr>
              <w:t>0-1</w:t>
            </w:r>
            <w:r>
              <w:rPr>
                <w:spacing w:val="-3"/>
              </w:rPr>
              <w:t>分。</w:t>
            </w:r>
          </w:p>
          <w:p w14:paraId="3194A818">
            <w:pPr>
              <w:pStyle w:val="24"/>
              <w:rPr>
                <w:rFonts w:hint="eastAsia" w:ascii="宋体" w:hAnsi="宋体" w:cs="宋体"/>
                <w:color w:val="auto"/>
                <w:szCs w:val="21"/>
                <w:highlight w:val="none"/>
                <w:u w:val="none"/>
              </w:rPr>
            </w:pPr>
            <w:r>
              <w:t xml:space="preserve"> </w:t>
            </w:r>
            <w:r>
              <w:rPr>
                <w:spacing w:val="-5"/>
              </w:rPr>
              <w:t>注：本项最高得</w:t>
            </w:r>
            <w:r>
              <w:rPr>
                <w:spacing w:val="-32"/>
              </w:rPr>
              <w:t xml:space="preserve"> </w:t>
            </w:r>
            <w:r>
              <w:rPr>
                <w:rFonts w:hint="eastAsia"/>
                <w:spacing w:val="-5"/>
                <w:lang w:val="en-US" w:eastAsia="zh-CN"/>
              </w:rPr>
              <w:t>10</w:t>
            </w:r>
            <w:r>
              <w:rPr>
                <w:spacing w:val="-5"/>
              </w:rPr>
              <w:t>分。</w:t>
            </w:r>
          </w:p>
        </w:tc>
      </w:tr>
      <w:tr w14:paraId="68F1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82" w:type="dxa"/>
            <w:vMerge w:val="continue"/>
            <w:tcBorders>
              <w:left w:val="single" w:color="auto" w:sz="4" w:space="0"/>
              <w:right w:val="single" w:color="auto" w:sz="4" w:space="0"/>
            </w:tcBorders>
            <w:noWrap w:val="0"/>
            <w:vAlign w:val="center"/>
          </w:tcPr>
          <w:p w14:paraId="1FF81629">
            <w:pPr>
              <w:jc w:val="center"/>
              <w:rPr>
                <w:rFonts w:hint="eastAsia" w:ascii="宋体" w:hAnsi="宋体" w:eastAsia="宋体"/>
                <w:color w:val="auto"/>
                <w:szCs w:val="21"/>
                <w:highlight w:val="none"/>
                <w:u w:val="none"/>
                <w:lang w:eastAsia="zh-CN"/>
              </w:rPr>
            </w:pPr>
          </w:p>
        </w:tc>
        <w:tc>
          <w:tcPr>
            <w:tcW w:w="1010" w:type="dxa"/>
            <w:vMerge w:val="continue"/>
            <w:tcBorders>
              <w:left w:val="single" w:color="auto" w:sz="4" w:space="0"/>
              <w:right w:val="single" w:color="auto" w:sz="4" w:space="0"/>
            </w:tcBorders>
            <w:noWrap w:val="0"/>
            <w:vAlign w:val="center"/>
          </w:tcPr>
          <w:p w14:paraId="3EC6D121">
            <w:pPr>
              <w:jc w:val="left"/>
              <w:rPr>
                <w:rFonts w:hint="eastAsia" w:ascii="宋体" w:hAnsi="宋体" w:cs="宋体"/>
                <w:color w:val="auto"/>
                <w:szCs w:val="21"/>
                <w:highlight w:val="none"/>
                <w:u w:val="none"/>
              </w:rPr>
            </w:pPr>
          </w:p>
        </w:tc>
        <w:tc>
          <w:tcPr>
            <w:tcW w:w="1367" w:type="dxa"/>
            <w:tcBorders>
              <w:left w:val="single" w:color="auto" w:sz="4" w:space="0"/>
              <w:right w:val="single" w:color="auto" w:sz="4" w:space="0"/>
            </w:tcBorders>
            <w:noWrap w:val="0"/>
            <w:vAlign w:val="center"/>
          </w:tcPr>
          <w:p w14:paraId="5CE7F0BA">
            <w:pPr>
              <w:pStyle w:val="24"/>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实施本项目的其他优势</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10分</w:t>
            </w:r>
            <w:r>
              <w:rPr>
                <w:rFonts w:hint="eastAsia" w:ascii="宋体" w:hAnsi="宋体" w:cs="宋体"/>
                <w:color w:val="auto"/>
                <w:szCs w:val="21"/>
                <w:highlight w:val="none"/>
                <w:u w:val="none"/>
                <w:lang w:eastAsia="zh-CN"/>
              </w:rPr>
              <w:t>）</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0943D4D6">
            <w:pPr>
              <w:pStyle w:val="32"/>
              <w:spacing w:before="130" w:line="220" w:lineRule="auto"/>
              <w:ind w:left="114" w:right="195" w:hanging="8"/>
              <w:rPr>
                <w:spacing w:val="-1"/>
              </w:rPr>
            </w:pPr>
            <w:r>
              <w:rPr>
                <w:rFonts w:hint="eastAsia" w:ascii="宋体" w:hAnsi="宋体" w:cs="宋体"/>
                <w:b/>
                <w:bCs/>
                <w:color w:val="auto"/>
                <w:szCs w:val="21"/>
                <w:highlight w:val="none"/>
                <w:u w:val="none"/>
              </w:rPr>
              <w:t>定标委员会对合格的中标候选人的</w:t>
            </w:r>
            <w:r>
              <w:rPr>
                <w:rFonts w:hint="eastAsia" w:ascii="宋体" w:hAnsi="宋体" w:cs="宋体"/>
                <w:b/>
                <w:bCs/>
                <w:color w:val="auto"/>
                <w:szCs w:val="21"/>
                <w:highlight w:val="none"/>
                <w:u w:val="none"/>
                <w:lang w:val="en-US" w:eastAsia="zh-CN"/>
              </w:rPr>
              <w:t>实施本项目的其他优势</w:t>
            </w:r>
            <w:r>
              <w:rPr>
                <w:rFonts w:hint="eastAsia" w:ascii="宋体" w:hAnsi="宋体" w:cs="宋体"/>
                <w:b/>
                <w:bCs/>
                <w:color w:val="auto"/>
                <w:szCs w:val="21"/>
                <w:highlight w:val="none"/>
                <w:u w:val="none"/>
              </w:rPr>
              <w:t>进行评审：</w:t>
            </w:r>
          </w:p>
          <w:p w14:paraId="62C0A0B3">
            <w:pPr>
              <w:pStyle w:val="32"/>
              <w:spacing w:before="130" w:line="220" w:lineRule="auto"/>
              <w:ind w:left="114"/>
              <w:rPr>
                <w:spacing w:val="-6"/>
              </w:rPr>
            </w:pPr>
            <w:r>
              <w:rPr>
                <w:spacing w:val="-1"/>
              </w:rPr>
              <w:t>根据本项目特点，制定施工管理、组织协调、执行效率、技术</w:t>
            </w:r>
            <w:r>
              <w:rPr>
                <w:spacing w:val="17"/>
              </w:rPr>
              <w:t xml:space="preserve"> </w:t>
            </w:r>
            <w:r>
              <w:rPr>
                <w:spacing w:val="-6"/>
              </w:rPr>
              <w:t>能力、维保服务方案：</w:t>
            </w:r>
          </w:p>
          <w:p w14:paraId="78EAB207">
            <w:pPr>
              <w:pStyle w:val="32"/>
              <w:spacing w:before="130" w:line="220" w:lineRule="auto"/>
              <w:ind w:left="114" w:right="0" w:firstLine="0"/>
              <w:rPr>
                <w:spacing w:val="-3"/>
              </w:rPr>
            </w:pPr>
            <w:r>
              <w:t>【优】结合本项目的特点及投标人的资源情况，提出方案有</w:t>
            </w:r>
            <w:r>
              <w:rPr>
                <w:spacing w:val="-3"/>
              </w:rPr>
              <w:t>效、合理、可操作性强的，得</w:t>
            </w:r>
            <w:r>
              <w:rPr>
                <w:spacing w:val="-39"/>
              </w:rPr>
              <w:t xml:space="preserve"> </w:t>
            </w:r>
            <w:r>
              <w:rPr>
                <w:rFonts w:hint="eastAsia"/>
                <w:spacing w:val="-3"/>
                <w:lang w:val="en-US" w:eastAsia="zh-CN"/>
              </w:rPr>
              <w:t>8-10</w:t>
            </w:r>
            <w:r>
              <w:rPr>
                <w:spacing w:val="-3"/>
              </w:rPr>
              <w:t>分。</w:t>
            </w:r>
          </w:p>
          <w:p w14:paraId="72C2C644">
            <w:pPr>
              <w:pStyle w:val="32"/>
              <w:spacing w:before="130" w:line="220" w:lineRule="auto"/>
              <w:ind w:left="114" w:right="0" w:firstLine="0"/>
              <w:rPr>
                <w:spacing w:val="-4"/>
              </w:rPr>
            </w:pPr>
            <w:r>
              <w:t xml:space="preserve">【良】结合本项目的特点及投标人的资源情况，提出方案较有 </w:t>
            </w:r>
            <w:r>
              <w:rPr>
                <w:spacing w:val="-4"/>
              </w:rPr>
              <w:t>效，现场可操作性较强的，得</w:t>
            </w:r>
            <w:r>
              <w:rPr>
                <w:spacing w:val="-23"/>
              </w:rPr>
              <w:t xml:space="preserve"> </w:t>
            </w:r>
            <w:r>
              <w:rPr>
                <w:rFonts w:hint="eastAsia"/>
                <w:spacing w:val="-4"/>
                <w:lang w:val="en-US" w:eastAsia="zh-CN"/>
              </w:rPr>
              <w:t>5-7</w:t>
            </w:r>
            <w:r>
              <w:rPr>
                <w:spacing w:val="-4"/>
              </w:rPr>
              <w:t>分。</w:t>
            </w:r>
          </w:p>
          <w:p w14:paraId="164F97F8">
            <w:pPr>
              <w:pStyle w:val="32"/>
              <w:spacing w:before="130" w:line="220" w:lineRule="auto"/>
              <w:ind w:left="114"/>
              <w:rPr>
                <w:spacing w:val="-3"/>
              </w:rPr>
            </w:pPr>
            <w:r>
              <w:t xml:space="preserve">【中】结合本项目的特点及投标人的资源情况，提出方案效果 </w:t>
            </w:r>
            <w:r>
              <w:rPr>
                <w:spacing w:val="-3"/>
              </w:rPr>
              <w:t>一般，现场可操作性一般的，得</w:t>
            </w:r>
            <w:r>
              <w:rPr>
                <w:spacing w:val="-29"/>
              </w:rPr>
              <w:t xml:space="preserve"> </w:t>
            </w:r>
            <w:r>
              <w:rPr>
                <w:rFonts w:hint="eastAsia"/>
                <w:spacing w:val="-3"/>
                <w:lang w:val="en-US" w:eastAsia="zh-CN"/>
              </w:rPr>
              <w:t>2-4</w:t>
            </w:r>
            <w:r>
              <w:rPr>
                <w:spacing w:val="-3"/>
              </w:rPr>
              <w:t>分。</w:t>
            </w:r>
          </w:p>
          <w:p w14:paraId="768BA7FC">
            <w:pPr>
              <w:pStyle w:val="32"/>
              <w:spacing w:before="130" w:line="220" w:lineRule="auto"/>
              <w:ind w:left="114"/>
              <w:rPr>
                <w:spacing w:val="-2"/>
              </w:rPr>
            </w:pPr>
            <w:r>
              <w:rPr>
                <w:spacing w:val="-2"/>
              </w:rPr>
              <w:t>【差】方案效果较差或没有提供的，得</w:t>
            </w:r>
            <w:r>
              <w:rPr>
                <w:spacing w:val="-32"/>
              </w:rPr>
              <w:t xml:space="preserve"> </w:t>
            </w:r>
            <w:r>
              <w:rPr>
                <w:spacing w:val="-2"/>
              </w:rPr>
              <w:t>0</w:t>
            </w:r>
            <w:r>
              <w:rPr>
                <w:spacing w:val="-42"/>
              </w:rPr>
              <w:t xml:space="preserve"> </w:t>
            </w:r>
            <w:r>
              <w:rPr>
                <w:rFonts w:hint="eastAsia"/>
                <w:spacing w:val="-42"/>
                <w:lang w:val="en-US" w:eastAsia="zh-CN"/>
              </w:rPr>
              <w:t>-1</w:t>
            </w:r>
            <w:r>
              <w:rPr>
                <w:spacing w:val="-2"/>
              </w:rPr>
              <w:t>分。</w:t>
            </w:r>
          </w:p>
          <w:p w14:paraId="716D7799">
            <w:pPr>
              <w:pStyle w:val="32"/>
              <w:spacing w:before="130" w:line="220" w:lineRule="auto"/>
              <w:ind w:left="114"/>
              <w:rPr>
                <w:rFonts w:hint="default" w:ascii="宋体" w:hAnsi="宋体" w:cs="宋体"/>
                <w:color w:val="auto"/>
                <w:szCs w:val="21"/>
                <w:highlight w:val="none"/>
                <w:u w:val="none"/>
                <w:lang w:val="en-US" w:eastAsia="zh-CN"/>
              </w:rPr>
            </w:pPr>
            <w:r>
              <w:rPr>
                <w:spacing w:val="-4"/>
              </w:rPr>
              <w:t>注：本项最高得</w:t>
            </w:r>
            <w:r>
              <w:rPr>
                <w:spacing w:val="-42"/>
              </w:rPr>
              <w:t xml:space="preserve"> </w:t>
            </w:r>
            <w:r>
              <w:rPr>
                <w:rFonts w:hint="eastAsia"/>
                <w:spacing w:val="-4"/>
                <w:lang w:val="en-US" w:eastAsia="zh-CN"/>
              </w:rPr>
              <w:t>10</w:t>
            </w:r>
            <w:r>
              <w:rPr>
                <w:spacing w:val="-4"/>
              </w:rPr>
              <w:t>分。</w:t>
            </w:r>
          </w:p>
        </w:tc>
      </w:tr>
      <w:tr w14:paraId="2A61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82" w:type="dxa"/>
            <w:vMerge w:val="continue"/>
            <w:tcBorders>
              <w:left w:val="single" w:color="auto" w:sz="4" w:space="0"/>
              <w:bottom w:val="single" w:color="auto" w:sz="4" w:space="0"/>
              <w:right w:val="single" w:color="auto" w:sz="4" w:space="0"/>
            </w:tcBorders>
            <w:noWrap w:val="0"/>
            <w:vAlign w:val="center"/>
          </w:tcPr>
          <w:p w14:paraId="062E7E92">
            <w:pPr>
              <w:jc w:val="center"/>
              <w:rPr>
                <w:rFonts w:hint="eastAsia" w:ascii="宋体" w:hAnsi="宋体" w:eastAsia="宋体"/>
                <w:color w:val="auto"/>
                <w:szCs w:val="21"/>
                <w:highlight w:val="none"/>
                <w:u w:val="none"/>
                <w:lang w:eastAsia="zh-CN"/>
              </w:rPr>
            </w:pPr>
          </w:p>
        </w:tc>
        <w:tc>
          <w:tcPr>
            <w:tcW w:w="1010" w:type="dxa"/>
            <w:vMerge w:val="continue"/>
            <w:tcBorders>
              <w:left w:val="single" w:color="auto" w:sz="4" w:space="0"/>
              <w:bottom w:val="single" w:color="auto" w:sz="4" w:space="0"/>
              <w:right w:val="single" w:color="auto" w:sz="4" w:space="0"/>
            </w:tcBorders>
            <w:noWrap w:val="0"/>
            <w:vAlign w:val="center"/>
          </w:tcPr>
          <w:p w14:paraId="1929CDAC">
            <w:pPr>
              <w:jc w:val="left"/>
              <w:rPr>
                <w:rFonts w:ascii="宋体" w:hAnsi="宋体" w:cs="宋体"/>
                <w:color w:val="auto"/>
                <w:szCs w:val="21"/>
                <w:highlight w:val="none"/>
                <w:u w:val="none"/>
              </w:rPr>
            </w:pPr>
          </w:p>
        </w:tc>
        <w:tc>
          <w:tcPr>
            <w:tcW w:w="1367" w:type="dxa"/>
            <w:tcBorders>
              <w:left w:val="single" w:color="auto" w:sz="4" w:space="0"/>
              <w:bottom w:val="single" w:color="auto" w:sz="4" w:space="0"/>
              <w:right w:val="single" w:color="auto" w:sz="4" w:space="0"/>
            </w:tcBorders>
            <w:noWrap w:val="0"/>
            <w:vAlign w:val="center"/>
          </w:tcPr>
          <w:p w14:paraId="4DD66AEB">
            <w:pPr>
              <w:spacing w:line="240" w:lineRule="auto"/>
              <w:jc w:val="left"/>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建筑工程</w:t>
            </w:r>
            <w:r>
              <w:rPr>
                <w:rFonts w:hint="eastAsia" w:ascii="宋体" w:hAnsi="宋体" w:cs="宋体"/>
                <w:color w:val="auto"/>
                <w:szCs w:val="21"/>
                <w:highlight w:val="none"/>
                <w:u w:val="none"/>
                <w:lang w:eastAsia="zh-CN"/>
              </w:rPr>
              <w:t>设计</w:t>
            </w:r>
            <w:r>
              <w:rPr>
                <w:rFonts w:hint="eastAsia" w:ascii="宋体" w:hAnsi="宋体" w:cs="宋体"/>
                <w:color w:val="auto"/>
                <w:szCs w:val="21"/>
                <w:highlight w:val="none"/>
                <w:u w:val="none"/>
                <w:lang w:val="en-US" w:eastAsia="zh-CN"/>
              </w:rPr>
              <w:t>方案</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20分</w:t>
            </w:r>
            <w:r>
              <w:rPr>
                <w:rFonts w:hint="eastAsia" w:ascii="宋体" w:hAnsi="宋体" w:cs="宋体"/>
                <w:color w:val="auto"/>
                <w:szCs w:val="21"/>
                <w:highlight w:val="none"/>
                <w:u w:val="none"/>
                <w:lang w:eastAsia="zh-CN"/>
              </w:rPr>
              <w:t>）</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771CB3E5">
            <w:pPr>
              <w:spacing w:line="240" w:lineRule="auto"/>
              <w:ind w:right="0" w:rightChars="0"/>
              <w:jc w:val="left"/>
              <w:rPr>
                <w:rFonts w:hint="default"/>
              </w:rPr>
            </w:pPr>
            <w:r>
              <w:rPr>
                <w:rFonts w:hint="default"/>
                <w:color w:val="auto"/>
                <w:highlight w:val="none"/>
              </w:rPr>
              <w:t>定标委员会对合格中标候选人</w:t>
            </w:r>
            <w:r>
              <w:rPr>
                <w:rFonts w:hint="default"/>
                <w:color w:val="auto"/>
                <w:highlight w:val="none"/>
                <w:lang w:val="en-US" w:eastAsia="zh-CN"/>
              </w:rPr>
              <w:t>的</w:t>
            </w:r>
            <w:r>
              <w:rPr>
                <w:rFonts w:hint="default"/>
                <w:color w:val="auto"/>
                <w:highlight w:val="none"/>
              </w:rPr>
              <w:t>设计方案</w:t>
            </w:r>
            <w:r>
              <w:rPr>
                <w:rFonts w:hint="default"/>
                <w:color w:val="auto"/>
                <w:highlight w:val="none"/>
                <w:lang w:val="en-US" w:eastAsia="zh-CN"/>
              </w:rPr>
              <w:t>进行评审：</w:t>
            </w:r>
            <w:r>
              <w:rPr>
                <w:spacing w:val="0"/>
              </w:rPr>
              <w:t>设计方案符合适用、经济、绿色和美观原则，符合规划设计条件，能根据项目定位提出有针对性和可行性的概念规划、平面、立面或设计意向，提供的概念设计方案或设计意向符合本项目要求，建筑环境与空间造型和谐统一</w:t>
            </w:r>
            <w:r>
              <w:rPr>
                <w:rFonts w:hint="default"/>
                <w:color w:val="auto"/>
                <w:highlight w:val="none"/>
              </w:rPr>
              <w:t xml:space="preserve">。 </w:t>
            </w:r>
          </w:p>
          <w:p w14:paraId="0933AC11">
            <w:pPr>
              <w:spacing w:line="240" w:lineRule="auto"/>
              <w:ind w:right="0" w:rightChars="0"/>
              <w:jc w:val="left"/>
              <w:rPr>
                <w:rFonts w:hint="default" w:ascii="Times New Roman" w:hAnsi="Times New Roman" w:cs="Times New Roman"/>
                <w:color w:val="auto"/>
                <w:szCs w:val="22"/>
                <w:highlight w:val="none"/>
                <w:u w:val="none"/>
              </w:rPr>
            </w:pPr>
            <w:r>
              <w:rPr>
                <w:rFonts w:hint="default"/>
                <w:color w:val="auto"/>
                <w:highlight w:val="none"/>
              </w:rPr>
              <w:t>优:(</w:t>
            </w:r>
            <w:r>
              <w:rPr>
                <w:rFonts w:hint="eastAsia"/>
                <w:color w:val="auto"/>
                <w:highlight w:val="none"/>
                <w:lang w:val="en-US" w:eastAsia="zh-CN"/>
              </w:rPr>
              <w:t>16</w:t>
            </w:r>
            <w:r>
              <w:rPr>
                <w:rFonts w:hint="default"/>
                <w:color w:val="auto"/>
                <w:highlight w:val="none"/>
              </w:rPr>
              <w:t>，</w:t>
            </w:r>
            <w:r>
              <w:rPr>
                <w:rFonts w:hint="eastAsia"/>
                <w:color w:val="auto"/>
                <w:highlight w:val="none"/>
                <w:lang w:val="en-US" w:eastAsia="zh-CN"/>
              </w:rPr>
              <w:t>2</w:t>
            </w:r>
            <w:r>
              <w:rPr>
                <w:rFonts w:hint="default"/>
                <w:color w:val="auto"/>
                <w:highlight w:val="none"/>
              </w:rPr>
              <w:t>0]分，良:(</w:t>
            </w:r>
            <w:r>
              <w:rPr>
                <w:rFonts w:hint="eastAsia"/>
                <w:color w:val="auto"/>
                <w:highlight w:val="none"/>
                <w:lang w:val="en-US" w:eastAsia="zh-CN"/>
              </w:rPr>
              <w:t>11</w:t>
            </w:r>
            <w:r>
              <w:rPr>
                <w:rFonts w:hint="default"/>
                <w:color w:val="auto"/>
                <w:highlight w:val="none"/>
              </w:rPr>
              <w:t>，</w:t>
            </w:r>
            <w:r>
              <w:rPr>
                <w:rFonts w:hint="eastAsia"/>
                <w:color w:val="auto"/>
                <w:highlight w:val="none"/>
                <w:lang w:val="en-US" w:eastAsia="zh-CN"/>
              </w:rPr>
              <w:t>15</w:t>
            </w:r>
            <w:r>
              <w:rPr>
                <w:rFonts w:hint="default"/>
                <w:color w:val="auto"/>
                <w:highlight w:val="none"/>
              </w:rPr>
              <w:t>]中:(</w:t>
            </w:r>
            <w:r>
              <w:rPr>
                <w:rFonts w:hint="eastAsia"/>
                <w:color w:val="auto"/>
                <w:highlight w:val="none"/>
                <w:lang w:val="en-US" w:eastAsia="zh-CN"/>
              </w:rPr>
              <w:t>6</w:t>
            </w:r>
            <w:r>
              <w:rPr>
                <w:rFonts w:hint="default"/>
                <w:color w:val="auto"/>
                <w:highlight w:val="none"/>
              </w:rPr>
              <w:t>，</w:t>
            </w:r>
            <w:r>
              <w:rPr>
                <w:rFonts w:hint="eastAsia"/>
                <w:color w:val="auto"/>
                <w:highlight w:val="none"/>
                <w:lang w:val="en-US" w:eastAsia="zh-CN"/>
              </w:rPr>
              <w:t>10</w:t>
            </w:r>
            <w:r>
              <w:rPr>
                <w:rFonts w:hint="default"/>
                <w:color w:val="auto"/>
                <w:highlight w:val="none"/>
              </w:rPr>
              <w:t>]分，差:[0，</w:t>
            </w:r>
            <w:r>
              <w:rPr>
                <w:rFonts w:hint="eastAsia"/>
                <w:color w:val="auto"/>
                <w:highlight w:val="none"/>
                <w:lang w:val="en-US" w:eastAsia="zh-CN"/>
              </w:rPr>
              <w:t>5</w:t>
            </w:r>
            <w:r>
              <w:rPr>
                <w:rFonts w:hint="default"/>
                <w:color w:val="auto"/>
                <w:highlight w:val="none"/>
              </w:rPr>
              <w:t>]分。</w:t>
            </w:r>
          </w:p>
        </w:tc>
      </w:tr>
      <w:tr w14:paraId="52B5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82" w:type="dxa"/>
            <w:tcBorders>
              <w:left w:val="single" w:color="auto" w:sz="4" w:space="0"/>
              <w:bottom w:val="single" w:color="auto" w:sz="4" w:space="0"/>
              <w:right w:val="single" w:color="auto" w:sz="4" w:space="0"/>
            </w:tcBorders>
            <w:noWrap w:val="0"/>
            <w:vAlign w:val="center"/>
          </w:tcPr>
          <w:p w14:paraId="795D3180">
            <w:pPr>
              <w:jc w:val="center"/>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2</w:t>
            </w:r>
          </w:p>
        </w:tc>
        <w:tc>
          <w:tcPr>
            <w:tcW w:w="1010" w:type="dxa"/>
            <w:vMerge w:val="restart"/>
            <w:tcBorders>
              <w:left w:val="single" w:color="auto" w:sz="4" w:space="0"/>
              <w:right w:val="single" w:color="auto" w:sz="4" w:space="0"/>
            </w:tcBorders>
            <w:noWrap w:val="0"/>
            <w:vAlign w:val="center"/>
          </w:tcPr>
          <w:p w14:paraId="29DFB7AC">
            <w:pPr>
              <w:jc w:val="left"/>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资信因素（10分）</w:t>
            </w:r>
          </w:p>
        </w:tc>
        <w:tc>
          <w:tcPr>
            <w:tcW w:w="1367" w:type="dxa"/>
            <w:tcBorders>
              <w:left w:val="single" w:color="auto" w:sz="4" w:space="0"/>
              <w:bottom w:val="single" w:color="auto" w:sz="4" w:space="0"/>
              <w:right w:val="single" w:color="auto" w:sz="4" w:space="0"/>
            </w:tcBorders>
            <w:noWrap w:val="0"/>
            <w:vAlign w:val="top"/>
          </w:tcPr>
          <w:p w14:paraId="54DCC5C7">
            <w:pPr>
              <w:spacing w:line="274" w:lineRule="auto"/>
              <w:rPr>
                <w:rFonts w:hint="eastAsia" w:ascii="宋体" w:hAnsi="宋体" w:cs="宋体"/>
                <w:sz w:val="21"/>
                <w:szCs w:val="21"/>
              </w:rPr>
            </w:pPr>
          </w:p>
          <w:p w14:paraId="39286718">
            <w:pPr>
              <w:spacing w:line="274" w:lineRule="auto"/>
              <w:rPr>
                <w:rFonts w:hint="eastAsia" w:ascii="宋体" w:hAnsi="宋体" w:cs="宋体"/>
                <w:sz w:val="21"/>
                <w:szCs w:val="21"/>
              </w:rPr>
            </w:pPr>
          </w:p>
          <w:p w14:paraId="10770D21">
            <w:pPr>
              <w:pStyle w:val="32"/>
              <w:spacing w:before="68" w:line="211" w:lineRule="auto"/>
              <w:ind w:left="172"/>
            </w:pPr>
            <w:r>
              <w:rPr>
                <w:spacing w:val="-2"/>
              </w:rPr>
              <w:t>类似工程</w:t>
            </w:r>
          </w:p>
          <w:p w14:paraId="1ED9C7B7">
            <w:pPr>
              <w:pStyle w:val="32"/>
              <w:spacing w:before="1" w:line="210" w:lineRule="auto"/>
              <w:ind w:left="381"/>
            </w:pPr>
            <w:r>
              <w:rPr>
                <w:spacing w:val="-2"/>
              </w:rPr>
              <w:t>业绩</w:t>
            </w:r>
          </w:p>
          <w:p w14:paraId="760DFED1">
            <w:pPr>
              <w:pStyle w:val="32"/>
              <w:spacing w:line="220" w:lineRule="auto"/>
              <w:ind w:left="230" w:leftChars="0"/>
              <w:rPr>
                <w:rFonts w:hint="eastAsia" w:ascii="宋体" w:hAnsi="宋体" w:cs="宋体"/>
                <w:color w:val="auto"/>
                <w:szCs w:val="21"/>
                <w:highlight w:val="none"/>
                <w:u w:val="none"/>
                <w:lang w:eastAsia="zh-CN"/>
              </w:rPr>
            </w:pPr>
            <w:r>
              <w:rPr>
                <w:rFonts w:hint="eastAsia" w:ascii="宋体" w:hAnsi="宋体" w:cs="宋体"/>
                <w:spacing w:val="-6"/>
                <w:szCs w:val="21"/>
              </w:rPr>
              <w:t>（5分）</w:t>
            </w:r>
          </w:p>
        </w:tc>
        <w:tc>
          <w:tcPr>
            <w:tcW w:w="7101" w:type="dxa"/>
            <w:tcBorders>
              <w:top w:val="single" w:color="auto" w:sz="4" w:space="0"/>
              <w:left w:val="single" w:color="auto" w:sz="4" w:space="0"/>
              <w:bottom w:val="single" w:color="auto" w:sz="4" w:space="0"/>
              <w:right w:val="single" w:color="auto" w:sz="4" w:space="0"/>
            </w:tcBorders>
            <w:noWrap w:val="0"/>
            <w:vAlign w:val="top"/>
          </w:tcPr>
          <w:p w14:paraId="26F5938B">
            <w:pPr>
              <w:spacing w:before="15"/>
              <w:ind w:left="112" w:right="0"/>
              <w:rPr>
                <w:rFonts w:hint="default" w:ascii="宋体" w:hAnsi="宋体" w:eastAsia="宋体" w:cs="宋体"/>
                <w:szCs w:val="21"/>
                <w:lang w:val="en-US" w:eastAsia="zh-CN"/>
              </w:rPr>
            </w:pPr>
            <w:r>
              <w:rPr>
                <w:rFonts w:hint="eastAsia" w:ascii="宋体" w:hAnsi="宋体" w:eastAsia="宋体" w:cs="宋体"/>
                <w:spacing w:val="0"/>
                <w:szCs w:val="21"/>
              </w:rPr>
              <w:t>投标人（联合体投标的，指联合体主办方）自202</w:t>
            </w:r>
            <w:r>
              <w:rPr>
                <w:rFonts w:hint="eastAsia" w:ascii="宋体" w:hAnsi="宋体" w:cs="宋体"/>
                <w:spacing w:val="0"/>
                <w:szCs w:val="21"/>
                <w:lang w:val="en-US" w:eastAsia="zh-CN"/>
              </w:rPr>
              <w:t>1</w:t>
            </w:r>
            <w:r>
              <w:rPr>
                <w:rFonts w:hint="eastAsia" w:ascii="宋体" w:hAnsi="宋体" w:eastAsia="宋体" w:cs="宋体"/>
                <w:spacing w:val="0"/>
                <w:szCs w:val="21"/>
              </w:rPr>
              <w:t>年1月1日至投标截止时间止，完成过质量合格的类似工程业绩【类似工程业绩是指中标金额≥</w:t>
            </w:r>
            <w:r>
              <w:rPr>
                <w:rFonts w:hint="eastAsia" w:ascii="宋体" w:hAnsi="宋体" w:eastAsia="宋体" w:cs="宋体"/>
                <w:spacing w:val="0"/>
                <w:szCs w:val="21"/>
                <w:lang w:eastAsia="zh-CN"/>
              </w:rPr>
              <w:t>1</w:t>
            </w:r>
            <w:r>
              <w:rPr>
                <w:rFonts w:hint="eastAsia" w:ascii="宋体" w:hAnsi="宋体" w:eastAsia="宋体" w:cs="宋体"/>
                <w:spacing w:val="0"/>
                <w:szCs w:val="21"/>
                <w:lang w:val="en-US" w:eastAsia="zh-CN"/>
              </w:rPr>
              <w:t>400</w:t>
            </w:r>
            <w:r>
              <w:rPr>
                <w:rFonts w:hint="eastAsia" w:ascii="宋体" w:hAnsi="宋体" w:eastAsia="宋体" w:cs="宋体"/>
                <w:spacing w:val="0"/>
                <w:szCs w:val="21"/>
              </w:rPr>
              <w:t>万元的建筑工程施工总承包或工程总承包（包括勘察设计施工总承包或设计施工总承包或设计采购施工总承包或勘察设计采购施工总承包等）施工部分业绩】</w:t>
            </w:r>
            <w:r>
              <w:rPr>
                <w:rFonts w:hint="eastAsia" w:ascii="宋体" w:hAnsi="宋体" w:cs="宋体"/>
                <w:spacing w:val="0"/>
                <w:szCs w:val="21"/>
                <w:lang w:eastAsia="zh-CN"/>
              </w:rPr>
              <w:t>，</w:t>
            </w:r>
            <w:r>
              <w:rPr>
                <w:rFonts w:hint="eastAsia" w:ascii="宋体" w:hAnsi="宋体" w:cs="宋体"/>
                <w:spacing w:val="0"/>
                <w:szCs w:val="21"/>
                <w:lang w:val="en-US" w:eastAsia="zh-CN"/>
              </w:rPr>
              <w:t>每提供一项得2.5分，最高得5分。</w:t>
            </w:r>
          </w:p>
          <w:p w14:paraId="7B1A193E">
            <w:pPr>
              <w:spacing w:before="15"/>
              <w:ind w:left="112" w:leftChars="0"/>
              <w:rPr>
                <w:rFonts w:hint="eastAsia" w:ascii="宋体" w:hAnsi="宋体" w:cs="宋体"/>
                <w:spacing w:val="0"/>
                <w:szCs w:val="21"/>
              </w:rPr>
            </w:pPr>
            <w:r>
              <w:rPr>
                <w:rFonts w:hint="eastAsia" w:ascii="宋体" w:hAnsi="宋体" w:cs="宋体"/>
                <w:spacing w:val="0"/>
                <w:szCs w:val="21"/>
              </w:rPr>
              <w:t>未提供或不满足上述情况的不得分。</w:t>
            </w:r>
          </w:p>
          <w:p w14:paraId="640CCA6B">
            <w:pPr>
              <w:spacing w:before="15"/>
              <w:ind w:left="112" w:leftChars="0"/>
              <w:rPr>
                <w:rFonts w:hint="eastAsia" w:ascii="宋体" w:hAnsi="宋体" w:cs="宋体"/>
                <w:spacing w:val="0"/>
                <w:szCs w:val="21"/>
                <w:lang w:val="en-US" w:eastAsia="zh-CN"/>
              </w:rPr>
            </w:pPr>
            <w:r>
              <w:rPr>
                <w:rFonts w:hint="eastAsia" w:ascii="宋体" w:hAnsi="宋体" w:cs="宋体"/>
                <w:spacing w:val="0"/>
                <w:szCs w:val="21"/>
                <w:lang w:val="en-US" w:eastAsia="zh-CN"/>
              </w:rPr>
              <w:t>注：需提供合同、中标通知书及竣工验收文件。</w:t>
            </w:r>
          </w:p>
          <w:p w14:paraId="3491AA30">
            <w:pPr>
              <w:spacing w:before="15"/>
              <w:ind w:left="112" w:leftChars="0"/>
              <w:rPr>
                <w:rFonts w:hint="eastAsia" w:ascii="宋体" w:hAnsi="宋体" w:cs="宋体"/>
                <w:spacing w:val="0"/>
                <w:szCs w:val="21"/>
                <w:lang w:val="en-US" w:eastAsia="zh-CN"/>
              </w:rPr>
            </w:pPr>
            <w:r>
              <w:rPr>
                <w:rFonts w:hint="eastAsia" w:ascii="宋体" w:hAnsi="宋体" w:cs="宋体"/>
                <w:spacing w:val="0"/>
                <w:szCs w:val="21"/>
                <w:lang w:val="en-US" w:eastAsia="zh-CN"/>
              </w:rPr>
              <w:t>1）金额以中标通知书为准，中标通知书上没有金额或免招标的，以施工合同或工程总承包合同施工部分（不含补充合同）为准。</w:t>
            </w:r>
          </w:p>
          <w:p w14:paraId="1DEC2AA1">
            <w:pPr>
              <w:spacing w:before="15"/>
              <w:ind w:left="112" w:leftChars="0"/>
              <w:rPr>
                <w:rFonts w:hint="default" w:ascii="宋体" w:hAnsi="宋体" w:eastAsia="宋体" w:cs="宋体"/>
                <w:color w:val="auto"/>
                <w:szCs w:val="21"/>
                <w:highlight w:val="none"/>
                <w:u w:val="none"/>
                <w:lang w:val="en-US" w:eastAsia="zh-CN"/>
              </w:rPr>
            </w:pPr>
            <w:r>
              <w:rPr>
                <w:rFonts w:hint="eastAsia" w:ascii="宋体" w:hAnsi="宋体" w:cs="宋体"/>
                <w:spacing w:val="0"/>
                <w:szCs w:val="21"/>
                <w:lang w:val="en-US" w:eastAsia="zh-CN"/>
              </w:rPr>
              <w:t>2）完成时间以竣工验收文件为准。</w:t>
            </w:r>
          </w:p>
        </w:tc>
      </w:tr>
      <w:tr w14:paraId="490C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82" w:type="dxa"/>
            <w:tcBorders>
              <w:left w:val="single" w:color="auto" w:sz="4" w:space="0"/>
              <w:bottom w:val="single" w:color="auto" w:sz="4" w:space="0"/>
              <w:right w:val="single" w:color="auto" w:sz="4" w:space="0"/>
            </w:tcBorders>
            <w:noWrap w:val="0"/>
            <w:vAlign w:val="center"/>
          </w:tcPr>
          <w:p w14:paraId="6889E749">
            <w:pPr>
              <w:jc w:val="center"/>
              <w:rPr>
                <w:rFonts w:hint="eastAsia" w:ascii="宋体" w:hAnsi="宋体"/>
                <w:color w:val="auto"/>
                <w:szCs w:val="21"/>
                <w:highlight w:val="none"/>
                <w:u w:val="none"/>
                <w:lang w:val="en-US" w:eastAsia="zh-CN"/>
              </w:rPr>
            </w:pPr>
          </w:p>
        </w:tc>
        <w:tc>
          <w:tcPr>
            <w:tcW w:w="1010" w:type="dxa"/>
            <w:vMerge w:val="continue"/>
            <w:tcBorders>
              <w:left w:val="single" w:color="auto" w:sz="4" w:space="0"/>
              <w:bottom w:val="single" w:color="auto" w:sz="4" w:space="0"/>
              <w:right w:val="single" w:color="auto" w:sz="4" w:space="0"/>
            </w:tcBorders>
            <w:noWrap w:val="0"/>
            <w:vAlign w:val="center"/>
          </w:tcPr>
          <w:p w14:paraId="4C4796A9">
            <w:pPr>
              <w:jc w:val="left"/>
              <w:rPr>
                <w:rFonts w:hint="eastAsia" w:ascii="宋体" w:hAnsi="宋体" w:cs="宋体"/>
                <w:color w:val="auto"/>
                <w:szCs w:val="21"/>
                <w:highlight w:val="none"/>
                <w:u w:val="none"/>
                <w:lang w:val="en-US" w:eastAsia="zh-CN"/>
              </w:rPr>
            </w:pPr>
          </w:p>
        </w:tc>
        <w:tc>
          <w:tcPr>
            <w:tcW w:w="1367" w:type="dxa"/>
            <w:tcBorders>
              <w:left w:val="single" w:color="auto" w:sz="4" w:space="0"/>
              <w:bottom w:val="single" w:color="auto" w:sz="4" w:space="0"/>
              <w:right w:val="single" w:color="auto" w:sz="4" w:space="0"/>
            </w:tcBorders>
            <w:noWrap w:val="0"/>
            <w:vAlign w:val="top"/>
          </w:tcPr>
          <w:p w14:paraId="7CC26D46">
            <w:pPr>
              <w:spacing w:line="256" w:lineRule="auto"/>
              <w:rPr>
                <w:rFonts w:hint="eastAsia" w:ascii="宋体" w:hAnsi="宋体" w:cs="宋体"/>
                <w:sz w:val="21"/>
                <w:szCs w:val="21"/>
              </w:rPr>
            </w:pPr>
          </w:p>
          <w:p w14:paraId="491E682E">
            <w:pPr>
              <w:pStyle w:val="32"/>
              <w:spacing w:before="69" w:line="211" w:lineRule="auto"/>
              <w:ind w:left="175"/>
            </w:pPr>
            <w:r>
              <w:rPr>
                <w:spacing w:val="-3"/>
              </w:rPr>
              <w:t>工程获奖</w:t>
            </w:r>
          </w:p>
          <w:p w14:paraId="35BA63F2">
            <w:pPr>
              <w:pStyle w:val="32"/>
              <w:spacing w:line="220" w:lineRule="auto"/>
              <w:ind w:left="230" w:leftChars="0"/>
              <w:rPr>
                <w:rFonts w:hint="eastAsia" w:ascii="宋体" w:hAnsi="宋体" w:eastAsia="宋体" w:cs="宋体"/>
                <w:kern w:val="2"/>
                <w:sz w:val="21"/>
                <w:szCs w:val="21"/>
                <w:lang w:val="en-US" w:eastAsia="zh-CN" w:bidi="ar-SA"/>
              </w:rPr>
            </w:pPr>
            <w:r>
              <w:rPr>
                <w:spacing w:val="-6"/>
              </w:rPr>
              <w:t>（</w:t>
            </w:r>
            <w:r>
              <w:rPr>
                <w:rFonts w:hint="eastAsia"/>
                <w:spacing w:val="-6"/>
                <w:lang w:val="en-US" w:eastAsia="zh-CN"/>
              </w:rPr>
              <w:t>5</w:t>
            </w:r>
            <w:r>
              <w:rPr>
                <w:spacing w:val="-6"/>
              </w:rPr>
              <w:t>分）</w:t>
            </w:r>
          </w:p>
        </w:tc>
        <w:tc>
          <w:tcPr>
            <w:tcW w:w="7101" w:type="dxa"/>
            <w:tcBorders>
              <w:top w:val="single" w:color="auto" w:sz="4" w:space="0"/>
              <w:left w:val="single" w:color="auto" w:sz="4" w:space="0"/>
              <w:bottom w:val="single" w:color="auto" w:sz="4" w:space="0"/>
              <w:right w:val="single" w:color="auto" w:sz="4" w:space="0"/>
            </w:tcBorders>
            <w:noWrap w:val="0"/>
            <w:vAlign w:val="top"/>
          </w:tcPr>
          <w:p w14:paraId="77DC6C26">
            <w:pPr>
              <w:spacing w:before="61"/>
              <w:ind w:left="114" w:right="0"/>
              <w:rPr>
                <w:rFonts w:hint="eastAsia" w:ascii="宋体" w:hAnsi="宋体" w:eastAsia="宋体" w:cs="宋体"/>
                <w:b w:val="0"/>
                <w:bCs w:val="0"/>
                <w:szCs w:val="21"/>
              </w:rPr>
            </w:pPr>
            <w:r>
              <w:rPr>
                <w:rFonts w:hint="eastAsia" w:ascii="宋体" w:hAnsi="宋体" w:eastAsia="宋体" w:cs="宋体"/>
                <w:b w:val="0"/>
                <w:bCs w:val="0"/>
                <w:spacing w:val="0"/>
                <w:szCs w:val="21"/>
              </w:rPr>
              <w:t>投标人（联合体投标的，指联合体主办方）自202</w:t>
            </w:r>
            <w:r>
              <w:rPr>
                <w:rFonts w:hint="eastAsia" w:ascii="宋体" w:hAnsi="宋体" w:cs="宋体"/>
                <w:b w:val="0"/>
                <w:bCs w:val="0"/>
                <w:spacing w:val="0"/>
                <w:szCs w:val="21"/>
                <w:lang w:eastAsia="zh-CN"/>
              </w:rPr>
              <w:t>1</w:t>
            </w:r>
            <w:r>
              <w:rPr>
                <w:rFonts w:hint="eastAsia" w:ascii="宋体" w:hAnsi="宋体" w:eastAsia="宋体" w:cs="宋体"/>
                <w:b w:val="0"/>
                <w:bCs w:val="0"/>
                <w:spacing w:val="0"/>
                <w:szCs w:val="21"/>
              </w:rPr>
              <w:t>年1月1日至投标截止时间止，承建的房屋建筑工程施工项目获得过：</w:t>
            </w:r>
          </w:p>
          <w:p w14:paraId="2EE778E5">
            <w:pPr>
              <w:spacing w:before="61"/>
              <w:ind w:left="114"/>
              <w:rPr>
                <w:rFonts w:hint="eastAsia" w:ascii="宋体" w:hAnsi="宋体" w:eastAsia="宋体" w:cs="宋体"/>
                <w:b w:val="0"/>
                <w:bCs w:val="0"/>
                <w:szCs w:val="21"/>
              </w:rPr>
            </w:pPr>
            <w:r>
              <w:rPr>
                <w:rFonts w:hint="eastAsia" w:ascii="宋体" w:hAnsi="宋体" w:eastAsia="宋体" w:cs="宋体"/>
                <w:b w:val="0"/>
                <w:bCs w:val="0"/>
                <w:spacing w:val="0"/>
                <w:szCs w:val="21"/>
              </w:rPr>
              <w:t>（1）国家级</w:t>
            </w:r>
            <w:r>
              <w:rPr>
                <w:rFonts w:hint="eastAsia" w:ascii="宋体" w:hAnsi="宋体" w:cs="宋体"/>
                <w:b w:val="0"/>
                <w:bCs w:val="0"/>
                <w:spacing w:val="0"/>
                <w:szCs w:val="21"/>
                <w:lang w:val="en-US" w:eastAsia="zh-CN"/>
              </w:rPr>
              <w:t>或</w:t>
            </w:r>
            <w:r>
              <w:rPr>
                <w:rFonts w:hint="eastAsia" w:ascii="宋体" w:hAnsi="宋体" w:eastAsia="宋体" w:cs="宋体"/>
                <w:b w:val="0"/>
                <w:bCs w:val="0"/>
                <w:spacing w:val="0"/>
                <w:szCs w:val="21"/>
              </w:rPr>
              <w:t>省级工程质量奖项的，每项得</w:t>
            </w:r>
            <w:r>
              <w:rPr>
                <w:rFonts w:hint="eastAsia" w:ascii="宋体" w:hAnsi="宋体" w:cs="宋体"/>
                <w:b w:val="0"/>
                <w:bCs w:val="0"/>
                <w:spacing w:val="0"/>
                <w:szCs w:val="21"/>
                <w:lang w:val="en-US" w:eastAsia="zh-CN"/>
              </w:rPr>
              <w:t>2.5</w:t>
            </w:r>
            <w:r>
              <w:rPr>
                <w:rFonts w:hint="eastAsia" w:ascii="宋体" w:hAnsi="宋体" w:eastAsia="宋体" w:cs="宋体"/>
                <w:b w:val="0"/>
                <w:bCs w:val="0"/>
                <w:spacing w:val="0"/>
                <w:szCs w:val="21"/>
              </w:rPr>
              <w:t>分；</w:t>
            </w:r>
          </w:p>
          <w:p w14:paraId="493A801F">
            <w:pPr>
              <w:spacing w:before="61"/>
              <w:ind w:left="114" w:leftChars="0"/>
              <w:rPr>
                <w:rFonts w:hint="eastAsia" w:ascii="宋体" w:hAnsi="宋体" w:eastAsia="宋体" w:cs="宋体"/>
                <w:b w:val="0"/>
                <w:bCs w:val="0"/>
                <w:spacing w:val="0"/>
                <w:szCs w:val="21"/>
              </w:rPr>
            </w:pPr>
            <w:r>
              <w:rPr>
                <w:rFonts w:hint="eastAsia" w:ascii="宋体" w:hAnsi="宋体" w:eastAsia="宋体" w:cs="宋体"/>
                <w:b w:val="0"/>
                <w:bCs w:val="0"/>
                <w:spacing w:val="0"/>
                <w:szCs w:val="21"/>
              </w:rPr>
              <w:t>（2）市级（含副省级）工程质量奖项的，每项得</w:t>
            </w:r>
            <w:r>
              <w:rPr>
                <w:rFonts w:hint="eastAsia" w:ascii="宋体" w:hAnsi="宋体" w:cs="宋体"/>
                <w:b w:val="0"/>
                <w:bCs w:val="0"/>
                <w:spacing w:val="0"/>
                <w:szCs w:val="21"/>
                <w:lang w:val="en-US" w:eastAsia="zh-CN"/>
              </w:rPr>
              <w:t>1</w:t>
            </w:r>
            <w:r>
              <w:rPr>
                <w:rFonts w:hint="eastAsia" w:ascii="宋体" w:hAnsi="宋体" w:eastAsia="宋体" w:cs="宋体"/>
                <w:b w:val="0"/>
                <w:bCs w:val="0"/>
                <w:spacing w:val="0"/>
                <w:szCs w:val="21"/>
              </w:rPr>
              <w:t>分。</w:t>
            </w:r>
          </w:p>
          <w:p w14:paraId="2AC4F6EF">
            <w:pPr>
              <w:spacing w:before="61"/>
              <w:ind w:left="114" w:leftChars="0"/>
              <w:rPr>
                <w:rFonts w:hint="default" w:ascii="宋体" w:hAnsi="宋体" w:eastAsia="宋体" w:cs="宋体"/>
                <w:b w:val="0"/>
                <w:bCs w:val="0"/>
                <w:spacing w:val="0"/>
                <w:szCs w:val="21"/>
                <w:lang w:val="en-US" w:eastAsia="zh-CN"/>
              </w:rPr>
            </w:pPr>
            <w:r>
              <w:rPr>
                <w:rFonts w:hint="eastAsia" w:hAnsi="宋体" w:cs="宋体"/>
                <w:b w:val="0"/>
                <w:bCs w:val="0"/>
                <w:color w:val="auto"/>
                <w:sz w:val="21"/>
                <w:szCs w:val="21"/>
                <w:lang w:val="en-US" w:eastAsia="zh-CN"/>
              </w:rPr>
              <w:t>注：</w:t>
            </w:r>
            <w:r>
              <w:rPr>
                <w:rFonts w:hint="eastAsia" w:hAnsi="宋体" w:cs="宋体"/>
                <w:b w:val="0"/>
                <w:bCs w:val="0"/>
                <w:color w:val="auto"/>
                <w:sz w:val="21"/>
                <w:szCs w:val="21"/>
              </w:rPr>
              <w:t>①国家级奖项包括：中国建设工程鲁班奖、国家优质工程（金质奖）、国家优质工程奖、中国土木工程詹天佑奖、中国(全国)建筑工程装饰奖。省、市（含副省级）级奖项包括：由省、市级建设行政主管部门或行业协会</w:t>
            </w:r>
            <w:r>
              <w:rPr>
                <w:rFonts w:hint="eastAsia" w:hAnsi="宋体" w:cs="宋体"/>
                <w:b w:val="0"/>
                <w:bCs w:val="0"/>
                <w:color w:val="auto"/>
                <w:kern w:val="2"/>
                <w:sz w:val="21"/>
                <w:szCs w:val="21"/>
              </w:rPr>
              <w:t>（行业协会须在民政部门备案）</w:t>
            </w:r>
            <w:r>
              <w:rPr>
                <w:rFonts w:hint="eastAsia" w:hAnsi="宋体" w:cs="宋体"/>
                <w:b w:val="0"/>
                <w:bCs w:val="0"/>
                <w:color w:val="auto"/>
                <w:sz w:val="21"/>
                <w:szCs w:val="21"/>
              </w:rPr>
              <w:t>颁发的工程质量类奖项。②获奖时间以证书颁发时间为准。只计算建筑工程奖项，其他非建筑项目，如：路桥、铁路线路、水利、电力、化工、冶金、市政等获奖不参与计分。奖项内容和级别以奖项名称信息为准，获奖只计承建单位，不含参建单位。同一项目获得多个奖项的，该项目获奖只按获得的最高奖项计算一次分数，不得重复计算。</w:t>
            </w:r>
          </w:p>
        </w:tc>
      </w:tr>
      <w:tr w14:paraId="0B99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2" w:type="dxa"/>
            <w:tcBorders>
              <w:top w:val="single" w:color="auto" w:sz="4" w:space="0"/>
              <w:left w:val="single" w:color="auto" w:sz="4" w:space="0"/>
              <w:bottom w:val="single" w:color="auto" w:sz="4" w:space="0"/>
              <w:right w:val="single" w:color="auto" w:sz="4" w:space="0"/>
            </w:tcBorders>
            <w:noWrap w:val="0"/>
            <w:vAlign w:val="center"/>
          </w:tcPr>
          <w:p w14:paraId="3282C0ED">
            <w:pPr>
              <w:jc w:val="center"/>
              <w:rPr>
                <w:rFonts w:hint="default"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3</w:t>
            </w:r>
          </w:p>
        </w:tc>
        <w:tc>
          <w:tcPr>
            <w:tcW w:w="2377" w:type="dxa"/>
            <w:gridSpan w:val="2"/>
            <w:tcBorders>
              <w:top w:val="single" w:color="auto" w:sz="4" w:space="0"/>
              <w:left w:val="single" w:color="auto" w:sz="4" w:space="0"/>
              <w:bottom w:val="single" w:color="auto" w:sz="4" w:space="0"/>
              <w:right w:val="single" w:color="auto" w:sz="4" w:space="0"/>
            </w:tcBorders>
            <w:noWrap w:val="0"/>
            <w:vAlign w:val="center"/>
          </w:tcPr>
          <w:p w14:paraId="4ABE66ED">
            <w:pPr>
              <w:spacing w:line="240" w:lineRule="auto"/>
              <w:jc w:val="left"/>
              <w:rPr>
                <w:rFonts w:hint="eastAsia" w:ascii="宋体" w:hAnsi="宋体" w:cs="宋体"/>
                <w:color w:val="auto"/>
                <w:szCs w:val="21"/>
                <w:highlight w:val="none"/>
                <w:u w:val="none"/>
              </w:rPr>
            </w:pPr>
            <w:r>
              <w:rPr>
                <w:rFonts w:hint="eastAsia" w:ascii="宋体" w:hAnsi="宋体" w:cs="宋体"/>
                <w:color w:val="auto"/>
                <w:szCs w:val="21"/>
                <w:highlight w:val="none"/>
                <w:u w:val="none"/>
              </w:rPr>
              <w:t>价格因素（</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0分）</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13D2ABF4">
            <w:pPr>
              <w:spacing w:line="240" w:lineRule="auto"/>
              <w:jc w:val="left"/>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定标委员会对合格的中标候选人</w:t>
            </w:r>
            <w:r>
              <w:rPr>
                <w:rFonts w:hint="eastAsia" w:ascii="宋体" w:hAnsi="宋体" w:cs="宋体"/>
                <w:b/>
                <w:bCs/>
                <w:color w:val="auto"/>
                <w:szCs w:val="21"/>
                <w:highlight w:val="none"/>
                <w:u w:val="none"/>
                <w:lang w:val="en-US" w:eastAsia="zh-CN"/>
              </w:rPr>
              <w:t>建安工程费</w:t>
            </w:r>
            <w:r>
              <w:rPr>
                <w:rFonts w:hint="eastAsia" w:ascii="宋体" w:hAnsi="宋体" w:cs="宋体"/>
                <w:b/>
                <w:bCs/>
                <w:color w:val="auto"/>
                <w:szCs w:val="21"/>
                <w:highlight w:val="none"/>
                <w:u w:val="none"/>
              </w:rPr>
              <w:t>投标报价进行评审：</w:t>
            </w:r>
          </w:p>
          <w:p w14:paraId="2E44006F">
            <w:pPr>
              <w:spacing w:line="240" w:lineRule="auto"/>
              <w:jc w:val="left"/>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rPr>
              <w:t>建安工程费投标报价得分＝（评标基准价/建安工程费投标报价）×</w:t>
            </w:r>
            <w:r>
              <w:rPr>
                <w:rFonts w:hint="eastAsia" w:ascii="宋体" w:hAnsi="宋体" w:cs="宋体"/>
                <w:color w:val="auto"/>
                <w:szCs w:val="21"/>
                <w:highlight w:val="none"/>
                <w:u w:val="none"/>
                <w:lang w:val="en-US" w:eastAsia="zh-CN"/>
              </w:rPr>
              <w:t>20</w:t>
            </w:r>
            <w:r>
              <w:rPr>
                <w:rFonts w:hint="eastAsia" w:ascii="宋体" w:hAnsi="宋体" w:cs="宋体"/>
                <w:color w:val="auto"/>
                <w:szCs w:val="21"/>
                <w:highlight w:val="none"/>
                <w:u w:val="none"/>
              </w:rPr>
              <w:t>。</w:t>
            </w:r>
            <w:r>
              <w:rPr>
                <w:rFonts w:hint="eastAsia" w:ascii="宋体" w:hAnsi="宋体" w:cs="宋体"/>
                <w:color w:val="auto"/>
                <w:szCs w:val="21"/>
                <w:highlight w:val="none"/>
                <w:u w:val="none"/>
                <w:lang w:val="en-US" w:eastAsia="zh-CN"/>
              </w:rPr>
              <w:t>最高得20分。</w:t>
            </w:r>
          </w:p>
          <w:p w14:paraId="4154C8FD">
            <w:pPr>
              <w:spacing w:line="240" w:lineRule="auto"/>
              <w:jc w:val="left"/>
              <w:rPr>
                <w:rFonts w:hint="eastAsia" w:ascii="宋体" w:hAnsi="宋体" w:cs="宋体"/>
                <w:color w:val="auto"/>
                <w:szCs w:val="21"/>
                <w:highlight w:val="none"/>
                <w:u w:val="none"/>
              </w:rPr>
            </w:pPr>
            <w:r>
              <w:rPr>
                <w:rFonts w:hint="eastAsia" w:ascii="宋体" w:hAnsi="宋体" w:cs="宋体"/>
                <w:color w:val="auto"/>
                <w:szCs w:val="21"/>
                <w:highlight w:val="none"/>
                <w:u w:val="none"/>
              </w:rPr>
              <w:t>注：</w:t>
            </w:r>
            <w:r>
              <w:rPr>
                <w:rFonts w:hint="eastAsia" w:ascii="宋体" w:hAnsi="宋体" w:cs="宋体"/>
                <w:color w:val="auto"/>
                <w:kern w:val="0"/>
                <w:szCs w:val="21"/>
                <w:highlight w:val="none"/>
                <w:u w:val="none"/>
                <w:lang w:eastAsia="zh-CN"/>
              </w:rPr>
              <w:t>合格</w:t>
            </w:r>
            <w:r>
              <w:rPr>
                <w:rFonts w:hint="eastAsia" w:ascii="宋体" w:hAnsi="宋体" w:cs="宋体"/>
                <w:color w:val="auto"/>
                <w:kern w:val="0"/>
                <w:szCs w:val="21"/>
                <w:highlight w:val="none"/>
                <w:u w:val="none"/>
                <w:lang w:val="en-US" w:eastAsia="zh-CN"/>
              </w:rPr>
              <w:t>的</w:t>
            </w:r>
            <w:r>
              <w:rPr>
                <w:rFonts w:hint="eastAsia" w:ascii="宋体" w:hAnsi="宋体" w:cs="宋体"/>
                <w:color w:val="auto"/>
                <w:kern w:val="0"/>
                <w:szCs w:val="21"/>
                <w:highlight w:val="none"/>
                <w:u w:val="none"/>
                <w:lang w:eastAsia="zh-CN"/>
              </w:rPr>
              <w:t>中标候选人</w:t>
            </w:r>
            <w:r>
              <w:rPr>
                <w:rFonts w:hint="eastAsia" w:ascii="宋体" w:hAnsi="宋体" w:cs="宋体"/>
                <w:color w:val="auto"/>
                <w:kern w:val="0"/>
                <w:szCs w:val="21"/>
                <w:highlight w:val="none"/>
                <w:u w:val="none"/>
              </w:rPr>
              <w:t>的</w:t>
            </w:r>
            <w:r>
              <w:rPr>
                <w:rFonts w:hint="eastAsia" w:ascii="宋体" w:hAnsi="宋体" w:cs="宋体"/>
                <w:color w:val="auto"/>
                <w:kern w:val="0"/>
                <w:szCs w:val="21"/>
                <w:highlight w:val="none"/>
                <w:u w:val="none"/>
                <w:lang w:val="en-US" w:eastAsia="zh-CN"/>
              </w:rPr>
              <w:t>建安工程费</w:t>
            </w:r>
            <w:r>
              <w:rPr>
                <w:rFonts w:hint="eastAsia" w:ascii="宋体" w:hAnsi="宋体" w:cs="宋体"/>
                <w:color w:val="auto"/>
                <w:kern w:val="0"/>
                <w:szCs w:val="21"/>
                <w:highlight w:val="none"/>
                <w:u w:val="none"/>
              </w:rPr>
              <w:t>最低投标报价与</w:t>
            </w:r>
            <w:r>
              <w:rPr>
                <w:rFonts w:hint="eastAsia" w:ascii="宋体" w:hAnsi="宋体" w:cs="宋体"/>
                <w:color w:val="auto"/>
                <w:kern w:val="0"/>
                <w:szCs w:val="21"/>
                <w:highlight w:val="none"/>
                <w:u w:val="none"/>
                <w:lang w:val="en-US" w:eastAsia="zh-CN"/>
              </w:rPr>
              <w:t>建安工程费</w:t>
            </w:r>
            <w:r>
              <w:rPr>
                <w:rFonts w:hint="eastAsia" w:ascii="宋体" w:hAnsi="宋体" w:cs="宋体"/>
                <w:color w:val="auto"/>
                <w:kern w:val="0"/>
                <w:szCs w:val="21"/>
                <w:highlight w:val="none"/>
                <w:u w:val="none"/>
              </w:rPr>
              <w:t>成本警戒价两者中的较高值为评标基准价。</w:t>
            </w:r>
          </w:p>
        </w:tc>
      </w:tr>
    </w:tbl>
    <w:p w14:paraId="58CABC32">
      <w:pPr>
        <w:spacing w:line="360" w:lineRule="auto"/>
        <w:ind w:firstLine="420" w:firstLineChars="20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注：</w:t>
      </w:r>
    </w:p>
    <w:p w14:paraId="49E394D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Times New Roman" w:cs="宋体"/>
          <w:color w:val="auto"/>
          <w:szCs w:val="21"/>
          <w:highlight w:val="none"/>
        </w:rPr>
        <w:t>1、</w:t>
      </w:r>
      <w:r>
        <w:rPr>
          <w:rFonts w:hint="eastAsia" w:ascii="宋体" w:hAnsi="宋体" w:eastAsia="宋体" w:cs="宋体"/>
          <w:color w:val="auto"/>
          <w:szCs w:val="21"/>
          <w:highlight w:val="none"/>
          <w:lang w:val="en-US" w:eastAsia="zh-CN"/>
        </w:rPr>
        <w:t>各合格</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中标候选人总得分为各评委评分的算术平均值，得分四舍五入保留两位小数。</w:t>
      </w:r>
    </w:p>
    <w:p w14:paraId="0F6429BC">
      <w:pPr>
        <w:spacing w:line="240" w:lineRule="auto"/>
        <w:ind w:right="0" w:rightChars="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4EC8E332">
      <w:pPr>
        <w:spacing w:line="360" w:lineRule="auto"/>
        <w:ind w:right="-325" w:rightChars="-155"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四</w:t>
      </w:r>
    </w:p>
    <w:p w14:paraId="6EBFC2C8">
      <w:pPr>
        <w:wordWrap w:val="0"/>
        <w:jc w:val="center"/>
        <w:rPr>
          <w:rFonts w:hint="eastAsia" w:ascii="宋体" w:hAnsi="宋体" w:cs="宋体"/>
          <w:b/>
          <w:color w:val="auto"/>
          <w:sz w:val="28"/>
          <w:szCs w:val="28"/>
          <w:highlight w:val="none"/>
        </w:rPr>
      </w:pPr>
      <w:bookmarkStart w:id="1078" w:name="_Toc15229"/>
      <w:r>
        <w:rPr>
          <w:rFonts w:hint="eastAsia" w:ascii="宋体" w:hAnsi="宋体" w:cs="宋体"/>
          <w:b/>
          <w:color w:val="auto"/>
          <w:sz w:val="28"/>
          <w:szCs w:val="28"/>
          <w:highlight w:val="none"/>
        </w:rPr>
        <w:t>定标因素评审及撰写评语表</w:t>
      </w:r>
    </w:p>
    <w:p w14:paraId="6C1ED1A3">
      <w:pPr>
        <w:wordWrap w:val="0"/>
        <w:jc w:val="center"/>
        <w:rPr>
          <w:rFonts w:hint="eastAsia" w:ascii="宋体" w:hAnsi="宋体" w:cs="宋体"/>
          <w:bCs/>
          <w:color w:val="auto"/>
          <w:sz w:val="28"/>
          <w:szCs w:val="28"/>
          <w:highlight w:val="none"/>
        </w:rPr>
      </w:pPr>
      <w:r>
        <w:rPr>
          <w:rFonts w:hint="eastAsia" w:ascii="宋体" w:hAnsi="宋体" w:cs="宋体"/>
          <w:b/>
          <w:color w:val="auto"/>
          <w:sz w:val="28"/>
          <w:szCs w:val="28"/>
          <w:highlight w:val="none"/>
        </w:rPr>
        <w:t>（定标阶段-定标委员个人用表</w:t>
      </w:r>
      <w:bookmarkEnd w:id="1078"/>
      <w:r>
        <w:rPr>
          <w:rFonts w:hint="eastAsia" w:ascii="宋体" w:hAnsi="宋体" w:cs="宋体"/>
          <w:b/>
          <w:color w:val="auto"/>
          <w:sz w:val="28"/>
          <w:szCs w:val="28"/>
          <w:highlight w:val="none"/>
        </w:rPr>
        <w:t>）</w:t>
      </w:r>
    </w:p>
    <w:p w14:paraId="49E33506">
      <w:pPr>
        <w:wordWrap w:val="0"/>
        <w:rPr>
          <w:rFonts w:ascii="宋体" w:hAnsi="宋体" w:cs="宋体"/>
          <w:color w:val="auto"/>
          <w:szCs w:val="21"/>
          <w:highlight w:val="none"/>
        </w:rPr>
      </w:pPr>
    </w:p>
    <w:tbl>
      <w:tblPr>
        <w:tblStyle w:val="18"/>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6"/>
        <w:gridCol w:w="3191"/>
        <w:gridCol w:w="1047"/>
        <w:gridCol w:w="1037"/>
        <w:gridCol w:w="1007"/>
        <w:gridCol w:w="1009"/>
        <w:gridCol w:w="1082"/>
      </w:tblGrid>
      <w:tr w14:paraId="0826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63" w:type="dxa"/>
            <w:vMerge w:val="restart"/>
            <w:tcBorders>
              <w:top w:val="single" w:color="auto" w:sz="4" w:space="0"/>
              <w:left w:val="single" w:color="auto" w:sz="4" w:space="0"/>
              <w:right w:val="single" w:color="auto" w:sz="4" w:space="0"/>
            </w:tcBorders>
            <w:noWrap w:val="0"/>
            <w:vAlign w:val="center"/>
          </w:tcPr>
          <w:p w14:paraId="6657C4D6">
            <w:pPr>
              <w:jc w:val="center"/>
              <w:rPr>
                <w:rFonts w:ascii="宋体" w:hAnsi="宋体"/>
                <w:color w:val="auto"/>
                <w:szCs w:val="21"/>
                <w:highlight w:val="none"/>
              </w:rPr>
            </w:pPr>
            <w:r>
              <w:rPr>
                <w:rFonts w:hint="eastAsia" w:ascii="宋体" w:hAnsi="宋体"/>
                <w:color w:val="auto"/>
                <w:szCs w:val="21"/>
                <w:highlight w:val="none"/>
              </w:rPr>
              <w:t>序号</w:t>
            </w:r>
          </w:p>
        </w:tc>
        <w:tc>
          <w:tcPr>
            <w:tcW w:w="4107" w:type="dxa"/>
            <w:gridSpan w:val="2"/>
            <w:vMerge w:val="restart"/>
            <w:tcBorders>
              <w:top w:val="single" w:color="auto" w:sz="4" w:space="0"/>
              <w:left w:val="single" w:color="auto" w:sz="4" w:space="0"/>
              <w:right w:val="single" w:color="auto" w:sz="4" w:space="0"/>
            </w:tcBorders>
            <w:noWrap w:val="0"/>
            <w:vAlign w:val="center"/>
          </w:tcPr>
          <w:p w14:paraId="580532B5">
            <w:pPr>
              <w:jc w:val="center"/>
              <w:rPr>
                <w:rFonts w:hint="eastAsia" w:ascii="宋体" w:hAnsi="宋体"/>
                <w:color w:val="auto"/>
                <w:szCs w:val="21"/>
                <w:highlight w:val="none"/>
              </w:rPr>
            </w:pPr>
            <w:r>
              <w:rPr>
                <w:rFonts w:hint="eastAsia" w:ascii="宋体" w:hAnsi="宋体"/>
                <w:color w:val="auto"/>
                <w:szCs w:val="21"/>
                <w:highlight w:val="none"/>
              </w:rPr>
              <w:t>定标因素</w:t>
            </w:r>
          </w:p>
        </w:tc>
        <w:tc>
          <w:tcPr>
            <w:tcW w:w="5182" w:type="dxa"/>
            <w:gridSpan w:val="5"/>
            <w:tcBorders>
              <w:top w:val="single" w:color="auto" w:sz="4" w:space="0"/>
              <w:left w:val="single" w:color="auto" w:sz="4" w:space="0"/>
              <w:bottom w:val="single" w:color="auto" w:sz="4" w:space="0"/>
              <w:right w:val="single" w:color="auto" w:sz="4" w:space="0"/>
            </w:tcBorders>
            <w:noWrap w:val="0"/>
            <w:vAlign w:val="center"/>
          </w:tcPr>
          <w:p w14:paraId="286A133E">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合格的中标候选人名称</w:t>
            </w:r>
          </w:p>
        </w:tc>
      </w:tr>
      <w:tr w14:paraId="6E60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63" w:type="dxa"/>
            <w:vMerge w:val="continue"/>
            <w:tcBorders>
              <w:left w:val="single" w:color="auto" w:sz="4" w:space="0"/>
              <w:bottom w:val="single" w:color="auto" w:sz="4" w:space="0"/>
              <w:right w:val="single" w:color="auto" w:sz="4" w:space="0"/>
            </w:tcBorders>
            <w:noWrap w:val="0"/>
            <w:vAlign w:val="center"/>
          </w:tcPr>
          <w:p w14:paraId="08651764">
            <w:pPr>
              <w:jc w:val="center"/>
              <w:rPr>
                <w:rFonts w:hint="eastAsia" w:ascii="宋体" w:hAnsi="宋体"/>
                <w:color w:val="auto"/>
                <w:szCs w:val="21"/>
                <w:highlight w:val="none"/>
              </w:rPr>
            </w:pPr>
          </w:p>
        </w:tc>
        <w:tc>
          <w:tcPr>
            <w:tcW w:w="4107" w:type="dxa"/>
            <w:gridSpan w:val="2"/>
            <w:vMerge w:val="continue"/>
            <w:tcBorders>
              <w:left w:val="single" w:color="auto" w:sz="4" w:space="0"/>
              <w:bottom w:val="single" w:color="auto" w:sz="4" w:space="0"/>
              <w:right w:val="single" w:color="auto" w:sz="4" w:space="0"/>
            </w:tcBorders>
            <w:noWrap w:val="0"/>
            <w:vAlign w:val="center"/>
          </w:tcPr>
          <w:p w14:paraId="55DFE2EA">
            <w:pPr>
              <w:jc w:val="center"/>
              <w:rPr>
                <w:rFonts w:hint="eastAsia" w:ascii="宋体" w:hAnsi="宋体"/>
                <w:color w:val="auto"/>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1980BEA">
            <w:pPr>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候选人1</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1B9A8FA">
            <w:pPr>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候选人2</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434382BD">
            <w:pPr>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候选人3</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DCC5431">
            <w:pPr>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候选人4</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23DD6A8">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235F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63" w:type="dxa"/>
            <w:vMerge w:val="restart"/>
            <w:tcBorders>
              <w:top w:val="single" w:color="auto" w:sz="4" w:space="0"/>
              <w:left w:val="single" w:color="auto" w:sz="4" w:space="0"/>
              <w:right w:val="single" w:color="auto" w:sz="4" w:space="0"/>
            </w:tcBorders>
            <w:noWrap w:val="0"/>
            <w:vAlign w:val="center"/>
          </w:tcPr>
          <w:p w14:paraId="51314D65">
            <w:pPr>
              <w:jc w:val="center"/>
              <w:rPr>
                <w:rFonts w:hint="eastAsia" w:ascii="宋体" w:hAnsi="宋体" w:eastAsia="宋体"/>
                <w:color w:val="auto"/>
                <w:szCs w:val="21"/>
                <w:highlight w:val="none"/>
                <w:u w:val="none"/>
                <w:lang w:eastAsia="zh-CN"/>
              </w:rPr>
            </w:pPr>
            <w:r>
              <w:rPr>
                <w:rFonts w:hint="eastAsia" w:ascii="宋体" w:hAnsi="宋体"/>
                <w:color w:val="auto"/>
                <w:szCs w:val="21"/>
                <w:highlight w:val="none"/>
                <w:u w:val="none"/>
                <w:lang w:val="en-US" w:eastAsia="zh-CN"/>
              </w:rPr>
              <w:t>1</w:t>
            </w:r>
          </w:p>
        </w:tc>
        <w:tc>
          <w:tcPr>
            <w:tcW w:w="916" w:type="dxa"/>
            <w:vMerge w:val="restart"/>
            <w:tcBorders>
              <w:top w:val="single" w:color="auto" w:sz="4" w:space="0"/>
              <w:left w:val="single" w:color="auto" w:sz="4" w:space="0"/>
              <w:right w:val="single" w:color="auto" w:sz="4" w:space="0"/>
            </w:tcBorders>
            <w:noWrap w:val="0"/>
            <w:vAlign w:val="center"/>
          </w:tcPr>
          <w:p w14:paraId="1A1538EB">
            <w:pPr>
              <w:jc w:val="left"/>
              <w:rPr>
                <w:rFonts w:ascii="宋体" w:hAnsi="宋体" w:cs="宋体"/>
                <w:color w:val="auto"/>
                <w:szCs w:val="21"/>
                <w:highlight w:val="none"/>
                <w:u w:val="none"/>
              </w:rPr>
            </w:pPr>
            <w:r>
              <w:rPr>
                <w:rFonts w:hint="eastAsia" w:ascii="宋体" w:hAnsi="宋体" w:cs="宋体"/>
                <w:color w:val="auto"/>
                <w:szCs w:val="21"/>
                <w:highlight w:val="none"/>
                <w:u w:val="none"/>
              </w:rPr>
              <w:t>方案因素（</w:t>
            </w:r>
            <w:r>
              <w:rPr>
                <w:rFonts w:hint="eastAsia" w:ascii="宋体" w:hAnsi="宋体" w:cs="宋体"/>
                <w:color w:val="auto"/>
                <w:szCs w:val="21"/>
                <w:highlight w:val="none"/>
                <w:u w:val="none"/>
                <w:lang w:val="en-US" w:eastAsia="zh-CN"/>
              </w:rPr>
              <w:t>7</w:t>
            </w:r>
            <w:r>
              <w:rPr>
                <w:rFonts w:hint="eastAsia" w:ascii="宋体" w:hAnsi="宋体" w:cs="宋体"/>
                <w:color w:val="auto"/>
                <w:szCs w:val="21"/>
                <w:highlight w:val="none"/>
                <w:u w:val="none"/>
              </w:rPr>
              <w:t>0分）</w:t>
            </w:r>
          </w:p>
        </w:tc>
        <w:tc>
          <w:tcPr>
            <w:tcW w:w="3191" w:type="dxa"/>
            <w:tcBorders>
              <w:top w:val="single" w:color="auto" w:sz="4" w:space="0"/>
              <w:left w:val="single" w:color="auto" w:sz="4" w:space="0"/>
              <w:right w:val="single" w:color="auto" w:sz="4" w:space="0"/>
            </w:tcBorders>
            <w:noWrap w:val="0"/>
            <w:vAlign w:val="center"/>
          </w:tcPr>
          <w:p w14:paraId="0DAE85AE">
            <w:pPr>
              <w:spacing w:line="240" w:lineRule="auto"/>
              <w:jc w:val="left"/>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安全控制措施</w:t>
            </w:r>
            <w:r>
              <w:rPr>
                <w:rFonts w:hint="eastAsia" w:ascii="宋体" w:hAnsi="宋体" w:eastAsia="宋体" w:cs="宋体"/>
                <w:color w:val="auto"/>
                <w:szCs w:val="21"/>
                <w:highlight w:val="none"/>
                <w:u w:val="none"/>
                <w:lang w:val="en-US" w:eastAsia="zh-CN"/>
              </w:rPr>
              <w:t>（10分）</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F37182B">
            <w:pPr>
              <w:spacing w:line="240" w:lineRule="auto"/>
              <w:jc w:val="left"/>
              <w:rPr>
                <w:rFonts w:hint="eastAsia" w:ascii="宋体" w:hAnsi="宋体" w:eastAsia="宋体" w:cs="宋体"/>
                <w:color w:val="auto"/>
                <w:kern w:val="2"/>
                <w:sz w:val="21"/>
                <w:szCs w:val="21"/>
                <w:highlight w:val="none"/>
                <w:u w:val="none"/>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D81C87A">
            <w:pPr>
              <w:jc w:val="both"/>
              <w:rPr>
                <w:rFonts w:hint="eastAsia" w:ascii="Calibri" w:hAnsi="Calibri"/>
                <w:color w:val="auto"/>
                <w:szCs w:val="22"/>
                <w:highlight w:val="none"/>
                <w:u w:val="non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4AC6B40">
            <w:pPr>
              <w:jc w:val="both"/>
              <w:rPr>
                <w:rFonts w:hint="eastAsia" w:ascii="Calibri" w:hAnsi="Calibri"/>
                <w:color w:val="auto"/>
                <w:szCs w:val="22"/>
                <w:highlight w:val="none"/>
                <w:u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1839EC07">
            <w:pPr>
              <w:jc w:val="both"/>
              <w:rPr>
                <w:rFonts w:hint="eastAsia" w:ascii="Calibri" w:hAnsi="Calibri"/>
                <w:color w:val="auto"/>
                <w:szCs w:val="22"/>
                <w:highlight w:val="none"/>
                <w:u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D65FCE6">
            <w:pPr>
              <w:jc w:val="both"/>
              <w:rPr>
                <w:rFonts w:hint="eastAsia" w:ascii="Calibri" w:hAnsi="Calibri"/>
                <w:color w:val="auto"/>
                <w:szCs w:val="22"/>
                <w:highlight w:val="none"/>
                <w:u w:val="none"/>
              </w:rPr>
            </w:pPr>
          </w:p>
        </w:tc>
      </w:tr>
      <w:tr w14:paraId="556D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63" w:type="dxa"/>
            <w:vMerge w:val="continue"/>
            <w:tcBorders>
              <w:left w:val="single" w:color="auto" w:sz="4" w:space="0"/>
              <w:right w:val="single" w:color="auto" w:sz="4" w:space="0"/>
            </w:tcBorders>
            <w:noWrap w:val="0"/>
            <w:vAlign w:val="center"/>
          </w:tcPr>
          <w:p w14:paraId="442712E9">
            <w:pPr>
              <w:jc w:val="center"/>
              <w:rPr>
                <w:rFonts w:hint="eastAsia" w:ascii="宋体" w:hAnsi="宋体" w:eastAsia="宋体"/>
                <w:color w:val="auto"/>
                <w:szCs w:val="21"/>
                <w:highlight w:val="none"/>
                <w:u w:val="none"/>
                <w:lang w:eastAsia="zh-CN"/>
              </w:rPr>
            </w:pPr>
          </w:p>
        </w:tc>
        <w:tc>
          <w:tcPr>
            <w:tcW w:w="916" w:type="dxa"/>
            <w:vMerge w:val="continue"/>
            <w:tcBorders>
              <w:left w:val="single" w:color="auto" w:sz="4" w:space="0"/>
              <w:right w:val="single" w:color="auto" w:sz="4" w:space="0"/>
            </w:tcBorders>
            <w:noWrap w:val="0"/>
            <w:vAlign w:val="center"/>
          </w:tcPr>
          <w:p w14:paraId="54C37C89">
            <w:pPr>
              <w:jc w:val="left"/>
              <w:rPr>
                <w:rFonts w:ascii="宋体" w:hAnsi="宋体"/>
                <w:color w:val="auto"/>
                <w:szCs w:val="21"/>
                <w:highlight w:val="none"/>
                <w:u w:val="none"/>
              </w:rPr>
            </w:pPr>
          </w:p>
        </w:tc>
        <w:tc>
          <w:tcPr>
            <w:tcW w:w="3191" w:type="dxa"/>
            <w:tcBorders>
              <w:left w:val="single" w:color="auto" w:sz="4" w:space="0"/>
              <w:right w:val="single" w:color="auto" w:sz="4" w:space="0"/>
            </w:tcBorders>
            <w:noWrap w:val="0"/>
            <w:vAlign w:val="center"/>
          </w:tcPr>
          <w:p w14:paraId="7E6D23D2">
            <w:pPr>
              <w:pStyle w:val="24"/>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质量控制措施</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10分</w:t>
            </w:r>
            <w:r>
              <w:rPr>
                <w:rFonts w:hint="eastAsia" w:ascii="宋体" w:hAnsi="宋体" w:cs="宋体"/>
                <w:color w:val="auto"/>
                <w:szCs w:val="21"/>
                <w:highlight w:val="none"/>
                <w:u w:val="none"/>
                <w:lang w:eastAsia="zh-CN"/>
              </w:rPr>
              <w:t>）</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1F045D">
            <w:pPr>
              <w:pStyle w:val="24"/>
              <w:rPr>
                <w:rFonts w:hint="eastAsia" w:ascii="宋体" w:hAnsi="宋体" w:eastAsia="宋体" w:cs="宋体"/>
                <w:color w:val="auto"/>
                <w:kern w:val="2"/>
                <w:sz w:val="21"/>
                <w:szCs w:val="21"/>
                <w:highlight w:val="none"/>
                <w:u w:val="none"/>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BA74323">
            <w:pPr>
              <w:pStyle w:val="24"/>
              <w:rPr>
                <w:rFonts w:ascii="宋体" w:hAnsi="宋体"/>
                <w:color w:val="auto"/>
                <w:szCs w:val="21"/>
                <w:highlight w:val="non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3815E29">
            <w:pPr>
              <w:pStyle w:val="24"/>
              <w:rPr>
                <w:rFonts w:ascii="宋体" w:hAnsi="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284ED00">
            <w:pPr>
              <w:pStyle w:val="24"/>
              <w:rPr>
                <w:rFonts w:ascii="宋体" w:hAnsi="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39285C6">
            <w:pPr>
              <w:pStyle w:val="24"/>
              <w:rPr>
                <w:rFonts w:ascii="宋体" w:hAnsi="宋体"/>
                <w:color w:val="auto"/>
                <w:szCs w:val="21"/>
                <w:highlight w:val="none"/>
              </w:rPr>
            </w:pPr>
          </w:p>
        </w:tc>
      </w:tr>
      <w:tr w14:paraId="6B74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63" w:type="dxa"/>
            <w:vMerge w:val="continue"/>
            <w:tcBorders>
              <w:left w:val="single" w:color="auto" w:sz="4" w:space="0"/>
              <w:right w:val="single" w:color="auto" w:sz="4" w:space="0"/>
            </w:tcBorders>
            <w:noWrap w:val="0"/>
            <w:vAlign w:val="center"/>
          </w:tcPr>
          <w:p w14:paraId="3436A26E">
            <w:pPr>
              <w:jc w:val="center"/>
              <w:rPr>
                <w:rFonts w:hint="eastAsia" w:ascii="宋体" w:hAnsi="宋体" w:eastAsia="宋体"/>
                <w:color w:val="auto"/>
                <w:szCs w:val="21"/>
                <w:highlight w:val="none"/>
                <w:u w:val="none"/>
                <w:lang w:eastAsia="zh-CN"/>
              </w:rPr>
            </w:pPr>
          </w:p>
        </w:tc>
        <w:tc>
          <w:tcPr>
            <w:tcW w:w="916" w:type="dxa"/>
            <w:vMerge w:val="continue"/>
            <w:tcBorders>
              <w:left w:val="single" w:color="auto" w:sz="4" w:space="0"/>
              <w:right w:val="single" w:color="auto" w:sz="4" w:space="0"/>
            </w:tcBorders>
            <w:noWrap w:val="0"/>
            <w:vAlign w:val="center"/>
          </w:tcPr>
          <w:p w14:paraId="2FB43ED5">
            <w:pPr>
              <w:jc w:val="left"/>
              <w:rPr>
                <w:rFonts w:ascii="宋体" w:hAnsi="宋体"/>
                <w:color w:val="auto"/>
                <w:szCs w:val="21"/>
                <w:highlight w:val="none"/>
                <w:u w:val="none"/>
              </w:rPr>
            </w:pPr>
          </w:p>
        </w:tc>
        <w:tc>
          <w:tcPr>
            <w:tcW w:w="3191" w:type="dxa"/>
            <w:tcBorders>
              <w:left w:val="single" w:color="auto" w:sz="4" w:space="0"/>
              <w:right w:val="single" w:color="auto" w:sz="4" w:space="0"/>
            </w:tcBorders>
            <w:noWrap w:val="0"/>
            <w:vAlign w:val="center"/>
          </w:tcPr>
          <w:p w14:paraId="7FEC54E8">
            <w:pPr>
              <w:pStyle w:val="24"/>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进度控制措施（</w:t>
            </w:r>
            <w:r>
              <w:rPr>
                <w:rFonts w:hint="eastAsia" w:ascii="宋体" w:hAnsi="宋体" w:cs="宋体"/>
                <w:color w:val="auto"/>
                <w:szCs w:val="21"/>
                <w:highlight w:val="none"/>
                <w:u w:val="none"/>
                <w:lang w:val="en-US" w:eastAsia="zh-CN"/>
              </w:rPr>
              <w:t>10分</w:t>
            </w:r>
            <w:r>
              <w:rPr>
                <w:rFonts w:hint="eastAsia" w:ascii="宋体" w:hAnsi="宋体" w:cs="宋体"/>
                <w:color w:val="auto"/>
                <w:szCs w:val="21"/>
                <w:highlight w:val="none"/>
                <w:u w:val="none"/>
                <w:lang w:eastAsia="zh-CN"/>
              </w:rPr>
              <w:t>）</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CB9DA31">
            <w:pPr>
              <w:pStyle w:val="24"/>
              <w:rPr>
                <w:rFonts w:hint="eastAsia" w:ascii="宋体" w:hAnsi="宋体" w:eastAsia="宋体" w:cs="宋体"/>
                <w:color w:val="auto"/>
                <w:kern w:val="2"/>
                <w:sz w:val="21"/>
                <w:szCs w:val="21"/>
                <w:highlight w:val="none"/>
                <w:u w:val="none"/>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7C1A6B5">
            <w:pPr>
              <w:pStyle w:val="24"/>
              <w:rPr>
                <w:rFonts w:hint="eastAsia" w:ascii="宋体" w:hAnsi="宋体" w:cs="宋体"/>
                <w:color w:val="auto"/>
                <w:szCs w:val="21"/>
                <w:highlight w:val="none"/>
                <w:u w:val="singl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020A6833">
            <w:pPr>
              <w:pStyle w:val="24"/>
              <w:rPr>
                <w:rFonts w:hint="eastAsia" w:ascii="宋体" w:hAnsi="宋体" w:cs="宋体"/>
                <w:color w:val="auto"/>
                <w:szCs w:val="21"/>
                <w:highlight w:val="none"/>
                <w:u w:val="singl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63B093A">
            <w:pPr>
              <w:pStyle w:val="24"/>
              <w:rPr>
                <w:rFonts w:hint="eastAsia" w:ascii="宋体" w:hAnsi="宋体" w:cs="宋体"/>
                <w:color w:val="auto"/>
                <w:szCs w:val="21"/>
                <w:highlight w:val="none"/>
                <w:u w:val="singl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96A3567">
            <w:pPr>
              <w:pStyle w:val="24"/>
              <w:rPr>
                <w:rFonts w:hint="eastAsia" w:ascii="宋体" w:hAnsi="宋体" w:cs="宋体"/>
                <w:color w:val="auto"/>
                <w:szCs w:val="21"/>
                <w:highlight w:val="none"/>
                <w:u w:val="single"/>
              </w:rPr>
            </w:pPr>
          </w:p>
        </w:tc>
      </w:tr>
      <w:tr w14:paraId="14AF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63" w:type="dxa"/>
            <w:vMerge w:val="continue"/>
            <w:tcBorders>
              <w:left w:val="single" w:color="auto" w:sz="4" w:space="0"/>
              <w:right w:val="single" w:color="auto" w:sz="4" w:space="0"/>
            </w:tcBorders>
            <w:noWrap w:val="0"/>
            <w:vAlign w:val="center"/>
          </w:tcPr>
          <w:p w14:paraId="6E6DCC9E">
            <w:pPr>
              <w:jc w:val="center"/>
              <w:rPr>
                <w:rFonts w:hint="eastAsia" w:ascii="宋体" w:hAnsi="宋体" w:eastAsia="宋体"/>
                <w:color w:val="auto"/>
                <w:szCs w:val="21"/>
                <w:highlight w:val="none"/>
                <w:u w:val="none"/>
                <w:lang w:eastAsia="zh-CN"/>
              </w:rPr>
            </w:pPr>
          </w:p>
        </w:tc>
        <w:tc>
          <w:tcPr>
            <w:tcW w:w="916" w:type="dxa"/>
            <w:vMerge w:val="continue"/>
            <w:tcBorders>
              <w:left w:val="single" w:color="auto" w:sz="4" w:space="0"/>
              <w:right w:val="single" w:color="auto" w:sz="4" w:space="0"/>
            </w:tcBorders>
            <w:noWrap w:val="0"/>
            <w:vAlign w:val="center"/>
          </w:tcPr>
          <w:p w14:paraId="42806A65">
            <w:pPr>
              <w:jc w:val="left"/>
              <w:rPr>
                <w:rFonts w:ascii="宋体" w:hAnsi="宋体"/>
                <w:color w:val="auto"/>
                <w:szCs w:val="21"/>
                <w:highlight w:val="none"/>
                <w:u w:val="none"/>
              </w:rPr>
            </w:pPr>
          </w:p>
        </w:tc>
        <w:tc>
          <w:tcPr>
            <w:tcW w:w="3191" w:type="dxa"/>
            <w:tcBorders>
              <w:left w:val="single" w:color="auto" w:sz="4" w:space="0"/>
              <w:right w:val="single" w:color="auto" w:sz="4" w:space="0"/>
            </w:tcBorders>
            <w:noWrap w:val="0"/>
            <w:vAlign w:val="center"/>
          </w:tcPr>
          <w:p w14:paraId="2338E8C5">
            <w:pPr>
              <w:pStyle w:val="24"/>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绿色节能控制措施（</w:t>
            </w:r>
            <w:r>
              <w:rPr>
                <w:rFonts w:hint="eastAsia" w:ascii="宋体" w:hAnsi="宋体" w:cs="宋体"/>
                <w:color w:val="auto"/>
                <w:szCs w:val="21"/>
                <w:highlight w:val="none"/>
                <w:u w:val="none"/>
                <w:lang w:val="en-US" w:eastAsia="zh-CN"/>
              </w:rPr>
              <w:t>10分</w:t>
            </w:r>
            <w:r>
              <w:rPr>
                <w:rFonts w:hint="eastAsia" w:ascii="宋体" w:hAnsi="宋体" w:cs="宋体"/>
                <w:color w:val="auto"/>
                <w:szCs w:val="21"/>
                <w:highlight w:val="none"/>
                <w:u w:val="none"/>
                <w:lang w:eastAsia="zh-CN"/>
              </w:rPr>
              <w:t>）</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E91F241">
            <w:pPr>
              <w:pStyle w:val="24"/>
              <w:rPr>
                <w:rFonts w:hint="eastAsia" w:ascii="宋体" w:hAnsi="宋体" w:eastAsia="宋体" w:cs="宋体"/>
                <w:color w:val="auto"/>
                <w:kern w:val="2"/>
                <w:sz w:val="21"/>
                <w:szCs w:val="21"/>
                <w:highlight w:val="none"/>
                <w:u w:val="none"/>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60A26FA">
            <w:pPr>
              <w:pStyle w:val="24"/>
              <w:rPr>
                <w:rFonts w:hint="eastAsia" w:ascii="宋体" w:hAnsi="宋体" w:cs="宋体"/>
                <w:color w:val="auto"/>
                <w:szCs w:val="21"/>
                <w:highlight w:val="none"/>
                <w:u w:val="singl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5FC1860">
            <w:pPr>
              <w:pStyle w:val="24"/>
              <w:rPr>
                <w:rFonts w:hint="eastAsia" w:ascii="宋体" w:hAnsi="宋体" w:cs="宋体"/>
                <w:color w:val="auto"/>
                <w:szCs w:val="21"/>
                <w:highlight w:val="none"/>
                <w:u w:val="singl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C112FCE">
            <w:pPr>
              <w:pStyle w:val="24"/>
              <w:rPr>
                <w:rFonts w:hint="eastAsia" w:ascii="宋体" w:hAnsi="宋体" w:cs="宋体"/>
                <w:color w:val="auto"/>
                <w:szCs w:val="21"/>
                <w:highlight w:val="none"/>
                <w:u w:val="singl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E1C427">
            <w:pPr>
              <w:pStyle w:val="24"/>
              <w:rPr>
                <w:rFonts w:hint="eastAsia" w:ascii="宋体" w:hAnsi="宋体" w:cs="宋体"/>
                <w:color w:val="auto"/>
                <w:szCs w:val="21"/>
                <w:highlight w:val="none"/>
                <w:u w:val="single"/>
              </w:rPr>
            </w:pPr>
          </w:p>
        </w:tc>
      </w:tr>
      <w:tr w14:paraId="56AB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3" w:type="dxa"/>
            <w:vMerge w:val="continue"/>
            <w:tcBorders>
              <w:left w:val="single" w:color="auto" w:sz="4" w:space="0"/>
              <w:right w:val="single" w:color="auto" w:sz="4" w:space="0"/>
            </w:tcBorders>
            <w:noWrap w:val="0"/>
            <w:vAlign w:val="center"/>
          </w:tcPr>
          <w:p w14:paraId="42C67EDD">
            <w:pPr>
              <w:jc w:val="center"/>
              <w:rPr>
                <w:rFonts w:hint="eastAsia" w:ascii="宋体" w:hAnsi="宋体" w:eastAsia="宋体"/>
                <w:color w:val="auto"/>
                <w:szCs w:val="21"/>
                <w:highlight w:val="none"/>
                <w:u w:val="none"/>
                <w:lang w:eastAsia="zh-CN"/>
              </w:rPr>
            </w:pPr>
          </w:p>
        </w:tc>
        <w:tc>
          <w:tcPr>
            <w:tcW w:w="916" w:type="dxa"/>
            <w:vMerge w:val="continue"/>
            <w:tcBorders>
              <w:left w:val="single" w:color="auto" w:sz="4" w:space="0"/>
              <w:right w:val="single" w:color="auto" w:sz="4" w:space="0"/>
            </w:tcBorders>
            <w:noWrap w:val="0"/>
            <w:vAlign w:val="center"/>
          </w:tcPr>
          <w:p w14:paraId="06044A49">
            <w:pPr>
              <w:jc w:val="left"/>
              <w:rPr>
                <w:rFonts w:hint="eastAsia" w:ascii="宋体" w:hAnsi="宋体" w:cs="宋体"/>
                <w:color w:val="auto"/>
                <w:szCs w:val="21"/>
                <w:highlight w:val="none"/>
                <w:u w:val="none"/>
              </w:rPr>
            </w:pPr>
          </w:p>
        </w:tc>
        <w:tc>
          <w:tcPr>
            <w:tcW w:w="3191" w:type="dxa"/>
            <w:tcBorders>
              <w:left w:val="single" w:color="auto" w:sz="4" w:space="0"/>
              <w:right w:val="single" w:color="auto" w:sz="4" w:space="0"/>
            </w:tcBorders>
            <w:noWrap w:val="0"/>
            <w:vAlign w:val="center"/>
          </w:tcPr>
          <w:p w14:paraId="5C16B5B5">
            <w:pPr>
              <w:pStyle w:val="24"/>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实施本项目的其他优势</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10分</w:t>
            </w:r>
            <w:r>
              <w:rPr>
                <w:rFonts w:hint="eastAsia" w:ascii="宋体" w:hAnsi="宋体" w:cs="宋体"/>
                <w:color w:val="auto"/>
                <w:szCs w:val="21"/>
                <w:highlight w:val="none"/>
                <w:u w:val="none"/>
                <w:lang w:eastAsia="zh-CN"/>
              </w:rPr>
              <w:t>）</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9B8EC40">
            <w:pPr>
              <w:spacing w:line="240" w:lineRule="auto"/>
              <w:jc w:val="left"/>
              <w:rPr>
                <w:rFonts w:hint="default" w:ascii="宋体" w:hAnsi="宋体" w:eastAsia="宋体" w:cs="宋体"/>
                <w:color w:val="auto"/>
                <w:kern w:val="2"/>
                <w:sz w:val="21"/>
                <w:szCs w:val="21"/>
                <w:highlight w:val="none"/>
                <w:u w:val="none"/>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DB1184F">
            <w:pPr>
              <w:pStyle w:val="24"/>
              <w:rPr>
                <w:rFonts w:hint="default" w:ascii="宋体" w:hAnsi="宋体" w:cs="宋体"/>
                <w:color w:val="auto"/>
                <w:szCs w:val="21"/>
                <w:highlight w:val="none"/>
                <w:u w:val="single"/>
                <w:lang w:val="en-US" w:eastAsia="zh-CN"/>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8C72097">
            <w:pPr>
              <w:pStyle w:val="24"/>
              <w:rPr>
                <w:rFonts w:hint="default" w:ascii="宋体" w:hAnsi="宋体" w:cs="宋体"/>
                <w:color w:val="auto"/>
                <w:szCs w:val="21"/>
                <w:highlight w:val="none"/>
                <w:u w:val="single"/>
                <w:lang w:val="en-US" w:eastAsia="zh-CN"/>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4402918">
            <w:pPr>
              <w:pStyle w:val="24"/>
              <w:rPr>
                <w:rFonts w:hint="default" w:ascii="宋体" w:hAnsi="宋体" w:cs="宋体"/>
                <w:color w:val="auto"/>
                <w:szCs w:val="21"/>
                <w:highlight w:val="none"/>
                <w:u w:val="single"/>
                <w:lang w:val="en-US" w:eastAsia="zh-C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EDA5E44">
            <w:pPr>
              <w:pStyle w:val="24"/>
              <w:rPr>
                <w:rFonts w:hint="default" w:ascii="宋体" w:hAnsi="宋体" w:cs="宋体"/>
                <w:color w:val="auto"/>
                <w:szCs w:val="21"/>
                <w:highlight w:val="none"/>
                <w:u w:val="single"/>
                <w:lang w:val="en-US" w:eastAsia="zh-CN"/>
              </w:rPr>
            </w:pPr>
          </w:p>
        </w:tc>
      </w:tr>
      <w:tr w14:paraId="4F3E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63" w:type="dxa"/>
            <w:vMerge w:val="continue"/>
            <w:tcBorders>
              <w:left w:val="single" w:color="auto" w:sz="4" w:space="0"/>
              <w:bottom w:val="single" w:color="auto" w:sz="4" w:space="0"/>
              <w:right w:val="single" w:color="auto" w:sz="4" w:space="0"/>
            </w:tcBorders>
            <w:noWrap w:val="0"/>
            <w:vAlign w:val="center"/>
          </w:tcPr>
          <w:p w14:paraId="12FC916A">
            <w:pPr>
              <w:jc w:val="center"/>
              <w:rPr>
                <w:rFonts w:hint="eastAsia" w:ascii="宋体" w:hAnsi="宋体" w:eastAsia="宋体"/>
                <w:color w:val="auto"/>
                <w:szCs w:val="21"/>
                <w:highlight w:val="none"/>
                <w:u w:val="none"/>
                <w:lang w:eastAsia="zh-CN"/>
              </w:rPr>
            </w:pPr>
          </w:p>
        </w:tc>
        <w:tc>
          <w:tcPr>
            <w:tcW w:w="916" w:type="dxa"/>
            <w:vMerge w:val="continue"/>
            <w:tcBorders>
              <w:left w:val="single" w:color="auto" w:sz="4" w:space="0"/>
              <w:bottom w:val="single" w:color="auto" w:sz="4" w:space="0"/>
              <w:right w:val="single" w:color="auto" w:sz="4" w:space="0"/>
            </w:tcBorders>
            <w:noWrap w:val="0"/>
            <w:vAlign w:val="center"/>
          </w:tcPr>
          <w:p w14:paraId="24F06C5D">
            <w:pPr>
              <w:jc w:val="left"/>
              <w:rPr>
                <w:rFonts w:ascii="宋体" w:hAnsi="宋体" w:cs="宋体"/>
                <w:color w:val="auto"/>
                <w:szCs w:val="21"/>
                <w:highlight w:val="none"/>
                <w:u w:val="none"/>
              </w:rPr>
            </w:pPr>
          </w:p>
        </w:tc>
        <w:tc>
          <w:tcPr>
            <w:tcW w:w="3191" w:type="dxa"/>
            <w:tcBorders>
              <w:left w:val="single" w:color="auto" w:sz="4" w:space="0"/>
              <w:bottom w:val="single" w:color="auto" w:sz="4" w:space="0"/>
              <w:right w:val="single" w:color="auto" w:sz="4" w:space="0"/>
            </w:tcBorders>
            <w:noWrap w:val="0"/>
            <w:vAlign w:val="center"/>
          </w:tcPr>
          <w:p w14:paraId="1B5DB722">
            <w:pPr>
              <w:spacing w:line="240" w:lineRule="auto"/>
              <w:jc w:val="left"/>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eastAsia="zh-CN"/>
              </w:rPr>
              <w:t>建筑工程设计方案（</w:t>
            </w:r>
            <w:r>
              <w:rPr>
                <w:rFonts w:hint="eastAsia" w:ascii="宋体" w:hAnsi="宋体" w:cs="宋体"/>
                <w:color w:val="auto"/>
                <w:szCs w:val="21"/>
                <w:highlight w:val="none"/>
                <w:u w:val="none"/>
                <w:lang w:val="en-US" w:eastAsia="zh-CN"/>
              </w:rPr>
              <w:t>20分</w:t>
            </w:r>
            <w:r>
              <w:rPr>
                <w:rFonts w:hint="eastAsia" w:ascii="宋体" w:hAnsi="宋体" w:cs="宋体"/>
                <w:color w:val="auto"/>
                <w:szCs w:val="21"/>
                <w:highlight w:val="none"/>
                <w:u w:val="none"/>
                <w:lang w:eastAsia="zh-CN"/>
              </w:rPr>
              <w:t>）</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85EC289">
            <w:pPr>
              <w:spacing w:line="240" w:lineRule="auto"/>
              <w:jc w:val="left"/>
              <w:rPr>
                <w:rFonts w:hint="eastAsia" w:ascii="宋体" w:hAnsi="宋体" w:cs="宋体"/>
                <w:color w:val="auto"/>
                <w:szCs w:val="21"/>
                <w:highlight w:val="none"/>
                <w:u w:val="singl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311A2F4">
            <w:pPr>
              <w:spacing w:line="240" w:lineRule="auto"/>
              <w:jc w:val="left"/>
              <w:rPr>
                <w:rFonts w:hint="eastAsia" w:ascii="宋体" w:hAnsi="宋体" w:cs="宋体"/>
                <w:color w:val="auto"/>
                <w:szCs w:val="21"/>
                <w:highlight w:val="none"/>
                <w:u w:val="singl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6F96329D">
            <w:pPr>
              <w:spacing w:line="240" w:lineRule="auto"/>
              <w:jc w:val="left"/>
              <w:rPr>
                <w:rFonts w:hint="eastAsia" w:ascii="宋体" w:hAnsi="宋体" w:cs="宋体"/>
                <w:color w:val="auto"/>
                <w:szCs w:val="21"/>
                <w:highlight w:val="none"/>
                <w:u w:val="singl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A767628">
            <w:pPr>
              <w:spacing w:line="240" w:lineRule="auto"/>
              <w:jc w:val="left"/>
              <w:rPr>
                <w:rFonts w:hint="eastAsia" w:ascii="宋体" w:hAnsi="宋体" w:cs="宋体"/>
                <w:color w:val="auto"/>
                <w:szCs w:val="21"/>
                <w:highlight w:val="none"/>
                <w:u w:val="singl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ED4B067">
            <w:pPr>
              <w:spacing w:line="240" w:lineRule="auto"/>
              <w:jc w:val="left"/>
              <w:rPr>
                <w:rFonts w:hint="eastAsia" w:ascii="宋体" w:hAnsi="宋体" w:cs="宋体"/>
                <w:color w:val="auto"/>
                <w:szCs w:val="21"/>
                <w:highlight w:val="none"/>
                <w:u w:val="single"/>
              </w:rPr>
            </w:pPr>
          </w:p>
        </w:tc>
      </w:tr>
      <w:tr w14:paraId="2B31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63" w:type="dxa"/>
            <w:tcBorders>
              <w:left w:val="single" w:color="auto" w:sz="4" w:space="0"/>
              <w:bottom w:val="single" w:color="auto" w:sz="4" w:space="0"/>
              <w:right w:val="single" w:color="auto" w:sz="4" w:space="0"/>
            </w:tcBorders>
            <w:noWrap w:val="0"/>
            <w:vAlign w:val="center"/>
          </w:tcPr>
          <w:p w14:paraId="4A5E60EE">
            <w:pPr>
              <w:jc w:val="center"/>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2</w:t>
            </w:r>
          </w:p>
        </w:tc>
        <w:tc>
          <w:tcPr>
            <w:tcW w:w="4107" w:type="dxa"/>
            <w:gridSpan w:val="2"/>
            <w:tcBorders>
              <w:left w:val="single" w:color="auto" w:sz="4" w:space="0"/>
              <w:bottom w:val="single" w:color="auto" w:sz="4" w:space="0"/>
              <w:right w:val="single" w:color="auto" w:sz="4" w:space="0"/>
            </w:tcBorders>
            <w:noWrap w:val="0"/>
            <w:vAlign w:val="center"/>
          </w:tcPr>
          <w:p w14:paraId="4FBF4EBC">
            <w:pPr>
              <w:spacing w:line="240" w:lineRule="auto"/>
              <w:jc w:val="lef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val="en-US" w:eastAsia="zh-CN"/>
              </w:rPr>
              <w:t>资信因素</w:t>
            </w:r>
            <w:r>
              <w:rPr>
                <w:rFonts w:hint="eastAsia" w:ascii="宋体" w:hAnsi="宋体" w:cs="宋体"/>
                <w:color w:val="auto"/>
                <w:szCs w:val="21"/>
                <w:highlight w:val="none"/>
                <w:u w:val="none"/>
              </w:rPr>
              <w:t>（</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0分）</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FCB3B12">
            <w:pPr>
              <w:spacing w:line="240" w:lineRule="auto"/>
              <w:jc w:val="left"/>
              <w:rPr>
                <w:rFonts w:hint="eastAsia" w:ascii="宋体" w:hAnsi="宋体" w:cs="宋体"/>
                <w:color w:val="auto"/>
                <w:szCs w:val="21"/>
                <w:highlight w:val="none"/>
                <w:u w:val="singl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694CBF8">
            <w:pPr>
              <w:spacing w:line="240" w:lineRule="auto"/>
              <w:jc w:val="left"/>
              <w:rPr>
                <w:rFonts w:hint="eastAsia" w:ascii="宋体" w:hAnsi="宋体" w:cs="宋体"/>
                <w:color w:val="auto"/>
                <w:szCs w:val="21"/>
                <w:highlight w:val="none"/>
                <w:u w:val="singl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0BEA4EE9">
            <w:pPr>
              <w:spacing w:line="240" w:lineRule="auto"/>
              <w:jc w:val="left"/>
              <w:rPr>
                <w:rFonts w:hint="eastAsia" w:ascii="宋体" w:hAnsi="宋体" w:cs="宋体"/>
                <w:color w:val="auto"/>
                <w:szCs w:val="21"/>
                <w:highlight w:val="none"/>
                <w:u w:val="singl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08E4C99">
            <w:pPr>
              <w:spacing w:line="240" w:lineRule="auto"/>
              <w:jc w:val="left"/>
              <w:rPr>
                <w:rFonts w:hint="eastAsia" w:ascii="宋体" w:hAnsi="宋体" w:cs="宋体"/>
                <w:color w:val="auto"/>
                <w:szCs w:val="21"/>
                <w:highlight w:val="none"/>
                <w:u w:val="singl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9CF99C7">
            <w:pPr>
              <w:spacing w:line="240" w:lineRule="auto"/>
              <w:jc w:val="left"/>
              <w:rPr>
                <w:rFonts w:hint="eastAsia" w:ascii="宋体" w:hAnsi="宋体" w:cs="宋体"/>
                <w:color w:val="auto"/>
                <w:szCs w:val="21"/>
                <w:highlight w:val="none"/>
                <w:u w:val="single"/>
              </w:rPr>
            </w:pPr>
          </w:p>
        </w:tc>
      </w:tr>
      <w:tr w14:paraId="23D6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45F89EE">
            <w:pPr>
              <w:jc w:val="center"/>
              <w:rPr>
                <w:rFonts w:hint="default"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3</w:t>
            </w:r>
          </w:p>
        </w:tc>
        <w:tc>
          <w:tcPr>
            <w:tcW w:w="4107" w:type="dxa"/>
            <w:gridSpan w:val="2"/>
            <w:tcBorders>
              <w:top w:val="single" w:color="auto" w:sz="4" w:space="0"/>
              <w:left w:val="single" w:color="auto" w:sz="4" w:space="0"/>
              <w:bottom w:val="single" w:color="auto" w:sz="4" w:space="0"/>
              <w:right w:val="single" w:color="auto" w:sz="4" w:space="0"/>
            </w:tcBorders>
            <w:noWrap w:val="0"/>
            <w:vAlign w:val="center"/>
          </w:tcPr>
          <w:p w14:paraId="65DEACFE">
            <w:pPr>
              <w:spacing w:line="240" w:lineRule="auto"/>
              <w:jc w:val="left"/>
              <w:rPr>
                <w:rFonts w:hint="eastAsia" w:ascii="宋体" w:hAnsi="宋体" w:cs="宋体"/>
                <w:color w:val="auto"/>
                <w:szCs w:val="21"/>
                <w:highlight w:val="none"/>
                <w:u w:val="none"/>
              </w:rPr>
            </w:pPr>
            <w:r>
              <w:rPr>
                <w:rFonts w:hint="eastAsia" w:ascii="宋体" w:hAnsi="宋体" w:cs="宋体"/>
                <w:color w:val="auto"/>
                <w:szCs w:val="21"/>
                <w:highlight w:val="none"/>
                <w:u w:val="none"/>
              </w:rPr>
              <w:t>价格因素（</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0分）</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FD6E3E5">
            <w:pPr>
              <w:spacing w:line="240" w:lineRule="auto"/>
              <w:jc w:val="left"/>
              <w:rPr>
                <w:rFonts w:hint="eastAsia" w:ascii="宋体" w:hAnsi="宋体" w:cs="宋体"/>
                <w:color w:val="auto"/>
                <w:szCs w:val="21"/>
                <w:highlight w:val="none"/>
                <w:u w:val="singl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7E6050D">
            <w:pPr>
              <w:spacing w:line="240" w:lineRule="auto"/>
              <w:jc w:val="left"/>
              <w:rPr>
                <w:rFonts w:hint="eastAsia" w:ascii="宋体" w:hAnsi="宋体" w:cs="宋体"/>
                <w:color w:val="auto"/>
                <w:szCs w:val="21"/>
                <w:highlight w:val="none"/>
                <w:u w:val="singl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26A3ACF9">
            <w:pPr>
              <w:spacing w:line="240" w:lineRule="auto"/>
              <w:jc w:val="left"/>
              <w:rPr>
                <w:rFonts w:hint="eastAsia" w:ascii="宋体" w:hAnsi="宋体" w:cs="宋体"/>
                <w:color w:val="auto"/>
                <w:szCs w:val="21"/>
                <w:highlight w:val="none"/>
                <w:u w:val="singl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C8E58B9">
            <w:pPr>
              <w:spacing w:line="240" w:lineRule="auto"/>
              <w:jc w:val="left"/>
              <w:rPr>
                <w:rFonts w:hint="eastAsia" w:ascii="宋体" w:hAnsi="宋体" w:cs="宋体"/>
                <w:color w:val="auto"/>
                <w:szCs w:val="21"/>
                <w:highlight w:val="none"/>
                <w:u w:val="singl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673CDD5">
            <w:pPr>
              <w:spacing w:line="240" w:lineRule="auto"/>
              <w:jc w:val="left"/>
              <w:rPr>
                <w:rFonts w:hint="eastAsia" w:ascii="宋体" w:hAnsi="宋体" w:cs="宋体"/>
                <w:color w:val="auto"/>
                <w:szCs w:val="21"/>
                <w:highlight w:val="none"/>
                <w:u w:val="single"/>
              </w:rPr>
            </w:pPr>
          </w:p>
        </w:tc>
      </w:tr>
      <w:tr w14:paraId="7419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770" w:type="dxa"/>
            <w:gridSpan w:val="3"/>
            <w:tcBorders>
              <w:top w:val="single" w:color="auto" w:sz="4" w:space="0"/>
              <w:left w:val="single" w:color="auto" w:sz="4" w:space="0"/>
              <w:right w:val="single" w:color="auto" w:sz="4" w:space="0"/>
            </w:tcBorders>
            <w:noWrap w:val="0"/>
            <w:vAlign w:val="center"/>
          </w:tcPr>
          <w:p w14:paraId="63F571FB">
            <w:pPr>
              <w:spacing w:line="240" w:lineRule="auto"/>
              <w:jc w:val="left"/>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合计</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84B1AEB">
            <w:pPr>
              <w:spacing w:line="240" w:lineRule="auto"/>
              <w:jc w:val="left"/>
              <w:rPr>
                <w:rFonts w:hint="eastAsia" w:ascii="宋体" w:hAnsi="宋体" w:cs="宋体"/>
                <w:color w:val="auto"/>
                <w:szCs w:val="21"/>
                <w:highlight w:val="none"/>
                <w:u w:val="singl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A07D336">
            <w:pPr>
              <w:spacing w:line="240" w:lineRule="auto"/>
              <w:jc w:val="left"/>
              <w:rPr>
                <w:rFonts w:hint="eastAsia" w:ascii="宋体" w:hAnsi="宋体" w:cs="宋体"/>
                <w:color w:val="auto"/>
                <w:szCs w:val="21"/>
                <w:highlight w:val="none"/>
                <w:u w:val="singl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2FF72E8A">
            <w:pPr>
              <w:spacing w:line="240" w:lineRule="auto"/>
              <w:jc w:val="left"/>
              <w:rPr>
                <w:rFonts w:hint="eastAsia" w:ascii="宋体" w:hAnsi="宋体" w:cs="宋体"/>
                <w:color w:val="auto"/>
                <w:szCs w:val="21"/>
                <w:highlight w:val="none"/>
                <w:u w:val="singl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F8DC8E7">
            <w:pPr>
              <w:spacing w:line="240" w:lineRule="auto"/>
              <w:jc w:val="left"/>
              <w:rPr>
                <w:rFonts w:hint="eastAsia" w:ascii="宋体" w:hAnsi="宋体" w:cs="宋体"/>
                <w:color w:val="auto"/>
                <w:szCs w:val="21"/>
                <w:highlight w:val="none"/>
                <w:u w:val="singl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018B728">
            <w:pPr>
              <w:spacing w:line="240" w:lineRule="auto"/>
              <w:jc w:val="left"/>
              <w:rPr>
                <w:rFonts w:hint="eastAsia" w:ascii="宋体" w:hAnsi="宋体" w:cs="宋体"/>
                <w:color w:val="auto"/>
                <w:szCs w:val="21"/>
                <w:highlight w:val="none"/>
                <w:u w:val="single"/>
              </w:rPr>
            </w:pPr>
          </w:p>
        </w:tc>
      </w:tr>
    </w:tbl>
    <w:p w14:paraId="713135C7">
      <w:pPr>
        <w:wordWrap w:val="0"/>
        <w:rPr>
          <w:rFonts w:hint="eastAsia" w:ascii="宋体" w:hAnsi="宋体" w:cs="宋体"/>
          <w:color w:val="auto"/>
          <w:szCs w:val="21"/>
          <w:highlight w:val="none"/>
        </w:rPr>
      </w:pPr>
    </w:p>
    <w:p w14:paraId="1B7F85DD">
      <w:pPr>
        <w:wordWrap w:val="0"/>
        <w:rPr>
          <w:rFonts w:hint="eastAsia" w:ascii="宋体" w:hAnsi="宋体" w:cs="宋体"/>
          <w:color w:val="auto"/>
          <w:szCs w:val="21"/>
          <w:highlight w:val="none"/>
        </w:rPr>
      </w:pPr>
      <w:r>
        <w:rPr>
          <w:rFonts w:hint="eastAsia" w:ascii="宋体" w:hAnsi="宋体" w:cs="宋体"/>
          <w:color w:val="auto"/>
          <w:szCs w:val="21"/>
          <w:highlight w:val="none"/>
        </w:rPr>
        <w:t>定标委员签名：                                            日期：</w:t>
      </w:r>
    </w:p>
    <w:p w14:paraId="20C9FA86">
      <w:pPr>
        <w:wordWrap w:val="0"/>
        <w:rPr>
          <w:rFonts w:hint="eastAsia" w:ascii="宋体" w:hAnsi="宋体" w:cs="宋体"/>
          <w:color w:val="auto"/>
          <w:szCs w:val="21"/>
          <w:highlight w:val="none"/>
        </w:rPr>
      </w:pPr>
    </w:p>
    <w:p w14:paraId="754C5296">
      <w:pPr>
        <w:spacing w:line="360" w:lineRule="auto"/>
        <w:jc w:val="left"/>
        <w:rPr>
          <w:rFonts w:hint="eastAsia" w:ascii="宋体" w:hAnsi="宋体" w:cs="宋体"/>
          <w:b/>
          <w:bCs/>
          <w:color w:val="auto"/>
          <w:highlight w:val="none"/>
        </w:rPr>
      </w:pPr>
      <w:r>
        <w:rPr>
          <w:rFonts w:ascii="宋体" w:hAnsi="宋体" w:cs="宋体"/>
          <w:b/>
          <w:bCs/>
          <w:color w:val="auto"/>
          <w:sz w:val="24"/>
          <w:szCs w:val="24"/>
          <w:highlight w:val="none"/>
        </w:rPr>
        <w:br w:type="page"/>
      </w: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五</w:t>
      </w:r>
    </w:p>
    <w:p w14:paraId="1F984520">
      <w:pPr>
        <w:pStyle w:val="8"/>
        <w:jc w:val="center"/>
        <w:rPr>
          <w:rFonts w:hint="eastAsia" w:ascii="宋体" w:hAnsi="宋体"/>
          <w:b/>
          <w:color w:val="auto"/>
          <w:sz w:val="28"/>
          <w:szCs w:val="24"/>
          <w:highlight w:val="none"/>
        </w:rPr>
      </w:pPr>
      <w:r>
        <w:rPr>
          <w:rFonts w:hint="eastAsia" w:ascii="宋体" w:hAnsi="宋体"/>
          <w:b/>
          <w:color w:val="auto"/>
          <w:sz w:val="28"/>
          <w:szCs w:val="24"/>
          <w:highlight w:val="none"/>
        </w:rPr>
        <w:t>定标评分汇总表</w:t>
      </w:r>
    </w:p>
    <w:p w14:paraId="5C713B26">
      <w:pPr>
        <w:pStyle w:val="8"/>
        <w:jc w:val="left"/>
        <w:rPr>
          <w:rFonts w:hint="eastAsia"/>
          <w:color w:val="auto"/>
          <w:highlight w:val="none"/>
        </w:rPr>
      </w:pPr>
      <w:r>
        <w:rPr>
          <w:rFonts w:hint="eastAsia" w:ascii="宋体" w:hAnsi="宋体"/>
          <w:b/>
          <w:color w:val="auto"/>
          <w:sz w:val="24"/>
          <w:highlight w:val="none"/>
          <w:lang w:val="en-US" w:eastAsia="zh-CN"/>
        </w:rPr>
        <w:t>项目名称：</w:t>
      </w:r>
    </w:p>
    <w:tbl>
      <w:tblPr>
        <w:tblStyle w:val="18"/>
        <w:tblW w:w="99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
        <w:gridCol w:w="2882"/>
        <w:gridCol w:w="1058"/>
        <w:gridCol w:w="1004"/>
        <w:gridCol w:w="992"/>
        <w:gridCol w:w="1048"/>
        <w:gridCol w:w="992"/>
        <w:gridCol w:w="1233"/>
      </w:tblGrid>
      <w:tr w14:paraId="7172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3E01E90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D31C37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合格的</w:t>
            </w:r>
            <w:r>
              <w:rPr>
                <w:rFonts w:hint="eastAsia" w:ascii="宋体" w:hAnsi="宋体" w:eastAsia="宋体" w:cs="宋体"/>
                <w:b/>
                <w:bCs/>
                <w:i w:val="0"/>
                <w:iCs w:val="0"/>
                <w:color w:val="auto"/>
                <w:kern w:val="0"/>
                <w:sz w:val="24"/>
                <w:szCs w:val="24"/>
                <w:highlight w:val="none"/>
                <w:u w:val="none"/>
                <w:lang w:val="en-US" w:eastAsia="zh-CN" w:bidi="ar"/>
              </w:rPr>
              <w:t>中标候选人</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FD1EE6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定标委员1</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BACDF2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定标委员2</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BAD8ED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定标委员3</w:t>
            </w: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789F01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定标委员4</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944BB7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定标委员5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5218968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总得分</w:t>
            </w:r>
          </w:p>
        </w:tc>
      </w:tr>
      <w:tr w14:paraId="776E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3335C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9BA360E">
            <w:pPr>
              <w:jc w:val="center"/>
              <w:rPr>
                <w:rFonts w:hint="eastAsia" w:ascii="宋体" w:hAnsi="宋体" w:eastAsia="宋体" w:cs="宋体"/>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00B3871">
            <w:pPr>
              <w:jc w:val="center"/>
              <w:rPr>
                <w:rFonts w:hint="eastAsia" w:ascii="宋体" w:hAnsi="宋体" w:eastAsia="宋体" w:cs="宋体"/>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C80F99B">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1B58C0">
            <w:pPr>
              <w:jc w:val="center"/>
              <w:rPr>
                <w:rFonts w:hint="eastAsia" w:ascii="宋体" w:hAnsi="宋体" w:eastAsia="宋体" w:cs="宋体"/>
                <w:i w:val="0"/>
                <w:iCs w:val="0"/>
                <w:color w:val="auto"/>
                <w:sz w:val="24"/>
                <w:szCs w:val="24"/>
                <w:highlight w:val="none"/>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D494E67">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B63004">
            <w:pPr>
              <w:jc w:val="center"/>
              <w:rPr>
                <w:rFonts w:hint="eastAsia" w:ascii="宋体" w:hAnsi="宋体" w:eastAsia="宋体" w:cs="宋体"/>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E8F62E7">
            <w:pPr>
              <w:jc w:val="center"/>
              <w:rPr>
                <w:rFonts w:hint="eastAsia" w:ascii="宋体" w:hAnsi="宋体" w:eastAsia="宋体" w:cs="宋体"/>
                <w:i w:val="0"/>
                <w:iCs w:val="0"/>
                <w:color w:val="auto"/>
                <w:sz w:val="24"/>
                <w:szCs w:val="24"/>
                <w:highlight w:val="none"/>
                <w:u w:val="none"/>
              </w:rPr>
            </w:pPr>
          </w:p>
        </w:tc>
      </w:tr>
      <w:tr w14:paraId="5868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2E06B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657E2CC">
            <w:pPr>
              <w:jc w:val="center"/>
              <w:rPr>
                <w:rFonts w:hint="eastAsia" w:ascii="宋体" w:hAnsi="宋体" w:eastAsia="宋体" w:cs="宋体"/>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ED4299C">
            <w:pPr>
              <w:jc w:val="center"/>
              <w:rPr>
                <w:rFonts w:hint="eastAsia" w:ascii="宋体" w:hAnsi="宋体" w:eastAsia="宋体" w:cs="宋体"/>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C9B2832">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E909BD2">
            <w:pPr>
              <w:jc w:val="center"/>
              <w:rPr>
                <w:rFonts w:hint="eastAsia" w:ascii="宋体" w:hAnsi="宋体" w:eastAsia="宋体" w:cs="宋体"/>
                <w:i w:val="0"/>
                <w:iCs w:val="0"/>
                <w:color w:val="auto"/>
                <w:sz w:val="24"/>
                <w:szCs w:val="24"/>
                <w:highlight w:val="none"/>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03F21E4D">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FF3CAA0">
            <w:pPr>
              <w:jc w:val="center"/>
              <w:rPr>
                <w:rFonts w:hint="eastAsia" w:ascii="宋体" w:hAnsi="宋体" w:eastAsia="宋体" w:cs="宋体"/>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70F11C9">
            <w:pPr>
              <w:jc w:val="center"/>
              <w:rPr>
                <w:rFonts w:hint="eastAsia" w:ascii="宋体" w:hAnsi="宋体" w:eastAsia="宋体" w:cs="宋体"/>
                <w:i w:val="0"/>
                <w:iCs w:val="0"/>
                <w:color w:val="auto"/>
                <w:sz w:val="24"/>
                <w:szCs w:val="24"/>
                <w:highlight w:val="none"/>
                <w:u w:val="none"/>
              </w:rPr>
            </w:pPr>
          </w:p>
        </w:tc>
      </w:tr>
      <w:tr w14:paraId="0CA0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791220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6211C93">
            <w:pPr>
              <w:jc w:val="center"/>
              <w:rPr>
                <w:rFonts w:hint="eastAsia" w:ascii="宋体" w:hAnsi="宋体" w:eastAsia="宋体" w:cs="宋体"/>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2DEE92E">
            <w:pPr>
              <w:jc w:val="center"/>
              <w:rPr>
                <w:rFonts w:hint="eastAsia" w:ascii="宋体" w:hAnsi="宋体" w:eastAsia="宋体" w:cs="宋体"/>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B3BB52B">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CA8945D">
            <w:pPr>
              <w:jc w:val="center"/>
              <w:rPr>
                <w:rFonts w:hint="eastAsia" w:ascii="宋体" w:hAnsi="宋体" w:eastAsia="宋体" w:cs="宋体"/>
                <w:i w:val="0"/>
                <w:iCs w:val="0"/>
                <w:color w:val="auto"/>
                <w:sz w:val="24"/>
                <w:szCs w:val="24"/>
                <w:highlight w:val="none"/>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20D3712">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970EEE9">
            <w:pPr>
              <w:jc w:val="center"/>
              <w:rPr>
                <w:rFonts w:hint="eastAsia" w:ascii="宋体" w:hAnsi="宋体" w:eastAsia="宋体" w:cs="宋体"/>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D27064D">
            <w:pPr>
              <w:jc w:val="center"/>
              <w:rPr>
                <w:rFonts w:hint="eastAsia" w:ascii="宋体" w:hAnsi="宋体" w:eastAsia="宋体" w:cs="宋体"/>
                <w:i w:val="0"/>
                <w:iCs w:val="0"/>
                <w:color w:val="auto"/>
                <w:sz w:val="24"/>
                <w:szCs w:val="24"/>
                <w:highlight w:val="none"/>
                <w:u w:val="none"/>
              </w:rPr>
            </w:pPr>
          </w:p>
        </w:tc>
      </w:tr>
      <w:tr w14:paraId="1B62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4EB26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F924BD8">
            <w:pPr>
              <w:jc w:val="center"/>
              <w:rPr>
                <w:rFonts w:hint="eastAsia" w:ascii="宋体" w:hAnsi="宋体" w:eastAsia="宋体" w:cs="宋体"/>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513FB6B">
            <w:pPr>
              <w:jc w:val="center"/>
              <w:rPr>
                <w:rFonts w:hint="eastAsia" w:ascii="宋体" w:hAnsi="宋体" w:eastAsia="宋体" w:cs="宋体"/>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4370C00">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D60D79A">
            <w:pPr>
              <w:jc w:val="center"/>
              <w:rPr>
                <w:rFonts w:hint="eastAsia" w:ascii="宋体" w:hAnsi="宋体" w:eastAsia="宋体" w:cs="宋体"/>
                <w:i w:val="0"/>
                <w:iCs w:val="0"/>
                <w:color w:val="auto"/>
                <w:sz w:val="24"/>
                <w:szCs w:val="24"/>
                <w:highlight w:val="none"/>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5083C62">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8D17907">
            <w:pPr>
              <w:jc w:val="center"/>
              <w:rPr>
                <w:rFonts w:hint="eastAsia" w:ascii="宋体" w:hAnsi="宋体" w:eastAsia="宋体" w:cs="宋体"/>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097FB81">
            <w:pPr>
              <w:jc w:val="center"/>
              <w:rPr>
                <w:rFonts w:hint="eastAsia" w:ascii="宋体" w:hAnsi="宋体" w:eastAsia="宋体" w:cs="宋体"/>
                <w:i w:val="0"/>
                <w:iCs w:val="0"/>
                <w:color w:val="auto"/>
                <w:sz w:val="24"/>
                <w:szCs w:val="24"/>
                <w:highlight w:val="none"/>
                <w:u w:val="none"/>
              </w:rPr>
            </w:pPr>
          </w:p>
        </w:tc>
      </w:tr>
      <w:tr w14:paraId="02FF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78F56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1025665">
            <w:pPr>
              <w:jc w:val="center"/>
              <w:rPr>
                <w:rFonts w:hint="eastAsia" w:ascii="宋体" w:hAnsi="宋体" w:eastAsia="宋体" w:cs="宋体"/>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7B0EDF8">
            <w:pPr>
              <w:jc w:val="center"/>
              <w:rPr>
                <w:rFonts w:hint="eastAsia" w:ascii="宋体" w:hAnsi="宋体" w:eastAsia="宋体" w:cs="宋体"/>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2621CA4">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DC4711A">
            <w:pPr>
              <w:jc w:val="center"/>
              <w:rPr>
                <w:rFonts w:hint="eastAsia" w:ascii="宋体" w:hAnsi="宋体" w:eastAsia="宋体" w:cs="宋体"/>
                <w:i w:val="0"/>
                <w:iCs w:val="0"/>
                <w:color w:val="auto"/>
                <w:sz w:val="24"/>
                <w:szCs w:val="24"/>
                <w:highlight w:val="none"/>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92EE4A9">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17F5988">
            <w:pPr>
              <w:jc w:val="center"/>
              <w:rPr>
                <w:rFonts w:hint="eastAsia" w:ascii="宋体" w:hAnsi="宋体" w:eastAsia="宋体" w:cs="宋体"/>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9B3AC6D">
            <w:pPr>
              <w:jc w:val="center"/>
              <w:rPr>
                <w:rFonts w:hint="eastAsia" w:ascii="宋体" w:hAnsi="宋体" w:eastAsia="宋体" w:cs="宋体"/>
                <w:i w:val="0"/>
                <w:iCs w:val="0"/>
                <w:color w:val="auto"/>
                <w:sz w:val="24"/>
                <w:szCs w:val="24"/>
                <w:highlight w:val="none"/>
                <w:u w:val="none"/>
              </w:rPr>
            </w:pPr>
          </w:p>
        </w:tc>
      </w:tr>
    </w:tbl>
    <w:p w14:paraId="6D1858F7">
      <w:pPr>
        <w:pStyle w:val="8"/>
        <w:rPr>
          <w:rFonts w:hint="default" w:eastAsia="宋体"/>
          <w:color w:val="auto"/>
          <w:highlight w:val="none"/>
          <w:lang w:val="en-US" w:eastAsia="zh-CN"/>
        </w:rPr>
      </w:pPr>
    </w:p>
    <w:p w14:paraId="1483ECE6">
      <w:pPr>
        <w:wordWrap w:val="0"/>
        <w:rPr>
          <w:rFonts w:hint="eastAsia" w:ascii="宋体" w:hAnsi="宋体" w:cs="宋体"/>
          <w:color w:val="auto"/>
          <w:szCs w:val="21"/>
          <w:highlight w:val="none"/>
        </w:rPr>
      </w:pPr>
      <w:r>
        <w:rPr>
          <w:rFonts w:hint="eastAsia" w:ascii="宋体" w:hAnsi="宋体" w:cs="宋体"/>
          <w:color w:val="auto"/>
          <w:szCs w:val="21"/>
          <w:highlight w:val="none"/>
        </w:rPr>
        <w:t>定标委员</w:t>
      </w:r>
      <w:r>
        <w:rPr>
          <w:rFonts w:hint="eastAsia" w:ascii="宋体" w:hAnsi="宋体" w:cs="宋体"/>
          <w:color w:val="auto"/>
          <w:szCs w:val="21"/>
          <w:highlight w:val="none"/>
          <w:lang w:val="en-US" w:eastAsia="zh-CN"/>
        </w:rPr>
        <w:t>会</w:t>
      </w:r>
      <w:r>
        <w:rPr>
          <w:rFonts w:hint="eastAsia" w:ascii="宋体" w:hAnsi="宋体" w:cs="宋体"/>
          <w:color w:val="auto"/>
          <w:szCs w:val="21"/>
          <w:highlight w:val="none"/>
        </w:rPr>
        <w:t>签名：                                      日期：</w:t>
      </w:r>
      <w:r>
        <w:rPr>
          <w:rFonts w:hint="eastAsia" w:ascii="宋体" w:hAnsi="宋体" w:cs="宋体"/>
          <w:color w:val="auto"/>
          <w:sz w:val="24"/>
          <w:szCs w:val="24"/>
          <w:highlight w:val="none"/>
          <w:u w:val="none"/>
          <w:lang w:val="en-US" w:eastAsia="zh-CN"/>
        </w:rPr>
        <w:t xml:space="preserve">  年    月   日</w:t>
      </w:r>
    </w:p>
    <w:p w14:paraId="016CA151">
      <w:pPr>
        <w:pStyle w:val="11"/>
        <w:spacing w:line="360" w:lineRule="auto"/>
        <w:jc w:val="center"/>
        <w:rPr>
          <w:rFonts w:hint="eastAsia" w:hAnsi="宋体"/>
          <w:b/>
          <w:color w:val="auto"/>
          <w:sz w:val="32"/>
          <w:szCs w:val="32"/>
          <w:highlight w:val="none"/>
        </w:rPr>
      </w:pPr>
    </w:p>
    <w:p w14:paraId="646EF0E4">
      <w:pPr>
        <w:wordWrap w:val="0"/>
        <w:rPr>
          <w:rFonts w:hint="eastAsia" w:ascii="宋体" w:hAnsi="宋体" w:cs="宋体"/>
          <w:color w:val="auto"/>
          <w:szCs w:val="21"/>
          <w:highlight w:val="none"/>
        </w:rPr>
      </w:pPr>
      <w:r>
        <w:rPr>
          <w:rFonts w:hint="eastAsia" w:ascii="宋体" w:hAnsi="宋体" w:cs="宋体"/>
          <w:color w:val="auto"/>
          <w:szCs w:val="21"/>
          <w:highlight w:val="none"/>
        </w:rPr>
        <w:br w:type="page"/>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71FAB81A">
      <w:pPr>
        <w:pStyle w:val="14"/>
        <w:spacing w:before="0" w:after="0" w:line="360" w:lineRule="auto"/>
        <w:jc w:val="center"/>
        <w:rPr>
          <w:rFonts w:hint="eastAsia" w:ascii="宋体" w:hAnsi="宋体"/>
          <w:color w:val="auto"/>
          <w:sz w:val="28"/>
          <w:szCs w:val="28"/>
          <w:highlight w:val="none"/>
        </w:rPr>
      </w:pPr>
      <w:bookmarkStart w:id="1079" w:name="_Toc17999"/>
      <w:bookmarkStart w:id="1080" w:name="_Toc21185"/>
      <w:bookmarkStart w:id="1081" w:name="_Toc27985"/>
      <w:bookmarkStart w:id="1082" w:name="_Toc356306516"/>
      <w:bookmarkStart w:id="1083" w:name="_Toc15305"/>
      <w:bookmarkStart w:id="1084" w:name="_Toc25006"/>
      <w:bookmarkStart w:id="1085" w:name="_Toc26600"/>
      <w:bookmarkStart w:id="1086" w:name="_Toc485211107"/>
      <w:bookmarkStart w:id="1087" w:name="_Toc20372"/>
      <w:r>
        <w:rPr>
          <w:rFonts w:hint="eastAsia" w:ascii="宋体" w:hAnsi="宋体"/>
          <w:color w:val="auto"/>
          <w:sz w:val="28"/>
          <w:szCs w:val="28"/>
          <w:highlight w:val="none"/>
        </w:rPr>
        <w:t>第三章 合同条款</w:t>
      </w:r>
      <w:bookmarkEnd w:id="1079"/>
      <w:bookmarkEnd w:id="1080"/>
      <w:bookmarkEnd w:id="1081"/>
      <w:bookmarkEnd w:id="1082"/>
      <w:bookmarkEnd w:id="1083"/>
      <w:bookmarkEnd w:id="1084"/>
      <w:bookmarkEnd w:id="1085"/>
      <w:bookmarkEnd w:id="1086"/>
      <w:r>
        <w:rPr>
          <w:rFonts w:hint="eastAsia" w:ascii="宋体" w:hAnsi="宋体"/>
          <w:color w:val="auto"/>
          <w:sz w:val="28"/>
          <w:szCs w:val="28"/>
          <w:highlight w:val="none"/>
        </w:rPr>
        <w:t>及格式</w:t>
      </w:r>
      <w:bookmarkEnd w:id="1087"/>
    </w:p>
    <w:p w14:paraId="7C1A1967">
      <w:pPr>
        <w:spacing w:line="360" w:lineRule="auto"/>
        <w:jc w:val="center"/>
        <w:rPr>
          <w:rFonts w:hint="eastAsia" w:ascii="宋体" w:hAnsi="宋体" w:cs="宋体"/>
          <w:color w:val="auto"/>
          <w:sz w:val="28"/>
          <w:szCs w:val="28"/>
          <w:highlight w:val="none"/>
        </w:rPr>
      </w:pPr>
      <w:r>
        <w:rPr>
          <w:rFonts w:hint="eastAsia" w:ascii="宋体" w:hAnsi="宋体" w:cs="宋体"/>
          <w:b/>
          <w:color w:val="auto"/>
          <w:sz w:val="24"/>
          <w:szCs w:val="24"/>
          <w:highlight w:val="none"/>
        </w:rPr>
        <w:t>（另册）</w:t>
      </w:r>
    </w:p>
    <w:p w14:paraId="36E59D5F">
      <w:pPr>
        <w:pStyle w:val="14"/>
        <w:spacing w:before="0" w:after="0" w:line="360" w:lineRule="auto"/>
        <w:jc w:val="center"/>
        <w:rPr>
          <w:rFonts w:hint="eastAsia" w:ascii="宋体" w:hAnsi="宋体"/>
          <w:color w:val="auto"/>
          <w:sz w:val="28"/>
          <w:szCs w:val="28"/>
          <w:highlight w:val="none"/>
        </w:rPr>
      </w:pPr>
      <w:r>
        <w:rPr>
          <w:rFonts w:hint="eastAsia" w:ascii="宋体" w:hAnsi="宋体" w:cs="宋体"/>
          <w:color w:val="auto"/>
          <w:sz w:val="28"/>
          <w:szCs w:val="28"/>
          <w:highlight w:val="none"/>
        </w:rPr>
        <w:br w:type="page"/>
      </w:r>
      <w:bookmarkStart w:id="1088" w:name="_Toc23508"/>
      <w:bookmarkStart w:id="1089" w:name="_Toc13085"/>
      <w:bookmarkStart w:id="1090" w:name="_Toc485211108"/>
      <w:bookmarkStart w:id="1091" w:name="_Toc20279"/>
      <w:bookmarkStart w:id="1092" w:name="_Toc16503"/>
      <w:bookmarkStart w:id="1093" w:name="_Toc8204"/>
      <w:bookmarkStart w:id="1094" w:name="_Toc8354"/>
      <w:bookmarkStart w:id="1095" w:name="_Toc31278"/>
      <w:r>
        <w:rPr>
          <w:rFonts w:hint="eastAsia" w:ascii="宋体" w:hAnsi="宋体" w:cs="宋体"/>
          <w:color w:val="auto"/>
          <w:sz w:val="28"/>
          <w:szCs w:val="28"/>
          <w:highlight w:val="none"/>
        </w:rPr>
        <w:t xml:space="preserve">第四章 </w:t>
      </w:r>
      <w:r>
        <w:rPr>
          <w:rFonts w:hint="eastAsia" w:ascii="宋体" w:hAnsi="宋体"/>
          <w:color w:val="auto"/>
          <w:sz w:val="28"/>
          <w:szCs w:val="28"/>
          <w:highlight w:val="none"/>
        </w:rPr>
        <w:t>发包人要求</w:t>
      </w:r>
      <w:bookmarkEnd w:id="1088"/>
      <w:bookmarkEnd w:id="1089"/>
      <w:bookmarkEnd w:id="1090"/>
      <w:bookmarkEnd w:id="1091"/>
      <w:bookmarkEnd w:id="1092"/>
      <w:bookmarkEnd w:id="1093"/>
      <w:bookmarkEnd w:id="1094"/>
      <w:bookmarkEnd w:id="1095"/>
    </w:p>
    <w:p w14:paraId="452E5C54">
      <w:pPr>
        <w:kinsoku w:val="0"/>
        <w:overflowPunct w:val="0"/>
        <w:snapToGrid w:val="0"/>
        <w:spacing w:after="120" w:line="348" w:lineRule="auto"/>
        <w:jc w:val="left"/>
        <w:rPr>
          <w:rFonts w:hint="eastAsia" w:ascii="宋体" w:hAnsi="宋体" w:cs="宋体"/>
          <w:b/>
          <w:bCs/>
          <w:color w:val="auto"/>
          <w:kern w:val="44"/>
          <w:sz w:val="24"/>
          <w:szCs w:val="24"/>
          <w:highlight w:val="none"/>
        </w:rPr>
      </w:pPr>
      <w:bookmarkStart w:id="1096" w:name="_Toc4169"/>
      <w:r>
        <w:rPr>
          <w:rFonts w:hint="eastAsia" w:ascii="宋体" w:hAnsi="宋体" w:cs="宋体"/>
          <w:b/>
          <w:bCs/>
          <w:color w:val="auto"/>
          <w:kern w:val="44"/>
          <w:sz w:val="24"/>
          <w:szCs w:val="24"/>
          <w:highlight w:val="none"/>
          <w:lang w:val="en-US" w:eastAsia="zh-CN"/>
        </w:rPr>
        <w:t>一.设计任务书</w:t>
      </w:r>
      <w:r>
        <w:rPr>
          <w:rFonts w:hint="eastAsia" w:ascii="宋体" w:hAnsi="宋体" w:cs="宋体"/>
          <w:b/>
          <w:bCs/>
          <w:color w:val="auto"/>
          <w:kern w:val="44"/>
          <w:sz w:val="24"/>
          <w:szCs w:val="24"/>
          <w:highlight w:val="none"/>
        </w:rPr>
        <w:t>（另册）</w:t>
      </w:r>
    </w:p>
    <w:p w14:paraId="4E3349C3">
      <w:pPr>
        <w:kinsoku w:val="0"/>
        <w:overflowPunct w:val="0"/>
        <w:snapToGrid w:val="0"/>
        <w:spacing w:after="120" w:line="348" w:lineRule="auto"/>
        <w:jc w:val="left"/>
        <w:rPr>
          <w:rFonts w:hint="eastAsia" w:ascii="宋体" w:hAnsi="宋体" w:eastAsia="宋体" w:cs="宋体"/>
          <w:b/>
          <w:bCs/>
          <w:color w:val="auto"/>
          <w:kern w:val="44"/>
          <w:sz w:val="24"/>
          <w:szCs w:val="24"/>
          <w:highlight w:val="none"/>
          <w:lang w:val="en-US" w:eastAsia="zh-CN"/>
        </w:rPr>
      </w:pPr>
      <w:r>
        <w:rPr>
          <w:rFonts w:hint="eastAsia" w:ascii="宋体" w:hAnsi="宋体" w:eastAsia="宋体" w:cs="宋体"/>
          <w:b/>
          <w:bCs/>
          <w:color w:val="auto"/>
          <w:kern w:val="44"/>
          <w:sz w:val="24"/>
          <w:szCs w:val="24"/>
          <w:highlight w:val="none"/>
          <w:lang w:val="en-US" w:eastAsia="zh-CN"/>
        </w:rPr>
        <w:t>二、施工现场建筑垃圾源头减量的具体要求和建筑垃圾综合利用产品的使用要求：</w:t>
      </w:r>
    </w:p>
    <w:p w14:paraId="7420CD08">
      <w:pPr>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EEA2DCB">
      <w:pPr>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2.建筑垃圾应当按照国家有关规定进行分类，实行分类收集、分类贮存、分类运输、分类处置。</w:t>
      </w:r>
    </w:p>
    <w:p w14:paraId="3A2A3491">
      <w:pPr>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11C40AB4">
      <w:pPr>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62215DE1">
      <w:pPr>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5.工程泥浆应当在施工现场进行脱水固化处理。施工现场不具备条件的，应当采用罐装器具密闭运输至依法设置的建筑垃圾处置场所进行处置。水上工程中依法无需经脱水处理的除外。</w:t>
      </w:r>
    </w:p>
    <w:p w14:paraId="2AA9BB1B">
      <w:pPr>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1C9813E7">
      <w:pPr>
        <w:spacing w:line="348" w:lineRule="auto"/>
        <w:jc w:val="both"/>
        <w:rPr>
          <w:rFonts w:hint="default" w:ascii="宋体" w:hAnsi="宋体" w:cs="宋体"/>
          <w:b w:val="0"/>
          <w:color w:val="auto"/>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7.建设单位和施工单位严格遵守并执行《广东省建筑垃圾管理条例》。</w:t>
      </w:r>
      <w:bookmarkEnd w:id="1096"/>
    </w:p>
    <w:p w14:paraId="48EC78BE">
      <w:pPr>
        <w:pStyle w:val="14"/>
        <w:spacing w:before="0" w:after="0" w:line="360" w:lineRule="auto"/>
        <w:jc w:val="center"/>
        <w:rPr>
          <w:rFonts w:hint="eastAsia" w:ascii="宋体" w:hAnsi="宋体" w:cs="宋体"/>
          <w:color w:val="auto"/>
          <w:sz w:val="28"/>
          <w:szCs w:val="28"/>
          <w:highlight w:val="none"/>
        </w:rPr>
      </w:pPr>
      <w:bookmarkStart w:id="1097" w:name="_Toc26938"/>
      <w:bookmarkStart w:id="1098" w:name="_Toc3543"/>
      <w:bookmarkStart w:id="1099" w:name="_Toc420050330"/>
      <w:bookmarkStart w:id="1100" w:name="_Toc15671"/>
      <w:bookmarkStart w:id="1101" w:name="_Toc7842"/>
      <w:bookmarkStart w:id="1102" w:name="_Toc32560"/>
      <w:bookmarkStart w:id="1103" w:name="_Toc416358022"/>
      <w:r>
        <w:rPr>
          <w:rFonts w:hint="eastAsia" w:ascii="宋体" w:hAnsi="宋体" w:cs="宋体"/>
          <w:color w:val="auto"/>
          <w:sz w:val="28"/>
          <w:szCs w:val="28"/>
          <w:highlight w:val="none"/>
        </w:rPr>
        <w:t>第五章 工程量清单</w:t>
      </w:r>
      <w:bookmarkEnd w:id="1097"/>
      <w:bookmarkEnd w:id="1098"/>
      <w:bookmarkEnd w:id="1099"/>
      <w:bookmarkEnd w:id="1100"/>
      <w:bookmarkEnd w:id="1101"/>
      <w:bookmarkEnd w:id="1102"/>
      <w:bookmarkEnd w:id="1103"/>
    </w:p>
    <w:p w14:paraId="6B0639BB">
      <w:pPr>
        <w:pStyle w:val="14"/>
        <w:spacing w:before="0" w:after="0" w:line="360" w:lineRule="auto"/>
        <w:jc w:val="center"/>
        <w:rPr>
          <w:color w:val="auto"/>
          <w:highlight w:val="none"/>
        </w:rPr>
      </w:pPr>
      <w:bookmarkStart w:id="1104" w:name="RANGE_A1_G14"/>
      <w:bookmarkEnd w:id="1104"/>
      <w:r>
        <w:rPr>
          <w:rFonts w:hint="eastAsia" w:ascii="宋体" w:hAnsi="宋体" w:cs="宋体"/>
          <w:color w:val="auto"/>
          <w:sz w:val="28"/>
          <w:szCs w:val="28"/>
          <w:highlight w:val="none"/>
          <w:lang w:val="en-US" w:eastAsia="zh-CN"/>
        </w:rPr>
        <w:t>本项目招标阶段不提供工程量清单。</w:t>
      </w:r>
      <w:bookmarkStart w:id="1105" w:name="_Toc3424"/>
      <w:bookmarkStart w:id="1106" w:name="_Toc5789"/>
      <w:bookmarkStart w:id="1107" w:name="_Toc420050331"/>
      <w:bookmarkStart w:id="1108" w:name="_Toc6393"/>
      <w:bookmarkStart w:id="1109" w:name="_Toc416358023"/>
      <w:bookmarkStart w:id="1110" w:name="_Toc14113"/>
    </w:p>
    <w:p w14:paraId="0E1E67A1">
      <w:pPr>
        <w:rPr>
          <w:color w:val="auto"/>
          <w:highlight w:val="none"/>
        </w:rPr>
      </w:pPr>
      <w:r>
        <w:rPr>
          <w:color w:val="auto"/>
          <w:highlight w:val="none"/>
        </w:rPr>
        <w:br w:type="page"/>
      </w:r>
    </w:p>
    <w:p w14:paraId="3CF696DC">
      <w:pPr>
        <w:rPr>
          <w:rFonts w:hint="eastAsia"/>
          <w:color w:val="auto"/>
          <w:highlight w:val="none"/>
        </w:rPr>
      </w:pPr>
    </w:p>
    <w:bookmarkEnd w:id="1105"/>
    <w:bookmarkEnd w:id="1106"/>
    <w:bookmarkEnd w:id="1107"/>
    <w:bookmarkEnd w:id="1108"/>
    <w:bookmarkEnd w:id="1109"/>
    <w:bookmarkEnd w:id="1110"/>
    <w:p w14:paraId="673B5B20">
      <w:pPr>
        <w:pStyle w:val="14"/>
        <w:numPr>
          <w:ilvl w:val="0"/>
          <w:numId w:val="2"/>
        </w:numPr>
        <w:spacing w:before="0" w:after="0" w:line="360" w:lineRule="auto"/>
        <w:jc w:val="center"/>
        <w:rPr>
          <w:rFonts w:hint="eastAsia" w:ascii="宋体" w:hAnsi="宋体" w:cs="宋体"/>
          <w:color w:val="auto"/>
          <w:sz w:val="28"/>
          <w:szCs w:val="28"/>
          <w:highlight w:val="none"/>
        </w:rPr>
      </w:pPr>
      <w:bookmarkStart w:id="1111" w:name="_Toc16057"/>
      <w:bookmarkStart w:id="1112" w:name="_Toc144974855"/>
      <w:bookmarkStart w:id="1113" w:name="_Toc4298"/>
      <w:bookmarkStart w:id="1114" w:name="_Toc24744"/>
      <w:bookmarkStart w:id="1115" w:name="_Toc247527826"/>
      <w:bookmarkStart w:id="1116" w:name="_Toc27623"/>
      <w:bookmarkStart w:id="1117" w:name="_Toc14218"/>
      <w:bookmarkStart w:id="1118" w:name="_Toc152042575"/>
      <w:bookmarkStart w:id="1119" w:name="_Toc485211111"/>
      <w:bookmarkStart w:id="1120" w:name="_Toc28106"/>
      <w:bookmarkStart w:id="1121" w:name="_Toc152045786"/>
      <w:bookmarkStart w:id="1122" w:name="_Toc247514245"/>
      <w:bookmarkStart w:id="1123" w:name="_Toc1869"/>
      <w:r>
        <w:rPr>
          <w:rFonts w:hint="eastAsia" w:ascii="宋体" w:hAnsi="宋体" w:cs="宋体"/>
          <w:color w:val="auto"/>
          <w:sz w:val="28"/>
          <w:szCs w:val="28"/>
          <w:highlight w:val="none"/>
        </w:rPr>
        <w:t>投标文件格式</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76CB639A">
      <w:pPr>
        <w:pStyle w:val="27"/>
        <w:spacing w:beforeLines="0" w:afterLines="0" w:line="360" w:lineRule="auto"/>
        <w:rPr>
          <w:rFonts w:hint="eastAsia" w:ascii="宋体" w:eastAsia="宋体" w:cs="宋体"/>
          <w:color w:val="auto"/>
          <w:highlight w:val="none"/>
        </w:rPr>
      </w:pPr>
      <w:r>
        <w:rPr>
          <w:rFonts w:hint="eastAsia" w:ascii="宋体" w:hAnsi="宋体" w:eastAsia="宋体" w:cs="宋体"/>
          <w:color w:val="auto"/>
          <w:highlight w:val="none"/>
          <w:lang w:val="en-US" w:eastAsia="zh-CN"/>
        </w:rPr>
        <w:t>投标文件</w:t>
      </w:r>
      <w:bookmarkStart w:id="1124" w:name="_Toc31849"/>
      <w:bookmarkStart w:id="1125" w:name="_Toc17995"/>
      <w:bookmarkStart w:id="1126" w:name="_Toc236215897"/>
      <w:bookmarkStart w:id="1127" w:name="_Toc235615834"/>
      <w:bookmarkStart w:id="1128" w:name="_Toc235616116"/>
      <w:r>
        <w:rPr>
          <w:rFonts w:hint="eastAsia" w:ascii="宋体" w:eastAsia="宋体" w:cs="宋体"/>
          <w:color w:val="auto"/>
          <w:highlight w:val="none"/>
        </w:rPr>
        <w:t>封面</w:t>
      </w:r>
      <w:bookmarkEnd w:id="1124"/>
      <w:bookmarkEnd w:id="1125"/>
      <w:r>
        <w:rPr>
          <w:rFonts w:hint="eastAsia" w:ascii="宋体" w:hAnsi="宋体" w:eastAsia="宋体" w:cs="宋体"/>
          <w:b/>
          <w:color w:val="auto"/>
          <w:sz w:val="24"/>
          <w:szCs w:val="24"/>
          <w:highlight w:val="none"/>
        </w:rPr>
        <w:t>（格式仅供参考，投标人可自行调整）</w:t>
      </w:r>
    </w:p>
    <w:p w14:paraId="2B31C1FF">
      <w:pPr>
        <w:pStyle w:val="23"/>
        <w:ind w:firstLine="496"/>
        <w:jc w:val="center"/>
        <w:rPr>
          <w:rFonts w:hint="eastAsia" w:ascii="宋体" w:hAnsi="宋体" w:cs="宋体"/>
          <w:color w:val="auto"/>
          <w:highlight w:val="none"/>
        </w:rPr>
      </w:pPr>
    </w:p>
    <w:p w14:paraId="2A6B963A">
      <w:pPr>
        <w:pStyle w:val="23"/>
        <w:ind w:firstLine="496"/>
        <w:jc w:val="center"/>
        <w:rPr>
          <w:rFonts w:hint="eastAsia" w:ascii="宋体" w:hAnsi="宋体" w:cs="宋体"/>
          <w:color w:val="auto"/>
          <w:highlight w:val="none"/>
        </w:rPr>
      </w:pPr>
    </w:p>
    <w:p w14:paraId="3AC7DEB8">
      <w:pPr>
        <w:pStyle w:val="23"/>
        <w:ind w:firstLine="496"/>
        <w:jc w:val="center"/>
        <w:rPr>
          <w:rFonts w:hint="eastAsia" w:ascii="宋体" w:hAnsi="宋体" w:cs="宋体"/>
          <w:color w:val="auto"/>
          <w:highlight w:val="none"/>
        </w:rPr>
      </w:pPr>
    </w:p>
    <w:p w14:paraId="71EDFED6">
      <w:pPr>
        <w:pStyle w:val="28"/>
        <w:rPr>
          <w:rFonts w:hint="eastAsia" w:ascii="宋体" w:hAnsi="宋体" w:eastAsia="宋体" w:cs="宋体"/>
          <w:b w:val="0"/>
          <w:color w:val="auto"/>
          <w:sz w:val="52"/>
          <w:szCs w:val="52"/>
          <w:highlight w:val="none"/>
          <w:u w:val="single"/>
        </w:rPr>
      </w:pPr>
      <w:r>
        <w:rPr>
          <w:rFonts w:hint="eastAsia" w:ascii="宋体" w:hAnsi="宋体" w:eastAsia="宋体" w:cs="宋体"/>
          <w:b w:val="0"/>
          <w:color w:val="auto"/>
          <w:sz w:val="52"/>
          <w:szCs w:val="52"/>
          <w:highlight w:val="none"/>
          <w:u w:val="single"/>
        </w:rPr>
        <w:t>[工程名称]</w:t>
      </w:r>
    </w:p>
    <w:p w14:paraId="077BCA64">
      <w:pPr>
        <w:pStyle w:val="23"/>
        <w:ind w:firstLine="496"/>
        <w:jc w:val="center"/>
        <w:rPr>
          <w:rFonts w:hint="eastAsia" w:ascii="宋体" w:hAnsi="宋体" w:cs="宋体"/>
          <w:color w:val="auto"/>
          <w:highlight w:val="none"/>
        </w:rPr>
      </w:pPr>
    </w:p>
    <w:p w14:paraId="164CCEA7">
      <w:pPr>
        <w:pStyle w:val="23"/>
        <w:ind w:firstLine="496"/>
        <w:jc w:val="center"/>
        <w:rPr>
          <w:rFonts w:hint="eastAsia" w:ascii="宋体" w:hAnsi="宋体" w:cs="宋体"/>
          <w:color w:val="auto"/>
          <w:highlight w:val="none"/>
        </w:rPr>
      </w:pPr>
    </w:p>
    <w:p w14:paraId="589339A3">
      <w:pPr>
        <w:pStyle w:val="23"/>
        <w:ind w:firstLine="496"/>
        <w:jc w:val="center"/>
        <w:rPr>
          <w:rFonts w:hint="eastAsia" w:ascii="宋体" w:hAnsi="宋体" w:cs="宋体"/>
          <w:color w:val="auto"/>
          <w:highlight w:val="none"/>
        </w:rPr>
      </w:pPr>
    </w:p>
    <w:p w14:paraId="1B30C472">
      <w:pPr>
        <w:pStyle w:val="23"/>
        <w:ind w:firstLine="496"/>
        <w:jc w:val="center"/>
        <w:rPr>
          <w:rFonts w:hint="eastAsia" w:ascii="宋体" w:hAnsi="宋体" w:cs="宋体"/>
          <w:color w:val="auto"/>
          <w:highlight w:val="none"/>
        </w:rPr>
      </w:pPr>
    </w:p>
    <w:p w14:paraId="54436F5C">
      <w:pPr>
        <w:pStyle w:val="23"/>
        <w:ind w:firstLine="496"/>
        <w:jc w:val="center"/>
        <w:rPr>
          <w:rFonts w:hint="eastAsia" w:ascii="宋体" w:hAnsi="宋体" w:cs="宋体"/>
          <w:color w:val="auto"/>
          <w:highlight w:val="none"/>
        </w:rPr>
      </w:pPr>
    </w:p>
    <w:p w14:paraId="58C67B70">
      <w:pPr>
        <w:pStyle w:val="23"/>
        <w:ind w:firstLine="496"/>
        <w:jc w:val="center"/>
        <w:rPr>
          <w:rFonts w:hint="eastAsia" w:ascii="宋体" w:hAnsi="宋体" w:cs="宋体"/>
          <w:color w:val="auto"/>
          <w:highlight w:val="none"/>
        </w:rPr>
      </w:pPr>
    </w:p>
    <w:p w14:paraId="5BB3EDB8">
      <w:pPr>
        <w:pStyle w:val="29"/>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0AD2BB32">
      <w:pPr>
        <w:pStyle w:val="23"/>
        <w:ind w:firstLine="0" w:firstLineChars="0"/>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eastAsia="zh-CN"/>
        </w:rPr>
        <w:t>资格</w:t>
      </w:r>
      <w:r>
        <w:rPr>
          <w:rFonts w:hint="eastAsia" w:ascii="宋体" w:hAnsi="宋体" w:cs="宋体"/>
          <w:b/>
          <w:bCs/>
          <w:color w:val="auto"/>
          <w:sz w:val="28"/>
          <w:szCs w:val="28"/>
          <w:highlight w:val="none"/>
          <w:lang w:val="en-US" w:eastAsia="zh-CN"/>
        </w:rPr>
        <w:t>审查</w:t>
      </w:r>
      <w:r>
        <w:rPr>
          <w:rFonts w:hint="eastAsia" w:ascii="宋体" w:hAnsi="宋体" w:cs="宋体"/>
          <w:b/>
          <w:bCs/>
          <w:color w:val="auto"/>
          <w:sz w:val="28"/>
          <w:szCs w:val="28"/>
          <w:highlight w:val="none"/>
          <w:lang w:eastAsia="zh-CN"/>
        </w:rPr>
        <w:t>文件、形式评审文件、工程总承包实施方案响应性评审文件</w:t>
      </w:r>
      <w:r>
        <w:rPr>
          <w:rFonts w:hint="eastAsia" w:ascii="宋体" w:hAnsi="宋体" w:cs="宋体"/>
          <w:b/>
          <w:bCs/>
          <w:color w:val="auto"/>
          <w:sz w:val="28"/>
          <w:szCs w:val="28"/>
          <w:highlight w:val="none"/>
        </w:rPr>
        <w:t>）</w:t>
      </w:r>
    </w:p>
    <w:p w14:paraId="0ED53E1C">
      <w:pPr>
        <w:pStyle w:val="23"/>
        <w:ind w:firstLine="0" w:firstLineChars="0"/>
        <w:jc w:val="center"/>
        <w:rPr>
          <w:rFonts w:hint="eastAsia" w:ascii="宋体" w:hAnsi="宋体" w:cs="宋体"/>
          <w:color w:val="auto"/>
          <w:highlight w:val="none"/>
        </w:rPr>
      </w:pPr>
    </w:p>
    <w:p w14:paraId="09D47BD4">
      <w:pPr>
        <w:pStyle w:val="23"/>
        <w:ind w:firstLine="0" w:firstLineChars="0"/>
        <w:jc w:val="center"/>
        <w:rPr>
          <w:rFonts w:hint="eastAsia" w:ascii="宋体" w:hAnsi="宋体" w:cs="宋体"/>
          <w:color w:val="auto"/>
          <w:highlight w:val="none"/>
        </w:rPr>
      </w:pPr>
    </w:p>
    <w:p w14:paraId="6AC95AC3">
      <w:pPr>
        <w:pStyle w:val="23"/>
        <w:ind w:firstLine="0" w:firstLineChars="0"/>
        <w:jc w:val="center"/>
        <w:rPr>
          <w:rFonts w:hint="eastAsia" w:ascii="宋体" w:hAnsi="宋体" w:cs="宋体"/>
          <w:color w:val="auto"/>
          <w:highlight w:val="none"/>
        </w:rPr>
      </w:pPr>
    </w:p>
    <w:p w14:paraId="4ABFF45A">
      <w:pPr>
        <w:pStyle w:val="30"/>
        <w:ind w:firstLine="0" w:firstLineChars="0"/>
        <w:jc w:val="center"/>
        <w:rPr>
          <w:rFonts w:hint="eastAsia" w:ascii="宋体" w:hAnsi="宋体" w:eastAsia="宋体" w:cs="宋体"/>
          <w:color w:val="auto"/>
          <w:sz w:val="32"/>
          <w:szCs w:val="32"/>
          <w:highlight w:val="none"/>
        </w:rPr>
      </w:pPr>
    </w:p>
    <w:p w14:paraId="74D8320B">
      <w:pPr>
        <w:pStyle w:val="30"/>
        <w:ind w:firstLine="0" w:firstLineChars="0"/>
        <w:jc w:val="center"/>
        <w:rPr>
          <w:rFonts w:hint="eastAsia" w:ascii="宋体" w:hAnsi="宋体" w:eastAsia="宋体" w:cs="宋体"/>
          <w:color w:val="auto"/>
          <w:sz w:val="32"/>
          <w:szCs w:val="32"/>
          <w:highlight w:val="none"/>
        </w:rPr>
      </w:pPr>
    </w:p>
    <w:p w14:paraId="6F1DCABB">
      <w:pPr>
        <w:pStyle w:val="30"/>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w:t>
      </w:r>
      <w:r>
        <w:rPr>
          <w:rFonts w:hint="eastAsia" w:ascii="宋体" w:hAnsi="宋体" w:eastAsia="宋体" w:cs="宋体"/>
          <w:color w:val="auto"/>
          <w:sz w:val="32"/>
          <w:szCs w:val="32"/>
          <w:highlight w:val="none"/>
          <w:u w:val="single"/>
        </w:rPr>
        <w:t xml:space="preserve">    （填写投标人单位名称）    </w:t>
      </w:r>
    </w:p>
    <w:p w14:paraId="596EF110">
      <w:pPr>
        <w:pStyle w:val="30"/>
        <w:ind w:firstLine="656"/>
        <w:rPr>
          <w:rFonts w:hint="eastAsia" w:ascii="宋体" w:hAnsi="宋体" w:eastAsia="宋体" w:cs="宋体"/>
          <w:color w:val="auto"/>
          <w:highlight w:val="none"/>
        </w:rPr>
      </w:pPr>
      <w:r>
        <w:rPr>
          <w:rFonts w:hint="eastAsia" w:ascii="宋体" w:hAnsi="宋体" w:eastAsia="宋体" w:cs="宋体"/>
          <w:color w:val="auto"/>
          <w:sz w:val="32"/>
          <w:szCs w:val="32"/>
          <w:highlight w:val="none"/>
        </w:rPr>
        <w:t xml:space="preserve">日期：                                       </w:t>
      </w:r>
    </w:p>
    <w:p w14:paraId="2F47C3C9">
      <w:pPr>
        <w:widowControl/>
        <w:spacing w:line="360" w:lineRule="auto"/>
        <w:jc w:val="center"/>
        <w:rPr>
          <w:rFonts w:hint="eastAsia" w:ascii="宋体" w:hAnsi="宋体" w:cs="宋体"/>
          <w:b/>
          <w:color w:val="auto"/>
          <w:highlight w:val="none"/>
        </w:rPr>
      </w:pPr>
      <w:r>
        <w:rPr>
          <w:rFonts w:hint="eastAsia" w:ascii="宋体" w:hAnsi="宋体" w:cs="宋体"/>
          <w:color w:val="auto"/>
          <w:highlight w:val="none"/>
        </w:rPr>
        <w:br w:type="page"/>
      </w:r>
    </w:p>
    <w:p w14:paraId="2997F6E9">
      <w:pPr>
        <w:spacing w:line="360" w:lineRule="auto"/>
        <w:outlineLvl w:val="2"/>
        <w:rPr>
          <w:rFonts w:hint="default" w:ascii="宋体" w:hAnsi="宋体" w:cs="宋体"/>
          <w:b/>
          <w:bCs/>
          <w:color w:val="auto"/>
          <w:sz w:val="24"/>
          <w:szCs w:val="28"/>
          <w:highlight w:val="none"/>
          <w:lang w:val="en-US" w:eastAsia="zh-CN"/>
        </w:rPr>
      </w:pPr>
      <w:r>
        <w:rPr>
          <w:rFonts w:hint="default" w:ascii="宋体" w:hAnsi="宋体" w:cs="宋体"/>
          <w:b/>
          <w:bCs/>
          <w:color w:val="auto"/>
          <w:sz w:val="24"/>
          <w:szCs w:val="28"/>
          <w:highlight w:val="none"/>
          <w:lang w:val="en-US" w:eastAsia="zh-CN"/>
        </w:rPr>
        <w:t>目录</w:t>
      </w:r>
      <w:r>
        <w:rPr>
          <w:rFonts w:hint="eastAsia" w:ascii="宋体" w:hAnsi="宋体" w:eastAsia="宋体" w:cs="宋体"/>
          <w:b/>
          <w:color w:val="auto"/>
          <w:sz w:val="24"/>
          <w:szCs w:val="24"/>
          <w:highlight w:val="none"/>
        </w:rPr>
        <w:t>（格式仅供参考，投标人可自行调整）</w:t>
      </w:r>
    </w:p>
    <w:p w14:paraId="7E445154">
      <w:pPr>
        <w:numPr>
          <w:ilvl w:val="0"/>
          <w:numId w:val="0"/>
        </w:numPr>
        <w:spacing w:line="240" w:lineRule="auto"/>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由投标人自行编制目录，包括但不限于以下内容：</w:t>
      </w:r>
    </w:p>
    <w:p w14:paraId="4FE9772D">
      <w:pPr>
        <w:spacing w:line="240" w:lineRule="auto"/>
        <w:jc w:val="center"/>
        <w:outlineLvl w:val="9"/>
        <w:rPr>
          <w:rFonts w:hint="eastAsia" w:ascii="宋体" w:hAnsi="宋体" w:cs="宋体"/>
          <w:b/>
          <w:bCs/>
          <w:color w:val="auto"/>
          <w:sz w:val="32"/>
          <w:szCs w:val="32"/>
          <w:highlight w:val="none"/>
          <w:lang w:val="en-US" w:eastAsia="zh-CN"/>
        </w:rPr>
      </w:pPr>
    </w:p>
    <w:p w14:paraId="698C96F4">
      <w:pPr>
        <w:spacing w:line="240" w:lineRule="auto"/>
        <w:jc w:val="center"/>
        <w:outlineLvl w:val="9"/>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目录</w:t>
      </w:r>
    </w:p>
    <w:p w14:paraId="37850155">
      <w:pPr>
        <w:spacing w:line="240" w:lineRule="auto"/>
        <w:jc w:val="center"/>
        <w:outlineLvl w:val="9"/>
        <w:rPr>
          <w:rFonts w:hint="default" w:ascii="宋体" w:hAnsi="宋体" w:cs="宋体"/>
          <w:b/>
          <w:bCs/>
          <w:color w:val="auto"/>
          <w:sz w:val="24"/>
          <w:szCs w:val="28"/>
          <w:highlight w:val="none"/>
          <w:lang w:val="en-US" w:eastAsia="zh-CN"/>
        </w:rPr>
      </w:pPr>
    </w:p>
    <w:p w14:paraId="26039249">
      <w:pPr>
        <w:numPr>
          <w:ilvl w:val="0"/>
          <w:numId w:val="0"/>
        </w:numPr>
        <w:spacing w:line="240" w:lineRule="auto"/>
        <w:jc w:val="left"/>
        <w:outlineLvl w:val="9"/>
        <w:rPr>
          <w:rFonts w:hint="default" w:ascii="宋体" w:hAnsi="宋体" w:cs="宋体"/>
          <w:b/>
          <w:bCs/>
          <w:color w:val="auto"/>
          <w:sz w:val="24"/>
          <w:szCs w:val="28"/>
          <w:highlight w:val="none"/>
          <w:lang w:val="en-US" w:eastAsia="zh-CN"/>
        </w:rPr>
      </w:pPr>
    </w:p>
    <w:p w14:paraId="7CF3429D">
      <w:pPr>
        <w:numPr>
          <w:ilvl w:val="0"/>
          <w:numId w:val="3"/>
        </w:numPr>
        <w:spacing w:line="240" w:lineRule="auto"/>
        <w:ind w:firstLine="482" w:firstLineChars="200"/>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资格审查文件</w:t>
      </w:r>
    </w:p>
    <w:p w14:paraId="0422A2B7">
      <w:pPr>
        <w:numPr>
          <w:ilvl w:val="0"/>
          <w:numId w:val="3"/>
        </w:numPr>
        <w:spacing w:line="240" w:lineRule="auto"/>
        <w:ind w:firstLine="482" w:firstLineChars="200"/>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形式评审文件</w:t>
      </w:r>
    </w:p>
    <w:p w14:paraId="64981BC8">
      <w:pPr>
        <w:numPr>
          <w:ilvl w:val="0"/>
          <w:numId w:val="3"/>
        </w:numPr>
        <w:spacing w:line="240" w:lineRule="auto"/>
        <w:ind w:firstLine="482" w:firstLineChars="200"/>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工程总承包实施方案响应性评审文件</w:t>
      </w:r>
    </w:p>
    <w:p w14:paraId="58C5BE7E">
      <w:pPr>
        <w:numPr>
          <w:ilvl w:val="0"/>
          <w:numId w:val="3"/>
        </w:numPr>
        <w:spacing w:line="240" w:lineRule="auto"/>
        <w:ind w:firstLine="482" w:firstLineChars="200"/>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投标人根据招标文件要求认为需要提交的其它文件。</w:t>
      </w:r>
    </w:p>
    <w:p w14:paraId="7989EEE5">
      <w:pPr>
        <w:numPr>
          <w:ilvl w:val="0"/>
          <w:numId w:val="0"/>
        </w:numPr>
        <w:spacing w:line="240" w:lineRule="auto"/>
        <w:jc w:val="left"/>
        <w:outlineLvl w:val="9"/>
        <w:rPr>
          <w:rFonts w:hint="eastAsia" w:ascii="宋体" w:hAnsi="宋体" w:cs="宋体"/>
          <w:b/>
          <w:bCs/>
          <w:color w:val="auto"/>
          <w:sz w:val="24"/>
          <w:szCs w:val="28"/>
          <w:highlight w:val="none"/>
          <w:lang w:val="en-US" w:eastAsia="zh-CN"/>
        </w:rPr>
      </w:pPr>
    </w:p>
    <w:p w14:paraId="4C2A87AF">
      <w:pPr>
        <w:numPr>
          <w:ilvl w:val="0"/>
          <w:numId w:val="0"/>
        </w:numPr>
        <w:spacing w:line="240" w:lineRule="auto"/>
        <w:jc w:val="left"/>
        <w:outlineLvl w:val="9"/>
        <w:rPr>
          <w:rFonts w:hint="eastAsia" w:ascii="宋体" w:hAnsi="宋体" w:cs="宋体"/>
          <w:b/>
          <w:bCs/>
          <w:color w:val="auto"/>
          <w:sz w:val="24"/>
          <w:szCs w:val="28"/>
          <w:highlight w:val="none"/>
          <w:lang w:val="en-US" w:eastAsia="zh-CN"/>
        </w:rPr>
      </w:pPr>
    </w:p>
    <w:p w14:paraId="0893D7C4">
      <w:pPr>
        <w:numPr>
          <w:ilvl w:val="0"/>
          <w:numId w:val="4"/>
        </w:numPr>
        <w:spacing w:line="240" w:lineRule="auto"/>
        <w:jc w:val="left"/>
        <w:outlineLvl w:val="9"/>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br w:type="page"/>
      </w:r>
    </w:p>
    <w:p w14:paraId="59D06AAD">
      <w:pPr>
        <w:spacing w:line="360" w:lineRule="auto"/>
        <w:outlineLvl w:val="2"/>
        <w:rPr>
          <w:rFonts w:ascii="宋体" w:hAnsi="宋体" w:cs="宋体"/>
          <w:b/>
          <w:bCs/>
          <w:color w:val="auto"/>
          <w:sz w:val="24"/>
          <w:szCs w:val="28"/>
          <w:highlight w:val="none"/>
        </w:rPr>
      </w:pPr>
      <w:r>
        <w:rPr>
          <w:rFonts w:hint="eastAsia" w:ascii="宋体" w:hAnsi="宋体" w:cs="宋体"/>
          <w:b/>
          <w:bCs/>
          <w:color w:val="auto"/>
          <w:sz w:val="24"/>
          <w:szCs w:val="28"/>
          <w:highlight w:val="none"/>
        </w:rPr>
        <w:t>格式一：</w:t>
      </w:r>
      <w:r>
        <w:rPr>
          <w:rFonts w:hint="eastAsia" w:ascii="宋体" w:hAnsi="宋体" w:eastAsia="宋体" w:cs="宋体"/>
          <w:b/>
          <w:color w:val="auto"/>
          <w:sz w:val="24"/>
          <w:szCs w:val="24"/>
          <w:highlight w:val="none"/>
        </w:rPr>
        <w:t>（格式仅供参考，投标人可自行调整）</w:t>
      </w:r>
    </w:p>
    <w:p w14:paraId="1E9A7AB3">
      <w:pPr>
        <w:spacing w:line="360" w:lineRule="auto"/>
        <w:jc w:val="center"/>
        <w:outlineLvl w:val="2"/>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法定代表人证明书、授权书</w:t>
      </w:r>
    </w:p>
    <w:p w14:paraId="676AFBA0">
      <w:pPr>
        <w:pStyle w:val="23"/>
        <w:wordWrap w:val="0"/>
        <w:overflowPunct w:val="0"/>
        <w:ind w:firstLine="0" w:firstLineChars="0"/>
        <w:rPr>
          <w:rFonts w:hint="eastAsia" w:ascii="宋体" w:hAnsi="宋体" w:cs="宋体"/>
          <w:color w:val="auto"/>
          <w:highlight w:val="none"/>
        </w:rPr>
      </w:pPr>
      <w:r>
        <w:rPr>
          <w:rFonts w:hint="eastAsia" w:ascii="宋体" w:hAnsi="宋体" w:cs="宋体"/>
          <w:color w:val="auto"/>
          <w:highlight w:val="none"/>
        </w:rPr>
        <w:t>（1）法定代表人证明书                                （　</w:t>
      </w:r>
      <w:r>
        <w:rPr>
          <w:rFonts w:hint="eastAsia"/>
          <w:color w:val="auto"/>
          <w:szCs w:val="28"/>
          <w:highlight w:val="none"/>
        </w:rPr>
        <w:t>　</w:t>
      </w:r>
      <w:r>
        <w:rPr>
          <w:rFonts w:hint="eastAsia" w:ascii="宋体" w:hAnsi="宋体" w:cs="宋体"/>
          <w:color w:val="auto"/>
          <w:highlight w:val="none"/>
        </w:rPr>
        <w:t>）第　号</w:t>
      </w:r>
    </w:p>
    <w:tbl>
      <w:tblPr>
        <w:tblStyle w:val="18"/>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23EE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7" w:type="dxa"/>
            <w:noWrap w:val="0"/>
            <w:vAlign w:val="top"/>
          </w:tcPr>
          <w:p w14:paraId="7167C65C">
            <w:pPr>
              <w:pStyle w:val="23"/>
              <w:wordWrap w:val="0"/>
              <w:overflowPunct w:val="0"/>
              <w:ind w:firstLine="0" w:firstLineChars="0"/>
              <w:rPr>
                <w:color w:val="auto"/>
                <w:szCs w:val="28"/>
                <w:highlight w:val="none"/>
              </w:rPr>
            </w:pPr>
          </w:p>
          <w:p w14:paraId="7674A5A5">
            <w:pPr>
              <w:pStyle w:val="23"/>
              <w:wordWrap w:val="0"/>
              <w:overflowPunct w:val="0"/>
              <w:ind w:firstLine="0" w:firstLineChars="0"/>
              <w:rPr>
                <w:color w:val="auto"/>
                <w:szCs w:val="28"/>
                <w:highlight w:val="none"/>
              </w:rPr>
            </w:pPr>
            <w:r>
              <w:rPr>
                <w:rFonts w:hint="eastAsia"/>
                <w:color w:val="auto"/>
                <w:szCs w:val="28"/>
                <w:highlight w:val="none"/>
              </w:rPr>
              <w:t>　　</w:t>
            </w:r>
            <w:r>
              <w:rPr>
                <w:rFonts w:hint="eastAsia"/>
                <w:color w:val="auto"/>
                <w:szCs w:val="28"/>
                <w:highlight w:val="none"/>
                <w:u w:val="single"/>
              </w:rPr>
              <w:t>　　　　　　</w:t>
            </w:r>
            <w:r>
              <w:rPr>
                <w:rFonts w:hint="eastAsia"/>
                <w:color w:val="auto"/>
                <w:szCs w:val="28"/>
                <w:highlight w:val="none"/>
              </w:rPr>
              <w:t>现任我单位</w:t>
            </w:r>
            <w:r>
              <w:rPr>
                <w:rFonts w:hint="eastAsia"/>
                <w:color w:val="auto"/>
                <w:szCs w:val="28"/>
                <w:highlight w:val="none"/>
                <w:u w:val="single"/>
              </w:rPr>
              <w:t>　　　　　</w:t>
            </w:r>
            <w:r>
              <w:rPr>
                <w:rFonts w:hint="eastAsia"/>
                <w:color w:val="auto"/>
                <w:szCs w:val="28"/>
                <w:highlight w:val="none"/>
              </w:rPr>
              <w:t>职务，为法定代表人（负责人），</w:t>
            </w:r>
          </w:p>
          <w:p w14:paraId="677D1FCB">
            <w:pPr>
              <w:pStyle w:val="23"/>
              <w:wordWrap w:val="0"/>
              <w:overflowPunct w:val="0"/>
              <w:ind w:firstLine="0" w:firstLineChars="0"/>
              <w:rPr>
                <w:color w:val="auto"/>
                <w:szCs w:val="28"/>
                <w:highlight w:val="none"/>
              </w:rPr>
            </w:pPr>
            <w:r>
              <w:rPr>
                <w:rFonts w:hint="eastAsia"/>
                <w:color w:val="auto"/>
                <w:szCs w:val="28"/>
                <w:highlight w:val="none"/>
              </w:rPr>
              <w:t>特此证明。</w:t>
            </w:r>
          </w:p>
          <w:p w14:paraId="4F3310FF">
            <w:pPr>
              <w:pStyle w:val="23"/>
              <w:wordWrap w:val="0"/>
              <w:overflowPunct w:val="0"/>
              <w:ind w:firstLine="0" w:firstLineChars="0"/>
              <w:rPr>
                <w:color w:val="auto"/>
                <w:szCs w:val="28"/>
                <w:highlight w:val="none"/>
                <w:u w:val="single"/>
              </w:rPr>
            </w:pPr>
            <w:r>
              <w:rPr>
                <w:rFonts w:hint="eastAsia"/>
                <w:color w:val="auto"/>
                <w:szCs w:val="28"/>
                <w:highlight w:val="none"/>
              </w:rPr>
              <w:t>有效期限：</w:t>
            </w:r>
            <w:r>
              <w:rPr>
                <w:rFonts w:hint="eastAsia"/>
                <w:color w:val="auto"/>
                <w:szCs w:val="28"/>
                <w:highlight w:val="none"/>
                <w:u w:val="single"/>
              </w:rPr>
              <w:t>　　　　　　　　　　　　　　　　　　　　</w:t>
            </w:r>
          </w:p>
          <w:p w14:paraId="61FF1DBA">
            <w:pPr>
              <w:pStyle w:val="23"/>
              <w:wordWrap w:val="0"/>
              <w:overflowPunct w:val="0"/>
              <w:ind w:firstLine="0" w:firstLineChars="0"/>
              <w:rPr>
                <w:color w:val="auto"/>
                <w:szCs w:val="28"/>
                <w:highlight w:val="none"/>
              </w:rPr>
            </w:pPr>
            <w:r>
              <w:rPr>
                <w:rFonts w:hint="eastAsia"/>
                <w:color w:val="auto"/>
                <w:szCs w:val="28"/>
                <w:highlight w:val="none"/>
              </w:rPr>
              <w:t>附：法定代表人（负责人）性别：</w:t>
            </w:r>
            <w:r>
              <w:rPr>
                <w:rFonts w:hint="eastAsia"/>
                <w:color w:val="auto"/>
                <w:szCs w:val="28"/>
                <w:highlight w:val="none"/>
                <w:u w:val="single"/>
              </w:rPr>
              <w:t>　　</w:t>
            </w:r>
            <w:r>
              <w:rPr>
                <w:rFonts w:hint="eastAsia"/>
                <w:color w:val="auto"/>
                <w:szCs w:val="28"/>
                <w:highlight w:val="none"/>
              </w:rPr>
              <w:t>年龄：</w:t>
            </w:r>
            <w:r>
              <w:rPr>
                <w:rFonts w:hint="eastAsia"/>
                <w:color w:val="auto"/>
                <w:szCs w:val="28"/>
                <w:highlight w:val="none"/>
                <w:u w:val="single"/>
              </w:rPr>
              <w:t>　　</w:t>
            </w:r>
            <w:r>
              <w:rPr>
                <w:rFonts w:hint="eastAsia"/>
                <w:color w:val="auto"/>
                <w:szCs w:val="28"/>
                <w:highlight w:val="none"/>
              </w:rPr>
              <w:t>身份证号码：</w:t>
            </w:r>
            <w:r>
              <w:rPr>
                <w:rFonts w:hint="eastAsia"/>
                <w:color w:val="auto"/>
                <w:szCs w:val="28"/>
                <w:highlight w:val="none"/>
                <w:u w:val="single"/>
              </w:rPr>
              <w:t>　　　　　　</w:t>
            </w:r>
          </w:p>
          <w:p w14:paraId="580B6DAC">
            <w:pPr>
              <w:pStyle w:val="23"/>
              <w:wordWrap w:val="0"/>
              <w:overflowPunct w:val="0"/>
              <w:ind w:firstLine="0" w:firstLineChars="0"/>
              <w:rPr>
                <w:color w:val="auto"/>
                <w:szCs w:val="28"/>
                <w:highlight w:val="none"/>
              </w:rPr>
            </w:pPr>
            <w:r>
              <w:rPr>
                <w:rFonts w:hint="eastAsia"/>
                <w:color w:val="auto"/>
                <w:szCs w:val="28"/>
                <w:highlight w:val="none"/>
              </w:rPr>
              <w:t>统一社会信用代码：</w:t>
            </w:r>
            <w:r>
              <w:rPr>
                <w:rFonts w:hint="eastAsia"/>
                <w:color w:val="auto"/>
                <w:szCs w:val="28"/>
                <w:highlight w:val="none"/>
                <w:u w:val="single"/>
              </w:rPr>
              <w:t>　　　　　　　　　　</w:t>
            </w:r>
            <w:r>
              <w:rPr>
                <w:rFonts w:hint="eastAsia"/>
                <w:color w:val="auto"/>
                <w:szCs w:val="28"/>
                <w:highlight w:val="none"/>
              </w:rPr>
              <w:t>企业类型：</w:t>
            </w:r>
            <w:r>
              <w:rPr>
                <w:rFonts w:hint="eastAsia"/>
                <w:color w:val="auto"/>
                <w:szCs w:val="28"/>
                <w:highlight w:val="none"/>
                <w:u w:val="single"/>
              </w:rPr>
              <w:t>　　　　　　　　　　</w:t>
            </w:r>
          </w:p>
          <w:p w14:paraId="2CFBEEF7">
            <w:pPr>
              <w:pStyle w:val="23"/>
              <w:wordWrap w:val="0"/>
              <w:overflowPunct w:val="0"/>
              <w:ind w:firstLine="0" w:firstLineChars="0"/>
              <w:rPr>
                <w:color w:val="auto"/>
                <w:szCs w:val="28"/>
                <w:highlight w:val="none"/>
              </w:rPr>
            </w:pPr>
            <w:r>
              <w:rPr>
                <w:rFonts w:hint="eastAsia"/>
                <w:color w:val="auto"/>
                <w:szCs w:val="28"/>
                <w:highlight w:val="none"/>
              </w:rPr>
              <w:t>经营范围：</w:t>
            </w:r>
            <w:r>
              <w:rPr>
                <w:rFonts w:hint="eastAsia"/>
                <w:color w:val="auto"/>
                <w:szCs w:val="28"/>
                <w:highlight w:val="none"/>
                <w:u w:val="single"/>
              </w:rPr>
              <w:t>　　　　　　　　　　　　　　　　　　　　　　　　　　　　</w:t>
            </w:r>
          </w:p>
          <w:p w14:paraId="4429285F">
            <w:pPr>
              <w:pStyle w:val="23"/>
              <w:wordWrap w:val="0"/>
              <w:overflowPunct w:val="0"/>
              <w:ind w:firstLine="0" w:firstLineChars="0"/>
              <w:jc w:val="right"/>
              <w:rPr>
                <w:color w:val="auto"/>
                <w:szCs w:val="28"/>
                <w:highlight w:val="none"/>
              </w:rPr>
            </w:pPr>
            <w:r>
              <w:rPr>
                <w:rFonts w:hint="eastAsia"/>
                <w:color w:val="auto"/>
                <w:szCs w:val="28"/>
                <w:highlight w:val="none"/>
              </w:rPr>
              <w:t>单位：　　　　　　　　　　　（盖章）</w:t>
            </w:r>
          </w:p>
          <w:p w14:paraId="0FDD0FF5">
            <w:pPr>
              <w:pStyle w:val="23"/>
              <w:wordWrap w:val="0"/>
              <w:overflowPunct w:val="0"/>
              <w:ind w:firstLine="0" w:firstLineChars="0"/>
              <w:jc w:val="right"/>
              <w:rPr>
                <w:rFonts w:hint="eastAsia" w:ascii="宋体" w:hAnsi="宋体" w:cs="宋体"/>
                <w:color w:val="auto"/>
                <w:highlight w:val="none"/>
              </w:rPr>
            </w:pPr>
            <w:r>
              <w:rPr>
                <w:rFonts w:hint="eastAsia"/>
                <w:color w:val="auto"/>
                <w:szCs w:val="28"/>
                <w:highlight w:val="none"/>
              </w:rPr>
              <w:t>　　　　年　　月　　日</w:t>
            </w:r>
          </w:p>
        </w:tc>
      </w:tr>
    </w:tbl>
    <w:p w14:paraId="00E93B15">
      <w:pPr>
        <w:pStyle w:val="23"/>
        <w:wordWrap w:val="0"/>
        <w:overflowPunct w:val="0"/>
        <w:ind w:firstLine="496"/>
        <w:rPr>
          <w:rFonts w:hint="eastAsia" w:ascii="宋体" w:hAnsi="宋体" w:cs="宋体"/>
          <w:color w:val="auto"/>
          <w:highlight w:val="none"/>
        </w:rPr>
      </w:pPr>
    </w:p>
    <w:p w14:paraId="55630F5A">
      <w:pPr>
        <w:pStyle w:val="23"/>
        <w:wordWrap w:val="0"/>
        <w:overflowPunct w:val="0"/>
        <w:ind w:firstLine="0" w:firstLineChars="0"/>
        <w:rPr>
          <w:rFonts w:hint="eastAsia" w:ascii="宋体" w:hAnsi="宋体" w:cs="宋体"/>
          <w:color w:val="auto"/>
          <w:highlight w:val="none"/>
        </w:rPr>
      </w:pPr>
      <w:r>
        <w:rPr>
          <w:rFonts w:hint="eastAsia" w:ascii="宋体" w:hAnsi="宋体" w:cs="宋体"/>
          <w:color w:val="auto"/>
          <w:highlight w:val="none"/>
        </w:rPr>
        <w:t>（2）法定代表人授权书                           （　</w:t>
      </w:r>
      <w:r>
        <w:rPr>
          <w:rFonts w:hint="eastAsia"/>
          <w:color w:val="auto"/>
          <w:szCs w:val="28"/>
          <w:highlight w:val="none"/>
        </w:rPr>
        <w:t>　</w:t>
      </w:r>
      <w:r>
        <w:rPr>
          <w:rFonts w:hint="eastAsia" w:ascii="宋体" w:hAnsi="宋体" w:cs="宋体"/>
          <w:color w:val="auto"/>
          <w:highlight w:val="none"/>
        </w:rPr>
        <w:t>）第　号</w:t>
      </w:r>
    </w:p>
    <w:tbl>
      <w:tblPr>
        <w:tblStyle w:val="1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6D1A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noWrap w:val="0"/>
            <w:vAlign w:val="top"/>
          </w:tcPr>
          <w:p w14:paraId="6B70485B">
            <w:pPr>
              <w:pStyle w:val="23"/>
              <w:wordWrap w:val="0"/>
              <w:overflowPunct w:val="0"/>
              <w:ind w:firstLine="0" w:firstLineChars="0"/>
              <w:rPr>
                <w:color w:val="auto"/>
                <w:highlight w:val="none"/>
              </w:rPr>
            </w:pPr>
          </w:p>
          <w:p w14:paraId="601925B3">
            <w:pPr>
              <w:pStyle w:val="23"/>
              <w:wordWrap w:val="0"/>
              <w:overflowPunct w:val="0"/>
              <w:ind w:firstLine="496"/>
              <w:rPr>
                <w:color w:val="auto"/>
                <w:highlight w:val="none"/>
              </w:rPr>
            </w:pPr>
            <w:r>
              <w:rPr>
                <w:rFonts w:hint="eastAsia"/>
                <w:color w:val="auto"/>
                <w:highlight w:val="none"/>
              </w:rPr>
              <w:t>兹授权</w:t>
            </w:r>
            <w:r>
              <w:rPr>
                <w:rFonts w:hint="eastAsia"/>
                <w:color w:val="auto"/>
                <w:szCs w:val="28"/>
                <w:highlight w:val="none"/>
                <w:u w:val="single"/>
              </w:rPr>
              <w:t>　　　　　　</w:t>
            </w:r>
            <w:r>
              <w:rPr>
                <w:rFonts w:hint="eastAsia"/>
                <w:color w:val="auto"/>
                <w:highlight w:val="none"/>
              </w:rPr>
              <w:t>为我方委托代理人，其权限是：</w:t>
            </w:r>
            <w:r>
              <w:rPr>
                <w:rFonts w:hint="eastAsia"/>
                <w:color w:val="auto"/>
                <w:szCs w:val="28"/>
                <w:highlight w:val="none"/>
                <w:u w:val="single"/>
              </w:rPr>
              <w:t>　　　　　　　　　　　　</w:t>
            </w:r>
          </w:p>
          <w:p w14:paraId="2493E328">
            <w:pPr>
              <w:pStyle w:val="23"/>
              <w:wordWrap w:val="0"/>
              <w:overflowPunct w:val="0"/>
              <w:ind w:firstLine="0" w:firstLineChars="0"/>
              <w:rPr>
                <w:color w:val="auto"/>
                <w:highlight w:val="none"/>
              </w:rPr>
            </w:pPr>
            <w:r>
              <w:rPr>
                <w:rFonts w:hint="eastAsia"/>
                <w:color w:val="auto"/>
                <w:highlight w:val="none"/>
              </w:rPr>
              <w:t>有效期限：</w:t>
            </w:r>
            <w:r>
              <w:rPr>
                <w:rFonts w:hint="eastAsia"/>
                <w:color w:val="auto"/>
                <w:szCs w:val="28"/>
                <w:highlight w:val="none"/>
                <w:u w:val="single"/>
              </w:rPr>
              <w:t>　　　　　　　　　　　　　　　　　　　　</w:t>
            </w:r>
          </w:p>
          <w:p w14:paraId="570223F4">
            <w:pPr>
              <w:pStyle w:val="23"/>
              <w:wordWrap w:val="0"/>
              <w:overflowPunct w:val="0"/>
              <w:ind w:firstLine="0" w:firstLineChars="0"/>
              <w:rPr>
                <w:color w:val="auto"/>
                <w:highlight w:val="none"/>
              </w:rPr>
            </w:pPr>
            <w:r>
              <w:rPr>
                <w:rFonts w:hint="eastAsia"/>
                <w:color w:val="auto"/>
                <w:highlight w:val="none"/>
              </w:rPr>
              <w:t>附：代理人性别：</w:t>
            </w:r>
            <w:r>
              <w:rPr>
                <w:rFonts w:hint="eastAsia"/>
                <w:color w:val="auto"/>
                <w:szCs w:val="28"/>
                <w:highlight w:val="none"/>
                <w:u w:val="single"/>
              </w:rPr>
              <w:t>　　　</w:t>
            </w:r>
            <w:r>
              <w:rPr>
                <w:rFonts w:hint="eastAsia"/>
                <w:color w:val="auto"/>
                <w:highlight w:val="none"/>
              </w:rPr>
              <w:t>年龄：</w:t>
            </w:r>
            <w:r>
              <w:rPr>
                <w:rFonts w:hint="eastAsia"/>
                <w:color w:val="auto"/>
                <w:szCs w:val="28"/>
                <w:highlight w:val="none"/>
                <w:u w:val="single"/>
              </w:rPr>
              <w:t>　　　</w:t>
            </w:r>
            <w:r>
              <w:rPr>
                <w:rFonts w:hint="eastAsia"/>
                <w:color w:val="auto"/>
                <w:highlight w:val="none"/>
              </w:rPr>
              <w:t>身份证号码：</w:t>
            </w:r>
            <w:r>
              <w:rPr>
                <w:rFonts w:hint="eastAsia"/>
                <w:color w:val="auto"/>
                <w:szCs w:val="28"/>
                <w:highlight w:val="none"/>
                <w:u w:val="single"/>
              </w:rPr>
              <w:t>　　　　　　　　　　　</w:t>
            </w:r>
          </w:p>
          <w:p w14:paraId="472769DE">
            <w:pPr>
              <w:pStyle w:val="23"/>
              <w:wordWrap w:val="0"/>
              <w:overflowPunct w:val="0"/>
              <w:ind w:firstLine="0" w:firstLineChars="0"/>
              <w:rPr>
                <w:color w:val="auto"/>
                <w:highlight w:val="none"/>
              </w:rPr>
            </w:pPr>
            <w:r>
              <w:rPr>
                <w:rFonts w:hint="eastAsia"/>
                <w:color w:val="auto"/>
                <w:szCs w:val="28"/>
                <w:highlight w:val="none"/>
              </w:rPr>
              <w:t>统一社会信用代码</w:t>
            </w:r>
            <w:r>
              <w:rPr>
                <w:rFonts w:hint="eastAsia"/>
                <w:color w:val="auto"/>
                <w:highlight w:val="none"/>
              </w:rPr>
              <w:t>：</w:t>
            </w:r>
            <w:r>
              <w:rPr>
                <w:rFonts w:hint="eastAsia"/>
                <w:color w:val="auto"/>
                <w:szCs w:val="28"/>
                <w:highlight w:val="none"/>
                <w:u w:val="single"/>
              </w:rPr>
              <w:t>　　　　　　　　　　</w:t>
            </w:r>
            <w:r>
              <w:rPr>
                <w:rFonts w:hint="eastAsia"/>
                <w:color w:val="auto"/>
                <w:highlight w:val="none"/>
              </w:rPr>
              <w:t>企业类型：</w:t>
            </w:r>
            <w:r>
              <w:rPr>
                <w:rFonts w:hint="eastAsia"/>
                <w:color w:val="auto"/>
                <w:szCs w:val="28"/>
                <w:highlight w:val="none"/>
                <w:u w:val="single"/>
              </w:rPr>
              <w:t>　　　　　　　　　　</w:t>
            </w:r>
          </w:p>
          <w:p w14:paraId="4DFF1EE7">
            <w:pPr>
              <w:pStyle w:val="23"/>
              <w:wordWrap w:val="0"/>
              <w:overflowPunct w:val="0"/>
              <w:ind w:firstLine="0" w:firstLineChars="0"/>
              <w:rPr>
                <w:color w:val="auto"/>
                <w:highlight w:val="none"/>
              </w:rPr>
            </w:pPr>
            <w:r>
              <w:rPr>
                <w:rFonts w:hint="eastAsia"/>
                <w:color w:val="auto"/>
                <w:highlight w:val="none"/>
              </w:rPr>
              <w:t>经营范围：</w:t>
            </w:r>
            <w:r>
              <w:rPr>
                <w:rFonts w:hint="eastAsia"/>
                <w:color w:val="auto"/>
                <w:szCs w:val="28"/>
                <w:highlight w:val="none"/>
                <w:u w:val="single"/>
              </w:rPr>
              <w:t>　　　　　　　　　　　　　　　　　　　　　　　　　　　　</w:t>
            </w:r>
          </w:p>
          <w:p w14:paraId="12C17AA8">
            <w:pPr>
              <w:pStyle w:val="23"/>
              <w:wordWrap w:val="0"/>
              <w:overflowPunct w:val="0"/>
              <w:ind w:firstLine="0" w:firstLineChars="0"/>
              <w:jc w:val="right"/>
              <w:rPr>
                <w:color w:val="auto"/>
                <w:highlight w:val="none"/>
              </w:rPr>
            </w:pPr>
            <w:r>
              <w:rPr>
                <w:rFonts w:hint="eastAsia"/>
                <w:color w:val="auto"/>
                <w:highlight w:val="none"/>
              </w:rPr>
              <w:t>法定代表人（负责人）：</w:t>
            </w:r>
            <w:r>
              <w:rPr>
                <w:rFonts w:hint="eastAsia"/>
                <w:color w:val="auto"/>
                <w:szCs w:val="28"/>
                <w:highlight w:val="none"/>
              </w:rPr>
              <w:t>　　　　　　　　</w:t>
            </w:r>
            <w:r>
              <w:rPr>
                <w:rFonts w:hint="eastAsia"/>
                <w:color w:val="auto"/>
                <w:highlight w:val="none"/>
              </w:rPr>
              <w:t>（签字或盖章）</w:t>
            </w:r>
          </w:p>
          <w:p w14:paraId="1966D6A5">
            <w:pPr>
              <w:pStyle w:val="23"/>
              <w:wordWrap w:val="0"/>
              <w:overflowPunct w:val="0"/>
              <w:ind w:firstLine="0" w:firstLineChars="0"/>
              <w:jc w:val="right"/>
              <w:rPr>
                <w:color w:val="auto"/>
                <w:highlight w:val="none"/>
              </w:rPr>
            </w:pPr>
            <w:r>
              <w:rPr>
                <w:rFonts w:hint="eastAsia"/>
                <w:color w:val="auto"/>
                <w:highlight w:val="none"/>
              </w:rPr>
              <w:t>授权单位：</w:t>
            </w:r>
            <w:r>
              <w:rPr>
                <w:rFonts w:hint="eastAsia"/>
                <w:color w:val="auto"/>
                <w:szCs w:val="28"/>
                <w:highlight w:val="none"/>
              </w:rPr>
              <w:t>　　　　　　　　　　　</w:t>
            </w:r>
            <w:r>
              <w:rPr>
                <w:rFonts w:hint="eastAsia"/>
                <w:color w:val="auto"/>
                <w:highlight w:val="none"/>
              </w:rPr>
              <w:t>（盖章）</w:t>
            </w:r>
            <w:r>
              <w:rPr>
                <w:color w:val="auto"/>
                <w:highlight w:val="none"/>
                <w:u w:val="single"/>
              </w:rPr>
              <w:t xml:space="preserve">                      </w:t>
            </w:r>
          </w:p>
          <w:p w14:paraId="136C7E88">
            <w:pPr>
              <w:pStyle w:val="23"/>
              <w:wordWrap w:val="0"/>
              <w:overflowPunct w:val="0"/>
              <w:ind w:firstLine="0" w:firstLineChars="0"/>
              <w:jc w:val="right"/>
              <w:rPr>
                <w:rFonts w:hint="eastAsia" w:ascii="宋体" w:hAnsi="宋体" w:cs="宋体"/>
                <w:color w:val="auto"/>
                <w:highlight w:val="none"/>
              </w:rPr>
            </w:pPr>
            <w:r>
              <w:rPr>
                <w:rFonts w:hint="eastAsia"/>
                <w:color w:val="auto"/>
                <w:szCs w:val="28"/>
                <w:highlight w:val="none"/>
              </w:rPr>
              <w:t>　　　年　　月　　日</w:t>
            </w:r>
          </w:p>
        </w:tc>
      </w:tr>
    </w:tbl>
    <w:p w14:paraId="06825874">
      <w:pPr>
        <w:pStyle w:val="23"/>
        <w:wordWrap w:val="0"/>
        <w:overflowPunct w:val="0"/>
        <w:ind w:firstLine="0" w:firstLineChars="0"/>
        <w:rPr>
          <w:rFonts w:hint="eastAsia" w:ascii="宋体" w:hAnsi="宋体" w:cs="宋体"/>
          <w:color w:val="auto"/>
          <w:highlight w:val="none"/>
        </w:rPr>
      </w:pPr>
      <w:r>
        <w:rPr>
          <w:rFonts w:hint="eastAsia" w:ascii="宋体" w:hAnsi="宋体" w:cs="宋体"/>
          <w:color w:val="auto"/>
          <w:highlight w:val="none"/>
        </w:rPr>
        <w:t xml:space="preserve">注：1、按提供的格式或使用从工商管理部门购买的格式填写。 </w:t>
      </w:r>
    </w:p>
    <w:p w14:paraId="51E9A291">
      <w:pPr>
        <w:pStyle w:val="23"/>
        <w:wordWrap w:val="0"/>
        <w:overflowPunct w:val="0"/>
        <w:ind w:firstLine="0" w:firstLineChars="0"/>
        <w:rPr>
          <w:rFonts w:hint="eastAsia" w:ascii="宋体" w:hAnsi="宋体" w:cs="宋体"/>
          <w:color w:val="auto"/>
          <w:highlight w:val="none"/>
        </w:rPr>
      </w:pPr>
      <w:r>
        <w:rPr>
          <w:rFonts w:hint="eastAsia" w:ascii="宋体" w:hAnsi="宋体" w:cs="宋体"/>
          <w:color w:val="auto"/>
          <w:highlight w:val="none"/>
        </w:rPr>
        <w:t xml:space="preserve">    2、如为联合体投标，本法定代表人证明书及授权委托书由联合体</w:t>
      </w:r>
      <w:r>
        <w:rPr>
          <w:rFonts w:hint="eastAsia" w:ascii="宋体" w:hAnsi="宋体" w:cs="宋体"/>
          <w:color w:val="auto"/>
          <w:highlight w:val="none"/>
          <w:lang w:eastAsia="zh-CN"/>
        </w:rPr>
        <w:t>牵头单位</w:t>
      </w:r>
      <w:r>
        <w:rPr>
          <w:rFonts w:hint="eastAsia" w:ascii="宋体" w:hAnsi="宋体" w:cs="宋体"/>
          <w:color w:val="auto"/>
          <w:highlight w:val="none"/>
        </w:rPr>
        <w:t>出具，并由联合体</w:t>
      </w:r>
      <w:r>
        <w:rPr>
          <w:rFonts w:hint="eastAsia" w:ascii="宋体" w:hAnsi="宋体" w:cs="宋体"/>
          <w:color w:val="auto"/>
          <w:highlight w:val="none"/>
          <w:lang w:eastAsia="zh-CN"/>
        </w:rPr>
        <w:t>牵头单位</w:t>
      </w:r>
      <w:r>
        <w:rPr>
          <w:rFonts w:hint="eastAsia" w:ascii="宋体" w:hAnsi="宋体" w:cs="宋体"/>
          <w:color w:val="auto"/>
          <w:highlight w:val="none"/>
        </w:rPr>
        <w:t>签字或盖章即可。</w:t>
      </w:r>
    </w:p>
    <w:p w14:paraId="4005D3EF">
      <w:pPr>
        <w:spacing w:line="360" w:lineRule="auto"/>
        <w:outlineLvl w:val="2"/>
        <w:rPr>
          <w:rFonts w:hint="eastAsia" w:ascii="宋体" w:hAnsi="宋体" w:cs="宋体"/>
          <w:color w:val="auto"/>
          <w:szCs w:val="21"/>
          <w:highlight w:val="none"/>
        </w:rPr>
      </w:pPr>
      <w:r>
        <w:rPr>
          <w:rFonts w:hint="eastAsia" w:ascii="宋体" w:hAnsi="宋体"/>
          <w:b/>
          <w:color w:val="auto"/>
          <w:highlight w:val="none"/>
        </w:rPr>
        <w:br w:type="page"/>
      </w:r>
      <w:r>
        <w:rPr>
          <w:rFonts w:hint="eastAsia" w:ascii="宋体" w:hAnsi="宋体" w:cs="宋体"/>
          <w:b/>
          <w:bCs/>
          <w:color w:val="auto"/>
          <w:sz w:val="24"/>
          <w:szCs w:val="28"/>
          <w:highlight w:val="none"/>
        </w:rPr>
        <w:t>格式二：投标承诺书</w:t>
      </w:r>
    </w:p>
    <w:p w14:paraId="2872F4A0">
      <w:pPr>
        <w:autoSpaceDE w:val="0"/>
        <w:autoSpaceDN w:val="0"/>
        <w:adjustRightInd w:val="0"/>
        <w:spacing w:line="360" w:lineRule="auto"/>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7D147739">
      <w:pPr>
        <w:spacing w:line="360" w:lineRule="auto"/>
        <w:jc w:val="center"/>
        <w:rPr>
          <w:rFonts w:hint="eastAsia" w:ascii="宋体" w:hAnsi="宋体" w:cs="宋体"/>
          <w:b/>
          <w:color w:val="auto"/>
          <w:sz w:val="24"/>
          <w:szCs w:val="24"/>
          <w:highlight w:val="none"/>
        </w:rPr>
      </w:pPr>
    </w:p>
    <w:p w14:paraId="7C1359A9">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（招标人名称）</w:t>
      </w:r>
    </w:p>
    <w:p w14:paraId="08CAB80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我方确认收到贵方提供的</w:t>
      </w:r>
      <w:r>
        <w:rPr>
          <w:rFonts w:hint="eastAsia" w:ascii="宋体" w:hAnsi="宋体" w:cs="宋体"/>
          <w:color w:val="auto"/>
          <w:sz w:val="24"/>
          <w:szCs w:val="24"/>
          <w:highlight w:val="none"/>
          <w:u w:val="single"/>
        </w:rPr>
        <w:t xml:space="preserve">      (工程名称)       </w:t>
      </w:r>
      <w:r>
        <w:rPr>
          <w:rFonts w:hint="eastAsia" w:ascii="宋体" w:hAnsi="宋体" w:cs="宋体"/>
          <w:color w:val="auto"/>
          <w:sz w:val="24"/>
          <w:szCs w:val="24"/>
          <w:highlight w:val="none"/>
        </w:rPr>
        <w:t>招标文件的全部内容，我方：</w:t>
      </w:r>
      <w:r>
        <w:rPr>
          <w:rFonts w:hint="eastAsia" w:ascii="宋体" w:hAnsi="宋体" w:cs="宋体"/>
          <w:color w:val="auto"/>
          <w:sz w:val="24"/>
          <w:szCs w:val="24"/>
          <w:highlight w:val="none"/>
          <w:u w:val="single"/>
        </w:rPr>
        <w:t xml:space="preserve">       (投标人名称)      </w:t>
      </w:r>
      <w:r>
        <w:rPr>
          <w:rFonts w:hint="eastAsia" w:ascii="宋体" w:hAnsi="宋体" w:cs="宋体"/>
          <w:color w:val="auto"/>
          <w:sz w:val="24"/>
          <w:szCs w:val="24"/>
          <w:highlight w:val="none"/>
        </w:rPr>
        <w:t>已作为投标人正式授权</w:t>
      </w:r>
      <w:r>
        <w:rPr>
          <w:rFonts w:hint="eastAsia" w:ascii="宋体" w:hAnsi="宋体" w:cs="宋体"/>
          <w:color w:val="auto"/>
          <w:sz w:val="24"/>
          <w:szCs w:val="24"/>
          <w:highlight w:val="none"/>
          <w:u w:val="single"/>
        </w:rPr>
        <w:t xml:space="preserve">       (授权代表全名，职务)    </w:t>
      </w:r>
      <w:r>
        <w:rPr>
          <w:rFonts w:hint="eastAsia" w:ascii="宋体" w:hAnsi="宋体" w:cs="宋体"/>
          <w:color w:val="auto"/>
          <w:sz w:val="24"/>
          <w:szCs w:val="24"/>
          <w:highlight w:val="none"/>
        </w:rPr>
        <w:t>代表我方进行有关本投标的一切事宜。</w:t>
      </w:r>
    </w:p>
    <w:p w14:paraId="624187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我方已完全明白和接受招标文件的所有条款要求，并重申以下几点：</w:t>
      </w:r>
    </w:p>
    <w:p w14:paraId="7AA15A1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已详细研究并理解招标人提供的所有资料内容，同意招标文件的内容，对招标文件内容和约束无异议，充分了解了现场条件对可能存在的所有风险都已充分考虑，我方放弃在此方面提出含糊意见或误解的一切</w:t>
      </w:r>
      <w:r>
        <w:rPr>
          <w:rFonts w:hint="eastAsia" w:ascii="宋体" w:hAnsi="宋体" w:eastAsia="宋体" w:cs="宋体"/>
          <w:i w:val="0"/>
          <w:iCs w:val="0"/>
          <w:caps w:val="0"/>
          <w:color w:val="auto"/>
          <w:spacing w:val="0"/>
          <w:sz w:val="24"/>
          <w:szCs w:val="24"/>
          <w:highlight w:val="none"/>
          <w:shd w:val="clear" w:color="auto" w:fill="F5F7FA"/>
        </w:rPr>
        <w:t>权利</w:t>
      </w:r>
      <w:r>
        <w:rPr>
          <w:rFonts w:hint="eastAsia" w:ascii="宋体" w:hAnsi="宋体" w:cs="宋体"/>
          <w:color w:val="auto"/>
          <w:sz w:val="24"/>
          <w:szCs w:val="24"/>
          <w:highlight w:val="none"/>
        </w:rPr>
        <w:t>，承认招标文件的所有条款，按招标文件规定条款完成本次招标项目的内容。</w:t>
      </w:r>
    </w:p>
    <w:p w14:paraId="7D365D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2．我方已充分阅读了本项目招标文件并充分了解有关报价方式及变更、结算方式，我方完全响应招标文件的规定。</w:t>
      </w:r>
    </w:p>
    <w:p w14:paraId="51B8946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3．本投标文件的有效期为投标截止日后120天内有效；</w:t>
      </w:r>
    </w:p>
    <w:p w14:paraId="4E50C0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4．我方承诺投标文件中的一切资料、数据是真实的，并承担由此引起的一切责任。</w:t>
      </w:r>
    </w:p>
    <w:p w14:paraId="180A73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5．我方同意按照贵司可能提出的要求而提供与投标有关的任何其它数据或信息。</w:t>
      </w:r>
    </w:p>
    <w:p w14:paraId="110AA85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6．我方如果中标，我方保证：</w:t>
      </w:r>
    </w:p>
    <w:p w14:paraId="4F7BBD8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6.1保证履行招标文件以及招标文件修改书(如有)中的全部责任和义务，在中标通知书规定的时间内签订合同，并严格按国家有关法规履行我方的全部责任，按质、按量、按期完成合同约定的全部任务。</w:t>
      </w:r>
    </w:p>
    <w:p w14:paraId="1C648B3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65E4E2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356156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6.4保证尽一切力量确保投标承诺的竣工日期，若我方未能按投标承诺的工期完成本项目，除承担合同约定的违约责任外，发包人有权解除合同，我方承担由于违约解除合同退场造成的对发包人的一切损失。</w:t>
      </w:r>
    </w:p>
    <w:p w14:paraId="469FEE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6.5保证投标所报的项目负责人（兼施工负责人）、设计负责人在本项目合同签订后7日内到职，全过程服务于本项目，在过程中非不可抗力或发包人要求不得更换。我方违反以上承诺的，同意按合同条款的规定承担违约责任。</w:t>
      </w:r>
    </w:p>
    <w:p w14:paraId="03DFA5B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6.6保证按照招标文件的要求确保安全生产及文明施工，如有违反，我方愿意按合同约定承担违约责任，并为此负相关的法律责任。</w:t>
      </w:r>
    </w:p>
    <w:p w14:paraId="0333C82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6.7保证按国家的有关规定制订保证民工工资支付的方案及保证措施，否则，我方愿按合同条款规定承担违约责任并赔偿发包人的全部损失。</w:t>
      </w:r>
    </w:p>
    <w:p w14:paraId="074F0C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6.8如我司有幸中标，承诺所投入本项目的主要材料、设备质量符合或优于招标人要求，所投入本项目的辅助设备、材料与主要材料、设备质量一致并有良好的配套性，若我方投入本项目的主要材料、设备未能达到发包人要求的，我方将无条件根据要求进行调整，直至得到发包人的认可为止。</w:t>
      </w:r>
    </w:p>
    <w:p w14:paraId="3698567C">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6.9若我方中标，我方承诺拟投入本项目的项目负责人（兼施工负责人）满足《注册建造师管理规定》第21条规定，如出现委派的项目负责人（兼施工负责人）已在其他在建项目中任职</w:t>
      </w:r>
      <w:r>
        <w:rPr>
          <w:rFonts w:hint="eastAsia" w:ascii="宋体" w:hAnsi="宋体"/>
          <w:b/>
          <w:bCs/>
          <w:snapToGrid w:val="0"/>
          <w:color w:val="auto"/>
          <w:spacing w:val="4"/>
          <w:sz w:val="24"/>
          <w:szCs w:val="24"/>
          <w:highlight w:val="none"/>
        </w:rPr>
        <w:t>【包括但不限于</w:t>
      </w:r>
      <w:r>
        <w:rPr>
          <w:rFonts w:hint="eastAsia" w:ascii="宋体" w:hAnsi="宋体"/>
          <w:b/>
          <w:bCs/>
          <w:snapToGrid w:val="0"/>
          <w:color w:val="auto"/>
          <w:spacing w:val="4"/>
          <w:sz w:val="24"/>
          <w:szCs w:val="24"/>
          <w:highlight w:val="none"/>
          <w:lang w:eastAsia="zh-CN"/>
        </w:rPr>
        <w:t>广州交易集团有限公司（广州公共资源交易中心）</w:t>
      </w:r>
      <w:r>
        <w:rPr>
          <w:rFonts w:hint="eastAsia" w:ascii="宋体" w:hAnsi="宋体"/>
          <w:b/>
          <w:bCs/>
          <w:snapToGrid w:val="0"/>
          <w:color w:val="auto"/>
          <w:spacing w:val="4"/>
          <w:sz w:val="24"/>
          <w:szCs w:val="24"/>
          <w:highlight w:val="none"/>
        </w:rPr>
        <w:t>企业库（包含广州市住建行业信用管理平台），广东省建筑市场监管公共服务平台项目负责人锁定情况】</w:t>
      </w:r>
      <w:r>
        <w:rPr>
          <w:rFonts w:hint="eastAsia" w:ascii="宋体" w:hAnsi="宋体" w:cs="宋体"/>
          <w:b/>
          <w:bCs/>
          <w:color w:val="auto"/>
          <w:sz w:val="24"/>
          <w:szCs w:val="24"/>
          <w:highlight w:val="none"/>
        </w:rPr>
        <w:t>，无条件接受招标人取消中标资格。</w:t>
      </w:r>
    </w:p>
    <w:p w14:paraId="63100B9F">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6.10保证严格按照本项目招标文件的</w:t>
      </w:r>
      <w:r>
        <w:rPr>
          <w:rFonts w:hint="eastAsia" w:ascii="宋体" w:hAnsi="宋体" w:cs="宋体"/>
          <w:b/>
          <w:bCs/>
          <w:color w:val="auto"/>
          <w:sz w:val="24"/>
          <w:szCs w:val="24"/>
          <w:highlight w:val="none"/>
          <w:lang w:val="zh-CN"/>
        </w:rPr>
        <w:t>要求</w:t>
      </w:r>
      <w:r>
        <w:rPr>
          <w:rFonts w:hint="eastAsia" w:ascii="宋体" w:hAnsi="宋体" w:cs="宋体"/>
          <w:b/>
          <w:bCs/>
          <w:color w:val="auto"/>
          <w:sz w:val="24"/>
          <w:szCs w:val="24"/>
          <w:highlight w:val="none"/>
        </w:rPr>
        <w:t>配备人员，并将人员名单作为合同签订的附件。我方承诺，上述人员均为我方正式员工，我方在中标后一并提供满足要求的资格资历证明文件以及上述人员在我单位（或联合体单位）的有效社保证明文件供贵单位审核。如配备的人员不满足要求，我方承诺按合同约定承担违约责任。</w:t>
      </w:r>
    </w:p>
    <w:p w14:paraId="6F6BE4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6.11如我司有幸中标，承诺将根据本项目内容编制详细的工程总承包方案及施工组织设计，并报经发包人审批后实施。</w:t>
      </w:r>
    </w:p>
    <w:p w14:paraId="4CD7156B">
      <w:pPr>
        <w:spacing w:line="360" w:lineRule="auto"/>
        <w:ind w:firstLine="482" w:firstLineChars="200"/>
        <w:rPr>
          <w:rFonts w:hint="eastAsia" w:ascii="宋体" w:hAnsi="宋体" w:cs="宋体"/>
          <w:b/>
          <w:color w:val="auto"/>
          <w:sz w:val="24"/>
          <w:szCs w:val="24"/>
          <w:highlight w:val="none"/>
        </w:rPr>
      </w:pPr>
    </w:p>
    <w:p w14:paraId="719F1D45">
      <w:pPr>
        <w:spacing w:line="360" w:lineRule="auto"/>
        <w:ind w:firstLine="3840" w:firstLineChars="16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投标人：    </w:t>
      </w:r>
    </w:p>
    <w:p w14:paraId="1257FD67">
      <w:pPr>
        <w:spacing w:line="360" w:lineRule="auto"/>
        <w:ind w:firstLine="3840" w:firstLineChars="1600"/>
        <w:rPr>
          <w:rFonts w:hint="eastAsia" w:ascii="宋体" w:hAnsi="宋体" w:cs="宋体"/>
          <w:color w:val="auto"/>
          <w:sz w:val="24"/>
          <w:szCs w:val="24"/>
          <w:highlight w:val="none"/>
        </w:rPr>
      </w:pPr>
      <w:r>
        <w:rPr>
          <w:rFonts w:hint="eastAsia" w:ascii="宋体" w:hAnsi="宋体" w:cs="宋体"/>
          <w:color w:val="auto"/>
          <w:sz w:val="24"/>
          <w:szCs w:val="24"/>
          <w:highlight w:val="none"/>
        </w:rPr>
        <w:t>日   期：    年    月    日</w:t>
      </w:r>
    </w:p>
    <w:p w14:paraId="69E7D6E4">
      <w:pPr>
        <w:spacing w:line="360" w:lineRule="auto"/>
        <w:ind w:left="422" w:hanging="482" w:hangingChars="200"/>
        <w:rPr>
          <w:rFonts w:hint="eastAsia" w:ascii="宋体" w:hAnsi="宋体" w:cs="宋体"/>
          <w:snapToGrid w:val="0"/>
          <w:color w:val="auto"/>
          <w:spacing w:val="4"/>
          <w:kern w:val="0"/>
          <w:sz w:val="24"/>
          <w:szCs w:val="24"/>
          <w:highlight w:val="none"/>
        </w:rPr>
      </w:pPr>
      <w:r>
        <w:rPr>
          <w:rFonts w:hint="eastAsia" w:ascii="宋体" w:hAnsi="宋体" w:cs="宋体"/>
          <w:b/>
          <w:color w:val="auto"/>
          <w:sz w:val="24"/>
          <w:szCs w:val="24"/>
          <w:highlight w:val="none"/>
        </w:rPr>
        <w:t>注：联合体投标的，“投标人”一栏需书写所有联合体成员的单位全称，可由</w:t>
      </w:r>
      <w:r>
        <w:rPr>
          <w:rFonts w:hint="eastAsia" w:ascii="宋体" w:hAnsi="宋体" w:cs="宋体"/>
          <w:b/>
          <w:color w:val="auto"/>
          <w:sz w:val="24"/>
          <w:szCs w:val="24"/>
          <w:highlight w:val="none"/>
          <w:lang w:eastAsia="zh-CN"/>
        </w:rPr>
        <w:t>牵头单位</w:t>
      </w:r>
      <w:r>
        <w:rPr>
          <w:rFonts w:hint="eastAsia" w:ascii="宋体" w:hAnsi="宋体" w:cs="宋体"/>
          <w:b/>
          <w:color w:val="auto"/>
          <w:sz w:val="24"/>
          <w:szCs w:val="24"/>
          <w:highlight w:val="none"/>
        </w:rPr>
        <w:t>签署、盖章。</w:t>
      </w:r>
    </w:p>
    <w:p w14:paraId="5C724B5A">
      <w:pPr>
        <w:autoSpaceDE w:val="0"/>
        <w:autoSpaceDN w:val="0"/>
        <w:adjustRightInd w:val="0"/>
        <w:spacing w:line="360" w:lineRule="auto"/>
        <w:outlineLvl w:val="2"/>
        <w:rPr>
          <w:rFonts w:hint="eastAsia" w:ascii="宋体" w:hAnsi="宋体" w:cs="宋体"/>
          <w:b/>
          <w:bCs/>
          <w:color w:val="auto"/>
          <w:sz w:val="24"/>
          <w:szCs w:val="28"/>
          <w:highlight w:val="none"/>
        </w:rPr>
      </w:pPr>
      <w:r>
        <w:rPr>
          <w:rFonts w:hint="eastAsia" w:ascii="宋体" w:hAnsi="宋体" w:cs="宋体"/>
          <w:color w:val="auto"/>
          <w:szCs w:val="21"/>
          <w:highlight w:val="none"/>
        </w:rPr>
        <w:br w:type="page"/>
      </w:r>
      <w:bookmarkStart w:id="1129" w:name="_Toc15967"/>
      <w:bookmarkStart w:id="1130" w:name="_Toc10379"/>
      <w:bookmarkStart w:id="1131" w:name="_Toc13324"/>
      <w:r>
        <w:rPr>
          <w:rFonts w:hint="eastAsia" w:ascii="宋体" w:hAnsi="宋体" w:cs="宋体"/>
          <w:b/>
          <w:bCs/>
          <w:color w:val="auto"/>
          <w:sz w:val="24"/>
          <w:szCs w:val="28"/>
          <w:highlight w:val="none"/>
        </w:rPr>
        <w:t>格式三：投标书</w:t>
      </w:r>
      <w:bookmarkEnd w:id="1129"/>
      <w:bookmarkEnd w:id="1130"/>
    </w:p>
    <w:p w14:paraId="73FFB524">
      <w:pPr>
        <w:autoSpaceDE w:val="0"/>
        <w:autoSpaceDN w:val="0"/>
        <w:adjustRightIn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zh-CN"/>
        </w:rPr>
        <w:t>投标书</w:t>
      </w:r>
    </w:p>
    <w:p w14:paraId="7E5BF503">
      <w:pPr>
        <w:wordWrap w:val="0"/>
        <w:autoSpaceDE w:val="0"/>
        <w:autoSpaceDN w:val="0"/>
        <w:adjustRightInd w:val="0"/>
        <w:spacing w:line="360" w:lineRule="auto"/>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zh-CN"/>
        </w:rPr>
        <w:t>投标日期：   年  月  日</w:t>
      </w:r>
    </w:p>
    <w:tbl>
      <w:tblPr>
        <w:tblStyle w:val="18"/>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534"/>
        <w:gridCol w:w="1831"/>
        <w:gridCol w:w="4561"/>
      </w:tblGrid>
      <w:tr w14:paraId="749D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68" w:type="dxa"/>
            <w:gridSpan w:val="2"/>
            <w:tcBorders>
              <w:top w:val="single" w:color="auto" w:sz="4" w:space="0"/>
              <w:left w:val="single" w:color="auto" w:sz="4" w:space="0"/>
              <w:bottom w:val="single" w:color="auto" w:sz="4" w:space="0"/>
              <w:right w:val="single" w:color="auto" w:sz="4" w:space="0"/>
            </w:tcBorders>
            <w:noWrap w:val="0"/>
            <w:vAlign w:val="center"/>
          </w:tcPr>
          <w:p w14:paraId="62F7F710">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lang w:val="zh-CN"/>
              </w:rPr>
              <w:t>工程名称</w:t>
            </w:r>
          </w:p>
        </w:tc>
        <w:tc>
          <w:tcPr>
            <w:tcW w:w="6392" w:type="dxa"/>
            <w:gridSpan w:val="2"/>
            <w:tcBorders>
              <w:top w:val="single" w:color="auto" w:sz="4" w:space="0"/>
              <w:left w:val="single" w:color="auto" w:sz="4" w:space="0"/>
              <w:bottom w:val="single" w:color="auto" w:sz="4" w:space="0"/>
              <w:right w:val="single" w:color="auto" w:sz="4" w:space="0"/>
            </w:tcBorders>
            <w:noWrap w:val="0"/>
            <w:vAlign w:val="center"/>
          </w:tcPr>
          <w:p w14:paraId="3098D7BD">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3AB7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568" w:type="dxa"/>
            <w:gridSpan w:val="2"/>
            <w:vMerge w:val="restart"/>
            <w:tcBorders>
              <w:top w:val="single" w:color="auto" w:sz="4" w:space="0"/>
              <w:left w:val="single" w:color="auto" w:sz="4" w:space="0"/>
              <w:right w:val="single" w:color="auto" w:sz="4" w:space="0"/>
            </w:tcBorders>
            <w:noWrap w:val="0"/>
            <w:vAlign w:val="center"/>
          </w:tcPr>
          <w:p w14:paraId="3FEAEB0D">
            <w:pPr>
              <w:autoSpaceDE w:val="0"/>
              <w:autoSpaceDN w:val="0"/>
              <w:adjustRightInd w:val="0"/>
              <w:snapToGrid w:val="0"/>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bCs/>
                <w:color w:val="auto"/>
                <w:sz w:val="21"/>
                <w:szCs w:val="21"/>
                <w:highlight w:val="none"/>
                <w:lang w:val="zh-CN"/>
              </w:rPr>
              <w:t>投标总报价</w:t>
            </w:r>
            <w:r>
              <w:rPr>
                <w:rFonts w:hint="eastAsia" w:ascii="宋体" w:hAnsi="宋体" w:eastAsia="宋体" w:cs="宋体"/>
                <w:b/>
                <w:color w:val="auto"/>
                <w:sz w:val="21"/>
                <w:szCs w:val="21"/>
                <w:highlight w:val="none"/>
                <w:lang w:val="zh-CN"/>
              </w:rPr>
              <w:t>（元）</w:t>
            </w:r>
          </w:p>
        </w:tc>
        <w:tc>
          <w:tcPr>
            <w:tcW w:w="6392" w:type="dxa"/>
            <w:gridSpan w:val="2"/>
            <w:tcBorders>
              <w:top w:val="single" w:color="auto" w:sz="4" w:space="0"/>
              <w:left w:val="single" w:color="auto" w:sz="4" w:space="0"/>
              <w:bottom w:val="single" w:color="auto" w:sz="4" w:space="0"/>
              <w:right w:val="single" w:color="auto" w:sz="4" w:space="0"/>
            </w:tcBorders>
            <w:noWrap w:val="0"/>
            <w:vAlign w:val="center"/>
          </w:tcPr>
          <w:p w14:paraId="6CC38B50">
            <w:pPr>
              <w:autoSpaceDE w:val="0"/>
              <w:autoSpaceDN w:val="0"/>
              <w:adjustRightInd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大写：</w:t>
            </w:r>
          </w:p>
        </w:tc>
      </w:tr>
      <w:tr w14:paraId="5462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68" w:type="dxa"/>
            <w:gridSpan w:val="2"/>
            <w:vMerge w:val="continue"/>
            <w:tcBorders>
              <w:left w:val="single" w:color="auto" w:sz="4" w:space="0"/>
              <w:bottom w:val="single" w:color="auto" w:sz="4" w:space="0"/>
              <w:right w:val="single" w:color="auto" w:sz="4" w:space="0"/>
            </w:tcBorders>
            <w:noWrap w:val="0"/>
            <w:vAlign w:val="center"/>
          </w:tcPr>
          <w:p w14:paraId="6F2F7ADC">
            <w:pPr>
              <w:autoSpaceDE w:val="0"/>
              <w:autoSpaceDN w:val="0"/>
              <w:adjustRightInd w:val="0"/>
              <w:snapToGrid w:val="0"/>
              <w:spacing w:line="360" w:lineRule="auto"/>
              <w:jc w:val="center"/>
              <w:rPr>
                <w:rFonts w:hint="eastAsia" w:ascii="宋体" w:hAnsi="宋体" w:eastAsia="宋体" w:cs="宋体"/>
                <w:b/>
                <w:color w:val="auto"/>
                <w:sz w:val="21"/>
                <w:szCs w:val="21"/>
                <w:highlight w:val="none"/>
                <w:lang w:val="zh-CN"/>
              </w:rPr>
            </w:pPr>
          </w:p>
        </w:tc>
        <w:tc>
          <w:tcPr>
            <w:tcW w:w="6392" w:type="dxa"/>
            <w:gridSpan w:val="2"/>
            <w:tcBorders>
              <w:top w:val="single" w:color="auto" w:sz="4" w:space="0"/>
              <w:left w:val="single" w:color="auto" w:sz="4" w:space="0"/>
              <w:bottom w:val="single" w:color="auto" w:sz="4" w:space="0"/>
              <w:right w:val="single" w:color="auto" w:sz="4" w:space="0"/>
            </w:tcBorders>
            <w:noWrap w:val="0"/>
            <w:vAlign w:val="center"/>
          </w:tcPr>
          <w:p w14:paraId="33302FE2">
            <w:pPr>
              <w:autoSpaceDE w:val="0"/>
              <w:autoSpaceDN w:val="0"/>
              <w:adjustRightInd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小写：</w:t>
            </w:r>
          </w:p>
        </w:tc>
      </w:tr>
      <w:tr w14:paraId="6C20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34" w:type="dxa"/>
            <w:vMerge w:val="restart"/>
            <w:tcBorders>
              <w:top w:val="single" w:color="auto" w:sz="4" w:space="0"/>
              <w:left w:val="single" w:color="auto" w:sz="4" w:space="0"/>
              <w:right w:val="single" w:color="auto" w:sz="4" w:space="0"/>
            </w:tcBorders>
            <w:noWrap w:val="0"/>
            <w:vAlign w:val="center"/>
          </w:tcPr>
          <w:p w14:paraId="01B7D5B5">
            <w:pPr>
              <w:adjustRightInd w:val="0"/>
              <w:snapToGrid w:val="0"/>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其中</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6FDE8ABE">
            <w:pPr>
              <w:autoSpaceDE w:val="0"/>
              <w:autoSpaceDN w:val="0"/>
              <w:adjustRightInd w:val="0"/>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设计费（元）</w:t>
            </w:r>
          </w:p>
        </w:tc>
        <w:tc>
          <w:tcPr>
            <w:tcW w:w="6392" w:type="dxa"/>
            <w:gridSpan w:val="2"/>
            <w:tcBorders>
              <w:top w:val="single" w:color="auto" w:sz="4" w:space="0"/>
              <w:left w:val="single" w:color="auto" w:sz="4" w:space="0"/>
              <w:bottom w:val="single" w:color="auto" w:sz="4" w:space="0"/>
              <w:right w:val="single" w:color="auto" w:sz="4" w:space="0"/>
            </w:tcBorders>
            <w:noWrap w:val="0"/>
            <w:vAlign w:val="center"/>
          </w:tcPr>
          <w:p w14:paraId="4D850487">
            <w:pPr>
              <w:autoSpaceDE w:val="0"/>
              <w:autoSpaceDN w:val="0"/>
              <w:adjustRightInd w:val="0"/>
              <w:spacing w:line="360" w:lineRule="auto"/>
              <w:jc w:val="left"/>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p>
          <w:p w14:paraId="5BD2218D">
            <w:pPr>
              <w:autoSpaceDE w:val="0"/>
              <w:autoSpaceDN w:val="0"/>
              <w:adjustRightInd w:val="0"/>
              <w:spacing w:line="360" w:lineRule="auto"/>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大写：</w:t>
            </w:r>
            <w:r>
              <w:rPr>
                <w:rFonts w:hint="eastAsia" w:ascii="宋体" w:hAnsi="宋体" w:eastAsia="宋体" w:cs="宋体"/>
                <w:b/>
                <w:color w:val="auto"/>
                <w:sz w:val="21"/>
                <w:szCs w:val="21"/>
                <w:highlight w:val="none"/>
                <w:u w:val="single"/>
                <w:lang w:val="en-US" w:eastAsia="zh-CN"/>
              </w:rPr>
              <w:t xml:space="preserve">                      </w:t>
            </w:r>
          </w:p>
        </w:tc>
      </w:tr>
      <w:tr w14:paraId="46F9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34" w:type="dxa"/>
            <w:vMerge w:val="continue"/>
            <w:tcBorders>
              <w:left w:val="single" w:color="auto" w:sz="4" w:space="0"/>
              <w:right w:val="single" w:color="auto" w:sz="4" w:space="0"/>
            </w:tcBorders>
            <w:noWrap w:val="0"/>
            <w:vAlign w:val="center"/>
          </w:tcPr>
          <w:p w14:paraId="7D9D1FDB">
            <w:pPr>
              <w:autoSpaceDE w:val="0"/>
              <w:autoSpaceDN w:val="0"/>
              <w:adjustRightInd w:val="0"/>
              <w:spacing w:line="360" w:lineRule="auto"/>
              <w:jc w:val="center"/>
              <w:rPr>
                <w:rFonts w:hint="eastAsia" w:ascii="宋体" w:hAnsi="宋体" w:eastAsia="宋体" w:cs="宋体"/>
                <w:b/>
                <w:color w:val="auto"/>
                <w:sz w:val="21"/>
                <w:szCs w:val="21"/>
                <w:highlight w:val="none"/>
                <w:lang w:val="zh-CN"/>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14:paraId="00C4F967">
            <w:pPr>
              <w:autoSpaceDE w:val="0"/>
              <w:autoSpaceDN w:val="0"/>
              <w:adjustRightInd w:val="0"/>
              <w:spacing w:line="360" w:lineRule="auto"/>
              <w:jc w:val="center"/>
              <w:rPr>
                <w:rFonts w:hint="eastAsia" w:ascii="宋体" w:hAnsi="宋体" w:eastAsia="宋体" w:cs="宋体"/>
                <w:b/>
                <w:color w:val="auto"/>
                <w:sz w:val="21"/>
                <w:szCs w:val="21"/>
                <w:highlight w:val="none"/>
                <w:lang w:val="zh-CN"/>
              </w:rPr>
            </w:pPr>
            <w:r>
              <w:rPr>
                <w:rFonts w:hint="eastAsia" w:ascii="宋体" w:hAnsi="宋体" w:cs="宋体"/>
                <w:b/>
                <w:color w:val="auto"/>
                <w:sz w:val="21"/>
                <w:szCs w:val="21"/>
                <w:highlight w:val="none"/>
                <w:lang w:val="zh-CN"/>
              </w:rPr>
              <w:t>建安工程费</w:t>
            </w:r>
            <w:r>
              <w:rPr>
                <w:rFonts w:hint="eastAsia" w:ascii="宋体" w:hAnsi="宋体" w:eastAsia="宋体" w:cs="宋体"/>
                <w:b/>
                <w:color w:val="auto"/>
                <w:sz w:val="21"/>
                <w:szCs w:val="21"/>
                <w:highlight w:val="none"/>
                <w:lang w:val="zh-CN"/>
              </w:rPr>
              <w:t>（元）</w:t>
            </w:r>
          </w:p>
        </w:tc>
        <w:tc>
          <w:tcPr>
            <w:tcW w:w="6392" w:type="dxa"/>
            <w:gridSpan w:val="2"/>
            <w:tcBorders>
              <w:top w:val="single" w:color="auto" w:sz="4" w:space="0"/>
              <w:left w:val="single" w:color="auto" w:sz="4" w:space="0"/>
              <w:bottom w:val="single" w:color="auto" w:sz="4" w:space="0"/>
              <w:right w:val="single" w:color="auto" w:sz="4" w:space="0"/>
            </w:tcBorders>
            <w:noWrap w:val="0"/>
            <w:vAlign w:val="center"/>
          </w:tcPr>
          <w:p w14:paraId="639EBA31">
            <w:pPr>
              <w:autoSpaceDE w:val="0"/>
              <w:autoSpaceDN w:val="0"/>
              <w:adjustRightInd w:val="0"/>
              <w:spacing w:line="360" w:lineRule="auto"/>
              <w:jc w:val="left"/>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p>
          <w:p w14:paraId="590AFF82">
            <w:pPr>
              <w:autoSpaceDE w:val="0"/>
              <w:autoSpaceDN w:val="0"/>
              <w:adjustRightInd w:val="0"/>
              <w:snapToGrid w:val="0"/>
              <w:spacing w:line="360" w:lineRule="auto"/>
              <w:jc w:val="both"/>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大写：</w:t>
            </w:r>
            <w:r>
              <w:rPr>
                <w:rFonts w:hint="eastAsia" w:ascii="宋体" w:hAnsi="宋体" w:eastAsia="宋体" w:cs="宋体"/>
                <w:b/>
                <w:color w:val="auto"/>
                <w:sz w:val="21"/>
                <w:szCs w:val="21"/>
                <w:highlight w:val="none"/>
                <w:u w:val="single"/>
                <w:lang w:val="en-US" w:eastAsia="zh-CN"/>
              </w:rPr>
              <w:t xml:space="preserve">                      </w:t>
            </w:r>
          </w:p>
          <w:p w14:paraId="30A8496E">
            <w:pPr>
              <w:autoSpaceDE w:val="0"/>
              <w:autoSpaceDN w:val="0"/>
              <w:adjustRightInd w:val="0"/>
              <w:snapToGrid w:val="0"/>
              <w:spacing w:line="360" w:lineRule="auto"/>
              <w:jc w:val="both"/>
              <w:rPr>
                <w:rFonts w:hint="default"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u w:val="none"/>
                <w:lang w:val="en-US" w:eastAsia="zh-CN"/>
              </w:rPr>
              <w:t>投标下浮率：</w:t>
            </w:r>
            <w:r>
              <w:rPr>
                <w:rFonts w:hint="eastAsia" w:ascii="宋体" w:hAnsi="宋体" w:eastAsia="宋体" w:cs="宋体"/>
                <w:b/>
                <w:color w:val="auto"/>
                <w:sz w:val="21"/>
                <w:szCs w:val="21"/>
                <w:highlight w:val="none"/>
                <w:u w:val="single"/>
                <w:lang w:val="en-US" w:eastAsia="zh-CN"/>
              </w:rPr>
              <w:t xml:space="preserve">       %</w:t>
            </w:r>
          </w:p>
        </w:tc>
      </w:tr>
      <w:tr w14:paraId="6D47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568" w:type="dxa"/>
            <w:gridSpan w:val="2"/>
            <w:tcBorders>
              <w:top w:val="single" w:color="auto" w:sz="4" w:space="0"/>
              <w:left w:val="single" w:color="auto" w:sz="4" w:space="0"/>
              <w:bottom w:val="single" w:color="auto" w:sz="4" w:space="0"/>
              <w:right w:val="single" w:color="auto" w:sz="4" w:space="0"/>
            </w:tcBorders>
            <w:noWrap w:val="0"/>
            <w:vAlign w:val="center"/>
          </w:tcPr>
          <w:p w14:paraId="6DF1AA79">
            <w:pPr>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总工期</w:t>
            </w:r>
          </w:p>
        </w:tc>
        <w:tc>
          <w:tcPr>
            <w:tcW w:w="6392" w:type="dxa"/>
            <w:gridSpan w:val="2"/>
            <w:tcBorders>
              <w:top w:val="single" w:color="auto" w:sz="4" w:space="0"/>
              <w:left w:val="single" w:color="auto" w:sz="4" w:space="0"/>
              <w:bottom w:val="single" w:color="auto" w:sz="4" w:space="0"/>
              <w:right w:val="single" w:color="auto" w:sz="4" w:space="0"/>
            </w:tcBorders>
            <w:noWrap w:val="0"/>
            <w:vAlign w:val="center"/>
          </w:tcPr>
          <w:p w14:paraId="21D598E2">
            <w:pPr>
              <w:autoSpaceDE w:val="0"/>
              <w:autoSpaceDN w:val="0"/>
              <w:adjustRightInd w:val="0"/>
              <w:spacing w:line="360" w:lineRule="auto"/>
              <w:ind w:left="207" w:hanging="207" w:hangingChars="98"/>
              <w:jc w:val="center"/>
              <w:rPr>
                <w:rFonts w:hint="eastAsia" w:ascii="宋体" w:hAnsi="宋体" w:eastAsia="宋体" w:cs="宋体"/>
                <w:b/>
                <w:bCs/>
                <w:color w:val="auto"/>
                <w:sz w:val="21"/>
                <w:szCs w:val="21"/>
                <w:highlight w:val="none"/>
                <w:u w:val="single"/>
                <w:lang w:val="zh-CN"/>
              </w:rPr>
            </w:pPr>
          </w:p>
        </w:tc>
      </w:tr>
      <w:tr w14:paraId="7980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left w:val="single" w:color="auto" w:sz="4" w:space="0"/>
              <w:bottom w:val="single" w:color="auto" w:sz="4" w:space="0"/>
              <w:right w:val="single" w:color="auto" w:sz="4" w:space="0"/>
            </w:tcBorders>
            <w:noWrap w:val="0"/>
            <w:vAlign w:val="center"/>
          </w:tcPr>
          <w:p w14:paraId="0996A84D">
            <w:pPr>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bCs/>
                <w:color w:val="auto"/>
                <w:sz w:val="21"/>
                <w:szCs w:val="21"/>
                <w:highlight w:val="none"/>
                <w:lang w:val="zh-CN"/>
              </w:rPr>
              <w:t>质量标准</w:t>
            </w:r>
          </w:p>
        </w:tc>
        <w:tc>
          <w:tcPr>
            <w:tcW w:w="6392" w:type="dxa"/>
            <w:gridSpan w:val="2"/>
            <w:tcBorders>
              <w:top w:val="single" w:color="auto" w:sz="4" w:space="0"/>
              <w:left w:val="single" w:color="auto" w:sz="4" w:space="0"/>
              <w:bottom w:val="single" w:color="auto" w:sz="4" w:space="0"/>
              <w:right w:val="single" w:color="auto" w:sz="4" w:space="0"/>
            </w:tcBorders>
            <w:noWrap w:val="0"/>
            <w:vAlign w:val="center"/>
          </w:tcPr>
          <w:p w14:paraId="735FEDFC">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52D5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noWrap w:val="0"/>
            <w:vAlign w:val="center"/>
          </w:tcPr>
          <w:p w14:paraId="3D966713">
            <w:pPr>
              <w:autoSpaceDE w:val="0"/>
              <w:autoSpaceDN w:val="0"/>
              <w:adjustRightInd w:val="0"/>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保修期限</w:t>
            </w:r>
          </w:p>
        </w:tc>
        <w:tc>
          <w:tcPr>
            <w:tcW w:w="6392" w:type="dxa"/>
            <w:gridSpan w:val="2"/>
            <w:tcBorders>
              <w:top w:val="single" w:color="auto" w:sz="4" w:space="0"/>
              <w:left w:val="single" w:color="auto" w:sz="4" w:space="0"/>
              <w:bottom w:val="single" w:color="auto" w:sz="4" w:space="0"/>
              <w:right w:val="single" w:color="auto" w:sz="4" w:space="0"/>
            </w:tcBorders>
            <w:noWrap w:val="0"/>
            <w:vAlign w:val="center"/>
          </w:tcPr>
          <w:p w14:paraId="0E5FDE59">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3028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noWrap w:val="0"/>
            <w:vAlign w:val="center"/>
          </w:tcPr>
          <w:p w14:paraId="5007F1DC">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lang w:val="zh-CN"/>
              </w:rPr>
              <w:t>委派的项目负责人（兼施工负责人）</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10CCCAD">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姓名及证书号</w:t>
            </w:r>
          </w:p>
        </w:tc>
        <w:tc>
          <w:tcPr>
            <w:tcW w:w="4561" w:type="dxa"/>
            <w:tcBorders>
              <w:top w:val="single" w:color="auto" w:sz="4" w:space="0"/>
              <w:left w:val="single" w:color="auto" w:sz="4" w:space="0"/>
              <w:bottom w:val="single" w:color="auto" w:sz="4" w:space="0"/>
              <w:right w:val="single" w:color="auto" w:sz="4" w:space="0"/>
            </w:tcBorders>
            <w:noWrap w:val="0"/>
            <w:vAlign w:val="top"/>
          </w:tcPr>
          <w:p w14:paraId="6EF4A493">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283E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noWrap w:val="0"/>
            <w:vAlign w:val="center"/>
          </w:tcPr>
          <w:p w14:paraId="4FF72EDF">
            <w:pPr>
              <w:autoSpaceDE w:val="0"/>
              <w:autoSpaceDN w:val="0"/>
              <w:adjustRightIn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委派的施工技术负责人</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310B3E">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姓名及证书号</w:t>
            </w:r>
          </w:p>
        </w:tc>
        <w:tc>
          <w:tcPr>
            <w:tcW w:w="4561" w:type="dxa"/>
            <w:tcBorders>
              <w:top w:val="single" w:color="auto" w:sz="4" w:space="0"/>
              <w:left w:val="single" w:color="auto" w:sz="4" w:space="0"/>
              <w:bottom w:val="single" w:color="auto" w:sz="4" w:space="0"/>
              <w:right w:val="single" w:color="auto" w:sz="4" w:space="0"/>
            </w:tcBorders>
            <w:noWrap w:val="0"/>
            <w:vAlign w:val="top"/>
          </w:tcPr>
          <w:p w14:paraId="113B7C5A">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53A6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noWrap w:val="0"/>
            <w:vAlign w:val="center"/>
          </w:tcPr>
          <w:p w14:paraId="7AA3A285">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lang w:val="zh-CN"/>
              </w:rPr>
              <w:t>委派的</w:t>
            </w:r>
            <w:r>
              <w:rPr>
                <w:rFonts w:hint="eastAsia" w:ascii="宋体" w:hAnsi="宋体" w:eastAsia="宋体" w:cs="宋体"/>
                <w:b/>
                <w:bCs/>
                <w:color w:val="auto"/>
                <w:sz w:val="21"/>
                <w:szCs w:val="21"/>
                <w:highlight w:val="none"/>
                <w:lang w:val="zh-CN"/>
              </w:rPr>
              <w:t>设计负责人</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38702D">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姓名及证书号</w:t>
            </w:r>
          </w:p>
        </w:tc>
        <w:tc>
          <w:tcPr>
            <w:tcW w:w="4561" w:type="dxa"/>
            <w:tcBorders>
              <w:top w:val="single" w:color="auto" w:sz="4" w:space="0"/>
              <w:left w:val="single" w:color="auto" w:sz="4" w:space="0"/>
              <w:bottom w:val="single" w:color="auto" w:sz="4" w:space="0"/>
              <w:right w:val="single" w:color="auto" w:sz="4" w:space="0"/>
            </w:tcBorders>
            <w:noWrap w:val="0"/>
            <w:vAlign w:val="top"/>
          </w:tcPr>
          <w:p w14:paraId="6252470D">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5F02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right w:val="single" w:color="auto" w:sz="4" w:space="0"/>
            </w:tcBorders>
            <w:noWrap w:val="0"/>
            <w:vAlign w:val="center"/>
          </w:tcPr>
          <w:p w14:paraId="336DFE66">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lang w:val="zh-CN"/>
              </w:rPr>
              <w:t>委派的专职</w:t>
            </w:r>
            <w:r>
              <w:rPr>
                <w:rFonts w:hint="eastAsia" w:ascii="宋体" w:hAnsi="宋体" w:eastAsia="宋体" w:cs="宋体"/>
                <w:b/>
                <w:bCs/>
                <w:color w:val="auto"/>
                <w:sz w:val="21"/>
                <w:szCs w:val="21"/>
                <w:highlight w:val="none"/>
                <w:lang w:val="zh-CN"/>
              </w:rPr>
              <w:t>安全员</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6559A1">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姓名及证书号</w:t>
            </w:r>
          </w:p>
        </w:tc>
        <w:tc>
          <w:tcPr>
            <w:tcW w:w="4561" w:type="dxa"/>
            <w:tcBorders>
              <w:top w:val="single" w:color="auto" w:sz="4" w:space="0"/>
              <w:left w:val="single" w:color="auto" w:sz="4" w:space="0"/>
              <w:bottom w:val="single" w:color="auto" w:sz="4" w:space="0"/>
              <w:right w:val="single" w:color="auto" w:sz="4" w:space="0"/>
            </w:tcBorders>
            <w:noWrap w:val="0"/>
            <w:vAlign w:val="top"/>
          </w:tcPr>
          <w:p w14:paraId="513F4BFF">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2739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568" w:type="dxa"/>
            <w:gridSpan w:val="2"/>
            <w:tcBorders>
              <w:top w:val="single" w:color="auto" w:sz="4" w:space="0"/>
              <w:left w:val="single" w:color="auto" w:sz="4" w:space="0"/>
              <w:bottom w:val="single" w:color="auto" w:sz="4" w:space="0"/>
              <w:right w:val="single" w:color="auto" w:sz="4" w:space="0"/>
            </w:tcBorders>
            <w:noWrap w:val="0"/>
            <w:vAlign w:val="center"/>
          </w:tcPr>
          <w:p w14:paraId="6AF8CA48">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投标单位</w:t>
            </w:r>
          </w:p>
        </w:tc>
        <w:tc>
          <w:tcPr>
            <w:tcW w:w="6392" w:type="dxa"/>
            <w:gridSpan w:val="2"/>
            <w:tcBorders>
              <w:top w:val="single" w:color="auto" w:sz="4" w:space="0"/>
              <w:left w:val="single" w:color="auto" w:sz="4" w:space="0"/>
              <w:bottom w:val="single" w:color="auto" w:sz="4" w:space="0"/>
              <w:right w:val="single" w:color="auto" w:sz="4" w:space="0"/>
            </w:tcBorders>
            <w:noWrap w:val="0"/>
            <w:vAlign w:val="center"/>
          </w:tcPr>
          <w:p w14:paraId="6C2C74D6">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bl>
    <w:p w14:paraId="506D2559">
      <w:pPr>
        <w:spacing w:line="36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注：（1）联合体投标的，“投标单位”一栏需书写所有联合体成员的单位全称。</w:t>
      </w:r>
    </w:p>
    <w:p w14:paraId="42904D41">
      <w:pPr>
        <w:spacing w:line="360" w:lineRule="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2</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建安工程费投标下浮率=（建安工程费投标报价</w:t>
      </w:r>
      <w:r>
        <w:rPr>
          <w:rFonts w:hint="default" w:ascii="Arial" w:hAnsi="Arial" w:cs="Arial"/>
          <w:bCs/>
          <w:color w:val="auto"/>
          <w:kern w:val="0"/>
          <w:sz w:val="21"/>
          <w:szCs w:val="21"/>
          <w:highlight w:val="none"/>
          <w:lang w:val="en-US" w:eastAsia="zh-CN"/>
        </w:rPr>
        <w:t>÷</w:t>
      </w:r>
      <w:r>
        <w:rPr>
          <w:rFonts w:hint="eastAsia" w:ascii="宋体" w:hAnsi="宋体" w:cs="宋体"/>
          <w:bCs/>
          <w:color w:val="auto"/>
          <w:kern w:val="0"/>
          <w:sz w:val="21"/>
          <w:szCs w:val="21"/>
          <w:highlight w:val="none"/>
          <w:lang w:val="en-US" w:eastAsia="zh-CN"/>
        </w:rPr>
        <w:t>建安工程费最高投标限价）</w:t>
      </w:r>
      <w:r>
        <w:rPr>
          <w:rFonts w:hint="default" w:ascii="Arial" w:hAnsi="Arial" w:cs="Arial"/>
          <w:bCs/>
          <w:color w:val="auto"/>
          <w:kern w:val="0"/>
          <w:sz w:val="21"/>
          <w:szCs w:val="21"/>
          <w:highlight w:val="none"/>
          <w:lang w:val="en-US" w:eastAsia="zh-CN"/>
        </w:rPr>
        <w:t>×</w:t>
      </w:r>
      <w:r>
        <w:rPr>
          <w:rFonts w:hint="eastAsia" w:ascii="宋体" w:hAnsi="宋体" w:cs="宋体"/>
          <w:bCs/>
          <w:color w:val="auto"/>
          <w:kern w:val="0"/>
          <w:sz w:val="21"/>
          <w:szCs w:val="21"/>
          <w:highlight w:val="none"/>
          <w:lang w:val="en-US" w:eastAsia="zh-CN"/>
        </w:rPr>
        <w:t>100%。</w:t>
      </w:r>
    </w:p>
    <w:p w14:paraId="51344E25">
      <w:pPr>
        <w:spacing w:line="360" w:lineRule="auto"/>
        <w:rPr>
          <w:rFonts w:hint="eastAsia" w:ascii="宋体" w:hAnsi="宋体" w:cs="宋体"/>
          <w:b/>
          <w:color w:val="auto"/>
          <w:sz w:val="24"/>
          <w:szCs w:val="24"/>
          <w:highlight w:val="none"/>
          <w:lang w:val="zh-CN"/>
        </w:rPr>
      </w:pP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）投标报价的大写金额和小写金额不一致的，以大写金额为准，投标报价</w:t>
      </w:r>
      <w:r>
        <w:rPr>
          <w:rFonts w:hint="eastAsia" w:ascii="宋体" w:hAnsi="宋体" w:cs="宋体"/>
          <w:bCs/>
          <w:color w:val="auto"/>
          <w:kern w:val="0"/>
          <w:sz w:val="21"/>
          <w:szCs w:val="21"/>
          <w:highlight w:val="none"/>
          <w:lang w:val="en-US" w:eastAsia="zh-CN"/>
        </w:rPr>
        <w:t>和建安工程费投标下浮率均</w:t>
      </w:r>
      <w:r>
        <w:rPr>
          <w:rFonts w:hint="eastAsia" w:ascii="宋体" w:hAnsi="宋体" w:eastAsia="宋体" w:cs="宋体"/>
          <w:bCs/>
          <w:color w:val="auto"/>
          <w:kern w:val="0"/>
          <w:sz w:val="21"/>
          <w:szCs w:val="21"/>
          <w:highlight w:val="none"/>
        </w:rPr>
        <w:t>精确到小数点后两位。</w:t>
      </w:r>
      <w:bookmarkStart w:id="1132" w:name="_Toc28061"/>
      <w:r>
        <w:rPr>
          <w:rFonts w:hint="eastAsia" w:ascii="宋体" w:hAnsi="宋体" w:eastAsia="宋体" w:cs="宋体"/>
          <w:b/>
          <w:color w:val="auto"/>
          <w:sz w:val="21"/>
          <w:szCs w:val="21"/>
          <w:highlight w:val="none"/>
        </w:rPr>
        <w:br w:type="page"/>
      </w:r>
      <w:r>
        <w:rPr>
          <w:rFonts w:hint="eastAsia" w:ascii="宋体" w:hAnsi="宋体" w:cs="宋体"/>
          <w:b/>
          <w:color w:val="auto"/>
          <w:sz w:val="24"/>
          <w:szCs w:val="24"/>
          <w:highlight w:val="none"/>
        </w:rPr>
        <w:t>格式四：</w:t>
      </w:r>
      <w:r>
        <w:rPr>
          <w:rFonts w:hint="eastAsia" w:ascii="宋体" w:hAnsi="宋体" w:cs="宋体"/>
          <w:b/>
          <w:color w:val="auto"/>
          <w:sz w:val="24"/>
          <w:szCs w:val="24"/>
          <w:highlight w:val="none"/>
          <w:lang w:val="zh-CN"/>
        </w:rPr>
        <w:t>参与编制投标文件人员名单</w:t>
      </w:r>
      <w:bookmarkEnd w:id="1131"/>
      <w:bookmarkEnd w:id="1132"/>
    </w:p>
    <w:p w14:paraId="594FBE3D">
      <w:pPr>
        <w:spacing w:line="360" w:lineRule="auto"/>
        <w:rPr>
          <w:rFonts w:hint="eastAsia" w:ascii="宋体" w:hAnsi="宋体" w:cs="宋体"/>
          <w:b/>
          <w:color w:val="auto"/>
          <w:sz w:val="24"/>
          <w:szCs w:val="24"/>
          <w:highlight w:val="none"/>
          <w:lang w:val="zh-CN"/>
        </w:rPr>
      </w:pPr>
    </w:p>
    <w:p w14:paraId="540B2370">
      <w:pPr>
        <w:autoSpaceDE w:val="0"/>
        <w:autoSpaceDN w:val="0"/>
        <w:adjustRightInd w:val="0"/>
        <w:spacing w:line="360" w:lineRule="auto"/>
        <w:jc w:val="center"/>
        <w:rPr>
          <w:rFonts w:hint="eastAsia" w:ascii="宋体" w:hAnsi="宋体" w:cs="宋体"/>
          <w:caps/>
          <w:color w:val="auto"/>
          <w:sz w:val="24"/>
          <w:szCs w:val="24"/>
          <w:highlight w:val="none"/>
        </w:rPr>
      </w:pPr>
      <w:r>
        <w:rPr>
          <w:rFonts w:hint="eastAsia" w:ascii="宋体" w:hAnsi="宋体" w:cs="宋体"/>
          <w:b/>
          <w:bCs/>
          <w:color w:val="auto"/>
          <w:sz w:val="28"/>
          <w:szCs w:val="28"/>
          <w:highlight w:val="none"/>
          <w:lang w:val="zh-CN"/>
        </w:rPr>
        <w:t>参与编制投标文件人员名单</w:t>
      </w:r>
    </w:p>
    <w:tbl>
      <w:tblPr>
        <w:tblStyle w:val="18"/>
        <w:tblW w:w="99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4"/>
        <w:gridCol w:w="1479"/>
        <w:gridCol w:w="2619"/>
        <w:gridCol w:w="2762"/>
        <w:gridCol w:w="1654"/>
      </w:tblGrid>
      <w:tr w14:paraId="27381D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444" w:type="dxa"/>
            <w:noWrap w:val="0"/>
            <w:vAlign w:val="center"/>
          </w:tcPr>
          <w:p w14:paraId="2AD79795">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479" w:type="dxa"/>
            <w:noWrap w:val="0"/>
            <w:vAlign w:val="center"/>
          </w:tcPr>
          <w:p w14:paraId="6E6FA408">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619" w:type="dxa"/>
            <w:noWrap w:val="0"/>
            <w:vAlign w:val="center"/>
          </w:tcPr>
          <w:p w14:paraId="5BCFD533">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所承担工作</w:t>
            </w:r>
          </w:p>
        </w:tc>
        <w:tc>
          <w:tcPr>
            <w:tcW w:w="2762" w:type="dxa"/>
            <w:noWrap w:val="0"/>
            <w:vAlign w:val="center"/>
          </w:tcPr>
          <w:p w14:paraId="7E13C083">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1654" w:type="dxa"/>
            <w:noWrap w:val="0"/>
            <w:vAlign w:val="center"/>
          </w:tcPr>
          <w:p w14:paraId="2D47B6E2">
            <w:pPr>
              <w:tabs>
                <w:tab w:val="left" w:pos="0"/>
                <w:tab w:val="left" w:pos="72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本人签名栏</w:t>
            </w:r>
          </w:p>
        </w:tc>
      </w:tr>
      <w:tr w14:paraId="2B6D76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444" w:type="dxa"/>
            <w:noWrap w:val="0"/>
            <w:vAlign w:val="center"/>
          </w:tcPr>
          <w:p w14:paraId="5F5D10D5">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noWrap w:val="0"/>
            <w:vAlign w:val="center"/>
          </w:tcPr>
          <w:p w14:paraId="40DAD58D">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noWrap w:val="0"/>
            <w:vAlign w:val="center"/>
          </w:tcPr>
          <w:p w14:paraId="13D8741F">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noWrap w:val="0"/>
            <w:vAlign w:val="center"/>
          </w:tcPr>
          <w:p w14:paraId="7B4E07AC">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noWrap w:val="0"/>
            <w:vAlign w:val="center"/>
          </w:tcPr>
          <w:p w14:paraId="011B0BF9">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36BAEB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noWrap w:val="0"/>
            <w:vAlign w:val="center"/>
          </w:tcPr>
          <w:p w14:paraId="012BE0AD">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noWrap w:val="0"/>
            <w:vAlign w:val="center"/>
          </w:tcPr>
          <w:p w14:paraId="7AF36699">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noWrap w:val="0"/>
            <w:vAlign w:val="center"/>
          </w:tcPr>
          <w:p w14:paraId="0B5BABE4">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noWrap w:val="0"/>
            <w:vAlign w:val="center"/>
          </w:tcPr>
          <w:p w14:paraId="3882F263">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noWrap w:val="0"/>
            <w:vAlign w:val="center"/>
          </w:tcPr>
          <w:p w14:paraId="6858744C">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74348E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noWrap w:val="0"/>
            <w:vAlign w:val="center"/>
          </w:tcPr>
          <w:p w14:paraId="480F2005">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noWrap w:val="0"/>
            <w:vAlign w:val="center"/>
          </w:tcPr>
          <w:p w14:paraId="213F6B9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noWrap w:val="0"/>
            <w:vAlign w:val="center"/>
          </w:tcPr>
          <w:p w14:paraId="4FCC4A29">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noWrap w:val="0"/>
            <w:vAlign w:val="center"/>
          </w:tcPr>
          <w:p w14:paraId="031653B1">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noWrap w:val="0"/>
            <w:vAlign w:val="center"/>
          </w:tcPr>
          <w:p w14:paraId="0FD2CCF0">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0CE171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noWrap w:val="0"/>
            <w:vAlign w:val="center"/>
          </w:tcPr>
          <w:p w14:paraId="103D736E">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noWrap w:val="0"/>
            <w:vAlign w:val="center"/>
          </w:tcPr>
          <w:p w14:paraId="0569F1DC">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noWrap w:val="0"/>
            <w:vAlign w:val="center"/>
          </w:tcPr>
          <w:p w14:paraId="05B6E6D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noWrap w:val="0"/>
            <w:vAlign w:val="center"/>
          </w:tcPr>
          <w:p w14:paraId="54016DED">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noWrap w:val="0"/>
            <w:vAlign w:val="center"/>
          </w:tcPr>
          <w:p w14:paraId="434E6C44">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6D2FD2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noWrap w:val="0"/>
            <w:vAlign w:val="center"/>
          </w:tcPr>
          <w:p w14:paraId="40936CA4">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noWrap w:val="0"/>
            <w:vAlign w:val="center"/>
          </w:tcPr>
          <w:p w14:paraId="3DC87369">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noWrap w:val="0"/>
            <w:vAlign w:val="center"/>
          </w:tcPr>
          <w:p w14:paraId="35272AE5">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noWrap w:val="0"/>
            <w:vAlign w:val="center"/>
          </w:tcPr>
          <w:p w14:paraId="709F6D93">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noWrap w:val="0"/>
            <w:vAlign w:val="center"/>
          </w:tcPr>
          <w:p w14:paraId="111DF6B1">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0FA6A2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noWrap w:val="0"/>
            <w:vAlign w:val="center"/>
          </w:tcPr>
          <w:p w14:paraId="50FF60CC">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noWrap w:val="0"/>
            <w:vAlign w:val="center"/>
          </w:tcPr>
          <w:p w14:paraId="68DA3AFF">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noWrap w:val="0"/>
            <w:vAlign w:val="center"/>
          </w:tcPr>
          <w:p w14:paraId="008D18F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noWrap w:val="0"/>
            <w:vAlign w:val="center"/>
          </w:tcPr>
          <w:p w14:paraId="31627C6D">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noWrap w:val="0"/>
            <w:vAlign w:val="center"/>
          </w:tcPr>
          <w:p w14:paraId="402842A9">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2DFD17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noWrap w:val="0"/>
            <w:vAlign w:val="center"/>
          </w:tcPr>
          <w:p w14:paraId="10830E08">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noWrap w:val="0"/>
            <w:vAlign w:val="center"/>
          </w:tcPr>
          <w:p w14:paraId="33DFD7AB">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noWrap w:val="0"/>
            <w:vAlign w:val="center"/>
          </w:tcPr>
          <w:p w14:paraId="37DDAFFA">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noWrap w:val="0"/>
            <w:vAlign w:val="center"/>
          </w:tcPr>
          <w:p w14:paraId="787CB320">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noWrap w:val="0"/>
            <w:vAlign w:val="center"/>
          </w:tcPr>
          <w:p w14:paraId="30BC09C5">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71F735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noWrap w:val="0"/>
            <w:vAlign w:val="center"/>
          </w:tcPr>
          <w:p w14:paraId="0154632C">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noWrap w:val="0"/>
            <w:vAlign w:val="center"/>
          </w:tcPr>
          <w:p w14:paraId="4EA8A37D">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noWrap w:val="0"/>
            <w:vAlign w:val="center"/>
          </w:tcPr>
          <w:p w14:paraId="472463FE">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noWrap w:val="0"/>
            <w:vAlign w:val="center"/>
          </w:tcPr>
          <w:p w14:paraId="1B03C311">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noWrap w:val="0"/>
            <w:vAlign w:val="center"/>
          </w:tcPr>
          <w:p w14:paraId="31C5303F">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642973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noWrap w:val="0"/>
            <w:vAlign w:val="center"/>
          </w:tcPr>
          <w:p w14:paraId="204485C4">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noWrap w:val="0"/>
            <w:vAlign w:val="center"/>
          </w:tcPr>
          <w:p w14:paraId="11B1FD94">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noWrap w:val="0"/>
            <w:vAlign w:val="center"/>
          </w:tcPr>
          <w:p w14:paraId="2D4B516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noWrap w:val="0"/>
            <w:vAlign w:val="center"/>
          </w:tcPr>
          <w:p w14:paraId="2D5A555B">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noWrap w:val="0"/>
            <w:vAlign w:val="center"/>
          </w:tcPr>
          <w:p w14:paraId="0A8AA2FC">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37D1A8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noWrap w:val="0"/>
            <w:vAlign w:val="center"/>
          </w:tcPr>
          <w:p w14:paraId="1913BC9F">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noWrap w:val="0"/>
            <w:vAlign w:val="center"/>
          </w:tcPr>
          <w:p w14:paraId="036D000A">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noWrap w:val="0"/>
            <w:vAlign w:val="center"/>
          </w:tcPr>
          <w:p w14:paraId="5A812F1E">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noWrap w:val="0"/>
            <w:vAlign w:val="center"/>
          </w:tcPr>
          <w:p w14:paraId="285E3EC8">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noWrap w:val="0"/>
            <w:vAlign w:val="center"/>
          </w:tcPr>
          <w:p w14:paraId="30FC0229">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bl>
    <w:p w14:paraId="4D14D8E9">
      <w:pPr>
        <w:spacing w:line="360" w:lineRule="auto"/>
        <w:ind w:left="-283" w:leftChars="-135" w:right="-191" w:rightChars="-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注：填写参与编制标书所有人员名单应包括如编制投标文件（</w:t>
      </w:r>
      <w:r>
        <w:rPr>
          <w:rFonts w:hint="eastAsia" w:ascii="宋体" w:eastAsia="宋体" w:cs="宋体"/>
          <w:color w:val="auto"/>
          <w:highlight w:val="none"/>
          <w:lang w:eastAsia="zh-CN"/>
        </w:rPr>
        <w:t>资格审查文件、形式评审文件、工程总承包实施方案响应性评审文件</w:t>
      </w:r>
      <w:r>
        <w:rPr>
          <w:rFonts w:hint="eastAsia" w:ascii="宋体" w:hAnsi="宋体" w:eastAsia="宋体" w:cs="宋体"/>
          <w:color w:val="auto"/>
          <w:sz w:val="21"/>
          <w:szCs w:val="21"/>
          <w:highlight w:val="none"/>
        </w:rPr>
        <w:t>、定标文件）、编制报价文件、负责清样校对、负责打印及复印等所有人员在内的人员名单。</w:t>
      </w:r>
    </w:p>
    <w:p w14:paraId="5F35C734">
      <w:pPr>
        <w:spacing w:line="360" w:lineRule="auto"/>
        <w:outlineLvl w:val="2"/>
        <w:rPr>
          <w:rFonts w:hint="eastAsia" w:ascii="宋体" w:hAnsi="宋体" w:cs="宋体"/>
          <w:b/>
          <w:color w:val="auto"/>
          <w:sz w:val="24"/>
          <w:szCs w:val="24"/>
          <w:highlight w:val="none"/>
          <w:lang w:val="zh-CN"/>
        </w:rPr>
      </w:pPr>
      <w:r>
        <w:rPr>
          <w:rFonts w:hint="eastAsia" w:ascii="宋体" w:hAnsi="宋体" w:eastAsia="宋体" w:cs="宋体"/>
          <w:color w:val="auto"/>
          <w:sz w:val="21"/>
          <w:szCs w:val="21"/>
          <w:highlight w:val="none"/>
        </w:rPr>
        <w:br w:type="page"/>
      </w:r>
      <w:bookmarkStart w:id="1133" w:name="_Toc3951"/>
      <w:r>
        <w:rPr>
          <w:rFonts w:hint="eastAsia" w:ascii="宋体" w:hAnsi="宋体" w:cs="宋体"/>
          <w:b/>
          <w:color w:val="auto"/>
          <w:sz w:val="24"/>
          <w:szCs w:val="24"/>
          <w:highlight w:val="none"/>
        </w:rPr>
        <w:t>格式五：合同</w:t>
      </w:r>
      <w:r>
        <w:rPr>
          <w:rFonts w:hint="eastAsia" w:ascii="宋体" w:hAnsi="宋体" w:cs="宋体"/>
          <w:b/>
          <w:color w:val="auto"/>
          <w:sz w:val="24"/>
          <w:szCs w:val="24"/>
          <w:highlight w:val="none"/>
          <w:lang w:val="zh-CN"/>
        </w:rPr>
        <w:t>承诺书</w:t>
      </w:r>
      <w:bookmarkEnd w:id="1133"/>
    </w:p>
    <w:p w14:paraId="39EE702D">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合同</w:t>
      </w:r>
      <w:r>
        <w:rPr>
          <w:rFonts w:ascii="宋体" w:hAnsi="宋体"/>
          <w:b/>
          <w:color w:val="auto"/>
          <w:sz w:val="28"/>
          <w:szCs w:val="28"/>
          <w:highlight w:val="none"/>
        </w:rPr>
        <w:t>承诺书</w:t>
      </w:r>
    </w:p>
    <w:p w14:paraId="687AD32E">
      <w:pPr>
        <w:spacing w:line="360" w:lineRule="auto"/>
        <w:ind w:right="55" w:rightChars="26"/>
        <w:rPr>
          <w:rFonts w:hint="eastAsia" w:ascii="宋体" w:hAnsi="宋体"/>
          <w:color w:val="auto"/>
          <w:sz w:val="24"/>
          <w:szCs w:val="24"/>
          <w:highlight w:val="none"/>
        </w:rPr>
      </w:pPr>
    </w:p>
    <w:p w14:paraId="7A07490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（招标人名称）</w:t>
      </w:r>
    </w:p>
    <w:p w14:paraId="78D90218">
      <w:pPr>
        <w:spacing w:line="360" w:lineRule="auto"/>
        <w:ind w:right="55" w:rightChars="26"/>
        <w:rPr>
          <w:rFonts w:hint="eastAsia" w:ascii="宋体" w:hAnsi="宋体" w:eastAsia="宋体" w:cs="宋体"/>
          <w:color w:val="auto"/>
          <w:sz w:val="21"/>
          <w:szCs w:val="21"/>
          <w:highlight w:val="none"/>
        </w:rPr>
      </w:pPr>
    </w:p>
    <w:p w14:paraId="514F3E0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我司已充分阅读了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sz w:val="21"/>
          <w:szCs w:val="21"/>
          <w:highlight w:val="none"/>
        </w:rPr>
        <w:t>招标文件并了解本项目各项承诺书的严格要求。我司承诺完全响应招标文件合同条款。如若中标，我方承诺按招标文件第三章“合同条款及格式”签署合同，并按承诺履行合同。</w:t>
      </w:r>
    </w:p>
    <w:p w14:paraId="23A99791">
      <w:pPr>
        <w:spacing w:line="360" w:lineRule="auto"/>
        <w:ind w:firstLine="2730" w:firstLineChars="1300"/>
        <w:jc w:val="left"/>
        <w:rPr>
          <w:rFonts w:hint="eastAsia" w:ascii="宋体" w:hAnsi="宋体" w:eastAsia="宋体" w:cs="宋体"/>
          <w:color w:val="auto"/>
          <w:sz w:val="21"/>
          <w:szCs w:val="21"/>
          <w:highlight w:val="none"/>
        </w:rPr>
      </w:pPr>
    </w:p>
    <w:p w14:paraId="23F30CC7">
      <w:pPr>
        <w:spacing w:line="360" w:lineRule="auto"/>
        <w:ind w:firstLine="2730" w:firstLineChars="1300"/>
        <w:jc w:val="left"/>
        <w:rPr>
          <w:rFonts w:hint="eastAsia" w:ascii="宋体" w:hAnsi="宋体" w:eastAsia="宋体" w:cs="宋体"/>
          <w:color w:val="auto"/>
          <w:sz w:val="21"/>
          <w:szCs w:val="21"/>
          <w:highlight w:val="none"/>
        </w:rPr>
      </w:pPr>
    </w:p>
    <w:p w14:paraId="72D9E744">
      <w:pPr>
        <w:spacing w:line="360" w:lineRule="auto"/>
        <w:ind w:firstLine="2730" w:firstLineChars="1300"/>
        <w:jc w:val="left"/>
        <w:rPr>
          <w:rFonts w:hint="eastAsia" w:ascii="宋体" w:hAnsi="宋体" w:eastAsia="宋体" w:cs="宋体"/>
          <w:color w:val="auto"/>
          <w:sz w:val="21"/>
          <w:szCs w:val="21"/>
          <w:highlight w:val="none"/>
        </w:rPr>
      </w:pPr>
    </w:p>
    <w:p w14:paraId="2B517C54">
      <w:pPr>
        <w:spacing w:line="360" w:lineRule="auto"/>
        <w:ind w:firstLine="3360" w:firstLineChars="1600"/>
        <w:rPr>
          <w:rFonts w:hint="eastAsia" w:ascii="宋体" w:hAnsi="宋体" w:eastAsia="宋体" w:cs="宋体"/>
          <w:color w:val="auto"/>
          <w:sz w:val="21"/>
          <w:szCs w:val="21"/>
          <w:highlight w:val="none"/>
        </w:rPr>
      </w:pPr>
      <w:bookmarkStart w:id="1134" w:name="_Toc30662"/>
      <w:r>
        <w:rPr>
          <w:rFonts w:hint="eastAsia" w:ascii="宋体" w:hAnsi="宋体" w:eastAsia="宋体" w:cs="宋体"/>
          <w:color w:val="auto"/>
          <w:sz w:val="21"/>
          <w:szCs w:val="21"/>
          <w:highlight w:val="none"/>
        </w:rPr>
        <w:t xml:space="preserve">投标人：    </w:t>
      </w:r>
    </w:p>
    <w:p w14:paraId="7E62E35B">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006F9CBE">
      <w:pPr>
        <w:spacing w:line="360" w:lineRule="auto"/>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格式六：</w:t>
      </w:r>
      <w:bookmarkEnd w:id="1134"/>
    </w:p>
    <w:p w14:paraId="4D66AF13">
      <w:pPr>
        <w:wordWrap w:val="0"/>
        <w:spacing w:line="360" w:lineRule="auto"/>
        <w:jc w:val="center"/>
        <w:rPr>
          <w:rFonts w:hint="eastAsia" w:ascii="宋体" w:hAnsi="宋体" w:cs="宋体"/>
          <w:b/>
          <w:snapToGrid w:val="0"/>
          <w:color w:val="auto"/>
          <w:spacing w:val="4"/>
          <w:kern w:val="0"/>
          <w:sz w:val="28"/>
          <w:szCs w:val="28"/>
          <w:highlight w:val="none"/>
        </w:rPr>
      </w:pPr>
      <w:r>
        <w:rPr>
          <w:rFonts w:hint="eastAsia" w:ascii="宋体" w:hAnsi="宋体" w:cs="宋体"/>
          <w:b/>
          <w:snapToGrid w:val="0"/>
          <w:color w:val="auto"/>
          <w:spacing w:val="4"/>
          <w:kern w:val="0"/>
          <w:sz w:val="28"/>
          <w:szCs w:val="28"/>
          <w:highlight w:val="none"/>
        </w:rPr>
        <w:t>危险性较大的分部分项工程清单及超过一定规模的危险性较大的分部分项工程清单</w:t>
      </w:r>
    </w:p>
    <w:p w14:paraId="6A4B320E">
      <w:pPr>
        <w:pStyle w:val="31"/>
        <w:numPr>
          <w:ilvl w:val="0"/>
          <w:numId w:val="5"/>
        </w:numPr>
        <w:wordWrap w:val="0"/>
        <w:autoSpaceDE w:val="0"/>
        <w:autoSpaceDN w:val="0"/>
        <w:adjustRightInd w:val="0"/>
        <w:spacing w:line="360" w:lineRule="auto"/>
        <w:ind w:firstLineChars="0"/>
        <w:jc w:val="left"/>
        <w:rPr>
          <w:rFonts w:hint="eastAsia" w:ascii="宋体" w:hAnsi="宋体" w:cs="宋体"/>
          <w:color w:val="auto"/>
          <w:szCs w:val="21"/>
          <w:highlight w:val="none"/>
        </w:rPr>
      </w:pPr>
      <w:r>
        <w:rPr>
          <w:rFonts w:hint="eastAsia" w:ascii="宋体" w:hAnsi="宋体" w:cs="宋体"/>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14:paraId="66D20690">
      <w:pPr>
        <w:pStyle w:val="31"/>
        <w:numPr>
          <w:ilvl w:val="0"/>
          <w:numId w:val="5"/>
        </w:numPr>
        <w:wordWrap w:val="0"/>
        <w:autoSpaceDE w:val="0"/>
        <w:autoSpaceDN w:val="0"/>
        <w:adjustRightInd w:val="0"/>
        <w:spacing w:line="360" w:lineRule="auto"/>
        <w:ind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w:t>
      </w:r>
      <w:r>
        <w:rPr>
          <w:rFonts w:hint="eastAsia" w:ascii="宋体" w:hAnsi="宋体" w:cs="宋体"/>
          <w:color w:val="auto"/>
          <w:szCs w:val="21"/>
          <w:highlight w:val="none"/>
        </w:rPr>
        <w:t>标人根据</w:t>
      </w:r>
      <w:r>
        <w:rPr>
          <w:rFonts w:hint="eastAsia" w:ascii="宋体" w:hAnsi="宋体" w:cs="宋体"/>
          <w:color w:val="auto"/>
          <w:szCs w:val="21"/>
          <w:highlight w:val="none"/>
          <w:lang w:val="en-US" w:eastAsia="zh-CN"/>
        </w:rPr>
        <w:t>自身</w:t>
      </w:r>
      <w:r>
        <w:rPr>
          <w:rFonts w:hint="eastAsia" w:ascii="宋体" w:hAnsi="宋体" w:cs="宋体"/>
          <w:color w:val="auto"/>
          <w:szCs w:val="21"/>
          <w:highlight w:val="none"/>
        </w:rPr>
        <w:t>设计文件的要求及37号文的规定列出“危险性较大的分部分项工程清单及超过一定规模的危险性较大的分部分项工程清单”中与本招标项目相关的清单项，具体详见第5点“打√”标识</w:t>
      </w:r>
      <w:r>
        <w:rPr>
          <w:rFonts w:hint="eastAsia" w:ascii="宋体" w:hAnsi="宋体" w:cs="宋体"/>
          <w:color w:val="auto"/>
          <w:szCs w:val="21"/>
          <w:highlight w:val="none"/>
          <w:lang w:eastAsia="zh-CN"/>
        </w:rPr>
        <w:t>，</w:t>
      </w:r>
      <w:r>
        <w:rPr>
          <w:rFonts w:hint="eastAsia" w:ascii="宋体" w:hAnsi="宋体" w:cs="宋体"/>
          <w:color w:val="auto"/>
          <w:szCs w:val="21"/>
          <w:highlight w:val="none"/>
        </w:rPr>
        <w:t>并</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rPr>
        <w:t>投标文件中提供相应的安全管理措施。</w:t>
      </w:r>
    </w:p>
    <w:p w14:paraId="4F3CC29D">
      <w:pPr>
        <w:pStyle w:val="31"/>
        <w:numPr>
          <w:ilvl w:val="0"/>
          <w:numId w:val="5"/>
        </w:numPr>
        <w:wordWrap w:val="0"/>
        <w:autoSpaceDE w:val="0"/>
        <w:autoSpaceDN w:val="0"/>
        <w:adjustRightInd w:val="0"/>
        <w:spacing w:line="360" w:lineRule="auto"/>
        <w:ind w:firstLineChars="0"/>
        <w:jc w:val="left"/>
        <w:rPr>
          <w:rFonts w:hint="eastAsia" w:ascii="宋体" w:hAnsi="宋体" w:cs="宋体"/>
          <w:color w:val="auto"/>
          <w:szCs w:val="21"/>
          <w:highlight w:val="none"/>
        </w:rPr>
      </w:pPr>
      <w:r>
        <w:rPr>
          <w:rFonts w:hint="eastAsia" w:ascii="宋体" w:hAnsi="宋体" w:cs="宋体"/>
          <w:color w:val="auto"/>
          <w:szCs w:val="21"/>
          <w:highlight w:val="none"/>
        </w:rPr>
        <w:t>投标单位应当在投标时根据</w:t>
      </w:r>
      <w:r>
        <w:rPr>
          <w:rFonts w:hint="eastAsia" w:ascii="宋体" w:hAnsi="宋体" w:cs="宋体"/>
          <w:color w:val="auto"/>
          <w:szCs w:val="21"/>
          <w:highlight w:val="none"/>
          <w:lang w:val="en-US" w:eastAsia="zh-CN"/>
        </w:rPr>
        <w:t>勾选的</w:t>
      </w:r>
      <w:r>
        <w:rPr>
          <w:rFonts w:hint="eastAsia" w:ascii="宋体" w:hAnsi="宋体" w:cs="宋体"/>
          <w:color w:val="auto"/>
          <w:szCs w:val="21"/>
          <w:highlight w:val="none"/>
        </w:rPr>
        <w:t>下述第5点清单，在投标施工组织中编制专项施工方案。</w:t>
      </w:r>
    </w:p>
    <w:p w14:paraId="43545864">
      <w:pPr>
        <w:pStyle w:val="31"/>
        <w:numPr>
          <w:ilvl w:val="0"/>
          <w:numId w:val="5"/>
        </w:numPr>
        <w:wordWrap w:val="0"/>
        <w:autoSpaceDE w:val="0"/>
        <w:autoSpaceDN w:val="0"/>
        <w:adjustRightInd w:val="0"/>
        <w:spacing w:line="360" w:lineRule="auto"/>
        <w:ind w:firstLineChars="0"/>
        <w:jc w:val="left"/>
        <w:rPr>
          <w:rFonts w:hint="eastAsia" w:ascii="宋体" w:hAnsi="宋体" w:cs="宋体"/>
          <w:color w:val="auto"/>
          <w:szCs w:val="21"/>
          <w:highlight w:val="none"/>
        </w:rPr>
      </w:pPr>
      <w:r>
        <w:rPr>
          <w:rFonts w:hint="eastAsia" w:ascii="宋体" w:hAnsi="宋体" w:cs="宋体"/>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8C21843">
      <w:pPr>
        <w:pStyle w:val="31"/>
        <w:wordWrap w:val="0"/>
        <w:autoSpaceDE w:val="0"/>
        <w:autoSpaceDN w:val="0"/>
        <w:adjustRightInd w:val="0"/>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5、危险性较大的分部分项工程清单及超过一定规模的危险性较大的分部分项工程清单：</w:t>
      </w:r>
    </w:p>
    <w:tbl>
      <w:tblPr>
        <w:tblStyle w:val="18"/>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5"/>
        <w:gridCol w:w="1664"/>
        <w:gridCol w:w="731"/>
      </w:tblGrid>
      <w:tr w14:paraId="14F1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center"/>
          </w:tcPr>
          <w:p w14:paraId="316E3DFC">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一、危险性较大的分部分项工程清单</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4F334038">
            <w:pPr>
              <w:wordWrap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投标单位</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FCA9398">
            <w:pPr>
              <w:wordWrap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4BEF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7166F686">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一、基坑支护</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5F4371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11DAD65">
            <w:pPr>
              <w:wordWrap w:val="0"/>
              <w:jc w:val="center"/>
              <w:rPr>
                <w:rFonts w:hint="eastAsia" w:ascii="宋体" w:hAnsi="宋体" w:cs="宋体"/>
                <w:color w:val="auto"/>
                <w:szCs w:val="21"/>
                <w:highlight w:val="none"/>
              </w:rPr>
            </w:pPr>
          </w:p>
        </w:tc>
      </w:tr>
      <w:tr w14:paraId="2E20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133D49C2">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（一）开挖深度超过3m（含3m）的基坑（槽）的土方开挖、支护、降水工程。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00BED2C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4540AB3">
            <w:pPr>
              <w:wordWrap w:val="0"/>
              <w:jc w:val="center"/>
              <w:rPr>
                <w:rFonts w:hint="eastAsia" w:ascii="宋体" w:hAnsi="宋体" w:cs="宋体"/>
                <w:color w:val="auto"/>
                <w:szCs w:val="21"/>
                <w:highlight w:val="none"/>
              </w:rPr>
            </w:pPr>
          </w:p>
        </w:tc>
      </w:tr>
      <w:tr w14:paraId="0B75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35508FA0">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（二）开挖深度虽未超过3m，但地质条件、周围环境和地下管线复杂，或影响毗邻建、构筑物安全的基坑（槽）的土方开挖、支护、降水工程。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DBCF59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8EC2F66">
            <w:pPr>
              <w:wordWrap w:val="0"/>
              <w:jc w:val="center"/>
              <w:rPr>
                <w:rFonts w:hint="eastAsia" w:ascii="宋体" w:hAnsi="宋体" w:cs="宋体"/>
                <w:color w:val="auto"/>
                <w:szCs w:val="21"/>
                <w:highlight w:val="none"/>
              </w:rPr>
            </w:pPr>
          </w:p>
        </w:tc>
      </w:tr>
      <w:tr w14:paraId="014F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633A1714">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二、模板工程及支撑体系</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478E7D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B8514B9">
            <w:pPr>
              <w:wordWrap w:val="0"/>
              <w:jc w:val="center"/>
              <w:rPr>
                <w:rFonts w:hint="eastAsia" w:ascii="宋体" w:hAnsi="宋体" w:cs="宋体"/>
                <w:color w:val="auto"/>
                <w:szCs w:val="21"/>
                <w:highlight w:val="none"/>
              </w:rPr>
            </w:pPr>
          </w:p>
        </w:tc>
      </w:tr>
      <w:tr w14:paraId="2965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15CC6275">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6D9F56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DBC0701">
            <w:pPr>
              <w:wordWrap w:val="0"/>
              <w:jc w:val="center"/>
              <w:rPr>
                <w:rFonts w:hint="eastAsia" w:ascii="宋体" w:hAnsi="宋体" w:cs="宋体"/>
                <w:color w:val="auto"/>
                <w:szCs w:val="21"/>
                <w:highlight w:val="none"/>
              </w:rPr>
            </w:pPr>
          </w:p>
        </w:tc>
      </w:tr>
      <w:tr w14:paraId="6021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61884A5C">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6AACE0F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8AD92A7">
            <w:pPr>
              <w:wordWrap w:val="0"/>
              <w:jc w:val="center"/>
              <w:rPr>
                <w:rFonts w:hint="eastAsia" w:ascii="宋体" w:hAnsi="宋体" w:cs="宋体"/>
                <w:color w:val="auto"/>
                <w:szCs w:val="21"/>
                <w:highlight w:val="none"/>
              </w:rPr>
            </w:pPr>
          </w:p>
        </w:tc>
      </w:tr>
      <w:tr w14:paraId="7526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24AB2FA7">
            <w:pPr>
              <w:widowControl/>
              <w:wordWrap w:val="0"/>
              <w:jc w:val="left"/>
              <w:rPr>
                <w:rFonts w:hint="eastAsia"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4351965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4D2C7E7">
            <w:pPr>
              <w:wordWrap w:val="0"/>
              <w:jc w:val="center"/>
              <w:rPr>
                <w:rFonts w:hint="eastAsia" w:ascii="宋体" w:hAnsi="宋体" w:cs="宋体"/>
                <w:color w:val="auto"/>
                <w:szCs w:val="21"/>
                <w:highlight w:val="none"/>
              </w:rPr>
            </w:pPr>
          </w:p>
        </w:tc>
      </w:tr>
      <w:tr w14:paraId="46C4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365328C">
            <w:pPr>
              <w:widowControl/>
              <w:wordWrap w:val="0"/>
              <w:jc w:val="left"/>
              <w:rPr>
                <w:rFonts w:hint="eastAsia"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4A2C4DC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C9BC4F7">
            <w:pPr>
              <w:wordWrap w:val="0"/>
              <w:jc w:val="center"/>
              <w:rPr>
                <w:rFonts w:hint="eastAsia" w:ascii="宋体" w:hAnsi="宋体" w:cs="宋体"/>
                <w:color w:val="auto"/>
                <w:szCs w:val="21"/>
                <w:highlight w:val="none"/>
              </w:rPr>
            </w:pPr>
          </w:p>
        </w:tc>
      </w:tr>
      <w:tr w14:paraId="7126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6C202712">
            <w:pPr>
              <w:widowControl/>
              <w:wordWrap w:val="0"/>
              <w:jc w:val="left"/>
              <w:rPr>
                <w:rFonts w:hint="eastAsia"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665E7B9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DA47C55">
            <w:pPr>
              <w:wordWrap w:val="0"/>
              <w:jc w:val="center"/>
              <w:rPr>
                <w:rFonts w:hint="eastAsia" w:ascii="宋体" w:hAnsi="宋体" w:cs="宋体"/>
                <w:color w:val="auto"/>
                <w:szCs w:val="21"/>
                <w:highlight w:val="none"/>
              </w:rPr>
            </w:pPr>
          </w:p>
        </w:tc>
      </w:tr>
      <w:tr w14:paraId="3A87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FB1B199">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（二）采用起重机械进行安装的工程。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64E33EF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F6B6D41">
            <w:pPr>
              <w:wordWrap w:val="0"/>
              <w:jc w:val="center"/>
              <w:rPr>
                <w:rFonts w:hint="eastAsia" w:ascii="宋体" w:hAnsi="宋体" w:cs="宋体"/>
                <w:color w:val="auto"/>
                <w:szCs w:val="21"/>
                <w:highlight w:val="none"/>
              </w:rPr>
            </w:pPr>
          </w:p>
        </w:tc>
      </w:tr>
      <w:tr w14:paraId="0A03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61CF8090">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B19AD6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A8BA62D">
            <w:pPr>
              <w:wordWrap w:val="0"/>
              <w:jc w:val="center"/>
              <w:rPr>
                <w:rFonts w:hint="eastAsia" w:ascii="宋体" w:hAnsi="宋体" w:cs="宋体"/>
                <w:color w:val="auto"/>
                <w:szCs w:val="21"/>
                <w:highlight w:val="none"/>
              </w:rPr>
            </w:pPr>
          </w:p>
        </w:tc>
      </w:tr>
      <w:tr w14:paraId="4DA0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2D25424">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四、脚手架工程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010CC3B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43FB461">
            <w:pPr>
              <w:wordWrap w:val="0"/>
              <w:jc w:val="center"/>
              <w:rPr>
                <w:rFonts w:hint="eastAsia" w:ascii="宋体" w:hAnsi="宋体" w:cs="宋体"/>
                <w:color w:val="auto"/>
                <w:szCs w:val="21"/>
                <w:highlight w:val="none"/>
              </w:rPr>
            </w:pPr>
          </w:p>
        </w:tc>
      </w:tr>
      <w:tr w14:paraId="32B4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22D6A6BA">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（一）搭设高度24m及以上的落地式钢管脚手架工程（包括采光井、电梯井脚手架）。</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2D02C8A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85D54C5">
            <w:pPr>
              <w:wordWrap w:val="0"/>
              <w:jc w:val="center"/>
              <w:rPr>
                <w:rFonts w:hint="eastAsia" w:ascii="宋体" w:hAnsi="宋体" w:cs="宋体"/>
                <w:color w:val="auto"/>
                <w:szCs w:val="21"/>
                <w:highlight w:val="none"/>
              </w:rPr>
            </w:pPr>
          </w:p>
        </w:tc>
      </w:tr>
      <w:tr w14:paraId="2351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4FA7B94A">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（二）附着式升降脚手架工程。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20C6DB2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A32FD15">
            <w:pPr>
              <w:wordWrap w:val="0"/>
              <w:jc w:val="center"/>
              <w:rPr>
                <w:rFonts w:hint="eastAsia" w:ascii="宋体" w:hAnsi="宋体" w:cs="宋体"/>
                <w:color w:val="auto"/>
                <w:szCs w:val="21"/>
                <w:highlight w:val="none"/>
              </w:rPr>
            </w:pPr>
          </w:p>
        </w:tc>
      </w:tr>
      <w:tr w14:paraId="610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3D8D3A7F">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（三）悬挑式脚手架工程。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B786A2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5576115">
            <w:pPr>
              <w:wordWrap w:val="0"/>
              <w:jc w:val="center"/>
              <w:rPr>
                <w:rFonts w:hint="eastAsia" w:ascii="宋体" w:hAnsi="宋体" w:cs="宋体"/>
                <w:color w:val="auto"/>
                <w:szCs w:val="21"/>
                <w:highlight w:val="none"/>
              </w:rPr>
            </w:pPr>
          </w:p>
        </w:tc>
      </w:tr>
      <w:tr w14:paraId="10A9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D450250">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（四）高处作业吊篮。</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48BB459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D74D41B">
            <w:pPr>
              <w:wordWrap w:val="0"/>
              <w:jc w:val="center"/>
              <w:rPr>
                <w:rFonts w:hint="eastAsia" w:ascii="宋体" w:hAnsi="宋体" w:cs="宋体"/>
                <w:color w:val="auto"/>
                <w:szCs w:val="21"/>
                <w:highlight w:val="none"/>
              </w:rPr>
            </w:pPr>
          </w:p>
        </w:tc>
      </w:tr>
      <w:tr w14:paraId="5E0A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71D92BE8">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（五）自制卸料平台、</w:t>
            </w:r>
            <w:r>
              <w:rPr>
                <w:rFonts w:hint="eastAsia" w:ascii="宋体" w:hAnsi="宋体" w:cs="宋体"/>
                <w:color w:val="auto"/>
                <w:kern w:val="0"/>
                <w:szCs w:val="21"/>
                <w:highlight w:val="none"/>
              </w:rPr>
              <w:t>移动</w:t>
            </w:r>
            <w:r>
              <w:rPr>
                <w:rFonts w:hint="eastAsia" w:ascii="宋体" w:hAnsi="宋体" w:cs="宋体"/>
                <w:color w:val="auto"/>
                <w:szCs w:val="21"/>
                <w:highlight w:val="none"/>
              </w:rPr>
              <w:t>操作平台工程。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FF3C22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CA7C6ED">
            <w:pPr>
              <w:wordWrap w:val="0"/>
              <w:jc w:val="center"/>
              <w:rPr>
                <w:rFonts w:hint="eastAsia" w:ascii="宋体" w:hAnsi="宋体" w:cs="宋体"/>
                <w:color w:val="auto"/>
                <w:szCs w:val="21"/>
                <w:highlight w:val="none"/>
              </w:rPr>
            </w:pPr>
          </w:p>
        </w:tc>
      </w:tr>
      <w:tr w14:paraId="61DC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0F4ABAE">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（六）异型脚手架工程。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E4040A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4DDD595">
            <w:pPr>
              <w:wordWrap w:val="0"/>
              <w:jc w:val="center"/>
              <w:rPr>
                <w:rFonts w:hint="eastAsia" w:ascii="宋体" w:hAnsi="宋体" w:cs="宋体"/>
                <w:color w:val="auto"/>
                <w:szCs w:val="21"/>
                <w:highlight w:val="none"/>
              </w:rPr>
            </w:pPr>
          </w:p>
        </w:tc>
      </w:tr>
      <w:tr w14:paraId="4E9C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BCB8721">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五、拆除工程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4C71F2F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A3BC1DA">
            <w:pPr>
              <w:wordWrap w:val="0"/>
              <w:jc w:val="center"/>
              <w:rPr>
                <w:rFonts w:hint="eastAsia" w:ascii="宋体" w:hAnsi="宋体" w:cs="宋体"/>
                <w:color w:val="auto"/>
                <w:szCs w:val="21"/>
                <w:highlight w:val="none"/>
              </w:rPr>
            </w:pPr>
          </w:p>
        </w:tc>
      </w:tr>
      <w:tr w14:paraId="6088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67B318F3">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可能影响行人、交通、电力设施、通讯设施或其它建、构筑物安全的拆除工程。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CAC596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5174842">
            <w:pPr>
              <w:wordWrap w:val="0"/>
              <w:jc w:val="center"/>
              <w:rPr>
                <w:rFonts w:hint="eastAsia" w:ascii="宋体" w:hAnsi="宋体" w:cs="宋体"/>
                <w:color w:val="auto"/>
                <w:szCs w:val="21"/>
                <w:highlight w:val="none"/>
              </w:rPr>
            </w:pPr>
          </w:p>
        </w:tc>
      </w:tr>
      <w:tr w14:paraId="7CD7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11E2BABE">
            <w:pPr>
              <w:wordWrap w:val="0"/>
              <w:jc w:val="left"/>
              <w:rPr>
                <w:rFonts w:hint="eastAsia" w:ascii="宋体" w:hAnsi="宋体" w:cs="宋体"/>
                <w:color w:val="auto"/>
                <w:szCs w:val="21"/>
                <w:highlight w:val="none"/>
              </w:rPr>
            </w:pPr>
            <w:r>
              <w:rPr>
                <w:rFonts w:hint="eastAsia" w:ascii="宋体" w:hAnsi="宋体" w:cs="宋体"/>
                <w:color w:val="auto"/>
                <w:szCs w:val="21"/>
                <w:highlight w:val="none"/>
              </w:rPr>
              <w:t>　六、暗挖工程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2E03A7E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74607D7">
            <w:pPr>
              <w:wordWrap w:val="0"/>
              <w:jc w:val="center"/>
              <w:rPr>
                <w:rFonts w:hint="eastAsia" w:ascii="宋体" w:hAnsi="宋体" w:cs="宋体"/>
                <w:color w:val="auto"/>
                <w:szCs w:val="21"/>
                <w:highlight w:val="none"/>
              </w:rPr>
            </w:pPr>
          </w:p>
        </w:tc>
      </w:tr>
      <w:tr w14:paraId="24E4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B032B16">
            <w:pPr>
              <w:wordWrap w:val="0"/>
              <w:jc w:val="left"/>
              <w:rPr>
                <w:rFonts w:hint="eastAsia"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B29BB4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60FAE53">
            <w:pPr>
              <w:wordWrap w:val="0"/>
              <w:jc w:val="center"/>
              <w:rPr>
                <w:rFonts w:hint="eastAsia" w:ascii="宋体" w:hAnsi="宋体" w:cs="宋体"/>
                <w:color w:val="auto"/>
                <w:szCs w:val="21"/>
                <w:highlight w:val="none"/>
              </w:rPr>
            </w:pPr>
          </w:p>
        </w:tc>
      </w:tr>
      <w:tr w14:paraId="3D8D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3FB7AD3F">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七、其它</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048572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E53E98D">
            <w:pPr>
              <w:wordWrap w:val="0"/>
              <w:jc w:val="center"/>
              <w:rPr>
                <w:rFonts w:hint="eastAsia" w:ascii="宋体" w:hAnsi="宋体" w:cs="宋体"/>
                <w:color w:val="auto"/>
                <w:szCs w:val="21"/>
                <w:highlight w:val="none"/>
              </w:rPr>
            </w:pPr>
          </w:p>
        </w:tc>
      </w:tr>
      <w:tr w14:paraId="12D7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6F62728C">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（一）建筑幕墙安装工程。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BD41F1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E60B7C4">
            <w:pPr>
              <w:wordWrap w:val="0"/>
              <w:jc w:val="center"/>
              <w:rPr>
                <w:rFonts w:hint="eastAsia" w:ascii="宋体" w:hAnsi="宋体" w:cs="宋体"/>
                <w:color w:val="auto"/>
                <w:szCs w:val="21"/>
                <w:highlight w:val="none"/>
              </w:rPr>
            </w:pPr>
          </w:p>
        </w:tc>
      </w:tr>
      <w:tr w14:paraId="5219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448B7420">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（二）钢结构、网架和索膜结构安装工程。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2567F3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4157666">
            <w:pPr>
              <w:wordWrap w:val="0"/>
              <w:jc w:val="center"/>
              <w:rPr>
                <w:rFonts w:hint="eastAsia" w:ascii="宋体" w:hAnsi="宋体" w:cs="宋体"/>
                <w:color w:val="auto"/>
                <w:szCs w:val="21"/>
                <w:highlight w:val="none"/>
              </w:rPr>
            </w:pPr>
          </w:p>
        </w:tc>
      </w:tr>
      <w:tr w14:paraId="403A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2E2CA1CD">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（三）人工挖孔桩工程。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3D77AD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6E6E69D">
            <w:pPr>
              <w:wordWrap w:val="0"/>
              <w:jc w:val="center"/>
              <w:rPr>
                <w:rFonts w:hint="eastAsia" w:ascii="宋体" w:hAnsi="宋体" w:cs="宋体"/>
                <w:color w:val="auto"/>
                <w:szCs w:val="21"/>
                <w:highlight w:val="none"/>
              </w:rPr>
            </w:pPr>
          </w:p>
        </w:tc>
      </w:tr>
      <w:tr w14:paraId="7C50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20545FC3">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（四）水下作业工程。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642A1CA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294A329">
            <w:pPr>
              <w:wordWrap w:val="0"/>
              <w:jc w:val="center"/>
              <w:rPr>
                <w:rFonts w:hint="eastAsia" w:ascii="宋体" w:hAnsi="宋体" w:cs="宋体"/>
                <w:color w:val="auto"/>
                <w:szCs w:val="21"/>
                <w:highlight w:val="none"/>
              </w:rPr>
            </w:pPr>
          </w:p>
        </w:tc>
      </w:tr>
      <w:tr w14:paraId="1E71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7C7BC46A">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（五）装配式建筑混凝土预制构件安装工程。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68C1F22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B4645EB">
            <w:pPr>
              <w:wordWrap w:val="0"/>
              <w:jc w:val="center"/>
              <w:rPr>
                <w:rFonts w:hint="eastAsia" w:ascii="宋体" w:hAnsi="宋体" w:cs="宋体"/>
                <w:color w:val="auto"/>
                <w:szCs w:val="21"/>
                <w:highlight w:val="none"/>
              </w:rPr>
            </w:pPr>
          </w:p>
        </w:tc>
      </w:tr>
      <w:tr w14:paraId="5A8E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3A140075">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（六）外墙吊篮安装工程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043D2A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21EE511">
            <w:pPr>
              <w:wordWrap w:val="0"/>
              <w:jc w:val="center"/>
              <w:rPr>
                <w:rFonts w:hint="eastAsia" w:ascii="宋体" w:hAnsi="宋体" w:cs="宋体"/>
                <w:color w:val="auto"/>
                <w:szCs w:val="21"/>
                <w:highlight w:val="none"/>
              </w:rPr>
            </w:pPr>
          </w:p>
        </w:tc>
      </w:tr>
      <w:tr w14:paraId="19BC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3DE0ABD3">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（七）采用新技术、新工艺、新材料、新设备可能影响工程施工安全，尚无国家、行业及地方技术标准的分部分项工程。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BB4421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EA819EA">
            <w:pPr>
              <w:wordWrap w:val="0"/>
              <w:jc w:val="center"/>
              <w:rPr>
                <w:rFonts w:hint="eastAsia" w:ascii="宋体" w:hAnsi="宋体" w:cs="宋体"/>
                <w:color w:val="auto"/>
                <w:szCs w:val="21"/>
                <w:highlight w:val="none"/>
              </w:rPr>
            </w:pPr>
          </w:p>
        </w:tc>
      </w:tr>
      <w:tr w14:paraId="0C8F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center"/>
          </w:tcPr>
          <w:p w14:paraId="5703B769">
            <w:pPr>
              <w:widowControl/>
              <w:wordWrap w:val="0"/>
              <w:rPr>
                <w:rFonts w:hint="eastAsia"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2D44D58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D60DAAE">
            <w:pPr>
              <w:wordWrap w:val="0"/>
              <w:jc w:val="center"/>
              <w:rPr>
                <w:rFonts w:hint="eastAsia" w:ascii="宋体" w:hAnsi="宋体" w:cs="宋体"/>
                <w:color w:val="auto"/>
                <w:szCs w:val="21"/>
                <w:highlight w:val="none"/>
              </w:rPr>
            </w:pPr>
          </w:p>
        </w:tc>
      </w:tr>
      <w:tr w14:paraId="00C3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354F3CD5">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一、深基坑工程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B6B00B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75031B1">
            <w:pPr>
              <w:wordWrap w:val="0"/>
              <w:jc w:val="center"/>
              <w:rPr>
                <w:rFonts w:hint="eastAsia" w:ascii="宋体" w:hAnsi="宋体" w:cs="宋体"/>
                <w:color w:val="auto"/>
                <w:szCs w:val="21"/>
                <w:highlight w:val="none"/>
              </w:rPr>
            </w:pPr>
          </w:p>
        </w:tc>
      </w:tr>
      <w:tr w14:paraId="1441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2540F72">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开挖深度超过5m（含5m）的基坑（槽）的土方开挖、支护、降水工程。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953F01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0E65C6C">
            <w:pPr>
              <w:wordWrap w:val="0"/>
              <w:jc w:val="center"/>
              <w:rPr>
                <w:rFonts w:hint="eastAsia" w:ascii="宋体" w:hAnsi="宋体" w:cs="宋体"/>
                <w:color w:val="auto"/>
                <w:szCs w:val="21"/>
                <w:highlight w:val="none"/>
              </w:rPr>
            </w:pPr>
          </w:p>
        </w:tc>
      </w:tr>
      <w:tr w14:paraId="65BC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59BF872F">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二、模板工程及支撑体系</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71FF59F">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49A0A95">
            <w:pPr>
              <w:wordWrap w:val="0"/>
              <w:jc w:val="center"/>
              <w:rPr>
                <w:rFonts w:hint="eastAsia" w:ascii="宋体" w:hAnsi="宋体" w:cs="宋体"/>
                <w:color w:val="auto"/>
                <w:szCs w:val="21"/>
                <w:highlight w:val="none"/>
              </w:rPr>
            </w:pPr>
          </w:p>
        </w:tc>
      </w:tr>
      <w:tr w14:paraId="2C73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1A0EA13A">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6A21B20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39E938B">
            <w:pPr>
              <w:wordWrap w:val="0"/>
              <w:jc w:val="center"/>
              <w:rPr>
                <w:rFonts w:hint="eastAsia" w:ascii="宋体" w:hAnsi="宋体" w:cs="宋体"/>
                <w:color w:val="auto"/>
                <w:szCs w:val="21"/>
                <w:highlight w:val="none"/>
              </w:rPr>
            </w:pPr>
          </w:p>
        </w:tc>
      </w:tr>
      <w:tr w14:paraId="5ED1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42CF9786">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（二）混凝土模板支撑工程：搭设高度8m及以上，或搭设跨度18m及以上，或施工总荷载（设计值）15kN/m2及以上，或集中线荷载（设计值）20kN/m及以上。</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78BC49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C0B4BFE">
            <w:pPr>
              <w:wordWrap w:val="0"/>
              <w:jc w:val="center"/>
              <w:rPr>
                <w:rFonts w:hint="eastAsia" w:ascii="宋体" w:hAnsi="宋体" w:cs="宋体"/>
                <w:color w:val="auto"/>
                <w:szCs w:val="21"/>
                <w:highlight w:val="none"/>
              </w:rPr>
            </w:pPr>
          </w:p>
        </w:tc>
      </w:tr>
      <w:tr w14:paraId="2A0D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2F673E0C">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（三）承重支撑体系：用于钢结构安装等满堂支撑体系，承受单点集中荷载7kN及以上。</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B0570E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B65C77A">
            <w:pPr>
              <w:wordWrap w:val="0"/>
              <w:jc w:val="center"/>
              <w:rPr>
                <w:rFonts w:hint="eastAsia" w:ascii="宋体" w:hAnsi="宋体" w:cs="宋体"/>
                <w:color w:val="auto"/>
                <w:szCs w:val="21"/>
                <w:highlight w:val="none"/>
              </w:rPr>
            </w:pPr>
          </w:p>
        </w:tc>
      </w:tr>
      <w:tr w14:paraId="5CDD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323BC07">
            <w:pPr>
              <w:wordWrap w:val="0"/>
              <w:jc w:val="left"/>
              <w:rPr>
                <w:rFonts w:hint="eastAsia"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4E5B0A2">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FD98D47">
            <w:pPr>
              <w:wordWrap w:val="0"/>
              <w:jc w:val="center"/>
              <w:rPr>
                <w:rFonts w:hint="eastAsia" w:ascii="宋体" w:hAnsi="宋体" w:cs="宋体"/>
                <w:color w:val="auto"/>
                <w:szCs w:val="21"/>
                <w:highlight w:val="none"/>
              </w:rPr>
            </w:pPr>
          </w:p>
        </w:tc>
      </w:tr>
      <w:tr w14:paraId="3689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BE44E72">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（一）采用非常规起重设备、方法，且单件起吊重量在100kN及以上的起重吊装工程。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490B6EC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1E0C244">
            <w:pPr>
              <w:wordWrap w:val="0"/>
              <w:jc w:val="center"/>
              <w:rPr>
                <w:rFonts w:hint="eastAsia" w:ascii="宋体" w:hAnsi="宋体" w:cs="宋体"/>
                <w:color w:val="auto"/>
                <w:szCs w:val="21"/>
                <w:highlight w:val="none"/>
              </w:rPr>
            </w:pPr>
          </w:p>
        </w:tc>
      </w:tr>
      <w:tr w14:paraId="3847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349BFEEF">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（二）起重量300kN及以上，或搭设总高度200m及以上，或搭设基础标高在200m及以上的起重机械安装和拆卸工程。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803FA6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49A745B">
            <w:pPr>
              <w:wordWrap w:val="0"/>
              <w:jc w:val="center"/>
              <w:rPr>
                <w:rFonts w:hint="eastAsia" w:ascii="宋体" w:hAnsi="宋体" w:cs="宋体"/>
                <w:color w:val="auto"/>
                <w:szCs w:val="21"/>
                <w:highlight w:val="none"/>
              </w:rPr>
            </w:pPr>
          </w:p>
        </w:tc>
      </w:tr>
      <w:tr w14:paraId="79C8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45A95A60">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四、脚手架工程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33B462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D863613">
            <w:pPr>
              <w:wordWrap w:val="0"/>
              <w:jc w:val="center"/>
              <w:rPr>
                <w:rFonts w:hint="eastAsia" w:ascii="宋体" w:hAnsi="宋体" w:cs="宋体"/>
                <w:color w:val="auto"/>
                <w:szCs w:val="21"/>
                <w:highlight w:val="none"/>
              </w:rPr>
            </w:pPr>
          </w:p>
        </w:tc>
      </w:tr>
      <w:tr w14:paraId="5BD3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5A9DDACC">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（一）搭设高度50m及以上的落地式钢管脚手架工程。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9CAC84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A43D231">
            <w:pPr>
              <w:wordWrap w:val="0"/>
              <w:jc w:val="center"/>
              <w:rPr>
                <w:rFonts w:hint="eastAsia" w:ascii="宋体" w:hAnsi="宋体" w:cs="宋体"/>
                <w:color w:val="auto"/>
                <w:szCs w:val="21"/>
                <w:highlight w:val="none"/>
              </w:rPr>
            </w:pPr>
          </w:p>
        </w:tc>
      </w:tr>
      <w:tr w14:paraId="7F20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CDC5733">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（二）提升高度在150m及以上的附着式升降脚手架工程或附着式升降操作平台工程。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DF9560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9656EB6">
            <w:pPr>
              <w:wordWrap w:val="0"/>
              <w:jc w:val="center"/>
              <w:rPr>
                <w:rFonts w:hint="eastAsia" w:ascii="宋体" w:hAnsi="宋体" w:cs="宋体"/>
                <w:color w:val="auto"/>
                <w:szCs w:val="21"/>
                <w:highlight w:val="none"/>
              </w:rPr>
            </w:pPr>
          </w:p>
        </w:tc>
      </w:tr>
      <w:tr w14:paraId="2883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B4988E8">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（三）分段架体搭设高度20m及以上的悬挑式脚手架工程。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7F9CE6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6B108D8">
            <w:pPr>
              <w:wordWrap w:val="0"/>
              <w:jc w:val="center"/>
              <w:rPr>
                <w:rFonts w:hint="eastAsia" w:ascii="宋体" w:hAnsi="宋体" w:cs="宋体"/>
                <w:color w:val="auto"/>
                <w:szCs w:val="21"/>
                <w:highlight w:val="none"/>
              </w:rPr>
            </w:pPr>
          </w:p>
        </w:tc>
      </w:tr>
      <w:tr w14:paraId="3F70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313DCEE7">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五、拆除工程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0352170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CC6806D">
            <w:pPr>
              <w:wordWrap w:val="0"/>
              <w:jc w:val="center"/>
              <w:rPr>
                <w:rFonts w:hint="eastAsia" w:ascii="宋体" w:hAnsi="宋体" w:cs="宋体"/>
                <w:color w:val="auto"/>
                <w:szCs w:val="21"/>
                <w:highlight w:val="none"/>
              </w:rPr>
            </w:pPr>
          </w:p>
        </w:tc>
      </w:tr>
      <w:tr w14:paraId="337F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6CB34DDE">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（一）码头、桥梁、高架、烟囱、水塔或拆除中容易引起有毒有害气（液）体或粉尘扩散、易燃易爆事故发生的特殊建、构筑物的拆除工程。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1331B3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CA8B448">
            <w:pPr>
              <w:wordWrap w:val="0"/>
              <w:jc w:val="center"/>
              <w:rPr>
                <w:rFonts w:hint="eastAsia" w:ascii="宋体" w:hAnsi="宋体" w:cs="宋体"/>
                <w:color w:val="auto"/>
                <w:szCs w:val="21"/>
                <w:highlight w:val="none"/>
              </w:rPr>
            </w:pPr>
          </w:p>
        </w:tc>
      </w:tr>
      <w:tr w14:paraId="21EB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313A3032">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（二）文物保护建筑、优秀历史建筑或历史文化风貌区影响范围内的拆除工程。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37B665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474E5D6">
            <w:pPr>
              <w:wordWrap w:val="0"/>
              <w:jc w:val="center"/>
              <w:rPr>
                <w:rFonts w:hint="eastAsia" w:ascii="宋体" w:hAnsi="宋体" w:cs="宋体"/>
                <w:color w:val="auto"/>
                <w:szCs w:val="21"/>
                <w:highlight w:val="none"/>
              </w:rPr>
            </w:pPr>
          </w:p>
        </w:tc>
      </w:tr>
      <w:tr w14:paraId="452D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3E6E0609">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六、暗挖工程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4BEE3C9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D91BD71">
            <w:pPr>
              <w:wordWrap w:val="0"/>
              <w:jc w:val="center"/>
              <w:rPr>
                <w:rFonts w:hint="eastAsia" w:ascii="宋体" w:hAnsi="宋体" w:cs="宋体"/>
                <w:color w:val="auto"/>
                <w:szCs w:val="21"/>
                <w:highlight w:val="none"/>
              </w:rPr>
            </w:pPr>
          </w:p>
        </w:tc>
      </w:tr>
      <w:tr w14:paraId="62F7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442FCB8">
            <w:pPr>
              <w:wordWrap w:val="0"/>
              <w:jc w:val="left"/>
              <w:rPr>
                <w:rFonts w:hint="eastAsia"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0795812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183E47D">
            <w:pPr>
              <w:wordWrap w:val="0"/>
              <w:jc w:val="center"/>
              <w:rPr>
                <w:rFonts w:hint="eastAsia" w:ascii="宋体" w:hAnsi="宋体" w:cs="宋体"/>
                <w:color w:val="auto"/>
                <w:szCs w:val="21"/>
                <w:highlight w:val="none"/>
              </w:rPr>
            </w:pPr>
          </w:p>
        </w:tc>
      </w:tr>
      <w:tr w14:paraId="330C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7C1E77AF">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七、其它</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404D193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91EC518">
            <w:pPr>
              <w:wordWrap w:val="0"/>
              <w:jc w:val="center"/>
              <w:rPr>
                <w:rFonts w:hint="eastAsia" w:ascii="宋体" w:hAnsi="宋体" w:cs="宋体"/>
                <w:color w:val="auto"/>
                <w:szCs w:val="21"/>
                <w:highlight w:val="none"/>
              </w:rPr>
            </w:pPr>
          </w:p>
        </w:tc>
      </w:tr>
      <w:tr w14:paraId="33B5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5CAD7F6B">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（一）施工高度50m及以上的建筑幕墙安装工程。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CE5B20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84E0C98">
            <w:pPr>
              <w:wordWrap w:val="0"/>
              <w:jc w:val="center"/>
              <w:rPr>
                <w:rFonts w:hint="eastAsia" w:ascii="宋体" w:hAnsi="宋体" w:cs="宋体"/>
                <w:color w:val="auto"/>
                <w:szCs w:val="21"/>
                <w:highlight w:val="none"/>
              </w:rPr>
            </w:pPr>
          </w:p>
        </w:tc>
      </w:tr>
      <w:tr w14:paraId="2B15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2A3012FB">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（二）跨度36m及以上的钢结构安装工程，或跨度60m及以上的网架和索膜结构安装工程。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1976E6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62E0BAC">
            <w:pPr>
              <w:wordWrap w:val="0"/>
              <w:jc w:val="center"/>
              <w:rPr>
                <w:rFonts w:hint="eastAsia" w:ascii="宋体" w:hAnsi="宋体" w:cs="宋体"/>
                <w:color w:val="auto"/>
                <w:szCs w:val="21"/>
                <w:highlight w:val="none"/>
              </w:rPr>
            </w:pPr>
          </w:p>
        </w:tc>
      </w:tr>
      <w:tr w14:paraId="01A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5D9C7C32">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（三）开挖深度16m及以上的人工挖孔桩工程。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0572D59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B17A915">
            <w:pPr>
              <w:wordWrap w:val="0"/>
              <w:jc w:val="center"/>
              <w:rPr>
                <w:rFonts w:hint="eastAsia" w:ascii="宋体" w:hAnsi="宋体" w:cs="宋体"/>
                <w:color w:val="auto"/>
                <w:szCs w:val="21"/>
                <w:highlight w:val="none"/>
              </w:rPr>
            </w:pPr>
          </w:p>
        </w:tc>
      </w:tr>
      <w:tr w14:paraId="4F31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1F255637">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（四）水下作业工程。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0572673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AC10F02">
            <w:pPr>
              <w:wordWrap w:val="0"/>
              <w:jc w:val="center"/>
              <w:rPr>
                <w:rFonts w:hint="eastAsia" w:ascii="宋体" w:hAnsi="宋体" w:cs="宋体"/>
                <w:color w:val="auto"/>
                <w:szCs w:val="21"/>
                <w:highlight w:val="none"/>
              </w:rPr>
            </w:pPr>
          </w:p>
        </w:tc>
      </w:tr>
      <w:tr w14:paraId="0C03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0BE74A8A">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（五）重量1000kN及以上的大型结构整体顶升、平移、转体等施工工艺。</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DF122E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AFD2AEA">
            <w:pPr>
              <w:wordWrap w:val="0"/>
              <w:jc w:val="center"/>
              <w:rPr>
                <w:rFonts w:hint="eastAsia" w:ascii="宋体" w:hAnsi="宋体" w:cs="宋体"/>
                <w:color w:val="auto"/>
                <w:szCs w:val="21"/>
                <w:highlight w:val="none"/>
              </w:rPr>
            </w:pPr>
          </w:p>
        </w:tc>
      </w:tr>
      <w:tr w14:paraId="7DC4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noWrap w:val="0"/>
            <w:vAlign w:val="top"/>
          </w:tcPr>
          <w:p w14:paraId="42DE2AAB">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B49029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EAB2998">
            <w:pPr>
              <w:wordWrap w:val="0"/>
              <w:jc w:val="center"/>
              <w:rPr>
                <w:rFonts w:hint="eastAsia" w:ascii="宋体" w:hAnsi="宋体" w:cs="宋体"/>
                <w:color w:val="auto"/>
                <w:szCs w:val="21"/>
                <w:highlight w:val="none"/>
              </w:rPr>
            </w:pPr>
          </w:p>
        </w:tc>
      </w:tr>
    </w:tbl>
    <w:p w14:paraId="236322B4">
      <w:pPr>
        <w:pStyle w:val="31"/>
        <w:wordWrap w:val="0"/>
        <w:autoSpaceDE w:val="0"/>
        <w:autoSpaceDN w:val="0"/>
        <w:adjustRightInd w:val="0"/>
        <w:ind w:left="386" w:leftChars="57" w:hanging="266" w:hangingChars="127"/>
        <w:jc w:val="left"/>
        <w:rPr>
          <w:rFonts w:hint="eastAsia" w:ascii="宋体" w:hAnsi="宋体" w:cs="宋体"/>
          <w:color w:val="auto"/>
          <w:szCs w:val="21"/>
          <w:highlight w:val="none"/>
        </w:rPr>
      </w:pPr>
    </w:p>
    <w:p w14:paraId="5A59DF81">
      <w:pPr>
        <w:wordWrap w:val="0"/>
        <w:ind w:firstLine="2625" w:firstLineChars="1250"/>
        <w:rPr>
          <w:rFonts w:hint="eastAsia" w:ascii="宋体" w:hAnsi="宋体" w:cs="宋体"/>
          <w:color w:val="auto"/>
          <w:szCs w:val="21"/>
          <w:highlight w:val="none"/>
        </w:rPr>
      </w:pPr>
    </w:p>
    <w:p w14:paraId="29DF2270">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    </w:t>
      </w:r>
    </w:p>
    <w:p w14:paraId="61E644EB">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6C91B75B">
      <w:pPr>
        <w:pStyle w:val="11"/>
        <w:spacing w:line="360" w:lineRule="auto"/>
        <w:rPr>
          <w:rFonts w:hint="eastAsia" w:hAnsi="宋体" w:cs="宋体"/>
          <w:color w:val="auto"/>
          <w:sz w:val="24"/>
          <w:szCs w:val="24"/>
          <w:highlight w:val="none"/>
        </w:rPr>
      </w:pPr>
    </w:p>
    <w:p w14:paraId="0B3BE8D9">
      <w:pPr>
        <w:spacing w:before="0" w:after="0"/>
        <w:jc w:val="both"/>
        <w:outlineLvl w:val="2"/>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eastAsia="宋体" w:cs="宋体"/>
          <w:b/>
          <w:color w:val="auto"/>
          <w:sz w:val="24"/>
          <w:szCs w:val="24"/>
          <w:highlight w:val="none"/>
        </w:rPr>
        <w:t>格式七：投标报价格式（格式仅供参考，投标人可自行调整）</w:t>
      </w:r>
    </w:p>
    <w:p w14:paraId="4A455CC7">
      <w:pPr>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投标报价</w:t>
      </w:r>
      <w:r>
        <w:rPr>
          <w:rFonts w:hint="eastAsia" w:ascii="宋体" w:hAnsi="宋体" w:cs="宋体"/>
          <w:b/>
          <w:color w:val="auto"/>
          <w:sz w:val="32"/>
          <w:szCs w:val="32"/>
          <w:highlight w:val="none"/>
          <w:lang w:val="en-US" w:eastAsia="zh-CN"/>
        </w:rPr>
        <w:t>汇总表</w:t>
      </w:r>
    </w:p>
    <w:tbl>
      <w:tblPr>
        <w:tblStyle w:val="18"/>
        <w:tblW w:w="9962" w:type="dxa"/>
        <w:jc w:val="center"/>
        <w:tblLayout w:type="fixed"/>
        <w:tblCellMar>
          <w:top w:w="0" w:type="dxa"/>
          <w:left w:w="108" w:type="dxa"/>
          <w:bottom w:w="0" w:type="dxa"/>
          <w:right w:w="108" w:type="dxa"/>
        </w:tblCellMar>
      </w:tblPr>
      <w:tblGrid>
        <w:gridCol w:w="799"/>
        <w:gridCol w:w="1867"/>
        <w:gridCol w:w="5302"/>
        <w:gridCol w:w="1994"/>
      </w:tblGrid>
      <w:tr w14:paraId="66DD5D81">
        <w:tblPrEx>
          <w:tblCellMar>
            <w:top w:w="0" w:type="dxa"/>
            <w:left w:w="108" w:type="dxa"/>
            <w:bottom w:w="0" w:type="dxa"/>
            <w:right w:w="108" w:type="dxa"/>
          </w:tblCellMar>
        </w:tblPrEx>
        <w:trPr>
          <w:trHeight w:val="551" w:hRule="atLeast"/>
          <w:jc w:val="center"/>
        </w:trPr>
        <w:tc>
          <w:tcPr>
            <w:tcW w:w="9962" w:type="dxa"/>
            <w:gridSpan w:val="4"/>
            <w:tcBorders>
              <w:top w:val="single" w:color="000000" w:sz="8" w:space="0"/>
              <w:left w:val="single" w:color="000000" w:sz="8" w:space="0"/>
              <w:bottom w:val="single" w:color="000000" w:sz="8" w:space="0"/>
              <w:right w:val="single" w:color="000000" w:sz="8" w:space="0"/>
            </w:tcBorders>
            <w:noWrap/>
            <w:vAlign w:val="center"/>
          </w:tcPr>
          <w:p w14:paraId="02213A9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各投标分项报价明细表</w:t>
            </w:r>
          </w:p>
        </w:tc>
      </w:tr>
      <w:tr w14:paraId="082D8169">
        <w:tblPrEx>
          <w:tblCellMar>
            <w:top w:w="0" w:type="dxa"/>
            <w:left w:w="108" w:type="dxa"/>
            <w:bottom w:w="0" w:type="dxa"/>
            <w:right w:w="108" w:type="dxa"/>
          </w:tblCellMar>
        </w:tblPrEx>
        <w:trPr>
          <w:trHeight w:val="449" w:hRule="atLeast"/>
          <w:jc w:val="center"/>
        </w:trPr>
        <w:tc>
          <w:tcPr>
            <w:tcW w:w="799" w:type="dxa"/>
            <w:tcBorders>
              <w:top w:val="nil"/>
              <w:left w:val="single" w:color="000000" w:sz="8" w:space="0"/>
              <w:bottom w:val="single" w:color="000000" w:sz="8" w:space="0"/>
              <w:right w:val="single" w:color="000000" w:sz="8" w:space="0"/>
            </w:tcBorders>
            <w:noWrap/>
            <w:vAlign w:val="center"/>
          </w:tcPr>
          <w:p w14:paraId="5F956FCB">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序号</w:t>
            </w:r>
          </w:p>
        </w:tc>
        <w:tc>
          <w:tcPr>
            <w:tcW w:w="1867" w:type="dxa"/>
            <w:tcBorders>
              <w:top w:val="single" w:color="000000" w:sz="8" w:space="0"/>
              <w:left w:val="single" w:color="000000" w:sz="8" w:space="0"/>
              <w:bottom w:val="single" w:color="000000" w:sz="8" w:space="0"/>
              <w:right w:val="single" w:color="000000" w:sz="8" w:space="0"/>
            </w:tcBorders>
            <w:noWrap/>
            <w:vAlign w:val="center"/>
          </w:tcPr>
          <w:p w14:paraId="1A68F0D8">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名称</w:t>
            </w:r>
          </w:p>
        </w:tc>
        <w:tc>
          <w:tcPr>
            <w:tcW w:w="5302" w:type="dxa"/>
            <w:tcBorders>
              <w:top w:val="single" w:color="000000" w:sz="8" w:space="0"/>
              <w:left w:val="single" w:color="000000" w:sz="8" w:space="0"/>
              <w:bottom w:val="single" w:color="000000" w:sz="8" w:space="0"/>
              <w:right w:val="single" w:color="000000" w:sz="8" w:space="0"/>
            </w:tcBorders>
            <w:noWrap/>
            <w:vAlign w:val="center"/>
          </w:tcPr>
          <w:p w14:paraId="3DB3C322">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投标报价</w:t>
            </w:r>
          </w:p>
        </w:tc>
        <w:tc>
          <w:tcPr>
            <w:tcW w:w="1994" w:type="dxa"/>
            <w:tcBorders>
              <w:top w:val="single" w:color="000000" w:sz="8" w:space="0"/>
              <w:left w:val="single" w:color="000000" w:sz="8" w:space="0"/>
              <w:bottom w:val="single" w:color="000000" w:sz="8" w:space="0"/>
              <w:right w:val="single" w:color="000000" w:sz="8" w:space="0"/>
            </w:tcBorders>
            <w:noWrap/>
            <w:vAlign w:val="center"/>
          </w:tcPr>
          <w:p w14:paraId="345D1ABD">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备注</w:t>
            </w:r>
          </w:p>
        </w:tc>
      </w:tr>
      <w:tr w14:paraId="6C758A73">
        <w:tblPrEx>
          <w:tblCellMar>
            <w:top w:w="0" w:type="dxa"/>
            <w:left w:w="108" w:type="dxa"/>
            <w:bottom w:w="0" w:type="dxa"/>
            <w:right w:w="108" w:type="dxa"/>
          </w:tblCellMar>
        </w:tblPrEx>
        <w:trPr>
          <w:trHeight w:val="247" w:hRule="atLeast"/>
          <w:jc w:val="center"/>
        </w:trPr>
        <w:tc>
          <w:tcPr>
            <w:tcW w:w="799" w:type="dxa"/>
            <w:tcBorders>
              <w:top w:val="nil"/>
              <w:left w:val="single" w:color="000000" w:sz="8" w:space="0"/>
              <w:bottom w:val="single" w:color="000000" w:sz="8" w:space="0"/>
              <w:right w:val="single" w:color="000000" w:sz="8" w:space="0"/>
            </w:tcBorders>
            <w:noWrap/>
            <w:vAlign w:val="center"/>
          </w:tcPr>
          <w:p w14:paraId="674CB8BE">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1</w:t>
            </w:r>
          </w:p>
        </w:tc>
        <w:tc>
          <w:tcPr>
            <w:tcW w:w="1867" w:type="dxa"/>
            <w:tcBorders>
              <w:top w:val="nil"/>
              <w:left w:val="single" w:color="000000" w:sz="8" w:space="0"/>
              <w:bottom w:val="single" w:color="000000" w:sz="8" w:space="0"/>
              <w:right w:val="single" w:color="000000" w:sz="8" w:space="0"/>
            </w:tcBorders>
            <w:noWrap/>
            <w:vAlign w:val="center"/>
          </w:tcPr>
          <w:p w14:paraId="28BF068F">
            <w:pPr>
              <w:widowControl/>
              <w:jc w:val="center"/>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rPr>
              <w:t>设计</w:t>
            </w:r>
            <w:r>
              <w:rPr>
                <w:rFonts w:hint="eastAsia" w:ascii="宋体" w:hAnsi="宋体" w:cs="宋体"/>
                <w:b/>
                <w:bCs/>
                <w:color w:val="auto"/>
                <w:kern w:val="0"/>
                <w:szCs w:val="21"/>
                <w:highlight w:val="none"/>
                <w:lang w:val="en-US" w:eastAsia="zh-CN"/>
              </w:rPr>
              <w:t>服务</w:t>
            </w:r>
            <w:r>
              <w:rPr>
                <w:rFonts w:hint="eastAsia" w:ascii="宋体" w:hAnsi="宋体" w:eastAsia="宋体" w:cs="宋体"/>
                <w:b/>
                <w:bCs/>
                <w:color w:val="auto"/>
                <w:kern w:val="0"/>
                <w:szCs w:val="21"/>
                <w:highlight w:val="none"/>
              </w:rPr>
              <w:t>费</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元）</w:t>
            </w:r>
          </w:p>
        </w:tc>
        <w:tc>
          <w:tcPr>
            <w:tcW w:w="5302" w:type="dxa"/>
            <w:tcBorders>
              <w:top w:val="nil"/>
              <w:left w:val="single" w:color="000000" w:sz="8" w:space="0"/>
              <w:bottom w:val="single" w:color="000000" w:sz="8" w:space="0"/>
              <w:right w:val="single" w:color="000000" w:sz="8" w:space="0"/>
            </w:tcBorders>
            <w:noWrap/>
            <w:vAlign w:val="center"/>
          </w:tcPr>
          <w:p w14:paraId="28A580FC">
            <w:pPr>
              <w:autoSpaceDE w:val="0"/>
              <w:autoSpaceDN w:val="0"/>
              <w:adjustRightInd w:val="0"/>
              <w:spacing w:line="360" w:lineRule="auto"/>
              <w:jc w:val="left"/>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p>
          <w:p w14:paraId="6A30AEA2">
            <w:pPr>
              <w:jc w:val="both"/>
              <w:rPr>
                <w:rFonts w:ascii="宋体" w:hAnsi="宋体" w:eastAsia="宋体" w:cs="宋体"/>
                <w:b/>
                <w:bCs/>
                <w:color w:val="auto"/>
                <w:szCs w:val="21"/>
                <w:highlight w:val="none"/>
              </w:rPr>
            </w:pPr>
            <w:r>
              <w:rPr>
                <w:rFonts w:hint="eastAsia" w:ascii="宋体" w:hAnsi="宋体" w:eastAsia="宋体" w:cs="宋体"/>
                <w:b/>
                <w:color w:val="auto"/>
                <w:sz w:val="21"/>
                <w:szCs w:val="21"/>
                <w:highlight w:val="none"/>
              </w:rPr>
              <w:t>大写：</w:t>
            </w:r>
            <w:r>
              <w:rPr>
                <w:rFonts w:hint="eastAsia" w:ascii="宋体" w:hAnsi="宋体" w:eastAsia="宋体" w:cs="宋体"/>
                <w:b/>
                <w:color w:val="auto"/>
                <w:sz w:val="21"/>
                <w:szCs w:val="21"/>
                <w:highlight w:val="none"/>
                <w:u w:val="single"/>
                <w:lang w:val="en-US" w:eastAsia="zh-CN"/>
              </w:rPr>
              <w:t xml:space="preserve">                </w:t>
            </w:r>
          </w:p>
        </w:tc>
        <w:tc>
          <w:tcPr>
            <w:tcW w:w="1994" w:type="dxa"/>
            <w:tcBorders>
              <w:top w:val="nil"/>
              <w:left w:val="single" w:color="000000" w:sz="8" w:space="0"/>
              <w:bottom w:val="single" w:color="000000" w:sz="8" w:space="0"/>
              <w:right w:val="single" w:color="000000" w:sz="8" w:space="0"/>
            </w:tcBorders>
            <w:noWrap/>
            <w:vAlign w:val="center"/>
          </w:tcPr>
          <w:p w14:paraId="50170C59">
            <w:pPr>
              <w:widowControl/>
              <w:jc w:val="center"/>
              <w:textAlignment w:val="bottom"/>
              <w:rPr>
                <w:rFonts w:ascii="宋体" w:hAnsi="宋体" w:eastAsia="宋体" w:cs="宋体"/>
                <w:b/>
                <w:bCs/>
                <w:color w:val="auto"/>
                <w:szCs w:val="21"/>
                <w:highlight w:val="none"/>
              </w:rPr>
            </w:pPr>
          </w:p>
        </w:tc>
      </w:tr>
      <w:tr w14:paraId="4EA8DB89">
        <w:tblPrEx>
          <w:tblCellMar>
            <w:top w:w="0" w:type="dxa"/>
            <w:left w:w="108" w:type="dxa"/>
            <w:bottom w:w="0" w:type="dxa"/>
            <w:right w:w="108" w:type="dxa"/>
          </w:tblCellMar>
        </w:tblPrEx>
        <w:trPr>
          <w:trHeight w:val="1326" w:hRule="atLeast"/>
          <w:jc w:val="center"/>
        </w:trPr>
        <w:tc>
          <w:tcPr>
            <w:tcW w:w="799" w:type="dxa"/>
            <w:tcBorders>
              <w:top w:val="nil"/>
              <w:left w:val="single" w:color="000000" w:sz="8" w:space="0"/>
              <w:bottom w:val="single" w:color="000000" w:sz="8" w:space="0"/>
              <w:right w:val="single" w:color="000000" w:sz="8" w:space="0"/>
            </w:tcBorders>
            <w:noWrap/>
            <w:vAlign w:val="center"/>
          </w:tcPr>
          <w:p w14:paraId="0CE0D9F8">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2</w:t>
            </w:r>
          </w:p>
        </w:tc>
        <w:tc>
          <w:tcPr>
            <w:tcW w:w="1867" w:type="dxa"/>
            <w:tcBorders>
              <w:top w:val="nil"/>
              <w:left w:val="single" w:color="000000" w:sz="8" w:space="0"/>
              <w:bottom w:val="single" w:color="000000" w:sz="8" w:space="0"/>
              <w:right w:val="single" w:color="000000" w:sz="8" w:space="0"/>
            </w:tcBorders>
            <w:noWrap/>
            <w:vAlign w:val="center"/>
          </w:tcPr>
          <w:p w14:paraId="2C08120E">
            <w:pPr>
              <w:widowControl/>
              <w:jc w:val="center"/>
              <w:textAlignment w:val="center"/>
              <w:rPr>
                <w:rFonts w:hint="default" w:ascii="宋体" w:hAnsi="宋体" w:eastAsia="宋体" w:cs="宋体"/>
                <w:b/>
                <w:bCs/>
                <w:color w:val="auto"/>
                <w:szCs w:val="21"/>
                <w:highlight w:val="none"/>
                <w:lang w:val="en-US"/>
              </w:rPr>
            </w:pPr>
            <w:r>
              <w:rPr>
                <w:rFonts w:hint="eastAsia" w:ascii="宋体" w:hAnsi="宋体" w:cs="宋体"/>
                <w:b/>
                <w:bCs/>
                <w:color w:val="auto"/>
                <w:kern w:val="0"/>
                <w:szCs w:val="21"/>
                <w:highlight w:val="none"/>
                <w:lang w:val="en-US" w:eastAsia="zh-CN"/>
              </w:rPr>
              <w:t>建安工程费（元）</w:t>
            </w:r>
          </w:p>
        </w:tc>
        <w:tc>
          <w:tcPr>
            <w:tcW w:w="5302" w:type="dxa"/>
            <w:tcBorders>
              <w:top w:val="nil"/>
              <w:left w:val="single" w:color="000000" w:sz="8" w:space="0"/>
              <w:bottom w:val="single" w:color="000000" w:sz="8" w:space="0"/>
              <w:right w:val="single" w:color="000000" w:sz="8" w:space="0"/>
            </w:tcBorders>
            <w:noWrap/>
            <w:vAlign w:val="center"/>
          </w:tcPr>
          <w:p w14:paraId="2C6FC7CC">
            <w:pPr>
              <w:autoSpaceDE w:val="0"/>
              <w:autoSpaceDN w:val="0"/>
              <w:adjustRightInd w:val="0"/>
              <w:spacing w:line="360" w:lineRule="auto"/>
              <w:jc w:val="left"/>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p>
          <w:p w14:paraId="47F7F5B9">
            <w:pPr>
              <w:jc w:val="both"/>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大写：</w:t>
            </w:r>
            <w:r>
              <w:rPr>
                <w:rFonts w:hint="eastAsia" w:ascii="宋体" w:hAnsi="宋体" w:eastAsia="宋体" w:cs="宋体"/>
                <w:b/>
                <w:color w:val="auto"/>
                <w:sz w:val="21"/>
                <w:szCs w:val="21"/>
                <w:highlight w:val="none"/>
                <w:u w:val="single"/>
                <w:lang w:val="en-US" w:eastAsia="zh-CN"/>
              </w:rPr>
              <w:t xml:space="preserve">                </w:t>
            </w:r>
          </w:p>
          <w:p w14:paraId="40F4D8C7">
            <w:pPr>
              <w:jc w:val="both"/>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u w:val="none"/>
                <w:lang w:val="en-US" w:eastAsia="zh-CN"/>
              </w:rPr>
              <w:t>投标下浮率：</w:t>
            </w:r>
            <w:r>
              <w:rPr>
                <w:rFonts w:hint="eastAsia" w:ascii="宋体" w:hAnsi="宋体" w:eastAsia="宋体" w:cs="宋体"/>
                <w:b/>
                <w:color w:val="auto"/>
                <w:sz w:val="21"/>
                <w:szCs w:val="21"/>
                <w:highlight w:val="none"/>
                <w:u w:val="single"/>
                <w:lang w:val="en-US" w:eastAsia="zh-CN"/>
              </w:rPr>
              <w:t xml:space="preserve">       %</w:t>
            </w:r>
          </w:p>
        </w:tc>
        <w:tc>
          <w:tcPr>
            <w:tcW w:w="1994" w:type="dxa"/>
            <w:tcBorders>
              <w:top w:val="nil"/>
              <w:left w:val="single" w:color="000000" w:sz="8" w:space="0"/>
              <w:bottom w:val="single" w:color="000000" w:sz="8" w:space="0"/>
              <w:right w:val="single" w:color="000000" w:sz="8" w:space="0"/>
            </w:tcBorders>
            <w:noWrap/>
            <w:vAlign w:val="center"/>
          </w:tcPr>
          <w:p w14:paraId="40471C1C">
            <w:pPr>
              <w:jc w:val="center"/>
              <w:rPr>
                <w:rFonts w:ascii="宋体" w:hAnsi="宋体" w:eastAsia="宋体" w:cs="宋体"/>
                <w:b/>
                <w:bCs/>
                <w:color w:val="auto"/>
                <w:szCs w:val="21"/>
                <w:highlight w:val="none"/>
              </w:rPr>
            </w:pPr>
          </w:p>
        </w:tc>
      </w:tr>
      <w:tr w14:paraId="3F3947C2">
        <w:tblPrEx>
          <w:tblCellMar>
            <w:top w:w="0" w:type="dxa"/>
            <w:left w:w="108" w:type="dxa"/>
            <w:bottom w:w="0" w:type="dxa"/>
            <w:right w:w="108" w:type="dxa"/>
          </w:tblCellMar>
        </w:tblPrEx>
        <w:trPr>
          <w:trHeight w:val="568" w:hRule="atLeast"/>
          <w:jc w:val="center"/>
        </w:trPr>
        <w:tc>
          <w:tcPr>
            <w:tcW w:w="2666" w:type="dxa"/>
            <w:gridSpan w:val="2"/>
            <w:tcBorders>
              <w:top w:val="nil"/>
              <w:left w:val="single" w:color="000000" w:sz="8" w:space="0"/>
              <w:bottom w:val="single" w:color="000000" w:sz="8" w:space="0"/>
              <w:right w:val="single" w:color="000000" w:sz="8" w:space="0"/>
            </w:tcBorders>
            <w:noWrap/>
            <w:vAlign w:val="center"/>
          </w:tcPr>
          <w:p w14:paraId="2460FD8B">
            <w:pPr>
              <w:widowControl/>
              <w:jc w:val="center"/>
              <w:textAlignment w:val="center"/>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合计</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元）</w:t>
            </w:r>
          </w:p>
        </w:tc>
        <w:tc>
          <w:tcPr>
            <w:tcW w:w="5302" w:type="dxa"/>
            <w:tcBorders>
              <w:top w:val="nil"/>
              <w:left w:val="single" w:color="000000" w:sz="8" w:space="0"/>
              <w:bottom w:val="single" w:color="000000" w:sz="8" w:space="0"/>
              <w:right w:val="single" w:color="000000" w:sz="8" w:space="0"/>
            </w:tcBorders>
            <w:noWrap/>
            <w:vAlign w:val="center"/>
          </w:tcPr>
          <w:p w14:paraId="5B408396">
            <w:pPr>
              <w:autoSpaceDE w:val="0"/>
              <w:autoSpaceDN w:val="0"/>
              <w:adjustRightInd w:val="0"/>
              <w:spacing w:line="360" w:lineRule="auto"/>
              <w:jc w:val="left"/>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p>
          <w:p w14:paraId="4CDE2C23">
            <w:pPr>
              <w:widowControl/>
              <w:jc w:val="both"/>
              <w:textAlignment w:val="center"/>
              <w:rPr>
                <w:rFonts w:ascii="宋体" w:hAnsi="宋体" w:eastAsia="宋体" w:cs="宋体"/>
                <w:b/>
                <w:bCs/>
                <w:color w:val="auto"/>
                <w:kern w:val="0"/>
                <w:szCs w:val="21"/>
                <w:highlight w:val="none"/>
              </w:rPr>
            </w:pPr>
            <w:r>
              <w:rPr>
                <w:rFonts w:hint="eastAsia" w:ascii="宋体" w:hAnsi="宋体" w:eastAsia="宋体" w:cs="宋体"/>
                <w:b/>
                <w:color w:val="auto"/>
                <w:sz w:val="21"/>
                <w:szCs w:val="21"/>
                <w:highlight w:val="none"/>
              </w:rPr>
              <w:t>大写：</w:t>
            </w:r>
            <w:r>
              <w:rPr>
                <w:rFonts w:hint="eastAsia" w:ascii="宋体" w:hAnsi="宋体" w:eastAsia="宋体" w:cs="宋体"/>
                <w:b/>
                <w:color w:val="auto"/>
                <w:sz w:val="21"/>
                <w:szCs w:val="21"/>
                <w:highlight w:val="none"/>
                <w:u w:val="single"/>
                <w:lang w:val="en-US" w:eastAsia="zh-CN"/>
              </w:rPr>
              <w:t xml:space="preserve">                      </w:t>
            </w:r>
          </w:p>
        </w:tc>
        <w:tc>
          <w:tcPr>
            <w:tcW w:w="1994" w:type="dxa"/>
            <w:tcBorders>
              <w:top w:val="nil"/>
              <w:left w:val="single" w:color="000000" w:sz="8" w:space="0"/>
              <w:bottom w:val="single" w:color="000000" w:sz="8" w:space="0"/>
              <w:right w:val="single" w:color="000000" w:sz="8" w:space="0"/>
            </w:tcBorders>
            <w:noWrap/>
            <w:vAlign w:val="center"/>
          </w:tcPr>
          <w:p w14:paraId="28A87CCF">
            <w:pPr>
              <w:widowControl/>
              <w:jc w:val="center"/>
              <w:textAlignment w:val="center"/>
              <w:rPr>
                <w:rFonts w:ascii="宋体" w:hAnsi="宋体" w:eastAsia="宋体" w:cs="宋体"/>
                <w:color w:val="auto"/>
                <w:kern w:val="0"/>
                <w:szCs w:val="21"/>
                <w:highlight w:val="none"/>
              </w:rPr>
            </w:pPr>
          </w:p>
        </w:tc>
      </w:tr>
    </w:tbl>
    <w:p w14:paraId="0609C2B1">
      <w:pPr>
        <w:pStyle w:val="14"/>
        <w:spacing w:before="0" w:after="0"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注：</w:t>
      </w:r>
    </w:p>
    <w:p w14:paraId="033C18A8">
      <w:pPr>
        <w:spacing w:line="360" w:lineRule="auto"/>
        <w:rPr>
          <w:rFonts w:hint="default" w:ascii="宋体" w:hAnsi="宋体" w:eastAsia="宋体" w:cs="宋体"/>
          <w:bCs w:val="0"/>
          <w:color w:val="auto"/>
          <w:kern w:val="0"/>
          <w:sz w:val="21"/>
          <w:szCs w:val="21"/>
          <w:highlight w:val="none"/>
          <w:lang w:val="en-US" w:eastAsia="zh-CN"/>
        </w:rPr>
      </w:pPr>
      <w:r>
        <w:rPr>
          <w:rFonts w:hint="eastAsia" w:ascii="宋体" w:hAnsi="宋体" w:cs="宋体"/>
          <w:bCs w:val="0"/>
          <w:color w:val="auto"/>
          <w:kern w:val="0"/>
          <w:sz w:val="21"/>
          <w:szCs w:val="21"/>
          <w:highlight w:val="none"/>
          <w:lang w:eastAsia="zh-CN"/>
        </w:rPr>
        <w:t>（</w:t>
      </w:r>
      <w:r>
        <w:rPr>
          <w:rFonts w:hint="eastAsia" w:ascii="宋体" w:hAnsi="宋体" w:cs="宋体"/>
          <w:bCs w:val="0"/>
          <w:color w:val="auto"/>
          <w:kern w:val="0"/>
          <w:sz w:val="21"/>
          <w:szCs w:val="21"/>
          <w:highlight w:val="none"/>
          <w:lang w:val="en-US" w:eastAsia="zh-CN"/>
        </w:rPr>
        <w:t>1</w:t>
      </w:r>
      <w:r>
        <w:rPr>
          <w:rFonts w:hint="eastAsia" w:ascii="宋体" w:hAnsi="宋体" w:cs="宋体"/>
          <w:bCs w:val="0"/>
          <w:color w:val="auto"/>
          <w:kern w:val="0"/>
          <w:sz w:val="21"/>
          <w:szCs w:val="21"/>
          <w:highlight w:val="none"/>
          <w:lang w:eastAsia="zh-CN"/>
        </w:rPr>
        <w:t>）</w:t>
      </w:r>
      <w:r>
        <w:rPr>
          <w:rFonts w:hint="eastAsia" w:ascii="宋体" w:hAnsi="宋体" w:cs="宋体"/>
          <w:bCs w:val="0"/>
          <w:color w:val="auto"/>
          <w:kern w:val="0"/>
          <w:sz w:val="21"/>
          <w:szCs w:val="21"/>
          <w:highlight w:val="none"/>
          <w:lang w:val="en-US" w:eastAsia="zh-CN"/>
        </w:rPr>
        <w:t>建安工程费投标下浮率=（建安工程费投标报价</w:t>
      </w:r>
      <w:r>
        <w:rPr>
          <w:rFonts w:hint="default" w:ascii="Arial" w:hAnsi="Arial" w:cs="Arial"/>
          <w:bCs w:val="0"/>
          <w:color w:val="auto"/>
          <w:kern w:val="0"/>
          <w:sz w:val="21"/>
          <w:szCs w:val="21"/>
          <w:highlight w:val="none"/>
          <w:lang w:val="en-US" w:eastAsia="zh-CN"/>
        </w:rPr>
        <w:t>÷</w:t>
      </w:r>
      <w:r>
        <w:rPr>
          <w:rFonts w:hint="eastAsia" w:ascii="宋体" w:hAnsi="宋体" w:cs="宋体"/>
          <w:bCs w:val="0"/>
          <w:color w:val="auto"/>
          <w:kern w:val="0"/>
          <w:sz w:val="21"/>
          <w:szCs w:val="21"/>
          <w:highlight w:val="none"/>
          <w:lang w:val="en-US" w:eastAsia="zh-CN"/>
        </w:rPr>
        <w:t>建安工程费最高投标限价）</w:t>
      </w:r>
      <w:r>
        <w:rPr>
          <w:rFonts w:hint="default" w:ascii="Arial" w:hAnsi="Arial" w:cs="Arial"/>
          <w:bCs w:val="0"/>
          <w:color w:val="auto"/>
          <w:kern w:val="0"/>
          <w:sz w:val="21"/>
          <w:szCs w:val="21"/>
          <w:highlight w:val="none"/>
          <w:lang w:val="en-US" w:eastAsia="zh-CN"/>
        </w:rPr>
        <w:t>×</w:t>
      </w:r>
      <w:r>
        <w:rPr>
          <w:rFonts w:hint="eastAsia" w:ascii="宋体" w:hAnsi="宋体" w:cs="宋体"/>
          <w:bCs w:val="0"/>
          <w:color w:val="auto"/>
          <w:kern w:val="0"/>
          <w:sz w:val="21"/>
          <w:szCs w:val="21"/>
          <w:highlight w:val="none"/>
          <w:lang w:val="en-US" w:eastAsia="zh-CN"/>
        </w:rPr>
        <w:t>100%。</w:t>
      </w:r>
    </w:p>
    <w:p w14:paraId="0CDF85A9">
      <w:pPr>
        <w:pStyle w:val="14"/>
        <w:spacing w:before="0" w:after="0" w:line="360" w:lineRule="auto"/>
        <w:jc w:val="both"/>
        <w:rPr>
          <w:rFonts w:hint="eastAsia" w:ascii="宋体" w:hAnsi="宋体" w:cs="宋体"/>
          <w:b w:val="0"/>
          <w:bCs w:val="0"/>
          <w:color w:val="auto"/>
          <w:sz w:val="24"/>
          <w:szCs w:val="24"/>
          <w:highlight w:val="none"/>
        </w:rPr>
      </w:pP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）投标报价的大写金额和小写金额不一致的，以大写金额为准，投标报价</w:t>
      </w:r>
      <w:r>
        <w:rPr>
          <w:rFonts w:hint="eastAsia" w:ascii="宋体" w:hAnsi="宋体" w:cs="宋体"/>
          <w:b w:val="0"/>
          <w:bCs w:val="0"/>
          <w:color w:val="auto"/>
          <w:kern w:val="0"/>
          <w:sz w:val="21"/>
          <w:szCs w:val="21"/>
          <w:highlight w:val="none"/>
          <w:lang w:val="en-US" w:eastAsia="zh-CN"/>
        </w:rPr>
        <w:t>和建安工程费投标下浮率均</w:t>
      </w:r>
      <w:r>
        <w:rPr>
          <w:rFonts w:hint="eastAsia" w:ascii="宋体" w:hAnsi="宋体" w:eastAsia="宋体" w:cs="宋体"/>
          <w:b w:val="0"/>
          <w:bCs w:val="0"/>
          <w:color w:val="auto"/>
          <w:kern w:val="0"/>
          <w:sz w:val="21"/>
          <w:szCs w:val="21"/>
          <w:highlight w:val="none"/>
        </w:rPr>
        <w:t>精确到小数点后两位。</w:t>
      </w:r>
    </w:p>
    <w:p w14:paraId="35B578B8">
      <w:pPr>
        <w:spacing w:before="0" w:after="0"/>
        <w:jc w:val="both"/>
        <w:outlineLvl w:val="2"/>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eastAsia="宋体" w:cs="宋体"/>
          <w:b/>
          <w:color w:val="auto"/>
          <w:sz w:val="24"/>
          <w:szCs w:val="24"/>
          <w:highlight w:val="none"/>
        </w:rPr>
        <w:t>格式八：工程总承包项目管理团队人员信息表</w:t>
      </w:r>
    </w:p>
    <w:p w14:paraId="32C1D4DB">
      <w:pPr>
        <w:spacing w:line="360" w:lineRule="auto"/>
        <w:jc w:val="center"/>
        <w:rPr>
          <w:rFonts w:hint="eastAsia" w:ascii="宋体" w:hAnsi="宋体"/>
          <w:color w:val="auto"/>
          <w:highlight w:val="none"/>
        </w:rPr>
      </w:pPr>
      <w:r>
        <w:rPr>
          <w:rFonts w:hint="eastAsia" w:ascii="宋体" w:hAnsi="宋体"/>
          <w:b/>
          <w:bCs/>
          <w:color w:val="auto"/>
          <w:sz w:val="36"/>
          <w:szCs w:val="36"/>
          <w:highlight w:val="none"/>
        </w:rPr>
        <w:t>工程总承包项目管理团队人员信息表</w:t>
      </w:r>
    </w:p>
    <w:tbl>
      <w:tblPr>
        <w:tblStyle w:val="18"/>
        <w:tblW w:w="9435" w:type="dxa"/>
        <w:jc w:val="center"/>
        <w:tblLayout w:type="fixed"/>
        <w:tblCellMar>
          <w:top w:w="0" w:type="dxa"/>
          <w:left w:w="0" w:type="dxa"/>
          <w:bottom w:w="0" w:type="dxa"/>
          <w:right w:w="0" w:type="dxa"/>
        </w:tblCellMar>
      </w:tblPr>
      <w:tblGrid>
        <w:gridCol w:w="683"/>
        <w:gridCol w:w="1038"/>
        <w:gridCol w:w="2952"/>
        <w:gridCol w:w="1354"/>
        <w:gridCol w:w="3408"/>
      </w:tblGrid>
      <w:tr w14:paraId="703003F2">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5700F5">
            <w:pPr>
              <w:widowControl/>
              <w:wordWrap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BD159F8">
            <w:pPr>
              <w:widowControl/>
              <w:wordWrap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29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B9EFA5E">
            <w:pPr>
              <w:widowControl/>
              <w:wordWrap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w:t>
            </w:r>
          </w:p>
        </w:tc>
        <w:tc>
          <w:tcPr>
            <w:tcW w:w="13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D983D03">
            <w:pPr>
              <w:widowControl/>
              <w:wordWrap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职称</w:t>
            </w:r>
          </w:p>
        </w:tc>
        <w:tc>
          <w:tcPr>
            <w:tcW w:w="3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33CCFAA">
            <w:pPr>
              <w:widowControl/>
              <w:wordWrap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职称证书或资格证书编号</w:t>
            </w:r>
          </w:p>
        </w:tc>
      </w:tr>
      <w:tr w14:paraId="3E7C33EA">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629192E">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8752" w:type="dxa"/>
            <w:gridSpan w:val="4"/>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83F86F8">
            <w:pPr>
              <w:wordWrap w:val="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设计管理团队人员</w:t>
            </w:r>
          </w:p>
        </w:tc>
      </w:tr>
      <w:tr w14:paraId="214D0515">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DED3E8">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94BCCDD">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DF28B09">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5A712CE">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D387623">
            <w:pPr>
              <w:wordWrap w:val="0"/>
              <w:jc w:val="center"/>
              <w:rPr>
                <w:rFonts w:hint="eastAsia" w:ascii="宋体" w:hAnsi="宋体" w:eastAsia="宋体" w:cs="宋体"/>
                <w:color w:val="auto"/>
                <w:sz w:val="21"/>
                <w:szCs w:val="21"/>
                <w:highlight w:val="none"/>
              </w:rPr>
            </w:pPr>
          </w:p>
        </w:tc>
      </w:tr>
      <w:tr w14:paraId="4E1F2D9A">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FE45FD">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63EB37B">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C38A812">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8DD1546">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247B9FF">
            <w:pPr>
              <w:wordWrap w:val="0"/>
              <w:jc w:val="center"/>
              <w:rPr>
                <w:rFonts w:hint="eastAsia" w:ascii="宋体" w:hAnsi="宋体" w:eastAsia="宋体" w:cs="宋体"/>
                <w:color w:val="auto"/>
                <w:sz w:val="21"/>
                <w:szCs w:val="21"/>
                <w:highlight w:val="none"/>
              </w:rPr>
            </w:pPr>
          </w:p>
        </w:tc>
      </w:tr>
      <w:tr w14:paraId="104C9F68">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301992">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57B4514">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992F34A">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819928D">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793F37B">
            <w:pPr>
              <w:wordWrap w:val="0"/>
              <w:jc w:val="center"/>
              <w:rPr>
                <w:rFonts w:hint="eastAsia" w:ascii="宋体" w:hAnsi="宋体" w:eastAsia="宋体" w:cs="宋体"/>
                <w:color w:val="auto"/>
                <w:sz w:val="21"/>
                <w:szCs w:val="21"/>
                <w:highlight w:val="none"/>
              </w:rPr>
            </w:pPr>
          </w:p>
        </w:tc>
      </w:tr>
      <w:tr w14:paraId="490F4D97">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9A1257">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88E865D">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C3300E1">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CA68733">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C2CB3DF">
            <w:pPr>
              <w:wordWrap w:val="0"/>
              <w:jc w:val="center"/>
              <w:rPr>
                <w:rFonts w:hint="eastAsia" w:ascii="宋体" w:hAnsi="宋体" w:eastAsia="宋体" w:cs="宋体"/>
                <w:color w:val="auto"/>
                <w:sz w:val="21"/>
                <w:szCs w:val="21"/>
                <w:highlight w:val="none"/>
              </w:rPr>
            </w:pPr>
          </w:p>
        </w:tc>
      </w:tr>
      <w:tr w14:paraId="4DBBC318">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6169BE">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AB3E2D2">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03DF487">
            <w:pPr>
              <w:wordWrap w:val="0"/>
              <w:snapToGrid w:val="0"/>
              <w:ind w:left="42" w:leftChars="20" w:right="42" w:rightChars="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zh-TW"/>
              </w:rPr>
              <w:t>（投标人需结合项目要求及自身情况进行填报）</w:t>
            </w:r>
          </w:p>
        </w:tc>
        <w:tc>
          <w:tcPr>
            <w:tcW w:w="13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A826260">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2C1418E">
            <w:pPr>
              <w:wordWrap w:val="0"/>
              <w:jc w:val="center"/>
              <w:rPr>
                <w:rFonts w:hint="eastAsia" w:ascii="宋体" w:hAnsi="宋体" w:eastAsia="宋体" w:cs="宋体"/>
                <w:color w:val="auto"/>
                <w:sz w:val="21"/>
                <w:szCs w:val="21"/>
                <w:highlight w:val="none"/>
              </w:rPr>
            </w:pPr>
          </w:p>
        </w:tc>
      </w:tr>
      <w:tr w14:paraId="0888288E">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2AB2E9">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8752" w:type="dxa"/>
            <w:gridSpan w:val="4"/>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4864C30">
            <w:pPr>
              <w:wordWrap w:val="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施工管理团队人员</w:t>
            </w:r>
          </w:p>
        </w:tc>
      </w:tr>
      <w:tr w14:paraId="2AE2FCC7">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C9CEB8">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5B3397F">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86813CF">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FAF37DB">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E7FA222">
            <w:pPr>
              <w:wordWrap w:val="0"/>
              <w:jc w:val="center"/>
              <w:rPr>
                <w:rFonts w:hint="eastAsia" w:ascii="宋体" w:hAnsi="宋体" w:eastAsia="宋体" w:cs="宋体"/>
                <w:color w:val="auto"/>
                <w:sz w:val="21"/>
                <w:szCs w:val="21"/>
                <w:highlight w:val="none"/>
              </w:rPr>
            </w:pPr>
          </w:p>
        </w:tc>
      </w:tr>
      <w:tr w14:paraId="1BEDB131">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A66F15">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442D440">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0E12E4C">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ABFB1E7">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A469323">
            <w:pPr>
              <w:wordWrap w:val="0"/>
              <w:jc w:val="center"/>
              <w:rPr>
                <w:rFonts w:hint="eastAsia" w:ascii="宋体" w:hAnsi="宋体" w:eastAsia="宋体" w:cs="宋体"/>
                <w:color w:val="auto"/>
                <w:sz w:val="21"/>
                <w:szCs w:val="21"/>
                <w:highlight w:val="none"/>
              </w:rPr>
            </w:pPr>
          </w:p>
        </w:tc>
      </w:tr>
      <w:tr w14:paraId="4E0891A9">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62E404">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F2A815F">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6E3350C">
            <w:pPr>
              <w:wordWrap w:val="0"/>
              <w:snapToGrid w:val="0"/>
              <w:ind w:left="42" w:leftChars="20" w:right="42" w:rightChars="20"/>
              <w:jc w:val="center"/>
              <w:rPr>
                <w:rFonts w:hint="eastAsia" w:ascii="宋体" w:hAnsi="宋体" w:eastAsia="宋体" w:cs="宋体"/>
                <w:color w:val="auto"/>
                <w:kern w:val="0"/>
                <w:sz w:val="21"/>
                <w:szCs w:val="21"/>
                <w:highlight w:val="none"/>
              </w:rPr>
            </w:pPr>
          </w:p>
        </w:tc>
        <w:tc>
          <w:tcPr>
            <w:tcW w:w="13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8C2CA73">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CB025F7">
            <w:pPr>
              <w:wordWrap w:val="0"/>
              <w:jc w:val="center"/>
              <w:rPr>
                <w:rFonts w:hint="eastAsia" w:ascii="宋体" w:hAnsi="宋体" w:eastAsia="宋体" w:cs="宋体"/>
                <w:color w:val="auto"/>
                <w:sz w:val="21"/>
                <w:szCs w:val="21"/>
                <w:highlight w:val="none"/>
              </w:rPr>
            </w:pPr>
          </w:p>
        </w:tc>
      </w:tr>
      <w:tr w14:paraId="6DD5280C">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3D0B36">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E9B9D0C">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919424A">
            <w:pPr>
              <w:wordWrap w:val="0"/>
              <w:snapToGrid w:val="0"/>
              <w:ind w:left="42" w:leftChars="20" w:right="42" w:rightChars="20"/>
              <w:jc w:val="center"/>
              <w:rPr>
                <w:rFonts w:hint="eastAsia" w:ascii="宋体" w:hAnsi="宋体" w:eastAsia="宋体" w:cs="宋体"/>
                <w:color w:val="auto"/>
                <w:kern w:val="0"/>
                <w:sz w:val="21"/>
                <w:szCs w:val="21"/>
                <w:highlight w:val="none"/>
              </w:rPr>
            </w:pPr>
          </w:p>
        </w:tc>
        <w:tc>
          <w:tcPr>
            <w:tcW w:w="13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FF73697">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3E3FABB">
            <w:pPr>
              <w:wordWrap w:val="0"/>
              <w:jc w:val="center"/>
              <w:rPr>
                <w:rFonts w:hint="eastAsia" w:ascii="宋体" w:hAnsi="宋体" w:eastAsia="宋体" w:cs="宋体"/>
                <w:color w:val="auto"/>
                <w:sz w:val="21"/>
                <w:szCs w:val="21"/>
                <w:highlight w:val="none"/>
              </w:rPr>
            </w:pPr>
          </w:p>
        </w:tc>
      </w:tr>
      <w:tr w14:paraId="3AD0DBBD">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1CAE86">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FF82C36">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4CFE08D">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（投标人需结合项目要求及自身情况进行填报）</w:t>
            </w:r>
          </w:p>
        </w:tc>
        <w:tc>
          <w:tcPr>
            <w:tcW w:w="13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E4C8311">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FA2D7D1">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E13FDE5">
        <w:tblPrEx>
          <w:tblCellMar>
            <w:top w:w="0" w:type="dxa"/>
            <w:left w:w="0" w:type="dxa"/>
            <w:bottom w:w="0" w:type="dxa"/>
            <w:right w:w="0" w:type="dxa"/>
          </w:tblCellMar>
        </w:tblPrEx>
        <w:trPr>
          <w:trHeight w:val="567" w:hRule="atLeast"/>
          <w:jc w:val="center"/>
        </w:trPr>
        <w:tc>
          <w:tcPr>
            <w:tcW w:w="943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82E881">
            <w:pPr>
              <w:widowControl/>
              <w:wordWrap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816D0BA">
            <w:pPr>
              <w:widowControl/>
              <w:numPr>
                <w:ilvl w:val="0"/>
                <w:numId w:val="6"/>
              </w:numPr>
              <w:wordWrap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结合项目管理需要在本表备注中明确提出，如：拟派的项目负责人（兼施工负责人）、施工技术负责人、设计负责人、专职安全人员、质量负责人、安全负责人、造价负责人等。以上项目管理团队人员信息将供各相关单位在履约时比对、查核。</w:t>
            </w:r>
          </w:p>
          <w:p w14:paraId="204D6264">
            <w:pPr>
              <w:widowControl/>
              <w:wordWrap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77C06E53">
            <w:pPr>
              <w:widowControl/>
              <w:wordWrap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w:t>
            </w:r>
            <w:r>
              <w:rPr>
                <w:rFonts w:hint="eastAsia" w:ascii="宋体" w:hAnsi="宋体" w:eastAsia="宋体" w:cs="宋体"/>
                <w:color w:val="auto"/>
                <w:sz w:val="21"/>
                <w:szCs w:val="21"/>
                <w:highlight w:val="none"/>
                <w:u w:val="single"/>
              </w:rPr>
              <w:t>定标</w:t>
            </w:r>
            <w:r>
              <w:rPr>
                <w:rFonts w:hint="eastAsia" w:ascii="宋体" w:hAnsi="宋体" w:eastAsia="宋体" w:cs="宋体"/>
                <w:color w:val="auto"/>
                <w:sz w:val="21"/>
                <w:szCs w:val="21"/>
                <w:highlight w:val="none"/>
              </w:rPr>
              <w:t>办法对投标人拟投入的项目管理团队进行评审的，</w:t>
            </w:r>
            <w:bookmarkStart w:id="1135" w:name="_Hlk61431742"/>
            <w:r>
              <w:rPr>
                <w:rFonts w:hint="eastAsia" w:ascii="宋体" w:hAnsi="宋体" w:eastAsia="宋体" w:cs="宋体"/>
                <w:color w:val="auto"/>
                <w:sz w:val="21"/>
                <w:szCs w:val="21"/>
                <w:highlight w:val="none"/>
              </w:rPr>
              <w:t>如相同岗位投入人员姓名与本表不一致的，以本表中姓名为准；投标人提供的团队人员职称或资格（含证书编号）情况与本表不一致的，以投标人提供的相关证明材料为准。</w:t>
            </w:r>
            <w:bookmarkEnd w:id="1135"/>
          </w:p>
        </w:tc>
      </w:tr>
    </w:tbl>
    <w:p w14:paraId="01591BB0">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    </w:t>
      </w:r>
    </w:p>
    <w:p w14:paraId="7F58973D">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719C5FAB">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1BCD8EE">
      <w:pPr>
        <w:spacing w:line="240" w:lineRule="auto"/>
        <w:ind w:firstLine="0" w:firstLineChars="0"/>
        <w:jc w:val="left"/>
        <w:outlineLvl w:val="2"/>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rPr>
        <w:t>格式</w:t>
      </w:r>
      <w:r>
        <w:rPr>
          <w:rFonts w:hint="eastAsia" w:ascii="宋体" w:hAnsi="宋体" w:cs="宋体"/>
          <w:b/>
          <w:bCs w:val="0"/>
          <w:color w:val="auto"/>
          <w:sz w:val="24"/>
          <w:szCs w:val="24"/>
          <w:highlight w:val="none"/>
          <w:lang w:val="en-US" w:eastAsia="zh-CN"/>
        </w:rPr>
        <w:t>九</w:t>
      </w:r>
      <w:r>
        <w:rPr>
          <w:rFonts w:hint="eastAsia" w:ascii="宋体" w:hAnsi="宋体" w:cs="宋体"/>
          <w:b/>
          <w:bCs w:val="0"/>
          <w:color w:val="auto"/>
          <w:sz w:val="24"/>
          <w:szCs w:val="24"/>
          <w:highlight w:val="none"/>
        </w:rPr>
        <w:t>：</w:t>
      </w:r>
      <w:r>
        <w:rPr>
          <w:rFonts w:hint="eastAsia" w:ascii="宋体" w:hAnsi="宋体" w:eastAsia="宋体" w:cs="宋体"/>
          <w:b/>
          <w:bCs w:val="0"/>
          <w:color w:val="auto"/>
          <w:sz w:val="24"/>
          <w:szCs w:val="24"/>
          <w:highlight w:val="none"/>
        </w:rPr>
        <w:t>承包人用于本工程施工的机械设备表</w:t>
      </w:r>
      <w:r>
        <w:rPr>
          <w:rFonts w:hint="eastAsia" w:ascii="宋体" w:hAnsi="宋体" w:eastAsia="宋体" w:cs="宋体"/>
          <w:b/>
          <w:color w:val="auto"/>
          <w:sz w:val="24"/>
          <w:szCs w:val="24"/>
          <w:highlight w:val="none"/>
        </w:rPr>
        <w:t>（格式仅供参考，投标人可自行调整）</w:t>
      </w:r>
    </w:p>
    <w:p w14:paraId="07821466">
      <w:pPr>
        <w:spacing w:line="360" w:lineRule="auto"/>
        <w:ind w:firstLine="0" w:firstLineChars="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承包人用于本工程施工的机械设备表</w:t>
      </w:r>
    </w:p>
    <w:p w14:paraId="3029A90B">
      <w:pPr>
        <w:spacing w:line="360" w:lineRule="auto"/>
        <w:ind w:firstLine="0" w:firstLineChars="0"/>
        <w:jc w:val="center"/>
        <w:rPr>
          <w:rFonts w:hint="eastAsia" w:ascii="宋体" w:hAnsi="宋体" w:cs="宋体"/>
          <w:b w:val="0"/>
          <w:bCs/>
          <w:color w:val="auto"/>
          <w:sz w:val="28"/>
          <w:szCs w:val="28"/>
          <w:highlight w:val="none"/>
          <w:lang w:eastAsia="zh-CN"/>
        </w:rPr>
      </w:pPr>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lang w:val="en-US" w:eastAsia="zh-CN"/>
        </w:rPr>
        <w:t>格式由投标人自拟</w:t>
      </w:r>
      <w:r>
        <w:rPr>
          <w:rFonts w:hint="eastAsia" w:ascii="宋体" w:hAnsi="宋体" w:cs="宋体"/>
          <w:b w:val="0"/>
          <w:bCs/>
          <w:color w:val="auto"/>
          <w:sz w:val="28"/>
          <w:szCs w:val="28"/>
          <w:highlight w:val="none"/>
          <w:lang w:eastAsia="zh-CN"/>
        </w:rPr>
        <w:t>）</w:t>
      </w:r>
    </w:p>
    <w:p w14:paraId="45EC8376">
      <w:pPr>
        <w:spacing w:line="360" w:lineRule="auto"/>
        <w:ind w:firstLine="0" w:firstLineChars="0"/>
        <w:jc w:val="center"/>
        <w:rPr>
          <w:rFonts w:hint="eastAsia" w:ascii="宋体" w:hAnsi="宋体" w:cs="宋体"/>
          <w:b w:val="0"/>
          <w:bCs/>
          <w:color w:val="auto"/>
          <w:sz w:val="28"/>
          <w:szCs w:val="28"/>
          <w:highlight w:val="none"/>
          <w:lang w:eastAsia="zh-CN"/>
        </w:rPr>
      </w:pPr>
    </w:p>
    <w:p w14:paraId="654B99E9">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65EDC561">
      <w:pPr>
        <w:spacing w:line="240" w:lineRule="auto"/>
        <w:ind w:firstLine="0" w:firstLineChars="0"/>
        <w:jc w:val="left"/>
        <w:outlineLvl w:val="2"/>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rPr>
        <w:t>格式</w:t>
      </w:r>
      <w:r>
        <w:rPr>
          <w:rFonts w:hint="eastAsia" w:ascii="宋体" w:hAnsi="宋体" w:cs="宋体"/>
          <w:b/>
          <w:bCs w:val="0"/>
          <w:color w:val="auto"/>
          <w:sz w:val="24"/>
          <w:szCs w:val="24"/>
          <w:highlight w:val="none"/>
          <w:lang w:val="en-US" w:eastAsia="zh-CN"/>
        </w:rPr>
        <w:t>十</w:t>
      </w:r>
      <w:r>
        <w:rPr>
          <w:rFonts w:hint="eastAsia" w:ascii="宋体" w:hAnsi="宋体" w:cs="宋体"/>
          <w:b/>
          <w:bCs w:val="0"/>
          <w:color w:val="auto"/>
          <w:sz w:val="24"/>
          <w:szCs w:val="24"/>
          <w:highlight w:val="none"/>
        </w:rPr>
        <w:t>：投标人声明</w:t>
      </w:r>
    </w:p>
    <w:p w14:paraId="372C305F">
      <w:pPr>
        <w:spacing w:line="360" w:lineRule="auto"/>
        <w:ind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投标人声明</w:t>
      </w:r>
    </w:p>
    <w:p w14:paraId="3D9A4679">
      <w:pPr>
        <w:spacing w:line="360" w:lineRule="auto"/>
        <w:ind w:firstLine="0" w:firstLineChars="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（详见招标公告）</w:t>
      </w:r>
    </w:p>
    <w:p w14:paraId="166CCB75">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5DCC641F">
      <w:pPr>
        <w:spacing w:line="240" w:lineRule="auto"/>
        <w:ind w:firstLine="0" w:firstLineChars="0"/>
        <w:jc w:val="left"/>
        <w:outlineLvl w:val="2"/>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rPr>
        <w:t>格式</w:t>
      </w:r>
      <w:r>
        <w:rPr>
          <w:rFonts w:hint="eastAsia" w:ascii="宋体" w:hAnsi="宋体" w:cs="宋体"/>
          <w:b/>
          <w:bCs w:val="0"/>
          <w:color w:val="auto"/>
          <w:sz w:val="24"/>
          <w:szCs w:val="24"/>
          <w:highlight w:val="none"/>
          <w:lang w:val="en-US" w:eastAsia="zh-CN"/>
        </w:rPr>
        <w:t>十一</w:t>
      </w:r>
      <w:r>
        <w:rPr>
          <w:rFonts w:hint="eastAsia" w:ascii="宋体" w:hAnsi="宋体" w:cs="宋体"/>
          <w:b/>
          <w:bCs w:val="0"/>
          <w:color w:val="auto"/>
          <w:sz w:val="24"/>
          <w:szCs w:val="24"/>
          <w:highlight w:val="none"/>
        </w:rPr>
        <w:t>：联合体共同投标协议</w:t>
      </w:r>
      <w:r>
        <w:rPr>
          <w:rFonts w:hint="eastAsia" w:ascii="宋体" w:hAnsi="宋体" w:eastAsia="宋体" w:cs="宋体"/>
          <w:b/>
          <w:color w:val="auto"/>
          <w:sz w:val="24"/>
          <w:szCs w:val="24"/>
          <w:highlight w:val="none"/>
        </w:rPr>
        <w:t>（格式仅供参考，投标人可自行调整）</w:t>
      </w:r>
    </w:p>
    <w:p w14:paraId="5FFB3B05">
      <w:pPr>
        <w:spacing w:line="360" w:lineRule="auto"/>
        <w:ind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联合体共同投标协议</w:t>
      </w:r>
    </w:p>
    <w:p w14:paraId="590944F3">
      <w:pPr>
        <w:spacing w:line="360" w:lineRule="auto"/>
        <w:ind w:firstLine="0" w:firstLineChars="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（详见招标公告）</w:t>
      </w:r>
    </w:p>
    <w:p w14:paraId="3D1CA4EE">
      <w:pPr>
        <w:spacing w:line="360" w:lineRule="auto"/>
        <w:ind w:firstLine="0" w:firstLineChars="0"/>
        <w:jc w:val="center"/>
        <w:rPr>
          <w:rFonts w:hint="eastAsia" w:ascii="宋体" w:hAnsi="宋体" w:eastAsia="宋体" w:cs="宋体"/>
          <w:b/>
          <w:color w:val="auto"/>
          <w:sz w:val="32"/>
          <w:szCs w:val="32"/>
          <w:highlight w:val="none"/>
          <w:lang w:val="zh-CN"/>
        </w:rPr>
      </w:pPr>
    </w:p>
    <w:p w14:paraId="0CDB9B91">
      <w:pPr>
        <w:spacing w:line="240" w:lineRule="auto"/>
        <w:ind w:firstLine="0" w:firstLineChars="0"/>
        <w:jc w:val="center"/>
        <w:outlineLvl w:val="2"/>
        <w:rPr>
          <w:rFonts w:hint="eastAsia" w:ascii="宋体" w:hAnsi="宋体" w:eastAsia="宋体" w:cs="宋体"/>
          <w:b/>
          <w:snapToGrid/>
          <w:color w:val="auto"/>
          <w:spacing w:val="0"/>
          <w:kern w:val="2"/>
          <w:sz w:val="24"/>
          <w:szCs w:val="24"/>
          <w:highlight w:val="none"/>
          <w:lang w:val="en-US" w:eastAsia="zh-CN" w:bidi="ar-SA"/>
        </w:rPr>
      </w:pPr>
      <w:r>
        <w:rPr>
          <w:rFonts w:hint="eastAsia" w:ascii="宋体" w:hAnsi="宋体" w:eastAsia="宋体" w:cs="宋体"/>
          <w:b w:val="0"/>
          <w:color w:val="auto"/>
          <w:sz w:val="21"/>
          <w:szCs w:val="21"/>
          <w:highlight w:val="none"/>
          <w:lang w:val="zh-CN"/>
        </w:rPr>
        <w:br w:type="page"/>
      </w:r>
      <w:bookmarkEnd w:id="1055"/>
      <w:bookmarkEnd w:id="1126"/>
      <w:bookmarkEnd w:id="1127"/>
      <w:bookmarkEnd w:id="1128"/>
      <w:r>
        <w:rPr>
          <w:rFonts w:hint="eastAsia" w:ascii="宋体" w:hAnsi="宋体" w:eastAsia="宋体" w:cs="宋体"/>
          <w:b/>
          <w:snapToGrid/>
          <w:color w:val="auto"/>
          <w:spacing w:val="0"/>
          <w:kern w:val="2"/>
          <w:sz w:val="24"/>
          <w:szCs w:val="24"/>
          <w:highlight w:val="none"/>
          <w:lang w:val="en-US" w:eastAsia="zh-CN" w:bidi="ar-SA"/>
        </w:rPr>
        <w:t>二、投标文件（定标文件）格式</w:t>
      </w:r>
    </w:p>
    <w:p w14:paraId="179EEF5A">
      <w:pPr>
        <w:pStyle w:val="27"/>
        <w:spacing w:beforeLines="0" w:afterLines="0" w:line="360" w:lineRule="auto"/>
        <w:rPr>
          <w:rFonts w:hint="eastAsia" w:ascii="宋体" w:eastAsia="宋体" w:cs="宋体"/>
          <w:color w:val="auto"/>
          <w:sz w:val="21"/>
          <w:szCs w:val="21"/>
          <w:highlight w:val="none"/>
        </w:rPr>
      </w:pPr>
      <w:r>
        <w:rPr>
          <w:rFonts w:hint="eastAsia" w:ascii="宋体" w:eastAsia="宋体" w:cs="宋体"/>
          <w:color w:val="auto"/>
          <w:sz w:val="21"/>
          <w:szCs w:val="21"/>
          <w:highlight w:val="none"/>
        </w:rPr>
        <w:t>定标文件封面</w:t>
      </w:r>
      <w:r>
        <w:rPr>
          <w:rFonts w:hint="eastAsia" w:ascii="宋体" w:hAnsi="宋体" w:eastAsia="宋体" w:cs="宋体"/>
          <w:b/>
          <w:color w:val="auto"/>
          <w:sz w:val="24"/>
          <w:szCs w:val="24"/>
          <w:highlight w:val="none"/>
        </w:rPr>
        <w:t>（格式仅供参考，投标人可自行调整）</w:t>
      </w:r>
    </w:p>
    <w:p w14:paraId="27C65162">
      <w:pPr>
        <w:pStyle w:val="23"/>
        <w:ind w:firstLine="496"/>
        <w:jc w:val="center"/>
        <w:rPr>
          <w:rFonts w:hint="eastAsia" w:ascii="宋体" w:hAnsi="宋体" w:cs="宋体"/>
          <w:color w:val="auto"/>
          <w:highlight w:val="none"/>
        </w:rPr>
      </w:pPr>
    </w:p>
    <w:p w14:paraId="59B395A0">
      <w:pPr>
        <w:pStyle w:val="23"/>
        <w:ind w:firstLine="496"/>
        <w:jc w:val="center"/>
        <w:rPr>
          <w:rFonts w:hint="eastAsia" w:ascii="宋体" w:hAnsi="宋体" w:cs="宋体"/>
          <w:color w:val="auto"/>
          <w:highlight w:val="none"/>
        </w:rPr>
      </w:pPr>
    </w:p>
    <w:p w14:paraId="001DA1BC">
      <w:pPr>
        <w:pStyle w:val="23"/>
        <w:ind w:firstLine="496"/>
        <w:jc w:val="center"/>
        <w:rPr>
          <w:rFonts w:hint="eastAsia" w:ascii="宋体" w:hAnsi="宋体" w:cs="宋体"/>
          <w:color w:val="auto"/>
          <w:highlight w:val="none"/>
        </w:rPr>
      </w:pPr>
    </w:p>
    <w:p w14:paraId="4E5D4FFD">
      <w:pPr>
        <w:pStyle w:val="28"/>
        <w:rPr>
          <w:rFonts w:hint="eastAsia" w:ascii="宋体" w:hAnsi="宋体" w:eastAsia="宋体" w:cs="宋体"/>
          <w:b w:val="0"/>
          <w:color w:val="auto"/>
          <w:sz w:val="52"/>
          <w:szCs w:val="52"/>
          <w:highlight w:val="none"/>
          <w:u w:val="single"/>
        </w:rPr>
      </w:pPr>
      <w:r>
        <w:rPr>
          <w:rFonts w:hint="eastAsia" w:ascii="宋体" w:hAnsi="宋体" w:eastAsia="宋体" w:cs="宋体"/>
          <w:b w:val="0"/>
          <w:color w:val="auto"/>
          <w:sz w:val="52"/>
          <w:szCs w:val="52"/>
          <w:highlight w:val="none"/>
          <w:u w:val="single"/>
        </w:rPr>
        <w:t>[工程名称]</w:t>
      </w:r>
    </w:p>
    <w:p w14:paraId="39F43906">
      <w:pPr>
        <w:pStyle w:val="23"/>
        <w:ind w:firstLine="496"/>
        <w:jc w:val="center"/>
        <w:rPr>
          <w:rFonts w:hint="eastAsia" w:ascii="宋体" w:hAnsi="宋体" w:cs="宋体"/>
          <w:color w:val="auto"/>
          <w:highlight w:val="none"/>
        </w:rPr>
      </w:pPr>
    </w:p>
    <w:p w14:paraId="2096912D">
      <w:pPr>
        <w:pStyle w:val="23"/>
        <w:ind w:firstLine="496"/>
        <w:jc w:val="center"/>
        <w:rPr>
          <w:rFonts w:hint="eastAsia" w:ascii="宋体" w:hAnsi="宋体" w:cs="宋体"/>
          <w:color w:val="auto"/>
          <w:highlight w:val="none"/>
        </w:rPr>
      </w:pPr>
    </w:p>
    <w:p w14:paraId="5AE97113">
      <w:pPr>
        <w:pStyle w:val="23"/>
        <w:ind w:firstLine="496"/>
        <w:jc w:val="center"/>
        <w:rPr>
          <w:rFonts w:hint="eastAsia" w:ascii="宋体" w:hAnsi="宋体" w:cs="宋体"/>
          <w:color w:val="auto"/>
          <w:highlight w:val="none"/>
        </w:rPr>
      </w:pPr>
    </w:p>
    <w:p w14:paraId="7D41E2C2">
      <w:pPr>
        <w:pStyle w:val="23"/>
        <w:ind w:firstLine="496"/>
        <w:jc w:val="center"/>
        <w:rPr>
          <w:rFonts w:hint="eastAsia" w:ascii="宋体" w:hAnsi="宋体" w:cs="宋体"/>
          <w:color w:val="auto"/>
          <w:highlight w:val="none"/>
        </w:rPr>
      </w:pPr>
    </w:p>
    <w:p w14:paraId="131B32E2">
      <w:pPr>
        <w:pStyle w:val="23"/>
        <w:ind w:firstLine="496"/>
        <w:jc w:val="center"/>
        <w:rPr>
          <w:rFonts w:hint="eastAsia" w:ascii="宋体" w:hAnsi="宋体" w:cs="宋体"/>
          <w:color w:val="auto"/>
          <w:highlight w:val="none"/>
        </w:rPr>
      </w:pPr>
    </w:p>
    <w:p w14:paraId="03935D30">
      <w:pPr>
        <w:pStyle w:val="23"/>
        <w:ind w:firstLine="496"/>
        <w:jc w:val="center"/>
        <w:rPr>
          <w:rFonts w:hint="eastAsia" w:ascii="宋体" w:hAnsi="宋体" w:cs="宋体"/>
          <w:color w:val="auto"/>
          <w:highlight w:val="none"/>
        </w:rPr>
      </w:pPr>
    </w:p>
    <w:p w14:paraId="7F3AC283">
      <w:pPr>
        <w:pStyle w:val="29"/>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604DC95D">
      <w:pPr>
        <w:pStyle w:val="23"/>
        <w:ind w:firstLine="0" w:firstLineChars="0"/>
        <w:jc w:val="center"/>
        <w:rPr>
          <w:rFonts w:hint="eastAsia" w:ascii="宋体" w:hAnsi="宋体" w:cs="宋体"/>
          <w:b/>
          <w:bCs/>
          <w:color w:val="auto"/>
          <w:highlight w:val="none"/>
        </w:rPr>
      </w:pPr>
      <w:r>
        <w:rPr>
          <w:rFonts w:hint="eastAsia" w:ascii="宋体" w:hAnsi="宋体" w:cs="宋体"/>
          <w:b/>
          <w:bCs/>
          <w:color w:val="auto"/>
          <w:sz w:val="28"/>
          <w:szCs w:val="28"/>
          <w:highlight w:val="none"/>
        </w:rPr>
        <w:t>（定标文件）</w:t>
      </w:r>
    </w:p>
    <w:p w14:paraId="665D565C">
      <w:pPr>
        <w:pStyle w:val="23"/>
        <w:ind w:firstLine="0" w:firstLineChars="0"/>
        <w:jc w:val="center"/>
        <w:rPr>
          <w:rFonts w:hint="eastAsia" w:ascii="宋体" w:hAnsi="宋体" w:cs="宋体"/>
          <w:color w:val="auto"/>
          <w:highlight w:val="none"/>
        </w:rPr>
      </w:pPr>
    </w:p>
    <w:p w14:paraId="77A92C6E">
      <w:pPr>
        <w:pStyle w:val="23"/>
        <w:ind w:firstLine="0" w:firstLineChars="0"/>
        <w:jc w:val="center"/>
        <w:rPr>
          <w:rFonts w:hint="eastAsia" w:ascii="宋体" w:hAnsi="宋体" w:cs="宋体"/>
          <w:color w:val="auto"/>
          <w:highlight w:val="none"/>
        </w:rPr>
      </w:pPr>
    </w:p>
    <w:p w14:paraId="6E04F5A8">
      <w:pPr>
        <w:pStyle w:val="30"/>
        <w:ind w:firstLine="0" w:firstLineChars="0"/>
        <w:jc w:val="center"/>
        <w:rPr>
          <w:rFonts w:hint="eastAsia" w:ascii="宋体" w:hAnsi="宋体" w:eastAsia="宋体" w:cs="宋体"/>
          <w:color w:val="auto"/>
          <w:sz w:val="32"/>
          <w:szCs w:val="32"/>
          <w:highlight w:val="none"/>
        </w:rPr>
      </w:pPr>
    </w:p>
    <w:p w14:paraId="1F9CB8A0">
      <w:pPr>
        <w:pStyle w:val="30"/>
        <w:ind w:firstLine="0" w:firstLineChars="0"/>
        <w:jc w:val="center"/>
        <w:rPr>
          <w:rFonts w:hint="eastAsia" w:ascii="宋体" w:hAnsi="宋体" w:eastAsia="宋体" w:cs="宋体"/>
          <w:color w:val="auto"/>
          <w:sz w:val="32"/>
          <w:szCs w:val="32"/>
          <w:highlight w:val="none"/>
        </w:rPr>
      </w:pPr>
    </w:p>
    <w:p w14:paraId="4F577E96">
      <w:pPr>
        <w:pStyle w:val="30"/>
        <w:ind w:firstLine="0" w:firstLineChars="0"/>
        <w:jc w:val="center"/>
        <w:rPr>
          <w:rFonts w:hint="eastAsia" w:ascii="宋体" w:hAnsi="宋体" w:eastAsia="宋体" w:cs="宋体"/>
          <w:color w:val="auto"/>
          <w:sz w:val="32"/>
          <w:szCs w:val="32"/>
          <w:highlight w:val="none"/>
        </w:rPr>
      </w:pPr>
    </w:p>
    <w:p w14:paraId="2676DECA">
      <w:pPr>
        <w:pStyle w:val="30"/>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w:t>
      </w:r>
      <w:r>
        <w:rPr>
          <w:rFonts w:hint="eastAsia" w:ascii="宋体" w:hAnsi="宋体" w:eastAsia="宋体" w:cs="宋体"/>
          <w:color w:val="auto"/>
          <w:sz w:val="32"/>
          <w:szCs w:val="32"/>
          <w:highlight w:val="none"/>
          <w:u w:val="single"/>
        </w:rPr>
        <w:t xml:space="preserve">    （填写投标人单位名称）    </w:t>
      </w:r>
    </w:p>
    <w:p w14:paraId="0FA9F74A">
      <w:pPr>
        <w:pStyle w:val="30"/>
        <w:ind w:firstLine="656"/>
        <w:rPr>
          <w:rFonts w:hint="eastAsia" w:ascii="宋体" w:hAnsi="宋体" w:eastAsia="宋体" w:cs="宋体"/>
          <w:color w:val="auto"/>
          <w:highlight w:val="none"/>
        </w:rPr>
      </w:pPr>
      <w:r>
        <w:rPr>
          <w:rFonts w:hint="eastAsia" w:ascii="宋体" w:hAnsi="宋体" w:eastAsia="宋体" w:cs="宋体"/>
          <w:color w:val="auto"/>
          <w:sz w:val="32"/>
          <w:szCs w:val="32"/>
          <w:highlight w:val="none"/>
        </w:rPr>
        <w:t xml:space="preserve">日期：                                       </w:t>
      </w:r>
    </w:p>
    <w:p w14:paraId="70C9C761">
      <w:pPr>
        <w:widowControl/>
        <w:spacing w:line="240" w:lineRule="auto"/>
        <w:jc w:val="left"/>
        <w:rPr>
          <w:color w:val="auto"/>
          <w:highlight w:val="none"/>
        </w:rPr>
      </w:pPr>
      <w:r>
        <w:rPr>
          <w:color w:val="auto"/>
          <w:highlight w:val="none"/>
        </w:rPr>
        <w:br w:type="page"/>
      </w:r>
    </w:p>
    <w:p w14:paraId="65DB59C8">
      <w:pPr>
        <w:pStyle w:val="27"/>
        <w:spacing w:beforeLines="0" w:after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目录</w:t>
      </w:r>
      <w:r>
        <w:rPr>
          <w:rFonts w:hint="eastAsia" w:ascii="宋体" w:hAnsi="宋体" w:eastAsia="宋体" w:cs="宋体"/>
          <w:b/>
          <w:color w:val="auto"/>
          <w:sz w:val="24"/>
          <w:szCs w:val="24"/>
          <w:highlight w:val="none"/>
        </w:rPr>
        <w:t>（格式仅供参考，投标人可自行调整）</w:t>
      </w:r>
    </w:p>
    <w:p w14:paraId="210BA6D6">
      <w:pPr>
        <w:numPr>
          <w:ilvl w:val="0"/>
          <w:numId w:val="0"/>
        </w:numPr>
        <w:spacing w:line="240" w:lineRule="auto"/>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由投标人自行编制目录，包括但不限于以下内容：</w:t>
      </w:r>
    </w:p>
    <w:p w14:paraId="6490938A">
      <w:pPr>
        <w:rPr>
          <w:rFonts w:hint="eastAsia" w:ascii="宋体" w:hAnsi="宋体" w:eastAsia="宋体" w:cs="宋体"/>
          <w:color w:val="auto"/>
          <w:sz w:val="21"/>
          <w:szCs w:val="21"/>
          <w:highlight w:val="none"/>
          <w:lang w:val="en-US" w:eastAsia="zh-CN"/>
        </w:rPr>
      </w:pPr>
    </w:p>
    <w:p w14:paraId="5F20B336">
      <w:pPr>
        <w:pStyle w:val="11"/>
        <w:jc w:val="center"/>
        <w:rPr>
          <w:rFonts w:hint="default"/>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目录</w:t>
      </w:r>
    </w:p>
    <w:p w14:paraId="55A89973">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（1）投标报价；</w:t>
      </w:r>
    </w:p>
    <w:p w14:paraId="169FBA22">
      <w:pPr>
        <w:pStyle w:val="8"/>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（2）项目管理团队；</w:t>
      </w:r>
    </w:p>
    <w:p w14:paraId="430ABDBF">
      <w:pPr>
        <w:pStyle w:val="8"/>
        <w:spacing w:after="0"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rPr>
        <w:t>（3）工程总承包方案</w:t>
      </w:r>
      <w:r>
        <w:rPr>
          <w:rFonts w:hint="eastAsia" w:ascii="宋体" w:hAnsi="宋体" w:cs="宋体"/>
          <w:color w:val="auto"/>
          <w:sz w:val="24"/>
          <w:szCs w:val="24"/>
          <w:highlight w:val="none"/>
          <w:u w:val="single"/>
          <w:lang w:eastAsia="zh-CN"/>
        </w:rPr>
        <w:t>；</w:t>
      </w:r>
    </w:p>
    <w:p w14:paraId="3569D7DA">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按照《定标因素表》的要求或</w:t>
      </w:r>
      <w:r>
        <w:rPr>
          <w:rFonts w:hint="eastAsia" w:ascii="宋体" w:hAnsi="宋体" w:cs="宋体"/>
          <w:color w:val="auto"/>
          <w:sz w:val="24"/>
          <w:szCs w:val="24"/>
          <w:highlight w:val="none"/>
          <w:u w:val="single"/>
        </w:rPr>
        <w:t>投标人</w:t>
      </w:r>
      <w:r>
        <w:rPr>
          <w:rFonts w:hint="eastAsia" w:ascii="宋体" w:hAnsi="宋体" w:cs="宋体"/>
          <w:color w:val="auto"/>
          <w:kern w:val="0"/>
          <w:sz w:val="24"/>
          <w:szCs w:val="24"/>
          <w:highlight w:val="none"/>
          <w:u w:val="single"/>
        </w:rPr>
        <w:t>实施本项目的其他优势证明资料。</w:t>
      </w:r>
    </w:p>
    <w:p w14:paraId="501762D6">
      <w:pPr>
        <w:pStyle w:val="11"/>
        <w:jc w:val="center"/>
        <w:rPr>
          <w:rFonts w:hint="default"/>
          <w:color w:val="auto"/>
          <w:sz w:val="24"/>
          <w:szCs w:val="22"/>
          <w:highlight w:val="none"/>
          <w:lang w:val="en-US" w:eastAsia="zh-CN"/>
        </w:rPr>
      </w:pPr>
    </w:p>
    <w:p w14:paraId="04A98B1E">
      <w:pPr>
        <w:pStyle w:val="11"/>
        <w:jc w:val="center"/>
        <w:rPr>
          <w:rFonts w:hint="default"/>
          <w:color w:val="auto"/>
          <w:sz w:val="24"/>
          <w:szCs w:val="22"/>
          <w:highlight w:val="none"/>
          <w:lang w:val="en-US" w:eastAsia="zh-CN"/>
        </w:rPr>
      </w:pPr>
    </w:p>
    <w:sectPr>
      <w:headerReference r:id="rId10" w:type="default"/>
      <w:footerReference r:id="rId11"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703060505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30C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FA7C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4F2A">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304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3040" cy="139700"/>
                      </a:xfrm>
                      <a:prstGeom prst="rect">
                        <a:avLst/>
                      </a:prstGeom>
                      <a:noFill/>
                      <a:ln>
                        <a:noFill/>
                      </a:ln>
                      <a:effectLst/>
                    </wps:spPr>
                    <wps:txbx>
                      <w:txbxContent>
                        <w:p w14:paraId="1910C24B">
                          <w:pPr>
                            <w:pStyle w:val="1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square" lIns="0" tIns="0" rIns="0" bIns="0" anchor="t" anchorCtr="0">
                      <a:spAutoFit/>
                    </wps:bodyPr>
                  </wps:wsp>
                </a:graphicData>
              </a:graphic>
            </wp:anchor>
          </w:drawing>
        </mc:Choice>
        <mc:Fallback>
          <w:pict>
            <v:shape id="_x0000_s1026" o:spid="_x0000_s1026" o:spt="202" type="#_x0000_t202" style="position:absolute;left:0pt;margin-top:0pt;height:11pt;width:15.2pt;mso-position-horizontal:center;mso-position-horizontal-relative:margin;z-index:251662336;mso-width-relative:page;mso-height-relative:page;" filled="f" stroked="f" coordsize="21600,21600" o:gfxdata="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9ZVB0gAAAAMBAAAPAAAA&#10;AAAAAAEAIAAAACIAAABkcnMvZG93bnJldi54bWxQSwECFAAUAAAACACHTuJAXA7+EuIBAADAAwAA&#10;DgAAAAAAAAABACAAAAAhAQAAZHJzL2Uyb0RvYy54bWxQSwUGAAAAAAYABgBZAQAAdQUAAAAA&#10;">
              <v:fill on="f" focussize="0,0"/>
              <v:stroke on="f"/>
              <v:imagedata o:title=""/>
              <o:lock v:ext="edit" aspectratio="f"/>
              <v:textbox inset="0mm,0mm,0mm,0mm" style="mso-fit-shape-to-text:t;">
                <w:txbxContent>
                  <w:p w14:paraId="1910C24B">
                    <w:pPr>
                      <w:pStyle w:val="1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6202">
    <w:pPr>
      <w:pStyle w:val="12"/>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B3E789">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1B3E789">
                    <w:pPr>
                      <w:pStyle w:val="12"/>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3040" cy="139700"/>
              <wp:effectExtent l="0" t="0" r="0" b="0"/>
              <wp:wrapNone/>
              <wp:docPr id="1439624407" name="文本框 1439624407"/>
              <wp:cNvGraphicFramePr/>
              <a:graphic xmlns:a="http://schemas.openxmlformats.org/drawingml/2006/main">
                <a:graphicData uri="http://schemas.microsoft.com/office/word/2010/wordprocessingShape">
                  <wps:wsp>
                    <wps:cNvSpPr txBox="1"/>
                    <wps:spPr>
                      <a:xfrm>
                        <a:off x="0" y="0"/>
                        <a:ext cx="193040" cy="139700"/>
                      </a:xfrm>
                      <a:prstGeom prst="rect">
                        <a:avLst/>
                      </a:prstGeom>
                      <a:noFill/>
                      <a:ln>
                        <a:noFill/>
                      </a:ln>
                      <a:effectLst/>
                    </wps:spPr>
                    <wps:txbx>
                      <w:txbxContent>
                        <w:p w14:paraId="4739D783"/>
                      </w:txbxContent>
                    </wps:txbx>
                    <wps:bodyPr vert="horz" wrap="square" lIns="0" tIns="0" rIns="0" bIns="0" anchor="t" anchorCtr="0">
                      <a:spAutoFit/>
                    </wps:bodyPr>
                  </wps:wsp>
                </a:graphicData>
              </a:graphic>
            </wp:anchor>
          </w:drawing>
        </mc:Choice>
        <mc:Fallback>
          <w:pict>
            <v:shape id="_x0000_s1026" o:spid="_x0000_s1026" o:spt="202" type="#_x0000_t202" style="position:absolute;left:0pt;margin-top:0pt;height:11pt;width:15.2pt;mso-position-horizontal:center;mso-position-horizontal-relative:margin;z-index:251660288;mso-width-relative:page;mso-height-relative:page;" filled="f" stroked="f" coordsize="21600,21600" o:gfxdata="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WVQdIA&#10;AAADAQAADwAAAAAAAAABACAAAAAiAAAAZHJzL2Rvd25yZXYueG1sUEsBAhQAFAAAAAgAh07iQDWR&#10;hsLsAQAA0gMAAA4AAAAAAAAAAQAgAAAAIQEAAGRycy9lMm9Eb2MueG1sUEsFBgAAAAAGAAYAWQEA&#10;AH8FAAAAAA==&#10;">
              <v:fill on="f" focussize="0,0"/>
              <v:stroke on="f"/>
              <v:imagedata o:title=""/>
              <o:lock v:ext="edit" aspectratio="f"/>
              <v:textbox inset="0mm,0mm,0mm,0mm" style="mso-fit-shape-to-text:t;">
                <w:txbxContent>
                  <w:p w14:paraId="4739D783"/>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E786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3520"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3520" cy="213995"/>
                      </a:xfrm>
                      <a:prstGeom prst="rect">
                        <a:avLst/>
                      </a:prstGeom>
                      <a:noFill/>
                      <a:ln>
                        <a:noFill/>
                      </a:ln>
                      <a:effectLst/>
                    </wps:spPr>
                    <wps:txbx>
                      <w:txbxContent>
                        <w:p w14:paraId="509115E2">
                          <w:pPr>
                            <w:pStyle w:val="12"/>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vert="horz" wrap="square" lIns="0" tIns="0" rIns="0" bIns="0" anchor="t" anchorCtr="0"/>
                  </wps:wsp>
                </a:graphicData>
              </a:graphic>
            </wp:anchor>
          </w:drawing>
        </mc:Choice>
        <mc:Fallback>
          <w:pict>
            <v:shape id="_x0000_s1026" o:spid="_x0000_s1026" o:spt="202" type="#_x0000_t202" style="position:absolute;left:0pt;margin-top:0pt;height:16.85pt;width:17.6pt;mso-position-horizontal:center;mso-position-horizontal-relative:margin;z-index:251659264;mso-width-relative:page;mso-height-relative:page;" filled="f" stroked="f" coordsize="21600,21600" o:gfxdata="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c/6dfUAAAAAwEAAA8AAAAAAAAAAQAgAAAA&#10;IgAAAGRycy9kb3ducmV2LnhtbFBLAQIUABQAAAAIAIdO4kDDcMhN1gEAAKYDAAAOAAAAAAAAAAEA&#10;IAAAACMBAABkcnMvZTJvRG9jLnhtbFBLBQYAAAAABgAGAFkBAABrBQAAAAA=&#10;">
              <v:fill on="f" focussize="0,0"/>
              <v:stroke on="f"/>
              <v:imagedata o:title=""/>
              <o:lock v:ext="edit" aspectratio="f"/>
              <v:textbox inset="0mm,0mm,0mm,0mm">
                <w:txbxContent>
                  <w:p w14:paraId="509115E2">
                    <w:pPr>
                      <w:pStyle w:val="12"/>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14:paraId="4ABCA2FC"/>
  <w:p w14:paraId="0497A7D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AAAEF">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8B846">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7925">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98E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EC9F"/>
    <w:multiLevelType w:val="singleLevel"/>
    <w:tmpl w:val="89E6EC9F"/>
    <w:lvl w:ilvl="0" w:tentative="0">
      <w:start w:val="1"/>
      <w:numFmt w:val="chineseCounting"/>
      <w:suff w:val="nothing"/>
      <w:lvlText w:val="%1、"/>
      <w:lvlJc w:val="left"/>
      <w:rPr>
        <w:rFonts w:hint="eastAsia"/>
      </w:rPr>
    </w:lvl>
  </w:abstractNum>
  <w:abstractNum w:abstractNumId="1">
    <w:nsid w:val="A9096730"/>
    <w:multiLevelType w:val="singleLevel"/>
    <w:tmpl w:val="A9096730"/>
    <w:lvl w:ilvl="0" w:tentative="0">
      <w:start w:val="1"/>
      <w:numFmt w:val="decimal"/>
      <w:suff w:val="nothing"/>
      <w:lvlText w:val="%1、"/>
      <w:lvlJc w:val="left"/>
    </w:lvl>
  </w:abstractNum>
  <w:abstractNum w:abstractNumId="2">
    <w:nsid w:val="CF146E93"/>
    <w:multiLevelType w:val="singleLevel"/>
    <w:tmpl w:val="CF146E93"/>
    <w:lvl w:ilvl="0" w:tentative="0">
      <w:start w:val="1"/>
      <w:numFmt w:val="chineseCounting"/>
      <w:suff w:val="nothing"/>
      <w:lvlText w:val="%1、"/>
      <w:lvlJc w:val="left"/>
      <w:rPr>
        <w:rFonts w:hint="eastAsia"/>
      </w:rPr>
    </w:lvl>
  </w:abstractNum>
  <w:abstractNum w:abstractNumId="3">
    <w:nsid w:val="E6648639"/>
    <w:multiLevelType w:val="singleLevel"/>
    <w:tmpl w:val="E6648639"/>
    <w:lvl w:ilvl="0" w:tentative="0">
      <w:start w:val="6"/>
      <w:numFmt w:val="chineseCounting"/>
      <w:suff w:val="space"/>
      <w:lvlText w:val="第%1章"/>
      <w:lvlJc w:val="left"/>
      <w:rPr>
        <w:rFonts w:hint="eastAsia"/>
      </w:rPr>
    </w:lvl>
  </w:abstractNum>
  <w:abstractNum w:abstractNumId="4">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244057"/>
    <w:multiLevelType w:val="multilevel"/>
    <w:tmpl w:val="7124405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2"/>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attachedTemplate r:id="rId1"/>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YzEzNDAwMmQ0ZGI5Y2NiYzRhMGNlZDJjZDYxNzAifQ=="/>
  </w:docVars>
  <w:rsids>
    <w:rsidRoot w:val="03A264A5"/>
    <w:rsid w:val="000118A6"/>
    <w:rsid w:val="00106F08"/>
    <w:rsid w:val="0020678F"/>
    <w:rsid w:val="00295D50"/>
    <w:rsid w:val="0034234D"/>
    <w:rsid w:val="004C4E24"/>
    <w:rsid w:val="00587D03"/>
    <w:rsid w:val="005B036F"/>
    <w:rsid w:val="00896F05"/>
    <w:rsid w:val="009B1A3C"/>
    <w:rsid w:val="00AD4D25"/>
    <w:rsid w:val="00B55AAC"/>
    <w:rsid w:val="00BE28EA"/>
    <w:rsid w:val="00C42154"/>
    <w:rsid w:val="00C50C72"/>
    <w:rsid w:val="00C92C0B"/>
    <w:rsid w:val="00D049B1"/>
    <w:rsid w:val="00E52CAE"/>
    <w:rsid w:val="00F17338"/>
    <w:rsid w:val="0119483C"/>
    <w:rsid w:val="014D2D41"/>
    <w:rsid w:val="01623521"/>
    <w:rsid w:val="025E0AE2"/>
    <w:rsid w:val="035E395D"/>
    <w:rsid w:val="03A264A5"/>
    <w:rsid w:val="046A3700"/>
    <w:rsid w:val="04A90BBC"/>
    <w:rsid w:val="059A1C9B"/>
    <w:rsid w:val="07533FDE"/>
    <w:rsid w:val="078642F0"/>
    <w:rsid w:val="07B95F66"/>
    <w:rsid w:val="07D018D0"/>
    <w:rsid w:val="090C7DC6"/>
    <w:rsid w:val="09274BA5"/>
    <w:rsid w:val="0B2F5B98"/>
    <w:rsid w:val="0BEB37B3"/>
    <w:rsid w:val="0EA34A65"/>
    <w:rsid w:val="0EC50264"/>
    <w:rsid w:val="0FB02D4D"/>
    <w:rsid w:val="12716055"/>
    <w:rsid w:val="13492D15"/>
    <w:rsid w:val="14BB27F6"/>
    <w:rsid w:val="17090503"/>
    <w:rsid w:val="17EC52CB"/>
    <w:rsid w:val="1A304619"/>
    <w:rsid w:val="1B066C39"/>
    <w:rsid w:val="1B196105"/>
    <w:rsid w:val="1B9368CB"/>
    <w:rsid w:val="1C20736E"/>
    <w:rsid w:val="1C293771"/>
    <w:rsid w:val="1D9C27B6"/>
    <w:rsid w:val="1F4D591A"/>
    <w:rsid w:val="1FD55C50"/>
    <w:rsid w:val="1FDD5D27"/>
    <w:rsid w:val="218A2FFD"/>
    <w:rsid w:val="219774EC"/>
    <w:rsid w:val="21FC260E"/>
    <w:rsid w:val="224C6559"/>
    <w:rsid w:val="2343233A"/>
    <w:rsid w:val="24E664A5"/>
    <w:rsid w:val="260B584D"/>
    <w:rsid w:val="267A740D"/>
    <w:rsid w:val="2B824439"/>
    <w:rsid w:val="2C1F0062"/>
    <w:rsid w:val="2D37161E"/>
    <w:rsid w:val="2D7824C2"/>
    <w:rsid w:val="2DCD343D"/>
    <w:rsid w:val="2ECE02F6"/>
    <w:rsid w:val="2EEE676E"/>
    <w:rsid w:val="31AF5092"/>
    <w:rsid w:val="31BC4163"/>
    <w:rsid w:val="321219E0"/>
    <w:rsid w:val="33C85C5B"/>
    <w:rsid w:val="34C76280"/>
    <w:rsid w:val="36A34BDF"/>
    <w:rsid w:val="36D80A21"/>
    <w:rsid w:val="377F0D27"/>
    <w:rsid w:val="3794149D"/>
    <w:rsid w:val="383F6770"/>
    <w:rsid w:val="38467B08"/>
    <w:rsid w:val="39AD6474"/>
    <w:rsid w:val="39D5099A"/>
    <w:rsid w:val="3A731DB2"/>
    <w:rsid w:val="3B0E6165"/>
    <w:rsid w:val="3B9867D7"/>
    <w:rsid w:val="40B57568"/>
    <w:rsid w:val="41B13BD3"/>
    <w:rsid w:val="41C6175B"/>
    <w:rsid w:val="45A21EBA"/>
    <w:rsid w:val="462D302E"/>
    <w:rsid w:val="4637748A"/>
    <w:rsid w:val="476B18F6"/>
    <w:rsid w:val="48B4328E"/>
    <w:rsid w:val="49A62598"/>
    <w:rsid w:val="49E477F1"/>
    <w:rsid w:val="4A2E5E38"/>
    <w:rsid w:val="4C677742"/>
    <w:rsid w:val="4D54159D"/>
    <w:rsid w:val="50897A2D"/>
    <w:rsid w:val="5143218F"/>
    <w:rsid w:val="51D5790B"/>
    <w:rsid w:val="52D55DC4"/>
    <w:rsid w:val="53B770E6"/>
    <w:rsid w:val="53CB1E82"/>
    <w:rsid w:val="54240834"/>
    <w:rsid w:val="54895C2A"/>
    <w:rsid w:val="55894A08"/>
    <w:rsid w:val="55922A70"/>
    <w:rsid w:val="55B371C1"/>
    <w:rsid w:val="59106503"/>
    <w:rsid w:val="5D176BB9"/>
    <w:rsid w:val="5DD66A52"/>
    <w:rsid w:val="5E6C6676"/>
    <w:rsid w:val="5FF23D9B"/>
    <w:rsid w:val="61BE6B06"/>
    <w:rsid w:val="62D4154E"/>
    <w:rsid w:val="632717A7"/>
    <w:rsid w:val="641565F6"/>
    <w:rsid w:val="64C12511"/>
    <w:rsid w:val="650860B0"/>
    <w:rsid w:val="67090219"/>
    <w:rsid w:val="689C2C37"/>
    <w:rsid w:val="6B255B03"/>
    <w:rsid w:val="6B7F0948"/>
    <w:rsid w:val="6CAB5B47"/>
    <w:rsid w:val="6CFE2350"/>
    <w:rsid w:val="6D5118E8"/>
    <w:rsid w:val="6E777A87"/>
    <w:rsid w:val="72361DF5"/>
    <w:rsid w:val="737465FA"/>
    <w:rsid w:val="761A4CF1"/>
    <w:rsid w:val="7A392CCD"/>
    <w:rsid w:val="7C190000"/>
    <w:rsid w:val="7D4F4E2A"/>
    <w:rsid w:val="7DE75884"/>
    <w:rsid w:val="7E445E60"/>
    <w:rsid w:val="7E936B06"/>
    <w:rsid w:val="7F190305"/>
    <w:rsid w:val="FCF1D8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6" w:lineRule="auto"/>
      <w:outlineLvl w:val="0"/>
    </w:pPr>
    <w:rPr>
      <w:b w:val="0"/>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ind w:firstLine="137" w:firstLineChars="49"/>
      <w:outlineLvl w:val="2"/>
    </w:pPr>
    <w:rPr>
      <w:rFonts w:ascii="黑体" w:hAnsi="黑体" w:eastAsia="黑体"/>
      <w:bCs/>
      <w:sz w:val="28"/>
      <w:szCs w:val="28"/>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6">
    <w:name w:val="Normal Indent"/>
    <w:basedOn w:val="1"/>
    <w:next w:val="1"/>
    <w:unhideWhenUsed/>
    <w:qFormat/>
    <w:uiPriority w:val="99"/>
    <w:pPr>
      <w:ind w:firstLine="420" w:firstLineChars="200"/>
    </w:pPr>
    <w:rPr>
      <w:szCs w:val="24"/>
    </w:rPr>
  </w:style>
  <w:style w:type="paragraph" w:styleId="7">
    <w:name w:val="annotation text"/>
    <w:basedOn w:val="1"/>
    <w:qFormat/>
    <w:uiPriority w:val="0"/>
    <w:pPr>
      <w:jc w:val="left"/>
    </w:pPr>
  </w:style>
  <w:style w:type="paragraph" w:styleId="8">
    <w:name w:val="Body Text"/>
    <w:basedOn w:val="1"/>
    <w:unhideWhenUsed/>
    <w:qFormat/>
    <w:uiPriority w:val="99"/>
    <w:pPr>
      <w:spacing w:after="120"/>
    </w:pPr>
  </w:style>
  <w:style w:type="paragraph" w:styleId="9">
    <w:name w:val="Body Text Indent"/>
    <w:basedOn w:val="1"/>
    <w:next w:val="1"/>
    <w:qFormat/>
    <w:uiPriority w:val="0"/>
    <w:pPr>
      <w:spacing w:line="360" w:lineRule="auto"/>
      <w:ind w:firstLine="480" w:firstLineChars="200"/>
      <w:jc w:val="left"/>
    </w:pPr>
    <w:rPr>
      <w:rFonts w:ascii="宋体" w:hAnsi="宋体"/>
      <w:sz w:val="24"/>
      <w:szCs w:val="28"/>
    </w:rPr>
  </w:style>
  <w:style w:type="paragraph" w:styleId="10">
    <w:name w:val="Block Text"/>
    <w:basedOn w:val="1"/>
    <w:unhideWhenUsed/>
    <w:qFormat/>
    <w:uiPriority w:val="99"/>
    <w:pPr>
      <w:widowControl/>
      <w:spacing w:after="120" w:line="276" w:lineRule="auto"/>
      <w:ind w:left="1440" w:leftChars="700" w:right="700" w:rightChars="700"/>
    </w:pPr>
    <w:rPr>
      <w:rFonts w:ascii="Calibri" w:hAnsi="Calibri"/>
      <w:sz w:val="22"/>
      <w:lang w:eastAsia="en-US" w:bidi="en-US"/>
    </w:rPr>
  </w:style>
  <w:style w:type="paragraph" w:styleId="11">
    <w:name w:val="Plain Text"/>
    <w:basedOn w:val="1"/>
    <w:next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jc w:val="left"/>
    </w:pPr>
    <w:rPr>
      <w:b/>
      <w:bCs/>
      <w:caps/>
      <w:sz w:val="20"/>
      <w:szCs w:val="20"/>
    </w:rPr>
  </w:style>
  <w:style w:type="paragraph" w:styleId="15">
    <w:name w:val="Normal (Web)"/>
    <w:qFormat/>
    <w:uiPriority w:val="99"/>
    <w:pPr>
      <w:widowControl w:val="0"/>
      <w:jc w:val="both"/>
    </w:pPr>
    <w:rPr>
      <w:rFonts w:ascii="Times New Roman" w:hAnsi="Times New Roman" w:eastAsia="宋体" w:cs="Times New Roman"/>
      <w:kern w:val="2"/>
      <w:sz w:val="24"/>
      <w:szCs w:val="24"/>
      <w:lang w:val="en-US" w:eastAsia="zh-CN" w:bidi="ar-SA"/>
    </w:rPr>
  </w:style>
  <w:style w:type="paragraph" w:styleId="16">
    <w:name w:val="Body Text First Indent"/>
    <w:basedOn w:val="8"/>
    <w:next w:val="17"/>
    <w:unhideWhenUsed/>
    <w:qFormat/>
    <w:uiPriority w:val="99"/>
    <w:pPr>
      <w:ind w:firstLine="420" w:firstLineChars="100"/>
    </w:pPr>
    <w:rPr>
      <w:szCs w:val="24"/>
    </w:rPr>
  </w:style>
  <w:style w:type="paragraph" w:styleId="17">
    <w:name w:val="Body Text First Indent 2"/>
    <w:basedOn w:val="9"/>
    <w:unhideWhenUsed/>
    <w:qFormat/>
    <w:uiPriority w:val="99"/>
    <w:pPr>
      <w:spacing w:after="120" w:line="240" w:lineRule="auto"/>
      <w:ind w:left="420" w:leftChars="200" w:firstLine="420"/>
      <w:jc w:val="both"/>
    </w:pPr>
    <w:rPr>
      <w:rFonts w:ascii="Times New Roman" w:hAnsi="Times New Roman"/>
      <w:sz w:val="21"/>
      <w:szCs w:val="22"/>
    </w:rPr>
  </w:style>
  <w:style w:type="paragraph" w:customStyle="1" w:styleId="20">
    <w:name w:val="样式1"/>
    <w:basedOn w:val="9"/>
    <w:next w:val="10"/>
    <w:qFormat/>
    <w:uiPriority w:val="0"/>
    <w:rPr>
      <w:rFonts w:ascii="Times New Roman" w:hAnsi="Times New Roman"/>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style>
  <w:style w:type="paragraph" w:customStyle="1" w:styleId="23">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2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2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27">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28">
    <w:name w:val="封二"/>
    <w:basedOn w:val="23"/>
    <w:next w:val="23"/>
    <w:qFormat/>
    <w:uiPriority w:val="0"/>
    <w:pPr>
      <w:ind w:firstLine="0" w:firstLineChars="0"/>
      <w:jc w:val="center"/>
    </w:pPr>
    <w:rPr>
      <w:rFonts w:eastAsia="黑体"/>
      <w:b/>
      <w:sz w:val="36"/>
      <w:szCs w:val="36"/>
    </w:rPr>
  </w:style>
  <w:style w:type="paragraph" w:customStyle="1" w:styleId="29">
    <w:name w:val="封一"/>
    <w:basedOn w:val="23"/>
    <w:next w:val="23"/>
    <w:qFormat/>
    <w:uiPriority w:val="0"/>
    <w:pPr>
      <w:ind w:firstLine="0" w:firstLineChars="0"/>
      <w:jc w:val="center"/>
    </w:pPr>
    <w:rPr>
      <w:rFonts w:eastAsia="黑体"/>
      <w:b/>
      <w:sz w:val="84"/>
      <w:szCs w:val="84"/>
    </w:rPr>
  </w:style>
  <w:style w:type="paragraph" w:customStyle="1" w:styleId="30">
    <w:name w:val="封四"/>
    <w:basedOn w:val="23"/>
    <w:next w:val="23"/>
    <w:qFormat/>
    <w:uiPriority w:val="0"/>
    <w:pPr>
      <w:jc w:val="left"/>
    </w:pPr>
    <w:rPr>
      <w:rFonts w:eastAsia="等线"/>
      <w:sz w:val="30"/>
      <w:szCs w:val="30"/>
    </w:rPr>
  </w:style>
  <w:style w:type="paragraph" w:styleId="31">
    <w:name w:val="List Paragraph"/>
    <w:basedOn w:val="1"/>
    <w:qFormat/>
    <w:uiPriority w:val="0"/>
    <w:pPr>
      <w:ind w:firstLine="420" w:firstLineChars="200"/>
    </w:pPr>
    <w:rPr>
      <w:rFonts w:ascii="Calibri" w:hAnsi="Calibri"/>
    </w:rPr>
  </w:style>
  <w:style w:type="paragraph" w:customStyle="1" w:styleId="32">
    <w:name w:val="Table Text"/>
    <w:basedOn w:val="1"/>
    <w:semiHidden/>
    <w:qFormat/>
    <w:uiPriority w:val="0"/>
    <w:rPr>
      <w:rFonts w:ascii="宋体" w:hAnsi="宋体" w:eastAsia="宋体" w:cs="宋体"/>
      <w:sz w:val="21"/>
      <w:szCs w:val="21"/>
      <w:lang w:val="en-US" w:eastAsia="en-US" w:bidi="ar-SA"/>
    </w:rPr>
  </w:style>
  <w:style w:type="table" w:customStyle="1" w:styleId="33">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wps\zh_CN\13be59cec73b0d1ff8d8ab72d77b1137_f3fdb369675fe6b8a9ca0cfdc05059d7_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13be59cec73b0d1ff8d8ab72d77b1137_f3fdb369675fe6b8a9ca0cfdc05059d7_8.dot</Template>
  <Pages>66</Pages>
  <Words>25546</Words>
  <Characters>26811</Characters>
  <Lines>243</Lines>
  <Paragraphs>68</Paragraphs>
  <TotalTime>6</TotalTime>
  <ScaleCrop>false</ScaleCrop>
  <LinksUpToDate>false</LinksUpToDate>
  <CharactersWithSpaces>27837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2025-08-21T03:08:00Z</dcterms:created>
  <dc:creator>admin</dc:creator>
  <cp:lastModifiedBy>admin</cp:lastModifiedBy>
  <dcterms:modified xsi:type="dcterms:W3CDTF">2025-09-12T06:43:50Z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9C60FFF171A34A0E92FF0B0845A9ACBF_11</vt:lpwstr>
  </property>
  <property fmtid="{D5CDD505-2E9C-101B-9397-08002B2CF9AE}" pid="4" name="KSOTemplateDocerSaveRecord">
    <vt:lpwstr>eyJoZGlkIjoiODQ2ODc4NjVkZDhmY2I0YWU1ZTdhZThiOTgxMDE4NTIiLCJ1c2VySWQiOiIyNDk0MTYxMDEifQ==</vt:lpwstr>
  </property>
</Properties>
</file>