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B0FD1">
      <w:pPr>
        <w:pageBreakBefore w:val="0"/>
        <w:widowControl w:val="0"/>
        <w:kinsoku/>
        <w:wordWrap/>
        <w:overflowPunct/>
        <w:topLinePunct w:val="0"/>
        <w:bidi w:val="0"/>
        <w:spacing w:line="500" w:lineRule="exact"/>
        <w:ind w:firstLine="6240" w:firstLineChars="2600"/>
        <w:jc w:val="both"/>
        <w:rPr>
          <w:rFonts w:ascii="宋体" w:eastAsia="宋体"/>
          <w:color w:val="auto"/>
          <w:sz w:val="24"/>
          <w:szCs w:val="24"/>
          <w:highlight w:val="none"/>
        </w:rPr>
      </w:pPr>
      <w:bookmarkStart w:id="55" w:name="_GoBack"/>
      <w:bookmarkEnd w:id="55"/>
      <w:r>
        <w:rPr>
          <w:rFonts w:hint="eastAsia" w:ascii="宋体" w:eastAsia="宋体"/>
          <w:color w:val="auto"/>
          <w:sz w:val="24"/>
          <w:szCs w:val="24"/>
          <w:highlight w:val="none"/>
        </w:rPr>
        <w:t xml:space="preserve">  合同编号：</w:t>
      </w:r>
    </w:p>
    <w:p w14:paraId="4A2E86C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p>
    <w:p w14:paraId="3BD7EB5E">
      <w:pPr>
        <w:pStyle w:val="2"/>
        <w:keepNext/>
        <w:keepLines/>
        <w:pageBreakBefore w:val="0"/>
        <w:widowControl w:val="0"/>
        <w:kinsoku/>
        <w:wordWrap/>
        <w:overflowPunct/>
        <w:topLinePunct w:val="0"/>
        <w:bidi w:val="0"/>
        <w:spacing w:line="500" w:lineRule="exact"/>
        <w:ind w:firstLine="1028"/>
        <w:jc w:val="center"/>
        <w:rPr>
          <w:rFonts w:hint="eastAsia" w:ascii="宋体"/>
          <w:sz w:val="52"/>
          <w:szCs w:val="52"/>
        </w:rPr>
      </w:pPr>
      <w:r>
        <w:rPr>
          <w:rFonts w:hint="eastAsia" w:ascii="宋体" w:eastAsia="宋体"/>
          <w:color w:val="auto"/>
          <w:sz w:val="52"/>
          <w:szCs w:val="52"/>
          <w:highlight w:val="none"/>
        </w:rPr>
        <w:t xml:space="preserve">   【】城中</w:t>
      </w:r>
      <w:r>
        <w:rPr>
          <w:rFonts w:hint="eastAsia" w:ascii="宋体"/>
          <w:sz w:val="52"/>
          <w:szCs w:val="52"/>
        </w:rPr>
        <w:t>村改造项目</w:t>
      </w:r>
    </w:p>
    <w:p w14:paraId="411B52EA">
      <w:pPr>
        <w:pStyle w:val="2"/>
        <w:keepNext/>
        <w:keepLines/>
        <w:pageBreakBefore w:val="0"/>
        <w:widowControl w:val="0"/>
        <w:kinsoku/>
        <w:wordWrap/>
        <w:overflowPunct/>
        <w:topLinePunct w:val="0"/>
        <w:bidi w:val="0"/>
        <w:spacing w:line="500" w:lineRule="exact"/>
        <w:ind w:firstLine="1028"/>
        <w:jc w:val="center"/>
        <w:rPr>
          <w:rFonts w:hint="eastAsia" w:ascii="宋体" w:eastAsia="宋体"/>
          <w:color w:val="auto"/>
          <w:sz w:val="52"/>
          <w:szCs w:val="52"/>
          <w:highlight w:val="none"/>
        </w:rPr>
      </w:pPr>
      <w:r>
        <w:rPr>
          <w:rFonts w:hint="eastAsia" w:ascii="宋体" w:eastAsia="宋体"/>
          <w:color w:val="auto"/>
          <w:sz w:val="52"/>
          <w:szCs w:val="52"/>
          <w:highlight w:val="none"/>
        </w:rPr>
        <w:t>造价咨询</w:t>
      </w:r>
      <w:r>
        <w:rPr>
          <w:rFonts w:hint="eastAsia" w:ascii="宋体"/>
          <w:color w:val="auto"/>
          <w:sz w:val="52"/>
          <w:szCs w:val="52"/>
          <w:highlight w:val="none"/>
          <w:lang w:val="en-US" w:eastAsia="zh-CN"/>
        </w:rPr>
        <w:t>委托</w:t>
      </w:r>
      <w:r>
        <w:rPr>
          <w:rFonts w:hint="eastAsia" w:ascii="宋体" w:eastAsia="宋体"/>
          <w:color w:val="auto"/>
          <w:sz w:val="52"/>
          <w:szCs w:val="52"/>
          <w:highlight w:val="none"/>
        </w:rPr>
        <w:t>服务合同</w:t>
      </w:r>
    </w:p>
    <w:p w14:paraId="5712BD3A">
      <w:pPr>
        <w:pageBreakBefore w:val="0"/>
        <w:widowControl w:val="0"/>
        <w:kinsoku/>
        <w:wordWrap/>
        <w:overflowPunct/>
        <w:topLinePunct w:val="0"/>
        <w:bidi w:val="0"/>
        <w:spacing w:line="500" w:lineRule="exact"/>
        <w:jc w:val="center"/>
        <w:rPr>
          <w:rFonts w:ascii="宋体" w:eastAsia="宋体"/>
          <w:color w:val="auto"/>
          <w:sz w:val="24"/>
          <w:szCs w:val="24"/>
          <w:highlight w:val="none"/>
        </w:rPr>
      </w:pPr>
    </w:p>
    <w:p w14:paraId="77AF0B9E">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hint="eastAsia" w:ascii="宋体" w:eastAsia="宋体"/>
          <w:b/>
          <w:bCs/>
          <w:color w:val="auto"/>
          <w:sz w:val="24"/>
          <w:szCs w:val="24"/>
          <w:highlight w:val="none"/>
        </w:rPr>
        <w:t>委托方（甲方）：</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r>
        <w:rPr>
          <w:rFonts w:hint="eastAsia" w:ascii="宋体" w:eastAsia="宋体"/>
          <w:b/>
          <w:bCs/>
          <w:color w:val="auto"/>
          <w:sz w:val="24"/>
          <w:szCs w:val="24"/>
          <w:highlight w:val="none"/>
        </w:rPr>
        <w:t xml:space="preserve">        </w:t>
      </w:r>
      <w:r>
        <w:rPr>
          <w:rFonts w:hint="eastAsia" w:ascii="宋体" w:eastAsia="宋体"/>
          <w:b/>
          <w:bCs/>
          <w:color w:val="auto"/>
          <w:sz w:val="24"/>
          <w:szCs w:val="24"/>
          <w:highlight w:val="none"/>
        </w:rPr>
        <w:tab/>
      </w:r>
      <w:r>
        <w:rPr>
          <w:rFonts w:hint="eastAsia" w:ascii="宋体" w:eastAsia="宋体"/>
          <w:b/>
          <w:bCs/>
          <w:color w:val="auto"/>
          <w:sz w:val="24"/>
          <w:szCs w:val="24"/>
          <w:highlight w:val="none"/>
        </w:rPr>
        <w:t xml:space="preserve">                            </w:t>
      </w:r>
      <w:r>
        <w:rPr>
          <w:rFonts w:ascii="宋体" w:eastAsia="宋体"/>
          <w:b/>
          <w:bCs/>
          <w:color w:val="auto"/>
          <w:sz w:val="24"/>
          <w:szCs w:val="24"/>
          <w:highlight w:val="none"/>
        </w:rPr>
        <w:t xml:space="preserve"> </w:t>
      </w:r>
    </w:p>
    <w:p w14:paraId="0347405F">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hint="eastAsia" w:ascii="宋体" w:eastAsia="宋体"/>
          <w:b/>
          <w:bCs/>
          <w:color w:val="auto"/>
          <w:sz w:val="24"/>
          <w:szCs w:val="24"/>
          <w:highlight w:val="none"/>
        </w:rPr>
        <w:t xml:space="preserve">                           </w:t>
      </w:r>
    </w:p>
    <w:p w14:paraId="58DB787B">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hint="eastAsia" w:ascii="宋体" w:eastAsia="宋体"/>
          <w:b/>
          <w:bCs/>
          <w:color w:val="auto"/>
          <w:sz w:val="24"/>
          <w:szCs w:val="24"/>
          <w:highlight w:val="none"/>
        </w:rPr>
        <w:t>受托方（</w:t>
      </w:r>
      <w:r>
        <w:rPr>
          <w:rFonts w:hint="eastAsia" w:ascii="宋体" w:eastAsia="宋体"/>
          <w:b/>
          <w:bCs/>
          <w:color w:val="auto"/>
          <w:sz w:val="24"/>
          <w:szCs w:val="24"/>
          <w:highlight w:val="none"/>
          <w:lang w:val="en-US" w:eastAsia="zh-CN"/>
        </w:rPr>
        <w:t>乙</w:t>
      </w:r>
      <w:r>
        <w:rPr>
          <w:rFonts w:hint="eastAsia" w:ascii="宋体" w:eastAsia="宋体"/>
          <w:b/>
          <w:bCs/>
          <w:color w:val="auto"/>
          <w:sz w:val="24"/>
          <w:szCs w:val="24"/>
          <w:highlight w:val="none"/>
        </w:rPr>
        <w:t>方）：</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p>
    <w:p w14:paraId="7B358580">
      <w:pPr>
        <w:pageBreakBefore w:val="0"/>
        <w:widowControl w:val="0"/>
        <w:kinsoku/>
        <w:wordWrap/>
        <w:overflowPunct/>
        <w:topLinePunct w:val="0"/>
        <w:bidi w:val="0"/>
        <w:spacing w:line="500" w:lineRule="exact"/>
        <w:rPr>
          <w:rFonts w:ascii="宋体" w:eastAsia="宋体"/>
          <w:color w:val="auto"/>
          <w:sz w:val="24"/>
          <w:szCs w:val="24"/>
          <w:highlight w:val="none"/>
        </w:rPr>
      </w:pPr>
    </w:p>
    <w:p w14:paraId="03B1FA8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依照《中华人民共和国民法典》、《中华人民共和国建筑法》及其它有关法律、行政法规、部门规章、地方性法规和规章，以及广东省和广州市工程建设项目的有关文件精神，经</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乙双方</w:t>
      </w:r>
      <w:r>
        <w:rPr>
          <w:rFonts w:hint="eastAsia" w:ascii="宋体" w:eastAsia="宋体"/>
          <w:color w:val="auto"/>
          <w:sz w:val="24"/>
          <w:szCs w:val="24"/>
          <w:highlight w:val="none"/>
        </w:rPr>
        <w:t>平等协商，遵循平等、自愿、公平和诚实信用的原则，就【】造价咨询服务事项协商一致，订立本合同，供</w:t>
      </w:r>
      <w:r>
        <w:rPr>
          <w:rFonts w:hint="eastAsia" w:ascii="宋体" w:eastAsia="宋体"/>
          <w:color w:val="auto"/>
          <w:sz w:val="24"/>
          <w:szCs w:val="24"/>
          <w:highlight w:val="none"/>
          <w:lang w:eastAsia="zh-CN"/>
        </w:rPr>
        <w:t>双方</w:t>
      </w:r>
      <w:r>
        <w:rPr>
          <w:rFonts w:hint="eastAsia" w:ascii="宋体" w:eastAsia="宋体"/>
          <w:color w:val="auto"/>
          <w:sz w:val="24"/>
          <w:szCs w:val="24"/>
          <w:highlight w:val="none"/>
        </w:rPr>
        <w:t>共同执行。</w:t>
      </w:r>
    </w:p>
    <w:p w14:paraId="3FC612FF">
      <w:pPr>
        <w:pageBreakBefore w:val="0"/>
        <w:widowControl w:val="0"/>
        <w:kinsoku/>
        <w:wordWrap/>
        <w:overflowPunct/>
        <w:topLinePunct w:val="0"/>
        <w:bidi w:val="0"/>
        <w:spacing w:line="500" w:lineRule="exact"/>
        <w:outlineLvl w:val="2"/>
        <w:rPr>
          <w:rFonts w:ascii="宋体" w:eastAsia="宋体"/>
          <w:b/>
          <w:bCs/>
          <w:color w:val="auto"/>
          <w:sz w:val="24"/>
          <w:szCs w:val="24"/>
          <w:highlight w:val="none"/>
        </w:rPr>
      </w:pPr>
      <w:r>
        <w:rPr>
          <w:rFonts w:ascii="宋体" w:eastAsia="宋体"/>
          <w:b/>
          <w:bCs/>
          <w:color w:val="auto"/>
          <w:sz w:val="24"/>
          <w:szCs w:val="24"/>
          <w:highlight w:val="none"/>
        </w:rPr>
        <w:t xml:space="preserve">    </w:t>
      </w:r>
      <w:bookmarkStart w:id="0" w:name="_Toc21405"/>
      <w:bookmarkStart w:id="1" w:name="_Toc26866145"/>
      <w:r>
        <w:rPr>
          <w:rFonts w:hint="eastAsia" w:ascii="宋体" w:eastAsia="宋体"/>
          <w:b/>
          <w:bCs/>
          <w:color w:val="auto"/>
          <w:sz w:val="24"/>
          <w:szCs w:val="24"/>
          <w:highlight w:val="none"/>
        </w:rPr>
        <w:t>一、工程概况</w:t>
      </w:r>
      <w:bookmarkEnd w:id="0"/>
      <w:bookmarkEnd w:id="1"/>
    </w:p>
    <w:p w14:paraId="6CF0FA63">
      <w:pPr>
        <w:pageBreakBefore w:val="0"/>
        <w:widowControl w:val="0"/>
        <w:kinsoku/>
        <w:wordWrap/>
        <w:overflowPunct/>
        <w:topLinePunct w:val="0"/>
        <w:bidi w:val="0"/>
        <w:spacing w:line="500" w:lineRule="exact"/>
        <w:ind w:firstLine="480"/>
        <w:rPr>
          <w:rFonts w:hint="eastAsia" w:ascii="宋体" w:eastAsia="宋体"/>
          <w:b/>
          <w:bCs/>
          <w:color w:val="auto"/>
          <w:sz w:val="24"/>
          <w:szCs w:val="24"/>
          <w:highlight w:val="none"/>
          <w:u w:val="single"/>
        </w:rPr>
      </w:pPr>
      <w:r>
        <w:rPr>
          <w:rFonts w:hint="eastAsia" w:ascii="宋体" w:eastAsia="宋体"/>
          <w:color w:val="auto"/>
          <w:sz w:val="24"/>
          <w:szCs w:val="24"/>
          <w:highlight w:val="none"/>
        </w:rPr>
        <w:t>项目名称：</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p>
    <w:p w14:paraId="67D44372">
      <w:pPr>
        <w:pageBreakBefore w:val="0"/>
        <w:widowControl w:val="0"/>
        <w:kinsoku/>
        <w:wordWrap/>
        <w:overflowPunct/>
        <w:topLinePunct w:val="0"/>
        <w:bidi w:val="0"/>
        <w:spacing w:line="500" w:lineRule="exact"/>
        <w:ind w:firstLine="480"/>
        <w:rPr>
          <w:rFonts w:ascii="宋体" w:eastAsia="宋体"/>
          <w:color w:val="auto"/>
          <w:sz w:val="24"/>
          <w:szCs w:val="24"/>
          <w:highlight w:val="none"/>
        </w:rPr>
      </w:pPr>
      <w:bookmarkStart w:id="2" w:name="_Toc19190"/>
      <w:r>
        <w:rPr>
          <w:rFonts w:hint="eastAsia" w:ascii="宋体" w:eastAsia="宋体"/>
          <w:color w:val="auto"/>
          <w:sz w:val="24"/>
          <w:szCs w:val="24"/>
          <w:highlight w:val="none"/>
        </w:rPr>
        <w:t>地点：</w:t>
      </w:r>
      <w:bookmarkEnd w:id="2"/>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p>
    <w:p w14:paraId="06D24B9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工程建设规模：</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p>
    <w:p w14:paraId="762E428A">
      <w:pPr>
        <w:pageBreakBefore w:val="0"/>
        <w:widowControl w:val="0"/>
        <w:kinsoku/>
        <w:wordWrap/>
        <w:overflowPunct/>
        <w:topLinePunct w:val="0"/>
        <w:bidi w:val="0"/>
        <w:spacing w:line="500" w:lineRule="exact"/>
        <w:ind w:firstLine="480"/>
        <w:rPr>
          <w:rFonts w:hint="eastAsia" w:ascii="宋体" w:eastAsia="宋体"/>
          <w:b/>
          <w:bCs/>
          <w:color w:val="auto"/>
          <w:sz w:val="24"/>
          <w:szCs w:val="24"/>
          <w:highlight w:val="none"/>
          <w:u w:val="single"/>
        </w:rPr>
      </w:pPr>
      <w:r>
        <w:rPr>
          <w:rFonts w:hint="eastAsia" w:ascii="宋体" w:eastAsia="宋体"/>
          <w:color w:val="auto"/>
          <w:sz w:val="24"/>
          <w:szCs w:val="24"/>
          <w:highlight w:val="none"/>
        </w:rPr>
        <w:t>资金来源：</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r>
        <w:rPr>
          <w:rFonts w:hint="eastAsia" w:ascii="宋体" w:eastAsia="宋体"/>
          <w:b/>
          <w:bCs/>
          <w:color w:val="auto"/>
          <w:sz w:val="24"/>
          <w:szCs w:val="24"/>
          <w:highlight w:val="none"/>
          <w:u w:val="single"/>
          <w:lang w:val="en-US" w:eastAsia="zh-CN"/>
        </w:rPr>
        <w:t xml:space="preserve">    </w:t>
      </w:r>
      <w:r>
        <w:rPr>
          <w:rFonts w:hint="eastAsia" w:ascii="宋体" w:eastAsia="宋体"/>
          <w:b/>
          <w:bCs/>
          <w:color w:val="auto"/>
          <w:sz w:val="24"/>
          <w:szCs w:val="24"/>
          <w:highlight w:val="none"/>
          <w:u w:val="single"/>
        </w:rPr>
        <w:t xml:space="preserve"> </w:t>
      </w:r>
    </w:p>
    <w:p w14:paraId="5EC26D9E">
      <w:pPr>
        <w:pageBreakBefore w:val="0"/>
        <w:widowControl w:val="0"/>
        <w:kinsoku/>
        <w:wordWrap/>
        <w:overflowPunct/>
        <w:topLinePunct w:val="0"/>
        <w:bidi w:val="0"/>
        <w:spacing w:line="500" w:lineRule="exact"/>
        <w:ind w:firstLine="480"/>
        <w:rPr>
          <w:rFonts w:ascii="宋体" w:eastAsia="宋体"/>
          <w:color w:val="auto"/>
          <w:sz w:val="24"/>
          <w:szCs w:val="24"/>
          <w:highlight w:val="none"/>
        </w:rPr>
      </w:pPr>
      <w:r>
        <w:rPr>
          <w:rFonts w:hint="eastAsia" w:ascii="宋体" w:eastAsia="宋体"/>
          <w:color w:val="auto"/>
          <w:sz w:val="24"/>
          <w:szCs w:val="24"/>
          <w:highlight w:val="none"/>
        </w:rPr>
        <w:t>建设工期或周期：预计【】日历天</w:t>
      </w:r>
    </w:p>
    <w:p w14:paraId="05E0CD6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控制目标：（1）进度目标：确保按工程进度需要</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方要求提供造价咨询服务成果；（2）质量目标：造价编制或审核准确率控制在合同约定范围内；（3）投资目标：投资控制在上级主管部门批准的工程投资概算内。</w:t>
      </w:r>
    </w:p>
    <w:p w14:paraId="721C719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其他：/</w:t>
      </w:r>
      <w:r>
        <w:rPr>
          <w:rFonts w:hint="eastAsia" w:ascii="宋体" w:eastAsia="宋体"/>
          <w:color w:val="auto"/>
          <w:sz w:val="24"/>
          <w:szCs w:val="24"/>
          <w:highlight w:val="none"/>
        </w:rPr>
        <w:tab/>
      </w:r>
    </w:p>
    <w:p w14:paraId="00C659CF">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bookmarkStart w:id="3" w:name="_Toc26866146"/>
      <w:bookmarkStart w:id="4" w:name="_Toc29356"/>
      <w:r>
        <w:rPr>
          <w:rFonts w:hint="eastAsia" w:ascii="宋体" w:eastAsia="宋体"/>
          <w:b/>
          <w:bCs/>
          <w:color w:val="auto"/>
          <w:sz w:val="24"/>
          <w:szCs w:val="24"/>
          <w:highlight w:val="none"/>
        </w:rPr>
        <w:t>二、服务范围以及工作内容</w:t>
      </w:r>
      <w:bookmarkEnd w:id="3"/>
      <w:bookmarkEnd w:id="4"/>
    </w:p>
    <w:p w14:paraId="6DA6128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1.服务范围</w:t>
      </w:r>
    </w:p>
    <w:p w14:paraId="2EAA2D21">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甲方委托</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方实施【  】造价咨询服务。</w:t>
      </w:r>
    </w:p>
    <w:p w14:paraId="34B6D9B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2.工作内容</w:t>
      </w:r>
    </w:p>
    <w:p w14:paraId="742DC45D">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方委托</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方实施【】造价咨询委托服务，具体工作内容如下：</w:t>
      </w:r>
    </w:p>
    <w:p w14:paraId="021CB4AA">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（1）施工图设计阶段：</w:t>
      </w:r>
    </w:p>
    <w:p w14:paraId="7B49735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根据</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要求进行方案比选及测算，提交合理化建议；参加图纸会审，根据</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要求提供造价方面的专业意见；提供建筑材料、设备造价方面的选择意见，控制投资成本；提供类似项目的建筑标准及参考造价供</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参考，配合</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修改、确定建筑标准；若限额指标超限，</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方应及时分析偏差原因，提出造价节省建议；若概算（建安费）超出工程费估算，</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方应及时分析偏差原因，提出造价节省建议；根据</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方需要，提出、评估和报告不同的建筑形式、施工方法、建筑材料和设备对工程造价的影响；当设计单位更新此阶段的图纸版本后，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方应重复上述工作，直至此阶段最终图纸之设计造价满足</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方成本控制要求；按</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要求出席相应的设计协调会及专家论证会，就设计的经济性发表独立的专业意见；编制项目执行目标成本；根据</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要求，提供设计阶段的其他相关服务。</w:t>
      </w:r>
    </w:p>
    <w:p w14:paraId="6F31FD81">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（2）招标阶段</w:t>
      </w:r>
      <w:r>
        <w:rPr>
          <w:rFonts w:hint="eastAsia" w:ascii="宋体" w:eastAsia="宋体"/>
          <w:color w:val="auto"/>
          <w:sz w:val="24"/>
          <w:szCs w:val="24"/>
          <w:highlight w:val="none"/>
          <w:lang w:eastAsia="zh-CN"/>
        </w:rPr>
        <w:t>（</w:t>
      </w:r>
      <w:r>
        <w:rPr>
          <w:rFonts w:hint="eastAsia" w:ascii="宋体" w:eastAsia="宋体"/>
          <w:color w:val="auto"/>
          <w:sz w:val="24"/>
          <w:szCs w:val="24"/>
          <w:highlight w:val="none"/>
          <w:lang w:val="en-US" w:eastAsia="zh-CN"/>
        </w:rPr>
        <w:t>如有</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w:t>
      </w:r>
    </w:p>
    <w:p w14:paraId="13AEBE1D">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根据招标图纸、招标文件，按</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要求编制招标项目各专业的工程量清单及招标控制价，如有需要，需配合</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按广州市建设主管部门及造价管理部门的有关要求完成招标控制价网上备案手续等工作；开标后根据工程的实际需要及</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对中标单位投标报价文件进行全面复核并提供复核报告；审核招标文件，提交相关计价、计量、支付、索赔等投资控制条款，按时提交审核报告、调整意见及合理化建议。服务期开始时招标控制价已完成审批的项目除外。</w:t>
      </w:r>
    </w:p>
    <w:p w14:paraId="622BCDF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（3）施工阶段：</w:t>
      </w:r>
    </w:p>
    <w:p w14:paraId="52BD230C">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须做好施工过程所产生的工程量和费用的审核工作，根据施工图及招、投标文件、施工合同计算工程实物量、参与材料设备的询价、审核工程变更及签证、与工程承包单位、材料设备供应单位洽谈索赔事项、建立管理台账等进行动态造价控制；调整项目总体投资进度计划，根据实际进度与每月实际投资和计划投资做分析比较，分析成本超支的原因和修正项目投资进度计划；协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制定工程成本控制方案，包括合同管理、工程变更程序、工程款支付程序等管理方案；协助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处理合同变更，包括合同变更谈判、变更的处理程序，检查变更措施的落实情况；协助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处理合同的索赔，维护</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的合法权益，防止索赔事件的发生。对收到的承包方的索赔报告进行审查分析，收集索赔理由和证据，复核索赔值，起草并提出反索赔报告。调解合同争端，在诉讼过程中提供合法的依据；负责</w:t>
      </w:r>
      <w:r>
        <w:rPr>
          <w:rFonts w:hint="eastAsia" w:ascii="宋体" w:eastAsia="宋体"/>
          <w:color w:val="auto"/>
          <w:sz w:val="24"/>
          <w:szCs w:val="24"/>
          <w:highlight w:val="none"/>
          <w:lang w:val="en-US" w:eastAsia="zh-CN"/>
        </w:rPr>
        <w:t>编制施工图预算（含钢筋抽料），根据编制结果</w:t>
      </w:r>
      <w:r>
        <w:rPr>
          <w:rFonts w:hint="eastAsia" w:ascii="宋体" w:eastAsia="宋体"/>
          <w:color w:val="auto"/>
          <w:sz w:val="24"/>
          <w:szCs w:val="24"/>
          <w:highlight w:val="none"/>
        </w:rPr>
        <w:t>审核施工图预算</w:t>
      </w:r>
      <w:r>
        <w:rPr>
          <w:rFonts w:hint="eastAsia" w:ascii="宋体" w:eastAsia="宋体"/>
          <w:color w:val="auto"/>
          <w:sz w:val="24"/>
          <w:szCs w:val="24"/>
          <w:highlight w:val="none"/>
          <w:lang w:eastAsia="zh-CN"/>
        </w:rPr>
        <w:t>，</w:t>
      </w:r>
      <w:r>
        <w:rPr>
          <w:rFonts w:hint="eastAsia" w:ascii="宋体" w:eastAsia="宋体"/>
          <w:color w:val="auto"/>
          <w:sz w:val="24"/>
          <w:szCs w:val="24"/>
          <w:highlight w:val="none"/>
          <w:lang w:val="en-US" w:eastAsia="zh-CN"/>
        </w:rPr>
        <w:t>包括但不限于含对数、材料询价、踏勘现场等与审核有关的全部工作</w:t>
      </w:r>
      <w:r>
        <w:rPr>
          <w:rFonts w:hint="eastAsia" w:ascii="宋体" w:eastAsia="宋体"/>
          <w:color w:val="auto"/>
          <w:sz w:val="24"/>
          <w:szCs w:val="24"/>
          <w:highlight w:val="none"/>
          <w:lang w:eastAsia="zh-CN"/>
        </w:rPr>
        <w:t>；</w:t>
      </w:r>
      <w:r>
        <w:rPr>
          <w:rFonts w:hint="eastAsia" w:ascii="宋体" w:eastAsia="宋体"/>
          <w:color w:val="auto"/>
          <w:sz w:val="24"/>
          <w:szCs w:val="24"/>
          <w:highlight w:val="none"/>
          <w:lang w:val="en-US" w:eastAsia="zh-CN"/>
        </w:rPr>
        <w:t>负责</w:t>
      </w:r>
      <w:r>
        <w:rPr>
          <w:rFonts w:hint="eastAsia" w:ascii="宋体" w:eastAsia="宋体"/>
          <w:color w:val="auto"/>
          <w:sz w:val="24"/>
          <w:szCs w:val="24"/>
          <w:highlight w:val="none"/>
        </w:rPr>
        <w:t>施工现场的工程量计量、工程变更工程量及价款、现场签证工程量及价款、工程联系单工程量及价款；搜集月度材料信息，编制/审核月度工程量及材差价款；现场签证涉及造价，就工程变更所发生的工程量及时进行签认。就提出的工程变更（包括：图纸会审、图纸修改、工程洽商等）对造价造成的影响提交较准确的计算分析。协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就工程变更涉及的价款与施工方协商，确认变更价款；负责定期收集和整理有关设备材料的市场价格动态信息并提供给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，对施工方案、材料选用提供尽可能节省成本的建议，如发生设计变更、材料或设备价格的浮动等，及时向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方提供书面意见；每月提交一份工程成本控制报告。根据截止至当月所签订的施工合同、完成的工程量、确认的变更、确认的材料设备的价格及材料设备价格的走势等资料对项目的最终造价进行预测；按</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参与施工现场工程例会、图纸会审及与投资控制有关的专题会等；审核所有涉及造价的工程技术文件并分析造价影响；项目负责人（或项目负责人委派专业负责人）须按时参加每周的监理例会；负责过程动态成本盘点（每月一次）</w:t>
      </w:r>
    </w:p>
    <w:p w14:paraId="4329CE6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（4）竣工结算阶段：</w:t>
      </w:r>
    </w:p>
    <w:p w14:paraId="4650B0BD">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配合搜集和整理结算依据资料，负责各项工程竣工结算的审核工作，出具建设工程竣工结算审核报告、竣工项目可行性后评估分析。确保结算报告的完整性、合理性、正确性；负责已完工程的结算审核，收到项目承包单位提交经监理审核的完整工程竣工（完工）结算资料后</w:t>
      </w:r>
      <w:r>
        <w:rPr>
          <w:rFonts w:hint="eastAsia" w:ascii="宋体" w:eastAsia="宋体"/>
          <w:color w:val="auto"/>
          <w:sz w:val="24"/>
          <w:szCs w:val="24"/>
          <w:highlight w:val="none"/>
          <w:lang w:val="en-US" w:eastAsia="zh-CN"/>
        </w:rPr>
        <w:t>3</w:t>
      </w:r>
      <w:r>
        <w:rPr>
          <w:rFonts w:hint="eastAsia" w:ascii="宋体" w:eastAsia="宋体"/>
          <w:color w:val="auto"/>
          <w:sz w:val="24"/>
          <w:szCs w:val="24"/>
          <w:highlight w:val="none"/>
        </w:rPr>
        <w:t>周内予以审核并提出完整的核实意见，与项目承包单位进行对数确认，自收到正式结算资料后</w:t>
      </w:r>
      <w:r>
        <w:rPr>
          <w:rFonts w:hint="eastAsia" w:ascii="宋体" w:eastAsia="宋体"/>
          <w:color w:val="auto"/>
          <w:sz w:val="24"/>
          <w:szCs w:val="24"/>
          <w:highlight w:val="none"/>
          <w:lang w:val="en-US" w:eastAsia="zh-CN"/>
        </w:rPr>
        <w:t>8</w:t>
      </w:r>
      <w:r>
        <w:rPr>
          <w:rFonts w:hint="eastAsia" w:ascii="宋体" w:eastAsia="宋体"/>
          <w:color w:val="auto"/>
          <w:sz w:val="24"/>
          <w:szCs w:val="24"/>
          <w:highlight w:val="none"/>
        </w:rPr>
        <w:t>周内完成对数及出正式结算审核报告。在结算完成15个工作日内提交工程造价后评估报告，包括对项目及实施过程的描述、概算、预算、合同价结算价进行比较，对各阶段时期的造价对比分析，按每完成一个节点出一个分析报告，对产生差异的原因及投资控制的效果进行分析；如因竣工结算审核存在异议等客观原因导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方审核期限延长的，由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方提出书面延长申请，经</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方书面确认后同意顺延。</w:t>
      </w:r>
    </w:p>
    <w:p w14:paraId="262F168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（5）决算阶段：</w:t>
      </w:r>
    </w:p>
    <w:p w14:paraId="671B176A">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配合搜集和整理决算依据资料，配合完成本项目投资控制管理建档工作。</w:t>
      </w:r>
    </w:p>
    <w:p w14:paraId="7B2C1DEB">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（6）审计阶段：</w:t>
      </w:r>
    </w:p>
    <w:p w14:paraId="270E6504">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配合审计部门的工程造价审计工作等相关配合服务工作，配合财务工作。配合搜集和整理决算依据资料，配合完成整个项目投资控制管理建档工作。</w:t>
      </w:r>
    </w:p>
    <w:p w14:paraId="68E5009B">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（7）负责在规定的服务周期内完成项目或工程的前期费用、工程相关费等费用的预算价编制</w:t>
      </w:r>
      <w:r>
        <w:rPr>
          <w:rFonts w:hint="eastAsia" w:ascii="宋体" w:eastAsia="宋体"/>
          <w:color w:val="auto"/>
          <w:sz w:val="24"/>
          <w:szCs w:val="24"/>
          <w:highlight w:val="none"/>
          <w:lang w:val="en-US" w:eastAsia="zh-CN"/>
        </w:rPr>
        <w:t>或审核</w:t>
      </w:r>
      <w:r>
        <w:rPr>
          <w:rFonts w:hint="eastAsia" w:ascii="宋体" w:eastAsia="宋体"/>
          <w:color w:val="auto"/>
          <w:sz w:val="24"/>
          <w:szCs w:val="24"/>
          <w:highlight w:val="none"/>
        </w:rPr>
        <w:t>、结算价审核工作。</w:t>
      </w:r>
    </w:p>
    <w:p w14:paraId="4EB85D34">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前期费用包括但不限于：前期咨询费、勘察、设计费、土方地形图和控制点费用、七通一平工程费、清表费用、前期服务费、临时设施建造费（施工围墙）等；</w:t>
      </w:r>
    </w:p>
    <w:p w14:paraId="62BB9828">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工程相关费包括但不限于监理费、专项检测费、监测费、材料检验试验费、面积测绘等。</w:t>
      </w:r>
    </w:p>
    <w:p w14:paraId="0970A431">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（8）</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方提交的所有造价文件格式均需满足</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的要求。</w:t>
      </w:r>
    </w:p>
    <w:p w14:paraId="1D1D8BDE">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（9）须提供</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交代的其他造价咨询服务及投资控制事项（含司法鉴定服务）。</w:t>
      </w:r>
    </w:p>
    <w:p w14:paraId="6A3766AA">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（10）</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方须按</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方要求指派项目负责人（注册造价工程师或注册一级造价工程师）定期到项目现场进行沟通对接，以一星期为一周期，每星期不少于一天(8小时)。</w:t>
      </w:r>
    </w:p>
    <w:p w14:paraId="65268E1D">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（11）负责建立合同、付款、变更签证、预结算等管理台账。</w:t>
      </w:r>
    </w:p>
    <w:p w14:paraId="763897EA">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（12）向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提出专业性建议并提供相关的服务，协助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解决合同纠纷。</w:t>
      </w:r>
    </w:p>
    <w:p w14:paraId="34F6C80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（13）对于发生的变更、签证、索赔、反索赔等情况及时与监理单位、</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方进行现场核实，及时进行预估、核算、核对，做到整个过程记录清楚，依据充分，计算清晰，结果明确。因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方对现场发生情况没有及时解决而造成工程造价不完整，结算有争议，给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带来损失，由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方按造价咨询服务暂定总价20%支付违约金，并赔偿由此给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造成的全部损失。</w:t>
      </w:r>
    </w:p>
    <w:p w14:paraId="33EEAB5C">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（14</w:t>
      </w:r>
      <w:bookmarkStart w:id="5" w:name="_Hlk169615506"/>
      <w:r>
        <w:rPr>
          <w:rFonts w:hint="eastAsia" w:ascii="宋体" w:eastAsia="宋体"/>
          <w:color w:val="auto"/>
          <w:sz w:val="24"/>
          <w:szCs w:val="24"/>
          <w:highlight w:val="none"/>
        </w:rPr>
        <w:t>）</w:t>
      </w:r>
      <w:bookmarkEnd w:id="5"/>
      <w:r>
        <w:rPr>
          <w:rFonts w:hint="eastAsia" w:ascii="宋体" w:eastAsia="宋体"/>
          <w:color w:val="auto"/>
          <w:sz w:val="24"/>
          <w:szCs w:val="24"/>
          <w:highlight w:val="none"/>
        </w:rPr>
        <w:t>根据</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方要求，提供其他相关服务。</w:t>
      </w:r>
    </w:p>
    <w:p w14:paraId="696BDB35">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方有权对本项目的服务范围和工作内容进行适当调整。</w:t>
      </w:r>
    </w:p>
    <w:p w14:paraId="48C6B5B3">
      <w:pPr>
        <w:pageBreakBefore w:val="0"/>
        <w:widowControl w:val="0"/>
        <w:kinsoku/>
        <w:wordWrap/>
        <w:overflowPunct/>
        <w:topLinePunct w:val="0"/>
        <w:bidi w:val="0"/>
        <w:spacing w:line="500" w:lineRule="exact"/>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三、工作要求</w:t>
      </w:r>
    </w:p>
    <w:p w14:paraId="582E36D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方每项服务工作完成后，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出具有关成果文件(包括电子和文本文件)，全部服务工作完成后，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出具全部工作成果总结文件，作为该工程造价咨询服务费结算依据使用。</w:t>
      </w:r>
    </w:p>
    <w:p w14:paraId="71D716C2">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（2）在审核过程中，对于重大项目和项目工程的重要部分为便于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工作的跟进，</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方须向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汇报工作进程及遇到的问题。</w:t>
      </w:r>
    </w:p>
    <w:p w14:paraId="3495C6B2">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（3）</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方将根据设计图纸、国家的有关政策、规范、标准和其它有关规定，对</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委托的业务实施必要的工作程序，出具合法、真实、准确、公允的业务报告，提供优质专业技术服务。</w:t>
      </w:r>
    </w:p>
    <w:p w14:paraId="58D8DA3E">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（4）</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方编制的成果文件包括但不限于软件版、EXCEL、XML（确保上述文件符合广州公共资源交易中心发布标准和相关要求）等以及</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要求的格式文件。</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方须向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提供三套广联达软件（含算量、计价），在本合同终止前能正常使用，软件使用费包含在本合同价款中。</w:t>
      </w:r>
    </w:p>
    <w:p w14:paraId="25CF6A09">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（5）成果文件的构成必须清晰、便于核对，对工程量较大和主要的部位要加以说明。</w:t>
      </w:r>
    </w:p>
    <w:p w14:paraId="3F5E5B4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（6</w:t>
      </w:r>
      <w:bookmarkStart w:id="6" w:name="_Hlk169615515"/>
      <w:r>
        <w:rPr>
          <w:rFonts w:hint="eastAsia" w:ascii="宋体" w:eastAsia="宋体"/>
          <w:color w:val="auto"/>
          <w:sz w:val="24"/>
          <w:szCs w:val="24"/>
          <w:highlight w:val="none"/>
        </w:rPr>
        <w:t>）</w:t>
      </w:r>
      <w:bookmarkEnd w:id="6"/>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方提供的成果文件须由经办人签名，并加盖</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方法人公章，不允许使用业务章。</w:t>
      </w:r>
    </w:p>
    <w:p w14:paraId="31B4968E">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（7）</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方应在收到</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方以书面形式提出的建议或者异议后【</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】日内给予书面答复。逾期未答复的，由此造成的工作延误及损失由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w:t>
      </w:r>
    </w:p>
    <w:p w14:paraId="156A73A6">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（8）保证</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方人员均具有较高的业务素质和职业操守，能够切实维护</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的权益（注：造价咨询服务人员须经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考核同意后方能使用）。</w:t>
      </w:r>
    </w:p>
    <w:p w14:paraId="176A354E">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（9）</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方自备工具到项目施工现场了解情况。</w:t>
      </w:r>
    </w:p>
    <w:p w14:paraId="3229E643">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（10）对有争议或不明确的施工部位，协助</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方组织施工单位现场核实和协调解决。</w:t>
      </w:r>
    </w:p>
    <w:p w14:paraId="24B7136D">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（11）投资控制在上级主管部门批准的项目工程投资概算内。</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方的服务应按</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要求提供建设项目造价咨询服务，不得出现预算超概算的情况。</w:t>
      </w:r>
    </w:p>
    <w:p w14:paraId="6394A37B">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（12）</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方应当依约履行建设工程造价咨询合同中约定的义务，因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方的单方过错造成的经济损失，应当向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进行赔偿。</w:t>
      </w:r>
    </w:p>
    <w:p w14:paraId="72E4764B">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（13）</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方对</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或第三人所提出的问题不能及时核对或答复，导致合同不能全部或部分履行，</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方应承担责任。</w:t>
      </w:r>
    </w:p>
    <w:tbl>
      <w:tblPr>
        <w:tblStyle w:val="42"/>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1"/>
        <w:gridCol w:w="1563"/>
        <w:gridCol w:w="1992"/>
        <w:gridCol w:w="2702"/>
        <w:gridCol w:w="1894"/>
      </w:tblGrid>
      <w:tr w14:paraId="01D8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right"/>
        </w:trPr>
        <w:tc>
          <w:tcPr>
            <w:tcW w:w="5000" w:type="pct"/>
            <w:gridSpan w:val="5"/>
            <w:tcBorders>
              <w:top w:val="nil"/>
              <w:left w:val="nil"/>
              <w:bottom w:val="nil"/>
              <w:right w:val="nil"/>
            </w:tcBorders>
            <w:noWrap/>
            <w:tcMar>
              <w:top w:w="15" w:type="dxa"/>
              <w:left w:w="15" w:type="dxa"/>
              <w:right w:w="15" w:type="dxa"/>
            </w:tcMar>
            <w:vAlign w:val="center"/>
          </w:tcPr>
          <w:p w14:paraId="5C148939">
            <w:pPr>
              <w:pageBreakBefore w:val="0"/>
              <w:widowControl/>
              <w:kinsoku/>
              <w:wordWrap/>
              <w:overflowPunct/>
              <w:topLinePunct w:val="0"/>
              <w:bidi w:val="0"/>
              <w:spacing w:line="500" w:lineRule="exact"/>
              <w:ind w:firstLine="480" w:firstLineChars="200"/>
              <w:textAlignment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（14）</w:t>
            </w:r>
            <w:r>
              <w:rPr>
                <w:rFonts w:hint="eastAsia" w:ascii="宋体" w:eastAsia="宋体" w:cs="宋体"/>
                <w:color w:val="auto"/>
                <w:kern w:val="0"/>
                <w:sz w:val="24"/>
                <w:szCs w:val="24"/>
                <w:highlight w:val="none"/>
                <w:lang w:eastAsia="zh-CN"/>
              </w:rPr>
              <w:t>乙</w:t>
            </w:r>
            <w:r>
              <w:rPr>
                <w:rFonts w:hint="eastAsia" w:ascii="宋体" w:eastAsia="宋体" w:cs="宋体"/>
                <w:color w:val="auto"/>
                <w:kern w:val="0"/>
                <w:sz w:val="24"/>
                <w:szCs w:val="24"/>
                <w:highlight w:val="none"/>
              </w:rPr>
              <w:t>方工作时限要求：</w:t>
            </w:r>
            <w:r>
              <w:rPr>
                <w:rFonts w:hint="eastAsia" w:ascii="宋体" w:eastAsia="宋体" w:cs="宋体"/>
                <w:color w:val="auto"/>
                <w:sz w:val="24"/>
                <w:szCs w:val="24"/>
                <w:highlight w:val="none"/>
              </w:rPr>
              <w:t>下述工作时限要求仅作为一般性的最低要求，</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方须根据</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方需要，采取各种赶工措施（包括加班加点，增派人手等），确保能够按照</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规定的时限来完成工作并提交成果文件。</w:t>
            </w:r>
          </w:p>
        </w:tc>
      </w:tr>
      <w:tr w14:paraId="2778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right"/>
        </w:trPr>
        <w:tc>
          <w:tcPr>
            <w:tcW w:w="4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6C960">
            <w:pPr>
              <w:pageBreakBefore w:val="0"/>
              <w:widowControl/>
              <w:kinsoku/>
              <w:wordWrap/>
              <w:overflowPunct/>
              <w:topLinePunct w:val="0"/>
              <w:bidi w:val="0"/>
              <w:spacing w:line="500" w:lineRule="exact"/>
              <w:jc w:val="center"/>
              <w:textAlignment w:val="center"/>
              <w:rPr>
                <w:rFonts w:ascii="宋体" w:eastAsia="宋体" w:cs="宋体"/>
                <w:b/>
                <w:bCs/>
                <w:color w:val="auto"/>
                <w:sz w:val="24"/>
                <w:szCs w:val="24"/>
                <w:highlight w:val="none"/>
              </w:rPr>
            </w:pPr>
            <w:r>
              <w:rPr>
                <w:rFonts w:hint="eastAsia" w:ascii="宋体" w:eastAsia="宋体" w:cs="宋体"/>
                <w:b/>
                <w:bCs/>
                <w:color w:val="auto"/>
                <w:kern w:val="0"/>
                <w:sz w:val="24"/>
                <w:szCs w:val="24"/>
                <w:highlight w:val="none"/>
              </w:rPr>
              <w:t>序号</w:t>
            </w:r>
          </w:p>
        </w:tc>
        <w:tc>
          <w:tcPr>
            <w:tcW w:w="8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2447A">
            <w:pPr>
              <w:pageBreakBefore w:val="0"/>
              <w:widowControl/>
              <w:kinsoku/>
              <w:wordWrap/>
              <w:overflowPunct/>
              <w:topLinePunct w:val="0"/>
              <w:bidi w:val="0"/>
              <w:spacing w:line="500" w:lineRule="exact"/>
              <w:jc w:val="center"/>
              <w:textAlignment w:val="center"/>
              <w:rPr>
                <w:rFonts w:ascii="宋体" w:eastAsia="宋体" w:cs="宋体"/>
                <w:b/>
                <w:bCs/>
                <w:color w:val="auto"/>
                <w:sz w:val="24"/>
                <w:szCs w:val="24"/>
                <w:highlight w:val="none"/>
              </w:rPr>
            </w:pPr>
            <w:r>
              <w:rPr>
                <w:rFonts w:hint="eastAsia" w:ascii="宋体" w:eastAsia="宋体" w:cs="宋体"/>
                <w:b/>
                <w:bCs/>
                <w:color w:val="auto"/>
                <w:kern w:val="0"/>
                <w:sz w:val="24"/>
                <w:szCs w:val="24"/>
                <w:highlight w:val="none"/>
              </w:rPr>
              <w:t>工作阶段</w:t>
            </w:r>
          </w:p>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0A22C">
            <w:pPr>
              <w:pageBreakBefore w:val="0"/>
              <w:widowControl/>
              <w:kinsoku/>
              <w:wordWrap/>
              <w:overflowPunct/>
              <w:topLinePunct w:val="0"/>
              <w:bidi w:val="0"/>
              <w:spacing w:line="500" w:lineRule="exact"/>
              <w:jc w:val="center"/>
              <w:textAlignment w:val="center"/>
              <w:rPr>
                <w:rFonts w:ascii="宋体" w:eastAsia="宋体" w:cs="宋体"/>
                <w:b/>
                <w:bCs/>
                <w:color w:val="auto"/>
                <w:sz w:val="24"/>
                <w:szCs w:val="24"/>
                <w:highlight w:val="none"/>
              </w:rPr>
            </w:pPr>
            <w:r>
              <w:rPr>
                <w:rFonts w:hint="eastAsia" w:ascii="宋体" w:eastAsia="宋体" w:cs="宋体"/>
                <w:b/>
                <w:bCs/>
                <w:color w:val="auto"/>
                <w:kern w:val="0"/>
                <w:sz w:val="24"/>
                <w:szCs w:val="24"/>
                <w:highlight w:val="none"/>
              </w:rPr>
              <w:t>工作提交成果</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44260">
            <w:pPr>
              <w:pageBreakBefore w:val="0"/>
              <w:widowControl/>
              <w:kinsoku/>
              <w:wordWrap/>
              <w:overflowPunct/>
              <w:topLinePunct w:val="0"/>
              <w:bidi w:val="0"/>
              <w:spacing w:line="500" w:lineRule="exact"/>
              <w:jc w:val="center"/>
              <w:textAlignment w:val="center"/>
              <w:rPr>
                <w:rFonts w:ascii="宋体" w:eastAsia="宋体" w:cs="宋体"/>
                <w:b/>
                <w:bCs/>
                <w:color w:val="auto"/>
                <w:sz w:val="24"/>
                <w:szCs w:val="24"/>
                <w:highlight w:val="none"/>
              </w:rPr>
            </w:pPr>
            <w:r>
              <w:rPr>
                <w:rFonts w:hint="eastAsia" w:ascii="宋体" w:eastAsia="宋体" w:cs="宋体"/>
                <w:b/>
                <w:bCs/>
                <w:color w:val="auto"/>
                <w:kern w:val="0"/>
                <w:sz w:val="24"/>
                <w:szCs w:val="24"/>
                <w:highlight w:val="none"/>
              </w:rPr>
              <w:t>提交成果时限要求</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8ADEF">
            <w:pPr>
              <w:pageBreakBefore w:val="0"/>
              <w:widowControl/>
              <w:kinsoku/>
              <w:wordWrap/>
              <w:overflowPunct/>
              <w:topLinePunct w:val="0"/>
              <w:bidi w:val="0"/>
              <w:spacing w:line="500" w:lineRule="exact"/>
              <w:jc w:val="center"/>
              <w:textAlignment w:val="center"/>
              <w:rPr>
                <w:rFonts w:ascii="宋体" w:eastAsia="宋体" w:cs="宋体"/>
                <w:b/>
                <w:bCs/>
                <w:color w:val="auto"/>
                <w:sz w:val="24"/>
                <w:szCs w:val="24"/>
                <w:highlight w:val="none"/>
              </w:rPr>
            </w:pPr>
            <w:r>
              <w:rPr>
                <w:rFonts w:hint="eastAsia" w:ascii="宋体" w:eastAsia="宋体" w:cs="宋体"/>
                <w:b/>
                <w:bCs/>
                <w:color w:val="auto"/>
                <w:kern w:val="0"/>
                <w:sz w:val="24"/>
                <w:szCs w:val="24"/>
                <w:highlight w:val="none"/>
              </w:rPr>
              <w:t>备注</w:t>
            </w:r>
          </w:p>
        </w:tc>
      </w:tr>
      <w:tr w14:paraId="0648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right"/>
        </w:trPr>
        <w:tc>
          <w:tcPr>
            <w:tcW w:w="473" w:type="pc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CB4ED0C">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1</w:t>
            </w:r>
          </w:p>
        </w:tc>
        <w:tc>
          <w:tcPr>
            <w:tcW w:w="868" w:type="pc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6613E4A">
            <w:pPr>
              <w:pageBreakBefore w:val="0"/>
              <w:widowControl/>
              <w:kinsoku/>
              <w:wordWrap/>
              <w:overflowPunct/>
              <w:topLinePunct w:val="0"/>
              <w:bidi w:val="0"/>
              <w:spacing w:line="500" w:lineRule="exact"/>
              <w:jc w:val="center"/>
              <w:textAlignment w:val="center"/>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施工图</w:t>
            </w:r>
          </w:p>
          <w:p w14:paraId="2708D3C9">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设计阶段</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A723">
            <w:pPr>
              <w:pageBreakBefore w:val="0"/>
              <w:widowControl/>
              <w:kinsoku/>
              <w:wordWrap/>
              <w:overflowPunct/>
              <w:topLinePunct w:val="0"/>
              <w:bidi w:val="0"/>
              <w:spacing w:line="500" w:lineRule="exact"/>
              <w:jc w:val="left"/>
              <w:textAlignment w:val="center"/>
              <w:rPr>
                <w:rFonts w:ascii="宋体" w:eastAsia="宋体" w:cs="宋体"/>
                <w:color w:val="auto"/>
                <w:kern w:val="0"/>
                <w:sz w:val="24"/>
                <w:szCs w:val="24"/>
                <w:highlight w:val="none"/>
                <w:lang w:val="en-US" w:eastAsia="zh-CN" w:bidi="ar-SA"/>
              </w:rPr>
            </w:pPr>
            <w:r>
              <w:rPr>
                <w:rFonts w:hint="eastAsia" w:ascii="宋体" w:eastAsia="宋体" w:cs="宋体"/>
                <w:color w:val="auto"/>
                <w:kern w:val="0"/>
                <w:sz w:val="24"/>
                <w:szCs w:val="24"/>
                <w:highlight w:val="none"/>
              </w:rPr>
              <w:t>编制项目执行版目标成本</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1BE0">
            <w:pPr>
              <w:pageBreakBefore w:val="0"/>
              <w:widowControl/>
              <w:kinsoku/>
              <w:wordWrap/>
              <w:overflowPunct/>
              <w:topLinePunct w:val="0"/>
              <w:bidi w:val="0"/>
              <w:spacing w:line="500" w:lineRule="exact"/>
              <w:jc w:val="left"/>
              <w:textAlignment w:val="center"/>
              <w:rPr>
                <w:rFonts w:ascii="宋体" w:eastAsia="宋体" w:cs="宋体"/>
                <w:color w:val="auto"/>
                <w:kern w:val="0"/>
                <w:sz w:val="24"/>
                <w:szCs w:val="24"/>
                <w:highlight w:val="none"/>
                <w:lang w:val="en-US" w:eastAsia="zh-CN" w:bidi="ar-SA"/>
              </w:rPr>
            </w:pPr>
            <w:r>
              <w:rPr>
                <w:rFonts w:hint="eastAsia" w:ascii="宋体" w:eastAsia="宋体" w:cs="宋体"/>
                <w:color w:val="auto"/>
                <w:kern w:val="0"/>
                <w:sz w:val="24"/>
                <w:szCs w:val="24"/>
                <w:highlight w:val="none"/>
              </w:rPr>
              <w:t>签订咨询服务合同后20天内</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A33E4">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50D6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right"/>
        </w:trPr>
        <w:tc>
          <w:tcPr>
            <w:tcW w:w="47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D620F">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2</w:t>
            </w:r>
          </w:p>
        </w:tc>
        <w:tc>
          <w:tcPr>
            <w:tcW w:w="86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D4315">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招标阶段</w:t>
            </w:r>
          </w:p>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9C52B">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招标控制价审核报告</w:t>
            </w:r>
          </w:p>
        </w:tc>
        <w:tc>
          <w:tcPr>
            <w:tcW w:w="15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AFBB6">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方提交完整的资料后5天内</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A21F4">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7360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right"/>
        </w:trPr>
        <w:tc>
          <w:tcPr>
            <w:tcW w:w="47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CAC88"/>
        </w:tc>
        <w:tc>
          <w:tcPr>
            <w:tcW w:w="86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67155"/>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05376">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招标文件及合同的审核</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DAFCE">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方提交完整资料后5天内</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CECA6">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725C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right"/>
        </w:trPr>
        <w:tc>
          <w:tcPr>
            <w:tcW w:w="47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E5C76"/>
        </w:tc>
        <w:tc>
          <w:tcPr>
            <w:tcW w:w="86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1ED15"/>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054C4">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报价文件的审核</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FD7EA">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方提交完整的资料后5天内</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F0260">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1850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jc w:val="right"/>
        </w:trPr>
        <w:tc>
          <w:tcPr>
            <w:tcW w:w="473" w:type="pct"/>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CE6067D">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3</w:t>
            </w:r>
          </w:p>
        </w:tc>
        <w:tc>
          <w:tcPr>
            <w:tcW w:w="868" w:type="pct"/>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6A7390B">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施工阶段</w:t>
            </w:r>
          </w:p>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A8689">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施工图预算审核报告</w:t>
            </w:r>
          </w:p>
        </w:tc>
        <w:tc>
          <w:tcPr>
            <w:tcW w:w="15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FBD58">
            <w:pPr>
              <w:pageBreakBefore w:val="0"/>
              <w:widowControl/>
              <w:kinsoku/>
              <w:wordWrap/>
              <w:overflowPunct/>
              <w:topLinePunct w:val="0"/>
              <w:bidi w:val="0"/>
              <w:spacing w:line="500" w:lineRule="exact"/>
              <w:jc w:val="left"/>
              <w:textAlignment w:val="center"/>
              <w:rPr>
                <w:rFonts w:ascii="宋体" w:eastAsia="宋体"/>
                <w:color w:val="auto"/>
                <w:kern w:val="0"/>
                <w:sz w:val="24"/>
                <w:szCs w:val="24"/>
                <w:highlight w:val="none"/>
              </w:rPr>
            </w:pP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方提供</w:t>
            </w:r>
            <w:r>
              <w:rPr>
                <w:rFonts w:hint="eastAsia" w:ascii="宋体" w:eastAsia="宋体"/>
                <w:color w:val="auto"/>
                <w:kern w:val="0"/>
                <w:sz w:val="24"/>
                <w:szCs w:val="24"/>
                <w:highlight w:val="none"/>
              </w:rPr>
              <w:t>完整预算资料后</w:t>
            </w:r>
            <w:r>
              <w:rPr>
                <w:rFonts w:hint="eastAsia" w:ascii="宋体" w:eastAsia="宋体"/>
                <w:color w:val="auto"/>
                <w:kern w:val="0"/>
                <w:sz w:val="24"/>
                <w:szCs w:val="24"/>
                <w:highlight w:val="none"/>
                <w:lang w:val="en-US" w:eastAsia="zh-CN"/>
              </w:rPr>
              <w:t>15天</w:t>
            </w:r>
            <w:r>
              <w:rPr>
                <w:rFonts w:hint="eastAsia" w:ascii="宋体" w:eastAsia="宋体"/>
                <w:color w:val="auto"/>
                <w:kern w:val="0"/>
                <w:sz w:val="24"/>
                <w:szCs w:val="24"/>
                <w:highlight w:val="none"/>
              </w:rPr>
              <w:t>内出完整的核实意见</w:t>
            </w:r>
          </w:p>
          <w:p w14:paraId="4A914392">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olor w:val="auto"/>
                <w:kern w:val="0"/>
                <w:sz w:val="24"/>
                <w:szCs w:val="24"/>
                <w:highlight w:val="none"/>
              </w:rPr>
              <w:t>2.</w:t>
            </w: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方提供</w:t>
            </w:r>
            <w:r>
              <w:rPr>
                <w:rFonts w:hint="eastAsia" w:ascii="宋体" w:eastAsia="宋体"/>
                <w:color w:val="auto"/>
                <w:kern w:val="0"/>
                <w:sz w:val="24"/>
                <w:szCs w:val="24"/>
                <w:highlight w:val="none"/>
              </w:rPr>
              <w:t>完整预算资料后</w:t>
            </w:r>
            <w:r>
              <w:rPr>
                <w:rFonts w:hint="eastAsia" w:ascii="宋体" w:eastAsia="宋体"/>
                <w:color w:val="auto"/>
                <w:kern w:val="0"/>
                <w:sz w:val="24"/>
                <w:szCs w:val="24"/>
                <w:highlight w:val="none"/>
                <w:lang w:val="en-US" w:eastAsia="zh-CN"/>
              </w:rPr>
              <w:t>21天</w:t>
            </w:r>
            <w:r>
              <w:rPr>
                <w:rFonts w:hint="eastAsia" w:ascii="宋体" w:eastAsia="宋体"/>
                <w:color w:val="auto"/>
                <w:kern w:val="0"/>
                <w:sz w:val="24"/>
                <w:szCs w:val="24"/>
                <w:highlight w:val="none"/>
              </w:rPr>
              <w:t>内完成对数及出正式预算审核报告</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B3B83">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olor w:val="auto"/>
                <w:kern w:val="0"/>
                <w:sz w:val="24"/>
                <w:szCs w:val="24"/>
                <w:highlight w:val="none"/>
              </w:rPr>
              <w:t>如存在对数扯皮等客观原因的，由</w:t>
            </w:r>
            <w:r>
              <w:rPr>
                <w:rFonts w:hint="eastAsia" w:ascii="宋体" w:eastAsia="宋体"/>
                <w:color w:val="auto"/>
                <w:kern w:val="0"/>
                <w:sz w:val="24"/>
                <w:szCs w:val="24"/>
                <w:highlight w:val="none"/>
                <w:lang w:eastAsia="zh-CN"/>
              </w:rPr>
              <w:t>乙</w:t>
            </w:r>
            <w:r>
              <w:rPr>
                <w:rFonts w:hint="eastAsia" w:ascii="宋体" w:eastAsia="宋体"/>
                <w:color w:val="auto"/>
                <w:kern w:val="0"/>
                <w:sz w:val="24"/>
                <w:szCs w:val="24"/>
                <w:highlight w:val="none"/>
              </w:rPr>
              <w:t>方提出书面延长申请，经</w:t>
            </w:r>
            <w:r>
              <w:rPr>
                <w:rFonts w:hint="eastAsia" w:ascii="宋体" w:eastAsia="宋体"/>
                <w:color w:val="auto"/>
                <w:kern w:val="0"/>
                <w:sz w:val="24"/>
                <w:szCs w:val="24"/>
                <w:highlight w:val="none"/>
                <w:lang w:eastAsia="zh-CN"/>
              </w:rPr>
              <w:t>甲</w:t>
            </w:r>
            <w:r>
              <w:rPr>
                <w:rFonts w:hint="eastAsia" w:ascii="宋体" w:eastAsia="宋体"/>
                <w:color w:val="auto"/>
                <w:kern w:val="0"/>
                <w:sz w:val="24"/>
                <w:szCs w:val="24"/>
                <w:highlight w:val="none"/>
              </w:rPr>
              <w:t>方确认后同意顺延</w:t>
            </w:r>
          </w:p>
        </w:tc>
      </w:tr>
      <w:tr w14:paraId="0652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right"/>
        </w:trPr>
        <w:tc>
          <w:tcPr>
            <w:tcW w:w="473"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3D63CB4C"/>
        </w:tc>
        <w:tc>
          <w:tcPr>
            <w:tcW w:w="868"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524C33D7"/>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8ED79">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成本控制报告</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C413D">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每月7日前提交上月报告成果</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C537E">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19F2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jc w:val="right"/>
        </w:trPr>
        <w:tc>
          <w:tcPr>
            <w:tcW w:w="473"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5E28C70"/>
        </w:tc>
        <w:tc>
          <w:tcPr>
            <w:tcW w:w="868"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F2CF2A8"/>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01A52">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设计变更、签证审核报告</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0B1FA">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方提交完整资料后5天内</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0C4CB">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p>
        </w:tc>
      </w:tr>
      <w:tr w14:paraId="226D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right"/>
        </w:trPr>
        <w:tc>
          <w:tcPr>
            <w:tcW w:w="473"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4E76F9E6"/>
        </w:tc>
        <w:tc>
          <w:tcPr>
            <w:tcW w:w="868" w:type="pct"/>
            <w:vMerge w:val="continue"/>
            <w:tcBorders>
              <w:top w:val="nil"/>
              <w:left w:val="single" w:color="000000" w:sz="4" w:space="0"/>
              <w:bottom w:val="nil"/>
              <w:right w:val="single" w:color="000000" w:sz="4" w:space="0"/>
            </w:tcBorders>
            <w:noWrap/>
            <w:tcMar>
              <w:top w:w="15" w:type="dxa"/>
              <w:left w:w="15" w:type="dxa"/>
              <w:right w:w="15" w:type="dxa"/>
            </w:tcMar>
            <w:vAlign w:val="center"/>
          </w:tcPr>
          <w:p w14:paraId="2EB56788"/>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19DE9">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各类成本控制台账（含设计变更，签证，付款等各类台账）</w:t>
            </w:r>
          </w:p>
        </w:tc>
        <w:tc>
          <w:tcPr>
            <w:tcW w:w="15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B9BE4">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及时更新</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1945D">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r w14:paraId="18CC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jc w:val="right"/>
        </w:trPr>
        <w:tc>
          <w:tcPr>
            <w:tcW w:w="473"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2ABEAE"/>
        </w:tc>
        <w:tc>
          <w:tcPr>
            <w:tcW w:w="868"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8D0C28"/>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6E70A">
            <w:pPr>
              <w:pageBreakBefore w:val="0"/>
              <w:widowControl/>
              <w:kinsoku/>
              <w:wordWrap/>
              <w:overflowPunct/>
              <w:topLinePunct w:val="0"/>
              <w:bidi w:val="0"/>
              <w:spacing w:line="500" w:lineRule="exact"/>
              <w:jc w:val="left"/>
              <w:textAlignment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负责过程动态成本盘点</w:t>
            </w:r>
          </w:p>
        </w:tc>
        <w:tc>
          <w:tcPr>
            <w:tcW w:w="15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B1C8F">
            <w:pPr>
              <w:pageBreakBefore w:val="0"/>
              <w:widowControl/>
              <w:kinsoku/>
              <w:wordWrap/>
              <w:overflowPunct/>
              <w:topLinePunct w:val="0"/>
              <w:bidi w:val="0"/>
              <w:spacing w:line="500" w:lineRule="exact"/>
              <w:jc w:val="left"/>
              <w:textAlignment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每月25日前提交当月成本盘点成果</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C8EC6">
            <w:pPr>
              <w:pageBreakBefore w:val="0"/>
              <w:widowControl/>
              <w:kinsoku/>
              <w:wordWrap/>
              <w:overflowPunct/>
              <w:topLinePunct w:val="0"/>
              <w:bidi w:val="0"/>
              <w:spacing w:line="500" w:lineRule="exact"/>
              <w:jc w:val="left"/>
              <w:textAlignment w:val="center"/>
              <w:rPr>
                <w:rFonts w:ascii="宋体" w:eastAsia="宋体" w:cs="宋体"/>
                <w:color w:val="auto"/>
                <w:kern w:val="0"/>
                <w:sz w:val="24"/>
                <w:szCs w:val="24"/>
                <w:highlight w:val="none"/>
              </w:rPr>
            </w:pPr>
          </w:p>
        </w:tc>
      </w:tr>
      <w:tr w14:paraId="316A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right"/>
        </w:trPr>
        <w:tc>
          <w:tcPr>
            <w:tcW w:w="47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3DE28">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4</w:t>
            </w:r>
          </w:p>
        </w:tc>
        <w:tc>
          <w:tcPr>
            <w:tcW w:w="86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07E2C">
            <w:pPr>
              <w:pageBreakBefore w:val="0"/>
              <w:widowControl/>
              <w:kinsoku/>
              <w:wordWrap/>
              <w:overflowPunct/>
              <w:topLinePunct w:val="0"/>
              <w:bidi w:val="0"/>
              <w:spacing w:line="500" w:lineRule="exact"/>
              <w:jc w:val="center"/>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竣工结算阶段</w:t>
            </w:r>
          </w:p>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453EB">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结算审核报告</w:t>
            </w:r>
          </w:p>
        </w:tc>
        <w:tc>
          <w:tcPr>
            <w:tcW w:w="15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79CC7">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1.在收到完整结算资料后</w:t>
            </w:r>
            <w:r>
              <w:rPr>
                <w:rFonts w:hint="eastAsia" w:ascii="宋体" w:eastAsia="宋体" w:cs="宋体"/>
                <w:color w:val="auto"/>
                <w:kern w:val="0"/>
                <w:sz w:val="24"/>
                <w:szCs w:val="24"/>
                <w:highlight w:val="none"/>
                <w:lang w:val="en-US" w:eastAsia="zh-CN"/>
              </w:rPr>
              <w:t>3</w:t>
            </w:r>
            <w:r>
              <w:rPr>
                <w:rFonts w:hint="eastAsia" w:ascii="宋体" w:eastAsia="宋体" w:cs="宋体"/>
                <w:color w:val="auto"/>
                <w:kern w:val="0"/>
                <w:sz w:val="24"/>
                <w:szCs w:val="24"/>
                <w:highlight w:val="none"/>
              </w:rPr>
              <w:t>周内出完整的核实意见2.自收到完整结算资料后</w:t>
            </w:r>
            <w:r>
              <w:rPr>
                <w:rFonts w:hint="eastAsia" w:ascii="宋体" w:eastAsia="宋体" w:cs="宋体"/>
                <w:color w:val="auto"/>
                <w:kern w:val="0"/>
                <w:sz w:val="24"/>
                <w:szCs w:val="24"/>
                <w:highlight w:val="none"/>
                <w:lang w:val="en-US" w:eastAsia="zh-CN"/>
              </w:rPr>
              <w:t>8</w:t>
            </w:r>
            <w:r>
              <w:rPr>
                <w:rFonts w:hint="eastAsia" w:ascii="宋体" w:eastAsia="宋体" w:cs="宋体"/>
                <w:color w:val="auto"/>
                <w:kern w:val="0"/>
                <w:sz w:val="24"/>
                <w:szCs w:val="24"/>
                <w:highlight w:val="none"/>
              </w:rPr>
              <w:t>周内完成对数及出正式结算审核报告</w:t>
            </w:r>
          </w:p>
        </w:tc>
        <w:tc>
          <w:tcPr>
            <w:tcW w:w="10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77A85">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如因竣工结算审核存在异议等客观原因导致</w:t>
            </w:r>
            <w:r>
              <w:rPr>
                <w:rFonts w:hint="eastAsia" w:ascii="宋体" w:eastAsia="宋体" w:cs="宋体"/>
                <w:color w:val="auto"/>
                <w:kern w:val="0"/>
                <w:sz w:val="24"/>
                <w:szCs w:val="24"/>
                <w:highlight w:val="none"/>
                <w:lang w:eastAsia="zh-CN"/>
              </w:rPr>
              <w:t>乙</w:t>
            </w:r>
            <w:r>
              <w:rPr>
                <w:rFonts w:hint="eastAsia" w:ascii="宋体" w:eastAsia="宋体" w:cs="宋体"/>
                <w:color w:val="auto"/>
                <w:kern w:val="0"/>
                <w:sz w:val="24"/>
                <w:szCs w:val="24"/>
                <w:highlight w:val="none"/>
              </w:rPr>
              <w:t>方审核期限延长的，由</w:t>
            </w:r>
            <w:r>
              <w:rPr>
                <w:rFonts w:hint="eastAsia" w:ascii="宋体" w:eastAsia="宋体" w:cs="宋体"/>
                <w:color w:val="auto"/>
                <w:kern w:val="0"/>
                <w:sz w:val="24"/>
                <w:szCs w:val="24"/>
                <w:highlight w:val="none"/>
                <w:lang w:eastAsia="zh-CN"/>
              </w:rPr>
              <w:t>乙</w:t>
            </w:r>
            <w:r>
              <w:rPr>
                <w:rFonts w:hint="eastAsia" w:ascii="宋体" w:eastAsia="宋体" w:cs="宋体"/>
                <w:color w:val="auto"/>
                <w:kern w:val="0"/>
                <w:sz w:val="24"/>
                <w:szCs w:val="24"/>
                <w:highlight w:val="none"/>
              </w:rPr>
              <w:t>方提出书面延长申请，经</w:t>
            </w: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方确认后同意顺延</w:t>
            </w:r>
          </w:p>
        </w:tc>
      </w:tr>
      <w:tr w14:paraId="683B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right"/>
        </w:trPr>
        <w:tc>
          <w:tcPr>
            <w:tcW w:w="47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F915E"/>
        </w:tc>
        <w:tc>
          <w:tcPr>
            <w:tcW w:w="86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E0E7B"/>
        </w:tc>
        <w:tc>
          <w:tcPr>
            <w:tcW w:w="11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A15CE">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结算后评估报告</w:t>
            </w:r>
          </w:p>
        </w:tc>
        <w:tc>
          <w:tcPr>
            <w:tcW w:w="15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D952B">
            <w:pPr>
              <w:pageBreakBefore w:val="0"/>
              <w:widowControl/>
              <w:kinsoku/>
              <w:wordWrap/>
              <w:overflowPunct/>
              <w:topLinePunct w:val="0"/>
              <w:bidi w:val="0"/>
              <w:spacing w:line="500" w:lineRule="exact"/>
              <w:jc w:val="left"/>
              <w:textAlignment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结算完成后15个工作日内提交工程造价后评估报告</w:t>
            </w:r>
          </w:p>
        </w:tc>
        <w:tc>
          <w:tcPr>
            <w:tcW w:w="10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EDAA3">
            <w:pPr>
              <w:pageBreakBefore w:val="0"/>
              <w:widowControl w:val="0"/>
              <w:kinsoku/>
              <w:wordWrap/>
              <w:overflowPunct/>
              <w:topLinePunct w:val="0"/>
              <w:bidi w:val="0"/>
              <w:spacing w:line="500" w:lineRule="exact"/>
              <w:rPr>
                <w:rFonts w:ascii="宋体" w:eastAsia="宋体" w:cs="宋体"/>
                <w:color w:val="auto"/>
                <w:sz w:val="24"/>
                <w:szCs w:val="24"/>
                <w:highlight w:val="none"/>
              </w:rPr>
            </w:pPr>
          </w:p>
        </w:tc>
      </w:tr>
    </w:tbl>
    <w:p w14:paraId="40720D6E">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b/>
          <w:bCs/>
          <w:color w:val="auto"/>
          <w:sz w:val="24"/>
          <w:szCs w:val="24"/>
          <w:highlight w:val="none"/>
        </w:rPr>
        <w:t xml:space="preserve"> </w:t>
      </w:r>
      <w:r>
        <w:rPr>
          <w:rFonts w:hint="eastAsia" w:ascii="宋体" w:eastAsia="宋体"/>
          <w:color w:val="auto"/>
          <w:sz w:val="24"/>
          <w:szCs w:val="24"/>
          <w:highlight w:val="none"/>
        </w:rPr>
        <w:t xml:space="preserve">   工程造价咨询成果文件应符合：《广东省建设工程造价管理规定》、《建筑工程施工发包与承包计价管理办法》（住房和城乡建设部令第16号）、《广州市建设工程全过程造价技术规程》及国家现行相关法律、行政法规、部门规章、规范性文件、行业规定及广东省、广州市有关规定要求和相应的标准、规范、技术文件。</w:t>
      </w:r>
      <w:r>
        <w:rPr>
          <w:rFonts w:ascii="宋体" w:eastAsia="宋体"/>
          <w:color w:val="auto"/>
          <w:sz w:val="24"/>
          <w:szCs w:val="24"/>
          <w:highlight w:val="none"/>
        </w:rPr>
        <w:t xml:space="preserve"> </w:t>
      </w:r>
    </w:p>
    <w:p w14:paraId="26C797BA">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成果文件的构成必须清晰、便于核对，对工程量较大和主要的部位要加以说明。成果文件由经办人签名，并加盖咨询单位法人公章，不允许使用业务章。</w:t>
      </w:r>
    </w:p>
    <w:p w14:paraId="5DE78577">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bookmarkStart w:id="7" w:name="_Toc25782"/>
      <w:bookmarkStart w:id="8" w:name="_Toc26866147"/>
      <w:r>
        <w:rPr>
          <w:rFonts w:hint="eastAsia" w:ascii="宋体" w:eastAsia="宋体"/>
          <w:b/>
          <w:bCs/>
          <w:color w:val="auto"/>
          <w:sz w:val="24"/>
          <w:szCs w:val="24"/>
          <w:highlight w:val="none"/>
        </w:rPr>
        <w:t>三、服务期限</w:t>
      </w:r>
      <w:bookmarkEnd w:id="7"/>
      <w:bookmarkEnd w:id="8"/>
    </w:p>
    <w:p w14:paraId="70B0406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1.本合同的建设工程造价咨询业务自</w:t>
      </w:r>
      <w:r>
        <w:rPr>
          <w:rFonts w:hint="eastAsia" w:ascii="宋体" w:eastAsia="宋体"/>
          <w:color w:val="auto"/>
          <w:sz w:val="24"/>
          <w:szCs w:val="24"/>
          <w:highlight w:val="none"/>
          <w:lang w:val="en-US" w:eastAsia="zh-CN"/>
        </w:rPr>
        <w:t>签订合同</w:t>
      </w:r>
      <w:r>
        <w:rPr>
          <w:rFonts w:hint="eastAsia" w:ascii="宋体" w:eastAsia="宋体"/>
          <w:color w:val="auto"/>
          <w:sz w:val="24"/>
          <w:szCs w:val="24"/>
          <w:highlight w:val="none"/>
        </w:rPr>
        <w:t>之日起至</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方完成合同约定的全部服务内容时止。</w:t>
      </w:r>
    </w:p>
    <w:p w14:paraId="2E98FC39">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方根据实际情况，有权对本合同履行期进行适当调整，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方必须采取一切有效措施保证按期完成委托服务工作，不得延误，</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方不做其他费用补偿。</w:t>
      </w:r>
    </w:p>
    <w:p w14:paraId="6F7B0E86">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bookmarkStart w:id="9" w:name="_Toc26866148"/>
      <w:bookmarkStart w:id="10" w:name="_Toc23497"/>
      <w:r>
        <w:rPr>
          <w:rFonts w:hint="eastAsia" w:ascii="宋体" w:eastAsia="宋体"/>
          <w:b/>
          <w:bCs/>
          <w:color w:val="auto"/>
          <w:sz w:val="24"/>
          <w:szCs w:val="24"/>
          <w:highlight w:val="none"/>
        </w:rPr>
        <w:t>四</w:t>
      </w:r>
      <w:bookmarkEnd w:id="9"/>
      <w:bookmarkEnd w:id="10"/>
      <w:bookmarkStart w:id="11" w:name="_Toc26866150"/>
      <w:bookmarkStart w:id="12" w:name="_Toc15513"/>
      <w:r>
        <w:rPr>
          <w:rFonts w:hint="eastAsia" w:ascii="宋体" w:eastAsia="宋体"/>
          <w:b/>
          <w:bCs/>
          <w:color w:val="auto"/>
          <w:sz w:val="24"/>
          <w:szCs w:val="24"/>
          <w:highlight w:val="none"/>
        </w:rPr>
        <w:t>、造价咨询服务费计取方式</w:t>
      </w:r>
      <w:bookmarkEnd w:id="11"/>
      <w:bookmarkEnd w:id="12"/>
    </w:p>
    <w:p w14:paraId="3BE7185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1.本项目暂定含税总价：¥</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元，金额大写：人民币</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，其中不含税价：¥</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元，增值税税率为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%，增值税税额</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元。</w:t>
      </w:r>
    </w:p>
    <w:p w14:paraId="1177082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2.本合同价包括</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方履行本合同所必须的所有成本费用（包括调研费等）、预期可得全部收益和</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方应承担的一切税费，包括但不限于派出主要造价</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方人员及后勤保障人员、设备等完成约定期限及咨询范围工作的全部人力、物力费用以及技术资料费、现场管理费、企业管理费、利润和税金等合同所涉及的正常服务和附加本合同暂定咨询服务费。除</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双方另有书面约定外，</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方不得再向甲方收取任何其他费用。在合同履行期间，如遇国家的税率政策调整，合同不含税价格不因国家税率变化而变化，合同含税价格按国家的税率政策进行调整。</w:t>
      </w:r>
    </w:p>
    <w:p w14:paraId="6FE92642">
      <w:pPr>
        <w:pageBreakBefore w:val="0"/>
        <w:widowControl w:val="0"/>
        <w:kinsoku/>
        <w:wordWrap/>
        <w:overflowPunct/>
        <w:topLinePunct w:val="0"/>
        <w:bidi w:val="0"/>
        <w:spacing w:line="500" w:lineRule="exact"/>
        <w:rPr>
          <w:rFonts w:ascii="宋体" w:eastAsia="宋体"/>
          <w:color w:val="auto"/>
          <w:sz w:val="24"/>
          <w:szCs w:val="24"/>
          <w:highlight w:val="none"/>
          <w:lang w:val="en-US" w:eastAsia="zh-CN"/>
        </w:rPr>
      </w:pPr>
      <w:r>
        <w:rPr>
          <w:rFonts w:ascii="宋体" w:eastAsia="宋体"/>
          <w:color w:val="auto"/>
          <w:sz w:val="24"/>
          <w:szCs w:val="24"/>
          <w:highlight w:val="none"/>
        </w:rPr>
        <w:t xml:space="preserve">    </w:t>
      </w:r>
      <w:r>
        <w:rPr>
          <w:rFonts w:hint="eastAsia" w:ascii="宋体" w:eastAsia="宋体"/>
          <w:color w:val="auto"/>
          <w:sz w:val="24"/>
          <w:szCs w:val="24"/>
          <w:highlight w:val="none"/>
        </w:rPr>
        <w:t>3.</w:t>
      </w:r>
      <w:r>
        <w:rPr>
          <w:rFonts w:hint="eastAsia" w:ascii="宋体" w:eastAsia="宋体"/>
          <w:color w:val="auto"/>
          <w:sz w:val="24"/>
          <w:szCs w:val="24"/>
          <w:highlight w:val="none"/>
          <w:lang w:val="en-US" w:eastAsia="zh-CN"/>
        </w:rPr>
        <w:t>合同</w:t>
      </w:r>
      <w:r>
        <w:rPr>
          <w:rFonts w:hint="eastAsia" w:ascii="宋体" w:eastAsia="宋体"/>
          <w:color w:val="auto"/>
          <w:sz w:val="24"/>
          <w:szCs w:val="24"/>
          <w:highlight w:val="none"/>
        </w:rPr>
        <w:t>下浮率=（招标控制价¥</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元-</w:t>
      </w:r>
      <w:r>
        <w:rPr>
          <w:rFonts w:hint="eastAsia" w:ascii="宋体" w:eastAsia="宋体"/>
          <w:color w:val="auto"/>
          <w:sz w:val="24"/>
          <w:szCs w:val="24"/>
          <w:highlight w:val="none"/>
          <w:lang w:val="en-US" w:eastAsia="zh-CN"/>
        </w:rPr>
        <w:t>合同价</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元）/招标控制价¥</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 xml:space="preserve">元=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w:t>
      </w:r>
    </w:p>
    <w:p w14:paraId="1FA695F5">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4.本项目结算价以</w:t>
      </w:r>
      <w:r>
        <w:rPr>
          <w:rFonts w:hint="eastAsia" w:ascii="宋体" w:eastAsia="宋体"/>
          <w:color w:val="auto"/>
          <w:sz w:val="24"/>
          <w:szCs w:val="24"/>
          <w:highlight w:val="none"/>
          <w:lang w:val="en-US" w:eastAsia="zh-CN"/>
        </w:rPr>
        <w:t>施工图</w:t>
      </w:r>
      <w:r>
        <w:rPr>
          <w:rFonts w:hint="eastAsia" w:ascii="宋体" w:eastAsia="宋体"/>
          <w:color w:val="auto"/>
          <w:sz w:val="24"/>
          <w:szCs w:val="24"/>
          <w:highlight w:val="none"/>
        </w:rPr>
        <w:t>预算</w:t>
      </w:r>
      <w:r>
        <w:rPr>
          <w:rFonts w:hint="eastAsia" w:ascii="宋体" w:eastAsia="宋体"/>
          <w:color w:val="auto"/>
          <w:sz w:val="24"/>
          <w:szCs w:val="24"/>
          <w:highlight w:val="none"/>
          <w:lang w:val="en-US" w:eastAsia="zh-CN"/>
        </w:rPr>
        <w:t>送审价</w:t>
      </w:r>
      <w:r>
        <w:rPr>
          <w:rFonts w:hint="eastAsia" w:ascii="宋体" w:eastAsia="宋体"/>
          <w:color w:val="auto"/>
          <w:sz w:val="24"/>
          <w:szCs w:val="24"/>
          <w:highlight w:val="none"/>
        </w:rPr>
        <w:t>为基数，执行《广东省物价局关于调整我省建设工程造价咨询服务收费的复函（粤价函[2011]742号）》第3点“工程预算的编制或审核清单计价法”，以差额定率累进计费方式计算后执行</w:t>
      </w:r>
      <w:r>
        <w:rPr>
          <w:rFonts w:hint="eastAsia" w:ascii="宋体" w:eastAsia="宋体"/>
          <w:color w:val="auto"/>
          <w:sz w:val="24"/>
          <w:szCs w:val="24"/>
          <w:highlight w:val="none"/>
          <w:lang w:val="en-US" w:eastAsia="zh-CN"/>
        </w:rPr>
        <w:t>合同</w:t>
      </w:r>
      <w:r>
        <w:rPr>
          <w:rFonts w:hint="eastAsia" w:ascii="宋体" w:eastAsia="宋体"/>
          <w:color w:val="auto"/>
          <w:sz w:val="24"/>
          <w:szCs w:val="24"/>
          <w:highlight w:val="none"/>
        </w:rPr>
        <w:t>下浮率    %。</w:t>
      </w:r>
    </w:p>
    <w:p w14:paraId="26E4755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5.最终结算以区财政局审定为准。如区财政局对本项目进行决算或审计部门实施审计的，则以区财政局审核结果或审计结果为准，并对服务费用多退少补。</w:t>
      </w:r>
    </w:p>
    <w:p w14:paraId="3EB2050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6.如在工程实施期间，因任何原因造成本合同工程中间停工而导致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方必须二次或多次进出场，本项目合同金额不会因此而有所调整，相关费用亦已经包含在本合同价中。</w:t>
      </w:r>
    </w:p>
    <w:p w14:paraId="7E996FF1">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r>
        <w:rPr>
          <w:rFonts w:hint="eastAsia" w:ascii="宋体" w:eastAsia="宋体"/>
          <w:b/>
          <w:bCs/>
          <w:color w:val="auto"/>
          <w:sz w:val="24"/>
          <w:szCs w:val="24"/>
          <w:highlight w:val="none"/>
        </w:rPr>
        <w:t>五、造价咨询服务费支付节点</w:t>
      </w:r>
    </w:p>
    <w:p w14:paraId="6B7D816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方按以下各阶段费用分期支付造价咨询服务费：</w:t>
      </w:r>
    </w:p>
    <w:p w14:paraId="1917FAA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1.本合同签订并且</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方为本项目投入人员就位并开展工作后【</w:t>
      </w:r>
      <w:r>
        <w:rPr>
          <w:rFonts w:hint="eastAsia" w:ascii="宋体" w:eastAsia="宋体"/>
          <w:color w:val="auto"/>
          <w:sz w:val="24"/>
          <w:szCs w:val="24"/>
          <w:highlight w:val="none"/>
          <w:lang w:val="en-US" w:eastAsia="zh-CN"/>
        </w:rPr>
        <w:t>15</w:t>
      </w:r>
      <w:r>
        <w:rPr>
          <w:rFonts w:hint="eastAsia" w:ascii="宋体" w:eastAsia="宋体"/>
          <w:color w:val="auto"/>
          <w:sz w:val="24"/>
          <w:szCs w:val="24"/>
          <w:highlight w:val="none"/>
        </w:rPr>
        <w:t>】个工作日内，支付暂定合同金额的【</w:t>
      </w:r>
      <w:r>
        <w:rPr>
          <w:rFonts w:hint="eastAsia" w:ascii="宋体" w:eastAsia="宋体"/>
          <w:color w:val="auto"/>
          <w:sz w:val="24"/>
          <w:szCs w:val="24"/>
          <w:highlight w:val="none"/>
          <w:lang w:val="en-US" w:eastAsia="zh-CN"/>
        </w:rPr>
        <w:t>10</w:t>
      </w:r>
      <w:r>
        <w:rPr>
          <w:rFonts w:hint="eastAsia" w:ascii="宋体" w:eastAsia="宋体"/>
          <w:color w:val="auto"/>
          <w:sz w:val="24"/>
          <w:szCs w:val="24"/>
          <w:highlight w:val="none"/>
        </w:rPr>
        <w:t>】</w:t>
      </w:r>
      <w:r>
        <w:rPr>
          <w:rFonts w:ascii="宋体" w:eastAsia="宋体"/>
          <w:color w:val="auto"/>
          <w:sz w:val="24"/>
          <w:szCs w:val="24"/>
          <w:highlight w:val="none"/>
        </w:rPr>
        <w:t>%</w:t>
      </w:r>
      <w:r>
        <w:rPr>
          <w:rFonts w:hint="eastAsia" w:ascii="宋体" w:eastAsia="宋体"/>
          <w:color w:val="auto"/>
          <w:sz w:val="24"/>
          <w:szCs w:val="24"/>
          <w:highlight w:val="none"/>
        </w:rPr>
        <w:t>作为预付款。</w:t>
      </w:r>
    </w:p>
    <w:p w14:paraId="431177C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2</w:t>
      </w:r>
      <w:r>
        <w:rPr>
          <w:rFonts w:hint="eastAsia" w:ascii="宋体" w:eastAsia="宋体"/>
          <w:color w:val="auto"/>
          <w:sz w:val="24"/>
          <w:szCs w:val="24"/>
          <w:highlight w:val="none"/>
        </w:rPr>
        <w:t>.完成本项目的整体施工图预算的编制或审核报告并经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确认后【</w:t>
      </w:r>
      <w:r>
        <w:rPr>
          <w:rFonts w:hint="eastAsia" w:ascii="宋体" w:eastAsia="宋体"/>
          <w:color w:val="auto"/>
          <w:sz w:val="24"/>
          <w:szCs w:val="24"/>
          <w:highlight w:val="none"/>
          <w:lang w:val="en-US" w:eastAsia="zh-CN"/>
        </w:rPr>
        <w:t>30</w:t>
      </w:r>
      <w:r>
        <w:rPr>
          <w:rFonts w:hint="eastAsia" w:ascii="宋体" w:eastAsia="宋体"/>
          <w:color w:val="auto"/>
          <w:sz w:val="24"/>
          <w:szCs w:val="24"/>
          <w:highlight w:val="none"/>
        </w:rPr>
        <w:t>】个工作日内，支付合同暂定总价的【</w:t>
      </w:r>
      <w:r>
        <w:rPr>
          <w:rFonts w:hint="eastAsia" w:ascii="宋体" w:eastAsia="宋体"/>
          <w:color w:val="auto"/>
          <w:sz w:val="24"/>
          <w:szCs w:val="24"/>
          <w:highlight w:val="none"/>
          <w:lang w:val="en-US" w:eastAsia="zh-CN"/>
        </w:rPr>
        <w:t>40</w:t>
      </w:r>
      <w:r>
        <w:rPr>
          <w:rFonts w:hint="eastAsia" w:ascii="宋体" w:eastAsia="宋体"/>
          <w:color w:val="auto"/>
          <w:sz w:val="24"/>
          <w:szCs w:val="24"/>
          <w:highlight w:val="none"/>
        </w:rPr>
        <w:t>】%。</w:t>
      </w:r>
    </w:p>
    <w:p w14:paraId="39B46F15">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3</w:t>
      </w:r>
      <w:r>
        <w:rPr>
          <w:rFonts w:hint="eastAsia" w:ascii="宋体" w:eastAsia="宋体"/>
          <w:color w:val="auto"/>
          <w:sz w:val="24"/>
          <w:szCs w:val="24"/>
          <w:highlight w:val="none"/>
        </w:rPr>
        <w:t>.完成本项目的工程结算，并出具工程结算各方审定版后【</w:t>
      </w:r>
      <w:r>
        <w:rPr>
          <w:rFonts w:hint="eastAsia" w:ascii="宋体" w:eastAsia="宋体"/>
          <w:color w:val="auto"/>
          <w:sz w:val="24"/>
          <w:szCs w:val="24"/>
          <w:highlight w:val="none"/>
          <w:lang w:val="en-US" w:eastAsia="zh-CN"/>
        </w:rPr>
        <w:t>30</w:t>
      </w:r>
      <w:r>
        <w:rPr>
          <w:rFonts w:hint="eastAsia" w:ascii="宋体" w:eastAsia="宋体"/>
          <w:color w:val="auto"/>
          <w:sz w:val="24"/>
          <w:szCs w:val="24"/>
          <w:highlight w:val="none"/>
        </w:rPr>
        <w:t>】个工作日内，支付合同暂定总价的【</w:t>
      </w:r>
      <w:r>
        <w:rPr>
          <w:rFonts w:hint="eastAsia" w:ascii="宋体" w:eastAsia="宋体"/>
          <w:color w:val="auto"/>
          <w:sz w:val="24"/>
          <w:szCs w:val="24"/>
          <w:highlight w:val="none"/>
          <w:lang w:val="en-US" w:eastAsia="zh-CN"/>
        </w:rPr>
        <w:t>35</w:t>
      </w:r>
      <w:r>
        <w:rPr>
          <w:rFonts w:hint="eastAsia" w:ascii="宋体" w:eastAsia="宋体"/>
          <w:color w:val="auto"/>
          <w:sz w:val="24"/>
          <w:szCs w:val="24"/>
          <w:highlight w:val="none"/>
        </w:rPr>
        <w:t>】%。</w:t>
      </w:r>
    </w:p>
    <w:p w14:paraId="74532709">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4</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方完成全部合同约定的造价咨询工作后【</w:t>
      </w:r>
      <w:r>
        <w:rPr>
          <w:rFonts w:hint="eastAsia" w:ascii="宋体" w:eastAsia="宋体"/>
          <w:color w:val="auto"/>
          <w:sz w:val="24"/>
          <w:szCs w:val="24"/>
          <w:highlight w:val="none"/>
          <w:lang w:val="en-US" w:eastAsia="zh-CN"/>
        </w:rPr>
        <w:t>30</w:t>
      </w:r>
      <w:r>
        <w:rPr>
          <w:rFonts w:hint="eastAsia" w:ascii="宋体" w:eastAsia="宋体"/>
          <w:color w:val="auto"/>
          <w:sz w:val="24"/>
          <w:szCs w:val="24"/>
          <w:highlight w:val="none"/>
        </w:rPr>
        <w:t>】个工作日内，造价咨询服务费用结算经</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方或有审核权限的相关单位审定后，支付至结算金额的97%，若已支付咨询费大于咨询结算价的97%，</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方需将超付费用退回至</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w:t>
      </w:r>
    </w:p>
    <w:p w14:paraId="10A9236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.本项目服务质保期满（自结算完成之日起两年）后【</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】个工作日内，无息支付结算价剩余价款，即结算价</w:t>
      </w:r>
      <w:r>
        <w:rPr>
          <w:rFonts w:hint="eastAsia" w:ascii="宋体" w:eastAsia="宋体"/>
          <w:color w:val="auto"/>
          <w:sz w:val="24"/>
          <w:szCs w:val="24"/>
          <w:highlight w:val="none"/>
          <w:lang w:val="en-US" w:eastAsia="zh-CN"/>
        </w:rPr>
        <w:t>的</w:t>
      </w:r>
      <w:r>
        <w:rPr>
          <w:rFonts w:hint="eastAsia" w:ascii="宋体" w:eastAsia="宋体"/>
          <w:color w:val="auto"/>
          <w:sz w:val="24"/>
          <w:szCs w:val="24"/>
          <w:highlight w:val="none"/>
        </w:rPr>
        <w:t>3%。</w:t>
      </w:r>
    </w:p>
    <w:p w14:paraId="47885EB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7.如项目分地块或分期开发，则服务费用按分地块或分期（按分地块动工建筑面积占本合同约定的暂定总建筑面积比例*服务费暂定价）及上述约定比例支付。</w:t>
      </w:r>
    </w:p>
    <w:p w14:paraId="28B7C6A9">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8.</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方每次向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方请款时，需提交请款申请、造价咨询（工程造价）工作质量评分表（附件【】）等请款资料并同时向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方开具合法有效等额的增值税专用发票。</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方未按要求进行请款或所提交的发票不符合要求的，</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方有权不予支付款项，</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方不承担逾期付款的违约责任，并且</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方不得以此为由拒绝履行或迟延履行本合同项下义务。</w:t>
      </w:r>
    </w:p>
    <w:p w14:paraId="13A90B9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9.开票信息如下：</w:t>
      </w:r>
    </w:p>
    <w:p w14:paraId="36A32E1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税号：</w:t>
      </w:r>
    </w:p>
    <w:p w14:paraId="2B5CA03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公司名称：</w:t>
      </w:r>
    </w:p>
    <w:p w14:paraId="007BC09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地址：</w:t>
      </w:r>
    </w:p>
    <w:p w14:paraId="7C057BC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开户银行：</w:t>
      </w:r>
    </w:p>
    <w:p w14:paraId="41A083E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电话：</w:t>
      </w:r>
    </w:p>
    <w:p w14:paraId="0AA0F52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银行账号：</w:t>
      </w:r>
    </w:p>
    <w:p w14:paraId="2BD1CB35">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10.</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方因收取费用所需缴纳的所有税费，由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方自行承担。</w:t>
      </w:r>
    </w:p>
    <w:p w14:paraId="6987E88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11.本合同的合同价已包含</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方为履行本合同项下义务所需的所有费用和成本，包括但不限于人工（含驻场人员）、税费、耗材等。本合同不含税价不因物价、人力成本、税费等的变动而调整，合同含税价格按国家的税率政策进行调整。</w:t>
      </w:r>
    </w:p>
    <w:p w14:paraId="33A8C32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12.本合同内容（包括但不限于项目实施期、服务内容及</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方要求等）发生调整增加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方工作量的，不另行增加合同价款，</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方对此知悉且无异议。</w:t>
      </w:r>
    </w:p>
    <w:p w14:paraId="031B4A4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13.</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方将咨询费支付至以下账户后，视为完成相应的付款义务：</w:t>
      </w:r>
    </w:p>
    <w:p w14:paraId="2CB6A4B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 xml:space="preserve">账  号：                             </w:t>
      </w:r>
    </w:p>
    <w:p w14:paraId="7D50718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 xml:space="preserve">户  名：                             </w:t>
      </w:r>
    </w:p>
    <w:p w14:paraId="2973DBA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 xml:space="preserve">开户行：                             </w:t>
      </w:r>
    </w:p>
    <w:p w14:paraId="3448B30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最终结算金额以区财政局审定结算价为准；如遇审计部门审计，本项目最终结算的造价咨询服务费以审计部门的审计结果为准；若本项目财务决算或审计时对该结算价有核减，</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方应无条件返还相应数额的费用。</w:t>
      </w:r>
    </w:p>
    <w:p w14:paraId="15FB6EE9">
      <w:pPr>
        <w:pageBreakBefore w:val="0"/>
        <w:widowControl w:val="0"/>
        <w:kinsoku/>
        <w:wordWrap/>
        <w:overflowPunct/>
        <w:topLinePunct w:val="0"/>
        <w:bidi w:val="0"/>
        <w:spacing w:line="500" w:lineRule="exact"/>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六、各方义务</w:t>
      </w:r>
    </w:p>
    <w:p w14:paraId="5D8AD2A8">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应当在本合同生效之日起【】日内向</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方提供与项目施工图等与本合同咨询业务相关的资料。</w:t>
      </w:r>
    </w:p>
    <w:p w14:paraId="16AACD8C">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2.</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负责与本建设工程造价审核服务业务有关的协调，为</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方工作提供外部条件。</w:t>
      </w:r>
    </w:p>
    <w:p w14:paraId="70F455C5">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3.</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应当及时对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方书面提交并要求做出决定的事宜给予书面答复。</w:t>
      </w:r>
    </w:p>
    <w:p w14:paraId="6E598A9A">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4.</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方要求第三人提供有关资料时，</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应负责转达及资料转送。</w:t>
      </w:r>
    </w:p>
    <w:p w14:paraId="4726DA88">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5.</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方按约履行后，</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方应按约定支付咨询费用。</w:t>
      </w:r>
    </w:p>
    <w:p w14:paraId="39DBA972">
      <w:pPr>
        <w:pageBreakBefore w:val="0"/>
        <w:widowControl w:val="0"/>
        <w:kinsoku/>
        <w:wordWrap/>
        <w:overflowPunct/>
        <w:topLinePunct w:val="0"/>
        <w:bidi w:val="0"/>
        <w:spacing w:line="500" w:lineRule="exact"/>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七、</w:t>
      </w:r>
      <w:r>
        <w:rPr>
          <w:rFonts w:hint="eastAsia" w:ascii="宋体" w:eastAsia="宋体"/>
          <w:b/>
          <w:bCs/>
          <w:color w:val="auto"/>
          <w:sz w:val="24"/>
          <w:szCs w:val="24"/>
          <w:highlight w:val="none"/>
          <w:lang w:eastAsia="zh-CN"/>
        </w:rPr>
        <w:t>乙</w:t>
      </w:r>
      <w:r>
        <w:rPr>
          <w:rFonts w:hint="eastAsia" w:ascii="宋体" w:eastAsia="宋体"/>
          <w:b/>
          <w:bCs/>
          <w:color w:val="auto"/>
          <w:sz w:val="24"/>
          <w:szCs w:val="24"/>
          <w:highlight w:val="none"/>
        </w:rPr>
        <w:t>方项目人员</w:t>
      </w:r>
    </w:p>
    <w:p w14:paraId="574CEB4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1.项目咨询团队的项目负责人及专业负责人应具有注册造价工程师或注册一级造价工程师资格条件。团队人员的数量及经验要求按附件2项目人员组成表约定。</w:t>
      </w:r>
    </w:p>
    <w:p w14:paraId="24C27FC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2.项目负责人为：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，联系方式：</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，项目负责人为履行本合同的权限为：负责本项目造价咨询服务的总体统筹、协调工作，对服务质量负责。</w:t>
      </w:r>
    </w:p>
    <w:p w14:paraId="6145E9B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方更换项目咨询团队其他</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方员的约定：在本合同履行过程中，</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方员应保持相对稳定，以保证咨询工作正常进行。</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方更换项目负责人时，应提前7日向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书面报告，经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同意后方可更换。</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方更换项目咨询团队人员的，应提前3日向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方书面报告，经</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方同意后更换新的人员资格及经验不能低于被更换人员。造价咨询过程中</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对项目委派人员工作不满意，</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方需无条件更换项目委派人员。</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方进行人员更换不得影响本合同约定义务的履行，若因人员更换导致工作延误或造成甲方损失的，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方应承担全部责任。</w:t>
      </w:r>
    </w:p>
    <w:p w14:paraId="6983F9A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方人员有下列情形之一，</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方更换的，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方应当更换：</w:t>
      </w:r>
    </w:p>
    <w:p w14:paraId="5290DA5D">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（1）存在严重过失行为的；</w:t>
      </w:r>
    </w:p>
    <w:p w14:paraId="2BFFBEED">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（2）存在违法行为不能履行职责的；</w:t>
      </w:r>
    </w:p>
    <w:p w14:paraId="0D6D9CA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（3）涉嫌犯罪的；</w:t>
      </w:r>
    </w:p>
    <w:p w14:paraId="2EEC99C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（4）不能胜任岗位职责的；</w:t>
      </w:r>
    </w:p>
    <w:p w14:paraId="06BE644D">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（5）严重违反职业道德的；</w:t>
      </w:r>
    </w:p>
    <w:p w14:paraId="4CE91DA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（6）三次以上未按</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要求完成造价咨询工作。</w:t>
      </w:r>
    </w:p>
    <w:p w14:paraId="6FD52A9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方的办公设施、办公用品、电脑、打印机、复印机等办公设备、软件及耗材等全部由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方自行解决。</w:t>
      </w:r>
    </w:p>
    <w:p w14:paraId="3F759D6E">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6.本合同约定的造价咨询服务适用的技术标准、规范、定额等工作依据为：</w:t>
      </w:r>
    </w:p>
    <w:p w14:paraId="1D4ABF5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（1）项目立项批复、概算批复、施工图纸等；</w:t>
      </w:r>
    </w:p>
    <w:p w14:paraId="326FF09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（2）国家和地方现行的有关工程建设的法律、政策、规范及标准、定额；</w:t>
      </w:r>
    </w:p>
    <w:p w14:paraId="59B7CE1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（3）其他工作依据：</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方的要求、图纸、招标文件及合同。</w:t>
      </w:r>
    </w:p>
    <w:p w14:paraId="7DF31270">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r>
        <w:rPr>
          <w:rFonts w:hint="eastAsia" w:ascii="宋体" w:eastAsia="宋体"/>
          <w:b/>
          <w:bCs/>
          <w:color w:val="auto"/>
          <w:sz w:val="24"/>
          <w:szCs w:val="24"/>
          <w:highlight w:val="none"/>
        </w:rPr>
        <w:t>八、违约责任</w:t>
      </w:r>
    </w:p>
    <w:p w14:paraId="1F953F5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方应当履行本合同约定的义务，如有违反则应承担违约责任，赔偿给</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方造成的经济损失。</w:t>
      </w:r>
    </w:p>
    <w:p w14:paraId="51BD944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2.因</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方原因导致合同解除，</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方应按照合同约定向</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方支付已完成部分的本合同暂定咨询服务费，咨询服务费据实结算。</w:t>
      </w:r>
    </w:p>
    <w:p w14:paraId="584A47B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方违反本合同的约定，应当按约定向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承担相应的违约责任。违约责任形式包括：</w:t>
      </w:r>
    </w:p>
    <w:p w14:paraId="7C395F1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（1）限期改正。</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方未按时按约、保质保量履行义务时，</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有权提出书面警告，要求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方在限定期限内加以整改，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方必须履行。</w:t>
      </w:r>
    </w:p>
    <w:p w14:paraId="4C97059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 xml:space="preserve"> （2）</w:t>
      </w:r>
      <w:r>
        <w:rPr>
          <w:rFonts w:ascii="宋体" w:eastAsia="宋体"/>
          <w:color w:val="auto"/>
          <w:sz w:val="24"/>
          <w:szCs w:val="24"/>
          <w:highlight w:val="none"/>
        </w:rPr>
        <w:t xml:space="preserve"> </w:t>
      </w:r>
      <w:r>
        <w:rPr>
          <w:rFonts w:hint="eastAsia" w:ascii="宋体" w:eastAsia="宋体"/>
          <w:color w:val="auto"/>
          <w:sz w:val="24"/>
          <w:szCs w:val="24"/>
          <w:highlight w:val="none"/>
        </w:rPr>
        <w:t>一般违约责任。</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方按本合同约定承担一般违约责任时，应当向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交纳违约金人民币2万元／次。</w:t>
      </w:r>
    </w:p>
    <w:p w14:paraId="0249B70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（3）严重违约责任。</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方按本合同约定承担严重违约责任时，应当向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交纳违约金人民币6万元／次。</w:t>
      </w:r>
    </w:p>
    <w:p w14:paraId="14ABE48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（4）解除合同。</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向</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方主张解除合同，合同自解除通知到达</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方时解除。同时</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支付本合同暂定咨询服务费20%的违约金；</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方必须在3日内停止全部工作，并配合</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方完成现场工作和有关资料的移交，并于完成交接工作当日内离场。</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方应保证所移交的资料齐全完整，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方无特殊原因未在规定期限内完成交接和离场或所移交的资料不完整的，</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有权处理其留在现场的材料、设备和其他物件，处理费用由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方承担，如果导致</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工期延误和其他方面的损失，</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将要求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方赔偿实际损失。</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方在发出解除合同的通知后，</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方即可发包给新的造价咨询单位承接被解除的全部造价咨询工作，全部费用由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方承担。同时，</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方不得影响或阻碍新的造价咨询单位办理进场手续和相关工作。</w:t>
      </w:r>
    </w:p>
    <w:p w14:paraId="005BC78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（5）赔偿损失。</w:t>
      </w:r>
    </w:p>
    <w:p w14:paraId="7583A61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4.除合同另有约定外，每三次限期整改或三次书面警告，相当于一次一般违约责任，每三次一般违约责任相当于一次严重违约责任，累计三次严重违约责任，</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有权单方面部分或全部解除合同。</w:t>
      </w:r>
    </w:p>
    <w:p w14:paraId="5C95FE7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5.当</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方无正当理由不履行或没有履行相关造价咨询服务，</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有权书面通知</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方，指明其未能履约的内容并对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方提出书面警告一次。</w:t>
      </w:r>
    </w:p>
    <w:p w14:paraId="5CBC4D72">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6.为保证本项目有序、规范和顺利进行，</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方必须主动支持</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工作，对</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的指令和书面通知，若无正当理由不执行或变相拒不执行，可对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方提出书面警告一次。</w:t>
      </w:r>
    </w:p>
    <w:p w14:paraId="652FF292">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7.</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方如需更换造价咨询总工程师及主要的造价人员，必须事先经过</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书面同意。如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方未经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书面同意，擅自更换造价咨询总工程师及主要的造价人员，必须限期整改，对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方提出书面警告一次。</w:t>
      </w:r>
    </w:p>
    <w:p w14:paraId="3719A4D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8.</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要求造价咨询总工程师或主要造价人员必须参加的会议，</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提前24小时发出通知，总工程师或主要造价</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方员必须到会，未经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批准无故不到会者，可对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方提出书面警告一次。</w:t>
      </w:r>
    </w:p>
    <w:p w14:paraId="560E857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9.</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方在自己职责范围内应当作出决定的事项故意拖延或者不作出明确的处理意见，</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方提出书面警告一次。</w:t>
      </w:r>
    </w:p>
    <w:p w14:paraId="46C7C8C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10.由于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方自身原因，延误约定的造价咨询服务合理的文件交付时间，每延误三天记一次书面警告，延误超过10天的，从第11天开始，除书面警告外，</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方还应每天按该项目</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方应收造价咨询服务费的万分之五向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支付违约金。</w:t>
      </w:r>
    </w:p>
    <w:p w14:paraId="7A90111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rPr>
        <w:t>1.</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方在责任期内，应当履行约定的义务，如因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方原因造成了</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方的经济损失，应当向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方赔偿。</w:t>
      </w:r>
    </w:p>
    <w:p w14:paraId="7108EA8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rPr>
        <w:t>2.如发现</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方有以下行为之一，</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方将被视为违反本合同，</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有权解除本合同，</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方支付本合同暂定咨询服务费20%的违约金，同时且不支付任何咨询服务费（</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方已经支付的咨询服务费应当全额退回），如造成</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方经济损失的，违约金不足以弥补甲方实际经济损失的，按</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方的实际经济损失进行赔偿：</w:t>
      </w:r>
    </w:p>
    <w:p w14:paraId="5838D92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（1）在履行合同过程中出现直接或间接左右、干扰或影响</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、项目其他相关方或主管部门等人员正常履职的行为（包括违反廉洁要求，向前述人员馈送、索要财物，或收受前述人员财物等）；</w:t>
      </w:r>
    </w:p>
    <w:p w14:paraId="3BB1FE22">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（2）通过谎报事实等方式影响合同正常执行，给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造成损失（包括采用合谋等办法，造成</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经济损失的）；</w:t>
      </w:r>
    </w:p>
    <w:p w14:paraId="10AE371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（3）未经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书面同意，披露与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或本合同工程有关的任何信息或资料，或将该等信息或资料用于本合同之外的任何其他用途；</w:t>
      </w:r>
    </w:p>
    <w:p w14:paraId="6FE2334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方造价人员有弄虚作假、与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方串通等任一损害</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方利益的行为。</w:t>
      </w:r>
    </w:p>
    <w:p w14:paraId="03F9F61D">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rPr>
        <w:t>3.</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方需确定项目实施人员与投标文件中所附《项目技术人员组成表》人员名单一致，并保证人员的资格、水平符合项目要求。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方可以根据造价咨询业务工作的需要调整并替换造价人员，但需提前通知</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并得到</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批准，且保证接替人员拥有相同资格、水平，否则视为</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方项目实施人员与合同约定人员名单要求不一致，</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方按5000元/人次支付违约金。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方更换项目实施人员，</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方未在规定时间内更换，</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支付5000元/次/人作为违约金。</w:t>
      </w:r>
    </w:p>
    <w:p w14:paraId="657E1EB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lang w:val="en-US" w:eastAsia="zh-CN"/>
        </w:rPr>
        <w:t>4</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方须妥善保管从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领取的有关资料，提交工作成果时，随成果一同送回</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。同时按上级主管部门的评审要求组织送审材料，评审结束后将最终审定的成果以及相应的资料完整送回</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方保存。上述过程资料如有遗失，</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方按造价咨询服务费暂定总价30%支付违约金，并赔偿由此给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造成的全部损失。</w:t>
      </w:r>
    </w:p>
    <w:p w14:paraId="3E2A193E">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方原因延误开标时间的，每延误一天，</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方按本合同约定咨询费暂定总价的1%支付违约金给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；延误开标时间超过10天的，</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有权解除合同，除已支付的咨询费外，不再支付任何咨询费，并有权要求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方赔偿损失，并按咨询费暂定总价的【</w:t>
      </w:r>
      <w:r>
        <w:rPr>
          <w:rFonts w:hint="eastAsia" w:ascii="宋体" w:eastAsia="宋体"/>
          <w:color w:val="auto"/>
          <w:sz w:val="24"/>
          <w:szCs w:val="24"/>
          <w:highlight w:val="none"/>
          <w:lang w:val="en-US" w:eastAsia="zh-CN"/>
        </w:rPr>
        <w:t>20</w:t>
      </w:r>
      <w:r>
        <w:rPr>
          <w:rFonts w:hint="eastAsia" w:ascii="宋体" w:eastAsia="宋体"/>
          <w:color w:val="auto"/>
          <w:sz w:val="24"/>
          <w:szCs w:val="24"/>
          <w:highlight w:val="none"/>
        </w:rPr>
        <w:t>】%向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支付违约金。</w:t>
      </w:r>
    </w:p>
    <w:p w14:paraId="0EDD04E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1</w:t>
      </w:r>
      <w:r>
        <w:rPr>
          <w:rFonts w:hint="eastAsia" w:ascii="宋体" w:eastAsia="宋体"/>
          <w:color w:val="auto"/>
          <w:sz w:val="24"/>
          <w:szCs w:val="24"/>
          <w:highlight w:val="none"/>
          <w:lang w:val="en-US" w:eastAsia="zh-CN"/>
        </w:rPr>
        <w:t>6</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方根据合同约定对监理人提交的工程结算书（结算资料）进行审核，如最终由上级主管部门审定的结算金额与</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审定的结算金额相差幅度在±3%（含本数）～±5%（不含本数）的，扣除造价咨询服务费结算价的3%作为违约金；相差幅度在±5%（含本数）～±10%（不含本数）的，扣除竣工结算造价咨询服务费的5%作为违约金；相差幅度超过±10%（含本数）的，扣除竣工结算造价咨询服务费的10%作为违约金。相差幅度计算方法如下：</w:t>
      </w:r>
    </w:p>
    <w:p w14:paraId="5784D763">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相差幅度=[ㄧ（A－B）/Bㄧ]</w:t>
      </w:r>
    </w:p>
    <w:p w14:paraId="0520AAC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其中：A为</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方审定的工程结算金额；</w:t>
      </w:r>
    </w:p>
    <w:p w14:paraId="42CA1183">
      <w:pPr>
        <w:pageBreakBefore w:val="0"/>
        <w:widowControl w:val="0"/>
        <w:kinsoku/>
        <w:wordWrap/>
        <w:overflowPunct/>
        <w:topLinePunct w:val="0"/>
        <w:bidi w:val="0"/>
        <w:spacing w:line="500" w:lineRule="exact"/>
        <w:ind w:firstLine="480"/>
        <w:rPr>
          <w:rFonts w:hint="eastAsia" w:ascii="宋体" w:eastAsia="宋体"/>
          <w:color w:val="auto"/>
          <w:sz w:val="24"/>
          <w:szCs w:val="24"/>
          <w:highlight w:val="none"/>
        </w:rPr>
      </w:pPr>
      <w:r>
        <w:rPr>
          <w:rFonts w:hint="eastAsia" w:ascii="宋体" w:eastAsia="宋体"/>
          <w:color w:val="auto"/>
          <w:sz w:val="24"/>
          <w:szCs w:val="24"/>
          <w:highlight w:val="none"/>
        </w:rPr>
        <w:t>B为上级主管部门审定的工程结算金额。</w:t>
      </w:r>
    </w:p>
    <w:p w14:paraId="3E676EB0">
      <w:pPr>
        <w:pageBreakBefore w:val="0"/>
        <w:widowControl w:val="0"/>
        <w:kinsoku/>
        <w:wordWrap/>
        <w:overflowPunct/>
        <w:topLinePunct w:val="0"/>
        <w:bidi w:val="0"/>
        <w:spacing w:line="500" w:lineRule="exact"/>
        <w:ind w:firstLine="480"/>
        <w:rPr>
          <w:rFonts w:hint="eastAsia" w:ascii="宋体" w:eastAsia="宋体"/>
          <w:color w:val="auto"/>
          <w:sz w:val="24"/>
          <w:szCs w:val="24"/>
          <w:highlight w:val="none"/>
        </w:rPr>
      </w:pPr>
      <w:r>
        <w:rPr>
          <w:rFonts w:ascii="宋体" w:eastAsia="宋体"/>
          <w:color w:val="auto"/>
          <w:sz w:val="24"/>
          <w:szCs w:val="24"/>
          <w:highlight w:val="none"/>
        </w:rPr>
        <w:t>1</w:t>
      </w:r>
      <w:r>
        <w:rPr>
          <w:rFonts w:hint="eastAsia" w:ascii="宋体" w:eastAsia="宋体"/>
          <w:color w:val="auto"/>
          <w:sz w:val="24"/>
          <w:szCs w:val="24"/>
          <w:highlight w:val="none"/>
          <w:lang w:val="en-US" w:eastAsia="zh-CN"/>
        </w:rPr>
        <w:t>7</w:t>
      </w:r>
      <w:r>
        <w:rPr>
          <w:rFonts w:hint="eastAsia" w:ascii="宋体" w:eastAsia="宋体"/>
          <w:color w:val="auto"/>
          <w:sz w:val="24"/>
          <w:szCs w:val="24"/>
          <w:highlight w:val="none"/>
        </w:rPr>
        <w:t>.在指定节点[详见5.2.1条第（7）款各期请款时]，</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方应接受</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考核，考评合格基准分为65分，如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阶段工程造价咨询服务质量整体考评不合格，或整体考评合格但有单项得分低于合格基准分的，扣除咨询费的1%作为违约金；一次阶段考评不合格，扣除暂定合同价的2%作为违约金；累计两次阶段考评不合格，扣除暂定合同价的</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%作为违约金；累计三次及以上阶段考评不合格，</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方有权单方通知解除本合同，并扣除暂定合同价的</w:t>
      </w:r>
      <w:r>
        <w:rPr>
          <w:rFonts w:hint="eastAsia" w:ascii="宋体" w:eastAsia="宋体"/>
          <w:color w:val="auto"/>
          <w:sz w:val="24"/>
          <w:szCs w:val="24"/>
          <w:highlight w:val="none"/>
          <w:lang w:val="en-US" w:eastAsia="zh-CN"/>
        </w:rPr>
        <w:t>1</w:t>
      </w:r>
      <w:r>
        <w:rPr>
          <w:rFonts w:hint="eastAsia" w:ascii="宋体" w:eastAsia="宋体"/>
          <w:color w:val="auto"/>
          <w:sz w:val="24"/>
          <w:szCs w:val="24"/>
          <w:highlight w:val="none"/>
        </w:rPr>
        <w:t>0%作为违约金。</w:t>
      </w:r>
    </w:p>
    <w:p w14:paraId="4BD4264A">
      <w:pPr>
        <w:pageBreakBefore w:val="0"/>
        <w:widowControl w:val="0"/>
        <w:kinsoku/>
        <w:wordWrap/>
        <w:overflowPunct/>
        <w:topLinePunct w:val="0"/>
        <w:bidi w:val="0"/>
        <w:spacing w:line="500" w:lineRule="exact"/>
        <w:ind w:firstLine="480"/>
        <w:rPr>
          <w:rFonts w:ascii="宋体" w:eastAsia="宋体"/>
          <w:color w:val="auto"/>
          <w:sz w:val="24"/>
          <w:szCs w:val="24"/>
          <w:highlight w:val="none"/>
        </w:rPr>
      </w:pPr>
      <w:r>
        <w:rPr>
          <w:rFonts w:ascii="宋体" w:eastAsia="宋体"/>
          <w:color w:val="auto"/>
          <w:sz w:val="24"/>
          <w:szCs w:val="24"/>
          <w:highlight w:val="none"/>
        </w:rPr>
        <w:t>1</w:t>
      </w:r>
      <w:r>
        <w:rPr>
          <w:rFonts w:hint="eastAsia" w:ascii="宋体" w:eastAsia="宋体"/>
          <w:color w:val="auto"/>
          <w:sz w:val="24"/>
          <w:szCs w:val="24"/>
          <w:highlight w:val="none"/>
          <w:lang w:val="en-US" w:eastAsia="zh-CN"/>
        </w:rPr>
        <w:t>8</w:t>
      </w:r>
      <w:r>
        <w:rPr>
          <w:rFonts w:hint="eastAsia" w:ascii="宋体" w:eastAsia="宋体"/>
          <w:color w:val="auto"/>
          <w:sz w:val="24"/>
          <w:szCs w:val="24"/>
          <w:highlight w:val="none"/>
        </w:rPr>
        <w:t>.因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方不按合同要求履行，</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有权根据实际情况，对</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方实行通报批评及做不良记录等处罚措施，除本合同另有约定，具体措施及相应的违约责任后果如下：</w:t>
      </w:r>
    </w:p>
    <w:p w14:paraId="075BADA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19</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方在责任期内不得以任何理由对该期间发生的图纸优化或多次变更图纸提出索赔增加费用。</w:t>
      </w:r>
    </w:p>
    <w:p w14:paraId="64F326E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0</w:t>
      </w:r>
      <w:r>
        <w:rPr>
          <w:rFonts w:hint="eastAsia" w:ascii="宋体" w:eastAsia="宋体"/>
          <w:color w:val="auto"/>
          <w:sz w:val="24"/>
          <w:szCs w:val="24"/>
          <w:highlight w:val="none"/>
        </w:rPr>
        <w:t>.本合同约定的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方应支付或交纳的违约金或赔偿费，</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方有权从每期应支付</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方的本合同暂定咨询服务费或奖励金中直接扣除，无需另行征得</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方的同意。</w:t>
      </w:r>
    </w:p>
    <w:p w14:paraId="18E0033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1</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方分包、转包本项目造价咨询服务内容的，按解除合同违约责任约定处理。</w:t>
      </w:r>
    </w:p>
    <w:p w14:paraId="6F5C1E8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2</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方应按本合同约定的期限向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方出具符合委托要求的各项过程成果文件及全部工作成果总结文件，如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方未能按时提交符合要求的相关文件的，每逾期一天，应按本合同约定咨询费暂定总价的万分之五支付违约金给</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；逾期达【</w:t>
      </w:r>
      <w:r>
        <w:rPr>
          <w:rFonts w:hint="eastAsia" w:ascii="宋体" w:eastAsia="宋体"/>
          <w:color w:val="auto"/>
          <w:sz w:val="24"/>
          <w:szCs w:val="24"/>
          <w:highlight w:val="none"/>
          <w:lang w:val="en-US" w:eastAsia="zh-CN"/>
        </w:rPr>
        <w:t>60</w:t>
      </w:r>
      <w:r>
        <w:rPr>
          <w:rFonts w:hint="eastAsia" w:ascii="宋体" w:eastAsia="宋体"/>
          <w:color w:val="auto"/>
          <w:sz w:val="24"/>
          <w:szCs w:val="24"/>
          <w:highlight w:val="none"/>
        </w:rPr>
        <w:t>】天，</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有权选择解除本合同或继续履行合同，如解除合同则按解除合同违约责任约定处理，如合同继续履行的，由此产生的费用由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方自行承担。</w:t>
      </w:r>
    </w:p>
    <w:p w14:paraId="2C2C318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3</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方提供的造价咨询服务不符合合同约定的要求，经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催告仍不能达到合同约定要求的，导致合同解除的，按解除合同违约责任约定处理。</w:t>
      </w:r>
    </w:p>
    <w:p w14:paraId="3B1A3CA9">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4</w:t>
      </w:r>
      <w:r>
        <w:rPr>
          <w:rFonts w:hint="eastAsia" w:ascii="宋体" w:eastAsia="宋体"/>
          <w:color w:val="auto"/>
          <w:sz w:val="24"/>
          <w:szCs w:val="24"/>
          <w:highlight w:val="none"/>
        </w:rPr>
        <w:t>.在本合同履行期间，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对本合同和各方相互提供的资料、信息（包括但不限于商业秘密、技术资料、图纸、数据、以及与业务有关的客户的信息及其他信息等）负保密责任，并不得向任何人披露上述资料和信息，或用于本合同之外的任何其他用途，但正常履行本合同各项义务的除外。违反保密约定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支付本合同暂定咨询服务费10%的违约金，违约金不足以赔偿损失的，按实际损失计。</w:t>
      </w:r>
    </w:p>
    <w:p w14:paraId="4B33CA2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方违反本合同约定，</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方为向</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方主张权利而支付的调查取证费、公证费、评估费、鉴定费、审计费、诉讼费、仲裁费、保全费、保全担保费或保全担保保险费、律师代理费、咨询费、执行费、差旅费以及甲方向</w:t>
      </w:r>
      <w:r>
        <w:rPr>
          <w:rFonts w:hint="eastAsia" w:ascii="宋体" w:eastAsia="宋体"/>
          <w:color w:val="auto"/>
          <w:sz w:val="24"/>
          <w:szCs w:val="24"/>
          <w:highlight w:val="none"/>
          <w:lang w:eastAsia="zh-CN"/>
        </w:rPr>
        <w:t>第三方</w:t>
      </w:r>
      <w:r>
        <w:rPr>
          <w:rFonts w:hint="eastAsia" w:ascii="宋体" w:eastAsia="宋体"/>
          <w:color w:val="auto"/>
          <w:sz w:val="24"/>
          <w:szCs w:val="24"/>
          <w:highlight w:val="none"/>
        </w:rPr>
        <w:t>支付的赔偿款、向行政机关缴纳的罚款等全部费用均由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w:t>
      </w:r>
    </w:p>
    <w:p w14:paraId="13C8EB9A">
      <w:pPr>
        <w:pageBreakBefore w:val="0"/>
        <w:widowControl w:val="0"/>
        <w:kinsoku/>
        <w:wordWrap/>
        <w:overflowPunct/>
        <w:topLinePunct w:val="0"/>
        <w:bidi w:val="0"/>
        <w:spacing w:line="500" w:lineRule="exact"/>
        <w:ind w:firstLine="480" w:firstLineChars="200"/>
        <w:rPr>
          <w:rFonts w:ascii="宋体" w:eastAsia="宋体" w:cs="宋体"/>
          <w:color w:val="auto"/>
          <w:kern w:val="28"/>
          <w:sz w:val="24"/>
          <w:szCs w:val="24"/>
          <w:highlight w:val="none"/>
        </w:rPr>
      </w:pPr>
      <w:r>
        <w:rPr>
          <w:rFonts w:hint="eastAsia" w:ascii="宋体" w:eastAsia="宋体"/>
          <w:color w:val="auto"/>
          <w:sz w:val="24"/>
          <w:szCs w:val="24"/>
          <w:highlight w:val="none"/>
        </w:rPr>
        <w:t>2</w:t>
      </w:r>
      <w:r>
        <w:rPr>
          <w:rFonts w:hint="eastAsia" w:ascii="宋体" w:eastAsia="宋体"/>
          <w:color w:val="auto"/>
          <w:sz w:val="24"/>
          <w:szCs w:val="24"/>
          <w:highlight w:val="none"/>
          <w:lang w:val="en-US" w:eastAsia="zh-CN"/>
        </w:rPr>
        <w:t>6</w:t>
      </w:r>
      <w:r>
        <w:rPr>
          <w:rFonts w:hint="eastAsia" w:ascii="宋体" w:eastAsia="宋体"/>
          <w:color w:val="auto"/>
          <w:sz w:val="24"/>
          <w:szCs w:val="24"/>
          <w:highlight w:val="none"/>
        </w:rPr>
        <w:t>.咨询服务质量考评不合格的违约责任</w:t>
      </w:r>
    </w:p>
    <w:p w14:paraId="6AF7B6D4">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在支付节点各期请款时，</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方应向</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方递交造价咨询（工程造价）工作质量评分表。</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根据</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方自评情况，结合</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方的工作表现进行单项工程服务质量考评。</w:t>
      </w:r>
    </w:p>
    <w:p w14:paraId="25244802">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合同服务期结束，</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方应对整个造价咨询服务期情况进行自评，最终由</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综合</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方在服务期表现完成考评。</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方应接受</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考核，考评合格基准分为65分，如</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阶段工程造价咨询服务质量整体考评不合格，或整体考评合格但有单项得分低于合格基准分的，扣除咨询费的1%作为违约金；一次阶段考评不合格，扣除暂定合同价的2%作为违约金；累计两次阶段考评不合格，扣除暂定合同价的</w:t>
      </w:r>
      <w:r>
        <w:rPr>
          <w:rFonts w:hint="eastAsia" w:ascii="宋体" w:eastAsia="宋体"/>
          <w:color w:val="auto"/>
          <w:sz w:val="24"/>
          <w:szCs w:val="24"/>
          <w:highlight w:val="none"/>
          <w:lang w:val="en-US" w:eastAsia="zh-CN"/>
        </w:rPr>
        <w:t>5</w:t>
      </w:r>
      <w:r>
        <w:rPr>
          <w:rFonts w:hint="eastAsia" w:ascii="宋体" w:eastAsia="宋体"/>
          <w:color w:val="auto"/>
          <w:sz w:val="24"/>
          <w:szCs w:val="24"/>
          <w:highlight w:val="none"/>
        </w:rPr>
        <w:t>%作为违约金；累计三次及以上阶段考评不合格，</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方有权单方通知解除本合同，并扣除暂定合同价的</w:t>
      </w:r>
      <w:r>
        <w:rPr>
          <w:rFonts w:hint="eastAsia" w:ascii="宋体" w:eastAsia="宋体"/>
          <w:color w:val="auto"/>
          <w:sz w:val="24"/>
          <w:szCs w:val="24"/>
          <w:highlight w:val="none"/>
          <w:lang w:val="en-US" w:eastAsia="zh-CN"/>
        </w:rPr>
        <w:t>1</w:t>
      </w:r>
      <w:r>
        <w:rPr>
          <w:rFonts w:hint="eastAsia" w:ascii="宋体" w:eastAsia="宋体"/>
          <w:color w:val="auto"/>
          <w:sz w:val="24"/>
          <w:szCs w:val="24"/>
          <w:highlight w:val="none"/>
        </w:rPr>
        <w:t>0%作为违约金。</w:t>
      </w:r>
    </w:p>
    <w:p w14:paraId="03C0C597">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b/>
          <w:bCs/>
          <w:color w:val="auto"/>
          <w:sz w:val="24"/>
          <w:szCs w:val="24"/>
          <w:highlight w:val="none"/>
        </w:rPr>
        <w:t xml:space="preserve">    </w:t>
      </w:r>
      <w:r>
        <w:rPr>
          <w:rFonts w:hint="eastAsia" w:ascii="宋体" w:eastAsia="宋体"/>
          <w:b/>
          <w:bCs/>
          <w:color w:val="auto"/>
          <w:sz w:val="24"/>
          <w:szCs w:val="24"/>
          <w:highlight w:val="none"/>
        </w:rPr>
        <w:t>九、其他</w:t>
      </w:r>
    </w:p>
    <w:p w14:paraId="748300FE">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1.</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方如需外聘专家协助，在委托的建设工程造价咨询业务范围内其费用由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方承担。在司法鉴定或提交上级主管部门审核期间，</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方需无偿给予配合。</w:t>
      </w:r>
    </w:p>
    <w:p w14:paraId="0B77F47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2.</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方不得参与可能与合同规定的与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利益相冲突的任何活动。</w:t>
      </w:r>
    </w:p>
    <w:p w14:paraId="59ED224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3.保密条款：在本合同履行期间，</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提供给</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方的资料以及</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方在</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处获得的信息（包括但不限于商业秘密、技术资料、图纸、数据、以及与业务有关的客户的信息及其他信息等），属于保密事项范畴，任何人不得对他人披露上述资料和信息，或用于本合同之外任何其他用途，正常履行本合同各项义务的除外。本合同项下的保密义务不因本合同的终止而解除。</w:t>
      </w:r>
    </w:p>
    <w:p w14:paraId="184BA00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4.送达条款：任何一方与合同有关的通知、指示、要求、决定等，均及时送达对方指定的接收人和送达地点。</w:t>
      </w:r>
    </w:p>
    <w:p w14:paraId="3CFFC0EB">
      <w:pPr>
        <w:pageBreakBefore w:val="0"/>
        <w:widowControl w:val="0"/>
        <w:kinsoku/>
        <w:wordWrap/>
        <w:overflowPunct/>
        <w:topLinePunct w:val="0"/>
        <w:bidi w:val="0"/>
        <w:spacing w:line="500" w:lineRule="exact"/>
        <w:ind w:firstLine="480"/>
        <w:rPr>
          <w:rFonts w:hint="eastAsia" w:ascii="宋体" w:eastAsia="宋体"/>
          <w:color w:val="auto"/>
          <w:sz w:val="24"/>
          <w:szCs w:val="24"/>
          <w:highlight w:val="none"/>
          <w:u w:val="none"/>
        </w:rPr>
      </w:pPr>
      <w:r>
        <w:rPr>
          <w:rFonts w:hint="eastAsia" w:ascii="宋体" w:eastAsia="宋体"/>
          <w:color w:val="auto"/>
          <w:sz w:val="24"/>
          <w:szCs w:val="24"/>
          <w:highlight w:val="none"/>
          <w:u w:val="none"/>
        </w:rPr>
        <w:t>甲方指定的送达接收人：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，联系手机：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，送达地点：</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，电子邮箱：</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 xml:space="preserve"> 。</w:t>
      </w:r>
    </w:p>
    <w:p w14:paraId="0F697C95">
      <w:pPr>
        <w:pageBreakBefore w:val="0"/>
        <w:widowControl w:val="0"/>
        <w:kinsoku/>
        <w:wordWrap/>
        <w:overflowPunct/>
        <w:topLinePunct w:val="0"/>
        <w:spacing w:line="500" w:lineRule="exact"/>
        <w:ind w:firstLine="480"/>
        <w:rPr>
          <w:rFonts w:ascii="宋体" w:eastAsia="宋体"/>
          <w:color w:val="auto"/>
          <w:sz w:val="24"/>
          <w:szCs w:val="24"/>
          <w:highlight w:val="none"/>
        </w:rPr>
      </w:pPr>
      <w:r>
        <w:rPr>
          <w:rFonts w:hint="eastAsia" w:ascii="宋体" w:eastAsia="宋体"/>
          <w:color w:val="auto"/>
          <w:sz w:val="24"/>
          <w:szCs w:val="24"/>
          <w:highlight w:val="none"/>
          <w:u w:val="none"/>
          <w:lang w:val="en-US" w:eastAsia="zh-CN"/>
        </w:rPr>
        <w:t>乙</w:t>
      </w:r>
      <w:r>
        <w:rPr>
          <w:rFonts w:hint="eastAsia" w:ascii="宋体" w:eastAsia="宋体"/>
          <w:color w:val="auto"/>
          <w:sz w:val="24"/>
          <w:szCs w:val="24"/>
          <w:highlight w:val="none"/>
          <w:u w:val="none"/>
        </w:rPr>
        <w:t>方指定的送达接收人：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，联系手机：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，送达地点：</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，电子邮箱：</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 xml:space="preserve"> 。</w:t>
      </w:r>
    </w:p>
    <w:p w14:paraId="566704A5">
      <w:pPr>
        <w:pageBreakBefore w:val="0"/>
        <w:widowControl w:val="0"/>
        <w:kinsoku/>
        <w:wordWrap/>
        <w:overflowPunct/>
        <w:topLinePunct w:val="0"/>
        <w:bidi w:val="0"/>
        <w:spacing w:line="500" w:lineRule="exact"/>
        <w:ind w:firstLine="480" w:firstLineChars="200"/>
        <w:rPr>
          <w:rFonts w:ascii="宋体" w:eastAsia="宋体"/>
          <w:color w:val="auto"/>
          <w:sz w:val="24"/>
          <w:szCs w:val="24"/>
          <w:highlight w:val="none"/>
        </w:rPr>
      </w:pPr>
      <w:r>
        <w:rPr>
          <w:rFonts w:hint="eastAsia" w:ascii="宋体" w:eastAsia="宋体"/>
          <w:color w:val="auto"/>
          <w:sz w:val="24"/>
          <w:szCs w:val="24"/>
          <w:highlight w:val="none"/>
        </w:rPr>
        <w:t>各方确认，本合同所记载的地址及联系方式即为各方指定的文书（包括诉讼/仲裁法律文书）送达地址。上述送达方式适用于非诉及诉讼阶段。</w:t>
      </w:r>
      <w:r>
        <w:rPr>
          <w:rFonts w:hint="eastAsia" w:ascii="宋体" w:eastAsia="宋体"/>
          <w:color w:val="auto"/>
          <w:sz w:val="24"/>
          <w:szCs w:val="24"/>
          <w:highlight w:val="none"/>
        </w:rPr>
        <w:cr/>
      </w:r>
      <w:r>
        <w:rPr>
          <w:rFonts w:hint="eastAsia" w:ascii="宋体" w:eastAsia="宋体"/>
          <w:color w:val="auto"/>
          <w:sz w:val="24"/>
          <w:szCs w:val="24"/>
          <w:highlight w:val="none"/>
        </w:rPr>
        <w:t xml:space="preserve">    各方任何一方如果迁址或变更联系方式的，变动方应当在该变更发生后5日内书面通知其他方，变动方如未及时通知其他方变更信息，按以上方式送达视为已送达，变动方应承担由此造成的损失。</w:t>
      </w:r>
    </w:p>
    <w:p w14:paraId="3E14854A">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5.各方代表：</w:t>
      </w:r>
    </w:p>
    <w:p w14:paraId="073B2161">
      <w:pPr>
        <w:pageBreakBefore w:val="0"/>
        <w:widowControl w:val="0"/>
        <w:kinsoku/>
        <w:wordWrap/>
        <w:overflowPunct/>
        <w:topLinePunct w:val="0"/>
        <w:bidi w:val="0"/>
        <w:spacing w:line="500" w:lineRule="exact"/>
        <w:rPr>
          <w:rFonts w:ascii="宋体" w:eastAsia="宋体"/>
          <w:color w:val="auto"/>
          <w:sz w:val="24"/>
          <w:szCs w:val="24"/>
          <w:highlight w:val="none"/>
          <w:u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w:t>
      </w:r>
      <w:r>
        <w:rPr>
          <w:rFonts w:ascii="宋体" w:eastAsia="宋体"/>
          <w:color w:val="auto"/>
          <w:sz w:val="24"/>
          <w:szCs w:val="24"/>
          <w:highlight w:val="none"/>
        </w:rPr>
        <w:t xml:space="preserve"> </w:t>
      </w:r>
      <w:r>
        <w:rPr>
          <w:rFonts w:hint="eastAsia" w:ascii="宋体" w:eastAsia="宋体"/>
          <w:color w:val="auto"/>
          <w:sz w:val="24"/>
          <w:szCs w:val="24"/>
          <w:highlight w:val="none"/>
          <w:u w:val="none"/>
        </w:rPr>
        <w:t>甲方代表为：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，联系方式：</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；授权范围：</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w:t>
      </w:r>
    </w:p>
    <w:p w14:paraId="58DF3B4D">
      <w:pPr>
        <w:pageBreakBefore w:val="0"/>
        <w:widowControl w:val="0"/>
        <w:kinsoku/>
        <w:wordWrap/>
        <w:overflowPunct/>
        <w:topLinePunct w:val="0"/>
        <w:spacing w:line="500" w:lineRule="exact"/>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u w:val="none"/>
          <w:lang w:val="en-US" w:eastAsia="zh-CN"/>
        </w:rPr>
        <w:t>乙</w:t>
      </w:r>
      <w:r>
        <w:rPr>
          <w:rFonts w:hint="eastAsia" w:ascii="宋体" w:eastAsia="宋体"/>
          <w:color w:val="auto"/>
          <w:sz w:val="24"/>
          <w:szCs w:val="24"/>
          <w:highlight w:val="none"/>
          <w:u w:val="none"/>
        </w:rPr>
        <w:t>方代表为：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，联系方式：</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none"/>
        </w:rPr>
        <w:t>；授权范围：</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 xml:space="preserve">     </w:t>
      </w:r>
      <w:r>
        <w:rPr>
          <w:rFonts w:hint="eastAsia" w:ascii="宋体" w:eastAsia="宋体"/>
          <w:color w:val="auto"/>
          <w:sz w:val="24"/>
          <w:szCs w:val="24"/>
          <w:highlight w:val="none"/>
          <w:u w:val="single"/>
        </w:rPr>
        <w:t xml:space="preserve">  。</w:t>
      </w:r>
    </w:p>
    <w:p w14:paraId="5BFDF37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6.知识产权条款：</w:t>
      </w:r>
    </w:p>
    <w:p w14:paraId="669D234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方提供给</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方的图纸、</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方为实施工程自行编制或委托编制的技术规范以及反映</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方要求的或其他类似性质文件的著作权属于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方可以为实现本合同目的而复制或者以其他方式使用此类文件，但不能用于与本合同无关的其他事项。未经</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方书面同意，</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方不得为了本合同以外的目的而复制或者以其他方式使用上述文件或将之提供给他人。</w:t>
      </w:r>
    </w:p>
    <w:p w14:paraId="10ABFA2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方为履行本合同约定而编制的成果文件，其著作权属于</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。但</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方可为实现合同目的而复制、使用此类文件，但不能擅自修改或用于与本合同无关的其他事项。未经</w:t>
      </w:r>
      <w:r>
        <w:rPr>
          <w:rFonts w:hint="eastAsia" w:ascii="宋体" w:eastAsia="宋体"/>
          <w:color w:val="auto"/>
          <w:sz w:val="24"/>
          <w:szCs w:val="24"/>
          <w:highlight w:val="none"/>
          <w:lang w:eastAsia="zh-CN"/>
        </w:rPr>
        <w:t>甲方</w:t>
      </w:r>
      <w:r>
        <w:rPr>
          <w:rFonts w:hint="eastAsia" w:ascii="宋体" w:eastAsia="宋体"/>
          <w:color w:val="auto"/>
          <w:sz w:val="24"/>
          <w:szCs w:val="24"/>
          <w:highlight w:val="none"/>
        </w:rPr>
        <w:t>书面同意，</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方不得为了本合同以外的目的而复制或者以其他方式使用上述文件或将之提供给他人。</w:t>
      </w:r>
    </w:p>
    <w:p w14:paraId="447582F9">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eastAsia="zh-CN"/>
        </w:rPr>
        <w:t>双方</w:t>
      </w:r>
      <w:r>
        <w:rPr>
          <w:rFonts w:hint="eastAsia" w:ascii="宋体" w:eastAsia="宋体"/>
          <w:color w:val="auto"/>
          <w:sz w:val="24"/>
          <w:szCs w:val="24"/>
          <w:highlight w:val="none"/>
        </w:rPr>
        <w:t>保证在履行本合同过程中不侵犯对方及他人的知识产权。因</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方侵犯他人知识产权所引起的责任，由</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方承担；因</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方提供的基础资料导致侵权的，由</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方承担责任。</w:t>
      </w:r>
    </w:p>
    <w:p w14:paraId="67D34D5B">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color w:val="auto"/>
          <w:sz w:val="24"/>
          <w:szCs w:val="24"/>
          <w:highlight w:val="none"/>
        </w:rPr>
        <w:t xml:space="preserve">    </w:t>
      </w:r>
      <w:bookmarkStart w:id="13" w:name="_Toc18870"/>
      <w:bookmarkStart w:id="14" w:name="_Toc26866153"/>
      <w:r>
        <w:rPr>
          <w:rFonts w:hint="eastAsia" w:ascii="宋体" w:eastAsia="宋体"/>
          <w:b/>
          <w:bCs/>
          <w:color w:val="auto"/>
          <w:sz w:val="24"/>
          <w:szCs w:val="24"/>
          <w:highlight w:val="none"/>
        </w:rPr>
        <w:t>十、争议解决</w:t>
      </w:r>
    </w:p>
    <w:p w14:paraId="20E1E3F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对于合同争议事项，</w:t>
      </w:r>
      <w:r>
        <w:rPr>
          <w:rFonts w:hint="eastAsia" w:ascii="宋体" w:eastAsia="宋体"/>
          <w:color w:val="auto"/>
          <w:sz w:val="24"/>
          <w:szCs w:val="24"/>
          <w:highlight w:val="none"/>
          <w:lang w:eastAsia="zh-CN"/>
        </w:rPr>
        <w:t>双方</w:t>
      </w:r>
      <w:r>
        <w:rPr>
          <w:rFonts w:hint="eastAsia" w:ascii="宋体" w:eastAsia="宋体"/>
          <w:color w:val="auto"/>
          <w:sz w:val="24"/>
          <w:szCs w:val="24"/>
          <w:highlight w:val="none"/>
        </w:rPr>
        <w:t>应友好协商解决；协商不成的，可直接向合同签订地有管辖权的人民法院提起诉讼。</w:t>
      </w:r>
      <w:bookmarkEnd w:id="13"/>
      <w:bookmarkEnd w:id="14"/>
    </w:p>
    <w:p w14:paraId="55EE046C">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color w:val="auto"/>
          <w:sz w:val="24"/>
          <w:szCs w:val="24"/>
          <w:highlight w:val="none"/>
        </w:rPr>
        <w:t xml:space="preserve">    </w:t>
      </w:r>
      <w:bookmarkStart w:id="15" w:name="_Toc17384"/>
      <w:bookmarkStart w:id="16" w:name="_Toc26866154"/>
      <w:r>
        <w:rPr>
          <w:rFonts w:hint="eastAsia" w:ascii="宋体" w:eastAsia="宋体"/>
          <w:b/>
          <w:bCs/>
          <w:color w:val="auto"/>
          <w:sz w:val="24"/>
          <w:szCs w:val="24"/>
          <w:highlight w:val="none"/>
        </w:rPr>
        <w:t>十</w:t>
      </w:r>
      <w:r>
        <w:rPr>
          <w:rFonts w:hint="eastAsia" w:ascii="宋体" w:eastAsia="宋体"/>
          <w:b/>
          <w:bCs/>
          <w:color w:val="auto"/>
          <w:sz w:val="24"/>
          <w:szCs w:val="24"/>
          <w:highlight w:val="none"/>
          <w:lang w:val="en-US" w:eastAsia="zh-CN"/>
        </w:rPr>
        <w:t>一</w:t>
      </w:r>
      <w:r>
        <w:rPr>
          <w:rFonts w:hint="eastAsia" w:ascii="宋体" w:eastAsia="宋体"/>
          <w:b/>
          <w:bCs/>
          <w:color w:val="auto"/>
          <w:sz w:val="24"/>
          <w:szCs w:val="24"/>
          <w:highlight w:val="none"/>
        </w:rPr>
        <w:t>、合同生效</w:t>
      </w:r>
      <w:bookmarkEnd w:id="15"/>
      <w:bookmarkEnd w:id="16"/>
    </w:p>
    <w:p w14:paraId="2730E86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本合同自</w:t>
      </w:r>
      <w:r>
        <w:rPr>
          <w:rFonts w:hint="eastAsia" w:ascii="宋体" w:eastAsia="宋体"/>
          <w:color w:val="auto"/>
          <w:sz w:val="24"/>
          <w:szCs w:val="24"/>
          <w:highlight w:val="none"/>
          <w:lang w:eastAsia="zh-CN"/>
        </w:rPr>
        <w:t>双方</w:t>
      </w:r>
      <w:r>
        <w:rPr>
          <w:rFonts w:hint="eastAsia" w:ascii="宋体" w:eastAsia="宋体"/>
          <w:color w:val="auto"/>
          <w:sz w:val="24"/>
          <w:szCs w:val="24"/>
          <w:highlight w:val="none"/>
        </w:rPr>
        <w:t>法定代表人或授权代表签字并加盖公章之日起生效。</w:t>
      </w:r>
    </w:p>
    <w:p w14:paraId="4F4F2C4E">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ascii="宋体" w:eastAsia="宋体"/>
          <w:color w:val="auto"/>
          <w:sz w:val="24"/>
          <w:szCs w:val="24"/>
          <w:highlight w:val="none"/>
        </w:rPr>
        <w:t xml:space="preserve">    </w:t>
      </w:r>
      <w:bookmarkStart w:id="17" w:name="_Toc26866155"/>
      <w:bookmarkStart w:id="18" w:name="_Toc24844"/>
      <w:r>
        <w:rPr>
          <w:rFonts w:hint="eastAsia" w:ascii="宋体" w:eastAsia="宋体"/>
          <w:b/>
          <w:bCs/>
          <w:color w:val="auto"/>
          <w:sz w:val="24"/>
          <w:szCs w:val="24"/>
          <w:highlight w:val="none"/>
        </w:rPr>
        <w:t>十</w:t>
      </w:r>
      <w:r>
        <w:rPr>
          <w:rFonts w:hint="eastAsia" w:ascii="宋体" w:eastAsia="宋体"/>
          <w:b/>
          <w:bCs/>
          <w:color w:val="auto"/>
          <w:sz w:val="24"/>
          <w:szCs w:val="24"/>
          <w:highlight w:val="none"/>
          <w:lang w:val="en-US" w:eastAsia="zh-CN"/>
        </w:rPr>
        <w:t>二</w:t>
      </w:r>
      <w:r>
        <w:rPr>
          <w:rFonts w:hint="eastAsia" w:ascii="宋体" w:eastAsia="宋体"/>
          <w:b/>
          <w:bCs/>
          <w:color w:val="auto"/>
          <w:sz w:val="24"/>
          <w:szCs w:val="24"/>
          <w:highlight w:val="none"/>
        </w:rPr>
        <w:t>、合同份数</w:t>
      </w:r>
      <w:bookmarkEnd w:id="17"/>
      <w:bookmarkEnd w:id="18"/>
    </w:p>
    <w:p w14:paraId="736BF834">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本合同一式【】份，</w:t>
      </w:r>
      <w:r>
        <w:rPr>
          <w:rFonts w:hint="eastAsia" w:ascii="宋体" w:eastAsia="宋体"/>
          <w:color w:val="auto"/>
          <w:sz w:val="24"/>
          <w:szCs w:val="24"/>
          <w:highlight w:val="none"/>
          <w:lang w:eastAsia="zh-CN"/>
        </w:rPr>
        <w:t>甲</w:t>
      </w:r>
      <w:r>
        <w:rPr>
          <w:rFonts w:hint="eastAsia" w:ascii="宋体" w:eastAsia="宋体"/>
          <w:color w:val="auto"/>
          <w:sz w:val="24"/>
          <w:szCs w:val="24"/>
          <w:highlight w:val="none"/>
        </w:rPr>
        <w:t>、</w:t>
      </w: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方各执【 】份。具有同等法律效力。</w:t>
      </w:r>
    </w:p>
    <w:p w14:paraId="397B33B1">
      <w:pPr>
        <w:pageBreakBefore w:val="0"/>
        <w:widowControl w:val="0"/>
        <w:kinsoku/>
        <w:wordWrap/>
        <w:overflowPunct/>
        <w:topLinePunct w:val="0"/>
        <w:bidi w:val="0"/>
        <w:spacing w:line="500" w:lineRule="exact"/>
        <w:rPr>
          <w:rFonts w:ascii="宋体" w:eastAsia="宋体"/>
          <w:b/>
          <w:bCs/>
          <w:color w:val="auto"/>
          <w:sz w:val="24"/>
          <w:szCs w:val="24"/>
          <w:highlight w:val="none"/>
        </w:rPr>
      </w:pPr>
      <w:r>
        <w:rPr>
          <w:rFonts w:hint="eastAsia" w:ascii="宋体" w:eastAsia="宋体"/>
          <w:color w:val="auto"/>
          <w:sz w:val="24"/>
          <w:szCs w:val="24"/>
          <w:highlight w:val="none"/>
        </w:rPr>
        <w:t xml:space="preserve">    </w:t>
      </w:r>
      <w:r>
        <w:rPr>
          <w:rFonts w:hint="eastAsia" w:ascii="宋体" w:eastAsia="宋体"/>
          <w:b/>
          <w:bCs/>
          <w:color w:val="auto"/>
          <w:sz w:val="24"/>
          <w:szCs w:val="24"/>
          <w:highlight w:val="none"/>
        </w:rPr>
        <w:t>十</w:t>
      </w:r>
      <w:r>
        <w:rPr>
          <w:rFonts w:hint="eastAsia" w:ascii="宋体" w:eastAsia="宋体"/>
          <w:b/>
          <w:bCs/>
          <w:color w:val="auto"/>
          <w:sz w:val="24"/>
          <w:szCs w:val="24"/>
          <w:highlight w:val="none"/>
          <w:lang w:val="en-US" w:eastAsia="zh-CN"/>
        </w:rPr>
        <w:t>三</w:t>
      </w:r>
      <w:r>
        <w:rPr>
          <w:rFonts w:hint="eastAsia" w:ascii="宋体" w:eastAsia="宋体"/>
          <w:b/>
          <w:bCs/>
          <w:color w:val="auto"/>
          <w:sz w:val="24"/>
          <w:szCs w:val="24"/>
          <w:highlight w:val="none"/>
        </w:rPr>
        <w:t>、合同订立时间及地点</w:t>
      </w:r>
    </w:p>
    <w:p w14:paraId="5E8713D3">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1.订立时间：</w:t>
      </w:r>
      <w:r>
        <w:rPr>
          <w:rFonts w:hint="eastAsia" w:ascii="宋体" w:eastAsia="宋体"/>
          <w:color w:val="auto"/>
          <w:sz w:val="24"/>
          <w:szCs w:val="24"/>
          <w:highlight w:val="none"/>
          <w:u w:val="none"/>
        </w:rPr>
        <w:t>2024年____月____日</w:t>
      </w:r>
      <w:r>
        <w:rPr>
          <w:rFonts w:hint="eastAsia" w:ascii="宋体" w:eastAsia="宋体"/>
          <w:color w:val="auto"/>
          <w:sz w:val="24"/>
          <w:szCs w:val="24"/>
          <w:highlight w:val="none"/>
        </w:rPr>
        <w:t>。</w:t>
      </w:r>
    </w:p>
    <w:p w14:paraId="0EBB2735">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    2.订立地点：广州市黄埔区。</w:t>
      </w:r>
    </w:p>
    <w:p w14:paraId="29A2546D">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（以下无正文）</w:t>
      </w:r>
    </w:p>
    <w:p w14:paraId="7CF87E98">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p>
    <w:p w14:paraId="618EC1E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附件：</w:t>
      </w:r>
      <w:r>
        <w:rPr>
          <w:rFonts w:hint="eastAsia" w:ascii="宋体" w:eastAsia="宋体"/>
          <w:color w:val="auto"/>
          <w:sz w:val="24"/>
          <w:szCs w:val="24"/>
          <w:highlight w:val="none"/>
          <w:lang w:val="en-US" w:eastAsia="zh-CN"/>
        </w:rPr>
        <w:t>1.</w:t>
      </w:r>
      <w:r>
        <w:rPr>
          <w:rFonts w:hint="eastAsia" w:ascii="宋体" w:eastAsia="宋体"/>
          <w:color w:val="auto"/>
          <w:sz w:val="24"/>
          <w:szCs w:val="24"/>
          <w:highlight w:val="none"/>
        </w:rPr>
        <w:t>造价咨询（工程造价）工作质量评分表</w:t>
      </w:r>
    </w:p>
    <w:p w14:paraId="22F525D1">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2.</w:t>
      </w:r>
      <w:r>
        <w:rPr>
          <w:rFonts w:hint="eastAsia" w:ascii="宋体" w:eastAsia="宋体"/>
          <w:color w:val="auto"/>
          <w:sz w:val="24"/>
          <w:szCs w:val="24"/>
          <w:highlight w:val="none"/>
        </w:rPr>
        <w:t>项目人员组成表</w:t>
      </w:r>
    </w:p>
    <w:p w14:paraId="4DF5C147">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3.</w:t>
      </w:r>
      <w:r>
        <w:rPr>
          <w:rFonts w:hint="eastAsia" w:ascii="宋体" w:eastAsia="宋体"/>
          <w:color w:val="auto"/>
          <w:sz w:val="24"/>
          <w:szCs w:val="24"/>
          <w:highlight w:val="none"/>
        </w:rPr>
        <w:t>造价咨询任务大纲</w:t>
      </w:r>
    </w:p>
    <w:p w14:paraId="6894619B">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4.</w:t>
      </w:r>
      <w:r>
        <w:rPr>
          <w:rFonts w:hint="eastAsia" w:ascii="宋体" w:eastAsia="宋体"/>
          <w:color w:val="auto"/>
          <w:sz w:val="24"/>
          <w:szCs w:val="24"/>
          <w:highlight w:val="none"/>
        </w:rPr>
        <w:t>对造价咨询单位投入本项目的人员要求</w:t>
      </w:r>
    </w:p>
    <w:p w14:paraId="7D36F83C">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5.</w:t>
      </w:r>
      <w:r>
        <w:rPr>
          <w:rFonts w:hint="eastAsia" w:ascii="宋体" w:eastAsia="宋体"/>
          <w:color w:val="auto"/>
          <w:sz w:val="24"/>
          <w:szCs w:val="24"/>
          <w:highlight w:val="none"/>
        </w:rPr>
        <w:t>投标报价表</w:t>
      </w:r>
    </w:p>
    <w:p w14:paraId="511E4EA4">
      <w:pPr>
        <w:pageBreakBefore w:val="0"/>
        <w:widowControl w:val="0"/>
        <w:kinsoku/>
        <w:wordWrap/>
        <w:overflowPunct/>
        <w:topLinePunct w:val="0"/>
        <w:bidi w:val="0"/>
        <w:spacing w:line="500" w:lineRule="exact"/>
        <w:rPr>
          <w:rFonts w:ascii="宋体" w:eastAsia="宋体"/>
          <w:color w:val="auto"/>
          <w:sz w:val="24"/>
          <w:szCs w:val="24"/>
          <w:highlight w:val="none"/>
          <w:lang w:val="en-US" w:eastAsia="zh-CN"/>
        </w:rPr>
      </w:pPr>
      <w:r>
        <w:rPr>
          <w:rFonts w:asci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6.</w:t>
      </w:r>
      <w:r>
        <w:rPr>
          <w:rFonts w:hint="eastAsia" w:ascii="宋体" w:eastAsia="宋体"/>
          <w:color w:val="auto"/>
          <w:sz w:val="24"/>
          <w:szCs w:val="24"/>
          <w:highlight w:val="none"/>
        </w:rPr>
        <w:t>中标通知书</w:t>
      </w:r>
      <w:r>
        <w:rPr>
          <w:rFonts w:hint="eastAsia" w:ascii="宋体" w:eastAsia="宋体"/>
          <w:color w:val="auto"/>
          <w:sz w:val="24"/>
          <w:szCs w:val="24"/>
          <w:highlight w:val="none"/>
          <w:lang w:val="en-US" w:eastAsia="zh-CN"/>
        </w:rPr>
        <w:t>/委托书</w:t>
      </w:r>
    </w:p>
    <w:p w14:paraId="468BC0DF">
      <w:pPr>
        <w:pageBreakBefore w:val="0"/>
        <w:widowControl w:val="0"/>
        <w:kinsoku/>
        <w:wordWrap/>
        <w:overflowPunct/>
        <w:topLinePunct w:val="0"/>
        <w:bidi w:val="0"/>
        <w:spacing w:line="500" w:lineRule="exact"/>
        <w:ind w:firstLine="1200" w:firstLineChars="500"/>
        <w:rPr>
          <w:rFonts w:ascii="宋体" w:eastAsia="宋体"/>
          <w:color w:val="auto"/>
          <w:sz w:val="24"/>
          <w:szCs w:val="24"/>
          <w:highlight w:val="none"/>
        </w:rPr>
      </w:pPr>
      <w:r>
        <w:rPr>
          <w:rFonts w:hint="eastAsia" w:ascii="宋体" w:eastAsia="宋体"/>
          <w:color w:val="auto"/>
          <w:sz w:val="24"/>
          <w:szCs w:val="24"/>
          <w:highlight w:val="none"/>
          <w:lang w:val="en-US" w:eastAsia="zh-CN"/>
        </w:rPr>
        <w:t>7.</w:t>
      </w:r>
      <w:r>
        <w:rPr>
          <w:rFonts w:hint="eastAsia" w:ascii="宋体" w:eastAsia="宋体"/>
          <w:color w:val="auto"/>
          <w:sz w:val="24"/>
          <w:szCs w:val="24"/>
          <w:highlight w:val="none"/>
        </w:rPr>
        <w:t>廉洁协议</w:t>
      </w:r>
    </w:p>
    <w:p w14:paraId="3AFF23F0">
      <w:pPr>
        <w:pageBreakBefore w:val="0"/>
        <w:widowControl w:val="0"/>
        <w:kinsoku/>
        <w:wordWrap/>
        <w:overflowPunct/>
        <w:topLinePunct w:val="0"/>
        <w:bidi w:val="0"/>
        <w:spacing w:line="500" w:lineRule="exact"/>
        <w:ind w:firstLine="480" w:firstLineChars="200"/>
        <w:rPr>
          <w:rFonts w:hint="eastAsia" w:ascii="宋体" w:eastAsia="宋体"/>
          <w:color w:val="auto"/>
          <w:sz w:val="24"/>
          <w:szCs w:val="24"/>
          <w:highlight w:val="none"/>
        </w:rPr>
      </w:pPr>
    </w:p>
    <w:p w14:paraId="74998DAA">
      <w:pPr>
        <w:pageBreakBefore w:val="0"/>
        <w:widowControl/>
        <w:kinsoku/>
        <w:wordWrap/>
        <w:overflowPunct/>
        <w:topLinePunct w:val="0"/>
        <w:bidi w:val="0"/>
        <w:spacing w:line="500" w:lineRule="exact"/>
        <w:jc w:val="lef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br w:type="page"/>
      </w:r>
    </w:p>
    <w:p w14:paraId="36130BB0">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（本页为合同签署页）</w:t>
      </w:r>
    </w:p>
    <w:p w14:paraId="1DC9B626">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p>
    <w:p w14:paraId="7F17122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甲方：（盖章）</w:t>
      </w:r>
    </w:p>
    <w:p w14:paraId="660B95CC">
      <w:pPr>
        <w:pageBreakBefore w:val="0"/>
        <w:widowControl w:val="0"/>
        <w:kinsoku/>
        <w:wordWrap/>
        <w:overflowPunct/>
        <w:topLinePunct w:val="0"/>
        <w:bidi w:val="0"/>
        <w:spacing w:line="500" w:lineRule="exact"/>
        <w:rPr>
          <w:rFonts w:ascii="宋体" w:eastAsia="宋体"/>
          <w:color w:val="auto"/>
          <w:sz w:val="24"/>
          <w:szCs w:val="24"/>
          <w:highlight w:val="none"/>
        </w:rPr>
      </w:pPr>
    </w:p>
    <w:p w14:paraId="624FC6C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法定代表人/授权代表（签字或盖章）：</w:t>
      </w:r>
    </w:p>
    <w:p w14:paraId="2B91BC3E">
      <w:pPr>
        <w:pageBreakBefore w:val="0"/>
        <w:widowControl w:val="0"/>
        <w:kinsoku/>
        <w:wordWrap/>
        <w:overflowPunct/>
        <w:topLinePunct w:val="0"/>
        <w:bidi w:val="0"/>
        <w:spacing w:line="500" w:lineRule="exact"/>
        <w:rPr>
          <w:rFonts w:ascii="宋体" w:eastAsia="宋体"/>
          <w:color w:val="auto"/>
          <w:sz w:val="24"/>
          <w:szCs w:val="24"/>
          <w:highlight w:val="none"/>
        </w:rPr>
      </w:pPr>
    </w:p>
    <w:p w14:paraId="3A9C0D3A">
      <w:pPr>
        <w:pageBreakBefore w:val="0"/>
        <w:widowControl w:val="0"/>
        <w:kinsoku/>
        <w:wordWrap/>
        <w:overflowPunct/>
        <w:topLinePunct w:val="0"/>
        <w:bidi w:val="0"/>
        <w:spacing w:line="500" w:lineRule="exact"/>
        <w:rPr>
          <w:rFonts w:ascii="宋体" w:eastAsia="宋体"/>
          <w:color w:val="auto"/>
          <w:sz w:val="24"/>
          <w:szCs w:val="24"/>
          <w:highlight w:val="none"/>
        </w:rPr>
      </w:pPr>
    </w:p>
    <w:p w14:paraId="5A445259">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方：（盖章）</w:t>
      </w:r>
    </w:p>
    <w:p w14:paraId="74CF2301">
      <w:pPr>
        <w:pageBreakBefore w:val="0"/>
        <w:widowControl w:val="0"/>
        <w:kinsoku/>
        <w:wordWrap/>
        <w:overflowPunct/>
        <w:topLinePunct w:val="0"/>
        <w:bidi w:val="0"/>
        <w:spacing w:line="500" w:lineRule="exact"/>
        <w:rPr>
          <w:rFonts w:ascii="宋体" w:eastAsia="宋体"/>
          <w:color w:val="auto"/>
          <w:sz w:val="24"/>
          <w:szCs w:val="24"/>
          <w:highlight w:val="none"/>
        </w:rPr>
      </w:pPr>
    </w:p>
    <w:p w14:paraId="54D7E5D6">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法定代表人/授权代表（签字或盖章）：</w:t>
      </w:r>
    </w:p>
    <w:p w14:paraId="29BA5622">
      <w:pPr>
        <w:pageBreakBefore w:val="0"/>
        <w:widowControl w:val="0"/>
        <w:kinsoku/>
        <w:wordWrap/>
        <w:overflowPunct/>
        <w:topLinePunct w:val="0"/>
        <w:bidi w:val="0"/>
        <w:spacing w:line="500" w:lineRule="exact"/>
        <w:rPr>
          <w:rFonts w:ascii="宋体" w:eastAsia="宋体"/>
          <w:color w:val="auto"/>
          <w:sz w:val="24"/>
          <w:szCs w:val="24"/>
          <w:highlight w:val="none"/>
        </w:rPr>
      </w:pPr>
    </w:p>
    <w:p w14:paraId="4FD7421C">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签约日期：   年  月  日</w:t>
      </w:r>
    </w:p>
    <w:p w14:paraId="1811ABCF">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签约地点：广州市黄埔区</w:t>
      </w:r>
    </w:p>
    <w:p w14:paraId="17A39980">
      <w:pPr>
        <w:pageBreakBefore w:val="0"/>
        <w:widowControl w:val="0"/>
        <w:kinsoku/>
        <w:wordWrap/>
        <w:overflowPunct/>
        <w:topLinePunct w:val="0"/>
        <w:bidi w:val="0"/>
        <w:spacing w:line="500" w:lineRule="exact"/>
        <w:jc w:val="left"/>
        <w:rPr>
          <w:rStyle w:val="50"/>
          <w:rFonts w:ascii="宋体" w:eastAsia="宋体" w:cs="宋体"/>
          <w:color w:val="auto"/>
          <w:sz w:val="24"/>
          <w:szCs w:val="24"/>
          <w:highlight w:val="none"/>
        </w:rPr>
      </w:pPr>
      <w:r>
        <w:rPr>
          <w:rFonts w:hint="eastAsia" w:ascii="宋体" w:eastAsia="宋体" w:cs="宋体"/>
          <w:b/>
          <w:color w:val="auto"/>
          <w:kern w:val="0"/>
          <w:sz w:val="24"/>
          <w:szCs w:val="24"/>
          <w:highlight w:val="none"/>
        </w:rPr>
        <w:br w:type="page"/>
      </w:r>
      <w:bookmarkStart w:id="19" w:name="_Toc1372_WPSOffice_Level2"/>
      <w:bookmarkStart w:id="20" w:name="_Toc26866227"/>
      <w:r>
        <w:rPr>
          <w:rStyle w:val="50"/>
          <w:rFonts w:hint="eastAsia" w:ascii="宋体" w:eastAsia="宋体" w:cs="宋体"/>
          <w:color w:val="auto"/>
          <w:sz w:val="24"/>
          <w:szCs w:val="24"/>
          <w:highlight w:val="none"/>
        </w:rPr>
        <w:t>附件1：造价咨询（工程造价）工作质量评分表</w:t>
      </w:r>
      <w:bookmarkEnd w:id="19"/>
      <w:bookmarkEnd w:id="20"/>
    </w:p>
    <w:p w14:paraId="324A0478">
      <w:pPr>
        <w:pageBreakBefore w:val="0"/>
        <w:widowControl w:val="0"/>
        <w:kinsoku/>
        <w:wordWrap/>
        <w:overflowPunct/>
        <w:topLinePunct w:val="0"/>
        <w:autoSpaceDE w:val="0"/>
        <w:autoSpaceDN w:val="0"/>
        <w:bidi w:val="0"/>
        <w:adjustRightInd w:val="0"/>
        <w:spacing w:line="500" w:lineRule="exact"/>
        <w:ind w:firstLine="646"/>
        <w:jc w:val="center"/>
        <w:rPr>
          <w:rFonts w:ascii="宋体" w:eastAsia="宋体" w:cs="宋体"/>
          <w:b/>
          <w:color w:val="auto"/>
          <w:kern w:val="0"/>
          <w:sz w:val="24"/>
          <w:szCs w:val="24"/>
          <w:highlight w:val="none"/>
        </w:rPr>
      </w:pPr>
      <w:r>
        <w:rPr>
          <w:rStyle w:val="50"/>
          <w:rFonts w:ascii="宋体" w:eastAsia="宋体" w:cs="宋体"/>
          <w:color w:val="auto"/>
          <w:sz w:val="24"/>
          <w:szCs w:val="24"/>
          <w:highlight w:val="none"/>
        </w:rPr>
        <w:t xml:space="preserve">   </w:t>
      </w:r>
    </w:p>
    <w:p w14:paraId="5C07650B">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b/>
          <w:color w:val="auto"/>
          <w:kern w:val="0"/>
          <w:sz w:val="24"/>
          <w:szCs w:val="24"/>
          <w:highlight w:val="none"/>
        </w:rPr>
        <w:t xml:space="preserve">    </w:t>
      </w:r>
      <w:r>
        <w:rPr>
          <w:rFonts w:hint="eastAsia" w:ascii="宋体" w:eastAsia="宋体" w:cs="宋体"/>
          <w:color w:val="auto"/>
          <w:kern w:val="0"/>
          <w:sz w:val="24"/>
          <w:szCs w:val="24"/>
          <w:highlight w:val="none"/>
        </w:rPr>
        <w:t>项目名称：</w:t>
      </w:r>
    </w:p>
    <w:tbl>
      <w:tblPr>
        <w:tblStyle w:val="42"/>
        <w:tblpPr w:leftFromText="180" w:rightFromText="180" w:vertAnchor="text" w:horzAnchor="page" w:tblpX="1779" w:tblpY="86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763"/>
        <w:gridCol w:w="942"/>
        <w:gridCol w:w="942"/>
        <w:gridCol w:w="3668"/>
        <w:gridCol w:w="760"/>
        <w:gridCol w:w="531"/>
        <w:gridCol w:w="634"/>
      </w:tblGrid>
      <w:tr w14:paraId="18B0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12" w:type="pct"/>
            <w:tcBorders>
              <w:top w:val="single" w:color="auto" w:sz="4" w:space="0"/>
              <w:left w:val="single" w:color="auto" w:sz="4" w:space="0"/>
              <w:bottom w:val="single" w:color="auto" w:sz="4" w:space="0"/>
              <w:right w:val="single" w:color="auto" w:sz="4" w:space="0"/>
            </w:tcBorders>
            <w:vAlign w:val="center"/>
          </w:tcPr>
          <w:p w14:paraId="44B463F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序号</w:t>
            </w:r>
          </w:p>
        </w:tc>
        <w:tc>
          <w:tcPr>
            <w:tcW w:w="416" w:type="pct"/>
            <w:tcBorders>
              <w:top w:val="single" w:color="auto" w:sz="4" w:space="0"/>
              <w:left w:val="single" w:color="auto" w:sz="4" w:space="0"/>
              <w:bottom w:val="single" w:color="auto" w:sz="4" w:space="0"/>
              <w:right w:val="single" w:color="auto" w:sz="4" w:space="0"/>
            </w:tcBorders>
            <w:vAlign w:val="center"/>
          </w:tcPr>
          <w:p w14:paraId="0D89B8A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评分项目</w:t>
            </w:r>
          </w:p>
        </w:tc>
        <w:tc>
          <w:tcPr>
            <w:tcW w:w="512" w:type="pct"/>
            <w:tcBorders>
              <w:top w:val="single" w:color="auto" w:sz="4" w:space="0"/>
              <w:left w:val="single" w:color="auto" w:sz="4" w:space="0"/>
              <w:bottom w:val="single" w:color="auto" w:sz="4" w:space="0"/>
              <w:right w:val="single" w:color="auto" w:sz="4" w:space="0"/>
            </w:tcBorders>
            <w:vAlign w:val="center"/>
          </w:tcPr>
          <w:p w14:paraId="045015F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分项基本分</w:t>
            </w:r>
          </w:p>
        </w:tc>
        <w:tc>
          <w:tcPr>
            <w:tcW w:w="512" w:type="pct"/>
            <w:tcBorders>
              <w:top w:val="single" w:color="auto" w:sz="4" w:space="0"/>
              <w:left w:val="single" w:color="auto" w:sz="4" w:space="0"/>
              <w:bottom w:val="single" w:color="auto" w:sz="4" w:space="0"/>
              <w:right w:val="single" w:color="auto" w:sz="4" w:space="0"/>
            </w:tcBorders>
            <w:vAlign w:val="center"/>
          </w:tcPr>
          <w:p w14:paraId="7B07460C">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分项</w:t>
            </w:r>
          </w:p>
        </w:tc>
        <w:tc>
          <w:tcPr>
            <w:tcW w:w="1994" w:type="pct"/>
            <w:tcBorders>
              <w:top w:val="single" w:color="auto" w:sz="4" w:space="0"/>
              <w:left w:val="single" w:color="auto" w:sz="4" w:space="0"/>
              <w:bottom w:val="single" w:color="auto" w:sz="4" w:space="0"/>
              <w:right w:val="single" w:color="auto" w:sz="4" w:space="0"/>
            </w:tcBorders>
            <w:vAlign w:val="center"/>
          </w:tcPr>
          <w:p w14:paraId="496B10C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kern w:val="0"/>
                <w:sz w:val="24"/>
                <w:szCs w:val="24"/>
                <w:highlight w:val="none"/>
              </w:rPr>
              <w:t>考评分项与扣分标准</w:t>
            </w:r>
          </w:p>
        </w:tc>
        <w:tc>
          <w:tcPr>
            <w:tcW w:w="414" w:type="pct"/>
            <w:tcBorders>
              <w:top w:val="single" w:color="auto" w:sz="4" w:space="0"/>
              <w:left w:val="single" w:color="auto" w:sz="4" w:space="0"/>
              <w:bottom w:val="single" w:color="auto" w:sz="4" w:space="0"/>
              <w:right w:val="single" w:color="auto" w:sz="4" w:space="0"/>
            </w:tcBorders>
            <w:vAlign w:val="center"/>
          </w:tcPr>
          <w:p w14:paraId="04B5A71A">
            <w:pPr>
              <w:pageBreakBefore w:val="0"/>
              <w:widowControl w:val="0"/>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造价咨询单位自评</w:t>
            </w:r>
          </w:p>
          <w:p w14:paraId="69AEB1A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分</w:t>
            </w:r>
          </w:p>
        </w:tc>
        <w:tc>
          <w:tcPr>
            <w:tcW w:w="289" w:type="pct"/>
            <w:tcBorders>
              <w:top w:val="single" w:color="auto" w:sz="4" w:space="0"/>
              <w:left w:val="single" w:color="auto" w:sz="4" w:space="0"/>
              <w:bottom w:val="single" w:color="auto" w:sz="4" w:space="0"/>
              <w:right w:val="single" w:color="auto" w:sz="4" w:space="0"/>
            </w:tcBorders>
            <w:vAlign w:val="center"/>
          </w:tcPr>
          <w:p w14:paraId="47F71001">
            <w:pPr>
              <w:pageBreakBefore w:val="0"/>
              <w:widowControl w:val="0"/>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代建单位评分</w:t>
            </w:r>
          </w:p>
        </w:tc>
        <w:tc>
          <w:tcPr>
            <w:tcW w:w="345" w:type="pct"/>
            <w:tcBorders>
              <w:top w:val="single" w:color="auto" w:sz="4" w:space="0"/>
              <w:left w:val="single" w:color="auto" w:sz="4" w:space="0"/>
              <w:bottom w:val="single" w:color="auto" w:sz="4" w:space="0"/>
              <w:right w:val="single" w:color="auto" w:sz="4" w:space="0"/>
            </w:tcBorders>
            <w:vAlign w:val="center"/>
          </w:tcPr>
          <w:p w14:paraId="6ECBC8E0">
            <w:pPr>
              <w:pageBreakBefore w:val="0"/>
              <w:widowControl w:val="0"/>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建设单位评分</w:t>
            </w:r>
          </w:p>
        </w:tc>
      </w:tr>
      <w:tr w14:paraId="158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512" w:type="pct"/>
            <w:vMerge w:val="restart"/>
            <w:tcBorders>
              <w:top w:val="single" w:color="auto" w:sz="4" w:space="0"/>
              <w:left w:val="single" w:color="auto" w:sz="4" w:space="0"/>
              <w:bottom w:val="single" w:color="auto" w:sz="4" w:space="0"/>
              <w:right w:val="single" w:color="auto" w:sz="4" w:space="0"/>
            </w:tcBorders>
            <w:vAlign w:val="center"/>
          </w:tcPr>
          <w:p w14:paraId="1851CE88">
            <w:pPr>
              <w:pageBreakBefore w:val="0"/>
              <w:widowControl w:val="0"/>
              <w:kinsoku/>
              <w:wordWrap/>
              <w:overflowPunct/>
              <w:topLinePunct w:val="0"/>
              <w:bidi w:val="0"/>
              <w:spacing w:line="500" w:lineRule="exact"/>
              <w:ind w:firstLine="484"/>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一</w:t>
            </w:r>
          </w:p>
        </w:tc>
        <w:tc>
          <w:tcPr>
            <w:tcW w:w="41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6DC639A7">
            <w:pPr>
              <w:pageBreakBefore w:val="0"/>
              <w:widowControl w:val="0"/>
              <w:kinsoku/>
              <w:wordWrap/>
              <w:overflowPunct/>
              <w:topLinePunct w:val="0"/>
              <w:bidi w:val="0"/>
              <w:spacing w:line="500" w:lineRule="exact"/>
              <w:ind w:left="113" w:right="113"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人员组织</w:t>
            </w:r>
          </w:p>
        </w:tc>
        <w:tc>
          <w:tcPr>
            <w:tcW w:w="512" w:type="pct"/>
            <w:vMerge w:val="restart"/>
            <w:tcBorders>
              <w:top w:val="single" w:color="auto" w:sz="4" w:space="0"/>
              <w:left w:val="single" w:color="auto" w:sz="4" w:space="0"/>
              <w:bottom w:val="single" w:color="auto" w:sz="4" w:space="0"/>
              <w:right w:val="single" w:color="auto" w:sz="4" w:space="0"/>
            </w:tcBorders>
            <w:vAlign w:val="center"/>
          </w:tcPr>
          <w:p w14:paraId="03739E67">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20</w:t>
            </w:r>
          </w:p>
        </w:tc>
        <w:tc>
          <w:tcPr>
            <w:tcW w:w="512" w:type="pct"/>
            <w:tcBorders>
              <w:top w:val="single" w:color="auto" w:sz="4" w:space="0"/>
              <w:left w:val="single" w:color="auto" w:sz="4" w:space="0"/>
              <w:bottom w:val="single" w:color="auto" w:sz="4" w:space="0"/>
              <w:right w:val="single" w:color="auto" w:sz="4" w:space="0"/>
            </w:tcBorders>
            <w:vAlign w:val="center"/>
          </w:tcPr>
          <w:p w14:paraId="0B98FF6C">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w:t>
            </w:r>
          </w:p>
        </w:tc>
        <w:tc>
          <w:tcPr>
            <w:tcW w:w="1994" w:type="pct"/>
            <w:tcBorders>
              <w:top w:val="single" w:color="auto" w:sz="4" w:space="0"/>
              <w:left w:val="single" w:color="auto" w:sz="4" w:space="0"/>
              <w:bottom w:val="single" w:color="auto" w:sz="4" w:space="0"/>
              <w:right w:val="single" w:color="auto" w:sz="4" w:space="0"/>
            </w:tcBorders>
            <w:vAlign w:val="center"/>
          </w:tcPr>
          <w:p w14:paraId="71151447">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人员架构：</w:t>
            </w:r>
          </w:p>
          <w:p w14:paraId="52F5CE8E">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（1）架构不合理；</w:t>
            </w:r>
          </w:p>
          <w:p w14:paraId="67087ED2">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（2）数量不足够；</w:t>
            </w:r>
          </w:p>
          <w:p w14:paraId="00140FD6">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（3）专业配置不齐全。</w:t>
            </w:r>
          </w:p>
          <w:p w14:paraId="0A501D81">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（4）与承诺人员不符。扣3分/项</w:t>
            </w:r>
          </w:p>
        </w:tc>
        <w:tc>
          <w:tcPr>
            <w:tcW w:w="414" w:type="pct"/>
            <w:tcBorders>
              <w:top w:val="single" w:color="auto" w:sz="4" w:space="0"/>
              <w:left w:val="single" w:color="auto" w:sz="4" w:space="0"/>
              <w:bottom w:val="single" w:color="auto" w:sz="4" w:space="0"/>
              <w:right w:val="single" w:color="auto" w:sz="4" w:space="0"/>
            </w:tcBorders>
            <w:vAlign w:val="center"/>
          </w:tcPr>
          <w:p w14:paraId="7B61422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7B1F7B8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3CB5C7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115F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37E95C11"/>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1124C9CF"/>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6BE1A688"/>
        </w:tc>
        <w:tc>
          <w:tcPr>
            <w:tcW w:w="512" w:type="pct"/>
            <w:tcBorders>
              <w:top w:val="single" w:color="auto" w:sz="4" w:space="0"/>
              <w:left w:val="single" w:color="auto" w:sz="4" w:space="0"/>
              <w:bottom w:val="single" w:color="auto" w:sz="4" w:space="0"/>
              <w:right w:val="single" w:color="auto" w:sz="4" w:space="0"/>
            </w:tcBorders>
            <w:vAlign w:val="center"/>
          </w:tcPr>
          <w:p w14:paraId="17F9EB08">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w:t>
            </w:r>
          </w:p>
        </w:tc>
        <w:tc>
          <w:tcPr>
            <w:tcW w:w="1994" w:type="pct"/>
            <w:tcBorders>
              <w:top w:val="single" w:color="auto" w:sz="4" w:space="0"/>
              <w:left w:val="single" w:color="auto" w:sz="4" w:space="0"/>
              <w:bottom w:val="single" w:color="auto" w:sz="4" w:space="0"/>
              <w:right w:val="single" w:color="auto" w:sz="4" w:space="0"/>
            </w:tcBorders>
            <w:vAlign w:val="center"/>
          </w:tcPr>
          <w:p w14:paraId="62B22D22">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总负责人在造价咨询项目推进及有需要时，未及时协调处理突发事件并未提供专业咨询意见.</w:t>
            </w:r>
          </w:p>
          <w:p w14:paraId="5C74FAA0">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扣3分</w:t>
            </w:r>
          </w:p>
        </w:tc>
        <w:tc>
          <w:tcPr>
            <w:tcW w:w="414" w:type="pct"/>
            <w:tcBorders>
              <w:top w:val="single" w:color="auto" w:sz="4" w:space="0"/>
              <w:left w:val="single" w:color="auto" w:sz="4" w:space="0"/>
              <w:bottom w:val="single" w:color="auto" w:sz="4" w:space="0"/>
              <w:right w:val="single" w:color="auto" w:sz="4" w:space="0"/>
            </w:tcBorders>
            <w:vAlign w:val="center"/>
          </w:tcPr>
          <w:p w14:paraId="729C514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4DF9DC17">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F4521D7">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691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5D7E0ED8"/>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44A0378"/>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72EF2202"/>
        </w:tc>
        <w:tc>
          <w:tcPr>
            <w:tcW w:w="512" w:type="pct"/>
            <w:tcBorders>
              <w:top w:val="single" w:color="auto" w:sz="4" w:space="0"/>
              <w:left w:val="single" w:color="auto" w:sz="4" w:space="0"/>
              <w:bottom w:val="single" w:color="auto" w:sz="4" w:space="0"/>
              <w:right w:val="single" w:color="auto" w:sz="4" w:space="0"/>
            </w:tcBorders>
            <w:vAlign w:val="center"/>
          </w:tcPr>
          <w:p w14:paraId="4E6E0D35">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3</w:t>
            </w:r>
          </w:p>
        </w:tc>
        <w:tc>
          <w:tcPr>
            <w:tcW w:w="1994" w:type="pct"/>
            <w:tcBorders>
              <w:top w:val="single" w:color="auto" w:sz="4" w:space="0"/>
              <w:left w:val="single" w:color="auto" w:sz="4" w:space="0"/>
              <w:bottom w:val="single" w:color="auto" w:sz="4" w:space="0"/>
              <w:right w:val="single" w:color="auto" w:sz="4" w:space="0"/>
            </w:tcBorders>
            <w:vAlign w:val="center"/>
          </w:tcPr>
          <w:p w14:paraId="554B08AB">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技术负责人：</w:t>
            </w:r>
          </w:p>
          <w:p w14:paraId="634F22AC">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（1）未经面试通过，自行更换；</w:t>
            </w:r>
          </w:p>
          <w:p w14:paraId="49C22107">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）跟进项目咨询服务进展不及时；</w:t>
            </w:r>
          </w:p>
          <w:p w14:paraId="758EFAAB">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3</w:t>
            </w:r>
            <w:r>
              <w:rPr>
                <w:rFonts w:hint="eastAsia" w:ascii="宋体" w:eastAsia="宋体" w:cs="宋体"/>
                <w:color w:val="auto"/>
                <w:kern w:val="0"/>
                <w:sz w:val="24"/>
                <w:szCs w:val="24"/>
                <w:highlight w:val="none"/>
              </w:rPr>
              <w:t>）未直接参与咨询工作的各重大环节，包括清单的编制</w:t>
            </w:r>
            <w:r>
              <w:rPr>
                <w:rFonts w:hint="eastAsia" w:ascii="宋体" w:eastAsia="宋体" w:cs="宋体"/>
                <w:color w:val="auto"/>
                <w:kern w:val="0"/>
                <w:sz w:val="24"/>
                <w:szCs w:val="24"/>
                <w:highlight w:val="none"/>
                <w:lang w:val="en-US" w:eastAsia="zh-CN"/>
              </w:rPr>
              <w:t>或</w:t>
            </w:r>
            <w:r>
              <w:rPr>
                <w:rFonts w:hint="eastAsia" w:ascii="宋体" w:eastAsia="宋体" w:cs="宋体"/>
                <w:color w:val="auto"/>
                <w:kern w:val="0"/>
                <w:sz w:val="24"/>
                <w:szCs w:val="24"/>
                <w:highlight w:val="none"/>
              </w:rPr>
              <w:t>审核、预算的编制</w:t>
            </w:r>
            <w:r>
              <w:rPr>
                <w:rFonts w:hint="eastAsia" w:ascii="宋体" w:eastAsia="宋体" w:cs="宋体"/>
                <w:color w:val="auto"/>
                <w:kern w:val="0"/>
                <w:sz w:val="24"/>
                <w:szCs w:val="24"/>
                <w:highlight w:val="none"/>
                <w:lang w:val="en-US" w:eastAsia="zh-CN"/>
              </w:rPr>
              <w:t>或</w:t>
            </w:r>
            <w:r>
              <w:rPr>
                <w:rFonts w:hint="eastAsia" w:ascii="宋体" w:eastAsia="宋体" w:cs="宋体"/>
                <w:color w:val="auto"/>
                <w:kern w:val="0"/>
                <w:sz w:val="24"/>
                <w:szCs w:val="24"/>
                <w:highlight w:val="none"/>
              </w:rPr>
              <w:t>审核、参加相关工作会议；</w:t>
            </w:r>
          </w:p>
          <w:p w14:paraId="751D0580">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4</w:t>
            </w:r>
            <w:r>
              <w:rPr>
                <w:rFonts w:hint="eastAsia" w:ascii="宋体" w:eastAsia="宋体" w:cs="宋体"/>
                <w:color w:val="auto"/>
                <w:kern w:val="0"/>
                <w:sz w:val="24"/>
                <w:szCs w:val="24"/>
                <w:highlight w:val="none"/>
              </w:rPr>
              <w:t>）未及时向</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主办部门负责人汇报。</w:t>
            </w:r>
          </w:p>
          <w:p w14:paraId="34B077C5">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扣2分/项，扣完为止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2B8DF69C">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3ACCD34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44F17C6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6955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0C528F75"/>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18F27425"/>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3EFED93"/>
        </w:tc>
        <w:tc>
          <w:tcPr>
            <w:tcW w:w="512" w:type="pct"/>
            <w:tcBorders>
              <w:top w:val="single" w:color="auto" w:sz="4" w:space="0"/>
              <w:left w:val="single" w:color="auto" w:sz="4" w:space="0"/>
              <w:bottom w:val="single" w:color="auto" w:sz="4" w:space="0"/>
              <w:right w:val="single" w:color="auto" w:sz="4" w:space="0"/>
            </w:tcBorders>
            <w:vAlign w:val="center"/>
          </w:tcPr>
          <w:p w14:paraId="42F820E0">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4</w:t>
            </w:r>
          </w:p>
        </w:tc>
        <w:tc>
          <w:tcPr>
            <w:tcW w:w="1994" w:type="pct"/>
            <w:tcBorders>
              <w:top w:val="single" w:color="auto" w:sz="4" w:space="0"/>
              <w:left w:val="single" w:color="auto" w:sz="4" w:space="0"/>
              <w:bottom w:val="single" w:color="auto" w:sz="4" w:space="0"/>
              <w:right w:val="single" w:color="auto" w:sz="4" w:space="0"/>
            </w:tcBorders>
            <w:vAlign w:val="center"/>
          </w:tcPr>
          <w:p w14:paraId="6832071F">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编制、复核人员：</w:t>
            </w:r>
          </w:p>
          <w:p w14:paraId="0709E464">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（1）非造价咨询机构本单位正式聘用人员；</w:t>
            </w:r>
          </w:p>
          <w:p w14:paraId="15D508FF">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（2）专业负责人不具备注册造价工程师执业资格；</w:t>
            </w:r>
          </w:p>
          <w:p w14:paraId="42C5A8AA">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（3）其他专业人员未持有造价员资格证书；</w:t>
            </w:r>
          </w:p>
          <w:p w14:paraId="2C536A2F">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（4）未按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要求在指定地点驻场办公。</w:t>
            </w:r>
          </w:p>
          <w:p w14:paraId="365463CF">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扣2.5分/项，扣完为止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70974FE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18CEEA21">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743CCF8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F92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0F2DE255"/>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602D1B38"/>
        </w:tc>
        <w:tc>
          <w:tcPr>
            <w:tcW w:w="3020" w:type="pct"/>
            <w:gridSpan w:val="3"/>
            <w:tcBorders>
              <w:top w:val="single" w:color="auto" w:sz="4" w:space="0"/>
              <w:left w:val="single" w:color="auto" w:sz="4" w:space="0"/>
              <w:bottom w:val="single" w:color="auto" w:sz="4" w:space="0"/>
              <w:right w:val="single" w:color="auto" w:sz="4" w:space="0"/>
            </w:tcBorders>
            <w:vAlign w:val="center"/>
          </w:tcPr>
          <w:p w14:paraId="282528EB">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小计（分项基本分-扣除分数）</w:t>
            </w:r>
          </w:p>
        </w:tc>
        <w:tc>
          <w:tcPr>
            <w:tcW w:w="414" w:type="pct"/>
            <w:tcBorders>
              <w:top w:val="single" w:color="auto" w:sz="4" w:space="0"/>
              <w:left w:val="single" w:color="auto" w:sz="4" w:space="0"/>
              <w:bottom w:val="single" w:color="auto" w:sz="4" w:space="0"/>
              <w:right w:val="single" w:color="auto" w:sz="4" w:space="0"/>
            </w:tcBorders>
            <w:vAlign w:val="center"/>
          </w:tcPr>
          <w:p w14:paraId="234D931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7783AB2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11D8314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1A2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12" w:type="pct"/>
            <w:vMerge w:val="restart"/>
            <w:tcBorders>
              <w:top w:val="single" w:color="auto" w:sz="4" w:space="0"/>
              <w:left w:val="single" w:color="auto" w:sz="4" w:space="0"/>
              <w:bottom w:val="single" w:color="auto" w:sz="4" w:space="0"/>
              <w:right w:val="single" w:color="auto" w:sz="4" w:space="0"/>
            </w:tcBorders>
            <w:vAlign w:val="center"/>
          </w:tcPr>
          <w:p w14:paraId="5E215C0C">
            <w:pPr>
              <w:pageBreakBefore w:val="0"/>
              <w:widowControl w:val="0"/>
              <w:kinsoku/>
              <w:wordWrap/>
              <w:overflowPunct/>
              <w:topLinePunct w:val="0"/>
              <w:bidi w:val="0"/>
              <w:spacing w:line="500" w:lineRule="exact"/>
              <w:ind w:firstLine="484"/>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二</w:t>
            </w:r>
          </w:p>
        </w:tc>
        <w:tc>
          <w:tcPr>
            <w:tcW w:w="41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0039B53">
            <w:pPr>
              <w:pageBreakBefore w:val="0"/>
              <w:widowControl w:val="0"/>
              <w:kinsoku/>
              <w:wordWrap/>
              <w:overflowPunct/>
              <w:topLinePunct w:val="0"/>
              <w:bidi w:val="0"/>
              <w:spacing w:line="500" w:lineRule="exact"/>
              <w:ind w:left="113" w:right="113"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工作过程</w:t>
            </w:r>
          </w:p>
        </w:tc>
        <w:tc>
          <w:tcPr>
            <w:tcW w:w="512" w:type="pct"/>
            <w:vMerge w:val="restart"/>
            <w:tcBorders>
              <w:top w:val="single" w:color="auto" w:sz="4" w:space="0"/>
              <w:left w:val="single" w:color="auto" w:sz="4" w:space="0"/>
              <w:bottom w:val="single" w:color="auto" w:sz="4" w:space="0"/>
              <w:right w:val="single" w:color="auto" w:sz="4" w:space="0"/>
            </w:tcBorders>
            <w:vAlign w:val="center"/>
          </w:tcPr>
          <w:p w14:paraId="392FC7F3">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20</w:t>
            </w:r>
          </w:p>
        </w:tc>
        <w:tc>
          <w:tcPr>
            <w:tcW w:w="512" w:type="pct"/>
            <w:tcBorders>
              <w:top w:val="single" w:color="auto" w:sz="4" w:space="0"/>
              <w:left w:val="single" w:color="auto" w:sz="4" w:space="0"/>
              <w:bottom w:val="single" w:color="auto" w:sz="4" w:space="0"/>
              <w:right w:val="single" w:color="auto" w:sz="4" w:space="0"/>
            </w:tcBorders>
            <w:vAlign w:val="center"/>
          </w:tcPr>
          <w:p w14:paraId="14D4AB95">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w:t>
            </w:r>
          </w:p>
        </w:tc>
        <w:tc>
          <w:tcPr>
            <w:tcW w:w="1994" w:type="pct"/>
            <w:tcBorders>
              <w:top w:val="single" w:color="auto" w:sz="4" w:space="0"/>
              <w:left w:val="single" w:color="auto" w:sz="4" w:space="0"/>
              <w:bottom w:val="single" w:color="auto" w:sz="4" w:space="0"/>
              <w:right w:val="single" w:color="auto" w:sz="4" w:space="0"/>
            </w:tcBorders>
            <w:vAlign w:val="center"/>
          </w:tcPr>
          <w:p w14:paraId="6DF7F34D">
            <w:pPr>
              <w:pageBreakBefore w:val="0"/>
              <w:widowControl w:val="0"/>
              <w:kinsoku/>
              <w:wordWrap/>
              <w:overflowPunct/>
              <w:topLinePunct w:val="0"/>
              <w:bidi w:val="0"/>
              <w:spacing w:line="500" w:lineRule="exact"/>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（1）咨询服务计划安排不合理；</w:t>
            </w:r>
          </w:p>
          <w:p w14:paraId="571483F9">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（2）未能按照计划按时完成任务。</w:t>
            </w:r>
          </w:p>
          <w:p w14:paraId="5A3EA210">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扣5分/项,扣完为止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5B429A84">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3060691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B3EA87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1F6A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24785CF0"/>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800A809"/>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28794CAE"/>
        </w:tc>
        <w:tc>
          <w:tcPr>
            <w:tcW w:w="512" w:type="pct"/>
            <w:tcBorders>
              <w:top w:val="single" w:color="auto" w:sz="4" w:space="0"/>
              <w:left w:val="single" w:color="auto" w:sz="4" w:space="0"/>
              <w:bottom w:val="single" w:color="auto" w:sz="4" w:space="0"/>
              <w:right w:val="single" w:color="auto" w:sz="4" w:space="0"/>
            </w:tcBorders>
            <w:vAlign w:val="center"/>
          </w:tcPr>
          <w:p w14:paraId="05F8AAD4">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w:t>
            </w:r>
          </w:p>
        </w:tc>
        <w:tc>
          <w:tcPr>
            <w:tcW w:w="1994" w:type="pct"/>
            <w:tcBorders>
              <w:top w:val="single" w:color="auto" w:sz="4" w:space="0"/>
              <w:left w:val="single" w:color="auto" w:sz="4" w:space="0"/>
              <w:bottom w:val="single" w:color="auto" w:sz="4" w:space="0"/>
              <w:right w:val="single" w:color="auto" w:sz="4" w:space="0"/>
            </w:tcBorders>
            <w:vAlign w:val="center"/>
          </w:tcPr>
          <w:p w14:paraId="024424E0">
            <w:pPr>
              <w:pageBreakBefore w:val="0"/>
              <w:widowControl w:val="0"/>
              <w:kinsoku/>
              <w:wordWrap/>
              <w:overflowPunct/>
              <w:topLinePunct w:val="0"/>
              <w:autoSpaceDE w:val="0"/>
              <w:autoSpaceDN w:val="0"/>
              <w:bidi w:val="0"/>
              <w:adjustRightInd w:val="0"/>
              <w:spacing w:line="500" w:lineRule="exact"/>
              <w:ind w:firstLine="480" w:firstLineChars="200"/>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（1）无故不参加</w:t>
            </w: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方组织的会议；</w:t>
            </w:r>
          </w:p>
          <w:p w14:paraId="6A626345">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（2）对存在问题的不提出,无合理化建议。</w:t>
            </w:r>
          </w:p>
          <w:p w14:paraId="0077CC94">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扣5分/项,扣完为止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02263A1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2383B778">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4AE5DD1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D53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1FDE9728"/>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73DA5510"/>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0C67490"/>
        </w:tc>
        <w:tc>
          <w:tcPr>
            <w:tcW w:w="512" w:type="pct"/>
            <w:tcBorders>
              <w:top w:val="single" w:color="auto" w:sz="4" w:space="0"/>
              <w:left w:val="single" w:color="auto" w:sz="4" w:space="0"/>
              <w:bottom w:val="single" w:color="auto" w:sz="4" w:space="0"/>
              <w:right w:val="single" w:color="auto" w:sz="4" w:space="0"/>
            </w:tcBorders>
            <w:vAlign w:val="center"/>
          </w:tcPr>
          <w:p w14:paraId="744F96C3">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3</w:t>
            </w:r>
          </w:p>
        </w:tc>
        <w:tc>
          <w:tcPr>
            <w:tcW w:w="1994" w:type="pct"/>
            <w:tcBorders>
              <w:top w:val="single" w:color="auto" w:sz="4" w:space="0"/>
              <w:left w:val="single" w:color="auto" w:sz="4" w:space="0"/>
              <w:bottom w:val="single" w:color="auto" w:sz="4" w:space="0"/>
              <w:right w:val="single" w:color="auto" w:sz="4" w:space="0"/>
            </w:tcBorders>
            <w:vAlign w:val="center"/>
          </w:tcPr>
          <w:p w14:paraId="590B4C94">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工程量清单及造价（初稿）未按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要求的时间提交。</w:t>
            </w:r>
          </w:p>
          <w:p w14:paraId="169FBC64">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每延误1天扣2.5分,扣完为止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28E4C7B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5EC1DCC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0E6A6A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084D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68F0A288"/>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44CB9E5"/>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34AD57EE"/>
        </w:tc>
        <w:tc>
          <w:tcPr>
            <w:tcW w:w="512" w:type="pct"/>
            <w:tcBorders>
              <w:top w:val="single" w:color="auto" w:sz="4" w:space="0"/>
              <w:left w:val="single" w:color="auto" w:sz="4" w:space="0"/>
              <w:bottom w:val="single" w:color="auto" w:sz="4" w:space="0"/>
              <w:right w:val="single" w:color="auto" w:sz="4" w:space="0"/>
            </w:tcBorders>
            <w:vAlign w:val="center"/>
          </w:tcPr>
          <w:p w14:paraId="39418E1F">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4</w:t>
            </w:r>
          </w:p>
        </w:tc>
        <w:tc>
          <w:tcPr>
            <w:tcW w:w="1994" w:type="pct"/>
            <w:tcBorders>
              <w:top w:val="single" w:color="auto" w:sz="4" w:space="0"/>
              <w:left w:val="single" w:color="auto" w:sz="4" w:space="0"/>
              <w:bottom w:val="single" w:color="auto" w:sz="4" w:space="0"/>
              <w:right w:val="single" w:color="auto" w:sz="4" w:space="0"/>
            </w:tcBorders>
            <w:vAlign w:val="center"/>
          </w:tcPr>
          <w:p w14:paraId="668BB065">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工程量清单及造价（修正稿）未按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要求的时间提交。</w:t>
            </w:r>
          </w:p>
          <w:p w14:paraId="17256A86">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每延误1天扣2.5分,扣完为止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1737F3F1">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2C26A09C">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197CB041">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3805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10200D8F"/>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0112AB1"/>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6DB3AC50"/>
        </w:tc>
        <w:tc>
          <w:tcPr>
            <w:tcW w:w="512" w:type="pct"/>
            <w:tcBorders>
              <w:top w:val="single" w:color="auto" w:sz="4" w:space="0"/>
              <w:left w:val="single" w:color="auto" w:sz="4" w:space="0"/>
              <w:bottom w:val="single" w:color="auto" w:sz="4" w:space="0"/>
              <w:right w:val="single" w:color="auto" w:sz="4" w:space="0"/>
            </w:tcBorders>
            <w:vAlign w:val="center"/>
          </w:tcPr>
          <w:p w14:paraId="4B9088E2">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5</w:t>
            </w:r>
          </w:p>
        </w:tc>
        <w:tc>
          <w:tcPr>
            <w:tcW w:w="1994" w:type="pct"/>
            <w:tcBorders>
              <w:top w:val="single" w:color="auto" w:sz="4" w:space="0"/>
              <w:left w:val="single" w:color="auto" w:sz="4" w:space="0"/>
              <w:bottom w:val="single" w:color="auto" w:sz="4" w:space="0"/>
              <w:right w:val="single" w:color="auto" w:sz="4" w:space="0"/>
            </w:tcBorders>
            <w:vAlign w:val="center"/>
          </w:tcPr>
          <w:p w14:paraId="5C8CED0D">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要求的时间完成工程量清单讨论、对数、审核工作。</w:t>
            </w:r>
          </w:p>
          <w:p w14:paraId="747DA45C">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每延误1天扣2.5分,扣完为止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4E9BE56B">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20D294C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C98F13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1F70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22326C9E"/>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60C44829"/>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1E8E819"/>
        </w:tc>
        <w:tc>
          <w:tcPr>
            <w:tcW w:w="512" w:type="pct"/>
            <w:tcBorders>
              <w:top w:val="single" w:color="auto" w:sz="4" w:space="0"/>
              <w:left w:val="single" w:color="auto" w:sz="4" w:space="0"/>
              <w:bottom w:val="single" w:color="auto" w:sz="4" w:space="0"/>
              <w:right w:val="single" w:color="auto" w:sz="4" w:space="0"/>
            </w:tcBorders>
            <w:vAlign w:val="center"/>
          </w:tcPr>
          <w:p w14:paraId="23296DCE">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6</w:t>
            </w:r>
          </w:p>
        </w:tc>
        <w:tc>
          <w:tcPr>
            <w:tcW w:w="1994" w:type="pct"/>
            <w:tcBorders>
              <w:top w:val="single" w:color="auto" w:sz="4" w:space="0"/>
              <w:left w:val="single" w:color="auto" w:sz="4" w:space="0"/>
              <w:bottom w:val="single" w:color="auto" w:sz="4" w:space="0"/>
              <w:right w:val="single" w:color="auto" w:sz="4" w:space="0"/>
            </w:tcBorders>
            <w:vAlign w:val="center"/>
          </w:tcPr>
          <w:p w14:paraId="11AEEAF3">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工程量清单及造价（终稿）未按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要求的时间提交。</w:t>
            </w:r>
          </w:p>
          <w:p w14:paraId="3ECB07FB">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每延误1天扣2.5分,扣完为止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637A120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02AAA4D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7FDBC2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5446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13EB6FD9"/>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1979334B"/>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997CE67"/>
        </w:tc>
        <w:tc>
          <w:tcPr>
            <w:tcW w:w="512" w:type="pct"/>
            <w:tcBorders>
              <w:top w:val="single" w:color="auto" w:sz="4" w:space="0"/>
              <w:left w:val="single" w:color="auto" w:sz="4" w:space="0"/>
              <w:bottom w:val="single" w:color="auto" w:sz="4" w:space="0"/>
              <w:right w:val="single" w:color="auto" w:sz="4" w:space="0"/>
            </w:tcBorders>
            <w:vAlign w:val="center"/>
          </w:tcPr>
          <w:p w14:paraId="522EDE3A">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7</w:t>
            </w:r>
          </w:p>
        </w:tc>
        <w:tc>
          <w:tcPr>
            <w:tcW w:w="1994" w:type="pct"/>
            <w:tcBorders>
              <w:top w:val="single" w:color="auto" w:sz="4" w:space="0"/>
              <w:left w:val="single" w:color="auto" w:sz="4" w:space="0"/>
              <w:bottom w:val="single" w:color="auto" w:sz="4" w:space="0"/>
              <w:right w:val="single" w:color="auto" w:sz="4" w:space="0"/>
            </w:tcBorders>
            <w:vAlign w:val="center"/>
          </w:tcPr>
          <w:p w14:paraId="449B8F6B">
            <w:pPr>
              <w:pageBreakBefore w:val="0"/>
              <w:widowControl w:val="0"/>
              <w:kinsoku/>
              <w:wordWrap/>
              <w:overflowPunct/>
              <w:topLinePunct w:val="0"/>
              <w:autoSpaceDE w:val="0"/>
              <w:autoSpaceDN w:val="0"/>
              <w:bidi w:val="0"/>
              <w:adjustRightInd w:val="0"/>
              <w:spacing w:line="500" w:lineRule="exact"/>
              <w:jc w:val="lef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未按</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要求的时间完成网上备案手续或工程量清单复核工作。</w:t>
            </w:r>
          </w:p>
          <w:p w14:paraId="1FA945A0">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每延误1天扣2.5分,扣完为止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54AD1E0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160CBEC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7B8B16A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4CC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3B689E0D"/>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0BBA6D3"/>
        </w:tc>
        <w:tc>
          <w:tcPr>
            <w:tcW w:w="3020" w:type="pct"/>
            <w:gridSpan w:val="3"/>
            <w:tcBorders>
              <w:top w:val="single" w:color="auto" w:sz="4" w:space="0"/>
              <w:left w:val="single" w:color="auto" w:sz="4" w:space="0"/>
              <w:bottom w:val="single" w:color="auto" w:sz="4" w:space="0"/>
              <w:right w:val="single" w:color="auto" w:sz="4" w:space="0"/>
            </w:tcBorders>
            <w:vAlign w:val="center"/>
          </w:tcPr>
          <w:p w14:paraId="05276A9B">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小计（分项基本分-扣除分数）</w:t>
            </w:r>
          </w:p>
        </w:tc>
        <w:tc>
          <w:tcPr>
            <w:tcW w:w="414" w:type="pct"/>
            <w:tcBorders>
              <w:top w:val="single" w:color="auto" w:sz="4" w:space="0"/>
              <w:left w:val="single" w:color="auto" w:sz="4" w:space="0"/>
              <w:bottom w:val="single" w:color="auto" w:sz="4" w:space="0"/>
              <w:right w:val="single" w:color="auto" w:sz="4" w:space="0"/>
            </w:tcBorders>
            <w:vAlign w:val="center"/>
          </w:tcPr>
          <w:p w14:paraId="22E92717">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1258F87B">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0FABCCCC">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3E5F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trPr>
        <w:tc>
          <w:tcPr>
            <w:tcW w:w="512" w:type="pct"/>
            <w:vMerge w:val="restart"/>
            <w:tcBorders>
              <w:top w:val="single" w:color="auto" w:sz="4" w:space="0"/>
              <w:left w:val="single" w:color="auto" w:sz="4" w:space="0"/>
              <w:bottom w:val="single" w:color="auto" w:sz="4" w:space="0"/>
              <w:right w:val="single" w:color="auto" w:sz="4" w:space="0"/>
            </w:tcBorders>
            <w:vAlign w:val="center"/>
          </w:tcPr>
          <w:p w14:paraId="7F14CE2C">
            <w:pPr>
              <w:pageBreakBefore w:val="0"/>
              <w:widowControl w:val="0"/>
              <w:kinsoku/>
              <w:wordWrap/>
              <w:overflowPunct/>
              <w:topLinePunct w:val="0"/>
              <w:bidi w:val="0"/>
              <w:spacing w:line="500" w:lineRule="exact"/>
              <w:ind w:firstLine="484"/>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三</w:t>
            </w:r>
          </w:p>
        </w:tc>
        <w:tc>
          <w:tcPr>
            <w:tcW w:w="41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12ADE42">
            <w:pPr>
              <w:pageBreakBefore w:val="0"/>
              <w:widowControl w:val="0"/>
              <w:kinsoku/>
              <w:wordWrap/>
              <w:overflowPunct/>
              <w:topLinePunct w:val="0"/>
              <w:bidi w:val="0"/>
              <w:spacing w:line="500" w:lineRule="exact"/>
              <w:ind w:left="113" w:right="113"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服务质量</w:t>
            </w:r>
          </w:p>
        </w:tc>
        <w:tc>
          <w:tcPr>
            <w:tcW w:w="512" w:type="pct"/>
            <w:vMerge w:val="restart"/>
            <w:tcBorders>
              <w:top w:val="single" w:color="auto" w:sz="4" w:space="0"/>
              <w:left w:val="single" w:color="auto" w:sz="4" w:space="0"/>
              <w:bottom w:val="single" w:color="auto" w:sz="4" w:space="0"/>
              <w:right w:val="single" w:color="auto" w:sz="4" w:space="0"/>
            </w:tcBorders>
            <w:vAlign w:val="center"/>
          </w:tcPr>
          <w:p w14:paraId="2DCFEBD2">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40</w:t>
            </w:r>
          </w:p>
        </w:tc>
        <w:tc>
          <w:tcPr>
            <w:tcW w:w="512" w:type="pct"/>
            <w:tcBorders>
              <w:top w:val="single" w:color="auto" w:sz="4" w:space="0"/>
              <w:left w:val="single" w:color="auto" w:sz="4" w:space="0"/>
              <w:bottom w:val="single" w:color="auto" w:sz="4" w:space="0"/>
              <w:right w:val="single" w:color="auto" w:sz="4" w:space="0"/>
            </w:tcBorders>
            <w:vAlign w:val="center"/>
          </w:tcPr>
          <w:p w14:paraId="24253A63">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w:t>
            </w:r>
          </w:p>
        </w:tc>
        <w:tc>
          <w:tcPr>
            <w:tcW w:w="1994" w:type="pct"/>
            <w:tcBorders>
              <w:top w:val="single" w:color="auto" w:sz="4" w:space="0"/>
              <w:left w:val="single" w:color="auto" w:sz="4" w:space="0"/>
              <w:bottom w:val="single" w:color="auto" w:sz="4" w:space="0"/>
              <w:right w:val="single" w:color="auto" w:sz="4" w:space="0"/>
            </w:tcBorders>
            <w:vAlign w:val="center"/>
          </w:tcPr>
          <w:p w14:paraId="1FFA6E88">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工程造价部分</w:t>
            </w:r>
          </w:p>
          <w:p w14:paraId="4212C559">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（1）编制总价与审定总价偏差在5%（含本数）~10%（不含本数）的扣10分，10%（含本数）~15%（不含本数）的扣20分，超过15%（含本数）扣40分；</w:t>
            </w:r>
          </w:p>
          <w:p w14:paraId="027AD99C">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（2）</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如有</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rPr>
              <w:t>中标价与工程量清单复核价偏差在5%（含本数）~10%（不含本数）的扣10分，10%（含本数）~15%（不含本数）的扣20分，超过15%（含本数）扣40分；</w:t>
            </w:r>
          </w:p>
          <w:p w14:paraId="6A9EA3DA">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（3）未提交完整造价咨询成果文件的（含</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要求的常用业务文件），扣5分/项。扣完为止。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7D01ED2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04F54E88">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5AABFB5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7DD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62F7F97F"/>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4D89AB3F"/>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A9EF6F6"/>
        </w:tc>
        <w:tc>
          <w:tcPr>
            <w:tcW w:w="512" w:type="pct"/>
            <w:tcBorders>
              <w:top w:val="single" w:color="auto" w:sz="4" w:space="0"/>
              <w:left w:val="single" w:color="auto" w:sz="4" w:space="0"/>
              <w:bottom w:val="single" w:color="auto" w:sz="4" w:space="0"/>
              <w:right w:val="single" w:color="auto" w:sz="4" w:space="0"/>
            </w:tcBorders>
            <w:vAlign w:val="center"/>
          </w:tcPr>
          <w:p w14:paraId="2A06F4EE">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w:t>
            </w:r>
          </w:p>
        </w:tc>
        <w:tc>
          <w:tcPr>
            <w:tcW w:w="1994" w:type="pct"/>
            <w:tcBorders>
              <w:top w:val="single" w:color="auto" w:sz="4" w:space="0"/>
              <w:left w:val="single" w:color="auto" w:sz="4" w:space="0"/>
              <w:bottom w:val="single" w:color="auto" w:sz="4" w:space="0"/>
              <w:right w:val="single" w:color="auto" w:sz="4" w:space="0"/>
            </w:tcBorders>
            <w:vAlign w:val="center"/>
          </w:tcPr>
          <w:p w14:paraId="3B050337">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其他部分：对咨询服务过程的每一环节未及时跟进、报告。每发现一次扣3分,扣完为止</w:t>
            </w:r>
          </w:p>
        </w:tc>
        <w:tc>
          <w:tcPr>
            <w:tcW w:w="414" w:type="pct"/>
            <w:tcBorders>
              <w:top w:val="single" w:color="auto" w:sz="4" w:space="0"/>
              <w:left w:val="single" w:color="auto" w:sz="4" w:space="0"/>
              <w:bottom w:val="single" w:color="auto" w:sz="4" w:space="0"/>
              <w:right w:val="single" w:color="auto" w:sz="4" w:space="0"/>
            </w:tcBorders>
            <w:vAlign w:val="center"/>
          </w:tcPr>
          <w:p w14:paraId="54AC06C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5B9B8A4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06370B7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116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21C7FFA4"/>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AAF4621"/>
        </w:tc>
        <w:tc>
          <w:tcPr>
            <w:tcW w:w="3020" w:type="pct"/>
            <w:gridSpan w:val="3"/>
            <w:tcBorders>
              <w:top w:val="single" w:color="auto" w:sz="4" w:space="0"/>
              <w:left w:val="single" w:color="auto" w:sz="4" w:space="0"/>
              <w:bottom w:val="single" w:color="auto" w:sz="4" w:space="0"/>
              <w:right w:val="single" w:color="auto" w:sz="4" w:space="0"/>
            </w:tcBorders>
            <w:vAlign w:val="center"/>
          </w:tcPr>
          <w:p w14:paraId="51666101">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小计（分项基本分-扣除分数）</w:t>
            </w:r>
          </w:p>
        </w:tc>
        <w:tc>
          <w:tcPr>
            <w:tcW w:w="414" w:type="pct"/>
            <w:tcBorders>
              <w:top w:val="single" w:color="auto" w:sz="4" w:space="0"/>
              <w:left w:val="single" w:color="auto" w:sz="4" w:space="0"/>
              <w:bottom w:val="single" w:color="auto" w:sz="4" w:space="0"/>
              <w:right w:val="single" w:color="auto" w:sz="4" w:space="0"/>
            </w:tcBorders>
            <w:vAlign w:val="center"/>
          </w:tcPr>
          <w:p w14:paraId="241F3F68">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76A5163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1FCFEF3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0789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12" w:type="pct"/>
            <w:vMerge w:val="restart"/>
            <w:tcBorders>
              <w:top w:val="single" w:color="auto" w:sz="4" w:space="0"/>
              <w:left w:val="single" w:color="auto" w:sz="4" w:space="0"/>
              <w:bottom w:val="single" w:color="auto" w:sz="4" w:space="0"/>
              <w:right w:val="single" w:color="auto" w:sz="4" w:space="0"/>
            </w:tcBorders>
            <w:vAlign w:val="center"/>
          </w:tcPr>
          <w:p w14:paraId="72F51181">
            <w:pPr>
              <w:pageBreakBefore w:val="0"/>
              <w:widowControl w:val="0"/>
              <w:kinsoku/>
              <w:wordWrap/>
              <w:overflowPunct/>
              <w:topLinePunct w:val="0"/>
              <w:bidi w:val="0"/>
              <w:spacing w:line="500" w:lineRule="exact"/>
              <w:ind w:firstLine="484"/>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四</w:t>
            </w:r>
          </w:p>
        </w:tc>
        <w:tc>
          <w:tcPr>
            <w:tcW w:w="41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05632171">
            <w:pPr>
              <w:pageBreakBefore w:val="0"/>
              <w:widowControl w:val="0"/>
              <w:kinsoku/>
              <w:wordWrap/>
              <w:overflowPunct/>
              <w:topLinePunct w:val="0"/>
              <w:bidi w:val="0"/>
              <w:spacing w:line="500" w:lineRule="exact"/>
              <w:ind w:left="113" w:right="113"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工作纪律</w:t>
            </w:r>
          </w:p>
        </w:tc>
        <w:tc>
          <w:tcPr>
            <w:tcW w:w="512" w:type="pct"/>
            <w:vMerge w:val="restart"/>
            <w:tcBorders>
              <w:top w:val="single" w:color="auto" w:sz="4" w:space="0"/>
              <w:left w:val="single" w:color="auto" w:sz="4" w:space="0"/>
              <w:bottom w:val="single" w:color="auto" w:sz="4" w:space="0"/>
              <w:right w:val="single" w:color="auto" w:sz="4" w:space="0"/>
            </w:tcBorders>
            <w:vAlign w:val="center"/>
          </w:tcPr>
          <w:p w14:paraId="2B6487C3">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20</w:t>
            </w:r>
          </w:p>
        </w:tc>
        <w:tc>
          <w:tcPr>
            <w:tcW w:w="512" w:type="pct"/>
            <w:tcBorders>
              <w:top w:val="single" w:color="auto" w:sz="4" w:space="0"/>
              <w:left w:val="single" w:color="auto" w:sz="4" w:space="0"/>
              <w:bottom w:val="single" w:color="auto" w:sz="4" w:space="0"/>
              <w:right w:val="single" w:color="auto" w:sz="4" w:space="0"/>
            </w:tcBorders>
            <w:vAlign w:val="center"/>
          </w:tcPr>
          <w:p w14:paraId="5820FE37">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w:t>
            </w:r>
          </w:p>
        </w:tc>
        <w:tc>
          <w:tcPr>
            <w:tcW w:w="1994" w:type="pct"/>
            <w:tcBorders>
              <w:top w:val="single" w:color="auto" w:sz="4" w:space="0"/>
              <w:left w:val="single" w:color="auto" w:sz="4" w:space="0"/>
              <w:bottom w:val="single" w:color="auto" w:sz="4" w:space="0"/>
              <w:right w:val="single" w:color="auto" w:sz="4" w:space="0"/>
            </w:tcBorders>
            <w:vAlign w:val="center"/>
          </w:tcPr>
          <w:p w14:paraId="52EF01E0">
            <w:pPr>
              <w:pageBreakBefore w:val="0"/>
              <w:widowControl w:val="0"/>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违反有关法律、法规和政策,造成</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损失的，每违反一次扣2分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61FBBC8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061BCBE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453ACA24">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9E6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24C5D4B1"/>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B70AA25"/>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E8C9544"/>
        </w:tc>
        <w:tc>
          <w:tcPr>
            <w:tcW w:w="512" w:type="pct"/>
            <w:tcBorders>
              <w:top w:val="single" w:color="auto" w:sz="4" w:space="0"/>
              <w:left w:val="single" w:color="auto" w:sz="4" w:space="0"/>
              <w:bottom w:val="single" w:color="auto" w:sz="4" w:space="0"/>
              <w:right w:val="single" w:color="auto" w:sz="4" w:space="0"/>
            </w:tcBorders>
            <w:vAlign w:val="center"/>
          </w:tcPr>
          <w:p w14:paraId="26F5A751">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2</w:t>
            </w:r>
          </w:p>
        </w:tc>
        <w:tc>
          <w:tcPr>
            <w:tcW w:w="1994" w:type="pct"/>
            <w:tcBorders>
              <w:top w:val="single" w:color="auto" w:sz="4" w:space="0"/>
              <w:left w:val="single" w:color="auto" w:sz="4" w:space="0"/>
              <w:bottom w:val="single" w:color="auto" w:sz="4" w:space="0"/>
              <w:right w:val="single" w:color="auto" w:sz="4" w:space="0"/>
            </w:tcBorders>
            <w:vAlign w:val="center"/>
          </w:tcPr>
          <w:p w14:paraId="4A13C3D8">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由于工作失误，造成</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损失的，每违反一次扣2分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160DD554">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5449B3B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41590E6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5D84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40CFD4F7"/>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5350898"/>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85CAF6B"/>
        </w:tc>
        <w:tc>
          <w:tcPr>
            <w:tcW w:w="512" w:type="pct"/>
            <w:tcBorders>
              <w:top w:val="single" w:color="auto" w:sz="4" w:space="0"/>
              <w:left w:val="single" w:color="auto" w:sz="4" w:space="0"/>
              <w:bottom w:val="single" w:color="auto" w:sz="4" w:space="0"/>
              <w:right w:val="single" w:color="auto" w:sz="4" w:space="0"/>
            </w:tcBorders>
            <w:vAlign w:val="center"/>
          </w:tcPr>
          <w:p w14:paraId="0919E970">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3</w:t>
            </w:r>
          </w:p>
        </w:tc>
        <w:tc>
          <w:tcPr>
            <w:tcW w:w="1994" w:type="pct"/>
            <w:tcBorders>
              <w:top w:val="single" w:color="auto" w:sz="4" w:space="0"/>
              <w:left w:val="single" w:color="auto" w:sz="4" w:space="0"/>
              <w:bottom w:val="single" w:color="auto" w:sz="4" w:space="0"/>
              <w:right w:val="single" w:color="auto" w:sz="4" w:space="0"/>
            </w:tcBorders>
            <w:vAlign w:val="center"/>
          </w:tcPr>
          <w:p w14:paraId="2BEC1599">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通过提供虚假信息，误导或欺骗等非法方式，谋取非法利益的，每违反一次扣2分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2EE53F4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38A1105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DE233C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061D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2E8FDCF3"/>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781F611C"/>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74B368C8"/>
        </w:tc>
        <w:tc>
          <w:tcPr>
            <w:tcW w:w="512" w:type="pct"/>
            <w:tcBorders>
              <w:top w:val="single" w:color="auto" w:sz="4" w:space="0"/>
              <w:left w:val="single" w:color="auto" w:sz="4" w:space="0"/>
              <w:bottom w:val="single" w:color="auto" w:sz="4" w:space="0"/>
              <w:right w:val="single" w:color="auto" w:sz="4" w:space="0"/>
            </w:tcBorders>
            <w:vAlign w:val="center"/>
          </w:tcPr>
          <w:p w14:paraId="032909DE">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4</w:t>
            </w:r>
          </w:p>
        </w:tc>
        <w:tc>
          <w:tcPr>
            <w:tcW w:w="1994" w:type="pct"/>
            <w:tcBorders>
              <w:top w:val="single" w:color="auto" w:sz="4" w:space="0"/>
              <w:left w:val="single" w:color="auto" w:sz="4" w:space="0"/>
              <w:bottom w:val="single" w:color="auto" w:sz="4" w:space="0"/>
              <w:right w:val="single" w:color="auto" w:sz="4" w:space="0"/>
            </w:tcBorders>
            <w:vAlign w:val="center"/>
          </w:tcPr>
          <w:p w14:paraId="3FF07E19">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未经</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书面同意擅自将受托项目转委托给他人的，每违反一次扣2分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52D52CF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6AEC90D7">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1813933">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1A4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1D7BA5F6"/>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081525A"/>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599A86B"/>
        </w:tc>
        <w:tc>
          <w:tcPr>
            <w:tcW w:w="512" w:type="pct"/>
            <w:tcBorders>
              <w:top w:val="single" w:color="auto" w:sz="4" w:space="0"/>
              <w:left w:val="single" w:color="auto" w:sz="4" w:space="0"/>
              <w:bottom w:val="single" w:color="auto" w:sz="4" w:space="0"/>
              <w:right w:val="single" w:color="auto" w:sz="4" w:space="0"/>
            </w:tcBorders>
            <w:vAlign w:val="center"/>
          </w:tcPr>
          <w:p w14:paraId="61E9ABBB">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5</w:t>
            </w:r>
          </w:p>
        </w:tc>
        <w:tc>
          <w:tcPr>
            <w:tcW w:w="1994" w:type="pct"/>
            <w:tcBorders>
              <w:top w:val="single" w:color="auto" w:sz="4" w:space="0"/>
              <w:left w:val="single" w:color="auto" w:sz="4" w:space="0"/>
              <w:bottom w:val="single" w:color="auto" w:sz="4" w:space="0"/>
              <w:right w:val="single" w:color="auto" w:sz="4" w:space="0"/>
            </w:tcBorders>
            <w:vAlign w:val="center"/>
          </w:tcPr>
          <w:p w14:paraId="145ED90A">
            <w:pPr>
              <w:pageBreakBefore w:val="0"/>
              <w:widowControl w:val="0"/>
              <w:kinsoku/>
              <w:wordWrap/>
              <w:overflowPunct/>
              <w:topLinePunct w:val="0"/>
              <w:bidi w:val="0"/>
              <w:spacing w:line="500" w:lineRule="exact"/>
              <w:rPr>
                <w:rFonts w:ascii="宋体" w:eastAsia="宋体" w:cs="宋体"/>
                <w:b/>
                <w:bCs/>
                <w:color w:val="auto"/>
                <w:kern w:val="0"/>
                <w:sz w:val="24"/>
                <w:szCs w:val="24"/>
                <w:highlight w:val="none"/>
              </w:rPr>
            </w:pPr>
            <w:r>
              <w:rPr>
                <w:rFonts w:hint="eastAsia" w:ascii="宋体" w:eastAsia="宋体" w:cs="宋体"/>
                <w:color w:val="auto"/>
                <w:kern w:val="0"/>
                <w:sz w:val="24"/>
                <w:szCs w:val="24"/>
                <w:highlight w:val="none"/>
              </w:rPr>
              <w:t>违反回避制度的，每违反一次扣2分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5C65C1D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12F836E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7E6FEF6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305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45207078"/>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330C17"/>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339C0AE9"/>
        </w:tc>
        <w:tc>
          <w:tcPr>
            <w:tcW w:w="512" w:type="pct"/>
            <w:tcBorders>
              <w:top w:val="single" w:color="auto" w:sz="4" w:space="0"/>
              <w:left w:val="single" w:color="auto" w:sz="4" w:space="0"/>
              <w:bottom w:val="single" w:color="auto" w:sz="4" w:space="0"/>
              <w:right w:val="single" w:color="auto" w:sz="4" w:space="0"/>
            </w:tcBorders>
            <w:vAlign w:val="center"/>
          </w:tcPr>
          <w:p w14:paraId="2EEFE555">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6</w:t>
            </w:r>
          </w:p>
        </w:tc>
        <w:tc>
          <w:tcPr>
            <w:tcW w:w="1994" w:type="pct"/>
            <w:tcBorders>
              <w:top w:val="single" w:color="auto" w:sz="4" w:space="0"/>
              <w:left w:val="single" w:color="auto" w:sz="4" w:space="0"/>
              <w:bottom w:val="single" w:color="auto" w:sz="4" w:space="0"/>
              <w:right w:val="single" w:color="auto" w:sz="4" w:space="0"/>
            </w:tcBorders>
            <w:vAlign w:val="center"/>
          </w:tcPr>
          <w:p w14:paraId="3F825AB9">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拒绝接受</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跟踪核查的，每违反一次扣2分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530D0D0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629BA56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2AE5A5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969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0E4AAB97"/>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7E2DBA9"/>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74D3DF3D"/>
        </w:tc>
        <w:tc>
          <w:tcPr>
            <w:tcW w:w="512" w:type="pct"/>
            <w:tcBorders>
              <w:top w:val="single" w:color="auto" w:sz="4" w:space="0"/>
              <w:left w:val="single" w:color="auto" w:sz="4" w:space="0"/>
              <w:bottom w:val="single" w:color="auto" w:sz="4" w:space="0"/>
              <w:right w:val="single" w:color="auto" w:sz="4" w:space="0"/>
            </w:tcBorders>
            <w:vAlign w:val="center"/>
          </w:tcPr>
          <w:p w14:paraId="63B005B8">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7</w:t>
            </w:r>
          </w:p>
        </w:tc>
        <w:tc>
          <w:tcPr>
            <w:tcW w:w="1994" w:type="pct"/>
            <w:tcBorders>
              <w:top w:val="single" w:color="auto" w:sz="4" w:space="0"/>
              <w:left w:val="single" w:color="auto" w:sz="4" w:space="0"/>
              <w:bottom w:val="single" w:color="auto" w:sz="4" w:space="0"/>
              <w:right w:val="single" w:color="auto" w:sz="4" w:space="0"/>
            </w:tcBorders>
            <w:vAlign w:val="center"/>
          </w:tcPr>
          <w:p w14:paraId="5B08C348">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未按要求保管评审资料的，造成资料缺损的，每违反一次扣2分</w:t>
            </w:r>
          </w:p>
        </w:tc>
        <w:tc>
          <w:tcPr>
            <w:tcW w:w="414" w:type="pct"/>
            <w:tcBorders>
              <w:top w:val="single" w:color="auto" w:sz="4" w:space="0"/>
              <w:left w:val="single" w:color="auto" w:sz="4" w:space="0"/>
              <w:bottom w:val="single" w:color="auto" w:sz="4" w:space="0"/>
              <w:right w:val="single" w:color="auto" w:sz="4" w:space="0"/>
            </w:tcBorders>
            <w:vAlign w:val="center"/>
          </w:tcPr>
          <w:p w14:paraId="3B84C71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47EBEA57">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588E4DA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2D2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65678E19"/>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703863C6"/>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A70DA5C"/>
        </w:tc>
        <w:tc>
          <w:tcPr>
            <w:tcW w:w="512" w:type="pct"/>
            <w:tcBorders>
              <w:top w:val="single" w:color="auto" w:sz="4" w:space="0"/>
              <w:left w:val="single" w:color="auto" w:sz="4" w:space="0"/>
              <w:bottom w:val="single" w:color="auto" w:sz="4" w:space="0"/>
              <w:right w:val="single" w:color="auto" w:sz="4" w:space="0"/>
            </w:tcBorders>
            <w:vAlign w:val="center"/>
          </w:tcPr>
          <w:p w14:paraId="11143969">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8</w:t>
            </w:r>
          </w:p>
        </w:tc>
        <w:tc>
          <w:tcPr>
            <w:tcW w:w="1994" w:type="pct"/>
            <w:tcBorders>
              <w:top w:val="single" w:color="auto" w:sz="4" w:space="0"/>
              <w:left w:val="single" w:color="auto" w:sz="4" w:space="0"/>
              <w:bottom w:val="single" w:color="auto" w:sz="4" w:space="0"/>
              <w:right w:val="single" w:color="auto" w:sz="4" w:space="0"/>
            </w:tcBorders>
            <w:vAlign w:val="center"/>
          </w:tcPr>
          <w:p w14:paraId="4A1CE26B">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在其为</w:t>
            </w:r>
            <w:r>
              <w:rPr>
                <w:rFonts w:hint="eastAsia" w:ascii="宋体" w:eastAsia="宋体" w:cs="宋体"/>
                <w:color w:val="auto"/>
                <w:kern w:val="0"/>
                <w:sz w:val="24"/>
                <w:szCs w:val="24"/>
                <w:highlight w:val="none"/>
                <w:lang w:eastAsia="zh-CN"/>
              </w:rPr>
              <w:t>甲</w:t>
            </w:r>
            <w:r>
              <w:rPr>
                <w:rFonts w:hint="eastAsia" w:ascii="宋体" w:eastAsia="宋体" w:cs="宋体"/>
                <w:color w:val="auto"/>
                <w:kern w:val="0"/>
                <w:sz w:val="24"/>
                <w:szCs w:val="24"/>
                <w:highlight w:val="none"/>
              </w:rPr>
              <w:t>方提供服务的过程中接触到的</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的任何文件、资料和成果，未经</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书面同意，擅自作合同约定范围以外任何目的的使用，每违反一次扣5分</w:t>
            </w:r>
          </w:p>
        </w:tc>
        <w:tc>
          <w:tcPr>
            <w:tcW w:w="414" w:type="pct"/>
            <w:tcBorders>
              <w:top w:val="single" w:color="auto" w:sz="4" w:space="0"/>
              <w:left w:val="single" w:color="auto" w:sz="4" w:space="0"/>
              <w:bottom w:val="single" w:color="auto" w:sz="4" w:space="0"/>
              <w:right w:val="single" w:color="auto" w:sz="4" w:space="0"/>
            </w:tcBorders>
            <w:vAlign w:val="center"/>
          </w:tcPr>
          <w:p w14:paraId="44E5A2DC">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45F2FB3B">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2BE66B4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508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0F16A69C"/>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69953B57"/>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5052523"/>
        </w:tc>
        <w:tc>
          <w:tcPr>
            <w:tcW w:w="512" w:type="pct"/>
            <w:tcBorders>
              <w:top w:val="single" w:color="auto" w:sz="4" w:space="0"/>
              <w:left w:val="single" w:color="auto" w:sz="4" w:space="0"/>
              <w:bottom w:val="single" w:color="auto" w:sz="4" w:space="0"/>
              <w:right w:val="single" w:color="auto" w:sz="4" w:space="0"/>
            </w:tcBorders>
            <w:vAlign w:val="center"/>
          </w:tcPr>
          <w:p w14:paraId="01829C9F">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9</w:t>
            </w:r>
          </w:p>
        </w:tc>
        <w:tc>
          <w:tcPr>
            <w:tcW w:w="1994" w:type="pct"/>
            <w:tcBorders>
              <w:top w:val="single" w:color="auto" w:sz="4" w:space="0"/>
              <w:left w:val="single" w:color="auto" w:sz="4" w:space="0"/>
              <w:bottom w:val="single" w:color="auto" w:sz="4" w:space="0"/>
              <w:right w:val="single" w:color="auto" w:sz="4" w:space="0"/>
            </w:tcBorders>
            <w:vAlign w:val="center"/>
          </w:tcPr>
          <w:p w14:paraId="0141B9C5">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在其为</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提供服务的过程中接触到的</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的任何文件、资料和成果，未经</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书面同意，擅自向他人提供，每违反一次扣5分</w:t>
            </w:r>
          </w:p>
        </w:tc>
        <w:tc>
          <w:tcPr>
            <w:tcW w:w="414" w:type="pct"/>
            <w:tcBorders>
              <w:top w:val="single" w:color="auto" w:sz="4" w:space="0"/>
              <w:left w:val="single" w:color="auto" w:sz="4" w:space="0"/>
              <w:bottom w:val="single" w:color="auto" w:sz="4" w:space="0"/>
              <w:right w:val="single" w:color="auto" w:sz="4" w:space="0"/>
            </w:tcBorders>
            <w:vAlign w:val="center"/>
          </w:tcPr>
          <w:p w14:paraId="5EA230FB">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5A8682B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43A547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561C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701A7F00"/>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76DD9F4"/>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6D8105F5"/>
        </w:tc>
        <w:tc>
          <w:tcPr>
            <w:tcW w:w="512" w:type="pct"/>
            <w:tcBorders>
              <w:top w:val="single" w:color="auto" w:sz="4" w:space="0"/>
              <w:left w:val="single" w:color="auto" w:sz="4" w:space="0"/>
              <w:bottom w:val="single" w:color="auto" w:sz="4" w:space="0"/>
              <w:right w:val="single" w:color="auto" w:sz="4" w:space="0"/>
            </w:tcBorders>
            <w:vAlign w:val="center"/>
          </w:tcPr>
          <w:p w14:paraId="0D6E77B4">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10</w:t>
            </w:r>
          </w:p>
        </w:tc>
        <w:tc>
          <w:tcPr>
            <w:tcW w:w="1994" w:type="pct"/>
            <w:tcBorders>
              <w:top w:val="single" w:color="auto" w:sz="4" w:space="0"/>
              <w:left w:val="single" w:color="auto" w:sz="4" w:space="0"/>
              <w:bottom w:val="single" w:color="auto" w:sz="4" w:space="0"/>
              <w:right w:val="single" w:color="auto" w:sz="4" w:space="0"/>
            </w:tcBorders>
            <w:vAlign w:val="center"/>
          </w:tcPr>
          <w:p w14:paraId="33D14F99">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不按规定程序评审或出具虚假、依据不足的评审报告，导致</w:t>
            </w:r>
            <w:r>
              <w:rPr>
                <w:rFonts w:hint="eastAsia" w:ascii="宋体" w:eastAsia="宋体" w:cs="宋体"/>
                <w:color w:val="auto"/>
                <w:kern w:val="0"/>
                <w:sz w:val="24"/>
                <w:szCs w:val="24"/>
                <w:highlight w:val="none"/>
                <w:lang w:eastAsia="zh-CN"/>
              </w:rPr>
              <w:t>甲方</w:t>
            </w:r>
            <w:r>
              <w:rPr>
                <w:rFonts w:hint="eastAsia" w:ascii="宋体" w:eastAsia="宋体" w:cs="宋体"/>
                <w:color w:val="auto"/>
                <w:kern w:val="0"/>
                <w:sz w:val="24"/>
                <w:szCs w:val="24"/>
                <w:highlight w:val="none"/>
              </w:rPr>
              <w:t>工作滞后的，每违反一次扣10分</w:t>
            </w:r>
          </w:p>
        </w:tc>
        <w:tc>
          <w:tcPr>
            <w:tcW w:w="414" w:type="pct"/>
            <w:tcBorders>
              <w:top w:val="single" w:color="auto" w:sz="4" w:space="0"/>
              <w:left w:val="single" w:color="auto" w:sz="4" w:space="0"/>
              <w:bottom w:val="single" w:color="auto" w:sz="4" w:space="0"/>
              <w:right w:val="single" w:color="auto" w:sz="4" w:space="0"/>
            </w:tcBorders>
            <w:vAlign w:val="center"/>
          </w:tcPr>
          <w:p w14:paraId="7F9BC4FF">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0C40F6C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7E907EC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7036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12" w:type="pct"/>
            <w:vMerge w:val="continue"/>
            <w:tcBorders>
              <w:top w:val="single" w:color="auto" w:sz="4" w:space="0"/>
              <w:left w:val="single" w:color="auto" w:sz="4" w:space="0"/>
              <w:bottom w:val="single" w:color="auto" w:sz="4" w:space="0"/>
              <w:right w:val="single" w:color="auto" w:sz="4" w:space="0"/>
            </w:tcBorders>
            <w:vAlign w:val="center"/>
          </w:tcPr>
          <w:p w14:paraId="689A556C"/>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0F44BD7"/>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035F3DB"/>
        </w:tc>
        <w:tc>
          <w:tcPr>
            <w:tcW w:w="512" w:type="pct"/>
            <w:tcBorders>
              <w:top w:val="single" w:color="auto" w:sz="4" w:space="0"/>
              <w:left w:val="single" w:color="auto" w:sz="4" w:space="0"/>
              <w:bottom w:val="single" w:color="auto" w:sz="4" w:space="0"/>
              <w:right w:val="single" w:color="auto" w:sz="4" w:space="0"/>
            </w:tcBorders>
            <w:vAlign w:val="center"/>
          </w:tcPr>
          <w:p w14:paraId="0639BDA1">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11</w:t>
            </w:r>
          </w:p>
        </w:tc>
        <w:tc>
          <w:tcPr>
            <w:tcW w:w="1994" w:type="pct"/>
            <w:tcBorders>
              <w:top w:val="single" w:color="auto" w:sz="4" w:space="0"/>
              <w:left w:val="single" w:color="auto" w:sz="4" w:space="0"/>
              <w:bottom w:val="single" w:color="auto" w:sz="4" w:space="0"/>
              <w:right w:val="single" w:color="auto" w:sz="4" w:space="0"/>
            </w:tcBorders>
            <w:vAlign w:val="center"/>
          </w:tcPr>
          <w:p w14:paraId="3DAA49B1">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hint="eastAsia" w:ascii="宋体" w:eastAsia="宋体" w:cs="宋体"/>
                <w:color w:val="auto"/>
                <w:kern w:val="0"/>
                <w:sz w:val="24"/>
                <w:szCs w:val="24"/>
                <w:highlight w:val="none"/>
              </w:rPr>
              <w:t>接受与本工程相关单位的宴请或礼物，每违反一次扣5分</w:t>
            </w:r>
          </w:p>
        </w:tc>
        <w:tc>
          <w:tcPr>
            <w:tcW w:w="414" w:type="pct"/>
            <w:tcBorders>
              <w:top w:val="single" w:color="auto" w:sz="4" w:space="0"/>
              <w:left w:val="single" w:color="auto" w:sz="4" w:space="0"/>
              <w:bottom w:val="single" w:color="auto" w:sz="4" w:space="0"/>
              <w:right w:val="single" w:color="auto" w:sz="4" w:space="0"/>
            </w:tcBorders>
            <w:vAlign w:val="center"/>
          </w:tcPr>
          <w:p w14:paraId="3317A38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550CA97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103F7A6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7CBE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2" w:type="pct"/>
            <w:tcBorders>
              <w:top w:val="single" w:color="auto" w:sz="4" w:space="0"/>
              <w:left w:val="single" w:color="auto" w:sz="4" w:space="0"/>
              <w:bottom w:val="single" w:color="auto" w:sz="4" w:space="0"/>
              <w:right w:val="single" w:color="auto" w:sz="4" w:space="0"/>
            </w:tcBorders>
            <w:vAlign w:val="center"/>
          </w:tcPr>
          <w:p w14:paraId="0BB9694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37ED019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020" w:type="pct"/>
            <w:gridSpan w:val="3"/>
            <w:tcBorders>
              <w:top w:val="single" w:color="auto" w:sz="4" w:space="0"/>
              <w:left w:val="single" w:color="auto" w:sz="4" w:space="0"/>
              <w:bottom w:val="single" w:color="auto" w:sz="4" w:space="0"/>
              <w:right w:val="single" w:color="auto" w:sz="4" w:space="0"/>
            </w:tcBorders>
            <w:vAlign w:val="center"/>
          </w:tcPr>
          <w:p w14:paraId="59D75A3F">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小计（分项基本分-扣除分数）</w:t>
            </w:r>
          </w:p>
        </w:tc>
        <w:tc>
          <w:tcPr>
            <w:tcW w:w="414" w:type="pct"/>
            <w:tcBorders>
              <w:top w:val="single" w:color="auto" w:sz="4" w:space="0"/>
              <w:left w:val="single" w:color="auto" w:sz="4" w:space="0"/>
              <w:bottom w:val="single" w:color="auto" w:sz="4" w:space="0"/>
              <w:right w:val="single" w:color="auto" w:sz="4" w:space="0"/>
            </w:tcBorders>
            <w:vAlign w:val="center"/>
          </w:tcPr>
          <w:p w14:paraId="0FA162A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2777EF02">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6EC15BB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r w14:paraId="6B64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949" w:type="pct"/>
            <w:gridSpan w:val="5"/>
            <w:tcBorders>
              <w:top w:val="single" w:color="auto" w:sz="4" w:space="0"/>
              <w:left w:val="single" w:color="auto" w:sz="4" w:space="0"/>
              <w:bottom w:val="single" w:color="auto" w:sz="4" w:space="0"/>
              <w:right w:val="single" w:color="auto" w:sz="4" w:space="0"/>
            </w:tcBorders>
            <w:vAlign w:val="center"/>
          </w:tcPr>
          <w:p w14:paraId="310DB44C">
            <w:pPr>
              <w:pageBreakBefore w:val="0"/>
              <w:widowControl w:val="0"/>
              <w:kinsoku/>
              <w:wordWrap/>
              <w:overflowPunct/>
              <w:topLinePunct w:val="0"/>
              <w:bidi w:val="0"/>
              <w:spacing w:line="500" w:lineRule="exact"/>
              <w:ind w:firstLine="484"/>
              <w:jc w:val="center"/>
              <w:rPr>
                <w:rFonts w:ascii="宋体" w:eastAsia="宋体" w:cs="宋体"/>
                <w:color w:val="auto"/>
                <w:sz w:val="24"/>
                <w:szCs w:val="24"/>
                <w:highlight w:val="none"/>
              </w:rPr>
            </w:pPr>
            <w:r>
              <w:rPr>
                <w:rFonts w:hint="eastAsia" w:ascii="宋体" w:eastAsia="宋体" w:cs="宋体"/>
                <w:b/>
                <w:bCs/>
                <w:color w:val="auto"/>
                <w:sz w:val="24"/>
                <w:szCs w:val="24"/>
                <w:highlight w:val="none"/>
              </w:rPr>
              <w:t>合计</w:t>
            </w:r>
          </w:p>
        </w:tc>
        <w:tc>
          <w:tcPr>
            <w:tcW w:w="414" w:type="pct"/>
            <w:tcBorders>
              <w:top w:val="single" w:color="auto" w:sz="4" w:space="0"/>
              <w:left w:val="single" w:color="auto" w:sz="4" w:space="0"/>
              <w:bottom w:val="single" w:color="auto" w:sz="4" w:space="0"/>
              <w:right w:val="single" w:color="auto" w:sz="4" w:space="0"/>
            </w:tcBorders>
            <w:vAlign w:val="center"/>
          </w:tcPr>
          <w:p w14:paraId="6D102E1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tcPr>
          <w:p w14:paraId="3787061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cBorders>
          </w:tcPr>
          <w:p w14:paraId="31DC924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p>
        </w:tc>
      </w:tr>
    </w:tbl>
    <w:p w14:paraId="31DF9722">
      <w:pPr>
        <w:pageBreakBefore w:val="0"/>
        <w:widowControl w:val="0"/>
        <w:kinsoku/>
        <w:wordWrap/>
        <w:overflowPunct/>
        <w:topLinePunct w:val="0"/>
        <w:bidi w:val="0"/>
        <w:spacing w:line="500" w:lineRule="exact"/>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造价咨询单位盖章：</w:t>
      </w:r>
    </w:p>
    <w:p w14:paraId="4D6F9C86">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kern w:val="0"/>
          <w:sz w:val="24"/>
          <w:szCs w:val="24"/>
          <w:highlight w:val="none"/>
        </w:rPr>
        <w:t xml:space="preserve">    </w:t>
      </w:r>
    </w:p>
    <w:p w14:paraId="78938E5E">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sz w:val="24"/>
          <w:szCs w:val="24"/>
          <w:highlight w:val="none"/>
        </w:rPr>
        <w:t xml:space="preserve">    </w:t>
      </w:r>
      <w:r>
        <w:rPr>
          <w:rFonts w:hint="eastAsia" w:ascii="宋体" w:eastAsia="宋体" w:cs="宋体"/>
          <w:color w:val="auto"/>
          <w:sz w:val="24"/>
          <w:szCs w:val="24"/>
          <w:highlight w:val="none"/>
        </w:rPr>
        <w:t>造价咨询单位评分人：                             日期：</w:t>
      </w:r>
    </w:p>
    <w:p w14:paraId="60B1D7B7">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sz w:val="24"/>
          <w:szCs w:val="24"/>
          <w:highlight w:val="none"/>
        </w:rPr>
        <w:t xml:space="preserve">    </w:t>
      </w:r>
    </w:p>
    <w:p w14:paraId="3903BC12">
      <w:pPr>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color w:val="auto"/>
          <w:sz w:val="24"/>
          <w:szCs w:val="24"/>
          <w:highlight w:val="none"/>
        </w:rPr>
        <w:t xml:space="preserve">    </w:t>
      </w:r>
      <w:r>
        <w:rPr>
          <w:rFonts w:hint="eastAsia" w:ascii="宋体" w:eastAsia="宋体" w:cs="宋体"/>
          <w:color w:val="auto"/>
          <w:sz w:val="24"/>
          <w:szCs w:val="24"/>
          <w:highlight w:val="none"/>
        </w:rPr>
        <w:t>建设单位评分人：                                 日期：</w:t>
      </w:r>
    </w:p>
    <w:p w14:paraId="24F1E0B9">
      <w:pPr>
        <w:keepNext/>
        <w:keepLines/>
        <w:pageBreakBefore w:val="0"/>
        <w:widowControl w:val="0"/>
        <w:kinsoku/>
        <w:wordWrap/>
        <w:overflowPunct/>
        <w:topLinePunct w:val="0"/>
        <w:bidi w:val="0"/>
        <w:spacing w:line="500" w:lineRule="exact"/>
        <w:ind w:firstLine="646"/>
        <w:outlineLvl w:val="1"/>
        <w:rPr>
          <w:rFonts w:ascii="宋体" w:eastAsia="宋体" w:cs="宋体"/>
          <w:b/>
          <w:color w:val="auto"/>
          <w:kern w:val="0"/>
          <w:sz w:val="24"/>
          <w:szCs w:val="24"/>
          <w:highlight w:val="none"/>
        </w:rPr>
      </w:pPr>
      <w:r>
        <w:rPr>
          <w:rFonts w:ascii="宋体" w:eastAsia="宋体" w:cs="宋体"/>
          <w:color w:val="auto"/>
          <w:sz w:val="24"/>
          <w:szCs w:val="24"/>
          <w:highlight w:val="none"/>
        </w:rPr>
        <w:t xml:space="preserve">    </w:t>
      </w:r>
      <w:r>
        <w:rPr>
          <w:rFonts w:hint="eastAsia" w:ascii="宋体" w:eastAsia="宋体" w:cs="Times New Roman"/>
          <w:b/>
          <w:color w:val="auto"/>
          <w:kern w:val="0"/>
          <w:sz w:val="24"/>
          <w:szCs w:val="24"/>
          <w:highlight w:val="none"/>
        </w:rPr>
        <w:br w:type="page"/>
      </w:r>
      <w:bookmarkStart w:id="21" w:name="_Toc17046"/>
      <w:bookmarkStart w:id="22" w:name="_Toc15029_WPSOffice_Level2"/>
      <w:bookmarkStart w:id="23" w:name="_Toc26866228"/>
      <w:r>
        <w:rPr>
          <w:rFonts w:hint="eastAsia" w:ascii="宋体" w:eastAsia="宋体" w:cs="宋体"/>
          <w:b/>
          <w:color w:val="auto"/>
          <w:kern w:val="0"/>
          <w:sz w:val="24"/>
          <w:szCs w:val="24"/>
          <w:highlight w:val="none"/>
        </w:rPr>
        <w:t>附件2：项目人员组成表</w:t>
      </w:r>
      <w:bookmarkEnd w:id="21"/>
      <w:bookmarkEnd w:id="22"/>
      <w:bookmarkEnd w:id="23"/>
    </w:p>
    <w:tbl>
      <w:tblPr>
        <w:tblStyle w:val="42"/>
        <w:tblW w:w="47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60"/>
        <w:gridCol w:w="1150"/>
        <w:gridCol w:w="1268"/>
        <w:gridCol w:w="882"/>
        <w:gridCol w:w="1365"/>
        <w:gridCol w:w="807"/>
        <w:gridCol w:w="835"/>
        <w:gridCol w:w="1213"/>
      </w:tblGrid>
      <w:tr w14:paraId="6E1C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blHeader/>
          <w:jc w:val="center"/>
        </w:trPr>
        <w:tc>
          <w:tcPr>
            <w:tcW w:w="325" w:type="pct"/>
            <w:tcBorders>
              <w:top w:val="single" w:color="auto" w:sz="4" w:space="0"/>
              <w:left w:val="single" w:color="auto" w:sz="4" w:space="0"/>
              <w:bottom w:val="single" w:color="auto" w:sz="4" w:space="0"/>
              <w:right w:val="single" w:color="auto" w:sz="4" w:space="0"/>
            </w:tcBorders>
            <w:vAlign w:val="center"/>
          </w:tcPr>
          <w:p w14:paraId="01868135">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377" w:type="pct"/>
            <w:tcBorders>
              <w:top w:val="single" w:color="auto" w:sz="4" w:space="0"/>
              <w:left w:val="single" w:color="auto" w:sz="4" w:space="0"/>
              <w:bottom w:val="single" w:color="auto" w:sz="4" w:space="0"/>
              <w:right w:val="single" w:color="auto" w:sz="4" w:space="0"/>
            </w:tcBorders>
            <w:vAlign w:val="center"/>
          </w:tcPr>
          <w:p w14:paraId="03BFC32E">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姓名</w:t>
            </w:r>
          </w:p>
        </w:tc>
        <w:tc>
          <w:tcPr>
            <w:tcW w:w="657" w:type="pct"/>
            <w:tcBorders>
              <w:top w:val="single" w:color="auto" w:sz="4" w:space="0"/>
              <w:left w:val="single" w:color="auto" w:sz="4" w:space="0"/>
              <w:bottom w:val="single" w:color="auto" w:sz="4" w:space="0"/>
              <w:right w:val="single" w:color="auto" w:sz="4" w:space="0"/>
            </w:tcBorders>
            <w:vAlign w:val="center"/>
          </w:tcPr>
          <w:p w14:paraId="411CC71B">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性别</w:t>
            </w:r>
          </w:p>
        </w:tc>
        <w:tc>
          <w:tcPr>
            <w:tcW w:w="724" w:type="pct"/>
            <w:tcBorders>
              <w:top w:val="single" w:color="auto" w:sz="4" w:space="0"/>
              <w:left w:val="single" w:color="auto" w:sz="4" w:space="0"/>
              <w:bottom w:val="single" w:color="auto" w:sz="4" w:space="0"/>
              <w:right w:val="single" w:color="auto" w:sz="4" w:space="0"/>
            </w:tcBorders>
            <w:vAlign w:val="center"/>
          </w:tcPr>
          <w:p w14:paraId="19BD98AA">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出生年月</w:t>
            </w:r>
          </w:p>
        </w:tc>
        <w:tc>
          <w:tcPr>
            <w:tcW w:w="504" w:type="pct"/>
            <w:tcBorders>
              <w:top w:val="single" w:color="auto" w:sz="4" w:space="0"/>
              <w:left w:val="single" w:color="auto" w:sz="4" w:space="0"/>
              <w:bottom w:val="single" w:color="auto" w:sz="4" w:space="0"/>
              <w:right w:val="single" w:color="auto" w:sz="4" w:space="0"/>
            </w:tcBorders>
            <w:vAlign w:val="center"/>
          </w:tcPr>
          <w:p w14:paraId="7E5DD800">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学历</w:t>
            </w:r>
          </w:p>
        </w:tc>
        <w:tc>
          <w:tcPr>
            <w:tcW w:w="780" w:type="pct"/>
            <w:tcBorders>
              <w:top w:val="single" w:color="auto" w:sz="4" w:space="0"/>
              <w:left w:val="single" w:color="auto" w:sz="4" w:space="0"/>
              <w:bottom w:val="single" w:color="auto" w:sz="4" w:space="0"/>
              <w:right w:val="single" w:color="auto" w:sz="4" w:space="0"/>
            </w:tcBorders>
            <w:vAlign w:val="center"/>
          </w:tcPr>
          <w:p w14:paraId="7A8116A9">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职称/资质</w:t>
            </w:r>
          </w:p>
        </w:tc>
        <w:tc>
          <w:tcPr>
            <w:tcW w:w="461" w:type="pct"/>
            <w:tcBorders>
              <w:top w:val="single" w:color="auto" w:sz="4" w:space="0"/>
              <w:left w:val="single" w:color="auto" w:sz="4" w:space="0"/>
              <w:bottom w:val="single" w:color="auto" w:sz="4" w:space="0"/>
              <w:right w:val="single" w:color="auto" w:sz="4" w:space="0"/>
            </w:tcBorders>
            <w:vAlign w:val="center"/>
          </w:tcPr>
          <w:p w14:paraId="0223CB2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专业</w:t>
            </w:r>
          </w:p>
        </w:tc>
        <w:tc>
          <w:tcPr>
            <w:tcW w:w="477" w:type="pct"/>
            <w:tcBorders>
              <w:top w:val="single" w:color="auto" w:sz="4" w:space="0"/>
              <w:left w:val="single" w:color="auto" w:sz="4" w:space="0"/>
              <w:bottom w:val="single" w:color="auto" w:sz="4" w:space="0"/>
              <w:right w:val="single" w:color="auto" w:sz="4" w:space="0"/>
            </w:tcBorders>
            <w:vAlign w:val="center"/>
          </w:tcPr>
          <w:p w14:paraId="7708B7E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经验</w:t>
            </w:r>
          </w:p>
          <w:p w14:paraId="61889EA6">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ascii="宋体" w:eastAsia="宋体" w:cs="宋体"/>
                <w:color w:val="auto"/>
                <w:sz w:val="24"/>
                <w:szCs w:val="24"/>
                <w:highlight w:val="none"/>
              </w:rPr>
              <w:t xml:space="preserve">    </w:t>
            </w:r>
            <w:r>
              <w:rPr>
                <w:rFonts w:hint="eastAsia" w:ascii="宋体" w:eastAsia="宋体" w:cs="宋体"/>
                <w:color w:val="auto"/>
                <w:sz w:val="24"/>
                <w:szCs w:val="24"/>
                <w:highlight w:val="none"/>
              </w:rPr>
              <w:t>年限</w:t>
            </w:r>
          </w:p>
        </w:tc>
        <w:tc>
          <w:tcPr>
            <w:tcW w:w="693" w:type="pct"/>
            <w:tcBorders>
              <w:top w:val="single" w:color="auto" w:sz="4" w:space="0"/>
              <w:left w:val="single" w:color="auto" w:sz="4" w:space="0"/>
              <w:bottom w:val="single" w:color="auto" w:sz="4" w:space="0"/>
              <w:right w:val="single" w:color="auto" w:sz="4" w:space="0"/>
            </w:tcBorders>
            <w:vAlign w:val="center"/>
          </w:tcPr>
          <w:p w14:paraId="466DD05D">
            <w:pPr>
              <w:pageBreakBefore w:val="0"/>
              <w:widowControl w:val="0"/>
              <w:kinsoku/>
              <w:wordWrap/>
              <w:overflowPunct/>
              <w:topLinePunct w:val="0"/>
              <w:bidi w:val="0"/>
              <w:spacing w:line="500" w:lineRule="exact"/>
              <w:jc w:val="center"/>
              <w:rPr>
                <w:rFonts w:ascii="宋体" w:eastAsia="宋体" w:cs="宋体"/>
                <w:color w:val="auto"/>
                <w:sz w:val="24"/>
                <w:szCs w:val="24"/>
                <w:highlight w:val="none"/>
              </w:rPr>
            </w:pPr>
            <w:r>
              <w:rPr>
                <w:rFonts w:hint="eastAsia" w:ascii="宋体" w:eastAsia="宋体" w:cs="宋体"/>
                <w:color w:val="auto"/>
                <w:sz w:val="24"/>
                <w:szCs w:val="24"/>
                <w:highlight w:val="none"/>
              </w:rPr>
              <w:t>本项目担任职务</w:t>
            </w:r>
          </w:p>
        </w:tc>
      </w:tr>
      <w:tr w14:paraId="1ED2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9F4EC01">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04B4E18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E544A2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55B8CA0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71CCE06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3C03BA9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0418CAF0">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394C2E3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5AE16FC6">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2FAB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F3CBC3C">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343BE40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A585BB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3FD1DA4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5EB5D1A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3156A079">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10A31D37">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6077A14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1441063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3FFB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D1F86C3">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4F9B6AB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6318F89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39C3F4C0">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0A05D7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59C14686">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204A6AF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1FAFEDE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322AF46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118B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B360732">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1314B55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6E1C92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285D843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61652AE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36180E9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4E113654">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3635DF5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2D506976">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37F0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9110BDA">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057B384E">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C3C316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00CFDC81">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3BCE638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2AB32A8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4E69ADB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6AD96334">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1CA4353E">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7700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3418994">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6D1FD1C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9DD07D1">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7525391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7A5E971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5949FD1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37978DE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7D48CCE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0BF3BB6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238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446E1A0">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57307E3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92940B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504B45DE">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1E17DA91">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4988F95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45E5B89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458525F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18BF1B2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5D36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0B9890C">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2E79614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58B269B2">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6783FE77">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992B29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7ECB2DD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231EF46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0BEFF42A">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5A83F980">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0620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0D150E3">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57BF689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1E4EEB49">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5DA53EB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6627C3F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4A5B57DF">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75C51503">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757ECBF0">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24436208">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r w14:paraId="2FD5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F27D70A">
            <w:pPr>
              <w:pageBreakBefore w:val="0"/>
              <w:widowControl w:val="0"/>
              <w:numPr>
                <w:ilvl w:val="0"/>
                <w:numId w:val="3"/>
              </w:numPr>
              <w:kinsoku/>
              <w:wordWrap/>
              <w:overflowPunct/>
              <w:topLinePunct w:val="0"/>
              <w:bidi w:val="0"/>
              <w:spacing w:line="500" w:lineRule="exact"/>
              <w:ind w:left="425" w:firstLine="416"/>
              <w:jc w:val="center"/>
              <w:rPr>
                <w:rFonts w:ascii="宋体" w:eastAsia="宋体" w:cs="宋体"/>
                <w:color w:val="auto"/>
                <w:sz w:val="24"/>
                <w:szCs w:val="24"/>
                <w:highlight w:val="none"/>
              </w:rPr>
            </w:pPr>
          </w:p>
        </w:tc>
        <w:tc>
          <w:tcPr>
            <w:tcW w:w="377" w:type="pct"/>
            <w:tcBorders>
              <w:top w:val="single" w:color="auto" w:sz="4" w:space="0"/>
              <w:left w:val="single" w:color="auto" w:sz="4" w:space="0"/>
              <w:bottom w:val="single" w:color="auto" w:sz="4" w:space="0"/>
              <w:right w:val="single" w:color="auto" w:sz="4" w:space="0"/>
            </w:tcBorders>
            <w:vAlign w:val="center"/>
          </w:tcPr>
          <w:p w14:paraId="59EF268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7CAA184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20CAC1E2">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5D5187B7">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6C6118C">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61" w:type="pct"/>
            <w:tcBorders>
              <w:top w:val="single" w:color="auto" w:sz="4" w:space="0"/>
              <w:left w:val="single" w:color="auto" w:sz="4" w:space="0"/>
              <w:bottom w:val="single" w:color="auto" w:sz="4" w:space="0"/>
              <w:right w:val="single" w:color="auto" w:sz="4" w:space="0"/>
            </w:tcBorders>
            <w:vAlign w:val="center"/>
          </w:tcPr>
          <w:p w14:paraId="29A4A0DD">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vAlign w:val="center"/>
          </w:tcPr>
          <w:p w14:paraId="13B21065">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5C21D31B">
            <w:pPr>
              <w:pageBreakBefore w:val="0"/>
              <w:widowControl w:val="0"/>
              <w:kinsoku/>
              <w:wordWrap/>
              <w:overflowPunct/>
              <w:topLinePunct w:val="0"/>
              <w:bidi w:val="0"/>
              <w:spacing w:line="500" w:lineRule="exact"/>
              <w:ind w:firstLine="416"/>
              <w:jc w:val="center"/>
              <w:rPr>
                <w:rFonts w:ascii="宋体" w:eastAsia="宋体" w:cs="宋体"/>
                <w:color w:val="auto"/>
                <w:sz w:val="24"/>
                <w:szCs w:val="24"/>
                <w:highlight w:val="none"/>
                <w:lang w:val="zh-CN"/>
              </w:rPr>
            </w:pPr>
          </w:p>
        </w:tc>
      </w:tr>
    </w:tbl>
    <w:p w14:paraId="2AE974E8">
      <w:pPr>
        <w:pageBreakBefore w:val="0"/>
        <w:widowControl w:val="0"/>
        <w:kinsoku/>
        <w:wordWrap/>
        <w:overflowPunct/>
        <w:topLinePunct w:val="0"/>
        <w:bidi w:val="0"/>
        <w:spacing w:line="500" w:lineRule="exact"/>
        <w:ind w:firstLine="416"/>
        <w:jc w:val="center"/>
        <w:rPr>
          <w:rFonts w:ascii="宋体" w:eastAsia="宋体"/>
          <w:color w:val="auto"/>
          <w:sz w:val="24"/>
          <w:szCs w:val="24"/>
          <w:highlight w:val="none"/>
        </w:rPr>
      </w:pPr>
    </w:p>
    <w:p w14:paraId="6BA67886">
      <w:pPr>
        <w:pageBreakBefore w:val="0"/>
        <w:widowControl w:val="0"/>
        <w:kinsoku/>
        <w:wordWrap/>
        <w:overflowPunct/>
        <w:topLinePunct w:val="0"/>
        <w:bidi w:val="0"/>
        <w:spacing w:line="500" w:lineRule="exact"/>
        <w:ind w:firstLine="416"/>
        <w:rPr>
          <w:rFonts w:ascii="宋体" w:eastAsia="宋体" w:cs="Times New Roman"/>
          <w:color w:val="auto"/>
          <w:sz w:val="24"/>
          <w:szCs w:val="24"/>
          <w:highlight w:val="none"/>
        </w:rPr>
      </w:pPr>
      <w:r>
        <w:rPr>
          <w:rFonts w:ascii="宋体" w:eastAsia="宋体"/>
          <w:color w:val="auto"/>
          <w:sz w:val="24"/>
          <w:szCs w:val="24"/>
          <w:highlight w:val="none"/>
        </w:rPr>
        <w:t xml:space="preserve">    </w:t>
      </w:r>
      <w:bookmarkStart w:id="24" w:name="_Toc26866229"/>
      <w:bookmarkStart w:id="25" w:name="_Toc3164_WPSOffice_Level2"/>
    </w:p>
    <w:p w14:paraId="3E711EB6">
      <w:pPr>
        <w:pageBreakBefore w:val="0"/>
        <w:widowControl/>
        <w:kinsoku/>
        <w:wordWrap/>
        <w:overflowPunct/>
        <w:topLinePunct w:val="0"/>
        <w:bidi w:val="0"/>
        <w:spacing w:line="500" w:lineRule="exact"/>
        <w:ind w:firstLine="565"/>
        <w:jc w:val="left"/>
        <w:rPr>
          <w:rFonts w:ascii="宋体" w:eastAsia="宋体" w:cs="宋体"/>
          <w:b/>
          <w:color w:val="auto"/>
          <w:kern w:val="0"/>
          <w:sz w:val="24"/>
          <w:szCs w:val="24"/>
          <w:highlight w:val="none"/>
        </w:rPr>
      </w:pPr>
      <w:r>
        <w:rPr>
          <w:rFonts w:ascii="宋体" w:eastAsia="宋体" w:cs="Times New Roman"/>
          <w:color w:val="auto"/>
          <w:sz w:val="24"/>
          <w:szCs w:val="24"/>
          <w:highlight w:val="none"/>
        </w:rPr>
        <w:t xml:space="preserve">    </w:t>
      </w:r>
      <w:r>
        <w:rPr>
          <w:rFonts w:hint="eastAsia" w:ascii="宋体" w:eastAsia="宋体" w:cs="宋体"/>
          <w:b/>
          <w:color w:val="auto"/>
          <w:kern w:val="0"/>
          <w:sz w:val="24"/>
          <w:szCs w:val="24"/>
          <w:highlight w:val="none"/>
        </w:rPr>
        <w:br w:type="page"/>
      </w:r>
    </w:p>
    <w:p w14:paraId="0F2F5F6F">
      <w:pPr>
        <w:keepNext/>
        <w:keepLines/>
        <w:pageBreakBefore w:val="0"/>
        <w:widowControl w:val="0"/>
        <w:kinsoku/>
        <w:wordWrap/>
        <w:overflowPunct/>
        <w:topLinePunct w:val="0"/>
        <w:bidi w:val="0"/>
        <w:spacing w:line="500" w:lineRule="exact"/>
        <w:outlineLvl w:val="1"/>
        <w:rPr>
          <w:rFonts w:hint="eastAsia" w:ascii="宋体" w:eastAsia="宋体" w:cs="宋体"/>
          <w:b/>
          <w:color w:val="auto"/>
          <w:kern w:val="0"/>
          <w:sz w:val="24"/>
          <w:szCs w:val="24"/>
          <w:highlight w:val="none"/>
        </w:rPr>
      </w:pPr>
      <w:bookmarkStart w:id="26" w:name="_Toc14241"/>
      <w:r>
        <w:rPr>
          <w:rFonts w:hint="eastAsia" w:ascii="宋体" w:eastAsia="宋体" w:cs="宋体"/>
          <w:b/>
          <w:color w:val="auto"/>
          <w:kern w:val="0"/>
          <w:sz w:val="24"/>
          <w:szCs w:val="24"/>
          <w:highlight w:val="none"/>
        </w:rPr>
        <w:t>附件3：造价咨询任务大纲</w:t>
      </w:r>
      <w:bookmarkEnd w:id="24"/>
      <w:bookmarkEnd w:id="25"/>
      <w:bookmarkEnd w:id="26"/>
    </w:p>
    <w:p w14:paraId="6B9BBF4A">
      <w:pPr>
        <w:pageBreakBefore w:val="0"/>
        <w:widowControl w:val="0"/>
        <w:kinsoku/>
        <w:wordWrap/>
        <w:overflowPunct/>
        <w:topLinePunct w:val="0"/>
        <w:bidi w:val="0"/>
        <w:spacing w:line="500" w:lineRule="exact"/>
        <w:ind w:firstLine="484"/>
        <w:outlineLvl w:val="3"/>
        <w:rPr>
          <w:rFonts w:hint="eastAsia" w:ascii="宋体" w:eastAsia="宋体" w:cs="宋体"/>
          <w:b/>
          <w:bCs/>
          <w:color w:val="auto"/>
          <w:sz w:val="24"/>
          <w:szCs w:val="24"/>
          <w:highlight w:val="none"/>
        </w:rPr>
      </w:pPr>
      <w:bookmarkStart w:id="27" w:name="_Toc26866230"/>
      <w:bookmarkStart w:id="28" w:name="_Toc30023_WPSOffice_Level2"/>
      <w:bookmarkStart w:id="29" w:name="_Toc26871016"/>
      <w:r>
        <w:rPr>
          <w:rFonts w:hint="eastAsia" w:ascii="宋体" w:eastAsia="宋体" w:cs="宋体"/>
          <w:b/>
          <w:bCs/>
          <w:color w:val="auto"/>
          <w:sz w:val="24"/>
          <w:szCs w:val="24"/>
          <w:highlight w:val="none"/>
        </w:rPr>
        <w:t>一、项目概况</w:t>
      </w:r>
      <w:bookmarkEnd w:id="27"/>
      <w:bookmarkEnd w:id="28"/>
      <w:bookmarkEnd w:id="29"/>
    </w:p>
    <w:p w14:paraId="2F5C59C2">
      <w:pPr>
        <w:pageBreakBefore w:val="0"/>
        <w:widowControl w:val="0"/>
        <w:tabs>
          <w:tab w:val="left" w:pos="9100"/>
        </w:tabs>
        <w:kinsoku/>
        <w:wordWrap/>
        <w:overflowPunct/>
        <w:topLinePunct w:val="0"/>
        <w:autoSpaceDE w:val="0"/>
        <w:autoSpaceDN w:val="0"/>
        <w:bidi w:val="0"/>
        <w:adjustRightInd w:val="0"/>
        <w:spacing w:line="500" w:lineRule="exact"/>
        <w:ind w:left="1729" w:leftChars="172" w:right="392" w:hanging="1368" w:hangingChars="57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工程名称：</w:t>
      </w:r>
      <w:r>
        <w:rPr>
          <w:rFonts w:hint="eastAsia" w:ascii="宋体" w:eastAsia="宋体" w:cs="宋体"/>
          <w:color w:val="auto"/>
          <w:sz w:val="24"/>
          <w:szCs w:val="24"/>
          <w:highlight w:val="none"/>
          <w:u w:val="single"/>
        </w:rPr>
        <w:t>【】旧村改造项目首开启动区工程全过程造价咨询服务</w:t>
      </w:r>
    </w:p>
    <w:p w14:paraId="393C5F6A">
      <w:pPr>
        <w:pageBreakBefore w:val="0"/>
        <w:widowControl w:val="0"/>
        <w:tabs>
          <w:tab w:val="left" w:pos="9100"/>
        </w:tabs>
        <w:kinsoku/>
        <w:wordWrap/>
        <w:overflowPunct/>
        <w:topLinePunct w:val="0"/>
        <w:autoSpaceDE w:val="0"/>
        <w:autoSpaceDN w:val="0"/>
        <w:bidi w:val="0"/>
        <w:adjustRightInd w:val="0"/>
        <w:spacing w:line="500" w:lineRule="exact"/>
        <w:ind w:left="1729" w:leftChars="172" w:right="907" w:hanging="1368" w:hangingChars="570"/>
        <w:outlineLvl w:val="4"/>
        <w:rPr>
          <w:rFonts w:hint="eastAsia" w:ascii="宋体" w:eastAsia="宋体" w:cs="宋体"/>
          <w:color w:val="auto"/>
          <w:kern w:val="0"/>
          <w:sz w:val="24"/>
          <w:szCs w:val="24"/>
          <w:highlight w:val="none"/>
          <w:u w:val="single"/>
        </w:rPr>
      </w:pPr>
      <w:r>
        <w:rPr>
          <w:rFonts w:hint="eastAsia" w:ascii="宋体" w:eastAsia="宋体" w:cs="宋体"/>
          <w:color w:val="auto"/>
          <w:kern w:val="0"/>
          <w:sz w:val="24"/>
          <w:szCs w:val="24"/>
          <w:highlight w:val="none"/>
        </w:rPr>
        <w:t>工程地点：</w:t>
      </w:r>
      <w:r>
        <w:rPr>
          <w:rFonts w:hint="eastAsia" w:ascii="宋体" w:eastAsia="宋体" w:cs="宋体"/>
          <w:color w:val="auto"/>
          <w:sz w:val="24"/>
          <w:szCs w:val="24"/>
          <w:highlight w:val="none"/>
          <w:u w:val="single"/>
        </w:rPr>
        <w:t>广州市黄埔区【】街道【】</w:t>
      </w:r>
    </w:p>
    <w:p w14:paraId="48293C4D">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工程建设规模：广州市黄埔区云埔街刘村社区岗贝村城中村改造项目位于广州市黄埔区，用地面积35657.81m²，计容建筑面积141998.08m²，总建筑面积202953.92m²。最终以规划部门正式批复为准。</w:t>
      </w:r>
    </w:p>
    <w:p w14:paraId="1F21FC85">
      <w:pPr>
        <w:pageBreakBefore w:val="0"/>
        <w:widowControl w:val="0"/>
        <w:tabs>
          <w:tab w:val="left" w:pos="9100"/>
        </w:tabs>
        <w:kinsoku/>
        <w:wordWrap/>
        <w:overflowPunct/>
        <w:topLinePunct w:val="0"/>
        <w:autoSpaceDE w:val="0"/>
        <w:autoSpaceDN w:val="0"/>
        <w:bidi w:val="0"/>
        <w:adjustRightInd w:val="0"/>
        <w:spacing w:line="500" w:lineRule="exact"/>
        <w:ind w:right="126" w:firstLine="360" w:firstLineChars="150"/>
        <w:rPr>
          <w:rFonts w:hint="eastAsia" w:ascii="宋体" w:eastAsia="宋体" w:cs="宋体"/>
          <w:color w:val="auto"/>
          <w:sz w:val="24"/>
          <w:szCs w:val="24"/>
          <w:highlight w:val="none"/>
          <w:u w:val="single"/>
        </w:rPr>
      </w:pPr>
      <w:r>
        <w:rPr>
          <w:rFonts w:hint="eastAsia" w:ascii="宋体" w:eastAsia="宋体" w:cs="宋体"/>
          <w:color w:val="auto"/>
          <w:kern w:val="0"/>
          <w:sz w:val="24"/>
          <w:szCs w:val="24"/>
          <w:highlight w:val="none"/>
        </w:rPr>
        <w:t>资金来源：</w:t>
      </w:r>
      <w:r>
        <w:rPr>
          <w:rFonts w:hint="eastAsia" w:ascii="宋体" w:eastAsia="宋体" w:cs="宋体"/>
          <w:color w:val="auto"/>
          <w:sz w:val="24"/>
          <w:szCs w:val="24"/>
          <w:highlight w:val="none"/>
          <w:u w:val="single"/>
        </w:rPr>
        <w:t>企业自筹</w:t>
      </w:r>
    </w:p>
    <w:p w14:paraId="41BCB638">
      <w:pPr>
        <w:pageBreakBefore w:val="0"/>
        <w:widowControl w:val="0"/>
        <w:tabs>
          <w:tab w:val="left" w:pos="9100"/>
        </w:tabs>
        <w:kinsoku/>
        <w:wordWrap/>
        <w:overflowPunct/>
        <w:topLinePunct w:val="0"/>
        <w:autoSpaceDE w:val="0"/>
        <w:autoSpaceDN w:val="0"/>
        <w:bidi w:val="0"/>
        <w:adjustRightInd w:val="0"/>
        <w:spacing w:line="500" w:lineRule="exact"/>
        <w:ind w:left="9" w:right="106" w:firstLine="350" w:firstLineChars="146"/>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服务期限：</w:t>
      </w:r>
      <w:r>
        <w:rPr>
          <w:rFonts w:hint="eastAsia" w:ascii="宋体" w:eastAsia="宋体" w:cs="宋体"/>
          <w:color w:val="auto"/>
          <w:kern w:val="0"/>
          <w:sz w:val="24"/>
          <w:szCs w:val="24"/>
          <w:highlight w:val="none"/>
          <w:u w:val="single"/>
        </w:rPr>
        <w:t>自</w:t>
      </w:r>
      <w:r>
        <w:rPr>
          <w:rFonts w:hint="eastAsia" w:ascii="宋体" w:eastAsia="宋体" w:cs="宋体"/>
          <w:color w:val="auto"/>
          <w:kern w:val="0"/>
          <w:sz w:val="24"/>
          <w:szCs w:val="24"/>
          <w:highlight w:val="none"/>
          <w:u w:val="single"/>
          <w:lang w:val="en-US" w:eastAsia="zh-CN"/>
        </w:rPr>
        <w:t>合同签订生效</w:t>
      </w:r>
      <w:r>
        <w:rPr>
          <w:rFonts w:hint="eastAsia" w:ascii="宋体" w:eastAsia="宋体" w:cs="宋体"/>
          <w:color w:val="auto"/>
          <w:kern w:val="0"/>
          <w:sz w:val="24"/>
          <w:szCs w:val="24"/>
          <w:highlight w:val="none"/>
          <w:u w:val="single"/>
        </w:rPr>
        <w:t>之日起至</w:t>
      </w:r>
      <w:r>
        <w:rPr>
          <w:rFonts w:hint="eastAsia" w:ascii="宋体" w:eastAsia="宋体" w:cs="宋体"/>
          <w:color w:val="auto"/>
          <w:kern w:val="0"/>
          <w:sz w:val="24"/>
          <w:szCs w:val="24"/>
          <w:highlight w:val="none"/>
          <w:u w:val="single"/>
          <w:lang w:eastAsia="zh-CN"/>
        </w:rPr>
        <w:t>乙</w:t>
      </w:r>
      <w:r>
        <w:rPr>
          <w:rFonts w:hint="eastAsia" w:ascii="宋体" w:eastAsia="宋体" w:cs="宋体"/>
          <w:color w:val="auto"/>
          <w:kern w:val="0"/>
          <w:sz w:val="24"/>
          <w:szCs w:val="24"/>
          <w:highlight w:val="none"/>
          <w:u w:val="single"/>
        </w:rPr>
        <w:t>方完成合同约定的全部服务内容时止</w:t>
      </w:r>
    </w:p>
    <w:p w14:paraId="40D8D939">
      <w:pPr>
        <w:pageBreakBefore w:val="0"/>
        <w:widowControl w:val="0"/>
        <w:numPr>
          <w:ilvl w:val="0"/>
          <w:numId w:val="4"/>
        </w:numPr>
        <w:kinsoku/>
        <w:wordWrap/>
        <w:overflowPunct/>
        <w:topLinePunct w:val="0"/>
        <w:bidi w:val="0"/>
        <w:spacing w:line="500" w:lineRule="exact"/>
        <w:ind w:left="0" w:firstLine="484"/>
        <w:outlineLvl w:val="3"/>
        <w:rPr>
          <w:rFonts w:hint="eastAsia" w:ascii="宋体" w:eastAsia="宋体" w:cs="宋体"/>
          <w:b/>
          <w:bCs/>
          <w:color w:val="auto"/>
          <w:sz w:val="24"/>
          <w:szCs w:val="24"/>
          <w:highlight w:val="none"/>
        </w:rPr>
      </w:pPr>
      <w:bookmarkStart w:id="30" w:name="_Toc26871017"/>
      <w:bookmarkStart w:id="31" w:name="_Toc18453_WPSOffice_Level2"/>
      <w:bookmarkStart w:id="32" w:name="_Toc26866231"/>
      <w:r>
        <w:rPr>
          <w:rFonts w:hint="eastAsia" w:ascii="宋体" w:eastAsia="宋体" w:cs="宋体"/>
          <w:b/>
          <w:bCs/>
          <w:color w:val="auto"/>
          <w:sz w:val="24"/>
          <w:szCs w:val="24"/>
          <w:highlight w:val="none"/>
        </w:rPr>
        <w:t>服务内容</w:t>
      </w:r>
      <w:bookmarkEnd w:id="30"/>
      <w:bookmarkEnd w:id="31"/>
      <w:bookmarkEnd w:id="32"/>
    </w:p>
    <w:p w14:paraId="581A0CF2">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本次招标的造价咨询服务内容为：</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zh-CN"/>
        </w:rPr>
        <w:t>包括但不限于）：</w:t>
      </w:r>
      <w:r>
        <w:rPr>
          <w:rFonts w:hint="eastAsia" w:ascii="宋体" w:eastAsia="宋体" w:cs="宋体"/>
          <w:color w:val="auto"/>
          <w:sz w:val="24"/>
          <w:szCs w:val="24"/>
          <w:highlight w:val="none"/>
          <w:u w:val="single"/>
        </w:rPr>
        <w:t>【】造价咨询服务、投资控制工作、协助业主配合审计、协助业主处理工程造价司法纠纷、</w:t>
      </w:r>
      <w:r>
        <w:rPr>
          <w:rFonts w:hint="eastAsia" w:ascii="宋体" w:eastAsia="宋体" w:cs="宋体"/>
          <w:color w:val="auto"/>
          <w:sz w:val="24"/>
          <w:szCs w:val="24"/>
          <w:highlight w:val="none"/>
          <w:lang w:val="zh-CN"/>
        </w:rPr>
        <w:t>编制</w:t>
      </w:r>
      <w:r>
        <w:rPr>
          <w:rFonts w:hint="eastAsia" w:ascii="宋体" w:eastAsia="宋体" w:cs="宋体"/>
          <w:color w:val="auto"/>
          <w:sz w:val="24"/>
          <w:szCs w:val="24"/>
          <w:highlight w:val="none"/>
          <w:lang w:val="en-US" w:eastAsia="zh-CN"/>
        </w:rPr>
        <w:t>或</w:t>
      </w:r>
      <w:r>
        <w:rPr>
          <w:rFonts w:hint="eastAsia" w:ascii="宋体" w:eastAsia="宋体" w:cs="宋体"/>
          <w:color w:val="auto"/>
          <w:sz w:val="24"/>
          <w:szCs w:val="24"/>
          <w:highlight w:val="none"/>
          <w:lang w:val="zh-CN"/>
        </w:rPr>
        <w:t>审核招标控制价（</w:t>
      </w:r>
      <w:r>
        <w:rPr>
          <w:rFonts w:hint="eastAsia" w:ascii="宋体" w:eastAsia="宋体" w:cs="宋体"/>
          <w:color w:val="auto"/>
          <w:sz w:val="24"/>
          <w:szCs w:val="24"/>
          <w:highlight w:val="none"/>
          <w:lang w:val="en-US" w:eastAsia="zh-CN"/>
        </w:rPr>
        <w:t>如有</w:t>
      </w:r>
      <w:r>
        <w:rPr>
          <w:rFonts w:hint="eastAsia" w:ascii="宋体" w:eastAsia="宋体" w:cs="宋体"/>
          <w:color w:val="auto"/>
          <w:sz w:val="24"/>
          <w:szCs w:val="24"/>
          <w:highlight w:val="none"/>
          <w:lang w:val="zh-CN"/>
        </w:rPr>
        <w:t>）及工程量清单、施工图预算、工程结算审核，设计变更、现场签证审核等工作。</w:t>
      </w:r>
    </w:p>
    <w:p w14:paraId="7B029C55">
      <w:pPr>
        <w:pageBreakBefore w:val="0"/>
        <w:widowControl/>
        <w:kinsoku/>
        <w:wordWrap/>
        <w:overflowPunct/>
        <w:topLinePunct w:val="0"/>
        <w:bidi w:val="0"/>
        <w:snapToGrid w:val="0"/>
        <w:spacing w:line="500" w:lineRule="exact"/>
        <w:ind w:firstLine="240" w:firstLineChars="100"/>
        <w:jc w:val="left"/>
        <w:rPr>
          <w:rFonts w:hint="eastAsia" w:ascii="宋体" w:eastAsia="宋体" w:cs="宋体"/>
          <w:color w:val="auto"/>
          <w:kern w:val="0"/>
          <w:sz w:val="24"/>
          <w:szCs w:val="24"/>
          <w:highlight w:val="none"/>
          <w:u w:val="single"/>
        </w:rPr>
      </w:pPr>
      <w:r>
        <w:rPr>
          <w:rFonts w:hint="eastAsia" w:ascii="宋体" w:eastAsia="宋体" w:cs="宋体"/>
          <w:color w:val="auto"/>
          <w:kern w:val="0"/>
          <w:sz w:val="24"/>
          <w:szCs w:val="24"/>
          <w:highlight w:val="none"/>
          <w:u w:val="single"/>
        </w:rPr>
        <w:t>包括但不限于以下内容：</w:t>
      </w:r>
    </w:p>
    <w:p w14:paraId="12A4D2FB">
      <w:pPr>
        <w:pageBreakBefore w:val="0"/>
        <w:widowControl w:val="0"/>
        <w:kinsoku/>
        <w:wordWrap/>
        <w:overflowPunct/>
        <w:topLinePunct w:val="0"/>
        <w:bidi w:val="0"/>
        <w:spacing w:line="500" w:lineRule="exact"/>
        <w:ind w:firstLine="480" w:firstLineChars="200"/>
        <w:outlineLvl w:val="3"/>
        <w:rPr>
          <w:rFonts w:hint="eastAsia" w:ascii="宋体" w:eastAsia="宋体" w:cs="宋体"/>
          <w:color w:val="auto"/>
          <w:sz w:val="24"/>
          <w:szCs w:val="24"/>
          <w:highlight w:val="none"/>
        </w:rPr>
      </w:pPr>
      <w:bookmarkStart w:id="33" w:name="_Toc25151"/>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施工图</w:t>
      </w:r>
      <w:r>
        <w:rPr>
          <w:rFonts w:hint="eastAsia" w:ascii="宋体" w:eastAsia="宋体" w:cs="宋体"/>
          <w:color w:val="auto"/>
          <w:sz w:val="24"/>
          <w:szCs w:val="24"/>
          <w:highlight w:val="none"/>
        </w:rPr>
        <w:t>设计阶段：</w:t>
      </w:r>
    </w:p>
    <w:p w14:paraId="62263FFE">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）根据</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要求进行方案比选及测算，提交合理化建议；</w:t>
      </w:r>
    </w:p>
    <w:p w14:paraId="615E7184">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）参加图纸会审，根据</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要求提供造价方面的专业意见；</w:t>
      </w:r>
    </w:p>
    <w:p w14:paraId="48870B37">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）提供建筑材料、设备造价方面的选择意见，控制投资成本；</w:t>
      </w:r>
    </w:p>
    <w:p w14:paraId="1E4869AA">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rPr>
        <w:t>）提供类似项目的建筑标准及参考造价供</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参考，配合</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修改、确定建筑标准；</w:t>
      </w:r>
    </w:p>
    <w:p w14:paraId="6353A295">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5</w:t>
      </w:r>
      <w:r>
        <w:rPr>
          <w:rFonts w:hint="eastAsia" w:ascii="宋体" w:eastAsia="宋体" w:cs="宋体"/>
          <w:color w:val="auto"/>
          <w:sz w:val="24"/>
          <w:szCs w:val="24"/>
          <w:highlight w:val="none"/>
        </w:rPr>
        <w:t>）若限额指标超限，</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方应及时分析偏差原因，提出造价节省建议；</w:t>
      </w:r>
    </w:p>
    <w:p w14:paraId="73E1B6C4">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）根据</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需要，提出、评估和报告不同的建筑形式、施工方法、建筑材料和设备对工程造价的影响；</w:t>
      </w:r>
    </w:p>
    <w:p w14:paraId="1F5BFCB6">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）当设计单位更新此阶段的图纸版本后，</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方应重复上述工作，直至此阶段最终图纸之设计造价满足</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成本控制要求；</w:t>
      </w:r>
    </w:p>
    <w:p w14:paraId="2995D2E7">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8</w:t>
      </w:r>
      <w:r>
        <w:rPr>
          <w:rFonts w:hint="eastAsia" w:ascii="宋体" w:eastAsia="宋体" w:cs="宋体"/>
          <w:color w:val="auto"/>
          <w:sz w:val="24"/>
          <w:szCs w:val="24"/>
          <w:highlight w:val="none"/>
        </w:rPr>
        <w:t>）按</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要求出席相应的设计协调会及专家论证会，就设计的经济性发表独立的专业意见。</w:t>
      </w:r>
    </w:p>
    <w:p w14:paraId="3928A2D8">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9</w:t>
      </w:r>
      <w:r>
        <w:rPr>
          <w:rFonts w:hint="eastAsia" w:ascii="宋体" w:eastAsia="宋体" w:cs="宋体"/>
          <w:color w:val="auto"/>
          <w:sz w:val="24"/>
          <w:szCs w:val="24"/>
          <w:highlight w:val="none"/>
        </w:rPr>
        <w:t>）编制项目执行版目标成本。</w:t>
      </w:r>
    </w:p>
    <w:p w14:paraId="5D2A8397">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0</w:t>
      </w:r>
      <w:r>
        <w:rPr>
          <w:rFonts w:hint="eastAsia" w:ascii="宋体" w:eastAsia="宋体" w:cs="宋体"/>
          <w:color w:val="auto"/>
          <w:sz w:val="24"/>
          <w:szCs w:val="24"/>
          <w:highlight w:val="none"/>
        </w:rPr>
        <w:t>）根据</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要求，提供</w:t>
      </w:r>
      <w:r>
        <w:rPr>
          <w:rFonts w:hint="eastAsia" w:ascii="宋体" w:eastAsia="宋体" w:cs="宋体"/>
          <w:color w:val="auto"/>
          <w:sz w:val="24"/>
          <w:szCs w:val="24"/>
          <w:highlight w:val="none"/>
          <w:lang w:val="en-US" w:eastAsia="zh-CN"/>
        </w:rPr>
        <w:t>施工图</w:t>
      </w:r>
      <w:r>
        <w:rPr>
          <w:rFonts w:hint="eastAsia" w:ascii="宋体" w:eastAsia="宋体" w:cs="宋体"/>
          <w:color w:val="auto"/>
          <w:sz w:val="24"/>
          <w:szCs w:val="24"/>
          <w:highlight w:val="none"/>
        </w:rPr>
        <w:t>设计阶段的其他相关服务。</w:t>
      </w:r>
    </w:p>
    <w:p w14:paraId="0A25F0A2">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2、招标阶段</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如有</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：根据招标图纸、招标文件，按</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要求编制招标项目各专业的工程量清单及招标控制价，如有需要，需配合</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按广州市建设主管部门及造价管理部门的有关要求完成招标控制价网上备案手续等工作；开标后根据工程的实际需要及</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要求，对中标单位投标报价文件进行全面复核并提供复核报告；审核招标文件，提交相关计价、计量、支付、索赔等投资控制条款，按时提交审核报告、调整意见及合理化建议。服务期开始时招标控制价已完成审批的项目除外。</w:t>
      </w:r>
    </w:p>
    <w:p w14:paraId="36F61B5C">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3、施工阶段：</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须做好施工过程所产生的工程量和费用的审核工作，根据施工图及招标、投标文件、施工合同计算工程实物量、参与材料设备的询价、审核工程变更及签证、与工程承包单位、材料设备供应单位洽谈索赔事项、建立管理台账等进行动态造价控制。</w:t>
      </w:r>
    </w:p>
    <w:p w14:paraId="0E5D5540">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（1）调整项目总体投资进度计划，根据实际进度与每月实际投资和计划投资做分析比较，分析成本超支的原因和修正项目投资进度计划；</w:t>
      </w:r>
    </w:p>
    <w:p w14:paraId="52644EE8">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（2）协助</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制定工程成本控制方案，包括合同管理、工程变更程序、工程款支付程序等管理方案；</w:t>
      </w:r>
    </w:p>
    <w:p w14:paraId="604E7E83">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（3）协助</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处理合同变更，包括合同变更谈判、变更的处理程序，检查变更措施的落实情况；</w:t>
      </w:r>
    </w:p>
    <w:p w14:paraId="78225038">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（4）协助</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处理合同的索赔，维护</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方的合法权益，防止索赔事件的发生。对收到的承包方的索赔报告进行审查分析，收集索赔理由和证据，复核索赔值，起草并提出反索赔报告。调解合同争端，在诉讼过程中提供合法的依据；</w:t>
      </w:r>
    </w:p>
    <w:p w14:paraId="073FF478">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负责审核施工单位的施工图预算、施工现场的工程量计量、工程变更工程量及价款、现场签证工程量及价款、工程联系单工程量及价款；搜集月度材料信息，编制/审核月度工程量及材差价款；现场签证涉及造价，就工程变更所发生的工程量及时进行签认。就提出的工程变更（包括：图纸会审、图纸修改、工程洽商等）对造价造成的影响提交较准确的计算分析。协助</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就工程变更涉及的价款与施工方协商，确认变更价款；</w:t>
      </w:r>
    </w:p>
    <w:p w14:paraId="6B6D3185">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）负责定期收集和整理有关设备材料的市场价格动态信息并提供给</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方，对施工方案、材料选用提供尽可能节省成本的建议，如发生设计变更、材料或设备价格的浮动等，及时向</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提供书面意见；</w:t>
      </w:r>
    </w:p>
    <w:p w14:paraId="0E4D688D">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）每月提交一份工程成本控制报告。根据截止至当月所签订的施工合同、完成的工程量、确认的变更、确认的材料设备的价格及材料设备价格的走势等资料对项目的最终造价进行预测；</w:t>
      </w:r>
    </w:p>
    <w:p w14:paraId="3DBBE9B3">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8</w:t>
      </w:r>
      <w:r>
        <w:rPr>
          <w:rFonts w:hint="eastAsia" w:ascii="宋体" w:eastAsia="宋体" w:cs="宋体"/>
          <w:color w:val="auto"/>
          <w:sz w:val="24"/>
          <w:szCs w:val="24"/>
          <w:highlight w:val="none"/>
        </w:rPr>
        <w:t>）按</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要求参与施工现场工程例会、图纸会审及与投资控制有关的专题会等；</w:t>
      </w:r>
    </w:p>
    <w:p w14:paraId="6F730EAE">
      <w:pPr>
        <w:pageBreakBefore w:val="0"/>
        <w:widowControl w:val="0"/>
        <w:kinsoku/>
        <w:wordWrap/>
        <w:overflowPunct/>
        <w:topLinePunct w:val="0"/>
        <w:bidi w:val="0"/>
        <w:spacing w:line="500" w:lineRule="exact"/>
        <w:ind w:firstLine="480" w:firstLineChars="200"/>
        <w:outlineLvl w:val="4"/>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9</w:t>
      </w:r>
      <w:r>
        <w:rPr>
          <w:rFonts w:hint="eastAsia" w:ascii="宋体" w:eastAsia="宋体" w:cs="宋体"/>
          <w:color w:val="auto"/>
          <w:sz w:val="24"/>
          <w:szCs w:val="24"/>
          <w:highlight w:val="none"/>
        </w:rPr>
        <w:t>）审核所有涉及造价的工程技术文件并分析造价影响。</w:t>
      </w:r>
    </w:p>
    <w:p w14:paraId="1CC15B85">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0</w:t>
      </w:r>
      <w:r>
        <w:rPr>
          <w:rFonts w:hint="eastAsia" w:ascii="宋体" w:eastAsia="宋体" w:cs="宋体"/>
          <w:color w:val="auto"/>
          <w:sz w:val="24"/>
          <w:szCs w:val="24"/>
          <w:highlight w:val="none"/>
        </w:rPr>
        <w:t>）项目负责人（或项目负责人委派专业负责人）须按时参加每周的监理例会。</w:t>
      </w:r>
    </w:p>
    <w:p w14:paraId="0A81EB9B">
      <w:pPr>
        <w:pStyle w:val="25"/>
        <w:pageBreakBefore w:val="0"/>
        <w:widowControl w:val="0"/>
        <w:kinsoku/>
        <w:wordWrap/>
        <w:overflowPunct/>
        <w:topLinePunct w:val="0"/>
        <w:bidi w:val="0"/>
        <w:spacing w:line="500" w:lineRule="exact"/>
        <w:ind w:firstLine="480" w:firstLineChars="200"/>
        <w:outlineLvl w:val="4"/>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）负责过程动态成本盘点（每月一次）</w:t>
      </w:r>
    </w:p>
    <w:p w14:paraId="42C02169">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4、竣工结算阶段：配合搜集和整理结算依据资料，负责各项工程竣工结算的审核工作，</w:t>
      </w:r>
      <w:r>
        <w:rPr>
          <w:rFonts w:hint="eastAsia" w:ascii="宋体" w:eastAsia="宋体" w:cs="宋体"/>
          <w:color w:val="auto"/>
          <w:sz w:val="24"/>
          <w:szCs w:val="24"/>
          <w:highlight w:val="none"/>
          <w:lang w:val="en-US" w:eastAsia="zh-CN"/>
        </w:rPr>
        <w:t>出具</w:t>
      </w:r>
      <w:r>
        <w:rPr>
          <w:rFonts w:hint="eastAsia" w:ascii="宋体" w:eastAsia="宋体" w:cs="宋体"/>
          <w:color w:val="auto"/>
          <w:sz w:val="24"/>
          <w:szCs w:val="24"/>
          <w:highlight w:val="none"/>
        </w:rPr>
        <w:t>建设工程竣工结算报告、竣工项目可行性后评估分析。确保结算报告的完整性、合理性、正确性。</w:t>
      </w:r>
    </w:p>
    <w:p w14:paraId="3DD18A35">
      <w:pPr>
        <w:pageBreakBefore w:val="0"/>
        <w:widowControl w:val="0"/>
        <w:kinsoku/>
        <w:wordWrap/>
        <w:overflowPunct/>
        <w:topLinePunct w:val="0"/>
        <w:bidi w:val="0"/>
        <w:spacing w:line="500" w:lineRule="exact"/>
        <w:ind w:left="210" w:leftChars="100" w:firstLine="240" w:firstLineChars="100"/>
        <w:rPr>
          <w:rFonts w:hint="eastAsia" w:ascii="宋体" w:eastAsia="宋体" w:cs="宋体"/>
          <w:color w:val="auto"/>
          <w:sz w:val="24"/>
          <w:szCs w:val="24"/>
          <w:highlight w:val="none"/>
        </w:rPr>
      </w:pPr>
      <w:r>
        <w:rPr>
          <w:rFonts w:hint="eastAsia" w:ascii="宋体" w:eastAsia="宋体" w:cs="宋体"/>
          <w:color w:val="auto"/>
          <w:sz w:val="24"/>
          <w:szCs w:val="24"/>
          <w:highlight w:val="none"/>
        </w:rPr>
        <w:t>（1）负责已完工程的结算审核，收到项目承包单位提交经监理审核的完整工程竣工（完工）结算资料后5周内予以审核并提出完整的核实意见，如有必要需与项目承包单位进行对数确认，自收到正式结算资料后15周内完成对数及出正式结算审核报告。</w:t>
      </w:r>
    </w:p>
    <w:p w14:paraId="1EDF9433">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在结算完成15个工作日内提交工程造价后评估报告，包括对项目及实施过程的描述、概算、预算、合同价结算价进行比较，对各阶段时期的造价对比分析，按每完成一个节点出一个分析报告，对产生差异的原因及投资控制的效果进行分析。</w:t>
      </w:r>
    </w:p>
    <w:p w14:paraId="17042F3A">
      <w:pPr>
        <w:pStyle w:val="25"/>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）如因竣工结算审核存在异议等客观原因导致</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方审核期限延长的，由</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方提出书面延长申请，经</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确认后同意顺延。</w:t>
      </w:r>
    </w:p>
    <w:p w14:paraId="0C8BFE5D">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5、决算阶段：配合搜集和整理决算依据资料，配合完成本项目投资控制管理建档工作。</w:t>
      </w:r>
    </w:p>
    <w:p w14:paraId="51A86C78">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6、审计阶段：配合审计部门的工程造价审计工作等相关配合服务工作，配合财务工作。配合搜集和整理决算依据资料，配合完成整个项目投资控制管理建档工作。</w:t>
      </w:r>
    </w:p>
    <w:p w14:paraId="462D130F">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7、负责在规定的服务周期内完成项目或工程的前期费用、工程相关费等费用的预算价编制</w:t>
      </w:r>
      <w:r>
        <w:rPr>
          <w:rFonts w:hint="eastAsia" w:ascii="宋体" w:eastAsia="宋体" w:cs="宋体"/>
          <w:color w:val="auto"/>
          <w:sz w:val="24"/>
          <w:szCs w:val="24"/>
          <w:highlight w:val="none"/>
          <w:lang w:val="en-US" w:eastAsia="zh-CN"/>
        </w:rPr>
        <w:t>或审核</w:t>
      </w:r>
      <w:r>
        <w:rPr>
          <w:rFonts w:hint="eastAsia" w:ascii="宋体" w:eastAsia="宋体" w:cs="宋体"/>
          <w:color w:val="auto"/>
          <w:sz w:val="24"/>
          <w:szCs w:val="24"/>
          <w:highlight w:val="none"/>
        </w:rPr>
        <w:t>、结算价审核工作。</w:t>
      </w:r>
    </w:p>
    <w:p w14:paraId="162C07C7">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（1）前期费用包括但不限于：前期咨询费、勘察、设计费、土方地形图和控制点费用、七通一平工程费、清表费用、前期服务费、临时设施建造费（施工围墙）等；</w:t>
      </w:r>
    </w:p>
    <w:p w14:paraId="02D16F69">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（2）工程相关费包括但不限于监理费、专项检测费、监测费、材料检验试验费、面积测绘等。</w:t>
      </w:r>
    </w:p>
    <w:p w14:paraId="18ABC7AE">
      <w:pPr>
        <w:pageBreakBefore w:val="0"/>
        <w:widowControl w:val="0"/>
        <w:kinsoku/>
        <w:wordWrap/>
        <w:overflowPunct/>
        <w:topLinePunct w:val="0"/>
        <w:bidi w:val="0"/>
        <w:spacing w:line="500" w:lineRule="exact"/>
        <w:ind w:firstLine="480" w:firstLineChars="200"/>
        <w:outlineLvl w:val="3"/>
        <w:rPr>
          <w:rFonts w:hint="eastAsia" w:ascii="宋体" w:eastAsia="宋体" w:cs="宋体"/>
          <w:color w:val="auto"/>
          <w:sz w:val="24"/>
          <w:szCs w:val="24"/>
          <w:highlight w:val="none"/>
        </w:rPr>
      </w:pPr>
      <w:r>
        <w:rPr>
          <w:rFonts w:hint="eastAsia" w:ascii="宋体" w:eastAsia="宋体" w:cs="宋体"/>
          <w:color w:val="auto"/>
          <w:sz w:val="24"/>
          <w:szCs w:val="24"/>
          <w:highlight w:val="none"/>
        </w:rPr>
        <w:t>8、</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方提交的所有造价文件格式均需满足</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方的要求。</w:t>
      </w:r>
    </w:p>
    <w:p w14:paraId="2D4C8D41">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9、须提供</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交代的其他造价咨询服务及投资控制事项（含司法鉴定服务）。</w:t>
      </w:r>
    </w:p>
    <w:p w14:paraId="75941030">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10、</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方须按</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要求指派项目负责人（注册造价工程师或注册一级造价工程师）定期到项目现场进行沟通对接，以一星期为一周期，每星期不少于一天(8小时)。</w:t>
      </w:r>
    </w:p>
    <w:p w14:paraId="1A02F56C">
      <w:pPr>
        <w:pageBreakBefore w:val="0"/>
        <w:widowControl w:val="0"/>
        <w:kinsoku/>
        <w:wordWrap/>
        <w:overflowPunct/>
        <w:topLinePunct w:val="0"/>
        <w:bidi w:val="0"/>
        <w:spacing w:line="500" w:lineRule="exact"/>
        <w:ind w:firstLine="480" w:firstLineChars="200"/>
        <w:outlineLvl w:val="3"/>
        <w:rPr>
          <w:rFonts w:hint="eastAsia" w:ascii="宋体" w:eastAsia="宋体" w:cs="宋体"/>
          <w:color w:val="auto"/>
          <w:sz w:val="24"/>
          <w:szCs w:val="24"/>
          <w:highlight w:val="none"/>
        </w:rPr>
      </w:pPr>
      <w:r>
        <w:rPr>
          <w:rFonts w:hint="eastAsia" w:ascii="宋体" w:eastAsia="宋体" w:cs="宋体"/>
          <w:color w:val="auto"/>
          <w:sz w:val="24"/>
          <w:szCs w:val="24"/>
          <w:highlight w:val="none"/>
        </w:rPr>
        <w:t>11、负责建立合同、付款、变更签证、预结算等管理台账。</w:t>
      </w:r>
    </w:p>
    <w:p w14:paraId="01917D5D">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12、向</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方提出专业性建议并提供相关的服务，协助</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方解决合同纠纷。</w:t>
      </w:r>
    </w:p>
    <w:p w14:paraId="2048912D">
      <w:pPr>
        <w:pageBreakBefore w:val="0"/>
        <w:widowControl w:val="0"/>
        <w:kinsoku/>
        <w:wordWrap/>
        <w:overflowPunct/>
        <w:topLinePunct w:val="0"/>
        <w:bidi w:val="0"/>
        <w:spacing w:line="50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13、对于发生的变更、签证、索赔、反索赔等情况及时与监理单位、</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方进行现场核实，及时进行预估、核算、核对，做到整个过程记录清楚，依据充分，计算清晰，结果明确。因</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方对现场发生情况没有及时解决而造成工程造价不完整，结算有争议，给</w:t>
      </w:r>
      <w:r>
        <w:rPr>
          <w:rFonts w:hint="eastAsia" w:ascii="宋体" w:eastAsia="宋体" w:cs="宋体"/>
          <w:color w:val="auto"/>
          <w:sz w:val="24"/>
          <w:szCs w:val="24"/>
          <w:highlight w:val="none"/>
          <w:lang w:eastAsia="zh-CN"/>
        </w:rPr>
        <w:t>甲</w:t>
      </w:r>
      <w:r>
        <w:rPr>
          <w:rFonts w:hint="eastAsia" w:ascii="宋体" w:eastAsia="宋体" w:cs="宋体"/>
          <w:color w:val="auto"/>
          <w:sz w:val="24"/>
          <w:szCs w:val="24"/>
          <w:highlight w:val="none"/>
        </w:rPr>
        <w:t>方带来损失，由</w:t>
      </w:r>
      <w:r>
        <w:rPr>
          <w:rFonts w:hint="eastAsia" w:ascii="宋体" w:eastAsia="宋体" w:cs="宋体"/>
          <w:color w:val="auto"/>
          <w:sz w:val="24"/>
          <w:szCs w:val="24"/>
          <w:highlight w:val="none"/>
          <w:lang w:eastAsia="zh-CN"/>
        </w:rPr>
        <w:t>乙</w:t>
      </w:r>
      <w:r>
        <w:rPr>
          <w:rFonts w:hint="eastAsia" w:ascii="宋体" w:eastAsia="宋体" w:cs="宋体"/>
          <w:color w:val="auto"/>
          <w:sz w:val="24"/>
          <w:szCs w:val="24"/>
          <w:highlight w:val="none"/>
        </w:rPr>
        <w:t>方按造价咨询服务暂定总价20</w:t>
      </w:r>
      <w:r>
        <w:rPr>
          <w:rFonts w:hint="eastAsia" w:ascii="宋体" w:eastAsia="宋体" w:cs="宋体"/>
          <w:color w:val="auto"/>
          <w:sz w:val="24"/>
          <w:szCs w:val="24"/>
          <w:highlight w:val="none"/>
          <w:u w:val="single"/>
        </w:rPr>
        <w:t>%</w:t>
      </w:r>
      <w:r>
        <w:rPr>
          <w:rFonts w:hint="eastAsia" w:ascii="宋体" w:eastAsia="宋体" w:cs="宋体"/>
          <w:color w:val="auto"/>
          <w:sz w:val="24"/>
          <w:szCs w:val="24"/>
          <w:highlight w:val="none"/>
        </w:rPr>
        <w:t>支付违约金，并赔偿由此给</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造成的全部损失。</w:t>
      </w:r>
    </w:p>
    <w:p w14:paraId="6132AE9D">
      <w:pPr>
        <w:pageBreakBefore w:val="0"/>
        <w:widowControl w:val="0"/>
        <w:kinsoku/>
        <w:wordWrap/>
        <w:overflowPunct/>
        <w:topLinePunct w:val="0"/>
        <w:bidi w:val="0"/>
        <w:spacing w:line="500" w:lineRule="exact"/>
        <w:ind w:firstLine="480" w:firstLineChars="200"/>
        <w:outlineLvl w:val="3"/>
        <w:rPr>
          <w:rFonts w:ascii="宋体" w:eastAsia="宋体" w:cs="宋体"/>
          <w:color w:val="auto"/>
          <w:sz w:val="24"/>
          <w:szCs w:val="24"/>
          <w:highlight w:val="none"/>
        </w:rPr>
      </w:pPr>
      <w:r>
        <w:rPr>
          <w:rFonts w:hint="eastAsia" w:ascii="宋体" w:eastAsia="宋体" w:cs="宋体"/>
          <w:color w:val="auto"/>
          <w:sz w:val="24"/>
          <w:szCs w:val="24"/>
          <w:highlight w:val="none"/>
        </w:rPr>
        <w:t>14、根据</w:t>
      </w:r>
      <w:r>
        <w:rPr>
          <w:rFonts w:hint="eastAsia" w:ascii="宋体" w:eastAsia="宋体" w:cs="宋体"/>
          <w:color w:val="auto"/>
          <w:sz w:val="24"/>
          <w:szCs w:val="24"/>
          <w:highlight w:val="none"/>
          <w:lang w:eastAsia="zh-CN"/>
        </w:rPr>
        <w:t>甲方</w:t>
      </w:r>
      <w:r>
        <w:rPr>
          <w:rFonts w:hint="eastAsia" w:ascii="宋体" w:eastAsia="宋体" w:cs="宋体"/>
          <w:color w:val="auto"/>
          <w:sz w:val="24"/>
          <w:szCs w:val="24"/>
          <w:highlight w:val="none"/>
        </w:rPr>
        <w:t>要求，提供其他相关服务。</w:t>
      </w:r>
    </w:p>
    <w:bookmarkEnd w:id="33"/>
    <w:p w14:paraId="2755708D">
      <w:pPr>
        <w:pStyle w:val="25"/>
        <w:pageBreakBefore w:val="0"/>
        <w:widowControl w:val="0"/>
        <w:kinsoku/>
        <w:wordWrap/>
        <w:overflowPunct/>
        <w:topLinePunct w:val="0"/>
        <w:bidi w:val="0"/>
        <w:spacing w:line="500" w:lineRule="exact"/>
        <w:ind w:firstLine="245"/>
        <w:rPr>
          <w:rFonts w:ascii="宋体" w:eastAsia="宋体" w:cs="宋体"/>
          <w:b/>
          <w:bCs/>
          <w:color w:val="auto"/>
          <w:kern w:val="0"/>
          <w:sz w:val="24"/>
          <w:szCs w:val="24"/>
          <w:highlight w:val="none"/>
        </w:rPr>
      </w:pPr>
      <w:bookmarkStart w:id="34" w:name="_Toc29034_WPSOffice_Level2"/>
      <w:bookmarkStart w:id="35" w:name="_Toc26866232"/>
      <w:bookmarkStart w:id="36" w:name="_Toc26871018"/>
    </w:p>
    <w:p w14:paraId="3C06987E">
      <w:pPr>
        <w:pageBreakBefore w:val="0"/>
        <w:widowControl w:val="0"/>
        <w:kinsoku/>
        <w:wordWrap/>
        <w:overflowPunct/>
        <w:topLinePunct w:val="0"/>
        <w:bidi w:val="0"/>
        <w:spacing w:line="500" w:lineRule="exact"/>
        <w:ind w:firstLine="484"/>
        <w:rPr>
          <w:rFonts w:ascii="宋体" w:eastAsia="宋体" w:cs="宋体"/>
          <w:b/>
          <w:bCs/>
          <w:color w:val="auto"/>
          <w:kern w:val="0"/>
          <w:sz w:val="24"/>
          <w:szCs w:val="24"/>
          <w:highlight w:val="none"/>
        </w:rPr>
      </w:pPr>
      <w:r>
        <w:rPr>
          <w:rFonts w:ascii="宋体" w:eastAsia="宋体" w:cs="宋体"/>
          <w:b/>
          <w:bCs/>
          <w:color w:val="auto"/>
          <w:kern w:val="0"/>
          <w:sz w:val="24"/>
          <w:szCs w:val="24"/>
          <w:highlight w:val="none"/>
        </w:rPr>
        <w:t xml:space="preserve">    </w:t>
      </w:r>
      <w:r>
        <w:rPr>
          <w:rFonts w:hint="eastAsia" w:ascii="宋体" w:eastAsia="宋体" w:cs="宋体"/>
          <w:b/>
          <w:bCs/>
          <w:color w:val="auto"/>
          <w:kern w:val="0"/>
          <w:sz w:val="24"/>
          <w:szCs w:val="24"/>
          <w:highlight w:val="none"/>
        </w:rPr>
        <w:br w:type="page"/>
      </w:r>
    </w:p>
    <w:p w14:paraId="196FFF60">
      <w:pPr>
        <w:pStyle w:val="25"/>
        <w:pageBreakBefore w:val="0"/>
        <w:widowControl w:val="0"/>
        <w:kinsoku/>
        <w:wordWrap/>
        <w:overflowPunct/>
        <w:topLinePunct w:val="0"/>
        <w:bidi w:val="0"/>
        <w:spacing w:line="500" w:lineRule="exact"/>
        <w:rPr>
          <w:rFonts w:hint="eastAsia" w:ascii="宋体" w:eastAsia="宋体" w:cs="宋体"/>
          <w:b/>
          <w:bCs/>
          <w:color w:val="auto"/>
          <w:kern w:val="0"/>
          <w:sz w:val="24"/>
          <w:szCs w:val="24"/>
          <w:highlight w:val="none"/>
        </w:rPr>
        <w:sectPr>
          <w:headerReference r:id="rId3" w:type="default"/>
          <w:footerReference r:id="rId4" w:type="default"/>
          <w:pgSz w:w="11906" w:h="16838"/>
          <w:pgMar w:top="1440" w:right="1800" w:bottom="1440" w:left="1134" w:header="851" w:footer="992" w:gutter="0"/>
          <w:cols w:space="720" w:num="1"/>
          <w:docGrid w:type="lines" w:linePitch="312" w:charSpace="0"/>
        </w:sectPr>
      </w:pPr>
    </w:p>
    <w:p w14:paraId="1F6DC3AC">
      <w:pPr>
        <w:pStyle w:val="25"/>
        <w:pageBreakBefore w:val="0"/>
        <w:widowControl w:val="0"/>
        <w:kinsoku/>
        <w:wordWrap/>
        <w:overflowPunct/>
        <w:topLinePunct w:val="0"/>
        <w:bidi w:val="0"/>
        <w:spacing w:line="500" w:lineRule="exact"/>
        <w:outlineLvl w:val="2"/>
        <w:rPr>
          <w:rFonts w:ascii="宋体" w:eastAsia="宋体" w:cs="宋体"/>
          <w:b/>
          <w:bCs/>
          <w:color w:val="auto"/>
          <w:kern w:val="0"/>
          <w:sz w:val="24"/>
          <w:szCs w:val="24"/>
          <w:highlight w:val="none"/>
        </w:rPr>
      </w:pPr>
      <w:bookmarkStart w:id="37" w:name="_Toc24426"/>
      <w:r>
        <w:rPr>
          <w:rFonts w:hint="eastAsia" w:ascii="宋体" w:eastAsia="宋体" w:cs="宋体"/>
          <w:b/>
          <w:color w:val="auto"/>
          <w:kern w:val="0"/>
          <w:sz w:val="24"/>
          <w:szCs w:val="24"/>
          <w:highlight w:val="none"/>
        </w:rPr>
        <w:t>附件4：</w:t>
      </w:r>
      <w:r>
        <w:rPr>
          <w:rFonts w:hint="eastAsia" w:ascii="宋体" w:eastAsia="宋体" w:cs="宋体"/>
          <w:b/>
          <w:bCs/>
          <w:color w:val="auto"/>
          <w:kern w:val="0"/>
          <w:sz w:val="24"/>
          <w:szCs w:val="24"/>
          <w:highlight w:val="none"/>
        </w:rPr>
        <w:t>对造价咨询单位投入本项目的人员要求</w:t>
      </w:r>
      <w:bookmarkEnd w:id="37"/>
    </w:p>
    <w:bookmarkEnd w:id="34"/>
    <w:bookmarkEnd w:id="35"/>
    <w:bookmarkEnd w:id="36"/>
    <w:tbl>
      <w:tblPr>
        <w:tblStyle w:val="42"/>
        <w:tblW w:w="14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
        <w:gridCol w:w="1721"/>
        <w:gridCol w:w="6122"/>
        <w:gridCol w:w="4612"/>
        <w:gridCol w:w="1194"/>
      </w:tblGrid>
      <w:tr w14:paraId="64AD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772BC674">
            <w:pPr>
              <w:pageBreakBefore w:val="0"/>
              <w:widowControl w:val="0"/>
              <w:kinsoku/>
              <w:wordWrap/>
              <w:overflowPunct/>
              <w:topLinePunct w:val="0"/>
              <w:autoSpaceDE w:val="0"/>
              <w:autoSpaceDN w:val="0"/>
              <w:bidi w:val="0"/>
              <w:adjustRightInd w:val="0"/>
              <w:spacing w:line="500" w:lineRule="exact"/>
              <w:ind w:right="144"/>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序号</w:t>
            </w:r>
          </w:p>
        </w:tc>
        <w:tc>
          <w:tcPr>
            <w:tcW w:w="1538" w:type="dxa"/>
            <w:tcBorders>
              <w:top w:val="single" w:color="000000" w:sz="4" w:space="0"/>
              <w:left w:val="single" w:color="000000" w:sz="4" w:space="0"/>
              <w:bottom w:val="single" w:color="000000" w:sz="4" w:space="0"/>
              <w:right w:val="single" w:color="000000" w:sz="4" w:space="0"/>
            </w:tcBorders>
            <w:vAlign w:val="center"/>
          </w:tcPr>
          <w:p w14:paraId="649F7961">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岗位人员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0220A72A">
            <w:pPr>
              <w:pageBreakBefore w:val="0"/>
              <w:widowControl w:val="0"/>
              <w:kinsoku/>
              <w:wordWrap/>
              <w:overflowPunct/>
              <w:topLinePunct w:val="0"/>
              <w:autoSpaceDE w:val="0"/>
              <w:autoSpaceDN w:val="0"/>
              <w:bidi w:val="0"/>
              <w:adjustRightInd w:val="0"/>
              <w:spacing w:line="500" w:lineRule="exact"/>
              <w:ind w:left="57" w:leftChars="27" w:right="144" w:firstLine="516" w:firstLineChars="215"/>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职称和资格要求</w:t>
            </w:r>
          </w:p>
        </w:tc>
        <w:tc>
          <w:tcPr>
            <w:tcW w:w="4123" w:type="dxa"/>
            <w:tcBorders>
              <w:top w:val="single" w:color="000000" w:sz="4" w:space="0"/>
              <w:left w:val="single" w:color="000000" w:sz="4" w:space="0"/>
              <w:bottom w:val="single" w:color="000000" w:sz="4" w:space="0"/>
              <w:right w:val="single" w:color="000000" w:sz="4" w:space="0"/>
            </w:tcBorders>
            <w:vAlign w:val="center"/>
          </w:tcPr>
          <w:p w14:paraId="358AD569">
            <w:pPr>
              <w:pageBreakBefore w:val="0"/>
              <w:widowControl w:val="0"/>
              <w:kinsoku/>
              <w:wordWrap/>
              <w:overflowPunct/>
              <w:topLinePunct w:val="0"/>
              <w:autoSpaceDE w:val="0"/>
              <w:autoSpaceDN w:val="0"/>
              <w:bidi w:val="0"/>
              <w:adjustRightInd w:val="0"/>
              <w:spacing w:line="500" w:lineRule="exact"/>
              <w:ind w:left="57" w:leftChars="27" w:right="144" w:firstLine="516" w:firstLineChars="215"/>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职责范围</w:t>
            </w:r>
          </w:p>
        </w:tc>
        <w:tc>
          <w:tcPr>
            <w:tcW w:w="1067" w:type="dxa"/>
            <w:tcBorders>
              <w:top w:val="single" w:color="000000" w:sz="4" w:space="0"/>
              <w:left w:val="single" w:color="000000" w:sz="4" w:space="0"/>
              <w:bottom w:val="single" w:color="000000" w:sz="4" w:space="0"/>
              <w:right w:val="single" w:color="000000" w:sz="4" w:space="0"/>
            </w:tcBorders>
            <w:vAlign w:val="center"/>
          </w:tcPr>
          <w:p w14:paraId="6484222C">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人数要求</w:t>
            </w:r>
          </w:p>
        </w:tc>
      </w:tr>
      <w:tr w14:paraId="1C2E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69CB3929">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p>
        </w:tc>
        <w:tc>
          <w:tcPr>
            <w:tcW w:w="1538" w:type="dxa"/>
            <w:tcBorders>
              <w:top w:val="single" w:color="000000" w:sz="4" w:space="0"/>
              <w:left w:val="single" w:color="000000" w:sz="4" w:space="0"/>
              <w:bottom w:val="single" w:color="000000" w:sz="4" w:space="0"/>
              <w:right w:val="single" w:color="000000" w:sz="4" w:space="0"/>
            </w:tcBorders>
            <w:vAlign w:val="center"/>
          </w:tcPr>
          <w:p w14:paraId="0EE580F9">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项目负责人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54137DA5">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具有注册造价工程师或注册一级造价工程师（土建专业或安装专业）执业资格证书，</w:t>
            </w:r>
            <w:r>
              <w:rPr>
                <w:rFonts w:hint="eastAsia" w:ascii="宋体" w:eastAsia="宋体" w:cs="宋体"/>
                <w:color w:val="auto"/>
                <w:kern w:val="0"/>
                <w:sz w:val="24"/>
                <w:szCs w:val="24"/>
                <w:highlight w:val="none"/>
              </w:rPr>
              <w:t>具有15</w:t>
            </w:r>
            <w:r>
              <w:rPr>
                <w:rFonts w:hint="eastAsia" w:ascii="宋体" w:eastAsia="宋体" w:cs="宋体"/>
                <w:color w:val="auto"/>
                <w:kern w:val="0"/>
                <w:sz w:val="24"/>
                <w:szCs w:val="24"/>
                <w:highlight w:val="none"/>
                <w:lang w:val="zh-CN"/>
              </w:rPr>
              <w:t>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78CBFC1F">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负责本项目造价咨询服务的总体统筹、协调工作，对服务质量负责。</w:t>
            </w:r>
          </w:p>
        </w:tc>
        <w:tc>
          <w:tcPr>
            <w:tcW w:w="1067" w:type="dxa"/>
            <w:tcBorders>
              <w:top w:val="single" w:color="000000" w:sz="4" w:space="0"/>
              <w:left w:val="single" w:color="000000" w:sz="4" w:space="0"/>
              <w:bottom w:val="single" w:color="000000" w:sz="4" w:space="0"/>
              <w:right w:val="single" w:color="000000" w:sz="4" w:space="0"/>
            </w:tcBorders>
            <w:vAlign w:val="center"/>
          </w:tcPr>
          <w:p w14:paraId="69E5CA71">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540C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0E0324E3">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w:t>
            </w:r>
          </w:p>
        </w:tc>
        <w:tc>
          <w:tcPr>
            <w:tcW w:w="1538" w:type="dxa"/>
            <w:tcBorders>
              <w:top w:val="single" w:color="000000" w:sz="4" w:space="0"/>
              <w:left w:val="single" w:color="000000" w:sz="4" w:space="0"/>
              <w:bottom w:val="single" w:color="000000" w:sz="4" w:space="0"/>
              <w:right w:val="single" w:color="000000" w:sz="4" w:space="0"/>
            </w:tcBorders>
            <w:vAlign w:val="center"/>
          </w:tcPr>
          <w:p w14:paraId="5980E4B3">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土建专业负责人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4DB3627B">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具有注册造价工程师或注册一级造价工程师（土建专业）执业资格证书，</w:t>
            </w:r>
            <w:r>
              <w:rPr>
                <w:rFonts w:hint="eastAsia" w:ascii="宋体" w:eastAsia="宋体" w:cs="宋体"/>
                <w:color w:val="auto"/>
                <w:kern w:val="0"/>
                <w:sz w:val="24"/>
                <w:szCs w:val="24"/>
                <w:highlight w:val="none"/>
              </w:rPr>
              <w:t>具有</w:t>
            </w:r>
            <w:r>
              <w:rPr>
                <w:rFonts w:hint="eastAsia" w:ascii="宋体" w:eastAsia="宋体" w:cs="宋体"/>
                <w:color w:val="auto"/>
                <w:kern w:val="0"/>
                <w:sz w:val="24"/>
                <w:szCs w:val="24"/>
                <w:highlight w:val="none"/>
                <w:lang w:val="zh-CN"/>
              </w:rPr>
              <w:t>10年或以上工作经验。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1998AFDF">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负责土建、市政、采购、园建绿化等专业造价咨询服务的组织协调工作。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2F04CCC4">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1076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3FF066D0">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3</w:t>
            </w:r>
          </w:p>
        </w:tc>
        <w:tc>
          <w:tcPr>
            <w:tcW w:w="1538" w:type="dxa"/>
            <w:tcBorders>
              <w:top w:val="single" w:color="000000" w:sz="4" w:space="0"/>
              <w:left w:val="single" w:color="000000" w:sz="4" w:space="0"/>
              <w:bottom w:val="single" w:color="000000" w:sz="4" w:space="0"/>
              <w:right w:val="single" w:color="000000" w:sz="4" w:space="0"/>
            </w:tcBorders>
            <w:vAlign w:val="center"/>
          </w:tcPr>
          <w:p w14:paraId="7EF8341C">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土建、市政、园建绿化专业造价人员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749057A6">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具有注册造价工程师或注册一级造价工程师或注册二级造价工程师或造价员证书，以上人员均具有6年或以上工作经验。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22D6F4D3">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负责本项目的（包含但不限于）建筑、装修、采购、市政、土石方、室外配套、园建绿化等专业造价咨询服务工作。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6DCFCEC9">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不少于</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zh-CN"/>
              </w:rPr>
              <w:t>名</w:t>
            </w:r>
          </w:p>
        </w:tc>
      </w:tr>
      <w:tr w14:paraId="3D73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288F66BE">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4</w:t>
            </w:r>
          </w:p>
        </w:tc>
        <w:tc>
          <w:tcPr>
            <w:tcW w:w="1538" w:type="dxa"/>
            <w:tcBorders>
              <w:top w:val="single" w:color="000000" w:sz="4" w:space="0"/>
              <w:left w:val="single" w:color="000000" w:sz="4" w:space="0"/>
              <w:bottom w:val="single" w:color="000000" w:sz="4" w:space="0"/>
              <w:right w:val="single" w:color="000000" w:sz="4" w:space="0"/>
            </w:tcBorders>
            <w:vAlign w:val="center"/>
          </w:tcPr>
          <w:p w14:paraId="3C3D9600">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安装专业负责人</w:t>
            </w:r>
          </w:p>
        </w:tc>
        <w:tc>
          <w:tcPr>
            <w:tcW w:w="5472" w:type="dxa"/>
            <w:tcBorders>
              <w:top w:val="single" w:color="000000" w:sz="4" w:space="0"/>
              <w:left w:val="single" w:color="000000" w:sz="4" w:space="0"/>
              <w:bottom w:val="single" w:color="000000" w:sz="4" w:space="0"/>
              <w:right w:val="single" w:color="000000" w:sz="4" w:space="0"/>
            </w:tcBorders>
            <w:vAlign w:val="center"/>
          </w:tcPr>
          <w:p w14:paraId="240D4889">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具有注册造价工程师或注册一级造价工程师（安装专业）执业资格证书，</w:t>
            </w:r>
            <w:r>
              <w:rPr>
                <w:rFonts w:hint="eastAsia" w:ascii="宋体" w:eastAsia="宋体" w:cs="宋体"/>
                <w:color w:val="auto"/>
                <w:kern w:val="0"/>
                <w:sz w:val="24"/>
                <w:szCs w:val="24"/>
                <w:highlight w:val="none"/>
              </w:rPr>
              <w:t>具有</w:t>
            </w:r>
            <w:r>
              <w:rPr>
                <w:rFonts w:hint="eastAsia" w:ascii="宋体" w:eastAsia="宋体" w:cs="宋体"/>
                <w:color w:val="auto"/>
                <w:kern w:val="0"/>
                <w:sz w:val="24"/>
                <w:szCs w:val="24"/>
                <w:highlight w:val="none"/>
                <w:lang w:val="zh-CN"/>
              </w:rPr>
              <w:t>10年或以上工作经验。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5983EF15">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负责安装专业造价咨询服务的组织协调工作。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67AACE3F">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1名</w:t>
            </w:r>
          </w:p>
        </w:tc>
      </w:tr>
      <w:tr w14:paraId="7B25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4A842F91">
            <w:pPr>
              <w:pageBreakBefore w:val="0"/>
              <w:widowControl w:val="0"/>
              <w:kinsoku/>
              <w:wordWrap/>
              <w:overflowPunct/>
              <w:topLinePunct w:val="0"/>
              <w:autoSpaceDE w:val="0"/>
              <w:autoSpaceDN w:val="0"/>
              <w:bidi w:val="0"/>
              <w:adjustRightInd w:val="0"/>
              <w:spacing w:line="500" w:lineRule="exact"/>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p>
        </w:tc>
        <w:tc>
          <w:tcPr>
            <w:tcW w:w="1538" w:type="dxa"/>
            <w:tcBorders>
              <w:top w:val="single" w:color="000000" w:sz="4" w:space="0"/>
              <w:left w:val="single" w:color="000000" w:sz="4" w:space="0"/>
              <w:bottom w:val="single" w:color="000000" w:sz="4" w:space="0"/>
              <w:right w:val="single" w:color="000000" w:sz="4" w:space="0"/>
            </w:tcBorders>
            <w:vAlign w:val="center"/>
          </w:tcPr>
          <w:p w14:paraId="2F56CFFF">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安装专业造价人员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3A1BFEB8">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具有注册造价工程师或注册一级造价工程师或注册二级造价工程师或造价员证书，具有6年或以上工作经验。</w:t>
            </w:r>
          </w:p>
        </w:tc>
        <w:tc>
          <w:tcPr>
            <w:tcW w:w="4123" w:type="dxa"/>
            <w:tcBorders>
              <w:top w:val="single" w:color="000000" w:sz="4" w:space="0"/>
              <w:left w:val="single" w:color="000000" w:sz="4" w:space="0"/>
              <w:bottom w:val="single" w:color="000000" w:sz="4" w:space="0"/>
              <w:right w:val="single" w:color="000000" w:sz="4" w:space="0"/>
            </w:tcBorders>
            <w:vAlign w:val="center"/>
          </w:tcPr>
          <w:p w14:paraId="27FEFABC">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负责本项目的（包含但不限于）照明、给排水、消防、自动报警、通风及排烟、燃气管道、电梯、泛光照明、人防、弱电、变配电、外电等专业造价咨询服务工作。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2135C971">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不少于</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zh-CN"/>
              </w:rPr>
              <w:t>名</w:t>
            </w:r>
          </w:p>
        </w:tc>
      </w:tr>
      <w:tr w14:paraId="61AF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2" w:type="dxa"/>
            <w:tcBorders>
              <w:top w:val="single" w:color="000000" w:sz="4" w:space="0"/>
              <w:left w:val="single" w:color="000000" w:sz="4" w:space="0"/>
              <w:bottom w:val="single" w:color="000000" w:sz="4" w:space="0"/>
              <w:right w:val="single" w:color="000000" w:sz="4" w:space="0"/>
            </w:tcBorders>
            <w:vAlign w:val="center"/>
          </w:tcPr>
          <w:p w14:paraId="6552653D">
            <w:pPr>
              <w:pageBreakBefore w:val="0"/>
              <w:widowControl w:val="0"/>
              <w:kinsoku/>
              <w:wordWrap/>
              <w:overflowPunct/>
              <w:topLinePunct w:val="0"/>
              <w:autoSpaceDE w:val="0"/>
              <w:autoSpaceDN w:val="0"/>
              <w:bidi w:val="0"/>
              <w:adjustRightInd w:val="0"/>
              <w:spacing w:line="500" w:lineRule="exact"/>
              <w:jc w:val="center"/>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lang w:val="en-US" w:eastAsia="zh-CN"/>
              </w:rPr>
              <w:t>6</w:t>
            </w:r>
          </w:p>
        </w:tc>
        <w:tc>
          <w:tcPr>
            <w:tcW w:w="1538" w:type="dxa"/>
            <w:tcBorders>
              <w:top w:val="single" w:color="000000" w:sz="4" w:space="0"/>
              <w:left w:val="single" w:color="000000" w:sz="4" w:space="0"/>
              <w:bottom w:val="single" w:color="000000" w:sz="4" w:space="0"/>
              <w:right w:val="single" w:color="000000" w:sz="4" w:space="0"/>
            </w:tcBorders>
            <w:vAlign w:val="center"/>
          </w:tcPr>
          <w:p w14:paraId="25E04E4B">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Times New Roman"/>
                <w:color w:val="auto"/>
                <w:sz w:val="24"/>
                <w:szCs w:val="24"/>
                <w:highlight w:val="none"/>
                <w:lang w:val="zh-CN"/>
              </w:rPr>
            </w:pPr>
            <w:r>
              <w:rPr>
                <w:rFonts w:hint="eastAsia" w:ascii="宋体" w:eastAsia="宋体" w:cs="Times New Roman"/>
                <w:color w:val="auto"/>
                <w:sz w:val="24"/>
                <w:szCs w:val="24"/>
                <w:highlight w:val="none"/>
                <w:lang w:val="zh-CN"/>
              </w:rPr>
              <w:t>资料员、</w:t>
            </w:r>
          </w:p>
          <w:p w14:paraId="2B1DCDC2">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Times New Roman"/>
                <w:color w:val="auto"/>
                <w:sz w:val="24"/>
                <w:szCs w:val="24"/>
                <w:highlight w:val="none"/>
                <w:lang w:val="zh-CN"/>
              </w:rPr>
            </w:pPr>
            <w:r>
              <w:rPr>
                <w:rFonts w:ascii="宋体" w:eastAsia="宋体" w:cs="Times New Roman"/>
                <w:color w:val="auto"/>
                <w:sz w:val="24"/>
                <w:szCs w:val="24"/>
                <w:highlight w:val="none"/>
                <w:lang w:val="zh-CN"/>
              </w:rPr>
              <w:t xml:space="preserve">    </w:t>
            </w:r>
            <w:r>
              <w:rPr>
                <w:rFonts w:hint="eastAsia" w:ascii="宋体" w:eastAsia="宋体" w:cs="Times New Roman"/>
                <w:color w:val="auto"/>
                <w:sz w:val="24"/>
                <w:szCs w:val="24"/>
                <w:highlight w:val="none"/>
                <w:lang w:val="zh-CN"/>
              </w:rPr>
              <w:t>信息联络员</w:t>
            </w:r>
          </w:p>
        </w:tc>
        <w:tc>
          <w:tcPr>
            <w:tcW w:w="5472" w:type="dxa"/>
            <w:tcBorders>
              <w:top w:val="single" w:color="000000" w:sz="4" w:space="0"/>
              <w:left w:val="single" w:color="000000" w:sz="4" w:space="0"/>
              <w:bottom w:val="single" w:color="000000" w:sz="4" w:space="0"/>
              <w:right w:val="single" w:color="000000" w:sz="4" w:space="0"/>
            </w:tcBorders>
            <w:vAlign w:val="center"/>
          </w:tcPr>
          <w:p w14:paraId="01C89788">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具有大专或以上学历，熟悉应用各类办公软件。</w:t>
            </w:r>
          </w:p>
        </w:tc>
        <w:tc>
          <w:tcPr>
            <w:tcW w:w="4123" w:type="dxa"/>
            <w:tcBorders>
              <w:top w:val="single" w:color="000000" w:sz="4" w:space="0"/>
              <w:left w:val="single" w:color="000000" w:sz="4" w:space="0"/>
              <w:bottom w:val="single" w:color="000000" w:sz="4" w:space="0"/>
              <w:right w:val="single" w:color="000000" w:sz="4" w:space="0"/>
            </w:tcBorders>
            <w:vAlign w:val="center"/>
          </w:tcPr>
          <w:p w14:paraId="3197F827">
            <w:pPr>
              <w:pageBreakBefore w:val="0"/>
              <w:widowControl w:val="0"/>
              <w:kinsoku/>
              <w:wordWrap/>
              <w:overflowPunct/>
              <w:topLinePunct w:val="0"/>
              <w:autoSpaceDE w:val="0"/>
              <w:autoSpaceDN w:val="0"/>
              <w:bidi w:val="0"/>
              <w:adjustRightInd w:val="0"/>
              <w:spacing w:line="500" w:lineRule="exact"/>
              <w:ind w:right="144" w:firstLine="416"/>
              <w:jc w:val="center"/>
              <w:rPr>
                <w:rFonts w:ascii="宋体" w:eastAsia="宋体" w:cs="Times New Roman"/>
                <w:color w:val="auto"/>
                <w:sz w:val="24"/>
                <w:szCs w:val="24"/>
                <w:highlight w:val="none"/>
                <w:lang w:val="zh-CN"/>
              </w:rPr>
            </w:pPr>
            <w:r>
              <w:rPr>
                <w:rFonts w:hint="eastAsia" w:ascii="宋体" w:eastAsia="宋体" w:cs="Times New Roman"/>
                <w:color w:val="auto"/>
                <w:sz w:val="24"/>
                <w:szCs w:val="24"/>
                <w:highlight w:val="none"/>
                <w:lang w:val="zh-CN"/>
              </w:rPr>
              <w:t>负责本项目资料整理及报送，信息联络管理等工作。</w:t>
            </w:r>
          </w:p>
        </w:tc>
        <w:tc>
          <w:tcPr>
            <w:tcW w:w="1067" w:type="dxa"/>
            <w:tcBorders>
              <w:top w:val="single" w:color="000000" w:sz="4" w:space="0"/>
              <w:left w:val="single" w:color="000000" w:sz="4" w:space="0"/>
              <w:bottom w:val="single" w:color="000000" w:sz="4" w:space="0"/>
              <w:right w:val="single" w:color="000000" w:sz="4" w:space="0"/>
            </w:tcBorders>
            <w:vAlign w:val="center"/>
          </w:tcPr>
          <w:p w14:paraId="1959B9CA">
            <w:pPr>
              <w:pageBreakBefore w:val="0"/>
              <w:widowControl w:val="0"/>
              <w:kinsoku/>
              <w:wordWrap/>
              <w:overflowPunct/>
              <w:topLinePunct w:val="0"/>
              <w:autoSpaceDE w:val="0"/>
              <w:autoSpaceDN w:val="0"/>
              <w:bidi w:val="0"/>
              <w:adjustRightInd w:val="0"/>
              <w:spacing w:line="500" w:lineRule="exact"/>
              <w:ind w:right="144"/>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1名</w:t>
            </w:r>
          </w:p>
        </w:tc>
      </w:tr>
    </w:tbl>
    <w:p w14:paraId="44717657">
      <w:pPr>
        <w:pageBreakBefore w:val="0"/>
        <w:widowControl w:val="0"/>
        <w:kinsoku/>
        <w:wordWrap/>
        <w:overflowPunct/>
        <w:topLinePunct w:val="0"/>
        <w:bidi w:val="0"/>
        <w:spacing w:line="500" w:lineRule="exact"/>
        <w:ind w:firstLine="484"/>
        <w:rPr>
          <w:rFonts w:ascii="宋体" w:eastAsia="宋体" w:cs="宋体"/>
          <w:b/>
          <w:color w:val="auto"/>
          <w:sz w:val="24"/>
          <w:szCs w:val="24"/>
          <w:highlight w:val="none"/>
        </w:rPr>
        <w:sectPr>
          <w:pgSz w:w="16838" w:h="11906" w:orient="landscape"/>
          <w:pgMar w:top="1803" w:right="1440" w:bottom="1803" w:left="1440" w:header="851" w:footer="992" w:gutter="0"/>
          <w:cols w:space="720" w:num="1"/>
          <w:docGrid w:type="lines" w:linePitch="319" w:charSpace="0"/>
        </w:sectPr>
      </w:pPr>
    </w:p>
    <w:p w14:paraId="2A410802">
      <w:pPr>
        <w:pageBreakBefore w:val="0"/>
        <w:widowControl w:val="0"/>
        <w:kinsoku/>
        <w:wordWrap/>
        <w:overflowPunct/>
        <w:topLinePunct w:val="0"/>
        <w:bidi w:val="0"/>
        <w:spacing w:line="500" w:lineRule="exact"/>
        <w:rPr>
          <w:rFonts w:ascii="宋体" w:eastAsia="宋体" w:cs="宋体"/>
          <w:b/>
          <w:color w:val="auto"/>
          <w:kern w:val="0"/>
          <w:sz w:val="24"/>
          <w:szCs w:val="24"/>
          <w:highlight w:val="none"/>
        </w:rPr>
      </w:pPr>
      <w:r>
        <w:rPr>
          <w:rFonts w:hint="eastAsia" w:ascii="宋体" w:eastAsia="宋体" w:cs="宋体"/>
          <w:b/>
          <w:color w:val="auto"/>
          <w:kern w:val="0"/>
          <w:sz w:val="24"/>
          <w:szCs w:val="24"/>
          <w:highlight w:val="none"/>
        </w:rPr>
        <w:t>附件5：投标报价表</w:t>
      </w:r>
    </w:p>
    <w:p w14:paraId="6637BA78">
      <w:pPr>
        <w:pageBreakBefore w:val="0"/>
        <w:widowControl w:val="0"/>
        <w:kinsoku/>
        <w:wordWrap/>
        <w:overflowPunct/>
        <w:topLinePunct w:val="0"/>
        <w:bidi w:val="0"/>
        <w:spacing w:line="500" w:lineRule="exact"/>
        <w:ind w:firstLine="484"/>
        <w:rPr>
          <w:rFonts w:ascii="宋体" w:eastAsia="宋体" w:cs="宋体"/>
          <w:b/>
          <w:color w:val="auto"/>
          <w:kern w:val="0"/>
          <w:sz w:val="24"/>
          <w:szCs w:val="24"/>
          <w:highlight w:val="none"/>
        </w:rPr>
      </w:pPr>
      <w:r>
        <w:rPr>
          <w:rFonts w:ascii="宋体" w:eastAsia="宋体" w:cs="宋体"/>
          <w:b/>
          <w:color w:val="auto"/>
          <w:kern w:val="0"/>
          <w:sz w:val="24"/>
          <w:szCs w:val="24"/>
          <w:highlight w:val="none"/>
        </w:rPr>
        <w:t xml:space="preserve">    </w:t>
      </w:r>
    </w:p>
    <w:p w14:paraId="204219F3">
      <w:pPr>
        <w:pStyle w:val="40"/>
        <w:pageBreakBefore w:val="0"/>
        <w:widowControl w:val="0"/>
        <w:kinsoku/>
        <w:wordWrap/>
        <w:overflowPunct/>
        <w:topLinePunct w:val="0"/>
        <w:bidi w:val="0"/>
        <w:spacing w:line="500" w:lineRule="exact"/>
        <w:rPr>
          <w:rFonts w:ascii="宋体" w:eastAsia="宋体" w:cs="宋体"/>
          <w:color w:val="auto"/>
          <w:sz w:val="24"/>
          <w:szCs w:val="24"/>
          <w:highlight w:val="none"/>
        </w:rPr>
      </w:pPr>
      <w:r>
        <w:rPr>
          <w:rFonts w:ascii="宋体" w:eastAsia="宋体" w:cs="宋体"/>
          <w:b/>
          <w:color w:val="auto"/>
          <w:kern w:val="0"/>
          <w:sz w:val="24"/>
          <w:szCs w:val="24"/>
          <w:highlight w:val="none"/>
        </w:rPr>
        <w:t xml:space="preserve">    </w:t>
      </w:r>
      <w:bookmarkStart w:id="38" w:name="_Toc28094"/>
      <w:bookmarkEnd w:id="38"/>
      <w:bookmarkStart w:id="39" w:name="39"/>
      <w:bookmarkEnd w:id="39"/>
      <w:bookmarkStart w:id="40" w:name="38"/>
      <w:bookmarkEnd w:id="40"/>
      <w:bookmarkStart w:id="41" w:name="19"/>
      <w:bookmarkEnd w:id="41"/>
      <w:bookmarkStart w:id="42" w:name="16"/>
      <w:bookmarkEnd w:id="42"/>
      <w:bookmarkStart w:id="43" w:name="12"/>
      <w:bookmarkEnd w:id="43"/>
      <w:bookmarkStart w:id="44" w:name="37"/>
      <w:bookmarkEnd w:id="44"/>
      <w:bookmarkStart w:id="45" w:name="8"/>
      <w:bookmarkEnd w:id="45"/>
      <w:bookmarkStart w:id="46" w:name="_Toc7451"/>
      <w:bookmarkEnd w:id="46"/>
      <w:r>
        <w:rPr>
          <w:rFonts w:hint="eastAsia" w:ascii="宋体" w:eastAsia="宋体" w:cs="宋体"/>
          <w:color w:val="auto"/>
          <w:sz w:val="24"/>
          <w:szCs w:val="24"/>
          <w:highlight w:val="none"/>
        </w:rPr>
        <w:t>项目名称：</w:t>
      </w:r>
      <w:r>
        <w:rPr>
          <w:rFonts w:hint="eastAsia" w:ascii="宋体" w:eastAsia="宋体" w:cs="仿宋"/>
          <w:color w:val="auto"/>
          <w:sz w:val="24"/>
          <w:szCs w:val="24"/>
          <w:highlight w:val="none"/>
          <w:u w:val="single"/>
        </w:rPr>
        <w:t>【】造价咨询服务</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08" w:type="dxa"/>
          <w:bottom w:w="15" w:type="dxa"/>
          <w:right w:w="108" w:type="dxa"/>
        </w:tblCellMar>
      </w:tblPr>
      <w:tblGrid>
        <w:gridCol w:w="662"/>
        <w:gridCol w:w="1479"/>
        <w:gridCol w:w="1755"/>
        <w:gridCol w:w="2424"/>
        <w:gridCol w:w="2196"/>
      </w:tblGrid>
      <w:tr w14:paraId="47D1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735" w:hRule="atLeast"/>
        </w:trPr>
        <w:tc>
          <w:tcPr>
            <w:tcW w:w="389" w:type="pct"/>
            <w:tcBorders>
              <w:top w:val="single" w:color="000000" w:sz="4" w:space="0"/>
              <w:left w:val="single" w:color="000000" w:sz="4" w:space="0"/>
              <w:bottom w:val="single" w:color="000000" w:sz="4" w:space="0"/>
              <w:right w:val="single" w:color="000000" w:sz="4" w:space="0"/>
            </w:tcBorders>
            <w:vAlign w:val="center"/>
          </w:tcPr>
          <w:p w14:paraId="47442E69">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序号</w:t>
            </w:r>
          </w:p>
        </w:tc>
        <w:tc>
          <w:tcPr>
            <w:tcW w:w="868" w:type="pct"/>
            <w:tcBorders>
              <w:top w:val="single" w:color="000000" w:sz="4" w:space="0"/>
              <w:left w:val="single" w:color="000000" w:sz="4" w:space="0"/>
              <w:bottom w:val="single" w:color="000000" w:sz="4" w:space="0"/>
              <w:right w:val="single" w:color="000000" w:sz="4" w:space="0"/>
            </w:tcBorders>
            <w:vAlign w:val="center"/>
          </w:tcPr>
          <w:p w14:paraId="34947146">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服务内容</w:t>
            </w:r>
          </w:p>
        </w:tc>
        <w:tc>
          <w:tcPr>
            <w:tcW w:w="1030" w:type="pct"/>
            <w:tcBorders>
              <w:top w:val="single" w:color="000000" w:sz="4" w:space="0"/>
              <w:left w:val="single" w:color="000000" w:sz="4" w:space="0"/>
              <w:bottom w:val="single" w:color="000000" w:sz="4" w:space="0"/>
              <w:right w:val="single" w:color="000000" w:sz="4" w:space="0"/>
            </w:tcBorders>
            <w:vAlign w:val="center"/>
          </w:tcPr>
          <w:p w14:paraId="5AF08DA7">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报价</w:t>
            </w:r>
            <w:r>
              <w:rPr>
                <w:rFonts w:hint="eastAsia" w:ascii="宋体" w:eastAsia="宋体" w:cs="宋体"/>
                <w:color w:val="auto"/>
                <w:kern w:val="0"/>
                <w:sz w:val="24"/>
                <w:szCs w:val="24"/>
                <w:highlight w:val="none"/>
              </w:rPr>
              <w:t>下浮率（%）</w:t>
            </w:r>
          </w:p>
        </w:tc>
        <w:tc>
          <w:tcPr>
            <w:tcW w:w="1423" w:type="pct"/>
            <w:tcBorders>
              <w:top w:val="single" w:color="000000" w:sz="4" w:space="0"/>
              <w:left w:val="single" w:color="000000" w:sz="4" w:space="0"/>
              <w:bottom w:val="single" w:color="000000" w:sz="4" w:space="0"/>
              <w:right w:val="single" w:color="000000" w:sz="4" w:space="0"/>
            </w:tcBorders>
            <w:vAlign w:val="center"/>
          </w:tcPr>
          <w:p w14:paraId="326BC18C">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报价</w:t>
            </w:r>
            <w:r>
              <w:rPr>
                <w:rFonts w:hint="eastAsia" w:ascii="宋体" w:eastAsia="宋体" w:cs="宋体"/>
                <w:color w:val="auto"/>
                <w:kern w:val="0"/>
                <w:sz w:val="24"/>
                <w:szCs w:val="24"/>
                <w:highlight w:val="none"/>
              </w:rPr>
              <w:t>总价(元)</w:t>
            </w:r>
          </w:p>
        </w:tc>
        <w:tc>
          <w:tcPr>
            <w:tcW w:w="1288" w:type="pct"/>
            <w:tcBorders>
              <w:top w:val="single" w:color="000000" w:sz="4" w:space="0"/>
              <w:left w:val="single" w:color="000000" w:sz="4" w:space="0"/>
              <w:bottom w:val="single" w:color="000000" w:sz="4" w:space="0"/>
              <w:right w:val="single" w:color="000000" w:sz="4" w:space="0"/>
            </w:tcBorders>
            <w:vAlign w:val="center"/>
          </w:tcPr>
          <w:p w14:paraId="68DD0F3C">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备注</w:t>
            </w:r>
          </w:p>
        </w:tc>
      </w:tr>
      <w:tr w14:paraId="0096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703" w:hRule="atLeast"/>
        </w:trPr>
        <w:tc>
          <w:tcPr>
            <w:tcW w:w="389" w:type="pct"/>
            <w:tcBorders>
              <w:top w:val="single" w:color="000000" w:sz="4" w:space="0"/>
              <w:left w:val="single" w:color="000000" w:sz="4" w:space="0"/>
              <w:bottom w:val="single" w:color="000000" w:sz="4" w:space="0"/>
              <w:right w:val="single" w:color="000000" w:sz="4" w:space="0"/>
            </w:tcBorders>
            <w:vAlign w:val="center"/>
          </w:tcPr>
          <w:p w14:paraId="0E112EA9">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1</w:t>
            </w:r>
          </w:p>
        </w:tc>
        <w:tc>
          <w:tcPr>
            <w:tcW w:w="868" w:type="pct"/>
            <w:tcBorders>
              <w:top w:val="single" w:color="000000" w:sz="4" w:space="0"/>
              <w:left w:val="single" w:color="000000" w:sz="4" w:space="0"/>
              <w:bottom w:val="single" w:color="000000" w:sz="4" w:space="0"/>
              <w:right w:val="single" w:color="000000" w:sz="4" w:space="0"/>
            </w:tcBorders>
            <w:vAlign w:val="center"/>
          </w:tcPr>
          <w:p w14:paraId="460F130F">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u w:val="single"/>
              </w:rPr>
            </w:pPr>
            <w:r>
              <w:rPr>
                <w:rFonts w:hint="eastAsia" w:ascii="宋体" w:eastAsia="宋体" w:cs="宋体"/>
                <w:color w:val="auto"/>
                <w:sz w:val="24"/>
                <w:szCs w:val="24"/>
                <w:highlight w:val="none"/>
              </w:rPr>
              <w:t>造价咨询服务费</w:t>
            </w:r>
          </w:p>
        </w:tc>
        <w:tc>
          <w:tcPr>
            <w:tcW w:w="1030" w:type="pct"/>
            <w:tcBorders>
              <w:top w:val="single" w:color="000000" w:sz="4" w:space="0"/>
              <w:left w:val="single" w:color="000000" w:sz="4" w:space="0"/>
              <w:bottom w:val="single" w:color="000000" w:sz="4" w:space="0"/>
              <w:right w:val="single" w:color="000000" w:sz="4" w:space="0"/>
            </w:tcBorders>
            <w:vAlign w:val="center"/>
          </w:tcPr>
          <w:p w14:paraId="3FC9B619">
            <w:pPr>
              <w:pStyle w:val="14"/>
              <w:pageBreakBefore w:val="0"/>
              <w:widowControl w:val="0"/>
              <w:kinsoku/>
              <w:wordWrap/>
              <w:overflowPunct/>
              <w:topLinePunct w:val="0"/>
              <w:bidi w:val="0"/>
              <w:spacing w:line="500" w:lineRule="exact"/>
              <w:jc w:val="center"/>
              <w:rPr>
                <w:rFonts w:ascii="宋体" w:eastAsia="宋体" w:cs="宋体"/>
                <w:color w:val="auto"/>
                <w:sz w:val="24"/>
                <w:highlight w:val="none"/>
              </w:rPr>
            </w:pPr>
          </w:p>
        </w:tc>
        <w:tc>
          <w:tcPr>
            <w:tcW w:w="1423" w:type="pct"/>
            <w:tcBorders>
              <w:top w:val="single" w:color="000000" w:sz="4" w:space="0"/>
              <w:left w:val="single" w:color="000000" w:sz="4" w:space="0"/>
              <w:bottom w:val="single" w:color="000000" w:sz="4" w:space="0"/>
              <w:right w:val="single" w:color="000000" w:sz="4" w:space="0"/>
            </w:tcBorders>
            <w:vAlign w:val="center"/>
          </w:tcPr>
          <w:p w14:paraId="1A681574">
            <w:pPr>
              <w:pageBreakBefore w:val="0"/>
              <w:widowControl/>
              <w:kinsoku/>
              <w:wordWrap/>
              <w:overflowPunct/>
              <w:topLinePunct w:val="0"/>
              <w:bidi w:val="0"/>
              <w:spacing w:line="500" w:lineRule="exact"/>
              <w:jc w:val="center"/>
              <w:rPr>
                <w:rFonts w:ascii="宋体" w:eastAsia="宋体" w:cs="宋体"/>
                <w:color w:val="auto"/>
                <w:sz w:val="24"/>
                <w:szCs w:val="24"/>
                <w:highlight w:val="none"/>
              </w:rPr>
            </w:pPr>
          </w:p>
        </w:tc>
        <w:tc>
          <w:tcPr>
            <w:tcW w:w="1288" w:type="pct"/>
            <w:tcBorders>
              <w:top w:val="single" w:color="000000" w:sz="4" w:space="0"/>
              <w:left w:val="single" w:color="000000" w:sz="4" w:space="0"/>
              <w:bottom w:val="single" w:color="000000" w:sz="4" w:space="0"/>
              <w:right w:val="single" w:color="000000" w:sz="4" w:space="0"/>
            </w:tcBorders>
            <w:vAlign w:val="center"/>
          </w:tcPr>
          <w:p w14:paraId="77180863">
            <w:pPr>
              <w:pageBreakBefore w:val="0"/>
              <w:widowControl/>
              <w:kinsoku/>
              <w:wordWrap/>
              <w:overflowPunct/>
              <w:topLinePunct w:val="0"/>
              <w:bidi w:val="0"/>
              <w:spacing w:line="500" w:lineRule="exact"/>
              <w:jc w:val="left"/>
              <w:rPr>
                <w:rFonts w:ascii="宋体" w:eastAsia="宋体" w:cs="宋体"/>
                <w:color w:val="auto"/>
                <w:sz w:val="24"/>
                <w:szCs w:val="24"/>
                <w:highlight w:val="none"/>
              </w:rPr>
            </w:pPr>
          </w:p>
        </w:tc>
      </w:tr>
      <w:tr w14:paraId="7975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1584" w:hRule="atLeast"/>
        </w:trPr>
        <w:tc>
          <w:tcPr>
            <w:tcW w:w="389" w:type="pct"/>
            <w:tcBorders>
              <w:top w:val="single" w:color="000000" w:sz="4" w:space="0"/>
              <w:left w:val="single" w:color="000000" w:sz="4" w:space="0"/>
              <w:bottom w:val="single" w:color="000000" w:sz="4" w:space="0"/>
              <w:right w:val="single" w:color="000000" w:sz="4" w:space="0"/>
            </w:tcBorders>
            <w:vAlign w:val="center"/>
          </w:tcPr>
          <w:p w14:paraId="74453313">
            <w:pPr>
              <w:pageBreakBefore w:val="0"/>
              <w:widowControl/>
              <w:kinsoku/>
              <w:wordWrap/>
              <w:overflowPunct/>
              <w:topLinePunct w:val="0"/>
              <w:bidi w:val="0"/>
              <w:spacing w:line="500" w:lineRule="exact"/>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2</w:t>
            </w:r>
          </w:p>
        </w:tc>
        <w:tc>
          <w:tcPr>
            <w:tcW w:w="4610" w:type="pct"/>
            <w:gridSpan w:val="4"/>
            <w:tcBorders>
              <w:top w:val="single" w:color="000000" w:sz="4" w:space="0"/>
              <w:left w:val="single" w:color="000000" w:sz="4" w:space="0"/>
              <w:bottom w:val="single" w:color="000000" w:sz="4" w:space="0"/>
              <w:right w:val="single" w:color="000000" w:sz="4" w:space="0"/>
            </w:tcBorders>
            <w:vAlign w:val="center"/>
          </w:tcPr>
          <w:p w14:paraId="660F1F70">
            <w:pPr>
              <w:pageBreakBefore w:val="0"/>
              <w:widowControl/>
              <w:kinsoku/>
              <w:wordWrap/>
              <w:overflowPunct/>
              <w:topLinePunct w:val="0"/>
              <w:bidi w:val="0"/>
              <w:spacing w:line="500" w:lineRule="exact"/>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报价</w:t>
            </w:r>
            <w:r>
              <w:rPr>
                <w:rFonts w:hint="eastAsia" w:ascii="宋体" w:eastAsia="宋体" w:cs="宋体"/>
                <w:color w:val="auto"/>
                <w:kern w:val="0"/>
                <w:sz w:val="24"/>
                <w:szCs w:val="24"/>
                <w:highlight w:val="none"/>
              </w:rPr>
              <w:t>总价（含税）：大写</w:t>
            </w:r>
            <w:r>
              <w:rPr>
                <w:rFonts w:hint="eastAsia" w:ascii="宋体" w:eastAsia="宋体" w:cs="宋体"/>
                <w:color w:val="auto"/>
                <w:kern w:val="0"/>
                <w:sz w:val="24"/>
                <w:szCs w:val="24"/>
                <w:highlight w:val="none"/>
                <w:u w:val="single"/>
              </w:rPr>
              <w:t xml:space="preserve">      </w:t>
            </w:r>
            <w:r>
              <w:rPr>
                <w:rFonts w:hint="eastAsia" w:ascii="宋体" w:eastAsia="宋体" w:cs="宋体"/>
                <w:color w:val="auto"/>
                <w:kern w:val="0"/>
                <w:sz w:val="24"/>
                <w:szCs w:val="24"/>
                <w:highlight w:val="none"/>
              </w:rPr>
              <w:t>，税率</w:t>
            </w:r>
            <w:r>
              <w:rPr>
                <w:rFonts w:hint="eastAsia" w:ascii="宋体" w:eastAsia="宋体" w:cs="宋体"/>
                <w:color w:val="auto"/>
                <w:kern w:val="0"/>
                <w:sz w:val="24"/>
                <w:szCs w:val="24"/>
                <w:highlight w:val="none"/>
                <w:u w:val="single"/>
              </w:rPr>
              <w:t xml:space="preserve">     </w:t>
            </w:r>
            <w:r>
              <w:rPr>
                <w:rFonts w:hint="eastAsia" w:ascii="宋体" w:eastAsia="宋体" w:cs="宋体"/>
                <w:color w:val="auto"/>
                <w:kern w:val="0"/>
                <w:sz w:val="24"/>
                <w:szCs w:val="24"/>
                <w:highlight w:val="none"/>
              </w:rPr>
              <w:t>%</w:t>
            </w:r>
          </w:p>
        </w:tc>
      </w:tr>
    </w:tbl>
    <w:p w14:paraId="4AEDB876">
      <w:pPr>
        <w:pageBreakBefore w:val="0"/>
        <w:widowControl w:val="0"/>
        <w:kinsoku/>
        <w:wordWrap/>
        <w:overflowPunct/>
        <w:topLinePunct w:val="0"/>
        <w:bidi w:val="0"/>
        <w:spacing w:line="500" w:lineRule="exact"/>
        <w:ind w:left="720" w:hanging="720" w:hangingChars="300"/>
        <w:jc w:val="left"/>
        <w:rPr>
          <w:rFonts w:ascii="宋体" w:eastAsia="宋体" w:cs="宋体"/>
          <w:color w:val="auto"/>
          <w:sz w:val="24"/>
          <w:szCs w:val="24"/>
          <w:highlight w:val="none"/>
        </w:rPr>
      </w:pPr>
      <w:r>
        <w:rPr>
          <w:rFonts w:hint="eastAsia" w:ascii="宋体" w:eastAsia="宋体" w:cs="宋体"/>
          <w:color w:val="auto"/>
          <w:sz w:val="24"/>
          <w:szCs w:val="24"/>
          <w:highlight w:val="none"/>
        </w:rPr>
        <w:t>注：1.</w:t>
      </w:r>
      <w:r>
        <w:rPr>
          <w:rFonts w:hint="eastAsia" w:ascii="宋体" w:eastAsia="宋体" w:cs="宋体"/>
          <w:color w:val="auto"/>
          <w:kern w:val="0"/>
          <w:sz w:val="24"/>
          <w:szCs w:val="24"/>
          <w:highlight w:val="none"/>
        </w:rPr>
        <w:t>报价</w:t>
      </w:r>
      <w:r>
        <w:rPr>
          <w:rFonts w:hint="eastAsia" w:ascii="宋体" w:eastAsia="宋体" w:cs="宋体"/>
          <w:color w:val="auto"/>
          <w:sz w:val="24"/>
          <w:szCs w:val="24"/>
          <w:highlight w:val="none"/>
        </w:rPr>
        <w:t>精确到小数点后2位，四舍五入。</w:t>
      </w:r>
    </w:p>
    <w:p w14:paraId="6E1154D5">
      <w:pPr>
        <w:pageBreakBefore w:val="0"/>
        <w:widowControl w:val="0"/>
        <w:kinsoku/>
        <w:wordWrap/>
        <w:overflowPunct/>
        <w:topLinePunct w:val="0"/>
        <w:bidi w:val="0"/>
        <w:spacing w:line="500" w:lineRule="exact"/>
        <w:ind w:left="719" w:leftChars="228" w:hanging="240" w:hangingChars="100"/>
        <w:jc w:val="left"/>
        <w:rPr>
          <w:rFonts w:ascii="宋体" w:eastAsia="宋体" w:cs="宋体"/>
          <w:color w:val="auto"/>
          <w:sz w:val="24"/>
          <w:szCs w:val="24"/>
          <w:highlight w:val="none"/>
        </w:rPr>
      </w:pPr>
      <w:r>
        <w:rPr>
          <w:rFonts w:ascii="宋体" w:eastAsia="宋体" w:cs="宋体"/>
          <w:color w:val="auto"/>
          <w:sz w:val="24"/>
          <w:szCs w:val="24"/>
          <w:highlight w:val="none"/>
        </w:rPr>
        <w:t xml:space="preserve">    </w:t>
      </w:r>
      <w:r>
        <w:rPr>
          <w:rFonts w:hint="eastAsia" w:ascii="宋体" w:eastAsia="宋体" w:cs="宋体"/>
          <w:color w:val="auto"/>
          <w:sz w:val="24"/>
          <w:szCs w:val="24"/>
          <w:highlight w:val="none"/>
        </w:rPr>
        <w:t>2.</w:t>
      </w:r>
      <w:r>
        <w:rPr>
          <w:rFonts w:hint="eastAsia" w:ascii="宋体" w:eastAsia="宋体" w:cs="宋体"/>
          <w:color w:val="auto"/>
          <w:sz w:val="24"/>
          <w:szCs w:val="24"/>
          <w:highlight w:val="none"/>
          <w:lang w:val="en-US" w:eastAsia="zh-CN"/>
        </w:rPr>
        <w:t>报价</w:t>
      </w:r>
      <w:r>
        <w:rPr>
          <w:rFonts w:hint="eastAsia" w:ascii="宋体" w:eastAsia="宋体" w:cs="宋体"/>
          <w:color w:val="auto"/>
          <w:sz w:val="24"/>
          <w:szCs w:val="24"/>
          <w:highlight w:val="none"/>
        </w:rPr>
        <w:t>下浮率=（</w:t>
      </w:r>
      <w:r>
        <w:rPr>
          <w:rFonts w:hint="eastAsia" w:ascii="宋体" w:eastAsia="宋体" w:cs="宋体"/>
          <w:color w:val="auto"/>
          <w:sz w:val="24"/>
          <w:szCs w:val="24"/>
          <w:highlight w:val="none"/>
          <w:lang w:val="en-US" w:eastAsia="zh-CN"/>
        </w:rPr>
        <w:t>招标控制价</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报价总价</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招标控制价</w:t>
      </w:r>
      <w:r>
        <w:rPr>
          <w:rFonts w:hint="eastAsia" w:ascii="宋体" w:eastAsia="宋体" w:cs="宋体"/>
          <w:color w:val="auto"/>
          <w:sz w:val="24"/>
          <w:szCs w:val="24"/>
          <w:highlight w:val="none"/>
        </w:rPr>
        <w:t>*100%。（如下浮率报价和数值报价不一致时，以数值报价为准）</w:t>
      </w:r>
    </w:p>
    <w:p w14:paraId="5CA8DC93">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宋体"/>
          <w:color w:val="auto"/>
          <w:sz w:val="24"/>
          <w:szCs w:val="24"/>
          <w:highlight w:val="none"/>
        </w:rPr>
        <w:t xml:space="preserve">    </w:t>
      </w:r>
    </w:p>
    <w:p w14:paraId="5C0B8633">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294B11DC">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59884A8F">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554496D1">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34CC6BF9">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2CFD30A1">
      <w:pPr>
        <w:pageBreakBefore w:val="0"/>
        <w:widowControl w:val="0"/>
        <w:kinsoku/>
        <w:wordWrap/>
        <w:overflowPunct/>
        <w:topLinePunct w:val="0"/>
        <w:bidi w:val="0"/>
        <w:spacing w:line="500" w:lineRule="exact"/>
        <w:ind w:firstLine="396"/>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t xml:space="preserve">    </w:t>
      </w:r>
    </w:p>
    <w:p w14:paraId="2807E0C4">
      <w:pPr>
        <w:pageBreakBefore w:val="0"/>
        <w:widowControl/>
        <w:kinsoku/>
        <w:wordWrap/>
        <w:overflowPunct/>
        <w:topLinePunct w:val="0"/>
        <w:bidi w:val="0"/>
        <w:spacing w:line="500" w:lineRule="exact"/>
        <w:jc w:val="left"/>
        <w:rPr>
          <w:rFonts w:ascii="宋体" w:eastAsia="宋体" w:cs="Times New Roman"/>
          <w:color w:val="auto"/>
          <w:kern w:val="0"/>
          <w:sz w:val="24"/>
          <w:szCs w:val="24"/>
          <w:highlight w:val="none"/>
        </w:rPr>
      </w:pPr>
      <w:r>
        <w:rPr>
          <w:rFonts w:ascii="宋体" w:eastAsia="宋体" w:cs="Times New Roman"/>
          <w:color w:val="auto"/>
          <w:kern w:val="0"/>
          <w:sz w:val="24"/>
          <w:szCs w:val="24"/>
          <w:highlight w:val="none"/>
        </w:rPr>
        <w:br w:type="page"/>
      </w:r>
    </w:p>
    <w:p w14:paraId="333BF674">
      <w:pPr>
        <w:pageBreakBefore w:val="0"/>
        <w:widowControl w:val="0"/>
        <w:kinsoku/>
        <w:wordWrap/>
        <w:overflowPunct/>
        <w:topLinePunct w:val="0"/>
        <w:bidi w:val="0"/>
        <w:spacing w:line="500" w:lineRule="exact"/>
        <w:rPr>
          <w:rFonts w:ascii="宋体" w:eastAsia="宋体" w:cs="Times New Roman"/>
          <w:color w:val="auto"/>
          <w:kern w:val="0"/>
          <w:sz w:val="24"/>
          <w:szCs w:val="24"/>
          <w:highlight w:val="none"/>
        </w:rPr>
      </w:pPr>
      <w:r>
        <w:rPr>
          <w:rFonts w:hint="eastAsia" w:ascii="宋体" w:eastAsia="宋体" w:cs="宋体"/>
          <w:b/>
          <w:color w:val="auto"/>
          <w:kern w:val="0"/>
          <w:sz w:val="24"/>
          <w:szCs w:val="24"/>
          <w:highlight w:val="none"/>
        </w:rPr>
        <w:t>附件6：中标通知书</w:t>
      </w:r>
      <w:r>
        <w:rPr>
          <w:rFonts w:hint="eastAsia" w:ascii="宋体" w:eastAsia="宋体" w:cs="宋体"/>
          <w:b/>
          <w:color w:val="auto"/>
          <w:kern w:val="0"/>
          <w:sz w:val="24"/>
          <w:szCs w:val="24"/>
          <w:highlight w:val="none"/>
          <w:lang w:val="en-US" w:eastAsia="zh-CN"/>
        </w:rPr>
        <w:t>/委托书</w:t>
      </w:r>
    </w:p>
    <w:p w14:paraId="6F501042">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Times New Roman"/>
          <w:b/>
          <w:color w:val="auto"/>
          <w:kern w:val="0"/>
          <w:sz w:val="24"/>
          <w:szCs w:val="24"/>
          <w:highlight w:val="none"/>
        </w:rPr>
        <w:t xml:space="preserve">    </w:t>
      </w:r>
    </w:p>
    <w:p w14:paraId="18EBCA0E">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4A2D5C31">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52B221AA">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4CE33B68">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76DC9AB5">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7835233E">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1879FB5D">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72741D59">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313E6424">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2D311795">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t xml:space="preserve">    </w:t>
      </w:r>
    </w:p>
    <w:p w14:paraId="3B631836">
      <w:pPr>
        <w:pageBreakBefore w:val="0"/>
        <w:widowControl w:val="0"/>
        <w:tabs>
          <w:tab w:val="left" w:pos="7920"/>
        </w:tabs>
        <w:kinsoku/>
        <w:wordWrap/>
        <w:overflowPunct/>
        <w:topLinePunct w:val="0"/>
        <w:autoSpaceDE w:val="0"/>
        <w:autoSpaceDN w:val="0"/>
        <w:bidi w:val="0"/>
        <w:adjustRightInd w:val="0"/>
        <w:snapToGrid w:val="0"/>
        <w:spacing w:line="500" w:lineRule="exact"/>
        <w:ind w:firstLine="482" w:firstLineChars="200"/>
        <w:jc w:val="center"/>
        <w:rPr>
          <w:rFonts w:ascii="宋体" w:eastAsia="宋体" w:cs="宋体"/>
          <w:b/>
          <w:color w:val="auto"/>
          <w:sz w:val="24"/>
          <w:szCs w:val="24"/>
          <w:highlight w:val="none"/>
          <w:lang w:val="zh-CN"/>
        </w:rPr>
      </w:pPr>
    </w:p>
    <w:p w14:paraId="260AE480">
      <w:pPr>
        <w:pageBreakBefore w:val="0"/>
        <w:widowControl/>
        <w:kinsoku/>
        <w:wordWrap/>
        <w:overflowPunct/>
        <w:topLinePunct w:val="0"/>
        <w:bidi w:val="0"/>
        <w:spacing w:line="500" w:lineRule="exact"/>
        <w:jc w:val="left"/>
        <w:rPr>
          <w:rFonts w:ascii="宋体" w:eastAsia="宋体" w:cs="宋体"/>
          <w:b/>
          <w:color w:val="auto"/>
          <w:sz w:val="24"/>
          <w:szCs w:val="24"/>
          <w:highlight w:val="none"/>
          <w:lang w:val="zh-CN"/>
        </w:rPr>
      </w:pPr>
      <w:r>
        <w:rPr>
          <w:rFonts w:ascii="宋体" w:eastAsia="宋体" w:cs="宋体"/>
          <w:b/>
          <w:color w:val="auto"/>
          <w:sz w:val="24"/>
          <w:szCs w:val="24"/>
          <w:highlight w:val="none"/>
          <w:lang w:val="zh-CN"/>
        </w:rPr>
        <w:br w:type="page"/>
      </w:r>
    </w:p>
    <w:p w14:paraId="00A1EDE7">
      <w:pPr>
        <w:pageBreakBefore w:val="0"/>
        <w:widowControl w:val="0"/>
        <w:tabs>
          <w:tab w:val="left" w:pos="7920"/>
        </w:tabs>
        <w:kinsoku/>
        <w:wordWrap/>
        <w:overflowPunct/>
        <w:topLinePunct w:val="0"/>
        <w:autoSpaceDE w:val="0"/>
        <w:autoSpaceDN w:val="0"/>
        <w:bidi w:val="0"/>
        <w:adjustRightInd w:val="0"/>
        <w:snapToGrid w:val="0"/>
        <w:spacing w:line="500" w:lineRule="exact"/>
        <w:jc w:val="left"/>
        <w:rPr>
          <w:rFonts w:ascii="宋体" w:eastAsia="宋体" w:cs="宋体"/>
          <w:b/>
          <w:color w:val="auto"/>
          <w:sz w:val="24"/>
          <w:szCs w:val="24"/>
          <w:highlight w:val="none"/>
          <w:lang w:val="zh-CN"/>
        </w:rPr>
      </w:pPr>
      <w:r>
        <w:rPr>
          <w:rFonts w:hint="eastAsia" w:ascii="宋体" w:eastAsia="宋体" w:cs="宋体"/>
          <w:b/>
          <w:color w:val="auto"/>
          <w:sz w:val="24"/>
          <w:szCs w:val="24"/>
          <w:highlight w:val="none"/>
          <w:lang w:val="zh-CN"/>
        </w:rPr>
        <w:t>附件7：</w:t>
      </w:r>
      <w:r>
        <w:rPr>
          <w:rFonts w:ascii="宋体" w:eastAsia="宋体" w:cs="宋体"/>
          <w:b/>
          <w:color w:val="auto"/>
          <w:sz w:val="24"/>
          <w:szCs w:val="24"/>
          <w:highlight w:val="none"/>
          <w:lang w:val="zh-CN"/>
        </w:rPr>
        <w:t xml:space="preserve">   </w:t>
      </w:r>
    </w:p>
    <w:p w14:paraId="0C1C1118">
      <w:pPr>
        <w:pStyle w:val="2"/>
        <w:keepNext/>
        <w:keepLines/>
        <w:pageBreakBefore w:val="0"/>
        <w:widowControl w:val="0"/>
        <w:kinsoku/>
        <w:wordWrap/>
        <w:overflowPunct/>
        <w:topLinePunct w:val="0"/>
        <w:bidi w:val="0"/>
        <w:spacing w:line="500" w:lineRule="exact"/>
        <w:ind w:firstLine="727"/>
        <w:jc w:val="center"/>
        <w:rPr>
          <w:rFonts w:hint="eastAsia" w:ascii="宋体" w:eastAsia="宋体" w:cs="宋体"/>
          <w:color w:val="auto"/>
          <w:sz w:val="30"/>
          <w:szCs w:val="30"/>
          <w:highlight w:val="none"/>
        </w:rPr>
      </w:pPr>
      <w:r>
        <w:rPr>
          <w:rFonts w:ascii="宋体" w:eastAsia="宋体" w:cs="宋体"/>
          <w:b w:val="0"/>
          <w:color w:val="auto"/>
          <w:sz w:val="24"/>
          <w:szCs w:val="24"/>
          <w:highlight w:val="none"/>
          <w:lang w:val="zh-CN"/>
        </w:rPr>
        <w:t xml:space="preserve">  </w:t>
      </w:r>
      <w:r>
        <w:rPr>
          <w:rFonts w:hint="eastAsia" w:ascii="宋体" w:eastAsia="宋体" w:cs="宋体"/>
          <w:b w:val="0"/>
          <w:color w:val="auto"/>
          <w:sz w:val="30"/>
          <w:szCs w:val="30"/>
          <w:highlight w:val="none"/>
          <w:lang w:val="zh-CN"/>
        </w:rPr>
        <w:t xml:space="preserve">  </w:t>
      </w:r>
      <w:bookmarkStart w:id="47" w:name="_Toc10980"/>
      <w:r>
        <w:rPr>
          <w:rFonts w:hint="eastAsia" w:ascii="宋体" w:eastAsia="宋体" w:cs="宋体"/>
          <w:color w:val="auto"/>
          <w:sz w:val="30"/>
          <w:szCs w:val="30"/>
          <w:highlight w:val="none"/>
          <w:lang w:val="zh-CN"/>
        </w:rPr>
        <w:t>廉</w:t>
      </w:r>
      <w:r>
        <w:rPr>
          <w:rFonts w:hint="eastAsia" w:ascii="宋体" w:eastAsia="宋体" w:cs="宋体"/>
          <w:color w:val="auto"/>
          <w:sz w:val="30"/>
          <w:szCs w:val="30"/>
          <w:highlight w:val="none"/>
        </w:rPr>
        <w:t>洁</w:t>
      </w:r>
      <w:r>
        <w:rPr>
          <w:rFonts w:hint="eastAsia" w:ascii="宋体" w:eastAsia="宋体" w:cs="宋体"/>
          <w:color w:val="auto"/>
          <w:sz w:val="30"/>
          <w:szCs w:val="30"/>
          <w:highlight w:val="none"/>
          <w:lang w:val="zh-CN"/>
        </w:rPr>
        <w:t>协议</w:t>
      </w:r>
      <w:bookmarkEnd w:id="47"/>
    </w:p>
    <w:p w14:paraId="3865BA30">
      <w:pPr>
        <w:pageBreakBefore w:val="0"/>
        <w:widowControl w:val="0"/>
        <w:kinsoku/>
        <w:wordWrap/>
        <w:overflowPunct/>
        <w:topLinePunct w:val="0"/>
        <w:bidi w:val="0"/>
        <w:adjustRightInd w:val="0"/>
        <w:snapToGrid w:val="0"/>
        <w:spacing w:line="500" w:lineRule="exact"/>
        <w:rPr>
          <w:rFonts w:ascii="宋体" w:eastAsia="宋体" w:cs="仿宋"/>
          <w:b/>
          <w:bCs/>
          <w:color w:val="auto"/>
          <w:sz w:val="24"/>
          <w:szCs w:val="24"/>
          <w:highlight w:val="none"/>
          <w:u w:val="single"/>
          <w:lang w:val="en-US" w:eastAsia="zh-CN"/>
        </w:rPr>
      </w:pPr>
      <w:r>
        <w:rPr>
          <w:rFonts w:hint="eastAsia" w:ascii="宋体" w:eastAsia="宋体" w:cs="仿宋"/>
          <w:b/>
          <w:bCs/>
          <w:color w:val="auto"/>
          <w:sz w:val="24"/>
          <w:szCs w:val="24"/>
          <w:highlight w:val="none"/>
          <w:lang w:val="zh-CN"/>
        </w:rPr>
        <w:t>甲方：</w:t>
      </w:r>
      <w:r>
        <w:rPr>
          <w:rFonts w:hint="eastAsia" w:ascii="宋体" w:eastAsia="宋体" w:cs="仿宋"/>
          <w:b/>
          <w:bCs/>
          <w:color w:val="auto"/>
          <w:sz w:val="24"/>
          <w:szCs w:val="24"/>
          <w:highlight w:val="none"/>
          <w:u w:val="single"/>
          <w:lang w:val="en-US" w:eastAsia="zh-CN"/>
        </w:rPr>
        <w:t xml:space="preserve">                                                  </w:t>
      </w:r>
    </w:p>
    <w:p w14:paraId="51DDF09A">
      <w:pPr>
        <w:pageBreakBefore w:val="0"/>
        <w:widowControl w:val="0"/>
        <w:kinsoku/>
        <w:wordWrap/>
        <w:overflowPunct/>
        <w:topLinePunct w:val="0"/>
        <w:bidi w:val="0"/>
        <w:adjustRightInd w:val="0"/>
        <w:snapToGrid w:val="0"/>
        <w:spacing w:line="500" w:lineRule="exact"/>
        <w:rPr>
          <w:rFonts w:ascii="宋体" w:eastAsia="宋体" w:cs="仿宋"/>
          <w:b/>
          <w:bCs/>
          <w:color w:val="auto"/>
          <w:sz w:val="24"/>
          <w:szCs w:val="24"/>
          <w:highlight w:val="none"/>
          <w:lang w:val="zh-CN"/>
        </w:rPr>
      </w:pPr>
      <w:r>
        <w:rPr>
          <w:rFonts w:hint="eastAsia" w:ascii="宋体" w:eastAsia="宋体" w:cs="仿宋"/>
          <w:b/>
          <w:bCs/>
          <w:color w:val="auto"/>
          <w:sz w:val="24"/>
          <w:szCs w:val="24"/>
          <w:highlight w:val="none"/>
          <w:u w:val="single"/>
          <w:lang w:val="en-US" w:eastAsia="zh-CN"/>
        </w:rPr>
        <w:t xml:space="preserve">乙方：                                                  </w:t>
      </w:r>
    </w:p>
    <w:p w14:paraId="202C170C">
      <w:pPr>
        <w:pStyle w:val="33"/>
        <w:pageBreakBefore w:val="0"/>
        <w:widowControl w:val="0"/>
        <w:kinsoku/>
        <w:wordWrap/>
        <w:overflowPunct/>
        <w:topLinePunct w:val="0"/>
        <w:bidi w:val="0"/>
        <w:spacing w:line="500" w:lineRule="exact"/>
        <w:ind w:firstLine="416"/>
        <w:rPr>
          <w:rFonts w:ascii="宋体" w:eastAsia="宋体"/>
          <w:color w:val="auto"/>
          <w:sz w:val="24"/>
          <w:highlight w:val="none"/>
          <w:lang w:val="zh-CN"/>
        </w:rPr>
      </w:pPr>
    </w:p>
    <w:p w14:paraId="2DD57FF6">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鉴于，</w:t>
      </w:r>
      <w:r>
        <w:rPr>
          <w:rFonts w:hint="eastAsia" w:ascii="宋体" w:eastAsia="宋体" w:cs="仿宋"/>
          <w:color w:val="auto"/>
          <w:sz w:val="24"/>
          <w:szCs w:val="24"/>
          <w:highlight w:val="none"/>
          <w:lang w:eastAsia="zh-CN"/>
        </w:rPr>
        <w:t>甲</w:t>
      </w:r>
      <w:r>
        <w:rPr>
          <w:rFonts w:hint="eastAsia" w:ascii="宋体" w:eastAsia="宋体" w:cs="仿宋"/>
          <w:color w:val="auto"/>
          <w:sz w:val="24"/>
          <w:szCs w:val="24"/>
          <w:highlight w:val="none"/>
        </w:rPr>
        <w:t>、</w:t>
      </w:r>
      <w:r>
        <w:rPr>
          <w:rFonts w:hint="eastAsia" w:ascii="宋体" w:eastAsia="宋体" w:cs="仿宋"/>
          <w:color w:val="auto"/>
          <w:sz w:val="24"/>
          <w:szCs w:val="24"/>
          <w:highlight w:val="none"/>
          <w:lang w:eastAsia="zh-CN"/>
        </w:rPr>
        <w:t>乙双方</w:t>
      </w:r>
      <w:r>
        <w:rPr>
          <w:rFonts w:hint="eastAsia" w:ascii="宋体" w:eastAsia="宋体" w:cs="仿宋"/>
          <w:color w:val="auto"/>
          <w:sz w:val="24"/>
          <w:szCs w:val="24"/>
          <w:highlight w:val="none"/>
          <w:lang w:val="zh-CN"/>
        </w:rPr>
        <w:t>已签订</w:t>
      </w:r>
      <w:r>
        <w:rPr>
          <w:rFonts w:hint="eastAsia" w:ascii="宋体" w:eastAsia="宋体" w:cs="仿宋"/>
          <w:color w:val="auto"/>
          <w:sz w:val="24"/>
          <w:szCs w:val="24"/>
          <w:highlight w:val="none"/>
        </w:rPr>
        <w:t>《           》</w:t>
      </w:r>
      <w:r>
        <w:rPr>
          <w:rFonts w:hint="eastAsia" w:ascii="宋体" w:eastAsia="宋体" w:cs="仿宋"/>
          <w:color w:val="auto"/>
          <w:sz w:val="24"/>
          <w:szCs w:val="24"/>
          <w:highlight w:val="none"/>
          <w:lang w:val="zh-CN"/>
        </w:rPr>
        <w:t>（以下简称“合同”），</w:t>
      </w:r>
      <w:r>
        <w:rPr>
          <w:rFonts w:hint="eastAsia" w:ascii="宋体" w:eastAsia="宋体" w:cs="仿宋"/>
          <w:color w:val="auto"/>
          <w:sz w:val="24"/>
          <w:szCs w:val="24"/>
          <w:highlight w:val="none"/>
        </w:rPr>
        <w:t>为</w:t>
      </w:r>
      <w:r>
        <w:rPr>
          <w:rFonts w:hint="eastAsia" w:ascii="宋体" w:eastAsia="宋体" w:cs="仿宋"/>
          <w:color w:val="auto"/>
          <w:sz w:val="24"/>
          <w:szCs w:val="24"/>
          <w:highlight w:val="none"/>
          <w:lang w:val="zh-CN"/>
        </w:rPr>
        <w:t>规范商业行为，维护市场公平竞争秩序，营造诚信、透明、公平与公正的合作环境，促进甲、乙双方的业务发展和廉洁建设，双方就廉洁建设相关事宜订立</w:t>
      </w:r>
      <w:r>
        <w:rPr>
          <w:rFonts w:hint="eastAsia" w:ascii="宋体" w:eastAsia="宋体" w:cs="仿宋"/>
          <w:color w:val="auto"/>
          <w:sz w:val="24"/>
          <w:szCs w:val="24"/>
          <w:highlight w:val="none"/>
        </w:rPr>
        <w:t>《廉洁协议》（以下简称“本协议”）</w:t>
      </w:r>
      <w:r>
        <w:rPr>
          <w:rFonts w:hint="eastAsia" w:ascii="宋体" w:eastAsia="宋体" w:cs="仿宋"/>
          <w:color w:val="auto"/>
          <w:sz w:val="24"/>
          <w:szCs w:val="24"/>
          <w:highlight w:val="none"/>
          <w:lang w:val="zh-CN"/>
        </w:rPr>
        <w:t>，以供遵照执行。本协议不受双方业务合同变更、解除或终止、无效的影响，始终有效。</w:t>
      </w:r>
    </w:p>
    <w:p w14:paraId="6C04248D">
      <w:pPr>
        <w:pageBreakBefore w:val="0"/>
        <w:widowControl w:val="0"/>
        <w:kinsoku/>
        <w:wordWrap/>
        <w:overflowPunct/>
        <w:topLinePunct w:val="0"/>
        <w:bidi w:val="0"/>
        <w:spacing w:line="500" w:lineRule="exact"/>
        <w:ind w:firstLine="482" w:firstLineChars="200"/>
        <w:outlineLvl w:val="1"/>
        <w:rPr>
          <w:rFonts w:ascii="宋体" w:eastAsia="宋体" w:cs="仿宋"/>
          <w:b/>
          <w:color w:val="auto"/>
          <w:sz w:val="24"/>
          <w:szCs w:val="24"/>
          <w:highlight w:val="none"/>
          <w:lang w:val="zh-CN"/>
        </w:rPr>
      </w:pPr>
      <w:bookmarkStart w:id="48" w:name="_Toc20410"/>
      <w:r>
        <w:rPr>
          <w:rFonts w:hint="eastAsia" w:ascii="宋体" w:eastAsia="宋体" w:cs="仿宋"/>
          <w:b/>
          <w:color w:val="auto"/>
          <w:sz w:val="24"/>
          <w:szCs w:val="24"/>
          <w:highlight w:val="none"/>
          <w:lang w:val="zh-CN"/>
        </w:rPr>
        <w:t>1</w:t>
      </w:r>
      <w:r>
        <w:rPr>
          <w:rFonts w:hint="eastAsia" w:ascii="宋体" w:eastAsia="宋体" w:cs="仿宋"/>
          <w:b/>
          <w:color w:val="auto"/>
          <w:sz w:val="24"/>
          <w:szCs w:val="24"/>
          <w:highlight w:val="none"/>
        </w:rPr>
        <w:t>.</w:t>
      </w:r>
      <w:r>
        <w:rPr>
          <w:rFonts w:hint="eastAsia" w:ascii="宋体" w:eastAsia="宋体" w:cs="仿宋"/>
          <w:b/>
          <w:color w:val="auto"/>
          <w:sz w:val="24"/>
          <w:szCs w:val="24"/>
          <w:highlight w:val="none"/>
          <w:lang w:val="zh-CN"/>
        </w:rPr>
        <w:t>廉</w:t>
      </w:r>
      <w:r>
        <w:rPr>
          <w:rFonts w:hint="eastAsia" w:ascii="宋体" w:eastAsia="宋体" w:cs="仿宋"/>
          <w:b/>
          <w:color w:val="auto"/>
          <w:sz w:val="24"/>
          <w:szCs w:val="24"/>
          <w:highlight w:val="none"/>
        </w:rPr>
        <w:t>洁</w:t>
      </w:r>
      <w:r>
        <w:rPr>
          <w:rFonts w:hint="eastAsia" w:ascii="宋体" w:eastAsia="宋体" w:cs="仿宋"/>
          <w:b/>
          <w:color w:val="auto"/>
          <w:sz w:val="24"/>
          <w:szCs w:val="24"/>
          <w:highlight w:val="none"/>
          <w:lang w:val="zh-CN"/>
        </w:rPr>
        <w:t>规定</w:t>
      </w:r>
      <w:bookmarkEnd w:id="48"/>
    </w:p>
    <w:p w14:paraId="4F0B10E1">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1.1</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双方应严格遵守国家、省、所在地区有关廉洁方面法律法规的规定。</w:t>
      </w:r>
    </w:p>
    <w:p w14:paraId="3448163E">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1.2</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双方应严格执行招标文件、竞价文件以及合同文件的内容，根据约定履行相关义务。</w:t>
      </w:r>
    </w:p>
    <w:p w14:paraId="7857E736">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1.3</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合同双方当事人的业务活动应坚持公平、公开、公正和诚信的原则(法律认定的商业秘密和合同另有约定除外)，不得损害国家、集体和合同双方的利益，不得违反项目管理规章制度。</w:t>
      </w:r>
    </w:p>
    <w:p w14:paraId="73FE6383">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1.4</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发现其中一方在业务活动中有违反廉洁建设规定的行为，应及时给予提醒和纠正。</w:t>
      </w:r>
    </w:p>
    <w:p w14:paraId="36CE1DA9">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1.5</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发现其中一方严重违反</w:t>
      </w:r>
      <w:r>
        <w:rPr>
          <w:rFonts w:hint="eastAsia" w:ascii="宋体" w:eastAsia="宋体" w:cs="仿宋"/>
          <w:color w:val="auto"/>
          <w:sz w:val="24"/>
          <w:szCs w:val="24"/>
          <w:highlight w:val="none"/>
        </w:rPr>
        <w:t>本</w:t>
      </w:r>
      <w:r>
        <w:rPr>
          <w:rFonts w:hint="eastAsia" w:ascii="宋体" w:eastAsia="宋体" w:cs="仿宋"/>
          <w:color w:val="auto"/>
          <w:sz w:val="24"/>
          <w:szCs w:val="24"/>
          <w:highlight w:val="none"/>
          <w:lang w:val="zh-CN"/>
        </w:rPr>
        <w:t>协议、违规、违纪、违法等行为，有向</w:t>
      </w:r>
      <w:r>
        <w:rPr>
          <w:rFonts w:hint="eastAsia" w:ascii="宋体" w:eastAsia="宋体" w:cs="仿宋"/>
          <w:color w:val="auto"/>
          <w:sz w:val="24"/>
          <w:szCs w:val="24"/>
          <w:highlight w:val="none"/>
          <w:lang w:eastAsia="zh-CN"/>
        </w:rPr>
        <w:t>甲方</w:t>
      </w:r>
      <w:r>
        <w:rPr>
          <w:rFonts w:hint="eastAsia" w:ascii="宋体" w:eastAsia="宋体" w:cs="仿宋"/>
          <w:color w:val="auto"/>
          <w:sz w:val="24"/>
          <w:szCs w:val="24"/>
          <w:highlight w:val="none"/>
          <w:lang w:val="zh-CN"/>
        </w:rPr>
        <w:t>廉洁监督部门举报、建议的权利。</w:t>
      </w:r>
    </w:p>
    <w:p w14:paraId="34FF2BF2">
      <w:pPr>
        <w:pageBreakBefore w:val="0"/>
        <w:widowControl w:val="0"/>
        <w:kinsoku/>
        <w:wordWrap/>
        <w:overflowPunct/>
        <w:topLinePunct w:val="0"/>
        <w:bidi w:val="0"/>
        <w:spacing w:line="500" w:lineRule="exact"/>
        <w:ind w:firstLine="482" w:firstLineChars="200"/>
        <w:outlineLvl w:val="1"/>
        <w:rPr>
          <w:rFonts w:ascii="宋体" w:eastAsia="宋体" w:cs="仿宋"/>
          <w:b/>
          <w:color w:val="auto"/>
          <w:sz w:val="24"/>
          <w:szCs w:val="24"/>
          <w:highlight w:val="none"/>
          <w:lang w:val="zh-CN"/>
        </w:rPr>
      </w:pPr>
      <w:bookmarkStart w:id="49" w:name="_Toc668"/>
      <w:r>
        <w:rPr>
          <w:rFonts w:hint="eastAsia" w:ascii="宋体" w:eastAsia="宋体" w:cs="仿宋"/>
          <w:b/>
          <w:color w:val="auto"/>
          <w:sz w:val="24"/>
          <w:szCs w:val="24"/>
          <w:highlight w:val="none"/>
          <w:lang w:val="zh-CN"/>
        </w:rPr>
        <w:t>2</w:t>
      </w:r>
      <w:r>
        <w:rPr>
          <w:rFonts w:hint="eastAsia" w:ascii="宋体" w:eastAsia="宋体" w:cs="仿宋"/>
          <w:b/>
          <w:color w:val="auto"/>
          <w:sz w:val="24"/>
          <w:szCs w:val="24"/>
          <w:highlight w:val="none"/>
        </w:rPr>
        <w:t>.</w:t>
      </w:r>
      <w:r>
        <w:rPr>
          <w:rFonts w:hint="eastAsia" w:ascii="宋体" w:eastAsia="宋体" w:cs="仿宋"/>
          <w:b/>
          <w:color w:val="auto"/>
          <w:sz w:val="24"/>
          <w:szCs w:val="24"/>
          <w:highlight w:val="none"/>
          <w:lang w:val="zh-CN"/>
        </w:rPr>
        <w:t>甲方权利义务</w:t>
      </w:r>
      <w:bookmarkEnd w:id="49"/>
    </w:p>
    <w:p w14:paraId="6AE10FE7">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2.1</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甲方及其工作人员（含甲方聘请的与合同履行相关的</w:t>
      </w:r>
      <w:r>
        <w:rPr>
          <w:rFonts w:hint="eastAsia" w:ascii="宋体" w:eastAsia="宋体" w:cs="仿宋"/>
          <w:color w:val="auto"/>
          <w:sz w:val="24"/>
          <w:szCs w:val="24"/>
          <w:highlight w:val="none"/>
        </w:rPr>
        <w:t>劳务派遣</w:t>
      </w:r>
      <w:r>
        <w:rPr>
          <w:rFonts w:hint="eastAsia" w:ascii="宋体" w:eastAsia="宋体" w:cs="仿宋"/>
          <w:color w:val="auto"/>
          <w:sz w:val="24"/>
          <w:szCs w:val="24"/>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22F5901A">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2.2</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甲方人员不得参加乙方安排的宴请(工作餐除外)和娱乐活动，不得接受乙方提供的通讯、交通工具和高档办公用品等物品。</w:t>
      </w:r>
    </w:p>
    <w:p w14:paraId="773AF7F8">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2.3</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甲方人员不得要求或者接受乙方为其住房装修、婚丧嫁娶活动、配偶子女工作升学安排以及出国出境、旅游等提供方便。</w:t>
      </w:r>
    </w:p>
    <w:p w14:paraId="4EF3DF96">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2.4</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w:t>
      </w:r>
      <w:r>
        <w:rPr>
          <w:rFonts w:hint="eastAsia" w:ascii="宋体" w:eastAsia="宋体" w:cs="仿宋"/>
          <w:color w:val="auto"/>
          <w:sz w:val="24"/>
          <w:szCs w:val="24"/>
          <w:highlight w:val="none"/>
        </w:rPr>
        <w:t>应</w:t>
      </w:r>
      <w:r>
        <w:rPr>
          <w:rFonts w:hint="eastAsia" w:ascii="宋体" w:eastAsia="宋体" w:cs="仿宋"/>
          <w:color w:val="auto"/>
          <w:sz w:val="24"/>
          <w:szCs w:val="24"/>
          <w:highlight w:val="none"/>
          <w:lang w:val="zh-CN"/>
        </w:rPr>
        <w:t>秉公办事，不准营私舞弊，不得利用职权私自为合同安排服务队伍，也不得从事与合同服务有关的各种有偿中介活动。</w:t>
      </w:r>
    </w:p>
    <w:p w14:paraId="28E019B9">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2.5</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甲方人员(含其配偶、子女)不得从事与合同项目有关的材料和设备供应、分包、劳务等经济活动。</w:t>
      </w:r>
    </w:p>
    <w:p w14:paraId="4C17EC19">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2.6</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甲方与乙方发生业务往来过程中，不得有弄虚作假、以次充好、虚结虚算等违反诚信原则的行为。</w:t>
      </w:r>
    </w:p>
    <w:p w14:paraId="78936EEE">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2.7</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甲方发现乙方人员在业务活动中有违法违规或违反</w:t>
      </w:r>
      <w:r>
        <w:rPr>
          <w:rFonts w:hint="eastAsia" w:ascii="宋体" w:eastAsia="宋体" w:cs="仿宋"/>
          <w:color w:val="auto"/>
          <w:sz w:val="24"/>
          <w:szCs w:val="24"/>
          <w:highlight w:val="none"/>
        </w:rPr>
        <w:t>本</w:t>
      </w:r>
      <w:r>
        <w:rPr>
          <w:rFonts w:hint="eastAsia" w:ascii="宋体" w:eastAsia="宋体" w:cs="仿宋"/>
          <w:color w:val="auto"/>
          <w:sz w:val="24"/>
          <w:szCs w:val="24"/>
          <w:highlight w:val="none"/>
          <w:lang w:val="zh-CN"/>
        </w:rPr>
        <w:t>协议规定行为的，及时要求乙方采取措施制止该不廉洁行为；情节严重的，应向上级主管部门或纪检监察、司法等有关机关举报。</w:t>
      </w:r>
    </w:p>
    <w:p w14:paraId="7E620F36">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2.8</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甲方有权根据乙方对</w:t>
      </w:r>
      <w:r>
        <w:rPr>
          <w:rFonts w:hint="eastAsia" w:ascii="宋体" w:eastAsia="宋体" w:cs="仿宋"/>
          <w:color w:val="auto"/>
          <w:sz w:val="24"/>
          <w:szCs w:val="24"/>
          <w:highlight w:val="none"/>
        </w:rPr>
        <w:t>本</w:t>
      </w:r>
      <w:r>
        <w:rPr>
          <w:rFonts w:hint="eastAsia" w:ascii="宋体" w:eastAsia="宋体" w:cs="仿宋"/>
          <w:color w:val="auto"/>
          <w:sz w:val="24"/>
          <w:szCs w:val="24"/>
          <w:highlight w:val="none"/>
          <w:lang w:val="zh-CN"/>
        </w:rPr>
        <w:t>协议的执行情况，决定是否给予乙方参与甲方后续项目合作的权利或者工程项目的投标评分等。</w:t>
      </w:r>
    </w:p>
    <w:p w14:paraId="3067649E">
      <w:pPr>
        <w:pageBreakBefore w:val="0"/>
        <w:widowControl w:val="0"/>
        <w:kinsoku/>
        <w:wordWrap/>
        <w:overflowPunct/>
        <w:topLinePunct w:val="0"/>
        <w:bidi w:val="0"/>
        <w:spacing w:line="500" w:lineRule="exact"/>
        <w:ind w:firstLine="482" w:firstLineChars="200"/>
        <w:outlineLvl w:val="1"/>
        <w:rPr>
          <w:rFonts w:ascii="宋体" w:eastAsia="宋体" w:cs="仿宋"/>
          <w:b/>
          <w:color w:val="auto"/>
          <w:sz w:val="24"/>
          <w:szCs w:val="24"/>
          <w:highlight w:val="none"/>
          <w:lang w:val="zh-CN"/>
        </w:rPr>
      </w:pPr>
      <w:bookmarkStart w:id="50" w:name="_Toc8250"/>
      <w:r>
        <w:rPr>
          <w:rFonts w:hint="eastAsia" w:ascii="宋体" w:eastAsia="宋体" w:cs="仿宋"/>
          <w:b/>
          <w:color w:val="auto"/>
          <w:sz w:val="24"/>
          <w:szCs w:val="24"/>
          <w:highlight w:val="none"/>
          <w:lang w:val="zh-CN"/>
        </w:rPr>
        <w:t>3.乙方权利义务</w:t>
      </w:r>
      <w:bookmarkEnd w:id="50"/>
    </w:p>
    <w:p w14:paraId="65D9CA1F">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3.1</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乙方不得以任何理由向甲方人员行贿、馈赠或出借金钱、有价证券、贵重物品等。</w:t>
      </w:r>
    </w:p>
    <w:p w14:paraId="17EB06B3">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3.2</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乙方不得以任何名义为甲方人员报销应由甲方人员或其工作人员个人支付的任何费用。</w:t>
      </w:r>
    </w:p>
    <w:p w14:paraId="05CD319B">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3.3</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乙方不得以任何理由安排甲方人员参加宴请(工作餐除外)及娱乐活动。</w:t>
      </w:r>
    </w:p>
    <w:p w14:paraId="1C7E74FA">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3.4</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乙方不得为甲方和个人购置或提供通讯、交通工具和高档办公用品等物品。</w:t>
      </w:r>
    </w:p>
    <w:p w14:paraId="49F0661E">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3.5</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乙方不得为甲方人员的住房装修、婚丧嫁娶活动、配偶子女工作升学安排以及出国出境、旅游等提供方便。</w:t>
      </w:r>
    </w:p>
    <w:p w14:paraId="64C77875">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3.6</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乙方不得就合同的签订或履行向任何其它方索取或接受礼金、有价证券、贵重物品。</w:t>
      </w:r>
    </w:p>
    <w:p w14:paraId="319A2210">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3.7</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乙方与甲方业务往来过程中，不得有弄虚作假、以次充好、虚结虚算等违反诚信原则的行为。</w:t>
      </w:r>
    </w:p>
    <w:p w14:paraId="6AB0DD0F">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rPr>
      </w:pPr>
      <w:r>
        <w:rPr>
          <w:rFonts w:hint="eastAsia" w:ascii="宋体" w:eastAsia="宋体" w:cs="仿宋"/>
          <w:color w:val="auto"/>
          <w:sz w:val="24"/>
          <w:szCs w:val="24"/>
          <w:highlight w:val="none"/>
        </w:rPr>
        <w:t xml:space="preserve">3.8 </w:t>
      </w:r>
      <w:r>
        <w:rPr>
          <w:rFonts w:hint="eastAsia" w:ascii="宋体" w:eastAsia="宋体" w:cs="仿宋"/>
          <w:color w:val="auto"/>
          <w:sz w:val="24"/>
          <w:szCs w:val="24"/>
          <w:highlight w:val="none"/>
          <w:lang w:val="zh-CN"/>
        </w:rPr>
        <w:t>乙方在合同履行过程中发现甲方人员有不廉洁行为的，应及时采取措施，积极有效地制止其不廉洁行为的发生，并及时告知甲方单位主管领导。</w:t>
      </w:r>
    </w:p>
    <w:p w14:paraId="23644AFF">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rPr>
      </w:pPr>
      <w:r>
        <w:rPr>
          <w:rFonts w:hint="eastAsia" w:ascii="宋体" w:eastAsia="宋体" w:cs="仿宋"/>
          <w:color w:val="auto"/>
          <w:sz w:val="24"/>
          <w:szCs w:val="24"/>
          <w:highlight w:val="none"/>
        </w:rPr>
        <w:t>3.9 在采购、销售、招投标等为</w:t>
      </w:r>
      <w:r>
        <w:rPr>
          <w:rFonts w:hint="eastAsia" w:ascii="宋体" w:eastAsia="宋体" w:cs="仿宋"/>
          <w:color w:val="auto"/>
          <w:sz w:val="24"/>
          <w:szCs w:val="24"/>
          <w:highlight w:val="none"/>
          <w:lang w:eastAsia="zh-CN"/>
        </w:rPr>
        <w:t>双方</w:t>
      </w:r>
      <w:r>
        <w:rPr>
          <w:rFonts w:hint="eastAsia" w:ascii="宋体" w:eastAsia="宋体" w:cs="仿宋"/>
          <w:color w:val="auto"/>
          <w:sz w:val="24"/>
          <w:szCs w:val="24"/>
          <w:highlight w:val="none"/>
        </w:rPr>
        <w:t>业务而开展的工作中，不做任何损害</w:t>
      </w:r>
      <w:r>
        <w:rPr>
          <w:rFonts w:hint="eastAsia" w:ascii="宋体" w:eastAsia="宋体" w:cs="仿宋"/>
          <w:color w:val="auto"/>
          <w:sz w:val="24"/>
          <w:szCs w:val="24"/>
          <w:highlight w:val="none"/>
          <w:lang w:eastAsia="zh-CN"/>
        </w:rPr>
        <w:t>甲方</w:t>
      </w:r>
      <w:r>
        <w:rPr>
          <w:rFonts w:hint="eastAsia" w:ascii="宋体" w:eastAsia="宋体" w:cs="仿宋"/>
          <w:color w:val="auto"/>
          <w:sz w:val="24"/>
          <w:szCs w:val="24"/>
          <w:highlight w:val="none"/>
        </w:rPr>
        <w:t>利益的行为，包括但不限于：</w:t>
      </w:r>
    </w:p>
    <w:p w14:paraId="6D9E1B50">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rPr>
      </w:pPr>
      <w:r>
        <w:rPr>
          <w:rFonts w:hint="eastAsia" w:ascii="宋体" w:eastAsia="宋体" w:cs="仿宋"/>
          <w:color w:val="auto"/>
          <w:sz w:val="24"/>
          <w:szCs w:val="24"/>
          <w:highlight w:val="none"/>
        </w:rPr>
        <w:t>（1）投标提交的相关资料全部真实、有效，绝无资质挂靠、串标、围标等情况；</w:t>
      </w:r>
    </w:p>
    <w:p w14:paraId="4B0C4398">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rPr>
      </w:pPr>
      <w:r>
        <w:rPr>
          <w:rFonts w:hint="eastAsia" w:ascii="宋体" w:eastAsia="宋体" w:cs="仿宋"/>
          <w:color w:val="auto"/>
          <w:sz w:val="24"/>
          <w:szCs w:val="24"/>
          <w:highlight w:val="none"/>
        </w:rPr>
        <w:t>（2）不以任何方式向</w:t>
      </w:r>
      <w:r>
        <w:rPr>
          <w:rFonts w:hint="eastAsia" w:ascii="宋体" w:eastAsia="宋体" w:cs="仿宋"/>
          <w:color w:val="auto"/>
          <w:sz w:val="24"/>
          <w:szCs w:val="24"/>
          <w:highlight w:val="none"/>
          <w:lang w:eastAsia="zh-CN"/>
        </w:rPr>
        <w:t>甲方</w:t>
      </w:r>
      <w:r>
        <w:rPr>
          <w:rFonts w:hint="eastAsia" w:ascii="宋体" w:eastAsia="宋体" w:cs="仿宋"/>
          <w:color w:val="auto"/>
          <w:sz w:val="24"/>
          <w:szCs w:val="24"/>
          <w:highlight w:val="none"/>
        </w:rPr>
        <w:t>工作人员或其他知情人私下了解采购、销售、招投标中的商业秘密。</w:t>
      </w:r>
    </w:p>
    <w:p w14:paraId="2A9B92CB">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rPr>
      </w:pPr>
      <w:r>
        <w:rPr>
          <w:rFonts w:hint="eastAsia" w:ascii="宋体" w:eastAsia="宋体" w:cs="仿宋"/>
          <w:color w:val="auto"/>
          <w:sz w:val="24"/>
          <w:szCs w:val="24"/>
          <w:highlight w:val="none"/>
        </w:rPr>
        <w:t xml:space="preserve">3.10 </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rPr>
        <w:t>方及</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rPr>
        <w:t>方人员已经审阅并同意遵守</w:t>
      </w:r>
      <w:r>
        <w:rPr>
          <w:rFonts w:hint="eastAsia" w:ascii="宋体" w:eastAsia="宋体" w:cs="仿宋"/>
          <w:color w:val="auto"/>
          <w:sz w:val="24"/>
          <w:szCs w:val="24"/>
          <w:highlight w:val="none"/>
          <w:lang w:eastAsia="zh-CN"/>
        </w:rPr>
        <w:t>甲方</w:t>
      </w:r>
      <w:r>
        <w:rPr>
          <w:rFonts w:hint="eastAsia" w:ascii="宋体" w:eastAsia="宋体" w:cs="仿宋"/>
          <w:color w:val="auto"/>
          <w:sz w:val="24"/>
          <w:szCs w:val="24"/>
          <w:highlight w:val="none"/>
        </w:rPr>
        <w:t>最新版发布的反舞弊、反贿赂相关政策，不论相关政策发布是否晚于本协议签订之日。</w:t>
      </w:r>
    </w:p>
    <w:p w14:paraId="11DAC37E">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rPr>
        <w:t xml:space="preserve">3.11 </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rPr>
        <w:t>方应当根据</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rPr>
        <w:t>方人员的具体岗位、面临的舞弊和贿赂风险以及不断变化的环境（包括法律及商业环境），定期为</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rPr>
        <w:t>方人员提供反舞弊、反贿赂意识教育培训。</w:t>
      </w:r>
    </w:p>
    <w:p w14:paraId="19375933">
      <w:pPr>
        <w:pageBreakBefore w:val="0"/>
        <w:widowControl w:val="0"/>
        <w:kinsoku/>
        <w:wordWrap/>
        <w:overflowPunct/>
        <w:topLinePunct w:val="0"/>
        <w:bidi w:val="0"/>
        <w:spacing w:line="500" w:lineRule="exact"/>
        <w:ind w:firstLine="482" w:firstLineChars="200"/>
        <w:outlineLvl w:val="1"/>
        <w:rPr>
          <w:rFonts w:ascii="宋体" w:eastAsia="宋体" w:cs="仿宋"/>
          <w:b/>
          <w:color w:val="auto"/>
          <w:sz w:val="24"/>
          <w:szCs w:val="24"/>
          <w:highlight w:val="none"/>
          <w:lang w:val="zh-CN"/>
        </w:rPr>
      </w:pPr>
      <w:bookmarkStart w:id="51" w:name="_Toc5442"/>
      <w:r>
        <w:rPr>
          <w:rFonts w:hint="eastAsia" w:ascii="宋体" w:eastAsia="宋体" w:cs="仿宋"/>
          <w:b/>
          <w:color w:val="auto"/>
          <w:sz w:val="24"/>
          <w:szCs w:val="24"/>
          <w:highlight w:val="none"/>
          <w:lang w:val="zh-CN"/>
        </w:rPr>
        <w:t>4.违约责任</w:t>
      </w:r>
      <w:bookmarkEnd w:id="51"/>
    </w:p>
    <w:p w14:paraId="76BE2872">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4.1</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甲方人员违反</w:t>
      </w:r>
      <w:r>
        <w:rPr>
          <w:rFonts w:hint="eastAsia" w:ascii="宋体" w:eastAsia="宋体" w:cs="仿宋"/>
          <w:color w:val="auto"/>
          <w:sz w:val="24"/>
          <w:szCs w:val="24"/>
          <w:highlight w:val="none"/>
        </w:rPr>
        <w:t>本协议廉洁</w:t>
      </w:r>
      <w:r>
        <w:rPr>
          <w:rFonts w:hint="eastAsia" w:ascii="宋体" w:eastAsia="宋体" w:cs="仿宋"/>
          <w:color w:val="auto"/>
          <w:sz w:val="24"/>
          <w:szCs w:val="24"/>
          <w:highlight w:val="none"/>
          <w:lang w:val="zh-CN"/>
        </w:rPr>
        <w:t>约定，乙方应在24小时内向甲方</w:t>
      </w:r>
      <w:r>
        <w:rPr>
          <w:rFonts w:hint="eastAsia" w:ascii="宋体" w:eastAsia="宋体" w:cs="仿宋"/>
          <w:color w:val="auto"/>
          <w:sz w:val="24"/>
          <w:szCs w:val="24"/>
          <w:highlight w:val="none"/>
        </w:rPr>
        <w:t>廉洁</w:t>
      </w:r>
      <w:r>
        <w:rPr>
          <w:rFonts w:hint="eastAsia" w:ascii="宋体" w:eastAsia="宋体" w:cs="仿宋"/>
          <w:color w:val="auto"/>
          <w:sz w:val="24"/>
          <w:szCs w:val="24"/>
          <w:highlight w:val="none"/>
          <w:lang w:val="zh-CN"/>
        </w:rPr>
        <w:t>监督部门举报，由甲方按照</w:t>
      </w:r>
      <w:r>
        <w:rPr>
          <w:rFonts w:hint="eastAsia" w:ascii="宋体" w:eastAsia="宋体" w:cs="仿宋"/>
          <w:color w:val="auto"/>
          <w:sz w:val="24"/>
          <w:szCs w:val="24"/>
          <w:highlight w:val="none"/>
        </w:rPr>
        <w:t>廉洁</w:t>
      </w:r>
      <w:r>
        <w:rPr>
          <w:rFonts w:hint="eastAsia" w:ascii="宋体" w:eastAsia="宋体" w:cs="仿宋"/>
          <w:color w:val="auto"/>
          <w:sz w:val="24"/>
          <w:szCs w:val="24"/>
          <w:highlight w:val="none"/>
          <w:lang w:val="zh-CN"/>
        </w:rPr>
        <w:t>建设的有关规定由有权部门给予相应处分。</w:t>
      </w:r>
    </w:p>
    <w:p w14:paraId="3B22B041">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4.2</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eastAsia="宋体" w:cs="仿宋"/>
          <w:color w:val="auto"/>
          <w:sz w:val="24"/>
          <w:szCs w:val="24"/>
          <w:highlight w:val="none"/>
        </w:rPr>
        <w:t>担保费、</w:t>
      </w:r>
      <w:r>
        <w:rPr>
          <w:rFonts w:hint="eastAsia" w:ascii="宋体" w:eastAsia="宋体" w:cs="仿宋"/>
          <w:color w:val="auto"/>
          <w:sz w:val="24"/>
          <w:szCs w:val="24"/>
          <w:highlight w:val="none"/>
          <w:lang w:val="zh-CN"/>
        </w:rPr>
        <w:t>律师费等全部费用。</w:t>
      </w:r>
    </w:p>
    <w:p w14:paraId="488E7409">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rPr>
        <w:t xml:space="preserve">4.3 </w:t>
      </w:r>
      <w:r>
        <w:rPr>
          <w:rFonts w:hint="eastAsia" w:ascii="宋体" w:eastAsia="宋体" w:cs="仿宋"/>
          <w:color w:val="auto"/>
          <w:sz w:val="24"/>
          <w:szCs w:val="24"/>
          <w:highlight w:val="none"/>
          <w:lang w:val="zh-CN"/>
        </w:rPr>
        <w:t>甲方有权从应向乙方支付的任何款项中直接扣除前款所述乙方应付赔偿</w:t>
      </w:r>
      <w:r>
        <w:rPr>
          <w:rFonts w:hint="eastAsia" w:ascii="宋体" w:eastAsia="宋体" w:cs="仿宋"/>
          <w:color w:val="auto"/>
          <w:sz w:val="24"/>
          <w:szCs w:val="24"/>
          <w:highlight w:val="none"/>
        </w:rPr>
        <w:t>款</w:t>
      </w:r>
      <w:r>
        <w:rPr>
          <w:rFonts w:hint="eastAsia" w:ascii="宋体" w:eastAsia="宋体" w:cs="仿宋"/>
          <w:color w:val="auto"/>
          <w:sz w:val="24"/>
          <w:szCs w:val="24"/>
          <w:highlight w:val="none"/>
          <w:lang w:val="zh-CN"/>
        </w:rPr>
        <w:t>，不足部分由乙方在收到付款通知之日起5日内支付。</w:t>
      </w:r>
    </w:p>
    <w:p w14:paraId="530348A6">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rPr>
        <w:t xml:space="preserve">4.4 </w:t>
      </w:r>
      <w:r>
        <w:rPr>
          <w:rFonts w:hint="eastAsia" w:ascii="宋体" w:eastAsia="宋体" w:cs="仿宋"/>
          <w:color w:val="auto"/>
          <w:sz w:val="24"/>
          <w:szCs w:val="24"/>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081719FA">
      <w:pPr>
        <w:pageBreakBefore w:val="0"/>
        <w:widowControl w:val="0"/>
        <w:kinsoku/>
        <w:wordWrap/>
        <w:overflowPunct/>
        <w:topLinePunct w:val="0"/>
        <w:bidi w:val="0"/>
        <w:adjustRightInd w:val="0"/>
        <w:snapToGrid w:val="0"/>
        <w:spacing w:line="500" w:lineRule="exact"/>
        <w:ind w:firstLine="482" w:firstLineChars="200"/>
        <w:outlineLvl w:val="1"/>
        <w:rPr>
          <w:rFonts w:ascii="宋体" w:eastAsia="宋体" w:cs="仿宋"/>
          <w:color w:val="auto"/>
          <w:sz w:val="24"/>
          <w:szCs w:val="24"/>
          <w:highlight w:val="none"/>
          <w:lang w:val="zh-CN"/>
        </w:rPr>
      </w:pPr>
      <w:bookmarkStart w:id="52" w:name="_Toc14962"/>
      <w:r>
        <w:rPr>
          <w:rFonts w:hint="eastAsia" w:ascii="宋体" w:eastAsia="宋体" w:cs="仿宋"/>
          <w:b/>
          <w:color w:val="auto"/>
          <w:sz w:val="24"/>
          <w:szCs w:val="24"/>
          <w:highlight w:val="none"/>
          <w:lang w:val="zh-CN"/>
        </w:rPr>
        <w:t>5.监督与举报</w:t>
      </w:r>
      <w:bookmarkEnd w:id="52"/>
    </w:p>
    <w:p w14:paraId="1102C867">
      <w:pPr>
        <w:pageBreakBefore w:val="0"/>
        <w:widowControl w:val="0"/>
        <w:kinsoku/>
        <w:wordWrap/>
        <w:overflowPunct/>
        <w:topLinePunct w:val="0"/>
        <w:bidi w:val="0"/>
        <w:adjustRightInd w:val="0"/>
        <w:snapToGrid w:val="0"/>
        <w:spacing w:line="500" w:lineRule="exact"/>
        <w:ind w:firstLine="480" w:firstLineChars="200"/>
        <w:outlineLvl w:val="2"/>
        <w:rPr>
          <w:rFonts w:ascii="宋体" w:eastAsia="宋体" w:cs="仿宋"/>
          <w:color w:val="auto"/>
          <w:sz w:val="24"/>
          <w:szCs w:val="24"/>
          <w:highlight w:val="none"/>
          <w:lang w:val="zh-CN"/>
        </w:rPr>
      </w:pPr>
      <w:bookmarkStart w:id="53" w:name="_Toc13371"/>
      <w:r>
        <w:rPr>
          <w:rFonts w:hint="eastAsia" w:ascii="宋体" w:eastAsia="宋体" w:cs="仿宋"/>
          <w:color w:val="auto"/>
          <w:sz w:val="24"/>
          <w:szCs w:val="24"/>
          <w:highlight w:val="none"/>
          <w:lang w:val="zh-CN"/>
        </w:rPr>
        <w:t>5.1</w:t>
      </w:r>
      <w:r>
        <w:rPr>
          <w:rFonts w:hint="eastAsia" w:ascii="宋体" w:eastAsia="宋体" w:cs="仿宋"/>
          <w:color w:val="auto"/>
          <w:sz w:val="24"/>
          <w:szCs w:val="24"/>
          <w:highlight w:val="none"/>
        </w:rPr>
        <w:t xml:space="preserve"> 本</w:t>
      </w:r>
      <w:r>
        <w:rPr>
          <w:rFonts w:hint="eastAsia" w:ascii="宋体" w:eastAsia="宋体" w:cs="仿宋"/>
          <w:color w:val="auto"/>
          <w:sz w:val="24"/>
          <w:szCs w:val="24"/>
          <w:highlight w:val="none"/>
          <w:lang w:val="zh-CN"/>
        </w:rPr>
        <w:t>协议由合同双方当事人或相关主管部门负责监督执行。</w:t>
      </w:r>
      <w:bookmarkEnd w:id="53"/>
    </w:p>
    <w:p w14:paraId="0B76B4A9">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5.2</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zh-CN"/>
        </w:rPr>
        <w:t>甲方人员违反</w:t>
      </w:r>
      <w:r>
        <w:rPr>
          <w:rFonts w:hint="eastAsia" w:ascii="宋体" w:eastAsia="宋体" w:cs="仿宋"/>
          <w:color w:val="auto"/>
          <w:sz w:val="24"/>
          <w:szCs w:val="24"/>
          <w:highlight w:val="none"/>
        </w:rPr>
        <w:t>本</w:t>
      </w:r>
      <w:r>
        <w:rPr>
          <w:rFonts w:hint="eastAsia" w:ascii="宋体" w:eastAsia="宋体" w:cs="仿宋"/>
          <w:color w:val="auto"/>
          <w:sz w:val="24"/>
          <w:szCs w:val="24"/>
          <w:highlight w:val="none"/>
          <w:lang w:val="zh-CN"/>
        </w:rPr>
        <w:t>协议相关规定的，可向甲方廉</w:t>
      </w:r>
      <w:r>
        <w:rPr>
          <w:rFonts w:hint="eastAsia" w:ascii="宋体" w:eastAsia="宋体" w:cs="仿宋"/>
          <w:color w:val="auto"/>
          <w:sz w:val="24"/>
          <w:szCs w:val="24"/>
          <w:highlight w:val="none"/>
        </w:rPr>
        <w:t>洁</w:t>
      </w:r>
      <w:r>
        <w:rPr>
          <w:rFonts w:hint="eastAsia" w:ascii="宋体" w:eastAsia="宋体" w:cs="仿宋"/>
          <w:color w:val="auto"/>
          <w:sz w:val="24"/>
          <w:szCs w:val="24"/>
          <w:highlight w:val="none"/>
          <w:lang w:val="zh-CN"/>
        </w:rPr>
        <w:t>监督部门举报。</w:t>
      </w:r>
    </w:p>
    <w:p w14:paraId="5757FBE8">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rPr>
      </w:pPr>
      <w:r>
        <w:rPr>
          <w:rFonts w:hint="eastAsia" w:ascii="宋体" w:eastAsia="宋体" w:cs="仿宋"/>
          <w:color w:val="auto"/>
          <w:sz w:val="24"/>
          <w:szCs w:val="24"/>
          <w:highlight w:val="none"/>
          <w:lang w:val="zh-CN"/>
        </w:rPr>
        <w:t>举报电话：【</w:t>
      </w:r>
      <w:r>
        <w:rPr>
          <w:rFonts w:hint="eastAsia" w:ascii="宋体" w:eastAsia="宋体" w:cs="仿宋"/>
          <w:color w:val="auto"/>
          <w:sz w:val="24"/>
          <w:szCs w:val="24"/>
          <w:highlight w:val="none"/>
        </w:rPr>
        <w:t xml:space="preserve">   】；</w:t>
      </w:r>
    </w:p>
    <w:p w14:paraId="5F176957">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举报</w:t>
      </w:r>
      <w:r>
        <w:rPr>
          <w:rFonts w:hint="eastAsia" w:ascii="宋体" w:eastAsia="宋体" w:cs="仿宋"/>
          <w:color w:val="auto"/>
          <w:sz w:val="24"/>
          <w:szCs w:val="24"/>
          <w:highlight w:val="none"/>
        </w:rPr>
        <w:t>邮箱：【  /  】；</w:t>
      </w:r>
    </w:p>
    <w:p w14:paraId="335D0E68">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举报</w:t>
      </w:r>
      <w:r>
        <w:rPr>
          <w:rFonts w:hint="eastAsia" w:ascii="宋体" w:eastAsia="宋体" w:cs="仿宋"/>
          <w:color w:val="auto"/>
          <w:sz w:val="24"/>
          <w:szCs w:val="24"/>
          <w:highlight w:val="none"/>
        </w:rPr>
        <w:t>地址：【   】，邮编【 】</w:t>
      </w:r>
      <w:r>
        <w:rPr>
          <w:rFonts w:hint="eastAsia" w:ascii="宋体" w:eastAsia="宋体" w:cs="仿宋"/>
          <w:color w:val="auto"/>
          <w:sz w:val="24"/>
          <w:szCs w:val="24"/>
          <w:highlight w:val="none"/>
          <w:lang w:val="zh-CN"/>
        </w:rPr>
        <w:t>。</w:t>
      </w:r>
    </w:p>
    <w:p w14:paraId="0D34F171">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5.3</w:t>
      </w:r>
      <w:r>
        <w:rPr>
          <w:rFonts w:hint="eastAsia" w:ascii="宋体" w:eastAsia="宋体" w:cs="仿宋"/>
          <w:color w:val="auto"/>
          <w:sz w:val="24"/>
          <w:szCs w:val="24"/>
          <w:highlight w:val="none"/>
        </w:rPr>
        <w:t xml:space="preserve"> </w:t>
      </w:r>
      <w:r>
        <w:rPr>
          <w:rFonts w:hint="eastAsia" w:ascii="宋体" w:eastAsia="宋体" w:cs="仿宋"/>
          <w:color w:val="auto"/>
          <w:sz w:val="24"/>
          <w:szCs w:val="24"/>
          <w:highlight w:val="none"/>
          <w:lang w:val="en-US" w:eastAsia="zh-CN"/>
        </w:rPr>
        <w:t>乙</w:t>
      </w:r>
      <w:r>
        <w:rPr>
          <w:rFonts w:hint="eastAsia" w:ascii="宋体" w:eastAsia="宋体" w:cs="仿宋"/>
          <w:color w:val="auto"/>
          <w:sz w:val="24"/>
          <w:szCs w:val="24"/>
          <w:highlight w:val="none"/>
          <w:lang w:val="zh-CN"/>
        </w:rPr>
        <w:t>方人员违反</w:t>
      </w:r>
      <w:r>
        <w:rPr>
          <w:rFonts w:hint="eastAsia" w:ascii="宋体" w:eastAsia="宋体" w:cs="仿宋"/>
          <w:color w:val="auto"/>
          <w:sz w:val="24"/>
          <w:szCs w:val="24"/>
          <w:highlight w:val="none"/>
        </w:rPr>
        <w:t>本</w:t>
      </w:r>
      <w:r>
        <w:rPr>
          <w:rFonts w:hint="eastAsia" w:ascii="宋体" w:eastAsia="宋体" w:cs="仿宋"/>
          <w:color w:val="auto"/>
          <w:sz w:val="24"/>
          <w:szCs w:val="24"/>
          <w:highlight w:val="none"/>
          <w:lang w:val="zh-CN"/>
        </w:rPr>
        <w:t>协议相关规定的，可向</w:t>
      </w:r>
      <w:r>
        <w:rPr>
          <w:rFonts w:hint="eastAsia" w:ascii="宋体" w:eastAsia="宋体" w:cs="仿宋"/>
          <w:color w:val="auto"/>
          <w:sz w:val="24"/>
          <w:szCs w:val="24"/>
          <w:highlight w:val="none"/>
          <w:lang w:val="en-US" w:eastAsia="zh-CN"/>
        </w:rPr>
        <w:t>乙</w:t>
      </w:r>
      <w:r>
        <w:rPr>
          <w:rFonts w:hint="eastAsia" w:ascii="宋体" w:eastAsia="宋体" w:cs="仿宋"/>
          <w:color w:val="auto"/>
          <w:sz w:val="24"/>
          <w:szCs w:val="24"/>
          <w:highlight w:val="none"/>
          <w:lang w:val="zh-CN"/>
        </w:rPr>
        <w:t>方廉</w:t>
      </w:r>
      <w:r>
        <w:rPr>
          <w:rFonts w:hint="eastAsia" w:ascii="宋体" w:eastAsia="宋体" w:cs="仿宋"/>
          <w:color w:val="auto"/>
          <w:sz w:val="24"/>
          <w:szCs w:val="24"/>
          <w:highlight w:val="none"/>
        </w:rPr>
        <w:t>洁</w:t>
      </w:r>
      <w:r>
        <w:rPr>
          <w:rFonts w:hint="eastAsia" w:ascii="宋体" w:eastAsia="宋体" w:cs="仿宋"/>
          <w:color w:val="auto"/>
          <w:sz w:val="24"/>
          <w:szCs w:val="24"/>
          <w:highlight w:val="none"/>
          <w:lang w:val="zh-CN"/>
        </w:rPr>
        <w:t>监督部门举报。</w:t>
      </w:r>
    </w:p>
    <w:p w14:paraId="30D3C6E0">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rPr>
      </w:pPr>
      <w:r>
        <w:rPr>
          <w:rFonts w:hint="eastAsia" w:ascii="宋体" w:eastAsia="宋体" w:cs="仿宋"/>
          <w:color w:val="auto"/>
          <w:sz w:val="24"/>
          <w:szCs w:val="24"/>
          <w:highlight w:val="none"/>
          <w:lang w:val="zh-CN"/>
        </w:rPr>
        <w:t>举报电话：【</w:t>
      </w:r>
      <w:r>
        <w:rPr>
          <w:rFonts w:hint="eastAsia" w:ascii="宋体" w:eastAsia="宋体" w:cs="仿宋"/>
          <w:color w:val="auto"/>
          <w:sz w:val="24"/>
          <w:szCs w:val="24"/>
          <w:highlight w:val="none"/>
        </w:rPr>
        <w:t xml:space="preserve">   】；</w:t>
      </w:r>
    </w:p>
    <w:p w14:paraId="1365C219">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举报</w:t>
      </w:r>
      <w:r>
        <w:rPr>
          <w:rFonts w:hint="eastAsia" w:ascii="宋体" w:eastAsia="宋体" w:cs="仿宋"/>
          <w:color w:val="auto"/>
          <w:sz w:val="24"/>
          <w:szCs w:val="24"/>
          <w:highlight w:val="none"/>
        </w:rPr>
        <w:t>邮箱：【 / 】；</w:t>
      </w:r>
    </w:p>
    <w:p w14:paraId="11119AE3">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举报</w:t>
      </w:r>
      <w:r>
        <w:rPr>
          <w:rFonts w:hint="eastAsia" w:ascii="宋体" w:eastAsia="宋体" w:cs="仿宋"/>
          <w:color w:val="auto"/>
          <w:sz w:val="24"/>
          <w:szCs w:val="24"/>
          <w:highlight w:val="none"/>
        </w:rPr>
        <w:t>地址：【  】，邮编【】</w:t>
      </w:r>
      <w:r>
        <w:rPr>
          <w:rFonts w:hint="eastAsia" w:ascii="宋体" w:eastAsia="宋体" w:cs="仿宋"/>
          <w:color w:val="auto"/>
          <w:sz w:val="24"/>
          <w:szCs w:val="24"/>
          <w:highlight w:val="none"/>
          <w:lang w:val="zh-CN"/>
        </w:rPr>
        <w:t>。</w:t>
      </w:r>
    </w:p>
    <w:p w14:paraId="49CE95F4">
      <w:pPr>
        <w:pageBreakBefore w:val="0"/>
        <w:widowControl w:val="0"/>
        <w:kinsoku/>
        <w:wordWrap/>
        <w:overflowPunct/>
        <w:topLinePunct w:val="0"/>
        <w:bidi w:val="0"/>
        <w:adjustRightInd w:val="0"/>
        <w:snapToGrid w:val="0"/>
        <w:spacing w:line="500" w:lineRule="exact"/>
        <w:ind w:firstLine="482" w:firstLineChars="200"/>
        <w:outlineLvl w:val="1"/>
        <w:rPr>
          <w:rFonts w:ascii="宋体" w:eastAsia="宋体" w:cs="仿宋"/>
          <w:b/>
          <w:color w:val="auto"/>
          <w:sz w:val="24"/>
          <w:szCs w:val="24"/>
          <w:highlight w:val="none"/>
          <w:lang w:val="zh-CN"/>
        </w:rPr>
      </w:pPr>
      <w:bookmarkStart w:id="54" w:name="_Toc26694"/>
      <w:r>
        <w:rPr>
          <w:rFonts w:hint="eastAsia" w:ascii="宋体" w:eastAsia="宋体" w:cs="仿宋"/>
          <w:b/>
          <w:color w:val="auto"/>
          <w:sz w:val="24"/>
          <w:szCs w:val="24"/>
          <w:highlight w:val="none"/>
          <w:lang w:val="zh-CN"/>
        </w:rPr>
        <w:t>6.其他</w:t>
      </w:r>
      <w:bookmarkEnd w:id="54"/>
    </w:p>
    <w:p w14:paraId="246F9218">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6.1</w:t>
      </w:r>
      <w:r>
        <w:rPr>
          <w:rFonts w:hint="eastAsia" w:ascii="宋体" w:eastAsia="宋体" w:cs="仿宋"/>
          <w:color w:val="auto"/>
          <w:sz w:val="24"/>
          <w:szCs w:val="24"/>
          <w:highlight w:val="none"/>
        </w:rPr>
        <w:t xml:space="preserve"> 本</w:t>
      </w:r>
      <w:r>
        <w:rPr>
          <w:rFonts w:hint="eastAsia" w:ascii="宋体" w:eastAsia="宋体" w:cs="仿宋"/>
          <w:color w:val="auto"/>
          <w:sz w:val="24"/>
          <w:szCs w:val="24"/>
          <w:highlight w:val="none"/>
          <w:lang w:val="zh-CN"/>
        </w:rPr>
        <w:t>协议作为合同的附件，与合同具有同等法律效力。</w:t>
      </w:r>
    </w:p>
    <w:p w14:paraId="5FBD7233">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6.2</w:t>
      </w:r>
      <w:r>
        <w:rPr>
          <w:rFonts w:hint="eastAsia" w:ascii="宋体" w:eastAsia="宋体" w:cs="仿宋"/>
          <w:color w:val="auto"/>
          <w:sz w:val="24"/>
          <w:szCs w:val="24"/>
          <w:highlight w:val="none"/>
        </w:rPr>
        <w:t xml:space="preserve"> 本</w:t>
      </w:r>
      <w:r>
        <w:rPr>
          <w:rFonts w:hint="eastAsia" w:ascii="宋体" w:eastAsia="宋体" w:cs="仿宋"/>
          <w:color w:val="auto"/>
          <w:sz w:val="24"/>
          <w:szCs w:val="24"/>
          <w:highlight w:val="none"/>
          <w:lang w:val="zh-CN"/>
        </w:rPr>
        <w:t>协议自双方签字盖章之日起生效。</w:t>
      </w:r>
    </w:p>
    <w:p w14:paraId="2429605C">
      <w:pPr>
        <w:pageBreakBefore w:val="0"/>
        <w:widowControl w:val="0"/>
        <w:kinsoku/>
        <w:wordWrap/>
        <w:overflowPunct/>
        <w:topLinePunct w:val="0"/>
        <w:bidi w:val="0"/>
        <w:adjustRightInd w:val="0"/>
        <w:snapToGrid w:val="0"/>
        <w:spacing w:line="500" w:lineRule="exact"/>
        <w:ind w:firstLine="480" w:firstLineChars="200"/>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6.3</w:t>
      </w:r>
      <w:r>
        <w:rPr>
          <w:rFonts w:hint="eastAsia" w:ascii="宋体" w:eastAsia="宋体" w:cs="仿宋"/>
          <w:color w:val="auto"/>
          <w:sz w:val="24"/>
          <w:szCs w:val="24"/>
          <w:highlight w:val="none"/>
        </w:rPr>
        <w:t xml:space="preserve"> 本</w:t>
      </w:r>
      <w:r>
        <w:rPr>
          <w:rFonts w:hint="eastAsia" w:ascii="宋体" w:eastAsia="宋体" w:cs="仿宋"/>
          <w:color w:val="auto"/>
          <w:sz w:val="24"/>
          <w:szCs w:val="24"/>
          <w:highlight w:val="none"/>
          <w:lang w:val="zh-CN"/>
        </w:rPr>
        <w:t>协议一式【</w:t>
      </w:r>
      <w:r>
        <w:rPr>
          <w:rFonts w:hint="eastAsia" w:ascii="宋体" w:eastAsia="宋体" w:cs="仿宋"/>
          <w:color w:val="auto"/>
          <w:sz w:val="24"/>
          <w:szCs w:val="24"/>
          <w:highlight w:val="none"/>
        </w:rPr>
        <w:t>陆</w:t>
      </w:r>
      <w:r>
        <w:rPr>
          <w:rFonts w:hint="eastAsia" w:ascii="宋体" w:eastAsia="宋体" w:cs="仿宋"/>
          <w:color w:val="auto"/>
          <w:sz w:val="24"/>
          <w:szCs w:val="24"/>
          <w:highlight w:val="none"/>
          <w:lang w:val="zh-CN"/>
        </w:rPr>
        <w:t>】份，甲</w:t>
      </w:r>
      <w:r>
        <w:rPr>
          <w:rFonts w:hint="eastAsia" w:ascii="宋体" w:eastAsia="宋体" w:cs="仿宋"/>
          <w:color w:val="auto"/>
          <w:sz w:val="24"/>
          <w:szCs w:val="24"/>
          <w:highlight w:val="none"/>
        </w:rPr>
        <w:t>、</w:t>
      </w:r>
      <w:r>
        <w:rPr>
          <w:rFonts w:hint="eastAsia" w:ascii="宋体" w:eastAsia="宋体" w:cs="仿宋"/>
          <w:color w:val="auto"/>
          <w:sz w:val="24"/>
          <w:szCs w:val="24"/>
          <w:highlight w:val="none"/>
          <w:lang w:eastAsia="zh-CN"/>
        </w:rPr>
        <w:t>乙</w:t>
      </w:r>
      <w:r>
        <w:rPr>
          <w:rFonts w:hint="eastAsia" w:ascii="宋体" w:eastAsia="宋体" w:cs="仿宋"/>
          <w:color w:val="auto"/>
          <w:sz w:val="24"/>
          <w:szCs w:val="24"/>
          <w:highlight w:val="none"/>
          <w:lang w:val="zh-CN"/>
        </w:rPr>
        <w:t>方</w:t>
      </w:r>
      <w:r>
        <w:rPr>
          <w:rFonts w:hint="eastAsia" w:ascii="宋体" w:eastAsia="宋体" w:cs="仿宋"/>
          <w:color w:val="auto"/>
          <w:sz w:val="24"/>
          <w:szCs w:val="24"/>
          <w:highlight w:val="none"/>
        </w:rPr>
        <w:t>各</w:t>
      </w:r>
      <w:r>
        <w:rPr>
          <w:rFonts w:hint="eastAsia" w:ascii="宋体" w:eastAsia="宋体" w:cs="仿宋"/>
          <w:color w:val="auto"/>
          <w:sz w:val="24"/>
          <w:szCs w:val="24"/>
          <w:highlight w:val="none"/>
          <w:lang w:val="zh-CN"/>
        </w:rPr>
        <w:t>执【</w:t>
      </w:r>
      <w:r>
        <w:rPr>
          <w:rFonts w:hint="eastAsia" w:ascii="宋体" w:eastAsia="宋体" w:cs="仿宋"/>
          <w:color w:val="auto"/>
          <w:sz w:val="24"/>
          <w:szCs w:val="24"/>
          <w:highlight w:val="none"/>
        </w:rPr>
        <w:t>贰</w:t>
      </w:r>
      <w:r>
        <w:rPr>
          <w:rFonts w:hint="eastAsia" w:ascii="宋体" w:eastAsia="宋体" w:cs="仿宋"/>
          <w:color w:val="auto"/>
          <w:sz w:val="24"/>
          <w:szCs w:val="24"/>
          <w:highlight w:val="none"/>
          <w:lang w:val="zh-CN"/>
        </w:rPr>
        <w:t>】份，各份均具有同等法律效力。</w:t>
      </w:r>
    </w:p>
    <w:p w14:paraId="6999918F">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r>
        <w:rPr>
          <w:rFonts w:hint="eastAsia" w:ascii="宋体" w:eastAsia="宋体" w:cs="仿宋"/>
          <w:color w:val="auto"/>
          <w:sz w:val="24"/>
          <w:szCs w:val="24"/>
          <w:highlight w:val="none"/>
          <w:lang w:val="zh-CN"/>
        </w:rPr>
        <w:t>（以下无正文）</w:t>
      </w:r>
    </w:p>
    <w:p w14:paraId="40C3DF25">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316E3942">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70DC5450">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000E6899">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25FE1E4D">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3873854C">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391210E9">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272E7AAF">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3A7B0635">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6833C904">
      <w:pPr>
        <w:pageBreakBefore w:val="0"/>
        <w:widowControl w:val="0"/>
        <w:kinsoku/>
        <w:wordWrap/>
        <w:overflowPunct/>
        <w:topLinePunct w:val="0"/>
        <w:bidi w:val="0"/>
        <w:adjustRightInd w:val="0"/>
        <w:snapToGrid w:val="0"/>
        <w:spacing w:line="500" w:lineRule="exact"/>
        <w:rPr>
          <w:rFonts w:ascii="宋体" w:eastAsia="宋体" w:cs="仿宋"/>
          <w:color w:val="auto"/>
          <w:sz w:val="24"/>
          <w:szCs w:val="24"/>
          <w:highlight w:val="none"/>
          <w:lang w:val="zh-CN"/>
        </w:rPr>
      </w:pPr>
    </w:p>
    <w:p w14:paraId="731F22F9">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甲方:（盖章） </w:t>
      </w:r>
      <w:r>
        <w:rPr>
          <w:rFonts w:hint="eastAsia" w:ascii="宋体" w:eastAsia="宋体"/>
          <w:color w:val="auto"/>
          <w:sz w:val="24"/>
          <w:szCs w:val="24"/>
          <w:highlight w:val="none"/>
        </w:rPr>
        <w:tab/>
      </w:r>
      <w:r>
        <w:rPr>
          <w:rFonts w:hint="eastAsia" w:ascii="宋体" w:eastAsia="宋体"/>
          <w:color w:val="auto"/>
          <w:sz w:val="24"/>
          <w:szCs w:val="24"/>
          <w:highlight w:val="none"/>
        </w:rPr>
        <w:t xml:space="preserve">   </w:t>
      </w:r>
    </w:p>
    <w:p w14:paraId="4D6AAB5B">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法定代表人/授权代表:(签字)  </w:t>
      </w:r>
      <w:r>
        <w:rPr>
          <w:rFonts w:hint="eastAsia" w:ascii="宋体" w:eastAsia="宋体"/>
          <w:color w:val="auto"/>
          <w:sz w:val="24"/>
          <w:szCs w:val="24"/>
          <w:highlight w:val="none"/>
        </w:rPr>
        <w:tab/>
      </w:r>
      <w:r>
        <w:rPr>
          <w:rFonts w:hint="eastAsia" w:ascii="宋体" w:eastAsia="宋体"/>
          <w:color w:val="auto"/>
          <w:sz w:val="24"/>
          <w:szCs w:val="24"/>
          <w:highlight w:val="none"/>
        </w:rPr>
        <w:t xml:space="preserve"> </w:t>
      </w:r>
    </w:p>
    <w:p w14:paraId="53CAF942">
      <w:pPr>
        <w:pageBreakBefore w:val="0"/>
        <w:widowControl w:val="0"/>
        <w:kinsoku/>
        <w:wordWrap/>
        <w:overflowPunct/>
        <w:topLinePunct w:val="0"/>
        <w:bidi w:val="0"/>
        <w:spacing w:line="500" w:lineRule="exact"/>
        <w:rPr>
          <w:rFonts w:ascii="宋体" w:eastAsia="宋体"/>
          <w:color w:val="auto"/>
          <w:sz w:val="24"/>
          <w:szCs w:val="24"/>
          <w:highlight w:val="none"/>
        </w:rPr>
      </w:pPr>
    </w:p>
    <w:p w14:paraId="08D93957">
      <w:pPr>
        <w:pageBreakBefore w:val="0"/>
        <w:widowControl w:val="0"/>
        <w:kinsoku/>
        <w:wordWrap/>
        <w:overflowPunct/>
        <w:topLinePunct w:val="0"/>
        <w:bidi w:val="0"/>
        <w:spacing w:line="500" w:lineRule="exact"/>
        <w:rPr>
          <w:rFonts w:ascii="宋体" w:eastAsia="宋体"/>
          <w:color w:val="auto"/>
          <w:sz w:val="24"/>
          <w:szCs w:val="24"/>
          <w:highlight w:val="none"/>
        </w:rPr>
      </w:pPr>
    </w:p>
    <w:p w14:paraId="02C122E8">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lang w:eastAsia="zh-CN"/>
        </w:rPr>
        <w:t>乙</w:t>
      </w:r>
      <w:r>
        <w:rPr>
          <w:rFonts w:hint="eastAsia" w:ascii="宋体" w:eastAsia="宋体"/>
          <w:color w:val="auto"/>
          <w:sz w:val="24"/>
          <w:szCs w:val="24"/>
          <w:highlight w:val="none"/>
        </w:rPr>
        <w:t>方:（盖章）</w:t>
      </w:r>
      <w:r>
        <w:rPr>
          <w:rFonts w:hint="eastAsia" w:ascii="宋体" w:eastAsia="宋体"/>
          <w:color w:val="auto"/>
          <w:sz w:val="24"/>
          <w:szCs w:val="24"/>
          <w:highlight w:val="none"/>
        </w:rPr>
        <w:tab/>
      </w:r>
    </w:p>
    <w:p w14:paraId="0A425070">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 xml:space="preserve">法定代表人/授权代表:(签字)  </w:t>
      </w:r>
    </w:p>
    <w:p w14:paraId="26A4FA13">
      <w:pPr>
        <w:pageBreakBefore w:val="0"/>
        <w:widowControl w:val="0"/>
        <w:kinsoku/>
        <w:wordWrap/>
        <w:overflowPunct/>
        <w:topLinePunct w:val="0"/>
        <w:bidi w:val="0"/>
        <w:spacing w:line="500" w:lineRule="exact"/>
        <w:rPr>
          <w:rFonts w:ascii="宋体" w:eastAsia="宋体"/>
          <w:color w:val="auto"/>
          <w:sz w:val="24"/>
          <w:szCs w:val="24"/>
          <w:highlight w:val="none"/>
        </w:rPr>
      </w:pPr>
    </w:p>
    <w:p w14:paraId="2CF8CA81">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签订时间；</w:t>
      </w:r>
    </w:p>
    <w:p w14:paraId="40FDCC77">
      <w:pPr>
        <w:pageBreakBefore w:val="0"/>
        <w:widowControl w:val="0"/>
        <w:kinsoku/>
        <w:wordWrap/>
        <w:overflowPunct/>
        <w:topLinePunct w:val="0"/>
        <w:bidi w:val="0"/>
        <w:spacing w:line="500" w:lineRule="exact"/>
        <w:rPr>
          <w:rFonts w:ascii="宋体" w:eastAsia="宋体"/>
          <w:color w:val="auto"/>
          <w:sz w:val="24"/>
          <w:szCs w:val="24"/>
          <w:highlight w:val="none"/>
        </w:rPr>
      </w:pPr>
      <w:r>
        <w:rPr>
          <w:rFonts w:hint="eastAsia" w:ascii="宋体" w:eastAsia="宋体"/>
          <w:color w:val="auto"/>
          <w:sz w:val="24"/>
          <w:szCs w:val="24"/>
          <w:highlight w:val="none"/>
        </w:rPr>
        <w:t>签订地点：广州市黄埔区</w:t>
      </w:r>
    </w:p>
    <w:p w14:paraId="564B68DF">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r>
        <w:rPr>
          <w:rFonts w:hint="eastAsia" w:ascii="宋体" w:eastAsia="宋体"/>
          <w:color w:val="auto"/>
          <w:sz w:val="24"/>
          <w:szCs w:val="24"/>
          <w:highlight w:val="none"/>
        </w:rPr>
        <w:t xml:space="preserve">         </w:t>
      </w:r>
      <w:r>
        <w:rPr>
          <w:rFonts w:hint="eastAsia" w:ascii="宋体" w:eastAsia="宋体"/>
          <w:color w:val="auto"/>
          <w:sz w:val="24"/>
          <w:szCs w:val="24"/>
          <w:highlight w:val="none"/>
        </w:rPr>
        <w:tab/>
      </w:r>
    </w:p>
    <w:p w14:paraId="17F17D3E">
      <w:pPr>
        <w:pageBreakBefore w:val="0"/>
        <w:widowControl w:val="0"/>
        <w:kinsoku/>
        <w:wordWrap/>
        <w:overflowPunct/>
        <w:topLinePunct w:val="0"/>
        <w:bidi w:val="0"/>
        <w:spacing w:line="500" w:lineRule="exact"/>
        <w:rPr>
          <w:rFonts w:ascii="宋体" w:eastAsia="宋体"/>
          <w:color w:val="auto"/>
          <w:sz w:val="24"/>
          <w:szCs w:val="24"/>
          <w:highlight w:val="none"/>
        </w:rPr>
      </w:pPr>
      <w:r>
        <w:rPr>
          <w:rFonts w:ascii="宋体" w:eastAsia="宋体"/>
          <w:color w:val="auto"/>
          <w:sz w:val="24"/>
          <w:szCs w:val="24"/>
          <w:highlight w:val="non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769784"/>
    </w:sdtPr>
    <w:sdtContent>
      <w:sdt>
        <w:sdtPr>
          <w:id w:val="1590972950"/>
        </w:sdtPr>
        <w:sdtContent>
          <w:p w14:paraId="755ABBC4">
            <w:pPr>
              <w:pStyle w:val="25"/>
              <w:jc w:val="center"/>
            </w:pPr>
            <w:r>
              <w:rPr>
                <w:b/>
                <w:bCs/>
              </w:rPr>
              <w:fldChar w:fldCharType="begin"/>
            </w:r>
            <w:r>
              <w:rPr>
                <w:b/>
                <w:bCs/>
              </w:rPr>
              <w:instrText xml:space="preserve">PAGE</w:instrText>
            </w:r>
            <w:r>
              <w:rPr>
                <w:b/>
                <w:bCs/>
                <w:sz w:val="24"/>
                <w:szCs w:val="24"/>
              </w:rPr>
              <w:fldChar w:fldCharType="separate"/>
            </w:r>
            <w:r>
              <w:rPr>
                <w:b/>
                <w:bCs/>
              </w:rPr>
              <w:t>29</w:t>
            </w:r>
            <w:r>
              <w:rPr>
                <w:b/>
                <w:bCs/>
                <w:sz w:val="24"/>
                <w:szCs w:val="24"/>
              </w:rPr>
              <w:fldChar w:fldCharType="end"/>
            </w:r>
            <w:r>
              <w:rPr>
                <w:lang w:val="zh-CN"/>
              </w:rPr>
              <w:t>/</w:t>
            </w:r>
            <w:r>
              <w:rPr>
                <w:b/>
                <w:bCs/>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14:paraId="7D535181">
    <w:pPr>
      <w:pStyle w:val="25"/>
      <w:jc w:val="center"/>
    </w:pPr>
    <w:r>
      <w:t xml:space="preserve">    </w:t>
    </w:r>
  </w:p>
  <w:p w14:paraId="69587C81">
    <w:pPr>
      <w:pStyle w:val="25"/>
      <w:jc w:val="center"/>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3C28">
    <w:pPr>
      <w:pStyle w:val="27"/>
      <w:pBdr>
        <w:bottom w:val="none" w:color="auto" w:sz="0" w:space="0"/>
      </w:pBdr>
    </w:pPr>
  </w:p>
  <w:p w14:paraId="21C1AEF9">
    <w:pPr>
      <w:pStyle w:val="27"/>
      <w:pBdr>
        <w:bottom w:val="none" w:color="auto" w:sz="0" w:space="0"/>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9B8C7"/>
    <w:multiLevelType w:val="singleLevel"/>
    <w:tmpl w:val="8419B8C7"/>
    <w:lvl w:ilvl="0" w:tentative="0">
      <w:start w:val="1"/>
      <w:numFmt w:val="decimal"/>
      <w:lvlText w:val="%1"/>
      <w:lvlJc w:val="left"/>
      <w:pPr>
        <w:ind w:left="425" w:hanging="425"/>
      </w:pPr>
      <w:rPr>
        <w:rFonts w:hint="default"/>
      </w:rPr>
    </w:lvl>
  </w:abstractNum>
  <w:abstractNum w:abstractNumId="1">
    <w:nsid w:val="F38B9CD6"/>
    <w:multiLevelType w:val="singleLevel"/>
    <w:tmpl w:val="F38B9CD6"/>
    <w:lvl w:ilvl="0" w:tentative="0">
      <w:start w:val="1"/>
      <w:numFmt w:val="chineseCounting"/>
      <w:pStyle w:val="17"/>
      <w:suff w:val="space"/>
      <w:lvlText w:val="第%1条"/>
      <w:lvlJc w:val="left"/>
      <w:rPr>
        <w:rFonts w:hint="eastAsia"/>
      </w:rPr>
    </w:lvl>
  </w:abstractNum>
  <w:abstractNum w:abstractNumId="2">
    <w:nsid w:val="16FA5986"/>
    <w:multiLevelType w:val="singleLevel"/>
    <w:tmpl w:val="16FA5986"/>
    <w:lvl w:ilvl="0" w:tentative="0">
      <w:start w:val="4"/>
      <w:numFmt w:val="chineseCounting"/>
      <w:pStyle w:val="10"/>
      <w:suff w:val="space"/>
      <w:lvlText w:val="第%1条"/>
      <w:lvlJc w:val="left"/>
      <w:rPr>
        <w:rFonts w:hint="eastAsia"/>
      </w:rPr>
    </w:lvl>
  </w:abstractNum>
  <w:abstractNum w:abstractNumId="3">
    <w:nsid w:val="5B1C370C"/>
    <w:multiLevelType w:val="singleLevel"/>
    <w:tmpl w:val="5B1C370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ZGIxMGNlN2U2NzA2OTgxMGQyZGI1NTU1ZDUyZmE2NDYifQ=="/>
  </w:docVars>
  <w:rsids>
    <w:rsidRoot w:val="00000000"/>
    <w:rsid w:val="6F0E6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autoRedefine/>
    <w:uiPriority w:val="0"/>
    <w:pPr>
      <w:keepNext/>
      <w:keepLines/>
      <w:widowControl w:val="0"/>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autoRedefine/>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autoRedefine/>
    <w:uiPriority w:val="0"/>
    <w:pPr>
      <w:keepNext/>
      <w:keepLines/>
      <w:widowControl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uiPriority w:val="0"/>
    <w:pPr>
      <w:keepNext/>
      <w:keepLines/>
      <w:widowControl w:val="0"/>
      <w:spacing w:before="280" w:after="290" w:line="372" w:lineRule="auto"/>
      <w:outlineLvl w:val="3"/>
    </w:pPr>
    <w:rPr>
      <w:rFonts w:ascii="Arial" w:hAnsi="Arial" w:eastAsia="黑体" w:cs="Times New Roman"/>
      <w:b/>
      <w:sz w:val="28"/>
      <w:szCs w:val="24"/>
    </w:rPr>
  </w:style>
  <w:style w:type="paragraph" w:styleId="6">
    <w:name w:val="heading 6"/>
    <w:basedOn w:val="1"/>
    <w:next w:val="1"/>
    <w:autoRedefine/>
    <w:uiPriority w:val="0"/>
    <w:pPr>
      <w:keepNext/>
      <w:keepLines/>
      <w:widowControl w:val="0"/>
      <w:spacing w:before="240" w:after="64" w:line="319" w:lineRule="auto"/>
      <w:ind w:left="1152"/>
      <w:jc w:val="left"/>
      <w:outlineLvl w:val="5"/>
    </w:pPr>
    <w:rPr>
      <w:rFonts w:ascii="Arial" w:hAnsi="Arial" w:eastAsia="黑体" w:cs="Times New Roman"/>
      <w:b/>
      <w:bCs/>
      <w:kern w:val="0"/>
      <w:sz w:val="24"/>
      <w:szCs w:val="24"/>
    </w:rPr>
  </w:style>
  <w:style w:type="paragraph" w:styleId="7">
    <w:name w:val="heading 8"/>
    <w:basedOn w:val="1"/>
    <w:next w:val="1"/>
    <w:autoRedefine/>
    <w:qFormat/>
    <w:uiPriority w:val="0"/>
    <w:pPr>
      <w:keepNext/>
      <w:keepLines/>
      <w:widowControl w:val="0"/>
      <w:spacing w:before="240" w:after="64" w:line="319" w:lineRule="auto"/>
      <w:outlineLvl w:val="7"/>
    </w:pPr>
    <w:rPr>
      <w:rFonts w:ascii="Arial" w:hAnsi="Arial" w:eastAsia="黑体" w:cs="Times New Roman"/>
      <w:sz w:val="24"/>
      <w:szCs w:val="24"/>
    </w:rPr>
  </w:style>
  <w:style w:type="character" w:default="1" w:styleId="43">
    <w:name w:val="Default Paragraph Font"/>
    <w:autoRedefine/>
    <w:qFormat/>
    <w:uiPriority w:val="0"/>
  </w:style>
  <w:style w:type="table" w:default="1" w:styleId="42">
    <w:name w:val="Normal Table"/>
    <w:semiHidden/>
    <w:uiPriority w:val="0"/>
    <w:tblPr>
      <w:tblCellMar>
        <w:top w:w="0" w:type="dxa"/>
        <w:left w:w="108" w:type="dxa"/>
        <w:bottom w:w="0" w:type="dxa"/>
        <w:right w:w="108" w:type="dxa"/>
      </w:tblCellMar>
    </w:tblPr>
  </w:style>
  <w:style w:type="paragraph" w:styleId="8">
    <w:name w:val="toc 7"/>
    <w:basedOn w:val="1"/>
    <w:next w:val="1"/>
    <w:autoRedefine/>
    <w:qFormat/>
    <w:uiPriority w:val="0"/>
    <w:pPr>
      <w:ind w:left="1200" w:leftChars="1200"/>
    </w:pPr>
    <w:rPr>
      <w:rFonts w:cs="Times New Roman"/>
    </w:rPr>
  </w:style>
  <w:style w:type="paragraph" w:styleId="9">
    <w:name w:val="Normal Indent"/>
    <w:basedOn w:val="1"/>
    <w:autoRedefine/>
    <w:uiPriority w:val="0"/>
    <w:pPr>
      <w:ind w:firstLine="420"/>
    </w:pPr>
    <w:rPr>
      <w:rFonts w:ascii="Times New Roman" w:hAnsi="Times New Roman" w:eastAsia="宋体" w:cs="Times New Roman"/>
      <w:szCs w:val="20"/>
    </w:rPr>
  </w:style>
  <w:style w:type="paragraph" w:styleId="10">
    <w:name w:val="List Bullet"/>
    <w:basedOn w:val="1"/>
    <w:autoRedefine/>
    <w:uiPriority w:val="0"/>
    <w:pPr>
      <w:numPr>
        <w:ilvl w:val="0"/>
        <w:numId w:val="1"/>
      </w:numPr>
      <w:tabs>
        <w:tab w:val="left" w:pos="360"/>
      </w:tabs>
      <w:ind w:left="360"/>
    </w:pPr>
    <w:rPr>
      <w:rFonts w:ascii="Times New Roman" w:hAnsi="Times New Roman" w:eastAsia="宋体" w:cs="Times New Roman"/>
      <w:szCs w:val="21"/>
    </w:rPr>
  </w:style>
  <w:style w:type="paragraph" w:styleId="11">
    <w:name w:val="Document Map"/>
    <w:basedOn w:val="1"/>
    <w:autoRedefine/>
    <w:uiPriority w:val="0"/>
    <w:rPr>
      <w:szCs w:val="24"/>
    </w:rPr>
  </w:style>
  <w:style w:type="paragraph" w:styleId="12">
    <w:name w:val="annotation text"/>
    <w:basedOn w:val="1"/>
    <w:autoRedefine/>
    <w:uiPriority w:val="0"/>
    <w:pPr>
      <w:jc w:val="left"/>
    </w:pPr>
    <w:rPr>
      <w:rFonts w:ascii="Times New Roman" w:hAnsi="Times New Roman" w:eastAsia="宋体" w:cs="Times New Roman"/>
      <w:szCs w:val="24"/>
    </w:rPr>
  </w:style>
  <w:style w:type="paragraph" w:styleId="13">
    <w:name w:val="Body Text 3"/>
    <w:basedOn w:val="1"/>
    <w:autoRedefine/>
    <w:qFormat/>
    <w:uiPriority w:val="0"/>
    <w:pPr>
      <w:spacing w:after="120"/>
    </w:pPr>
    <w:rPr>
      <w:sz w:val="16"/>
      <w:szCs w:val="16"/>
    </w:rPr>
  </w:style>
  <w:style w:type="paragraph" w:styleId="14">
    <w:name w:val="Body Text"/>
    <w:basedOn w:val="1"/>
    <w:autoRedefine/>
    <w:uiPriority w:val="0"/>
    <w:pPr>
      <w:spacing w:after="120"/>
    </w:pPr>
    <w:rPr>
      <w:rFonts w:ascii="Times New Roman" w:hAnsi="Times New Roman" w:eastAsia="宋体" w:cs="Times New Roman"/>
      <w:szCs w:val="24"/>
    </w:rPr>
  </w:style>
  <w:style w:type="paragraph" w:styleId="15">
    <w:name w:val="Body Text Indent"/>
    <w:basedOn w:val="1"/>
    <w:autoRedefine/>
    <w:uiPriority w:val="0"/>
    <w:pPr>
      <w:spacing w:after="120"/>
      <w:ind w:left="200" w:leftChars="200"/>
    </w:pPr>
  </w:style>
  <w:style w:type="paragraph" w:styleId="16">
    <w:name w:val="Block Text"/>
    <w:basedOn w:val="1"/>
    <w:autoRedefine/>
    <w:qFormat/>
    <w:uiPriority w:val="0"/>
    <w:pPr>
      <w:spacing w:line="440" w:lineRule="exact"/>
      <w:ind w:left="-257" w:leftChars="-257" w:right="-159" w:rightChars="-159" w:firstLine="1140"/>
    </w:pPr>
    <w:rPr>
      <w:rFonts w:ascii="Times New Roman" w:hAnsi="Times New Roman" w:eastAsia="宋体" w:cs="Times New Roman"/>
      <w:sz w:val="24"/>
      <w:szCs w:val="24"/>
    </w:rPr>
  </w:style>
  <w:style w:type="paragraph" w:styleId="17">
    <w:name w:val="List Bullet 2"/>
    <w:basedOn w:val="1"/>
    <w:autoRedefine/>
    <w:uiPriority w:val="0"/>
    <w:pPr>
      <w:numPr>
        <w:ilvl w:val="0"/>
        <w:numId w:val="2"/>
      </w:numPr>
      <w:tabs>
        <w:tab w:val="left" w:pos="780"/>
        <w:tab w:val="left" w:pos="840"/>
      </w:tabs>
      <w:ind w:left="200" w:leftChars="200"/>
    </w:pPr>
    <w:rPr>
      <w:rFonts w:ascii="Times New Roman" w:hAnsi="Times New Roman" w:eastAsia="宋体" w:cs="Times New Roman"/>
      <w:szCs w:val="21"/>
    </w:rPr>
  </w:style>
  <w:style w:type="paragraph" w:styleId="18">
    <w:name w:val="toc 5"/>
    <w:basedOn w:val="1"/>
    <w:next w:val="1"/>
    <w:autoRedefine/>
    <w:uiPriority w:val="0"/>
    <w:pPr>
      <w:ind w:left="800" w:leftChars="800"/>
    </w:pPr>
    <w:rPr>
      <w:rFonts w:cs="Times New Roman"/>
    </w:rPr>
  </w:style>
  <w:style w:type="paragraph" w:styleId="19">
    <w:name w:val="toc 3"/>
    <w:basedOn w:val="1"/>
    <w:next w:val="1"/>
    <w:autoRedefine/>
    <w:uiPriority w:val="0"/>
    <w:pPr>
      <w:ind w:left="400" w:leftChars="400"/>
    </w:pPr>
    <w:rPr>
      <w:rFonts w:ascii="Times New Roman" w:hAnsi="Times New Roman" w:eastAsia="宋体" w:cs="Times New Roman"/>
      <w:szCs w:val="24"/>
    </w:rPr>
  </w:style>
  <w:style w:type="paragraph" w:styleId="20">
    <w:name w:val="Plain Text"/>
    <w:basedOn w:val="1"/>
    <w:autoRedefine/>
    <w:uiPriority w:val="0"/>
    <w:rPr>
      <w:rFonts w:cs="Courier New"/>
    </w:rPr>
  </w:style>
  <w:style w:type="paragraph" w:styleId="21">
    <w:name w:val="toc 8"/>
    <w:basedOn w:val="1"/>
    <w:next w:val="1"/>
    <w:autoRedefine/>
    <w:qFormat/>
    <w:uiPriority w:val="0"/>
    <w:pPr>
      <w:ind w:left="1400" w:leftChars="1400"/>
    </w:pPr>
    <w:rPr>
      <w:rFonts w:cs="Times New Roman"/>
    </w:rPr>
  </w:style>
  <w:style w:type="paragraph" w:styleId="22">
    <w:name w:val="Date"/>
    <w:basedOn w:val="1"/>
    <w:next w:val="1"/>
    <w:autoRedefine/>
    <w:uiPriority w:val="0"/>
    <w:pPr>
      <w:ind w:left="2500" w:leftChars="2500"/>
    </w:pPr>
    <w:rPr>
      <w:rFonts w:ascii="Times New Roman" w:hAnsi="Times New Roman" w:eastAsia="宋体" w:cs="Times New Roman"/>
      <w:szCs w:val="24"/>
    </w:rPr>
  </w:style>
  <w:style w:type="paragraph" w:styleId="23">
    <w:name w:val="Body Text Indent 2"/>
    <w:basedOn w:val="1"/>
    <w:autoRedefine/>
    <w:uiPriority w:val="0"/>
    <w:pPr>
      <w:spacing w:after="120" w:line="480" w:lineRule="auto"/>
      <w:ind w:left="200" w:leftChars="200"/>
    </w:pPr>
  </w:style>
  <w:style w:type="paragraph" w:styleId="24">
    <w:name w:val="Balloon Text"/>
    <w:basedOn w:val="1"/>
    <w:autoRedefine/>
    <w:uiPriority w:val="0"/>
    <w:rPr>
      <w:rFonts w:ascii="Times New Roman" w:hAnsi="Times New Roman" w:eastAsia="宋体" w:cs="Times New Roman"/>
      <w:sz w:val="18"/>
      <w:szCs w:val="18"/>
    </w:rPr>
  </w:style>
  <w:style w:type="paragraph" w:styleId="25">
    <w:name w:val="footer"/>
    <w:basedOn w:val="1"/>
    <w:next w:val="1"/>
    <w:autoRedefine/>
    <w:uiPriority w:val="0"/>
    <w:pPr>
      <w:tabs>
        <w:tab w:val="center" w:pos="4153"/>
        <w:tab w:val="right" w:pos="8306"/>
      </w:tabs>
      <w:snapToGrid w:val="0"/>
      <w:jc w:val="left"/>
    </w:pPr>
    <w:rPr>
      <w:sz w:val="18"/>
      <w:szCs w:val="18"/>
    </w:rPr>
  </w:style>
  <w:style w:type="paragraph" w:styleId="26">
    <w:name w:val="envelope return"/>
    <w:basedOn w:val="1"/>
    <w:autoRedefine/>
    <w:uiPriority w:val="0"/>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iPriority w:val="0"/>
    <w:rPr>
      <w:rFonts w:ascii="Times New Roman" w:hAnsi="Times New Roman" w:eastAsia="宋体" w:cs="Times New Roman"/>
      <w:szCs w:val="24"/>
    </w:rPr>
  </w:style>
  <w:style w:type="paragraph" w:styleId="29">
    <w:name w:val="toc 4"/>
    <w:basedOn w:val="1"/>
    <w:next w:val="1"/>
    <w:autoRedefine/>
    <w:qFormat/>
    <w:uiPriority w:val="0"/>
    <w:pPr>
      <w:ind w:left="600" w:leftChars="600"/>
    </w:pPr>
    <w:rPr>
      <w:rFonts w:cs="Times New Roman"/>
    </w:rPr>
  </w:style>
  <w:style w:type="paragraph" w:styleId="30">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31">
    <w:name w:val="toc 6"/>
    <w:basedOn w:val="1"/>
    <w:next w:val="1"/>
    <w:autoRedefine/>
    <w:uiPriority w:val="0"/>
    <w:pPr>
      <w:ind w:left="1000" w:leftChars="1000"/>
    </w:pPr>
    <w:rPr>
      <w:rFonts w:cs="Times New Roman"/>
    </w:rPr>
  </w:style>
  <w:style w:type="paragraph" w:styleId="32">
    <w:name w:val="Body Text Indent 3"/>
    <w:basedOn w:val="1"/>
    <w:autoRedefine/>
    <w:uiPriority w:val="0"/>
    <w:pPr>
      <w:spacing w:after="120"/>
      <w:ind w:left="200" w:leftChars="200"/>
    </w:pPr>
    <w:rPr>
      <w:sz w:val="16"/>
      <w:szCs w:val="16"/>
    </w:rPr>
  </w:style>
  <w:style w:type="paragraph" w:styleId="33">
    <w:name w:val="toc 2"/>
    <w:basedOn w:val="1"/>
    <w:next w:val="1"/>
    <w:autoRedefine/>
    <w:uiPriority w:val="0"/>
    <w:pPr>
      <w:ind w:left="200" w:leftChars="200"/>
    </w:pPr>
    <w:rPr>
      <w:rFonts w:ascii="Times New Roman" w:hAnsi="Times New Roman" w:eastAsia="宋体" w:cs="Times New Roman"/>
      <w:szCs w:val="24"/>
    </w:rPr>
  </w:style>
  <w:style w:type="paragraph" w:styleId="34">
    <w:name w:val="toc 9"/>
    <w:basedOn w:val="1"/>
    <w:next w:val="1"/>
    <w:autoRedefine/>
    <w:uiPriority w:val="0"/>
    <w:pPr>
      <w:ind w:left="1600" w:leftChars="1600"/>
    </w:pPr>
    <w:rPr>
      <w:rFonts w:cs="Times New Roman"/>
    </w:rPr>
  </w:style>
  <w:style w:type="paragraph" w:styleId="35">
    <w:name w:val="Body Text 2"/>
    <w:basedOn w:val="1"/>
    <w:autoRedefine/>
    <w:uiPriority w:val="0"/>
    <w:pPr>
      <w:spacing w:after="120" w:line="480" w:lineRule="auto"/>
    </w:pPr>
    <w:rPr>
      <w:szCs w:val="24"/>
    </w:rPr>
  </w:style>
  <w:style w:type="paragraph" w:styleId="36">
    <w:name w:val="HTML Preformatted"/>
    <w:basedOn w:val="1"/>
    <w:autoRedefine/>
    <w:qFormat/>
    <w:uiPriority w:val="0"/>
    <w:rPr>
      <w:rFonts w:ascii="宋体" w:hAnsi="宋体" w:cs="宋体"/>
      <w:sz w:val="24"/>
      <w:szCs w:val="24"/>
    </w:rPr>
  </w:style>
  <w:style w:type="paragraph" w:styleId="37">
    <w:name w:val="Normal (Web)"/>
    <w:basedOn w:val="1"/>
    <w:autoRedefine/>
    <w:uiPriority w:val="0"/>
    <w:pPr>
      <w:widowControl/>
      <w:spacing w:before="100" w:beforeAutospacing="1" w:after="100" w:afterAutospacing="1"/>
      <w:jc w:val="left"/>
    </w:pPr>
    <w:rPr>
      <w:rFonts w:ascii="宋体" w:eastAsia="宋体" w:cs="宋体"/>
      <w:kern w:val="0"/>
      <w:sz w:val="24"/>
      <w:szCs w:val="24"/>
    </w:rPr>
  </w:style>
  <w:style w:type="paragraph" w:styleId="38">
    <w:name w:val="Title"/>
    <w:basedOn w:val="1"/>
    <w:next w:val="1"/>
    <w:autoRedefine/>
    <w:qFormat/>
    <w:uiPriority w:val="0"/>
    <w:pPr>
      <w:spacing w:before="240" w:after="60"/>
      <w:jc w:val="center"/>
      <w:outlineLvl w:val="0"/>
    </w:pPr>
    <w:rPr>
      <w:rFonts w:ascii="Arial" w:hAnsi="Arial"/>
      <w:b/>
      <w:sz w:val="32"/>
    </w:rPr>
  </w:style>
  <w:style w:type="paragraph" w:styleId="39">
    <w:name w:val="annotation subject"/>
    <w:basedOn w:val="12"/>
    <w:next w:val="12"/>
    <w:autoRedefine/>
    <w:qFormat/>
    <w:uiPriority w:val="0"/>
    <w:rPr>
      <w:rFonts w:ascii="等线" w:eastAsia="等线" w:cs="Arial"/>
      <w:b/>
      <w:bCs/>
    </w:rPr>
  </w:style>
  <w:style w:type="paragraph" w:styleId="40">
    <w:name w:val="Body Text First Indent"/>
    <w:basedOn w:val="14"/>
    <w:next w:val="41"/>
    <w:autoRedefine/>
    <w:qFormat/>
    <w:uiPriority w:val="0"/>
    <w:pPr>
      <w:ind w:firstLine="100" w:firstLineChars="100"/>
    </w:pPr>
    <w:rPr>
      <w:rFonts w:ascii="等线" w:hAnsi="等线" w:cs="Arial"/>
      <w:szCs w:val="22"/>
    </w:rPr>
  </w:style>
  <w:style w:type="paragraph" w:styleId="41">
    <w:name w:val="Body Text First Indent 2"/>
    <w:basedOn w:val="15"/>
    <w:autoRedefine/>
    <w:qFormat/>
    <w:uiPriority w:val="0"/>
    <w:pPr>
      <w:ind w:firstLine="200" w:firstLineChars="200"/>
    </w:p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autoRedefine/>
    <w:qFormat/>
    <w:uiPriority w:val="0"/>
    <w:rPr>
      <w:color w:val="12477D"/>
      <w:sz w:val="21"/>
      <w:szCs w:val="21"/>
      <w:u w:val="none"/>
    </w:rPr>
  </w:style>
  <w:style w:type="character" w:styleId="47">
    <w:name w:val="Emphasis"/>
    <w:autoRedefine/>
    <w:qFormat/>
    <w:uiPriority w:val="0"/>
    <w:rPr>
      <w:i/>
    </w:rPr>
  </w:style>
  <w:style w:type="character" w:styleId="48">
    <w:name w:val="Hyperlink"/>
    <w:basedOn w:val="43"/>
    <w:autoRedefine/>
    <w:uiPriority w:val="0"/>
    <w:rPr>
      <w:color w:val="0563C1"/>
      <w:u w:val="single"/>
    </w:rPr>
  </w:style>
  <w:style w:type="character" w:styleId="49">
    <w:name w:val="annotation reference"/>
    <w:autoRedefine/>
    <w:qFormat/>
    <w:uiPriority w:val="0"/>
    <w:rPr>
      <w:sz w:val="21"/>
      <w:szCs w:val="21"/>
    </w:rPr>
  </w:style>
  <w:style w:type="character" w:customStyle="1" w:styleId="50">
    <w:name w:val="heading 2 Char"/>
    <w:basedOn w:val="43"/>
    <w:link w:val="3"/>
    <w:autoRedefine/>
    <w:uiPriority w:val="0"/>
    <w:rPr>
      <w:rFonts w:ascii="Cambria" w:hAnsi="Cambria" w:eastAsia="宋体" w:cs="Times New Roman"/>
      <w:b/>
      <w:bCs/>
      <w:kern w:val="2"/>
      <w:sz w:val="32"/>
      <w:szCs w:val="32"/>
      <w:lang w:val="en-US" w:eastAsia="zh-CN" w:bidi="ar-SA"/>
    </w:rPr>
  </w:style>
  <w:style w:type="paragraph" w:customStyle="1" w:styleId="51">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Default"/>
    <w:next w:val="5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目录 71"/>
    <w:next w:val="1"/>
    <w:autoRedefine/>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4">
    <w:name w:val="标题 2 字符"/>
    <w:basedOn w:val="43"/>
    <w:autoRedefine/>
    <w:uiPriority w:val="0"/>
    <w:rPr>
      <w:rFonts w:ascii="等线 Light" w:eastAsia="等线 Light" w:cs="Times New Roman"/>
      <w:b/>
      <w:bCs/>
      <w:sz w:val="32"/>
      <w:szCs w:val="32"/>
    </w:rPr>
  </w:style>
  <w:style w:type="paragraph" w:customStyle="1" w:styleId="55">
    <w:name w:val="正文文本缩进1"/>
    <w:basedOn w:val="1"/>
    <w:next w:val="15"/>
    <w:autoRedefine/>
    <w:uiPriority w:val="0"/>
    <w:pPr>
      <w:spacing w:line="400" w:lineRule="atLeast"/>
      <w:ind w:firstLine="480"/>
    </w:pPr>
    <w:rPr>
      <w:rFonts w:ascii="Times New Roman" w:hAnsi="Times New Roman" w:eastAsia="宋体" w:cs="Times New Roman"/>
      <w:szCs w:val="24"/>
    </w:rPr>
  </w:style>
  <w:style w:type="paragraph" w:customStyle="1" w:styleId="56">
    <w:name w:val="纯文本1"/>
    <w:basedOn w:val="1"/>
    <w:next w:val="20"/>
    <w:autoRedefine/>
    <w:uiPriority w:val="0"/>
    <w:rPr>
      <w:rFonts w:ascii="宋体" w:eastAsia="宋体" w:cs="Courier New"/>
      <w:szCs w:val="21"/>
    </w:rPr>
  </w:style>
  <w:style w:type="character" w:customStyle="1" w:styleId="57">
    <w:name w:val="超链接1"/>
    <w:basedOn w:val="43"/>
    <w:autoRedefine/>
    <w:uiPriority w:val="0"/>
    <w:rPr>
      <w:color w:val="0000FF"/>
      <w:u w:val="single"/>
    </w:rPr>
  </w:style>
  <w:style w:type="paragraph" w:styleId="58">
    <w:name w:val="List Paragraph"/>
    <w:basedOn w:val="1"/>
    <w:autoRedefine/>
    <w:uiPriority w:val="0"/>
    <w:pPr>
      <w:ind w:firstLine="200" w:firstLineChars="200"/>
    </w:pPr>
    <w:rPr>
      <w:rFonts w:ascii="Calibri" w:hAnsi="Calibri" w:eastAsia="宋体" w:cs="Times New Roman"/>
    </w:rPr>
  </w:style>
  <w:style w:type="paragraph" w:customStyle="1" w:styleId="59">
    <w:name w:val="列出段落1"/>
    <w:basedOn w:val="1"/>
    <w:autoRedefine/>
    <w:uiPriority w:val="0"/>
    <w:pPr>
      <w:ind w:firstLine="200" w:firstLineChars="200"/>
    </w:pPr>
    <w:rPr>
      <w:rFonts w:ascii="Calibri" w:hAnsi="Calibri" w:eastAsia="宋体" w:cs="Times New Roman"/>
    </w:rPr>
  </w:style>
  <w:style w:type="paragraph" w:customStyle="1" w:styleId="6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纯文本 Char"/>
    <w:autoRedefine/>
    <w:uiPriority w:val="0"/>
    <w:rPr>
      <w:rFonts w:ascii="宋体"/>
    </w:rPr>
  </w:style>
  <w:style w:type="character" w:customStyle="1" w:styleId="62">
    <w:name w:val="正文文本缩进 Char"/>
    <w:autoRedefine/>
    <w:qFormat/>
    <w:uiPriority w:val="0"/>
    <w:rPr>
      <w:rFonts w:ascii="宋体"/>
      <w:sz w:val="24"/>
    </w:rPr>
  </w:style>
  <w:style w:type="character" w:customStyle="1" w:styleId="63">
    <w:name w:val="批注主题 字符1"/>
    <w:autoRedefine/>
    <w:uiPriority w:val="0"/>
    <w:rPr>
      <w:b/>
      <w:bCs/>
      <w:kern w:val="2"/>
      <w:sz w:val="21"/>
      <w:szCs w:val="22"/>
    </w:rPr>
  </w:style>
  <w:style w:type="character" w:customStyle="1" w:styleId="64">
    <w:name w:val="正文文本首行缩进 字符1"/>
    <w:autoRedefine/>
    <w:qFormat/>
    <w:uiPriority w:val="0"/>
  </w:style>
  <w:style w:type="character" w:customStyle="1" w:styleId="65">
    <w:name w:val="正文文本缩进 3 字符"/>
    <w:autoRedefine/>
    <w:qFormat/>
    <w:uiPriority w:val="0"/>
    <w:rPr>
      <w:kern w:val="2"/>
      <w:sz w:val="16"/>
      <w:szCs w:val="16"/>
    </w:rPr>
  </w:style>
  <w:style w:type="character" w:customStyle="1" w:styleId="66">
    <w:name w:val="标题 字符2"/>
    <w:autoRedefine/>
    <w:uiPriority w:val="0"/>
    <w:rPr>
      <w:rFonts w:ascii="Arial" w:hAnsi="Arial"/>
      <w:b/>
      <w:sz w:val="32"/>
    </w:rPr>
  </w:style>
  <w:style w:type="character" w:customStyle="1" w:styleId="67">
    <w:name w:val="未处理的提及1"/>
    <w:autoRedefine/>
    <w:uiPriority w:val="0"/>
    <w:rPr>
      <w:color w:val="605E5C"/>
      <w:shd w:val="clear" w:color="auto" w:fill="E1DFDD"/>
    </w:rPr>
  </w:style>
  <w:style w:type="character" w:customStyle="1" w:styleId="68">
    <w:name w:val="正文文本缩进 Char1"/>
    <w:autoRedefine/>
    <w:uiPriority w:val="0"/>
  </w:style>
  <w:style w:type="character" w:customStyle="1" w:styleId="69">
    <w:name w:val="文档结构图 字符"/>
    <w:autoRedefine/>
    <w:uiPriority w:val="0"/>
    <w:rPr>
      <w:rFonts w:ascii="宋体"/>
      <w:sz w:val="18"/>
      <w:szCs w:val="18"/>
    </w:rPr>
  </w:style>
  <w:style w:type="character" w:customStyle="1" w:styleId="70">
    <w:name w:val="正文文本 2 字符1"/>
    <w:autoRedefine/>
    <w:uiPriority w:val="0"/>
    <w:rPr>
      <w:kern w:val="2"/>
      <w:sz w:val="21"/>
      <w:szCs w:val="22"/>
    </w:rPr>
  </w:style>
  <w:style w:type="character" w:customStyle="1" w:styleId="71">
    <w:name w:val="Char Char17"/>
    <w:autoRedefine/>
    <w:uiPriority w:val="0"/>
    <w:rPr>
      <w:rFonts w:ascii="Arial" w:hAnsi="Arial" w:eastAsia="黑体"/>
      <w:kern w:val="2"/>
      <w:sz w:val="24"/>
      <w:lang w:bidi="ar-SA"/>
    </w:rPr>
  </w:style>
  <w:style w:type="character" w:customStyle="1" w:styleId="72">
    <w:name w:val="ca-0"/>
    <w:basedOn w:val="43"/>
    <w:autoRedefine/>
    <w:uiPriority w:val="0"/>
  </w:style>
  <w:style w:type="character" w:customStyle="1" w:styleId="73">
    <w:name w:val="页脚 字符1"/>
    <w:autoRedefine/>
    <w:uiPriority w:val="0"/>
    <w:rPr>
      <w:kern w:val="2"/>
      <w:sz w:val="18"/>
      <w:szCs w:val="18"/>
    </w:rPr>
  </w:style>
  <w:style w:type="character" w:customStyle="1" w:styleId="74">
    <w:name w:val="HTML 预设格式 Char1"/>
    <w:autoRedefine/>
    <w:uiPriority w:val="0"/>
    <w:rPr>
      <w:rFonts w:ascii="Courier New" w:hAnsi="Courier New" w:cs="Courier New"/>
      <w:kern w:val="2"/>
    </w:rPr>
  </w:style>
  <w:style w:type="character" w:customStyle="1" w:styleId="75">
    <w:name w:val="纯文本 Char1"/>
    <w:autoRedefine/>
    <w:uiPriority w:val="0"/>
    <w:rPr>
      <w:rFonts w:ascii="宋体" w:eastAsia="宋体" w:cs="Courier New"/>
      <w:szCs w:val="21"/>
    </w:rPr>
  </w:style>
  <w:style w:type="character" w:customStyle="1" w:styleId="76">
    <w:name w:val="正文文本 Char1"/>
    <w:autoRedefine/>
    <w:uiPriority w:val="0"/>
  </w:style>
  <w:style w:type="character" w:customStyle="1" w:styleId="77">
    <w:name w:val="标题 3 Char"/>
    <w:autoRedefine/>
    <w:uiPriority w:val="0"/>
    <w:rPr>
      <w:rFonts w:ascii="Calibri" w:hAnsi="Calibri" w:eastAsia="宋体" w:cs="Times New Roman"/>
      <w:b/>
      <w:bCs/>
      <w:sz w:val="24"/>
      <w:szCs w:val="32"/>
    </w:rPr>
  </w:style>
  <w:style w:type="character" w:customStyle="1" w:styleId="78">
    <w:name w:val="标题 4 Char"/>
    <w:autoRedefine/>
    <w:uiPriority w:val="0"/>
    <w:rPr>
      <w:rFonts w:ascii="Arial" w:hAnsi="Arial" w:eastAsia="宋体" w:cs="Times New Roman"/>
      <w:b/>
      <w:bCs/>
      <w:szCs w:val="28"/>
    </w:rPr>
  </w:style>
  <w:style w:type="character" w:customStyle="1" w:styleId="79">
    <w:name w:val="正文文本 2 Char"/>
    <w:autoRedefine/>
    <w:uiPriority w:val="0"/>
    <w:rPr>
      <w:rFonts w:ascii="Calibri" w:hAnsi="Calibri" w:eastAsia="宋体" w:cs="Times New Roman"/>
      <w:sz w:val="44"/>
      <w:szCs w:val="24"/>
    </w:rPr>
  </w:style>
  <w:style w:type="character" w:customStyle="1" w:styleId="80">
    <w:name w:val="正文文本 3 Char"/>
    <w:autoRedefine/>
    <w:uiPriority w:val="0"/>
    <w:rPr>
      <w:sz w:val="16"/>
      <w:szCs w:val="16"/>
    </w:rPr>
  </w:style>
  <w:style w:type="character" w:customStyle="1" w:styleId="81">
    <w:name w:val="批注主题 字符"/>
    <w:autoRedefine/>
    <w:uiPriority w:val="0"/>
    <w:rPr>
      <w:b/>
      <w:bCs/>
      <w:kern w:val="2"/>
      <w:sz w:val="21"/>
      <w:szCs w:val="24"/>
    </w:rPr>
  </w:style>
  <w:style w:type="character" w:customStyle="1" w:styleId="82">
    <w:name w:val="副标题 字符1"/>
    <w:autoRedefine/>
    <w:uiPriority w:val="0"/>
    <w:rPr>
      <w:rFonts w:ascii="等线" w:eastAsia="等线" w:cs="Times New Roman"/>
      <w:b/>
      <w:bCs/>
      <w:kern w:val="28"/>
      <w:sz w:val="32"/>
      <w:szCs w:val="32"/>
    </w:rPr>
  </w:style>
  <w:style w:type="character" w:customStyle="1" w:styleId="83">
    <w:name w:val="批注框文本 字符2"/>
    <w:autoRedefine/>
    <w:uiPriority w:val="0"/>
    <w:rPr>
      <w:rFonts w:eastAsia="宋体"/>
      <w:kern w:val="2"/>
      <w:sz w:val="18"/>
      <w:szCs w:val="18"/>
      <w:lang w:val="en-US" w:eastAsia="zh-CN" w:bidi="ar-SA"/>
    </w:rPr>
  </w:style>
  <w:style w:type="character" w:customStyle="1" w:styleId="84">
    <w:name w:val="标题 2 Char"/>
    <w:autoRedefine/>
    <w:uiPriority w:val="0"/>
    <w:rPr>
      <w:rFonts w:ascii="Arial" w:hAnsi="Arial" w:eastAsia="黑体" w:cs="Times New Roman"/>
      <w:b/>
      <w:sz w:val="32"/>
      <w:szCs w:val="24"/>
    </w:rPr>
  </w:style>
  <w:style w:type="character" w:customStyle="1" w:styleId="85">
    <w:name w:val="日期 字符1"/>
    <w:autoRedefine/>
    <w:uiPriority w:val="0"/>
    <w:rPr>
      <w:kern w:val="2"/>
      <w:sz w:val="21"/>
      <w:szCs w:val="22"/>
    </w:rPr>
  </w:style>
  <w:style w:type="character" w:customStyle="1" w:styleId="86">
    <w:name w:val="15"/>
    <w:autoRedefine/>
    <w:uiPriority w:val="0"/>
    <w:rPr>
      <w:rFonts w:ascii="Times New Roman" w:hAnsi="Times New Roman" w:cs="Times New Roman"/>
      <w:color w:val="464445"/>
      <w:u w:val="none"/>
    </w:rPr>
  </w:style>
  <w:style w:type="character" w:customStyle="1" w:styleId="87">
    <w:name w:val="正文文本 字符2"/>
    <w:autoRedefine/>
    <w:uiPriority w:val="0"/>
  </w:style>
  <w:style w:type="character" w:customStyle="1" w:styleId="88">
    <w:name w:val="页脚 Char"/>
    <w:autoRedefine/>
    <w:uiPriority w:val="0"/>
    <w:rPr>
      <w:sz w:val="18"/>
      <w:szCs w:val="18"/>
    </w:rPr>
  </w:style>
  <w:style w:type="character" w:customStyle="1" w:styleId="89">
    <w:name w:val="副标题 字符"/>
    <w:autoRedefine/>
    <w:uiPriority w:val="0"/>
    <w:rPr>
      <w:rFonts w:ascii="Calibri Light" w:hAnsi="Calibri Light"/>
      <w:b/>
      <w:bCs/>
      <w:kern w:val="28"/>
      <w:sz w:val="32"/>
      <w:szCs w:val="32"/>
    </w:rPr>
  </w:style>
  <w:style w:type="character" w:customStyle="1" w:styleId="90">
    <w:name w:val="批注文字 Char"/>
    <w:autoRedefine/>
    <w:uiPriority w:val="0"/>
    <w:rPr>
      <w:rFonts w:ascii="宋体" w:eastAsia="宋体"/>
      <w:kern w:val="2"/>
      <w:sz w:val="24"/>
      <w:szCs w:val="24"/>
      <w:lang w:val="en-US" w:eastAsia="zh-CN" w:bidi="ar-SA"/>
    </w:rPr>
  </w:style>
  <w:style w:type="character" w:customStyle="1" w:styleId="91">
    <w:name w:val="正文文本缩进 2 字符1"/>
    <w:autoRedefine/>
    <w:uiPriority w:val="0"/>
    <w:rPr>
      <w:kern w:val="2"/>
      <w:sz w:val="21"/>
      <w:szCs w:val="22"/>
    </w:rPr>
  </w:style>
  <w:style w:type="paragraph" w:customStyle="1" w:styleId="92">
    <w:name w:val="标题15"/>
    <w:basedOn w:val="1"/>
    <w:autoRedefine/>
    <w:uiPriority w:val="0"/>
    <w:pPr>
      <w:spacing w:line="440" w:lineRule="exact"/>
      <w:ind w:firstLine="200" w:firstLineChars="200"/>
    </w:pPr>
    <w:rPr>
      <w:rFonts w:ascii="Arial" w:hAnsi="Arial" w:eastAsia="仿宋_GB2312"/>
      <w:sz w:val="25"/>
      <w:szCs w:val="24"/>
    </w:rPr>
  </w:style>
  <w:style w:type="character" w:customStyle="1" w:styleId="93">
    <w:name w:val="Char Char6"/>
    <w:autoRedefine/>
    <w:uiPriority w:val="0"/>
    <w:rPr>
      <w:rFonts w:ascii="宋体"/>
      <w:kern w:val="2"/>
      <w:sz w:val="21"/>
    </w:rPr>
  </w:style>
  <w:style w:type="paragraph" w:customStyle="1" w:styleId="94">
    <w:name w:val="文一"/>
    <w:basedOn w:val="1"/>
    <w:autoRedefine/>
    <w:uiPriority w:val="0"/>
    <w:pPr>
      <w:topLinePunct/>
      <w:adjustRightInd w:val="0"/>
      <w:snapToGrid w:val="0"/>
      <w:spacing w:line="360" w:lineRule="auto"/>
      <w:ind w:firstLine="200" w:firstLineChars="200"/>
    </w:pPr>
    <w:rPr>
      <w:spacing w:val="4"/>
      <w:sz w:val="24"/>
      <w:szCs w:val="24"/>
    </w:rPr>
  </w:style>
  <w:style w:type="character" w:customStyle="1" w:styleId="95">
    <w:name w:val="正文文本缩进 字符1"/>
    <w:autoRedefine/>
    <w:uiPriority w:val="0"/>
    <w:rPr>
      <w:kern w:val="2"/>
      <w:sz w:val="21"/>
      <w:szCs w:val="22"/>
    </w:rPr>
  </w:style>
  <w:style w:type="character" w:customStyle="1" w:styleId="96">
    <w:name w:val="标题 1 Char"/>
    <w:autoRedefine/>
    <w:uiPriority w:val="0"/>
    <w:rPr>
      <w:rFonts w:ascii="Calibri" w:hAnsi="Calibri" w:eastAsia="宋体" w:cs="Times New Roman"/>
      <w:b/>
      <w:kern w:val="44"/>
      <w:sz w:val="44"/>
      <w:szCs w:val="24"/>
    </w:rPr>
  </w:style>
  <w:style w:type="character" w:customStyle="1" w:styleId="97">
    <w:name w:val="正文文本 3 Char1"/>
    <w:autoRedefine/>
    <w:uiPriority w:val="0"/>
    <w:rPr>
      <w:sz w:val="16"/>
      <w:szCs w:val="16"/>
    </w:rPr>
  </w:style>
  <w:style w:type="character" w:customStyle="1" w:styleId="98">
    <w:name w:val="批注文字 字符"/>
    <w:autoRedefine/>
    <w:uiPriority w:val="0"/>
    <w:rPr>
      <w:kern w:val="2"/>
      <w:sz w:val="21"/>
    </w:rPr>
  </w:style>
  <w:style w:type="character" w:customStyle="1" w:styleId="99">
    <w:name w:val="Char Char2"/>
    <w:autoRedefine/>
    <w:uiPriority w:val="0"/>
    <w:rPr>
      <w:rFonts w:ascii="宋体" w:eastAsia="宋体" w:cs="Times New Roman"/>
      <w:szCs w:val="20"/>
    </w:rPr>
  </w:style>
  <w:style w:type="character" w:customStyle="1" w:styleId="100">
    <w:name w:val="纯文本 字符2"/>
    <w:autoRedefine/>
    <w:uiPriority w:val="0"/>
    <w:rPr>
      <w:rFonts w:ascii="宋体"/>
      <w:kern w:val="2"/>
      <w:sz w:val="21"/>
      <w:lang w:bidi="ar-SA"/>
    </w:rPr>
  </w:style>
  <w:style w:type="character" w:customStyle="1" w:styleId="101">
    <w:name w:val="批注主题 Char"/>
    <w:autoRedefine/>
    <w:uiPriority w:val="0"/>
  </w:style>
  <w:style w:type="character" w:customStyle="1" w:styleId="102">
    <w:name w:val="标题 字符"/>
    <w:autoRedefine/>
    <w:uiPriority w:val="0"/>
    <w:rPr>
      <w:rFonts w:ascii="Arial" w:hAnsi="Arial"/>
      <w:b/>
      <w:sz w:val="32"/>
    </w:rPr>
  </w:style>
  <w:style w:type="character" w:customStyle="1" w:styleId="103">
    <w:name w:val="批注文字 Char1"/>
    <w:autoRedefine/>
    <w:uiPriority w:val="0"/>
  </w:style>
  <w:style w:type="character" w:customStyle="1" w:styleId="104">
    <w:name w:val="纯文本 Char2"/>
    <w:autoRedefine/>
    <w:uiPriority w:val="0"/>
    <w:rPr>
      <w:rFonts w:ascii="宋体" w:eastAsia="宋体" w:cs="Courier New"/>
      <w:kern w:val="2"/>
      <w:sz w:val="21"/>
      <w:szCs w:val="21"/>
      <w:lang w:val="en-US" w:eastAsia="zh-CN" w:bidi="ar-SA"/>
    </w:rPr>
  </w:style>
  <w:style w:type="character" w:customStyle="1" w:styleId="105">
    <w:name w:val="页眉 Char"/>
    <w:autoRedefine/>
    <w:uiPriority w:val="0"/>
    <w:rPr>
      <w:sz w:val="18"/>
      <w:szCs w:val="18"/>
    </w:rPr>
  </w:style>
  <w:style w:type="character" w:customStyle="1" w:styleId="106">
    <w:name w:val="正文文本缩进 2 字符"/>
    <w:autoRedefine/>
    <w:uiPriority w:val="0"/>
  </w:style>
  <w:style w:type="character" w:customStyle="1" w:styleId="107">
    <w:name w:val="列出段落 Char"/>
    <w:autoRedefine/>
    <w:uiPriority w:val="0"/>
    <w:rPr>
      <w:rFonts w:ascii="Calibri" w:hAnsi="Calibri"/>
    </w:rPr>
  </w:style>
  <w:style w:type="character" w:customStyle="1" w:styleId="108">
    <w:name w:val="标题 字符1"/>
    <w:autoRedefine/>
    <w:uiPriority w:val="0"/>
    <w:rPr>
      <w:rFonts w:ascii="等线 Light" w:eastAsia="等线 Light" w:cs="Times New Roman"/>
      <w:b/>
      <w:bCs/>
      <w:kern w:val="2"/>
      <w:sz w:val="32"/>
      <w:szCs w:val="32"/>
    </w:rPr>
  </w:style>
  <w:style w:type="character" w:customStyle="1" w:styleId="109">
    <w:name w:val="正文文本首行缩进 字符2"/>
    <w:autoRedefine/>
    <w:uiPriority w:val="0"/>
    <w:rPr>
      <w:rFonts w:eastAsia="宋体"/>
    </w:rPr>
  </w:style>
  <w:style w:type="character" w:customStyle="1" w:styleId="110">
    <w:name w:val="正文首行缩进 Char1"/>
    <w:autoRedefine/>
    <w:uiPriority w:val="0"/>
  </w:style>
  <w:style w:type="character" w:customStyle="1" w:styleId="111">
    <w:name w:val="纯文本 字符1"/>
    <w:autoRedefine/>
    <w:uiPriority w:val="0"/>
    <w:rPr>
      <w:rFonts w:ascii="等线" w:eastAsia="等线" w:cs="Courier New"/>
      <w:kern w:val="2"/>
      <w:sz w:val="21"/>
      <w:szCs w:val="22"/>
    </w:rPr>
  </w:style>
  <w:style w:type="character" w:customStyle="1" w:styleId="112">
    <w:name w:val="正文文本 3 字符"/>
    <w:autoRedefine/>
    <w:uiPriority w:val="0"/>
    <w:rPr>
      <w:kern w:val="2"/>
      <w:sz w:val="16"/>
      <w:szCs w:val="16"/>
    </w:rPr>
  </w:style>
  <w:style w:type="character" w:customStyle="1" w:styleId="113">
    <w:name w:val="文档结构图 Char1"/>
    <w:autoRedefine/>
    <w:uiPriority w:val="0"/>
    <w:rPr>
      <w:rFonts w:ascii="宋体" w:eastAsia="宋体"/>
      <w:sz w:val="18"/>
      <w:szCs w:val="18"/>
    </w:rPr>
  </w:style>
  <w:style w:type="character" w:customStyle="1" w:styleId="114">
    <w:name w:val="正文文本 3 字符1"/>
    <w:autoRedefine/>
    <w:uiPriority w:val="0"/>
    <w:rPr>
      <w:kern w:val="2"/>
      <w:sz w:val="16"/>
      <w:szCs w:val="16"/>
    </w:rPr>
  </w:style>
  <w:style w:type="character" w:customStyle="1" w:styleId="115">
    <w:name w:val="HTML 预设格式 字符1"/>
    <w:autoRedefine/>
    <w:uiPriority w:val="0"/>
    <w:rPr>
      <w:rFonts w:ascii="Courier New" w:hAnsi="Courier New" w:cs="Courier New"/>
      <w:kern w:val="2"/>
    </w:rPr>
  </w:style>
  <w:style w:type="character" w:customStyle="1" w:styleId="116">
    <w:name w:val="副标题 字符2"/>
    <w:autoRedefine/>
    <w:uiPriority w:val="0"/>
    <w:rPr>
      <w:rFonts w:ascii="Calibri Light" w:hAnsi="Calibri Light"/>
      <w:b/>
      <w:bCs/>
      <w:kern w:val="28"/>
      <w:sz w:val="32"/>
      <w:szCs w:val="32"/>
    </w:rPr>
  </w:style>
  <w:style w:type="character" w:customStyle="1" w:styleId="117">
    <w:name w:val="日期 Char"/>
    <w:autoRedefine/>
    <w:uiPriority w:val="0"/>
    <w:rPr>
      <w:szCs w:val="24"/>
    </w:rPr>
  </w:style>
  <w:style w:type="character" w:customStyle="1" w:styleId="118">
    <w:name w:val="正文文本 字符"/>
    <w:autoRedefine/>
    <w:uiPriority w:val="0"/>
    <w:rPr>
      <w:szCs w:val="24"/>
    </w:rPr>
  </w:style>
  <w:style w:type="character" w:customStyle="1" w:styleId="119">
    <w:name w:val="批注主题 Char1"/>
    <w:autoRedefine/>
    <w:uiPriority w:val="0"/>
    <w:rPr>
      <w:b/>
      <w:bCs/>
    </w:rPr>
  </w:style>
  <w:style w:type="character" w:customStyle="1" w:styleId="120">
    <w:name w:val="fontorange1"/>
    <w:autoRedefine/>
    <w:uiPriority w:val="0"/>
    <w:rPr>
      <w:rFonts w:ascii="ˎ̥" w:hAnsi="ˎ̥"/>
      <w:color w:val="FF6600"/>
      <w:sz w:val="18"/>
      <w:szCs w:val="18"/>
    </w:rPr>
  </w:style>
  <w:style w:type="character" w:customStyle="1" w:styleId="121">
    <w:name w:val="批注框文本 字符1"/>
    <w:autoRedefine/>
    <w:uiPriority w:val="0"/>
    <w:rPr>
      <w:kern w:val="2"/>
      <w:sz w:val="18"/>
      <w:szCs w:val="18"/>
    </w:rPr>
  </w:style>
  <w:style w:type="character" w:customStyle="1" w:styleId="122">
    <w:name w:val="正文文本 2 字符"/>
    <w:autoRedefine/>
    <w:uiPriority w:val="0"/>
    <w:rPr>
      <w:kern w:val="2"/>
      <w:sz w:val="21"/>
      <w:szCs w:val="24"/>
    </w:rPr>
  </w:style>
  <w:style w:type="character" w:customStyle="1" w:styleId="123">
    <w:name w:val="日期 Char1"/>
    <w:autoRedefine/>
    <w:uiPriority w:val="0"/>
  </w:style>
  <w:style w:type="character" w:customStyle="1" w:styleId="124">
    <w:name w:val="正文文本首行缩进 字符"/>
    <w:autoRedefine/>
    <w:uiPriority w:val="0"/>
  </w:style>
  <w:style w:type="character" w:customStyle="1" w:styleId="125">
    <w:name w:val="正文文本 字符1"/>
    <w:autoRedefine/>
    <w:uiPriority w:val="0"/>
    <w:rPr>
      <w:kern w:val="2"/>
      <w:sz w:val="21"/>
      <w:szCs w:val="22"/>
    </w:rPr>
  </w:style>
  <w:style w:type="character" w:customStyle="1" w:styleId="126">
    <w:name w:val="HTML 预设格式 字符"/>
    <w:autoRedefine/>
    <w:uiPriority w:val="0"/>
    <w:rPr>
      <w:rFonts w:ascii="宋体" w:cs="宋体"/>
      <w:sz w:val="24"/>
      <w:szCs w:val="24"/>
    </w:rPr>
  </w:style>
  <w:style w:type="character" w:customStyle="1" w:styleId="127">
    <w:name w:val="文档结构图 字符2"/>
    <w:autoRedefine/>
    <w:uiPriority w:val="0"/>
    <w:rPr>
      <w:kern w:val="2"/>
      <w:sz w:val="21"/>
      <w:szCs w:val="24"/>
      <w:shd w:val="clear" w:color="auto" w:fill="000080"/>
    </w:rPr>
  </w:style>
  <w:style w:type="character" w:customStyle="1" w:styleId="128">
    <w:name w:val="页眉 字符1"/>
    <w:autoRedefine/>
    <w:uiPriority w:val="0"/>
    <w:rPr>
      <w:kern w:val="2"/>
      <w:sz w:val="18"/>
      <w:szCs w:val="18"/>
    </w:rPr>
  </w:style>
  <w:style w:type="paragraph" w:customStyle="1" w:styleId="129">
    <w:name w:val="样式 正文文本 + Times New Roman"/>
    <w:basedOn w:val="14"/>
    <w:autoRedefine/>
    <w:uiPriority w:val="0"/>
    <w:rPr>
      <w:rFonts w:ascii="等线" w:eastAsia="等线" w:cs="Arial"/>
      <w:szCs w:val="22"/>
    </w:rPr>
  </w:style>
  <w:style w:type="character" w:customStyle="1" w:styleId="130">
    <w:name w:val="文档结构图 字符1"/>
    <w:autoRedefine/>
    <w:uiPriority w:val="0"/>
    <w:rPr>
      <w:rFonts w:ascii="Microsoft YaHei UI" w:eastAsia="Microsoft YaHei UI"/>
      <w:kern w:val="2"/>
      <w:sz w:val="18"/>
      <w:szCs w:val="18"/>
    </w:rPr>
  </w:style>
  <w:style w:type="character" w:customStyle="1" w:styleId="131">
    <w:name w:val="正文文本缩进 3 Char1"/>
    <w:autoRedefine/>
    <w:uiPriority w:val="0"/>
    <w:rPr>
      <w:kern w:val="2"/>
      <w:sz w:val="16"/>
      <w:szCs w:val="16"/>
    </w:rPr>
  </w:style>
  <w:style w:type="character" w:customStyle="1" w:styleId="132">
    <w:name w:val="批注框文本 Char1"/>
    <w:autoRedefine/>
    <w:uiPriority w:val="0"/>
    <w:rPr>
      <w:sz w:val="18"/>
      <w:szCs w:val="18"/>
    </w:rPr>
  </w:style>
  <w:style w:type="character" w:customStyle="1" w:styleId="133">
    <w:name w:val="正文文本缩进 3 字符1"/>
    <w:autoRedefine/>
    <w:uiPriority w:val="0"/>
    <w:rPr>
      <w:kern w:val="2"/>
      <w:sz w:val="16"/>
      <w:szCs w:val="16"/>
    </w:rPr>
  </w:style>
  <w:style w:type="paragraph" w:customStyle="1" w:styleId="134">
    <w:name w:val="正文 New New New New New New New New New New New New New New New"/>
    <w:basedOn w:val="1"/>
    <w:autoRedefine/>
    <w:uiPriority w:val="0"/>
    <w:rPr>
      <w:rFonts w:ascii="Calibri" w:hAnsi="Calibri" w:eastAsia="仿宋_GB2312" w:cs="Times New Roman"/>
      <w:szCs w:val="21"/>
    </w:rPr>
  </w:style>
  <w:style w:type="paragraph" w:customStyle="1" w:styleId="135">
    <w:name w:val="副标题1"/>
    <w:basedOn w:val="1"/>
    <w:next w:val="1"/>
    <w:autoRedefine/>
    <w:uiPriority w:val="0"/>
    <w:pPr>
      <w:widowControl/>
      <w:spacing w:before="240" w:after="60" w:line="312" w:lineRule="auto"/>
      <w:jc w:val="center"/>
      <w:outlineLvl w:val="1"/>
    </w:pPr>
    <w:rPr>
      <w:rFonts w:ascii="Calibri Light" w:hAnsi="Calibri Light"/>
      <w:b/>
      <w:bCs/>
      <w:kern w:val="28"/>
      <w:sz w:val="32"/>
      <w:szCs w:val="32"/>
    </w:rPr>
  </w:style>
  <w:style w:type="character" w:customStyle="1" w:styleId="136">
    <w:name w:val="副标题 字符3"/>
    <w:basedOn w:val="43"/>
    <w:autoRedefine/>
    <w:uiPriority w:val="0"/>
    <w:rPr>
      <w:b/>
      <w:bCs/>
      <w:kern w:val="28"/>
      <w:sz w:val="32"/>
      <w:szCs w:val="32"/>
    </w:rPr>
  </w:style>
  <w:style w:type="paragraph" w:customStyle="1" w:styleId="137">
    <w:name w:val="Char"/>
    <w:basedOn w:val="1"/>
    <w:autoRedefine/>
    <w:uiPriority w:val="0"/>
    <w:pPr>
      <w:adjustRightInd w:val="0"/>
      <w:snapToGrid w:val="0"/>
      <w:spacing w:line="360" w:lineRule="auto"/>
      <w:ind w:firstLine="200" w:firstLineChars="200"/>
    </w:pPr>
    <w:rPr>
      <w:rFonts w:ascii="仿宋_GB2312" w:eastAsia="仿宋_GB2312" w:cs="Times New Roman"/>
      <w:b/>
      <w:sz w:val="32"/>
      <w:szCs w:val="32"/>
    </w:rPr>
  </w:style>
  <w:style w:type="paragraph" w:customStyle="1" w:styleId="138">
    <w:name w:val="WPSOffice手动目录 1"/>
    <w:autoRedefine/>
    <w:uiPriority w:val="0"/>
    <w:rPr>
      <w:rFonts w:ascii="Times New Roman" w:hAnsi="Times New Roman" w:eastAsia="宋体" w:cs="Times New Roman"/>
      <w:sz w:val="20"/>
      <w:szCs w:val="20"/>
      <w:lang w:val="en-US" w:eastAsia="zh-CN" w:bidi="ar-SA"/>
    </w:rPr>
  </w:style>
  <w:style w:type="paragraph" w:customStyle="1" w:styleId="139">
    <w:name w:val="1"/>
    <w:basedOn w:val="1"/>
    <w:next w:val="35"/>
    <w:autoRedefine/>
    <w:uiPriority w:val="0"/>
    <w:pPr>
      <w:autoSpaceDE w:val="0"/>
      <w:autoSpaceDN w:val="0"/>
      <w:adjustRightInd w:val="0"/>
      <w:spacing w:line="0" w:lineRule="atLeast"/>
      <w:jc w:val="center"/>
    </w:pPr>
    <w:rPr>
      <w:rFonts w:ascii="隶书" w:eastAsia="隶书" w:cs="Times New Roman"/>
      <w:b/>
      <w:snapToGrid w:val="0"/>
      <w:spacing w:val="70"/>
      <w:sz w:val="72"/>
      <w:szCs w:val="20"/>
    </w:rPr>
  </w:style>
  <w:style w:type="paragraph" w:customStyle="1" w:styleId="140">
    <w:name w:val="正文文本 New New New New"/>
    <w:basedOn w:val="1"/>
    <w:autoRedefine/>
    <w:uiPriority w:val="0"/>
    <w:pPr>
      <w:jc w:val="center"/>
    </w:pPr>
    <w:rPr>
      <w:rFonts w:ascii="Times New Roman" w:hAnsi="Times New Roman" w:eastAsia="宋体" w:cs="Times New Roman"/>
      <w:b/>
      <w:bCs/>
      <w:sz w:val="36"/>
      <w:szCs w:val="20"/>
    </w:rPr>
  </w:style>
  <w:style w:type="paragraph" w:customStyle="1" w:styleId="141">
    <w:name w:val="p15"/>
    <w:basedOn w:val="1"/>
    <w:autoRedefine/>
    <w:uiPriority w:val="0"/>
    <w:pPr>
      <w:widowControl/>
    </w:pPr>
    <w:rPr>
      <w:rFonts w:ascii="Times New Roman" w:hAnsi="Times New Roman" w:eastAsia="宋体" w:cs="Times New Roman"/>
      <w:kern w:val="0"/>
      <w:sz w:val="18"/>
      <w:szCs w:val="18"/>
    </w:rPr>
  </w:style>
  <w:style w:type="paragraph" w:customStyle="1" w:styleId="142">
    <w:name w:val="修订1"/>
    <w:autoRedefine/>
    <w:uiPriority w:val="0"/>
    <w:rPr>
      <w:rFonts w:ascii="Times New Roman" w:hAnsi="Times New Roman" w:eastAsia="宋体" w:cs="Times New Roman"/>
      <w:kern w:val="2"/>
      <w:sz w:val="21"/>
      <w:szCs w:val="24"/>
      <w:lang w:val="en-US" w:eastAsia="zh-CN" w:bidi="ar-SA"/>
    </w:rPr>
  </w:style>
  <w:style w:type="paragraph" w:customStyle="1" w:styleId="143">
    <w:name w:val="zhang"/>
    <w:basedOn w:val="1"/>
    <w:autoRedefine/>
    <w:uiPriority w:val="0"/>
    <w:pPr>
      <w:widowControl/>
      <w:spacing w:before="100" w:beforeAutospacing="1" w:after="100" w:afterAutospacing="1"/>
      <w:jc w:val="left"/>
    </w:pPr>
    <w:rPr>
      <w:rFonts w:ascii="宋体" w:eastAsia="宋体" w:cs="宋体"/>
      <w:b/>
      <w:bCs/>
      <w:smallCaps/>
      <w:color w:val="000000"/>
      <w:kern w:val="0"/>
      <w:sz w:val="20"/>
      <w:szCs w:val="20"/>
    </w:rPr>
  </w:style>
  <w:style w:type="paragraph" w:customStyle="1" w:styleId="144">
    <w:name w:val="批注主题1"/>
    <w:basedOn w:val="12"/>
    <w:next w:val="12"/>
    <w:autoRedefine/>
    <w:uiPriority w:val="0"/>
    <w:rPr>
      <w:rFonts w:ascii="Calibri" w:hAnsi="Calibri"/>
      <w:b/>
      <w:bCs/>
    </w:rPr>
  </w:style>
  <w:style w:type="character" w:customStyle="1" w:styleId="145">
    <w:name w:val="批注主题 字符2"/>
    <w:autoRedefine/>
    <w:uiPriority w:val="0"/>
    <w:rPr>
      <w:rFonts w:ascii="Times New Roman" w:hAnsi="Times New Roman" w:eastAsia="宋体" w:cs="Times New Roman"/>
      <w:b/>
      <w:bCs/>
      <w:kern w:val="2"/>
      <w:sz w:val="21"/>
      <w:szCs w:val="24"/>
    </w:rPr>
  </w:style>
  <w:style w:type="paragraph" w:customStyle="1" w:styleId="146">
    <w:name w:val="正文文本 31"/>
    <w:basedOn w:val="1"/>
    <w:next w:val="13"/>
    <w:autoRedefine/>
    <w:uiPriority w:val="0"/>
    <w:pPr>
      <w:spacing w:after="120"/>
    </w:pPr>
    <w:rPr>
      <w:sz w:val="16"/>
      <w:szCs w:val="16"/>
    </w:rPr>
  </w:style>
  <w:style w:type="character" w:customStyle="1" w:styleId="147">
    <w:name w:val="正文文本 3 字符2"/>
    <w:basedOn w:val="43"/>
    <w:autoRedefine/>
    <w:uiPriority w:val="0"/>
    <w:rPr>
      <w:rFonts w:ascii="Times New Roman" w:hAnsi="Times New Roman" w:eastAsia="宋体" w:cs="Times New Roman"/>
      <w:kern w:val="2"/>
      <w:sz w:val="16"/>
      <w:szCs w:val="16"/>
    </w:rPr>
  </w:style>
  <w:style w:type="paragraph" w:customStyle="1" w:styleId="148">
    <w:name w:val="正文 New New New New"/>
    <w:autoRedefine/>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9">
    <w:name w:val="默认段落字体 Para Char Char Char Char"/>
    <w:basedOn w:val="148"/>
    <w:autoRedefine/>
    <w:uiPriority w:val="0"/>
  </w:style>
  <w:style w:type="paragraph" w:customStyle="1" w:styleId="150">
    <w:name w:val="Table Paragraph"/>
    <w:basedOn w:val="1"/>
    <w:autoRedefine/>
    <w:uiPriority w:val="0"/>
    <w:rPr>
      <w:rFonts w:ascii="Calibri" w:hAnsi="Calibri" w:eastAsia="楷体_GB2312" w:cs="Times New Roman"/>
    </w:rPr>
  </w:style>
  <w:style w:type="paragraph" w:customStyle="1" w:styleId="151">
    <w:name w:val="正文文本首行缩进1"/>
    <w:basedOn w:val="14"/>
    <w:next w:val="40"/>
    <w:autoRedefine/>
    <w:uiPriority w:val="0"/>
    <w:pPr>
      <w:ind w:firstLine="420"/>
    </w:pPr>
    <w:rPr>
      <w:rFonts w:ascii="Calibri" w:hAnsi="Calibri"/>
      <w:kern w:val="0"/>
      <w:sz w:val="20"/>
      <w:szCs w:val="20"/>
    </w:rPr>
  </w:style>
  <w:style w:type="character" w:customStyle="1" w:styleId="152">
    <w:name w:val="正文文本首行缩进 字符3"/>
    <w:autoRedefine/>
    <w:uiPriority w:val="0"/>
    <w:rPr>
      <w:rFonts w:ascii="Times New Roman" w:hAnsi="Times New Roman" w:eastAsia="宋体" w:cs="Times New Roman"/>
      <w:kern w:val="2"/>
      <w:sz w:val="21"/>
      <w:szCs w:val="24"/>
    </w:rPr>
  </w:style>
  <w:style w:type="paragraph" w:customStyle="1" w:styleId="153">
    <w:name w:val="2"/>
    <w:basedOn w:val="1"/>
    <w:next w:val="20"/>
    <w:autoRedefine/>
    <w:uiPriority w:val="0"/>
    <w:rPr>
      <w:rFonts w:ascii="宋体" w:eastAsia="宋体" w:cs="Times New Roman"/>
      <w:szCs w:val="20"/>
    </w:rPr>
  </w:style>
  <w:style w:type="paragraph" w:customStyle="1" w:styleId="154">
    <w:name w:val="标题1"/>
    <w:basedOn w:val="1"/>
    <w:next w:val="1"/>
    <w:autoRedefine/>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55">
    <w:name w:val="标题 字符3"/>
    <w:basedOn w:val="43"/>
    <w:autoRedefine/>
    <w:uiPriority w:val="0"/>
    <w:rPr>
      <w:rFonts w:ascii="Cambria" w:hAnsi="Cambria" w:eastAsia="宋体" w:cs="Times New Roman"/>
      <w:b/>
      <w:bCs/>
      <w:kern w:val="2"/>
      <w:sz w:val="32"/>
      <w:szCs w:val="32"/>
    </w:rPr>
  </w:style>
  <w:style w:type="paragraph" w:customStyle="1" w:styleId="156">
    <w:name w:val="正文 New New New New New New New New New New New New New New"/>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SZXX标题2"/>
    <w:basedOn w:val="1"/>
    <w:autoRedefine/>
    <w:uiPriority w:val="0"/>
    <w:pPr>
      <w:tabs>
        <w:tab w:val="left" w:pos="120"/>
        <w:tab w:val="left" w:pos="180"/>
        <w:tab w:val="left" w:pos="240"/>
        <w:tab w:val="left" w:pos="360"/>
      </w:tabs>
      <w:spacing w:before="360" w:line="360" w:lineRule="auto"/>
      <w:ind w:left="85" w:leftChars="85"/>
    </w:pPr>
    <w:rPr>
      <w:rFonts w:ascii="Arial" w:hAnsi="Arial" w:eastAsia="黑体" w:cs="Times New Roman"/>
      <w:b/>
      <w:sz w:val="28"/>
      <w:szCs w:val="21"/>
    </w:rPr>
  </w:style>
  <w:style w:type="paragraph" w:customStyle="1" w:styleId="158">
    <w:name w:val="正文文本 New"/>
    <w:basedOn w:val="1"/>
    <w:autoRedefine/>
    <w:uiPriority w:val="0"/>
    <w:pPr>
      <w:jc w:val="center"/>
    </w:pPr>
    <w:rPr>
      <w:rFonts w:ascii="Times New Roman" w:hAnsi="Times New Roman" w:eastAsia="宋体" w:cs="Times New Roman"/>
      <w:b/>
      <w:bCs/>
      <w:sz w:val="36"/>
      <w:szCs w:val="20"/>
    </w:rPr>
  </w:style>
  <w:style w:type="paragraph" w:customStyle="1" w:styleId="159">
    <w:name w:val="文档结构图1"/>
    <w:basedOn w:val="1"/>
    <w:next w:val="11"/>
    <w:autoRedefine/>
    <w:uiPriority w:val="0"/>
    <w:pPr>
      <w:shd w:val="clear" w:color="auto" w:fill="000080"/>
    </w:pPr>
    <w:rPr>
      <w:szCs w:val="24"/>
      <w:shd w:val="clear" w:color="auto" w:fill="000080"/>
    </w:rPr>
  </w:style>
  <w:style w:type="character" w:customStyle="1" w:styleId="160">
    <w:name w:val="文档结构图 字符3"/>
    <w:basedOn w:val="43"/>
    <w:autoRedefine/>
    <w:uiPriority w:val="0"/>
    <w:rPr>
      <w:rFonts w:ascii="Microsoft YaHei UI" w:eastAsia="Microsoft YaHei UI" w:cs="Times New Roman"/>
      <w:kern w:val="2"/>
      <w:sz w:val="18"/>
      <w:szCs w:val="18"/>
    </w:rPr>
  </w:style>
  <w:style w:type="paragraph" w:customStyle="1" w:styleId="161">
    <w:name w:val="表中"/>
    <w:basedOn w:val="1"/>
    <w:autoRedefine/>
    <w:uiPriority w:val="0"/>
    <w:pPr>
      <w:adjustRightInd w:val="0"/>
      <w:spacing w:line="360" w:lineRule="atLeast"/>
      <w:jc w:val="center"/>
      <w:textAlignment w:val="baseline"/>
    </w:pPr>
    <w:rPr>
      <w:rFonts w:ascii="Calibri" w:hAnsi="Calibri" w:eastAsia="宋体" w:cs="Times New Roman"/>
      <w:kern w:val="0"/>
      <w:szCs w:val="20"/>
    </w:rPr>
  </w:style>
  <w:style w:type="paragraph" w:customStyle="1" w:styleId="162">
    <w:name w:val="p0"/>
    <w:basedOn w:val="1"/>
    <w:autoRedefine/>
    <w:uiPriority w:val="0"/>
    <w:pPr>
      <w:widowControl/>
    </w:pPr>
    <w:rPr>
      <w:rFonts w:ascii="Times New Roman" w:hAnsi="Times New Roman" w:eastAsia="宋体" w:cs="Times New Roman"/>
      <w:kern w:val="0"/>
      <w:szCs w:val="21"/>
    </w:rPr>
  </w:style>
  <w:style w:type="paragraph" w:customStyle="1" w:styleId="163">
    <w:name w:val="正文文本缩进 31"/>
    <w:basedOn w:val="1"/>
    <w:next w:val="32"/>
    <w:autoRedefine/>
    <w:uiPriority w:val="0"/>
    <w:pPr>
      <w:spacing w:after="120" w:line="560" w:lineRule="exact"/>
      <w:ind w:left="200" w:leftChars="200"/>
    </w:pPr>
    <w:rPr>
      <w:sz w:val="16"/>
      <w:szCs w:val="16"/>
    </w:rPr>
  </w:style>
  <w:style w:type="character" w:customStyle="1" w:styleId="164">
    <w:name w:val="正文文本缩进 3 字符2"/>
    <w:basedOn w:val="43"/>
    <w:autoRedefine/>
    <w:uiPriority w:val="0"/>
    <w:rPr>
      <w:rFonts w:ascii="Times New Roman" w:hAnsi="Times New Roman" w:eastAsia="宋体" w:cs="Times New Roman"/>
      <w:kern w:val="2"/>
      <w:sz w:val="16"/>
      <w:szCs w:val="16"/>
    </w:rPr>
  </w:style>
  <w:style w:type="paragraph" w:customStyle="1" w:styleId="165">
    <w:name w:val="正文 New New"/>
    <w:autoRedefine/>
    <w:uiPriority w:val="0"/>
    <w:pPr>
      <w:widowControl w:val="0"/>
      <w:jc w:val="both"/>
    </w:pPr>
    <w:rPr>
      <w:rFonts w:ascii="仿宋_GB2312" w:hAnsi="仿宋_GB2312" w:eastAsia="宋体" w:cs="宋体"/>
      <w:snapToGrid w:val="0"/>
      <w:sz w:val="21"/>
      <w:szCs w:val="32"/>
      <w:lang w:val="en-US" w:eastAsia="zh-CN" w:bidi="ar-SA"/>
    </w:rPr>
  </w:style>
  <w:style w:type="paragraph" w:customStyle="1" w:styleId="166">
    <w:name w:val="正文文本缩进 21"/>
    <w:basedOn w:val="1"/>
    <w:next w:val="23"/>
    <w:autoRedefine/>
    <w:uiPriority w:val="0"/>
    <w:pPr>
      <w:ind w:firstLine="225" w:firstLineChars="225"/>
    </w:pPr>
    <w:rPr>
      <w:kern w:val="0"/>
      <w:sz w:val="20"/>
      <w:szCs w:val="20"/>
    </w:rPr>
  </w:style>
  <w:style w:type="character" w:customStyle="1" w:styleId="167">
    <w:name w:val="正文文本缩进 2 字符2"/>
    <w:basedOn w:val="43"/>
    <w:autoRedefine/>
    <w:uiPriority w:val="0"/>
    <w:rPr>
      <w:rFonts w:ascii="Times New Roman" w:hAnsi="Times New Roman" w:eastAsia="宋体" w:cs="Times New Roman"/>
      <w:kern w:val="2"/>
      <w:sz w:val="21"/>
      <w:szCs w:val="24"/>
    </w:rPr>
  </w:style>
  <w:style w:type="paragraph" w:customStyle="1" w:styleId="168">
    <w:name w:val="正文 New New New New New New New New New New New New New"/>
    <w:autoRedefine/>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69">
    <w:name w:val="Char Char5 Char"/>
    <w:basedOn w:val="1"/>
    <w:autoRedefine/>
    <w:uiPriority w:val="0"/>
    <w:pPr>
      <w:widowControl/>
      <w:spacing w:after="160" w:line="240" w:lineRule="exact"/>
      <w:jc w:val="left"/>
    </w:pPr>
    <w:rPr>
      <w:rFonts w:ascii="Verdana" w:hAnsi="Verdana" w:eastAsia="仿宋_GB2312" w:cs="Times New Roman"/>
      <w:kern w:val="0"/>
      <w:sz w:val="24"/>
      <w:szCs w:val="20"/>
    </w:rPr>
  </w:style>
  <w:style w:type="paragraph" w:customStyle="1" w:styleId="170">
    <w:name w:val="正文文本 New New New"/>
    <w:basedOn w:val="1"/>
    <w:autoRedefine/>
    <w:uiPriority w:val="0"/>
    <w:pPr>
      <w:jc w:val="center"/>
    </w:pPr>
    <w:rPr>
      <w:rFonts w:ascii="Times New Roman" w:hAnsi="Times New Roman" w:eastAsia="宋体" w:cs="Times New Roman"/>
      <w:b/>
      <w:bCs/>
      <w:sz w:val="36"/>
      <w:szCs w:val="20"/>
    </w:rPr>
  </w:style>
  <w:style w:type="paragraph" w:customStyle="1" w:styleId="171">
    <w:name w:val="列表段落1"/>
    <w:basedOn w:val="1"/>
    <w:autoRedefine/>
    <w:uiPriority w:val="0"/>
    <w:pPr>
      <w:ind w:firstLine="200" w:firstLineChars="200"/>
    </w:pPr>
    <w:rPr>
      <w:rFonts w:ascii="Times New Roman" w:hAnsi="Times New Roman" w:eastAsia="宋体" w:cs="Times New Roman"/>
    </w:rPr>
  </w:style>
  <w:style w:type="paragraph" w:customStyle="1" w:styleId="172">
    <w:name w:val="样式 标题 2 +"/>
    <w:basedOn w:val="3"/>
    <w:autoRedefine/>
    <w:uiPriority w:val="0"/>
    <w:pPr>
      <w:tabs>
        <w:tab w:val="left" w:pos="567"/>
        <w:tab w:val="left" w:pos="840"/>
      </w:tabs>
      <w:spacing w:line="413" w:lineRule="auto"/>
    </w:pPr>
    <w:rPr>
      <w:rFonts w:ascii="Arial" w:hAnsi="Arial" w:eastAsia="黑体"/>
      <w:bCs w:val="0"/>
      <w:kern w:val="0"/>
      <w:szCs w:val="20"/>
    </w:rPr>
  </w:style>
  <w:style w:type="paragraph" w:customStyle="1" w:styleId="173">
    <w:name w:val="样式"/>
    <w:autoRedefine/>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74">
    <w:name w:val="样式 正文文本 + 首行缩进:  2 字符"/>
    <w:basedOn w:val="14"/>
    <w:autoRedefine/>
    <w:uiPriority w:val="0"/>
    <w:rPr>
      <w:rFonts w:cs="宋体"/>
    </w:rPr>
  </w:style>
  <w:style w:type="paragraph" w:customStyle="1" w:styleId="175">
    <w:name w:val="文二"/>
    <w:basedOn w:val="1"/>
    <w:autoRedefine/>
    <w:uiPriority w:val="0"/>
    <w:pPr>
      <w:jc w:val="left"/>
    </w:pPr>
    <w:rPr>
      <w:rFonts w:ascii="宋体" w:eastAsia="宋体" w:cs="Times New Roman"/>
      <w:szCs w:val="21"/>
    </w:rPr>
  </w:style>
  <w:style w:type="paragraph" w:customStyle="1" w:styleId="176">
    <w:name w:val="正文文本 21"/>
    <w:basedOn w:val="1"/>
    <w:next w:val="35"/>
    <w:autoRedefine/>
    <w:uiPriority w:val="0"/>
    <w:pPr>
      <w:spacing w:after="120" w:line="480" w:lineRule="auto"/>
    </w:pPr>
    <w:rPr>
      <w:szCs w:val="24"/>
    </w:rPr>
  </w:style>
  <w:style w:type="character" w:customStyle="1" w:styleId="177">
    <w:name w:val="正文文本 2 字符2"/>
    <w:basedOn w:val="43"/>
    <w:autoRedefine/>
    <w:uiPriority w:val="0"/>
    <w:rPr>
      <w:rFonts w:ascii="Times New Roman" w:hAnsi="Times New Roman" w:eastAsia="宋体" w:cs="Times New Roman"/>
      <w:kern w:val="2"/>
      <w:sz w:val="21"/>
      <w:szCs w:val="24"/>
    </w:rPr>
  </w:style>
  <w:style w:type="paragraph" w:customStyle="1" w:styleId="178">
    <w:name w:val="样式 四号 行距: 1.5 倍行距"/>
    <w:basedOn w:val="1"/>
    <w:autoRedefine/>
    <w:uiPriority w:val="0"/>
    <w:pPr>
      <w:spacing w:line="360" w:lineRule="auto"/>
      <w:ind w:firstLine="200" w:firstLineChars="200"/>
    </w:pPr>
    <w:rPr>
      <w:rFonts w:ascii="Times New Roman" w:hAnsi="Times New Roman" w:eastAsia="宋体" w:cs="宋体"/>
      <w:sz w:val="24"/>
      <w:szCs w:val="20"/>
    </w:rPr>
  </w:style>
  <w:style w:type="paragraph" w:customStyle="1" w:styleId="179">
    <w:name w:val="TOC 标题1"/>
    <w:basedOn w:val="2"/>
    <w:next w:val="1"/>
    <w:autoRedefine/>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180">
    <w:name w:val="_Style 11"/>
    <w:basedOn w:val="1"/>
    <w:autoRedefine/>
    <w:uiPriority w:val="0"/>
    <w:rPr>
      <w:rFonts w:ascii="Times New Roman" w:hAnsi="Times New Roman" w:eastAsia="宋体" w:cs="Times New Roman"/>
      <w:sz w:val="30"/>
      <w:szCs w:val="24"/>
    </w:rPr>
  </w:style>
  <w:style w:type="paragraph" w:customStyle="1" w:styleId="181">
    <w:name w:val="HTML 预设格式1"/>
    <w:basedOn w:val="1"/>
    <w:next w:val="36"/>
    <w:autoRedefine/>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182">
    <w:name w:val="HTML 预设格式 字符2"/>
    <w:basedOn w:val="43"/>
    <w:autoRedefine/>
    <w:uiPriority w:val="0"/>
    <w:rPr>
      <w:rFonts w:ascii="Courier New" w:hAnsi="Courier New" w:eastAsia="宋体" w:cs="Courier New"/>
      <w:kern w:val="2"/>
    </w:rPr>
  </w:style>
  <w:style w:type="paragraph" w:customStyle="1" w:styleId="183">
    <w:name w:val="WPSOffice手动目录 2"/>
    <w:autoRedefine/>
    <w:uiPriority w:val="0"/>
    <w:pPr>
      <w:ind w:left="200" w:leftChars="200"/>
    </w:pPr>
    <w:rPr>
      <w:rFonts w:ascii="Times New Roman" w:hAnsi="Times New Roman" w:eastAsia="宋体" w:cs="Times New Roman"/>
      <w:sz w:val="20"/>
      <w:szCs w:val="20"/>
      <w:lang w:val="en-US" w:eastAsia="zh-CN" w:bidi="ar-SA"/>
    </w:rPr>
  </w:style>
  <w:style w:type="paragraph" w:customStyle="1" w:styleId="184">
    <w:name w:val="普通(网站) New New"/>
    <w:basedOn w:val="1"/>
    <w:autoRedefine/>
    <w:uiPriority w:val="0"/>
    <w:pPr>
      <w:widowControl/>
      <w:spacing w:before="100" w:beforeAutospacing="1" w:after="100" w:afterAutospacing="1"/>
      <w:jc w:val="left"/>
    </w:pPr>
    <w:rPr>
      <w:rFonts w:ascii="宋体" w:eastAsia="宋体" w:cs="宋体"/>
      <w:kern w:val="0"/>
      <w:sz w:val="24"/>
      <w:szCs w:val="24"/>
    </w:rPr>
  </w:style>
  <w:style w:type="paragraph" w:customStyle="1" w:styleId="185">
    <w:name w:val="正  文"/>
    <w:basedOn w:val="1"/>
    <w:autoRedefine/>
    <w:uiPriority w:val="0"/>
    <w:pPr>
      <w:spacing w:line="360" w:lineRule="auto"/>
      <w:ind w:firstLine="200" w:firstLineChars="200"/>
    </w:pPr>
    <w:rPr>
      <w:rFonts w:ascii="宋体" w:eastAsia="宋体" w:cs="Times New Roman"/>
      <w:sz w:val="24"/>
      <w:szCs w:val="24"/>
    </w:rPr>
  </w:style>
  <w:style w:type="paragraph" w:customStyle="1" w:styleId="186">
    <w:name w:val="正文 New New New New New"/>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修订2"/>
    <w:autoRedefine/>
    <w:uiPriority w:val="0"/>
    <w:rPr>
      <w:rFonts w:ascii="等线" w:hAnsi="Times New Roman" w:eastAsia="等线" w:cs="Arial"/>
      <w:kern w:val="2"/>
      <w:sz w:val="21"/>
      <w:szCs w:val="22"/>
      <w:lang w:val="en-US" w:eastAsia="zh-CN" w:bidi="ar-SA"/>
    </w:rPr>
  </w:style>
  <w:style w:type="paragraph" w:customStyle="1" w:styleId="188">
    <w:name w:val="修订3"/>
    <w:autoRedefine/>
    <w:uiPriority w:val="0"/>
    <w:rPr>
      <w:rFonts w:ascii="等线" w:hAnsi="Times New Roman" w:eastAsia="等线" w:cs="Arial"/>
      <w:kern w:val="2"/>
      <w:sz w:val="21"/>
      <w:szCs w:val="22"/>
      <w:lang w:val="en-US" w:eastAsia="zh-CN" w:bidi="ar-SA"/>
    </w:rPr>
  </w:style>
  <w:style w:type="paragraph" w:customStyle="1" w:styleId="189">
    <w:name w:val="修订4"/>
    <w:autoRedefine/>
    <w:uiPriority w:val="0"/>
    <w:rPr>
      <w:rFonts w:ascii="等线" w:hAnsi="Times New Roman" w:eastAsia="等线" w:cs="Arial"/>
      <w:kern w:val="2"/>
      <w:sz w:val="21"/>
      <w:szCs w:val="22"/>
      <w:lang w:val="en-US" w:eastAsia="zh-CN" w:bidi="ar-SA"/>
    </w:rPr>
  </w:style>
  <w:style w:type="paragraph" w:customStyle="1" w:styleId="190">
    <w:name w:val="修订5"/>
    <w:autoRedefine/>
    <w:uiPriority w:val="0"/>
    <w:rPr>
      <w:rFonts w:ascii="等线" w:hAnsi="Times New Roman" w:eastAsia="等线" w:cs="Arial"/>
      <w:kern w:val="2"/>
      <w:sz w:val="21"/>
      <w:szCs w:val="22"/>
      <w:lang w:val="en-US" w:eastAsia="zh-CN" w:bidi="ar-SA"/>
    </w:rPr>
  </w:style>
  <w:style w:type="paragraph" w:customStyle="1" w:styleId="191">
    <w:name w:val="正文_0"/>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样式 宋体 行距: 1.5 倍行距"/>
    <w:basedOn w:val="1"/>
    <w:autoRedefine/>
    <w:uiPriority w:val="0"/>
    <w:pPr>
      <w:jc w:val="center"/>
    </w:pPr>
    <w:rPr>
      <w:rFonts w:ascii="Times New Roman" w:hAnsi="Times New Roman"/>
      <w:b/>
    </w:rPr>
  </w:style>
  <w:style w:type="paragraph" w:customStyle="1" w:styleId="193">
    <w:name w:val="修订6"/>
    <w:autoRedefine/>
    <w:uiPriority w:val="0"/>
    <w:rPr>
      <w:rFonts w:ascii="等线" w:hAnsi="Times New Roman" w:eastAsia="等线" w:cs="Arial"/>
      <w:kern w:val="2"/>
      <w:sz w:val="21"/>
      <w:szCs w:val="22"/>
      <w:lang w:val="en-US" w:eastAsia="zh-CN" w:bidi="ar-SA"/>
    </w:rPr>
  </w:style>
  <w:style w:type="paragraph" w:customStyle="1" w:styleId="194">
    <w:name w:val="修订7"/>
    <w:autoRedefine/>
    <w:uiPriority w:val="0"/>
    <w:rPr>
      <w:rFonts w:ascii="等线" w:hAnsi="Times New Roman" w:eastAsia="等线" w:cs="Arial"/>
      <w:kern w:val="2"/>
      <w:sz w:val="21"/>
      <w:szCs w:val="22"/>
      <w:lang w:val="en-US" w:eastAsia="zh-CN" w:bidi="ar-SA"/>
    </w:rPr>
  </w:style>
  <w:style w:type="paragraph" w:customStyle="1" w:styleId="195">
    <w:name w:val="Revision"/>
    <w:autoRedefine/>
    <w:uiPriority w:val="0"/>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38</Pages>
  <Words>11989</Words>
  <Characters>12196</Characters>
  <Lines>1233</Lines>
  <Paragraphs>512</Paragraphs>
  <TotalTime>547</TotalTime>
  <ScaleCrop>false</ScaleCrop>
  <LinksUpToDate>false</LinksUpToDate>
  <CharactersWithSpaces>13609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2024-06-19T00:41:00Z</dcterms:created>
  <dc:creator>li xin</dc:creator>
  <cp:lastModifiedBy>sunny</cp:lastModifiedBy>
  <cp:lastPrinted>2025-08-01T00:48:00Z</cp:lastPrinted>
  <dcterms:modified xsi:type="dcterms:W3CDTF">2025-09-08T07:57:49Z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DDCF11B9DE8A416C856B265D87389289_13</vt:lpwstr>
  </property>
  <property fmtid="{D5CDD505-2E9C-101B-9397-08002B2CF9AE}" pid="4" name="KSOTemplateDocerSaveRecord">
    <vt:lpwstr>eyJoZGlkIjoiYWIyNTdjODhmZjlkNDYyNzY3MGEwYWI5YWJhMDRhY2UiLCJ1c2VySWQiOiI0NjU5NjI5NzgifQ==</vt:lpwstr>
  </property>
</Properties>
</file>