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62BCF">
      <w:pPr>
        <w:pStyle w:val="9"/>
        <w:kinsoku w:val="0"/>
        <w:overflowPunct w:val="0"/>
        <w:ind w:left="0"/>
        <w:rPr>
          <w:rFonts w:ascii="Times New Roman" w:hAnsi="Times New Roman" w:eastAsia="Times New Roman"/>
          <w:sz w:val="20"/>
          <w:highlight w:val="none"/>
        </w:rPr>
      </w:pPr>
    </w:p>
    <w:p w14:paraId="67D56057">
      <w:pPr>
        <w:jc w:val="center"/>
        <w:rPr>
          <w:rFonts w:ascii="宋体" w:hAnsi="宋体" w:cs="宋体"/>
          <w:b/>
          <w:bCs/>
          <w:sz w:val="48"/>
          <w:szCs w:val="52"/>
          <w:highlight w:val="none"/>
        </w:rPr>
      </w:pPr>
      <w:bookmarkStart w:id="0" w:name="_Toc492300545"/>
      <w:bookmarkStart w:id="1" w:name="_Toc6405"/>
    </w:p>
    <w:p w14:paraId="71F9B17D">
      <w:pPr>
        <w:pStyle w:val="6"/>
        <w:rPr>
          <w:highlight w:val="none"/>
        </w:rPr>
      </w:pPr>
    </w:p>
    <w:p w14:paraId="57273583">
      <w:pPr>
        <w:rPr>
          <w:highlight w:val="none"/>
        </w:rPr>
      </w:pPr>
    </w:p>
    <w:p w14:paraId="5B648E65">
      <w:pPr>
        <w:pStyle w:val="6"/>
        <w:rPr>
          <w:highlight w:val="none"/>
        </w:rPr>
      </w:pPr>
    </w:p>
    <w:bookmarkEnd w:id="0"/>
    <w:p w14:paraId="5033F5B8">
      <w:pPr>
        <w:rPr>
          <w:rFonts w:hint="eastAsia" w:ascii="宋体" w:hAnsi="宋体" w:cs="宋体"/>
          <w:b/>
          <w:bCs/>
          <w:sz w:val="48"/>
          <w:szCs w:val="48"/>
          <w:highlight w:val="none"/>
        </w:rPr>
      </w:pPr>
      <w:r>
        <w:rPr>
          <w:rFonts w:hint="eastAsia" w:ascii="宋体" w:hAnsi="宋体" w:cs="宋体"/>
          <w:b/>
          <w:bCs/>
          <w:sz w:val="48"/>
          <w:szCs w:val="48"/>
          <w:highlight w:val="none"/>
          <w:lang w:eastAsia="zh-CN"/>
        </w:rPr>
        <w:t>广州国际金融城东区深涌整治工程</w:t>
      </w:r>
      <w:r>
        <w:rPr>
          <w:rFonts w:hint="eastAsia" w:ascii="宋体" w:hAnsi="宋体" w:cs="宋体"/>
          <w:b/>
          <w:bCs/>
          <w:sz w:val="48"/>
          <w:szCs w:val="48"/>
          <w:highlight w:val="none"/>
        </w:rPr>
        <w:t>监理</w:t>
      </w:r>
    </w:p>
    <w:p w14:paraId="5D703F81">
      <w:pPr>
        <w:rPr>
          <w:rFonts w:ascii="宋体" w:hAnsi="宋体" w:cs="宋体"/>
          <w:sz w:val="28"/>
          <w:szCs w:val="28"/>
          <w:highlight w:val="none"/>
        </w:rPr>
      </w:pPr>
    </w:p>
    <w:p w14:paraId="4AE7B1DA">
      <w:pPr>
        <w:rPr>
          <w:rFonts w:ascii="宋体" w:hAnsi="宋体" w:cs="宋体"/>
          <w:sz w:val="28"/>
          <w:szCs w:val="28"/>
          <w:highlight w:val="none"/>
        </w:rPr>
      </w:pPr>
    </w:p>
    <w:p w14:paraId="163D1474">
      <w:pPr>
        <w:rPr>
          <w:rFonts w:ascii="宋体" w:hAnsi="宋体" w:cs="宋体"/>
          <w:sz w:val="28"/>
          <w:szCs w:val="28"/>
          <w:highlight w:val="none"/>
        </w:rPr>
      </w:pPr>
    </w:p>
    <w:p w14:paraId="0820734A">
      <w:pPr>
        <w:rPr>
          <w:rFonts w:ascii="宋体" w:hAnsi="宋体" w:cs="宋体"/>
          <w:sz w:val="28"/>
          <w:szCs w:val="28"/>
          <w:highlight w:val="none"/>
        </w:rPr>
      </w:pPr>
    </w:p>
    <w:p w14:paraId="267D04B3">
      <w:pPr>
        <w:pStyle w:val="15"/>
        <w:ind w:left="480"/>
        <w:rPr>
          <w:rFonts w:ascii="宋体" w:hAnsi="宋体" w:cs="宋体"/>
          <w:sz w:val="28"/>
          <w:szCs w:val="28"/>
          <w:highlight w:val="none"/>
        </w:rPr>
      </w:pPr>
    </w:p>
    <w:p w14:paraId="47B307B9">
      <w:pPr>
        <w:rPr>
          <w:rFonts w:ascii="宋体" w:hAnsi="宋体" w:cs="宋体"/>
          <w:sz w:val="28"/>
          <w:szCs w:val="28"/>
          <w:highlight w:val="none"/>
        </w:rPr>
      </w:pPr>
    </w:p>
    <w:p w14:paraId="441169AA">
      <w:pPr>
        <w:pStyle w:val="15"/>
        <w:ind w:left="480"/>
        <w:rPr>
          <w:highlight w:val="none"/>
        </w:rPr>
      </w:pPr>
    </w:p>
    <w:p w14:paraId="56BCD799">
      <w:pPr>
        <w:jc w:val="center"/>
        <w:rPr>
          <w:rFonts w:ascii="宋体" w:hAnsi="宋体" w:cs="宋体"/>
          <w:sz w:val="44"/>
          <w:szCs w:val="44"/>
          <w:highlight w:val="none"/>
        </w:rPr>
      </w:pPr>
      <w:r>
        <w:rPr>
          <w:rFonts w:hint="eastAsia" w:ascii="宋体" w:hAnsi="宋体" w:cs="宋体"/>
          <w:sz w:val="84"/>
          <w:szCs w:val="84"/>
          <w:highlight w:val="none"/>
        </w:rPr>
        <w:t>招标文件</w:t>
      </w:r>
    </w:p>
    <w:p w14:paraId="416B3761">
      <w:pPr>
        <w:spacing w:line="400" w:lineRule="exact"/>
        <w:rPr>
          <w:rFonts w:ascii="宋体" w:hAnsi="宋体" w:cs="宋体"/>
          <w:highlight w:val="none"/>
        </w:rPr>
      </w:pPr>
    </w:p>
    <w:p w14:paraId="598E0BE3">
      <w:pPr>
        <w:spacing w:line="400" w:lineRule="exact"/>
        <w:rPr>
          <w:rFonts w:ascii="宋体" w:hAnsi="宋体" w:cs="宋体"/>
          <w:highlight w:val="none"/>
        </w:rPr>
      </w:pPr>
    </w:p>
    <w:p w14:paraId="15E7F77B">
      <w:pPr>
        <w:spacing w:line="400" w:lineRule="exact"/>
        <w:rPr>
          <w:rFonts w:ascii="宋体" w:hAnsi="宋体" w:cs="宋体"/>
          <w:highlight w:val="none"/>
        </w:rPr>
      </w:pPr>
    </w:p>
    <w:p w14:paraId="20D67066">
      <w:pPr>
        <w:spacing w:line="400" w:lineRule="exact"/>
        <w:rPr>
          <w:rFonts w:ascii="宋体" w:hAnsi="宋体" w:cs="宋体"/>
          <w:highlight w:val="none"/>
        </w:rPr>
      </w:pPr>
    </w:p>
    <w:p w14:paraId="7114D314">
      <w:pPr>
        <w:spacing w:line="400" w:lineRule="exact"/>
        <w:rPr>
          <w:rFonts w:ascii="宋体" w:hAnsi="宋体" w:cs="宋体"/>
          <w:highlight w:val="none"/>
        </w:rPr>
      </w:pPr>
      <w:r>
        <w:rPr>
          <w:rFonts w:hint="eastAsia" w:ascii="宋体" w:hAnsi="宋体" w:cs="宋体"/>
          <w:highlight w:val="none"/>
        </w:rPr>
        <w:t xml:space="preserve"> </w:t>
      </w:r>
    </w:p>
    <w:p w14:paraId="64F306A6">
      <w:pPr>
        <w:spacing w:line="400" w:lineRule="exact"/>
        <w:rPr>
          <w:rFonts w:ascii="宋体" w:hAnsi="宋体" w:cs="宋体"/>
          <w:highlight w:val="none"/>
        </w:rPr>
      </w:pPr>
    </w:p>
    <w:p w14:paraId="74495680">
      <w:pPr>
        <w:spacing w:line="400" w:lineRule="exact"/>
        <w:rPr>
          <w:rFonts w:ascii="宋体" w:hAnsi="宋体" w:cs="宋体"/>
          <w:highlight w:val="none"/>
        </w:rPr>
      </w:pPr>
    </w:p>
    <w:p w14:paraId="3EF49C33">
      <w:pPr>
        <w:spacing w:line="400" w:lineRule="exact"/>
        <w:rPr>
          <w:rFonts w:ascii="宋体" w:hAnsi="宋体" w:cs="宋体"/>
          <w:highlight w:val="none"/>
        </w:rPr>
      </w:pPr>
    </w:p>
    <w:p w14:paraId="73279E2D">
      <w:pPr>
        <w:spacing w:line="400" w:lineRule="exact"/>
        <w:rPr>
          <w:rFonts w:ascii="宋体" w:hAnsi="宋体" w:cs="宋体"/>
          <w:highlight w:val="none"/>
        </w:rPr>
      </w:pPr>
    </w:p>
    <w:p w14:paraId="288046B3">
      <w:pPr>
        <w:spacing w:line="400" w:lineRule="exact"/>
        <w:rPr>
          <w:rFonts w:ascii="宋体" w:hAnsi="宋体" w:cs="宋体"/>
          <w:highlight w:val="none"/>
        </w:rPr>
      </w:pPr>
    </w:p>
    <w:p w14:paraId="38901D12">
      <w:pPr>
        <w:spacing w:line="360" w:lineRule="auto"/>
        <w:jc w:val="center"/>
        <w:rPr>
          <w:rFonts w:ascii="宋体" w:hAnsi="宋体" w:cs="宋体"/>
          <w:sz w:val="28"/>
          <w:szCs w:val="28"/>
          <w:highlight w:val="none"/>
        </w:rPr>
      </w:pPr>
      <w:r>
        <w:rPr>
          <w:rFonts w:hint="eastAsia" w:ascii="宋体" w:hAnsi="宋体" w:cs="宋体"/>
          <w:sz w:val="28"/>
          <w:szCs w:val="28"/>
          <w:highlight w:val="none"/>
        </w:rPr>
        <w:t>招标人：</w:t>
      </w:r>
      <w:r>
        <w:rPr>
          <w:rFonts w:hint="eastAsia" w:ascii="宋体" w:hAnsi="宋体" w:cs="宋体"/>
          <w:sz w:val="28"/>
          <w:szCs w:val="28"/>
          <w:highlight w:val="none"/>
          <w:u w:val="single"/>
        </w:rPr>
        <w:t>广州市天河区水务设施建设中心</w:t>
      </w:r>
      <w:r>
        <w:rPr>
          <w:rFonts w:hint="eastAsia" w:ascii="宋体" w:hAnsi="宋体" w:cs="宋体"/>
          <w:sz w:val="28"/>
          <w:szCs w:val="28"/>
          <w:highlight w:val="none"/>
        </w:rPr>
        <w:t>（盖单位章）</w:t>
      </w:r>
    </w:p>
    <w:p w14:paraId="1A6274EF">
      <w:pPr>
        <w:spacing w:line="360" w:lineRule="auto"/>
        <w:jc w:val="center"/>
        <w:rPr>
          <w:highlight w:val="none"/>
        </w:rPr>
      </w:pPr>
      <w:r>
        <w:rPr>
          <w:rFonts w:hint="eastAsia" w:ascii="宋体" w:hAnsi="宋体" w:cs="宋体"/>
          <w:sz w:val="28"/>
          <w:szCs w:val="28"/>
          <w:highlight w:val="none"/>
        </w:rPr>
        <w:t>招标代理机构：</w:t>
      </w:r>
      <w:r>
        <w:rPr>
          <w:rFonts w:hint="eastAsia" w:ascii="宋体" w:hAnsi="宋体" w:cs="宋体"/>
          <w:sz w:val="28"/>
          <w:szCs w:val="28"/>
          <w:highlight w:val="none"/>
          <w:u w:val="single"/>
          <w:lang w:eastAsia="zh-CN"/>
        </w:rPr>
        <w:t>天栋建设管理有限公司</w:t>
      </w:r>
      <w:r>
        <w:rPr>
          <w:rFonts w:hint="eastAsia" w:ascii="宋体" w:hAnsi="宋体" w:cs="宋体"/>
          <w:sz w:val="28"/>
          <w:szCs w:val="28"/>
          <w:highlight w:val="none"/>
        </w:rPr>
        <w:t>（盖单位章）</w:t>
      </w:r>
    </w:p>
    <w:p w14:paraId="18A0AAE4">
      <w:pPr>
        <w:spacing w:line="360" w:lineRule="auto"/>
        <w:ind w:firstLine="3220" w:firstLineChars="1150"/>
        <w:jc w:val="both"/>
        <w:rPr>
          <w:rFonts w:ascii="宋体" w:hAnsi="宋体" w:cs="宋体"/>
          <w:sz w:val="28"/>
          <w:szCs w:val="28"/>
          <w:highlight w:val="none"/>
        </w:rPr>
      </w:pPr>
      <w:r>
        <w:rPr>
          <w:rFonts w:hint="eastAsia" w:ascii="宋体" w:hAnsi="宋体" w:cs="宋体"/>
          <w:sz w:val="28"/>
          <w:szCs w:val="28"/>
          <w:highlight w:val="none"/>
          <w:u w:val="single"/>
        </w:rPr>
        <w:t>2025</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09</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p>
    <w:bookmarkEnd w:id="1"/>
    <w:p w14:paraId="393435AE">
      <w:pPr>
        <w:spacing w:line="360" w:lineRule="auto"/>
        <w:jc w:val="center"/>
        <w:rPr>
          <w:rFonts w:ascii="宋体" w:hAnsi="宋体" w:cs="宋体"/>
          <w:highlight w:val="none"/>
        </w:rPr>
      </w:pPr>
    </w:p>
    <w:p w14:paraId="0DA1B85A">
      <w:pPr>
        <w:spacing w:line="360" w:lineRule="auto"/>
        <w:jc w:val="center"/>
        <w:rPr>
          <w:rFonts w:ascii="宋体" w:hAnsi="宋体" w:cs="宋体"/>
          <w:highlight w:val="none"/>
        </w:rPr>
      </w:pPr>
    </w:p>
    <w:p w14:paraId="77A3A8C6">
      <w:pPr>
        <w:spacing w:line="360" w:lineRule="auto"/>
        <w:jc w:val="center"/>
        <w:rPr>
          <w:rFonts w:ascii="宋体" w:hAnsi="宋体" w:cs="宋体"/>
          <w:highlight w:val="none"/>
        </w:rPr>
      </w:pPr>
    </w:p>
    <w:p w14:paraId="02A6B53D">
      <w:pPr>
        <w:spacing w:line="360" w:lineRule="auto"/>
        <w:jc w:val="center"/>
        <w:rPr>
          <w:rFonts w:ascii="宋体" w:hAnsi="宋体" w:cs="宋体"/>
          <w:highlight w:val="none"/>
        </w:rPr>
      </w:pPr>
    </w:p>
    <w:p w14:paraId="5F329A10">
      <w:pPr>
        <w:pStyle w:val="10"/>
        <w:rPr>
          <w:highlight w:val="none"/>
        </w:rPr>
      </w:pPr>
    </w:p>
    <w:p w14:paraId="52245914">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目 录</w:t>
      </w:r>
    </w:p>
    <w:p w14:paraId="5E270155">
      <w:pPr>
        <w:pStyle w:val="14"/>
        <w:tabs>
          <w:tab w:val="right" w:leader="dot" w:pos="9071"/>
        </w:tabs>
        <w:spacing w:line="360" w:lineRule="auto"/>
        <w:rPr>
          <w:rFonts w:ascii="宋体" w:hAnsi="宋体" w:cs="宋体"/>
          <w:highlight w:val="none"/>
        </w:rPr>
      </w:pPr>
      <w:r>
        <w:rPr>
          <w:rFonts w:hint="eastAsia" w:ascii="宋体" w:hAnsi="宋体" w:cs="宋体"/>
          <w:highlight w:val="none"/>
        </w:rPr>
        <w:fldChar w:fldCharType="begin"/>
      </w:r>
      <w:r>
        <w:rPr>
          <w:rFonts w:hint="eastAsia" w:ascii="宋体" w:hAnsi="宋体" w:cs="宋体"/>
          <w:highlight w:val="none"/>
        </w:rPr>
        <w:instrText xml:space="preserve">TOC \o "1-3" \h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"_Toc19294" </w:instrText>
      </w:r>
      <w:r>
        <w:rPr>
          <w:highlight w:val="none"/>
        </w:rPr>
        <w:fldChar w:fldCharType="separate"/>
      </w:r>
      <w:r>
        <w:rPr>
          <w:rFonts w:hint="eastAsia" w:ascii="宋体" w:hAnsi="宋体" w:cs="宋体"/>
          <w:b/>
          <w:bCs/>
          <w:highlight w:val="none"/>
        </w:rPr>
        <w:t>第一卷</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_Toc19294 \h </w:instrText>
      </w:r>
      <w:r>
        <w:rPr>
          <w:rFonts w:hint="eastAsia" w:ascii="宋体" w:hAnsi="宋体" w:cs="宋体"/>
          <w:b/>
          <w:bCs/>
          <w:highlight w:val="none"/>
        </w:rPr>
        <w:fldChar w:fldCharType="separate"/>
      </w:r>
      <w:r>
        <w:rPr>
          <w:rFonts w:hint="eastAsia" w:ascii="宋体" w:hAnsi="宋体" w:cs="宋体"/>
          <w:b/>
          <w:bCs/>
          <w:highlight w:val="none"/>
        </w:rPr>
        <w:t>3</w:t>
      </w:r>
      <w:r>
        <w:rPr>
          <w:rFonts w:hint="eastAsia" w:ascii="宋体" w:hAnsi="宋体" w:cs="宋体"/>
          <w:b/>
          <w:bCs/>
          <w:highlight w:val="none"/>
        </w:rPr>
        <w:fldChar w:fldCharType="end"/>
      </w:r>
      <w:r>
        <w:rPr>
          <w:rFonts w:hint="eastAsia" w:ascii="宋体" w:hAnsi="宋体" w:cs="宋体"/>
          <w:b/>
          <w:bCs/>
          <w:highlight w:val="none"/>
        </w:rPr>
        <w:fldChar w:fldCharType="end"/>
      </w:r>
    </w:p>
    <w:p w14:paraId="1626AABA">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"_Toc4842" </w:instrText>
      </w:r>
      <w:r>
        <w:rPr>
          <w:highlight w:val="none"/>
        </w:rPr>
        <w:fldChar w:fldCharType="separate"/>
      </w:r>
      <w:r>
        <w:rPr>
          <w:rFonts w:hint="eastAsia" w:ascii="宋体" w:hAnsi="宋体" w:cs="宋体"/>
          <w:highlight w:val="none"/>
        </w:rPr>
        <w:t>第一章 招标公告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_Toc4842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5E9B7620">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"_Toc10685" </w:instrText>
      </w:r>
      <w:r>
        <w:rPr>
          <w:highlight w:val="none"/>
        </w:rPr>
        <w:fldChar w:fldCharType="separate"/>
      </w:r>
      <w:r>
        <w:rPr>
          <w:rFonts w:hint="eastAsia" w:ascii="宋体" w:hAnsi="宋体" w:cs="宋体"/>
          <w:highlight w:val="none"/>
        </w:rPr>
        <w:t>第二章 投标人须知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_Toc10685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7026B519">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"_Toc29250" </w:instrText>
      </w:r>
      <w:r>
        <w:rPr>
          <w:highlight w:val="none"/>
        </w:rPr>
        <w:fldChar w:fldCharType="separate"/>
      </w:r>
      <w:r>
        <w:rPr>
          <w:rFonts w:hint="eastAsia" w:ascii="宋体" w:hAnsi="宋体" w:cs="宋体"/>
          <w:highlight w:val="none"/>
        </w:rPr>
        <w:t>第三章 评标办法（综合评估法）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_Toc29250 \h </w:instrText>
      </w:r>
      <w:r>
        <w:rPr>
          <w:rFonts w:hint="eastAsia" w:ascii="宋体" w:hAnsi="宋体" w:cs="宋体"/>
          <w:highlight w:val="none"/>
        </w:rPr>
        <w:fldChar w:fldCharType="separate"/>
      </w:r>
      <w:r>
        <w:rPr>
          <w:rFonts w:hint="eastAsia" w:ascii="宋体" w:hAnsi="宋体" w:cs="宋体"/>
          <w:highlight w:val="none"/>
        </w:rPr>
        <w:t>37</w:t>
      </w:r>
      <w:r>
        <w:rPr>
          <w:rFonts w:hint="eastAsia" w:ascii="宋体" w:hAnsi="宋体" w:cs="宋体"/>
          <w:highlight w:val="none"/>
        </w:rPr>
        <w:fldChar w:fldCharType="end"/>
      </w:r>
      <w:r>
        <w:rPr>
          <w:rFonts w:hint="eastAsia" w:ascii="宋体" w:hAnsi="宋体" w:cs="宋体"/>
          <w:highlight w:val="none"/>
        </w:rPr>
        <w:fldChar w:fldCharType="end"/>
      </w:r>
    </w:p>
    <w:p w14:paraId="7F22CE8C">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"_Toc15665" </w:instrText>
      </w:r>
      <w:r>
        <w:rPr>
          <w:highlight w:val="none"/>
        </w:rPr>
        <w:fldChar w:fldCharType="separate"/>
      </w:r>
      <w:r>
        <w:rPr>
          <w:rFonts w:hint="eastAsia" w:ascii="宋体" w:hAnsi="宋体" w:cs="宋体"/>
          <w:highlight w:val="none"/>
        </w:rPr>
        <w:t>第四章 合同条款及格式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_Toc15665 \h </w:instrText>
      </w:r>
      <w:r>
        <w:rPr>
          <w:rFonts w:hint="eastAsia" w:ascii="宋体" w:hAnsi="宋体" w:cs="宋体"/>
          <w:highlight w:val="none"/>
        </w:rPr>
        <w:fldChar w:fldCharType="separate"/>
      </w:r>
      <w:r>
        <w:rPr>
          <w:rFonts w:hint="eastAsia" w:ascii="宋体" w:hAnsi="宋体" w:cs="宋体"/>
          <w:highlight w:val="none"/>
        </w:rPr>
        <w:t>51</w:t>
      </w:r>
      <w:r>
        <w:rPr>
          <w:rFonts w:hint="eastAsia" w:ascii="宋体" w:hAnsi="宋体" w:cs="宋体"/>
          <w:highlight w:val="none"/>
        </w:rPr>
        <w:fldChar w:fldCharType="end"/>
      </w:r>
      <w:r>
        <w:rPr>
          <w:rFonts w:hint="eastAsia" w:ascii="宋体" w:hAnsi="宋体" w:cs="宋体"/>
          <w:highlight w:val="none"/>
        </w:rPr>
        <w:fldChar w:fldCharType="end"/>
      </w:r>
    </w:p>
    <w:p w14:paraId="0309EE29">
      <w:pPr>
        <w:pStyle w:val="14"/>
        <w:tabs>
          <w:tab w:val="right" w:leader="dot" w:pos="9071"/>
        </w:tabs>
        <w:spacing w:line="360" w:lineRule="auto"/>
        <w:rPr>
          <w:rFonts w:ascii="宋体" w:hAnsi="宋体" w:cs="宋体"/>
          <w:b/>
          <w:bCs/>
          <w:highlight w:val="none"/>
        </w:rPr>
      </w:pPr>
      <w:r>
        <w:rPr>
          <w:highlight w:val="none"/>
        </w:rPr>
        <w:fldChar w:fldCharType="begin"/>
      </w:r>
      <w:r>
        <w:rPr>
          <w:highlight w:val="none"/>
        </w:rPr>
        <w:instrText xml:space="preserve"> HYPERLINK \l "_Toc29682" </w:instrText>
      </w:r>
      <w:r>
        <w:rPr>
          <w:highlight w:val="none"/>
        </w:rPr>
        <w:fldChar w:fldCharType="separate"/>
      </w:r>
      <w:r>
        <w:rPr>
          <w:rFonts w:hint="eastAsia" w:ascii="宋体" w:hAnsi="宋体" w:cs="宋体"/>
          <w:b/>
          <w:bCs/>
          <w:highlight w:val="none"/>
        </w:rPr>
        <w:t>第二卷</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_Toc29682 \h </w:instrText>
      </w:r>
      <w:r>
        <w:rPr>
          <w:rFonts w:hint="eastAsia" w:ascii="宋体" w:hAnsi="宋体" w:cs="宋体"/>
          <w:b/>
          <w:bCs/>
          <w:highlight w:val="none"/>
        </w:rPr>
        <w:fldChar w:fldCharType="separate"/>
      </w:r>
      <w:r>
        <w:rPr>
          <w:rFonts w:hint="eastAsia" w:ascii="宋体" w:hAnsi="宋体" w:cs="宋体"/>
          <w:b/>
          <w:bCs/>
          <w:highlight w:val="none"/>
        </w:rPr>
        <w:t>52</w:t>
      </w:r>
      <w:r>
        <w:rPr>
          <w:rFonts w:hint="eastAsia" w:ascii="宋体" w:hAnsi="宋体" w:cs="宋体"/>
          <w:b/>
          <w:bCs/>
          <w:highlight w:val="none"/>
        </w:rPr>
        <w:fldChar w:fldCharType="end"/>
      </w:r>
      <w:r>
        <w:rPr>
          <w:rFonts w:hint="eastAsia" w:ascii="宋体" w:hAnsi="宋体" w:cs="宋体"/>
          <w:b/>
          <w:bCs/>
          <w:highlight w:val="none"/>
        </w:rPr>
        <w:fldChar w:fldCharType="end"/>
      </w:r>
    </w:p>
    <w:p w14:paraId="48C8170A">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"_Toc17878" </w:instrText>
      </w:r>
      <w:r>
        <w:rPr>
          <w:highlight w:val="none"/>
        </w:rPr>
        <w:fldChar w:fldCharType="separate"/>
      </w:r>
      <w:r>
        <w:rPr>
          <w:rFonts w:hint="eastAsia" w:ascii="宋体" w:hAnsi="宋体" w:cs="宋体"/>
          <w:highlight w:val="none"/>
        </w:rPr>
        <w:t>第五章 委托人要求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_Toc17878 \h </w:instrText>
      </w:r>
      <w:r>
        <w:rPr>
          <w:rFonts w:hint="eastAsia" w:ascii="宋体" w:hAnsi="宋体" w:cs="宋体"/>
          <w:highlight w:val="none"/>
        </w:rPr>
        <w:fldChar w:fldCharType="separate"/>
      </w:r>
      <w:r>
        <w:rPr>
          <w:rFonts w:hint="eastAsia" w:ascii="宋体" w:hAnsi="宋体" w:cs="宋体"/>
          <w:highlight w:val="none"/>
        </w:rPr>
        <w:t>53</w:t>
      </w:r>
      <w:r>
        <w:rPr>
          <w:rFonts w:hint="eastAsia" w:ascii="宋体" w:hAnsi="宋体" w:cs="宋体"/>
          <w:highlight w:val="none"/>
        </w:rPr>
        <w:fldChar w:fldCharType="end"/>
      </w:r>
      <w:r>
        <w:rPr>
          <w:rFonts w:hint="eastAsia" w:ascii="宋体" w:hAnsi="宋体" w:cs="宋体"/>
          <w:highlight w:val="none"/>
        </w:rPr>
        <w:fldChar w:fldCharType="end"/>
      </w:r>
    </w:p>
    <w:p w14:paraId="03CB8A1E">
      <w:pPr>
        <w:pStyle w:val="14"/>
        <w:tabs>
          <w:tab w:val="right" w:leader="dot" w:pos="9071"/>
        </w:tabs>
        <w:spacing w:line="360" w:lineRule="auto"/>
        <w:rPr>
          <w:rFonts w:ascii="宋体" w:hAnsi="宋体" w:cs="宋体"/>
          <w:b/>
          <w:bCs/>
          <w:highlight w:val="none"/>
        </w:rPr>
      </w:pPr>
      <w:r>
        <w:rPr>
          <w:highlight w:val="none"/>
        </w:rPr>
        <w:fldChar w:fldCharType="begin"/>
      </w:r>
      <w:r>
        <w:rPr>
          <w:highlight w:val="none"/>
        </w:rPr>
        <w:instrText xml:space="preserve"> HYPERLINK \l "_Toc9855" </w:instrText>
      </w:r>
      <w:r>
        <w:rPr>
          <w:highlight w:val="none"/>
        </w:rPr>
        <w:fldChar w:fldCharType="separate"/>
      </w:r>
      <w:r>
        <w:rPr>
          <w:rFonts w:hint="eastAsia" w:ascii="宋体" w:hAnsi="宋体" w:cs="宋体"/>
          <w:b/>
          <w:bCs/>
          <w:highlight w:val="none"/>
        </w:rPr>
        <w:t>第三卷</w:t>
      </w:r>
      <w:r>
        <w:rPr>
          <w:rFonts w:hint="eastAsia" w:ascii="宋体" w:hAnsi="宋体" w:cs="宋体"/>
          <w:b/>
          <w:bCs/>
          <w:highlight w:val="none"/>
        </w:rPr>
        <w:tab/>
      </w:r>
      <w:r>
        <w:rPr>
          <w:rFonts w:hint="eastAsia" w:ascii="宋体" w:hAnsi="宋体" w:cs="宋体"/>
          <w:b/>
          <w:bCs/>
          <w:highlight w:val="none"/>
        </w:rPr>
        <w:fldChar w:fldCharType="begin"/>
      </w:r>
      <w:r>
        <w:rPr>
          <w:rFonts w:hint="eastAsia" w:ascii="宋体" w:hAnsi="宋体" w:cs="宋体"/>
          <w:b/>
          <w:bCs/>
          <w:highlight w:val="none"/>
        </w:rPr>
        <w:instrText xml:space="preserve"> PAGEREF _Toc9855 \h </w:instrText>
      </w:r>
      <w:r>
        <w:rPr>
          <w:rFonts w:hint="eastAsia" w:ascii="宋体" w:hAnsi="宋体" w:cs="宋体"/>
          <w:b/>
          <w:bCs/>
          <w:highlight w:val="none"/>
        </w:rPr>
        <w:fldChar w:fldCharType="separate"/>
      </w:r>
      <w:r>
        <w:rPr>
          <w:rFonts w:hint="eastAsia" w:ascii="宋体" w:hAnsi="宋体" w:cs="宋体"/>
          <w:b/>
          <w:bCs/>
          <w:highlight w:val="none"/>
        </w:rPr>
        <w:t>54</w:t>
      </w:r>
      <w:r>
        <w:rPr>
          <w:rFonts w:hint="eastAsia" w:ascii="宋体" w:hAnsi="宋体" w:cs="宋体"/>
          <w:b/>
          <w:bCs/>
          <w:highlight w:val="none"/>
        </w:rPr>
        <w:fldChar w:fldCharType="end"/>
      </w:r>
      <w:r>
        <w:rPr>
          <w:rFonts w:hint="eastAsia" w:ascii="宋体" w:hAnsi="宋体" w:cs="宋体"/>
          <w:b/>
          <w:bCs/>
          <w:highlight w:val="none"/>
        </w:rPr>
        <w:fldChar w:fldCharType="end"/>
      </w:r>
    </w:p>
    <w:p w14:paraId="16FECAA0">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"_Toc1895" </w:instrText>
      </w:r>
      <w:r>
        <w:rPr>
          <w:highlight w:val="none"/>
        </w:rPr>
        <w:fldChar w:fldCharType="separate"/>
      </w:r>
      <w:r>
        <w:rPr>
          <w:rFonts w:hint="eastAsia" w:ascii="宋体" w:hAnsi="宋体" w:cs="宋体"/>
          <w:highlight w:val="none"/>
        </w:rPr>
        <w:t>第六章 投标文件格式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_Toc1895 \h </w:instrText>
      </w:r>
      <w:r>
        <w:rPr>
          <w:rFonts w:hint="eastAsia" w:ascii="宋体" w:hAnsi="宋体" w:cs="宋体"/>
          <w:highlight w:val="none"/>
        </w:rPr>
        <w:fldChar w:fldCharType="separate"/>
      </w:r>
      <w:r>
        <w:rPr>
          <w:rFonts w:hint="eastAsia" w:ascii="宋体" w:hAnsi="宋体" w:cs="宋体"/>
          <w:highlight w:val="none"/>
        </w:rPr>
        <w:t>55</w:t>
      </w:r>
      <w:r>
        <w:rPr>
          <w:rFonts w:hint="eastAsia" w:ascii="宋体" w:hAnsi="宋体" w:cs="宋体"/>
          <w:highlight w:val="none"/>
        </w:rPr>
        <w:fldChar w:fldCharType="end"/>
      </w:r>
      <w:r>
        <w:rPr>
          <w:rFonts w:hint="eastAsia" w:ascii="宋体" w:hAnsi="宋体" w:cs="宋体"/>
          <w:highlight w:val="none"/>
        </w:rPr>
        <w:fldChar w:fldCharType="end"/>
      </w:r>
    </w:p>
    <w:p w14:paraId="0F96FA08">
      <w:pPr>
        <w:pStyle w:val="15"/>
        <w:tabs>
          <w:tab w:val="right" w:leader="dot" w:pos="9071"/>
        </w:tabs>
        <w:spacing w:line="360" w:lineRule="auto"/>
        <w:ind w:left="480"/>
        <w:rPr>
          <w:rFonts w:ascii="宋体" w:hAnsi="宋体" w:cs="宋体"/>
          <w:highlight w:val="none"/>
        </w:rPr>
      </w:pPr>
      <w:r>
        <w:rPr>
          <w:highlight w:val="none"/>
        </w:rPr>
        <w:fldChar w:fldCharType="begin"/>
      </w:r>
      <w:r>
        <w:rPr>
          <w:highlight w:val="none"/>
        </w:rPr>
        <w:instrText xml:space="preserve"> HYPERLINK \l "_Toc27375" </w:instrText>
      </w:r>
      <w:r>
        <w:rPr>
          <w:highlight w:val="none"/>
        </w:rPr>
        <w:fldChar w:fldCharType="separate"/>
      </w:r>
      <w:r>
        <w:rPr>
          <w:rFonts w:hint="eastAsia" w:ascii="宋体" w:hAnsi="宋体" w:cs="宋体"/>
          <w:highlight w:val="none"/>
        </w:rPr>
        <w:t>第七章 投标人须知前附表规定的其他资料。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_Toc27375 \h </w:instrText>
      </w:r>
      <w:r>
        <w:rPr>
          <w:rFonts w:hint="eastAsia" w:ascii="宋体" w:hAnsi="宋体" w:cs="宋体"/>
          <w:highlight w:val="none"/>
        </w:rPr>
        <w:fldChar w:fldCharType="separate"/>
      </w:r>
      <w:r>
        <w:rPr>
          <w:rFonts w:hint="eastAsia" w:ascii="宋体" w:hAnsi="宋体" w:cs="宋体"/>
          <w:highlight w:val="none"/>
        </w:rPr>
        <w:t>72</w:t>
      </w:r>
      <w:r>
        <w:rPr>
          <w:rFonts w:hint="eastAsia" w:ascii="宋体" w:hAnsi="宋体" w:cs="宋体"/>
          <w:highlight w:val="none"/>
        </w:rPr>
        <w:fldChar w:fldCharType="end"/>
      </w:r>
      <w:r>
        <w:rPr>
          <w:rFonts w:hint="eastAsia" w:ascii="宋体" w:hAnsi="宋体" w:cs="宋体"/>
          <w:highlight w:val="none"/>
        </w:rPr>
        <w:fldChar w:fldCharType="end"/>
      </w:r>
    </w:p>
    <w:p w14:paraId="4F51433E">
      <w:pPr>
        <w:pStyle w:val="9"/>
        <w:tabs>
          <w:tab w:val="right" w:leader="dot" w:pos="8714"/>
        </w:tabs>
        <w:kinsoku w:val="0"/>
        <w:overflowPunct w:val="0"/>
        <w:spacing w:line="360" w:lineRule="auto"/>
        <w:ind w:left="0"/>
        <w:jc w:val="center"/>
        <w:rPr>
          <w:rFonts w:cs="宋体"/>
          <w:sz w:val="24"/>
          <w:highlight w:val="none"/>
        </w:rPr>
      </w:pPr>
      <w:r>
        <w:rPr>
          <w:rFonts w:hint="eastAsia" w:cs="宋体"/>
          <w:sz w:val="24"/>
          <w:highlight w:val="none"/>
        </w:rPr>
        <w:fldChar w:fldCharType="end"/>
      </w:r>
    </w:p>
    <w:p w14:paraId="57F589B5">
      <w:pPr>
        <w:pStyle w:val="20"/>
        <w:tabs>
          <w:tab w:val="right" w:leader="dot" w:pos="9071"/>
        </w:tabs>
        <w:ind w:left="720" w:leftChars="300"/>
        <w:rPr>
          <w:rFonts w:ascii="宋体" w:hAnsi="宋体" w:cs="宋体"/>
          <w:sz w:val="24"/>
          <w:szCs w:val="24"/>
          <w:highlight w:val="none"/>
        </w:rPr>
      </w:pPr>
    </w:p>
    <w:p w14:paraId="68A7F99A">
      <w:pPr>
        <w:pStyle w:val="9"/>
        <w:tabs>
          <w:tab w:val="right" w:leader="dot" w:pos="8714"/>
        </w:tabs>
        <w:kinsoku w:val="0"/>
        <w:overflowPunct w:val="0"/>
        <w:spacing w:line="288" w:lineRule="exact"/>
        <w:ind w:left="0"/>
        <w:jc w:val="center"/>
        <w:rPr>
          <w:rFonts w:hAnsi="Calibri"/>
          <w:highlight w:val="none"/>
        </w:rPr>
        <w:sectPr>
          <w:footerReference r:id="rId3" w:type="default"/>
          <w:pgSz w:w="11905" w:h="16838"/>
          <w:pgMar w:top="1417" w:right="1417" w:bottom="1417" w:left="1417" w:header="720" w:footer="720" w:gutter="0"/>
          <w:cols w:space="720" w:num="1"/>
        </w:sectPr>
      </w:pPr>
    </w:p>
    <w:p w14:paraId="00ADBBD1">
      <w:pPr>
        <w:pStyle w:val="2"/>
        <w:spacing w:before="5280" w:beforeLines="2200"/>
        <w:ind w:left="6"/>
        <w:rPr>
          <w:rFonts w:hint="default"/>
          <w:sz w:val="52"/>
          <w:szCs w:val="52"/>
          <w:highlight w:val="none"/>
        </w:rPr>
      </w:pPr>
      <w:bookmarkStart w:id="2" w:name="bookmark0"/>
      <w:bookmarkEnd w:id="2"/>
      <w:bookmarkStart w:id="3" w:name="_Toc19294"/>
      <w:r>
        <w:rPr>
          <w:sz w:val="52"/>
          <w:szCs w:val="52"/>
          <w:highlight w:val="none"/>
        </w:rPr>
        <w:t>第一卷</w:t>
      </w:r>
      <w:bookmarkEnd w:id="3"/>
    </w:p>
    <w:p w14:paraId="713F252B">
      <w:pPr>
        <w:pStyle w:val="2"/>
        <w:kinsoku w:val="0"/>
        <w:overflowPunct w:val="0"/>
        <w:spacing w:before="5280" w:beforeLines="2200"/>
        <w:ind w:left="6" w:right="1"/>
        <w:rPr>
          <w:rFonts w:hint="default"/>
          <w:b w:val="0"/>
          <w:highlight w:val="none"/>
        </w:rPr>
        <w:sectPr>
          <w:footerReference r:id="rId4" w:type="default"/>
          <w:pgSz w:w="11905" w:h="16838"/>
          <w:pgMar w:top="1417" w:right="1417" w:bottom="1417" w:left="1417" w:header="720" w:footer="720" w:gutter="0"/>
          <w:cols w:space="720" w:num="1"/>
        </w:sectPr>
      </w:pPr>
    </w:p>
    <w:p w14:paraId="31BBA649">
      <w:pPr>
        <w:pStyle w:val="3"/>
        <w:rPr>
          <w:rFonts w:cs="宋体"/>
          <w:sz w:val="44"/>
          <w:highlight w:val="none"/>
        </w:rPr>
      </w:pPr>
      <w:bookmarkStart w:id="4" w:name="bookmark1"/>
      <w:bookmarkEnd w:id="4"/>
      <w:bookmarkStart w:id="5" w:name="_Toc4842"/>
      <w:r>
        <w:rPr>
          <w:rFonts w:cs="宋体"/>
          <w:sz w:val="44"/>
          <w:highlight w:val="none"/>
        </w:rPr>
        <w:t>第一章 招标公告</w:t>
      </w:r>
      <w:bookmarkEnd w:id="5"/>
    </w:p>
    <w:p w14:paraId="2148F603">
      <w:pPr>
        <w:spacing w:before="240" w:beforeLines="100" w:after="240" w:afterLines="100" w:line="360" w:lineRule="auto"/>
        <w:jc w:val="center"/>
        <w:rPr>
          <w:b/>
          <w:sz w:val="30"/>
          <w:highlight w:val="none"/>
        </w:rPr>
      </w:pPr>
      <w:r>
        <w:rPr>
          <w:rFonts w:hint="eastAsia"/>
          <w:b/>
          <w:sz w:val="30"/>
          <w:highlight w:val="none"/>
          <w:lang w:eastAsia="zh-CN"/>
        </w:rPr>
        <w:t>广州国际金融城东区深涌整治工程监理</w:t>
      </w:r>
      <w:r>
        <w:rPr>
          <w:rFonts w:ascii="宋体"/>
          <w:b/>
          <w:sz w:val="30"/>
          <w:highlight w:val="none"/>
        </w:rPr>
        <w:t>招标公告</w:t>
      </w:r>
    </w:p>
    <w:p w14:paraId="4220D0AB">
      <w:pPr>
        <w:pStyle w:val="4"/>
        <w:spacing w:before="120" w:after="120"/>
        <w:rPr>
          <w:rFonts w:ascii="Microsoft JhengHei" w:eastAsia="Microsoft JhengHei"/>
          <w:b w:val="0"/>
          <w:highlight w:val="none"/>
        </w:rPr>
      </w:pPr>
      <w:bookmarkStart w:id="6" w:name="bookmark2"/>
      <w:bookmarkEnd w:id="6"/>
      <w:bookmarkStart w:id="7" w:name="_Toc5169"/>
      <w:r>
        <w:rPr>
          <w:rFonts w:cs="宋体"/>
          <w:highlight w:val="none"/>
        </w:rPr>
        <w:t>1.招标条件</w:t>
      </w:r>
      <w:bookmarkEnd w:id="7"/>
    </w:p>
    <w:p w14:paraId="54E43DB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本招标项目</w:t>
      </w:r>
      <w:r>
        <w:rPr>
          <w:rFonts w:hint="eastAsia"/>
          <w:sz w:val="24"/>
          <w:highlight w:val="none"/>
          <w:u w:val="single"/>
          <w:lang w:eastAsia="zh-CN"/>
        </w:rPr>
        <w:t>广州国际金融城东区深涌整治工程监理</w:t>
      </w:r>
      <w:r>
        <w:rPr>
          <w:spacing w:val="-1"/>
          <w:sz w:val="24"/>
          <w:highlight w:val="none"/>
        </w:rPr>
        <w:t>已由</w:t>
      </w:r>
      <w:r>
        <w:rPr>
          <w:rFonts w:hint="eastAsia" w:ascii="Times New Roman" w:hAnsi="Times New Roman"/>
          <w:spacing w:val="-1"/>
          <w:sz w:val="24"/>
          <w:highlight w:val="none"/>
          <w:u w:val="single"/>
        </w:rPr>
        <w:t>广州市发展和改革委员会</w:t>
      </w:r>
      <w:r>
        <w:rPr>
          <w:spacing w:val="-5"/>
          <w:sz w:val="24"/>
          <w:highlight w:val="none"/>
          <w:u w:val="single"/>
        </w:rPr>
        <w:t>以穗发改投批【202</w:t>
      </w:r>
      <w:r>
        <w:rPr>
          <w:rFonts w:hint="eastAsia"/>
          <w:spacing w:val="-5"/>
          <w:sz w:val="24"/>
          <w:highlight w:val="none"/>
          <w:u w:val="single"/>
          <w:lang w:val="en-US" w:eastAsia="zh-CN"/>
        </w:rPr>
        <w:t>5</w:t>
      </w:r>
      <w:r>
        <w:rPr>
          <w:spacing w:val="-5"/>
          <w:sz w:val="24"/>
          <w:highlight w:val="none"/>
          <w:u w:val="single"/>
        </w:rPr>
        <w:t>】</w:t>
      </w:r>
      <w:r>
        <w:rPr>
          <w:rFonts w:hint="eastAsia"/>
          <w:spacing w:val="-5"/>
          <w:sz w:val="24"/>
          <w:highlight w:val="none"/>
          <w:u w:val="single"/>
          <w:lang w:val="en-US" w:eastAsia="zh-CN"/>
        </w:rPr>
        <w:t>78</w:t>
      </w:r>
      <w:r>
        <w:rPr>
          <w:spacing w:val="-5"/>
          <w:sz w:val="24"/>
          <w:highlight w:val="none"/>
          <w:u w:val="single"/>
        </w:rPr>
        <w:t xml:space="preserve">号 </w:t>
      </w:r>
      <w:r>
        <w:rPr>
          <w:spacing w:val="-4"/>
          <w:sz w:val="24"/>
          <w:highlight w:val="none"/>
        </w:rPr>
        <w:t>批准建设，项目业主为</w:t>
      </w:r>
      <w:r>
        <w:rPr>
          <w:spacing w:val="-4"/>
          <w:sz w:val="24"/>
          <w:highlight w:val="none"/>
          <w:u w:val="single"/>
        </w:rPr>
        <w:t xml:space="preserve"> 广州市天河区水务局</w:t>
      </w:r>
      <w:r>
        <w:rPr>
          <w:rFonts w:hint="eastAsia"/>
          <w:spacing w:val="-4"/>
          <w:sz w:val="24"/>
          <w:highlight w:val="none"/>
          <w:u w:val="single"/>
        </w:rPr>
        <w:t xml:space="preserve"> </w:t>
      </w:r>
      <w:r>
        <w:rPr>
          <w:spacing w:val="-4"/>
          <w:sz w:val="24"/>
          <w:highlight w:val="none"/>
        </w:rPr>
        <w:t>，项目代码为</w:t>
      </w:r>
      <w:r>
        <w:rPr>
          <w:spacing w:val="-4"/>
          <w:sz w:val="24"/>
          <w:highlight w:val="none"/>
          <w:u w:val="single"/>
        </w:rPr>
        <w:t>2401-440106-04-01-614195</w:t>
      </w:r>
      <w:r>
        <w:rPr>
          <w:rFonts w:hint="eastAsia"/>
          <w:spacing w:val="-4"/>
          <w:sz w:val="24"/>
          <w:highlight w:val="none"/>
          <w:u w:val="single"/>
          <w:lang w:val="en-US" w:eastAsia="zh-CN"/>
        </w:rPr>
        <w:t xml:space="preserve"> </w:t>
      </w:r>
      <w:r>
        <w:rPr>
          <w:spacing w:val="-4"/>
          <w:sz w:val="24"/>
          <w:highlight w:val="none"/>
        </w:rPr>
        <w:t>，建设资金来</w:t>
      </w:r>
      <w:r>
        <w:rPr>
          <w:spacing w:val="-97"/>
          <w:sz w:val="24"/>
          <w:highlight w:val="none"/>
        </w:rPr>
        <w:t xml:space="preserve"> </w:t>
      </w:r>
      <w:r>
        <w:rPr>
          <w:spacing w:val="-1"/>
          <w:sz w:val="24"/>
          <w:highlight w:val="none"/>
        </w:rPr>
        <w:t>自</w:t>
      </w:r>
      <w:r>
        <w:rPr>
          <w:spacing w:val="-1"/>
          <w:sz w:val="24"/>
          <w:highlight w:val="none"/>
          <w:u w:val="single"/>
        </w:rPr>
        <w:t>市财政资金</w:t>
      </w:r>
      <w:r>
        <w:rPr>
          <w:spacing w:val="-12"/>
          <w:sz w:val="24"/>
          <w:highlight w:val="none"/>
        </w:rPr>
        <w:t>，出资比例为</w:t>
      </w:r>
      <w:bookmarkStart w:id="8" w:name="OLE_LINK12"/>
      <w:r>
        <w:rPr>
          <w:spacing w:val="-12"/>
          <w:sz w:val="24"/>
          <w:highlight w:val="none"/>
          <w:u w:val="none"/>
        </w:rPr>
        <w:t>：</w:t>
      </w:r>
      <w:r>
        <w:rPr>
          <w:spacing w:val="-12"/>
          <w:sz w:val="24"/>
          <w:highlight w:val="none"/>
          <w:u w:val="single"/>
        </w:rPr>
        <w:t>市财政资金100%</w:t>
      </w:r>
      <w:bookmarkEnd w:id="8"/>
      <w:r>
        <w:rPr>
          <w:spacing w:val="-12"/>
          <w:sz w:val="24"/>
          <w:highlight w:val="none"/>
          <w:u w:val="single"/>
        </w:rPr>
        <w:t xml:space="preserve"> </w:t>
      </w:r>
      <w:r>
        <w:rPr>
          <w:spacing w:val="-6"/>
          <w:sz w:val="24"/>
          <w:highlight w:val="none"/>
        </w:rPr>
        <w:t>，招标人为</w:t>
      </w:r>
      <w:r>
        <w:rPr>
          <w:rFonts w:hint="eastAsia" w:ascii="Times New Roman" w:hAnsi="Times New Roman" w:eastAsia="Times New Roman"/>
          <w:spacing w:val="-6"/>
          <w:sz w:val="24"/>
          <w:highlight w:val="none"/>
          <w:u w:val="single"/>
        </w:rPr>
        <w:t>广州市天河区水务设施建设中心</w:t>
      </w:r>
      <w:r>
        <w:rPr>
          <w:spacing w:val="-4"/>
          <w:sz w:val="24"/>
          <w:highlight w:val="none"/>
        </w:rPr>
        <w:t>。项目已具备招标</w:t>
      </w:r>
      <w:r>
        <w:rPr>
          <w:spacing w:val="-95"/>
          <w:sz w:val="24"/>
          <w:highlight w:val="none"/>
        </w:rPr>
        <w:t xml:space="preserve"> </w:t>
      </w:r>
      <w:r>
        <w:rPr>
          <w:sz w:val="24"/>
          <w:highlight w:val="none"/>
        </w:rPr>
        <w:t>条件，现对该项目的监理进行公开招标。</w:t>
      </w:r>
    </w:p>
    <w:p w14:paraId="1CCCA9B2">
      <w:pPr>
        <w:pStyle w:val="4"/>
        <w:spacing w:before="120" w:after="120"/>
        <w:rPr>
          <w:rFonts w:cs="宋体"/>
          <w:highlight w:val="none"/>
        </w:rPr>
      </w:pPr>
      <w:bookmarkStart w:id="9" w:name="bookmark3"/>
      <w:bookmarkEnd w:id="9"/>
      <w:bookmarkStart w:id="10" w:name="_Toc32523"/>
      <w:r>
        <w:rPr>
          <w:rFonts w:cs="宋体"/>
          <w:highlight w:val="none"/>
        </w:rPr>
        <w:t>2.项目概况与招标范围</w:t>
      </w:r>
      <w:bookmarkEnd w:id="10"/>
    </w:p>
    <w:p w14:paraId="1EF86E8A">
      <w:pPr>
        <w:tabs>
          <w:tab w:val="left" w:pos="7513"/>
        </w:tabs>
        <w:spacing w:line="360" w:lineRule="auto"/>
        <w:ind w:firstLine="240" w:firstLineChars="100"/>
        <w:outlineLvl w:val="2"/>
        <w:rPr>
          <w:rFonts w:ascii="宋体" w:hAnsi="宋体"/>
          <w:highlight w:val="none"/>
        </w:rPr>
      </w:pPr>
      <w:bookmarkStart w:id="11" w:name="_Toc17345"/>
      <w:bookmarkStart w:id="12" w:name="_Toc20255"/>
      <w:r>
        <w:rPr>
          <w:rFonts w:ascii="宋体" w:hAnsi="宋体"/>
          <w:highlight w:val="none"/>
        </w:rPr>
        <w:t>2.1</w:t>
      </w:r>
      <w:r>
        <w:rPr>
          <w:rFonts w:hint="eastAsia" w:ascii="宋体" w:hAnsi="宋体"/>
          <w:highlight w:val="none"/>
        </w:rPr>
        <w:t xml:space="preserve"> </w:t>
      </w:r>
      <w:r>
        <w:rPr>
          <w:rFonts w:ascii="宋体" w:hAnsi="宋体"/>
          <w:highlight w:val="none"/>
        </w:rPr>
        <w:t>招标项目概况</w:t>
      </w:r>
      <w:bookmarkEnd w:id="11"/>
      <w:bookmarkEnd w:id="12"/>
    </w:p>
    <w:p w14:paraId="60621ED5">
      <w:pPr>
        <w:tabs>
          <w:tab w:val="left" w:pos="7513"/>
        </w:tabs>
        <w:spacing w:line="360" w:lineRule="auto"/>
        <w:ind w:firstLine="480" w:firstLineChars="200"/>
        <w:rPr>
          <w:rFonts w:ascii="宋体" w:hAnsi="宋体" w:cs="宋体"/>
          <w:highlight w:val="none"/>
        </w:rPr>
      </w:pPr>
      <w:r>
        <w:rPr>
          <w:rFonts w:ascii="宋体" w:hAnsi="宋体"/>
          <w:highlight w:val="none"/>
        </w:rPr>
        <w:t>2.1.1招标项目名称：</w:t>
      </w:r>
      <w:r>
        <w:rPr>
          <w:rFonts w:hint="eastAsia" w:ascii="宋体" w:hAnsi="宋体"/>
          <w:highlight w:val="none"/>
          <w:u w:val="single"/>
          <w:lang w:eastAsia="zh-CN"/>
        </w:rPr>
        <w:t>广州国际金融城东区深涌整治工程监理</w:t>
      </w:r>
      <w:r>
        <w:rPr>
          <w:rFonts w:ascii="宋体" w:hAnsi="宋体"/>
          <w:highlight w:val="none"/>
        </w:rPr>
        <w:t xml:space="preserve"> </w:t>
      </w:r>
    </w:p>
    <w:p w14:paraId="5938DDBA">
      <w:pPr>
        <w:tabs>
          <w:tab w:val="left" w:pos="7513"/>
        </w:tabs>
        <w:spacing w:line="360" w:lineRule="auto"/>
        <w:ind w:firstLine="424" w:firstLineChars="177"/>
        <w:rPr>
          <w:rFonts w:ascii="宋体" w:hAnsi="宋体" w:cs="宋体"/>
          <w:highlight w:val="none"/>
        </w:rPr>
      </w:pPr>
      <w:r>
        <w:rPr>
          <w:rFonts w:ascii="宋体" w:hAnsi="宋体"/>
          <w:highlight w:val="none"/>
        </w:rPr>
        <w:t>2.1.2工程建设地点：</w:t>
      </w:r>
      <w:r>
        <w:rPr>
          <w:rFonts w:hint="eastAsia" w:ascii="宋体" w:hAnsi="宋体" w:cs="宋体"/>
          <w:color w:val="auto"/>
          <w:szCs w:val="21"/>
          <w:highlight w:val="none"/>
          <w:u w:val="single"/>
        </w:rPr>
        <w:t>广州市天河区</w:t>
      </w:r>
    </w:p>
    <w:p w14:paraId="3F186D1E">
      <w:pPr>
        <w:tabs>
          <w:tab w:val="left" w:pos="7513"/>
        </w:tabs>
        <w:spacing w:line="360" w:lineRule="auto"/>
        <w:ind w:firstLine="424" w:firstLineChars="177"/>
        <w:rPr>
          <w:rFonts w:hint="eastAsia" w:ascii="宋体"/>
          <w:highlight w:val="none"/>
          <w:u w:val="single"/>
        </w:rPr>
      </w:pPr>
      <w:r>
        <w:rPr>
          <w:rFonts w:ascii="宋体" w:hAnsi="宋体"/>
          <w:highlight w:val="none"/>
        </w:rPr>
        <w:t>2.1.3工程建设规模</w:t>
      </w:r>
      <w:r>
        <w:rPr>
          <w:rFonts w:ascii="宋体"/>
          <w:highlight w:val="none"/>
        </w:rPr>
        <w:t>：</w:t>
      </w:r>
      <w:r>
        <w:rPr>
          <w:rFonts w:hint="eastAsia" w:ascii="宋体"/>
          <w:highlight w:val="none"/>
          <w:u w:val="single"/>
        </w:rPr>
        <w:t>本项目拆除现状旧水闸1座</w:t>
      </w:r>
      <w:r>
        <w:rPr>
          <w:rFonts w:hint="eastAsia" w:ascii="宋体"/>
          <w:highlight w:val="none"/>
          <w:u w:val="single"/>
          <w:lang w:eastAsia="zh-CN"/>
        </w:rPr>
        <w:t>；</w:t>
      </w:r>
      <w:r>
        <w:rPr>
          <w:rFonts w:hint="eastAsia" w:ascii="宋体"/>
          <w:highlight w:val="none"/>
          <w:u w:val="single"/>
        </w:rPr>
        <w:t>原址重建水闸1座,设计排涝流量206.3立方米每秒,总净宽25米,规模为中型</w:t>
      </w:r>
      <w:r>
        <w:rPr>
          <w:rFonts w:hint="eastAsia" w:ascii="宋体"/>
          <w:highlight w:val="none"/>
          <w:u w:val="single"/>
          <w:lang w:eastAsia="zh-CN"/>
        </w:rPr>
        <w:t>；</w:t>
      </w:r>
      <w:r>
        <w:rPr>
          <w:rFonts w:hint="eastAsia" w:ascii="宋体"/>
          <w:highlight w:val="none"/>
          <w:u w:val="single"/>
        </w:rPr>
        <w:t>新建排涝泵站1座,设计流量54.2立方米每秒,总装机2520千瓦,规模为大(2)型</w:t>
      </w:r>
      <w:r>
        <w:rPr>
          <w:rFonts w:hint="eastAsia" w:ascii="宋体"/>
          <w:highlight w:val="none"/>
          <w:u w:val="single"/>
          <w:lang w:eastAsia="zh-CN"/>
        </w:rPr>
        <w:t>；</w:t>
      </w:r>
      <w:r>
        <w:rPr>
          <w:rFonts w:hint="eastAsia" w:ascii="宋体"/>
          <w:highlight w:val="none"/>
          <w:u w:val="single"/>
        </w:rPr>
        <w:t>内涌堤防按50年一遇防洪标准结合城市滨水空间建设,水闸上游连接段治理长度约10米,左右岸堤岸整治长20米</w:t>
      </w:r>
      <w:r>
        <w:rPr>
          <w:rFonts w:hint="eastAsia" w:ascii="宋体"/>
          <w:highlight w:val="none"/>
          <w:u w:val="single"/>
          <w:lang w:eastAsia="zh-CN"/>
        </w:rPr>
        <w:t>；</w:t>
      </w:r>
      <w:r>
        <w:rPr>
          <w:rFonts w:hint="eastAsia" w:ascii="宋体"/>
          <w:highlight w:val="none"/>
          <w:u w:val="single"/>
        </w:rPr>
        <w:t>闸外连接堤按200年一遇防洪(潮)标准达标加固,左右岸连接堤合计303.7米</w:t>
      </w:r>
      <w:r>
        <w:rPr>
          <w:rFonts w:hint="eastAsia" w:ascii="宋体"/>
          <w:highlight w:val="none"/>
          <w:u w:val="single"/>
          <w:lang w:eastAsia="zh-CN"/>
        </w:rPr>
        <w:t>；</w:t>
      </w:r>
      <w:r>
        <w:rPr>
          <w:rFonts w:hint="eastAsia" w:ascii="宋体"/>
          <w:highlight w:val="none"/>
          <w:u w:val="single"/>
        </w:rPr>
        <w:t>对两岸沿线533.2米堤岸进行滨水带生态化建设</w:t>
      </w:r>
      <w:r>
        <w:rPr>
          <w:rFonts w:hint="eastAsia" w:ascii="宋体"/>
          <w:color w:val="000000"/>
          <w:highlight w:val="none"/>
          <w:u w:val="single"/>
          <w:lang w:eastAsia="zh-CN"/>
        </w:rPr>
        <w:t>，</w:t>
      </w:r>
      <w:r>
        <w:rPr>
          <w:rFonts w:hint="eastAsia" w:ascii="宋体"/>
          <w:color w:val="000000"/>
          <w:highlight w:val="none"/>
          <w:u w:val="single"/>
          <w:lang w:val="en-US" w:eastAsia="zh-CN"/>
        </w:rPr>
        <w:t>闸外堤防级别为1级，闸内堤防级别为2级</w:t>
      </w:r>
      <w:r>
        <w:rPr>
          <w:rFonts w:hint="eastAsia" w:ascii="宋体"/>
          <w:color w:val="000000"/>
          <w:highlight w:val="none"/>
          <w:u w:val="single"/>
        </w:rPr>
        <w:t>。</w:t>
      </w:r>
    </w:p>
    <w:p w14:paraId="71EC6E67">
      <w:pPr>
        <w:tabs>
          <w:tab w:val="left" w:pos="7513"/>
        </w:tabs>
        <w:spacing w:line="360" w:lineRule="auto"/>
        <w:ind w:firstLine="424" w:firstLineChars="177"/>
        <w:rPr>
          <w:rFonts w:ascii="宋体"/>
          <w:highlight w:val="none"/>
          <w:u w:val="single"/>
        </w:rPr>
      </w:pPr>
      <w:r>
        <w:rPr>
          <w:rFonts w:hint="eastAsia" w:ascii="宋体"/>
          <w:highlight w:val="none"/>
          <w:u w:val="single"/>
        </w:rPr>
        <w:t>项目总投资20232万元,其中工程部分静态投资19947万元(其中建筑工程10401万元,机电设备及安装工程2284万元,金属结构设备及安装工程982万元,施工临时工程1743万元,独立费用2724万元,基本预备费1813万元),水士保持投资17万元，环境保护工程投资28万元，专项工程投资240万元</w:t>
      </w:r>
      <w:r>
        <w:rPr>
          <w:rFonts w:ascii="宋体"/>
          <w:highlight w:val="none"/>
          <w:u w:val="single"/>
        </w:rPr>
        <w:t>。</w:t>
      </w:r>
      <w:r>
        <w:rPr>
          <w:rFonts w:hint="eastAsia" w:ascii="宋体"/>
          <w:highlight w:val="none"/>
          <w:u w:val="single"/>
        </w:rPr>
        <w:t>本项目建设资金由市财政出资，从市土地出让金中统筹安排。</w:t>
      </w:r>
    </w:p>
    <w:p w14:paraId="14689590">
      <w:pPr>
        <w:tabs>
          <w:tab w:val="left" w:pos="7513"/>
        </w:tabs>
        <w:spacing w:line="360" w:lineRule="auto"/>
        <w:ind w:firstLine="240" w:firstLineChars="100"/>
        <w:outlineLvl w:val="2"/>
        <w:rPr>
          <w:rFonts w:ascii="宋体" w:hAnsi="宋体"/>
          <w:highlight w:val="none"/>
        </w:rPr>
      </w:pPr>
      <w:bookmarkStart w:id="13" w:name="_Toc22253"/>
      <w:bookmarkStart w:id="14" w:name="_Toc13481"/>
      <w:r>
        <w:rPr>
          <w:rFonts w:ascii="宋体" w:hAnsi="宋体"/>
          <w:highlight w:val="none"/>
        </w:rPr>
        <w:t>2.2</w:t>
      </w:r>
      <w:r>
        <w:rPr>
          <w:rFonts w:hint="eastAsia" w:ascii="宋体" w:hAnsi="宋体"/>
          <w:highlight w:val="none"/>
        </w:rPr>
        <w:t xml:space="preserve"> </w:t>
      </w:r>
      <w:r>
        <w:rPr>
          <w:rFonts w:ascii="宋体" w:hAnsi="宋体"/>
          <w:highlight w:val="none"/>
        </w:rPr>
        <w:t>招标范围</w:t>
      </w:r>
      <w:bookmarkEnd w:id="13"/>
      <w:bookmarkEnd w:id="14"/>
    </w:p>
    <w:p w14:paraId="14E97715">
      <w:pPr>
        <w:tabs>
          <w:tab w:val="left" w:pos="7513"/>
        </w:tabs>
        <w:spacing w:line="360" w:lineRule="auto"/>
        <w:ind w:firstLine="480" w:firstLineChars="200"/>
        <w:rPr>
          <w:rFonts w:ascii="宋体" w:hAnsi="宋体" w:cs="宋体"/>
          <w:highlight w:val="none"/>
        </w:rPr>
      </w:pPr>
      <w:r>
        <w:rPr>
          <w:rFonts w:ascii="宋体" w:hAnsi="宋体"/>
          <w:highlight w:val="none"/>
        </w:rPr>
        <w:t>2.2.1</w:t>
      </w:r>
      <w:r>
        <w:rPr>
          <w:rFonts w:ascii="宋体"/>
          <w:highlight w:val="none"/>
        </w:rPr>
        <w:t>标段划分：</w:t>
      </w:r>
      <w:r>
        <w:rPr>
          <w:highlight w:val="none"/>
          <w:u w:val="single"/>
        </w:rPr>
        <w:t>本项目分为 1 个标段</w:t>
      </w:r>
      <w:r>
        <w:rPr>
          <w:highlight w:val="none"/>
        </w:rPr>
        <w:t xml:space="preserve">   </w:t>
      </w:r>
    </w:p>
    <w:p w14:paraId="6E13A043">
      <w:pPr>
        <w:tabs>
          <w:tab w:val="left" w:pos="7513"/>
        </w:tabs>
        <w:spacing w:line="360" w:lineRule="auto"/>
        <w:ind w:firstLine="480" w:firstLineChars="200"/>
        <w:rPr>
          <w:rFonts w:ascii="宋体" w:hAnsi="宋体"/>
          <w:color w:val="000000"/>
          <w:highlight w:val="none"/>
        </w:rPr>
      </w:pPr>
      <w:r>
        <w:rPr>
          <w:rFonts w:ascii="宋体" w:hAnsi="宋体"/>
          <w:highlight w:val="none"/>
        </w:rPr>
        <w:t>2.2.2监理范围：</w:t>
      </w:r>
      <w:r>
        <w:rPr>
          <w:rFonts w:ascii="宋体" w:hAnsi="宋体"/>
          <w:color w:val="000000"/>
          <w:highlight w:val="none"/>
          <w:u w:val="single"/>
        </w:rPr>
        <w:t>监理内容包括但不限于以下内容：负责本项目勘察设计阶段、施工准备阶段、施工阶段、工程收尾阶段（包括但不限于完工验收、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施工款资金使用进行监管，确保本项目资金专款专用，具体监管方式和流程以监理人、承包人和施工款非工人工资部分的开户银行签订的监管协议为准。根据《水利工程施工监理规范》（SL288-2014）规定组织平行检测，检测机构为建设单位委托的第三方水利工程质量检测（对比检测及平行检测及监测）单位。</w:t>
      </w:r>
      <w:r>
        <w:rPr>
          <w:rFonts w:ascii="宋体" w:hAnsi="宋体"/>
          <w:color w:val="000000"/>
          <w:highlight w:val="none"/>
        </w:rPr>
        <w:t xml:space="preserve">                </w:t>
      </w:r>
    </w:p>
    <w:p w14:paraId="3FAC6F98">
      <w:pPr>
        <w:tabs>
          <w:tab w:val="left" w:pos="7513"/>
        </w:tabs>
        <w:spacing w:line="360" w:lineRule="auto"/>
        <w:ind w:firstLine="480" w:firstLineChars="200"/>
        <w:rPr>
          <w:rFonts w:ascii="宋体" w:hAnsi="宋体"/>
          <w:highlight w:val="none"/>
        </w:rPr>
      </w:pPr>
      <w:r>
        <w:rPr>
          <w:rFonts w:ascii="宋体" w:hAnsi="宋体"/>
          <w:color w:val="000000"/>
          <w:highlight w:val="none"/>
        </w:rPr>
        <w:t>2.2.3监理服务期：</w:t>
      </w:r>
      <w:r>
        <w:rPr>
          <w:rFonts w:ascii="宋体" w:hAnsi="宋体"/>
          <w:color w:val="000000"/>
          <w:highlight w:val="none"/>
          <w:u w:val="single"/>
        </w:rPr>
        <w:t>自合同签订之日始，至监理服务缺陷责任期、竣工结算及财务决算期结束止；以最迟结束时间为准。计划施工工期：</w:t>
      </w:r>
      <w:r>
        <w:rPr>
          <w:rFonts w:hint="eastAsia" w:ascii="宋体" w:hAnsi="宋体"/>
          <w:color w:val="000000"/>
          <w:highlight w:val="none"/>
          <w:u w:val="single"/>
          <w:lang w:val="en-US" w:eastAsia="zh-CN"/>
        </w:rPr>
        <w:t>750</w:t>
      </w:r>
      <w:r>
        <w:rPr>
          <w:rFonts w:hint="eastAsia" w:ascii="宋体" w:hAnsi="宋体"/>
          <w:color w:val="000000"/>
          <w:highlight w:val="none"/>
          <w:u w:val="single"/>
        </w:rPr>
        <w:t>日历天</w:t>
      </w:r>
      <w:r>
        <w:rPr>
          <w:rFonts w:hint="eastAsia" w:ascii="宋体" w:hAnsi="宋体"/>
          <w:color w:val="000000"/>
          <w:highlight w:val="none"/>
          <w:u w:val="single"/>
          <w:lang w:eastAsia="zh-CN"/>
        </w:rPr>
        <w:t>。</w:t>
      </w:r>
      <w:r>
        <w:rPr>
          <w:rFonts w:ascii="宋体" w:hAnsi="宋体"/>
          <w:highlight w:val="none"/>
        </w:rPr>
        <w:t xml:space="preserve">                </w:t>
      </w:r>
    </w:p>
    <w:p w14:paraId="160A67AA">
      <w:pPr>
        <w:tabs>
          <w:tab w:val="left" w:pos="7513"/>
        </w:tabs>
        <w:spacing w:line="360" w:lineRule="auto"/>
        <w:ind w:firstLine="480" w:firstLineChars="200"/>
        <w:rPr>
          <w:rFonts w:ascii="宋体" w:hAnsi="宋体"/>
          <w:highlight w:val="none"/>
        </w:rPr>
      </w:pPr>
      <w:r>
        <w:rPr>
          <w:rFonts w:ascii="宋体" w:hAnsi="宋体"/>
          <w:highlight w:val="none"/>
        </w:rPr>
        <w:t>2.2.4监理服务最高投标限价：</w:t>
      </w:r>
      <w:bookmarkStart w:id="15" w:name="OLE_LINK1"/>
      <w:r>
        <w:rPr>
          <w:rFonts w:hint="eastAsia" w:ascii="宋体" w:hAnsi="宋体"/>
          <w:highlight w:val="none"/>
          <w:u w:val="single"/>
        </w:rPr>
        <w:t>3244306.78</w:t>
      </w:r>
      <w:r>
        <w:rPr>
          <w:rFonts w:ascii="宋体" w:hAnsi="宋体"/>
          <w:highlight w:val="none"/>
          <w:u w:val="single"/>
        </w:rPr>
        <w:t>元。</w:t>
      </w:r>
      <w:r>
        <w:rPr>
          <w:rFonts w:ascii="宋体" w:hAnsi="宋体" w:cs="宋体"/>
          <w:highlight w:val="none"/>
          <w:lang w:bidi="ar"/>
        </w:rPr>
        <w:t xml:space="preserve">  </w:t>
      </w:r>
      <w:bookmarkEnd w:id="15"/>
    </w:p>
    <w:p w14:paraId="3E9D2392">
      <w:pPr>
        <w:pStyle w:val="4"/>
        <w:spacing w:before="120" w:after="120"/>
        <w:rPr>
          <w:rFonts w:cs="宋体"/>
          <w:b w:val="0"/>
          <w:i/>
          <w:sz w:val="21"/>
          <w:szCs w:val="21"/>
          <w:highlight w:val="none"/>
        </w:rPr>
      </w:pPr>
      <w:bookmarkStart w:id="16" w:name="bookmark4"/>
      <w:bookmarkEnd w:id="16"/>
      <w:bookmarkStart w:id="17" w:name="_Toc6545"/>
      <w:r>
        <w:rPr>
          <w:rFonts w:cs="宋体"/>
          <w:highlight w:val="none"/>
        </w:rPr>
        <w:t>3.投标人资格要求</w:t>
      </w:r>
      <w:r>
        <w:rPr>
          <w:rFonts w:cs="宋体"/>
          <w:b w:val="0"/>
          <w:i/>
          <w:sz w:val="21"/>
          <w:szCs w:val="21"/>
          <w:highlight w:val="none"/>
        </w:rPr>
        <w:t>（说明：投标人资质设定按最低要求设定，不得擅自提高标准）</w:t>
      </w:r>
      <w:bookmarkEnd w:id="17"/>
    </w:p>
    <w:p w14:paraId="2F57F917">
      <w:pPr>
        <w:tabs>
          <w:tab w:val="left" w:pos="7513"/>
        </w:tabs>
        <w:spacing w:line="360" w:lineRule="auto"/>
        <w:ind w:firstLine="480" w:firstLineChars="200"/>
        <w:outlineLvl w:val="2"/>
        <w:rPr>
          <w:rFonts w:ascii="宋体" w:hAnsi="宋体" w:cs="宋体"/>
          <w:highlight w:val="none"/>
        </w:rPr>
      </w:pPr>
      <w:bookmarkStart w:id="18" w:name="_Toc15591"/>
      <w:bookmarkStart w:id="19" w:name="_Toc31217"/>
      <w:r>
        <w:rPr>
          <w:rFonts w:ascii="宋体" w:hAnsi="宋体" w:cs="宋体"/>
          <w:highlight w:val="none"/>
        </w:rPr>
        <w:t xml:space="preserve">3.1 </w:t>
      </w:r>
      <w:r>
        <w:rPr>
          <w:rFonts w:ascii="宋体" w:hAnsi="宋体"/>
          <w:highlight w:val="none"/>
        </w:rPr>
        <w:t>投标人参加投标的意思表达清楚，投标人代表被授权有效</w:t>
      </w:r>
      <w:r>
        <w:rPr>
          <w:rFonts w:ascii="宋体" w:hAnsi="宋体" w:cs="宋体"/>
          <w:highlight w:val="none"/>
        </w:rPr>
        <w:t>。</w:t>
      </w:r>
      <w:bookmarkEnd w:id="18"/>
      <w:bookmarkEnd w:id="19"/>
    </w:p>
    <w:p w14:paraId="70751629">
      <w:pPr>
        <w:tabs>
          <w:tab w:val="left" w:pos="7513"/>
        </w:tabs>
        <w:spacing w:line="360" w:lineRule="auto"/>
        <w:ind w:firstLine="480" w:firstLineChars="200"/>
        <w:rPr>
          <w:rFonts w:ascii="宋体" w:hAnsi="宋体"/>
          <w:highlight w:val="none"/>
        </w:rPr>
      </w:pPr>
      <w:r>
        <w:rPr>
          <w:rFonts w:ascii="宋体" w:hAnsi="宋体" w:cs="宋体"/>
          <w:highlight w:val="none"/>
        </w:rPr>
        <w:t xml:space="preserve">3.2 </w:t>
      </w:r>
      <w:r>
        <w:rPr>
          <w:rFonts w:ascii="宋体" w:hAnsi="宋体"/>
          <w:highlight w:val="none"/>
        </w:rPr>
        <w:t>投标人是法人或其他组织，按国家法律经营。</w:t>
      </w:r>
    </w:p>
    <w:p w14:paraId="3A01E3F0">
      <w:pPr>
        <w:tabs>
          <w:tab w:val="left" w:pos="7513"/>
        </w:tabs>
        <w:spacing w:line="360" w:lineRule="auto"/>
        <w:ind w:firstLine="480" w:firstLineChars="200"/>
        <w:outlineLvl w:val="2"/>
        <w:rPr>
          <w:rFonts w:ascii="宋体" w:hAnsi="宋体" w:cs="宋体"/>
          <w:highlight w:val="none"/>
        </w:rPr>
      </w:pPr>
      <w:bookmarkStart w:id="20" w:name="_Toc25809"/>
      <w:bookmarkStart w:id="21" w:name="_Toc9121"/>
      <w:r>
        <w:rPr>
          <w:rFonts w:ascii="宋体" w:hAnsi="宋体" w:cs="宋体"/>
          <w:highlight w:val="none"/>
        </w:rPr>
        <w:t xml:space="preserve">3.3 </w:t>
      </w:r>
      <w:r>
        <w:rPr>
          <w:rFonts w:ascii="宋体" w:hAnsi="宋体"/>
          <w:highlight w:val="none"/>
        </w:rPr>
        <w:t>本次招标要求投标人须具备</w:t>
      </w:r>
      <w:r>
        <w:rPr>
          <w:rFonts w:ascii="宋体" w:hAnsi="宋体"/>
          <w:highlight w:val="none"/>
          <w:u w:val="single"/>
        </w:rPr>
        <w:t>水利部颁发的水利工程施工监理甲级</w:t>
      </w:r>
      <w:r>
        <w:rPr>
          <w:rFonts w:ascii="宋体" w:hAnsi="宋体"/>
          <w:highlight w:val="none"/>
        </w:rPr>
        <w:t>资质。</w:t>
      </w:r>
      <w:bookmarkEnd w:id="20"/>
      <w:bookmarkEnd w:id="21"/>
    </w:p>
    <w:p w14:paraId="72E24084">
      <w:pPr>
        <w:tabs>
          <w:tab w:val="left" w:pos="7513"/>
        </w:tabs>
        <w:spacing w:line="360" w:lineRule="auto"/>
        <w:ind w:firstLine="480" w:firstLineChars="200"/>
        <w:jc w:val="both"/>
        <w:rPr>
          <w:rFonts w:ascii="仿宋" w:hAnsi="仿宋" w:eastAsia="仿宋" w:cs="仿宋"/>
          <w:highlight w:val="none"/>
        </w:rPr>
      </w:pPr>
      <w:r>
        <w:rPr>
          <w:rFonts w:hint="eastAsia" w:ascii="仿宋" w:hAnsi="仿宋" w:eastAsia="仿宋" w:cs="仿宋"/>
          <w:highlight w:val="none"/>
        </w:rPr>
        <w:t>注：根据《水利部关于开展水利工程建设监理单位资质行政许可有关工作的公告》（中华人民共和国水利部公告2021年第9号）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3D8D8748">
      <w:pPr>
        <w:spacing w:line="360" w:lineRule="auto"/>
        <w:ind w:firstLine="480" w:firstLineChars="200"/>
        <w:rPr>
          <w:rFonts w:ascii="宋体" w:hAnsi="宋体"/>
          <w:highlight w:val="none"/>
        </w:rPr>
      </w:pPr>
      <w:r>
        <w:rPr>
          <w:rFonts w:ascii="宋体" w:hAnsi="宋体" w:cs="宋体"/>
          <w:highlight w:val="none"/>
        </w:rPr>
        <w:t xml:space="preserve">3.4 </w:t>
      </w:r>
      <w:r>
        <w:rPr>
          <w:rFonts w:ascii="宋体" w:hAnsi="宋体"/>
          <w:highlight w:val="none"/>
        </w:rPr>
        <w:t>拟派总监理工程师须具备</w:t>
      </w:r>
      <w:r>
        <w:rPr>
          <w:rFonts w:ascii="宋体" w:hAnsi="宋体"/>
          <w:highlight w:val="none"/>
          <w:u w:val="single"/>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并具有本科学历，且具有离投标截止时间最近一个月（时间为：</w:t>
      </w:r>
      <w:r>
        <w:rPr>
          <w:rFonts w:hint="eastAsia" w:ascii="宋体" w:hAnsi="宋体"/>
          <w:highlight w:val="none"/>
          <w:u w:val="single"/>
        </w:rPr>
        <w:t>2025年</w:t>
      </w:r>
      <w:r>
        <w:rPr>
          <w:rFonts w:hint="eastAsia" w:ascii="宋体" w:hAnsi="宋体"/>
          <w:highlight w:val="none"/>
          <w:u w:val="single"/>
          <w:lang w:val="en-US" w:eastAsia="zh-CN"/>
        </w:rPr>
        <w:t>08</w:t>
      </w:r>
      <w:r>
        <w:rPr>
          <w:rFonts w:hint="eastAsia" w:ascii="宋体" w:hAnsi="宋体"/>
          <w:highlight w:val="none"/>
          <w:u w:val="single"/>
        </w:rPr>
        <w:t>月</w:t>
      </w:r>
      <w:r>
        <w:rPr>
          <w:rFonts w:ascii="宋体" w:hAnsi="宋体"/>
          <w:highlight w:val="none"/>
          <w:u w:val="single"/>
        </w:rPr>
        <w:t>）</w:t>
      </w:r>
      <w:r>
        <w:rPr>
          <w:rFonts w:hint="eastAsia" w:cs="宋体"/>
          <w:sz w:val="24"/>
          <w:highlight w:val="none"/>
          <w:u w:val="single"/>
        </w:rPr>
        <w:t>在本投标单位购买社保缴纳证明材料</w:t>
      </w:r>
      <w:r>
        <w:rPr>
          <w:rFonts w:hint="eastAsia" w:cs="宋体"/>
          <w:sz w:val="24"/>
          <w:highlight w:val="none"/>
          <w:u w:val="single"/>
          <w:lang w:eastAsia="zh-CN"/>
        </w:rPr>
        <w:t>（</w:t>
      </w:r>
      <w:r>
        <w:rPr>
          <w:rFonts w:hint="eastAsia" w:cs="宋体"/>
          <w:sz w:val="24"/>
          <w:highlight w:val="none"/>
          <w:u w:val="single"/>
        </w:rPr>
        <w:t>须加盖社保部门或税务部门印章</w:t>
      </w:r>
      <w:r>
        <w:rPr>
          <w:rFonts w:hint="eastAsia" w:cs="宋体"/>
          <w:sz w:val="24"/>
          <w:highlight w:val="none"/>
          <w:u w:val="single"/>
          <w:lang w:eastAsia="zh-CN"/>
        </w:rPr>
        <w:t>）。</w:t>
      </w:r>
      <w:r>
        <w:rPr>
          <w:rFonts w:ascii="宋体" w:hAnsi="宋体"/>
          <w:highlight w:val="none"/>
          <w:u w:val="single"/>
        </w:rPr>
        <w:t xml:space="preserve"> </w:t>
      </w:r>
    </w:p>
    <w:p w14:paraId="584F28ED">
      <w:pPr>
        <w:tabs>
          <w:tab w:val="left" w:pos="7513"/>
        </w:tabs>
        <w:spacing w:line="360" w:lineRule="auto"/>
        <w:ind w:firstLine="480" w:firstLineChars="200"/>
        <w:rPr>
          <w:rFonts w:ascii="仿宋" w:hAnsi="仿宋" w:eastAsia="仿宋" w:cs="仿宋"/>
          <w:highlight w:val="none"/>
        </w:rPr>
      </w:pPr>
      <w:r>
        <w:rPr>
          <w:rFonts w:hint="eastAsia" w:ascii="仿宋" w:hAnsi="仿宋" w:eastAsia="仿宋" w:cs="仿宋"/>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704BDAB">
      <w:pPr>
        <w:spacing w:line="360" w:lineRule="auto"/>
        <w:ind w:firstLine="480" w:firstLineChars="200"/>
        <w:rPr>
          <w:rFonts w:ascii="宋体" w:hAnsi="宋体" w:cs="宋体"/>
          <w:highlight w:val="none"/>
        </w:rPr>
      </w:pPr>
      <w:r>
        <w:rPr>
          <w:rFonts w:ascii="宋体" w:hAnsi="宋体" w:cs="宋体"/>
          <w:highlight w:val="none"/>
        </w:rPr>
        <w:t>3.</w:t>
      </w:r>
      <w:r>
        <w:rPr>
          <w:rFonts w:hint="eastAsia" w:ascii="宋体" w:hAnsi="宋体" w:cs="宋体"/>
          <w:highlight w:val="none"/>
        </w:rPr>
        <w:t>5</w:t>
      </w:r>
      <w:r>
        <w:rPr>
          <w:rFonts w:ascii="宋体" w:hAnsi="宋体" w:cs="宋体"/>
          <w:highlight w:val="none"/>
        </w:rPr>
        <w:t xml:space="preserve"> </w:t>
      </w:r>
      <w:r>
        <w:rPr>
          <w:rFonts w:ascii="宋体" w:hAnsi="宋体" w:cs="宋体"/>
          <w:szCs w:val="21"/>
          <w:highlight w:val="none"/>
        </w:rPr>
        <w:t>投标登记前，投标人须在</w:t>
      </w:r>
      <w:r>
        <w:rPr>
          <w:rFonts w:hint="eastAsia" w:ascii="宋体" w:hAnsi="宋体" w:cs="宋体"/>
          <w:szCs w:val="21"/>
          <w:highlight w:val="none"/>
        </w:rPr>
        <w:t>广州交易集团有限公司（广州公共资源交易中心）</w:t>
      </w:r>
      <w:r>
        <w:rPr>
          <w:rFonts w:ascii="宋体" w:hAnsi="宋体" w:cs="宋体"/>
          <w:szCs w:val="21"/>
          <w:highlight w:val="none"/>
        </w:rPr>
        <w:t>企业库已办理企业信息登记及拟担任本工程总监理工程师须是本单位在企业库中的在册人员。</w:t>
      </w:r>
    </w:p>
    <w:p w14:paraId="3CA8AC57">
      <w:pPr>
        <w:widowControl/>
        <w:snapToGrid w:val="0"/>
        <w:spacing w:line="360" w:lineRule="auto"/>
        <w:ind w:right="34" w:rightChars="14" w:firstLine="480" w:firstLineChars="200"/>
        <w:rPr>
          <w:rFonts w:ascii="宋体" w:hAnsi="宋体" w:cs="宋体"/>
          <w:highlight w:val="none"/>
        </w:rPr>
      </w:pPr>
      <w:r>
        <w:rPr>
          <w:rFonts w:ascii="宋体" w:hAnsi="宋体" w:cs="宋体"/>
          <w:highlight w:val="none"/>
        </w:rPr>
        <w:t>3.</w:t>
      </w:r>
      <w:r>
        <w:rPr>
          <w:rFonts w:hint="eastAsia" w:ascii="宋体" w:hAnsi="宋体" w:cs="宋体"/>
          <w:highlight w:val="none"/>
        </w:rPr>
        <w:t>6</w:t>
      </w:r>
      <w:r>
        <w:rPr>
          <w:rFonts w:ascii="宋体" w:hAnsi="宋体" w:cs="宋体"/>
          <w:highlight w:val="none"/>
        </w:rPr>
        <w:t xml:space="preserve"> </w:t>
      </w:r>
      <w:r>
        <w:rPr>
          <w:rFonts w:ascii="宋体" w:hAnsi="宋体" w:cs="宋体"/>
          <w:szCs w:val="21"/>
          <w:highlight w:val="none"/>
        </w:rPr>
        <w:t>投标人已按规定格式签署盖章《投标人声明》（格式见招标文件第六章投标文件格式）</w:t>
      </w:r>
      <w:r>
        <w:rPr>
          <w:rFonts w:ascii="宋体" w:hAnsi="宋体" w:cs="宋体"/>
          <w:highlight w:val="none"/>
        </w:rPr>
        <w:t>，且总监理工程师</w:t>
      </w:r>
      <w:r>
        <w:rPr>
          <w:rFonts w:hint="eastAsia" w:ascii="宋体" w:hAnsi="宋体" w:cs="宋体"/>
          <w:highlight w:val="none"/>
        </w:rPr>
        <w:t>、技术负责人</w:t>
      </w:r>
      <w:r>
        <w:rPr>
          <w:rFonts w:ascii="宋体" w:hAnsi="宋体" w:cs="宋体"/>
          <w:highlight w:val="none"/>
        </w:rPr>
        <w:t>已签字确认。</w:t>
      </w:r>
    </w:p>
    <w:p w14:paraId="6DF7FC9F">
      <w:pPr>
        <w:snapToGrid w:val="0"/>
        <w:spacing w:line="360" w:lineRule="auto"/>
        <w:ind w:firstLine="480" w:firstLineChars="200"/>
        <w:rPr>
          <w:rFonts w:ascii="宋体" w:hAnsi="宋体"/>
          <w:highlight w:val="none"/>
        </w:rPr>
      </w:pPr>
      <w:r>
        <w:rPr>
          <w:rFonts w:ascii="宋体" w:hAnsi="宋体" w:cs="宋体"/>
          <w:highlight w:val="none"/>
        </w:rPr>
        <w:t>3.</w:t>
      </w:r>
      <w:r>
        <w:rPr>
          <w:rFonts w:hint="eastAsia" w:ascii="宋体" w:hAnsi="宋体" w:cs="宋体"/>
          <w:highlight w:val="none"/>
        </w:rPr>
        <w:t xml:space="preserve">7 </w:t>
      </w:r>
      <w:r>
        <w:rPr>
          <w:rFonts w:ascii="宋体" w:hAnsi="宋体"/>
          <w:highlight w:val="none"/>
        </w:rPr>
        <w:t>投标人未被列入“在一定期限内依法取消参加依法必须进行招标的项目的投标资格”，具体名单以递交投标文件截止时间“信用广州”公布的“黑名单”为准。</w:t>
      </w:r>
    </w:p>
    <w:p w14:paraId="26E4EBE3">
      <w:pPr>
        <w:pStyle w:val="21"/>
        <w:spacing w:before="0" w:after="0" w:line="360" w:lineRule="auto"/>
        <w:ind w:firstLine="540"/>
        <w:rPr>
          <w:highlight w:val="none"/>
        </w:rPr>
      </w:pPr>
      <w:r>
        <w:rPr>
          <w:rFonts w:cs="Times New Roman"/>
          <w:highlight w:val="none"/>
        </w:rPr>
        <w:t>注：《全国失信惩戒措施清单基础清单》（2024版）</w:t>
      </w:r>
      <w:r>
        <w:rPr>
          <w:rFonts w:hint="eastAsia" w:ascii="仿宋" w:hAnsi="仿宋" w:eastAsia="仿宋" w:cs="仿宋"/>
          <w:highlight w:val="none"/>
        </w:rPr>
        <w:t>。</w:t>
      </w:r>
    </w:p>
    <w:p w14:paraId="4A305BCC">
      <w:pPr>
        <w:tabs>
          <w:tab w:val="left" w:pos="7513"/>
        </w:tabs>
        <w:spacing w:line="360" w:lineRule="auto"/>
        <w:ind w:firstLine="480" w:firstLineChars="200"/>
        <w:rPr>
          <w:rFonts w:cs="宋体"/>
          <w:sz w:val="13"/>
          <w:highlight w:val="none"/>
        </w:rPr>
      </w:pPr>
      <w:r>
        <w:rPr>
          <w:rFonts w:ascii="宋体" w:hAnsi="宋体" w:cs="宋体"/>
          <w:highlight w:val="none"/>
        </w:rPr>
        <w:t xml:space="preserve">3.9 </w:t>
      </w:r>
      <w:r>
        <w:rPr>
          <w:rFonts w:ascii="宋体" w:hAnsi="宋体" w:cs="宋体"/>
          <w:spacing w:val="7"/>
          <w:highlight w:val="none"/>
        </w:rPr>
        <w:t>本次</w:t>
      </w:r>
      <w:r>
        <w:rPr>
          <w:rFonts w:ascii="宋体" w:cs="宋体"/>
          <w:spacing w:val="7"/>
          <w:highlight w:val="none"/>
        </w:rPr>
        <w:t>招标</w:t>
      </w:r>
      <w:r>
        <w:rPr>
          <w:rFonts w:cs="宋体"/>
          <w:spacing w:val="7"/>
          <w:highlight w:val="none"/>
          <w:u w:val="single"/>
        </w:rPr>
        <w:t>不接受</w:t>
      </w:r>
      <w:r>
        <w:rPr>
          <w:rFonts w:ascii="宋体" w:cs="宋体"/>
          <w:spacing w:val="6"/>
          <w:highlight w:val="none"/>
        </w:rPr>
        <w:t>联合体投标。</w:t>
      </w:r>
    </w:p>
    <w:p w14:paraId="1FE6D8A6">
      <w:pPr>
        <w:pStyle w:val="4"/>
        <w:spacing w:before="120" w:after="120"/>
        <w:rPr>
          <w:rFonts w:cs="宋体"/>
          <w:highlight w:val="none"/>
        </w:rPr>
      </w:pPr>
      <w:bookmarkStart w:id="22" w:name="bookmark5"/>
      <w:bookmarkEnd w:id="22"/>
      <w:bookmarkStart w:id="23" w:name="_Toc31806"/>
      <w:r>
        <w:rPr>
          <w:rFonts w:cs="宋体"/>
          <w:highlight w:val="none"/>
        </w:rPr>
        <w:t>4.招标文件的获取</w:t>
      </w:r>
      <w:bookmarkEnd w:id="23"/>
    </w:p>
    <w:p w14:paraId="4826C9DE">
      <w:pPr>
        <w:widowControl/>
        <w:topLinePunct/>
        <w:autoSpaceDE/>
        <w:autoSpaceDN/>
        <w:adjustRightInd/>
        <w:snapToGrid w:val="0"/>
        <w:spacing w:line="360" w:lineRule="auto"/>
        <w:ind w:firstLine="471" w:firstLineChars="198"/>
        <w:rPr>
          <w:rFonts w:ascii="宋体" w:hAnsi="宋体" w:cs="宋体"/>
          <w:highlight w:val="none"/>
        </w:rPr>
      </w:pPr>
      <w:r>
        <w:rPr>
          <w:rFonts w:ascii="宋体" w:hAnsi="宋体" w:cs="宋体"/>
          <w:spacing w:val="-1"/>
          <w:highlight w:val="none"/>
        </w:rPr>
        <w:t xml:space="preserve">4.1 </w:t>
      </w:r>
      <w:r>
        <w:rPr>
          <w:rFonts w:ascii="宋体" w:hAnsi="宋体" w:cs="宋体"/>
          <w:highlight w:val="none"/>
        </w:rPr>
        <w:t>发布招标公告的时间：</w:t>
      </w:r>
      <w:r>
        <w:rPr>
          <w:rFonts w:ascii="宋体" w:hAnsi="宋体" w:cs="宋体"/>
          <w:highlight w:val="none"/>
          <w:u w:val="single"/>
        </w:rPr>
        <w:t xml:space="preserve">     </w:t>
      </w:r>
      <w:r>
        <w:rPr>
          <w:rFonts w:ascii="宋体" w:hAnsi="宋体" w:cs="宋体"/>
          <w:highlight w:val="none"/>
        </w:rPr>
        <w:t>年</w:t>
      </w:r>
      <w:r>
        <w:rPr>
          <w:rFonts w:ascii="宋体" w:hAnsi="宋体" w:cs="宋体"/>
          <w:highlight w:val="none"/>
          <w:u w:val="single"/>
        </w:rPr>
        <w:t xml:space="preserve">   </w:t>
      </w:r>
      <w:r>
        <w:rPr>
          <w:rFonts w:ascii="宋体" w:hAnsi="宋体" w:cs="宋体"/>
          <w:highlight w:val="none"/>
        </w:rPr>
        <w:t>月</w:t>
      </w:r>
      <w:r>
        <w:rPr>
          <w:rFonts w:ascii="宋体" w:hAnsi="宋体" w:cs="宋体"/>
          <w:highlight w:val="none"/>
          <w:u w:val="single"/>
        </w:rPr>
        <w:t xml:space="preserve">   </w:t>
      </w:r>
      <w:r>
        <w:rPr>
          <w:rFonts w:ascii="宋体" w:hAnsi="宋体" w:cs="宋体"/>
          <w:highlight w:val="none"/>
        </w:rPr>
        <w:t>日至</w:t>
      </w:r>
      <w:r>
        <w:rPr>
          <w:rFonts w:ascii="宋体" w:hAnsi="宋体" w:cs="宋体"/>
          <w:highlight w:val="none"/>
          <w:u w:val="single"/>
        </w:rPr>
        <w:t xml:space="preserve">    </w:t>
      </w:r>
      <w:r>
        <w:rPr>
          <w:rFonts w:ascii="宋体" w:hAnsi="宋体" w:cs="宋体"/>
          <w:highlight w:val="none"/>
        </w:rPr>
        <w:t>年</w:t>
      </w:r>
      <w:r>
        <w:rPr>
          <w:rFonts w:ascii="宋体" w:hAnsi="宋体" w:cs="宋体"/>
          <w:highlight w:val="none"/>
          <w:u w:val="single"/>
        </w:rPr>
        <w:t xml:space="preserve">  </w:t>
      </w:r>
      <w:r>
        <w:rPr>
          <w:rFonts w:ascii="宋体" w:hAnsi="宋体" w:cs="宋体"/>
          <w:highlight w:val="none"/>
        </w:rPr>
        <w:t>月</w:t>
      </w:r>
      <w:r>
        <w:rPr>
          <w:rFonts w:ascii="宋体" w:hAnsi="宋体" w:cs="宋体"/>
          <w:highlight w:val="none"/>
          <w:u w:val="single"/>
        </w:rPr>
        <w:t xml:space="preserve">  </w:t>
      </w:r>
      <w:r>
        <w:rPr>
          <w:rFonts w:ascii="宋体" w:hAnsi="宋体" w:cs="宋体"/>
          <w:highlight w:val="none"/>
        </w:rPr>
        <w:t xml:space="preserve">日 </w:t>
      </w:r>
      <w:r>
        <w:rPr>
          <w:rFonts w:ascii="宋体" w:hAnsi="宋体" w:cs="宋体"/>
          <w:highlight w:val="none"/>
          <w:u w:val="single"/>
        </w:rPr>
        <w:t xml:space="preserve">  </w:t>
      </w:r>
      <w:r>
        <w:rPr>
          <w:rFonts w:ascii="宋体" w:hAnsi="宋体" w:cs="宋体"/>
          <w:highlight w:val="none"/>
        </w:rPr>
        <w:t>时</w:t>
      </w:r>
      <w:r>
        <w:rPr>
          <w:rFonts w:ascii="宋体" w:hAnsi="宋体" w:cs="宋体"/>
          <w:highlight w:val="none"/>
          <w:u w:val="single"/>
        </w:rPr>
        <w:t xml:space="preserve">  </w:t>
      </w:r>
      <w:r>
        <w:rPr>
          <w:rFonts w:ascii="宋体" w:hAnsi="宋体" w:cs="宋体"/>
          <w:highlight w:val="none"/>
        </w:rPr>
        <w:t>分（北京时间，下同），凡有意参加投标者，请登录</w:t>
      </w:r>
      <w:r>
        <w:rPr>
          <w:rFonts w:hint="eastAsia" w:ascii="宋体" w:hAnsi="宋体" w:cs="宋体"/>
          <w:highlight w:val="none"/>
        </w:rPr>
        <w:t>广州交易集团有限公司（广州公共资源交易中心）</w:t>
      </w:r>
      <w:r>
        <w:rPr>
          <w:rFonts w:ascii="宋体" w:hAnsi="宋体" w:cs="宋体"/>
          <w:highlight w:val="none"/>
        </w:rPr>
        <w:t>网站下载电子招标文件。</w:t>
      </w:r>
    </w:p>
    <w:p w14:paraId="299BCF04">
      <w:pPr>
        <w:widowControl/>
        <w:topLinePunct/>
        <w:autoSpaceDE/>
        <w:autoSpaceDN/>
        <w:adjustRightInd/>
        <w:snapToGrid w:val="0"/>
        <w:spacing w:line="360" w:lineRule="auto"/>
        <w:ind w:left="480" w:leftChars="200"/>
        <w:rPr>
          <w:rFonts w:ascii="宋体" w:hAnsi="宋体" w:cs="宋体"/>
          <w:highlight w:val="none"/>
        </w:rPr>
      </w:pPr>
      <w:r>
        <w:rPr>
          <w:rFonts w:ascii="宋体" w:hAnsi="宋体" w:cs="宋体"/>
          <w:highlight w:val="none"/>
        </w:rPr>
        <w:t>注：发布招标公告的时间为招标公告发出之日起至递交投标文件截止时间止。</w:t>
      </w:r>
    </w:p>
    <w:p w14:paraId="30D2BD26">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4.2 本项目招标文件随招标公告一并在</w:t>
      </w:r>
      <w:r>
        <w:rPr>
          <w:rFonts w:hint="eastAsia" w:ascii="宋体" w:hAnsi="宋体" w:cs="宋体"/>
          <w:highlight w:val="none"/>
        </w:rPr>
        <w:t>广州交易集团有限公司（广州公共资源交易中心）</w:t>
      </w:r>
      <w:r>
        <w:rPr>
          <w:rFonts w:ascii="宋体" w:hAnsi="宋体" w:cs="宋体"/>
          <w:highlight w:val="none"/>
        </w:rPr>
        <w:t>网站交易平台发布。招标文件一经在交易平台发布，视为发出给投标人，招标文件由投标人自行在交易平台下载。</w:t>
      </w:r>
    </w:p>
    <w:p w14:paraId="63C39A08">
      <w:pPr>
        <w:widowControl/>
        <w:topLinePunct/>
        <w:autoSpaceDE/>
        <w:autoSpaceDN/>
        <w:adjustRightInd/>
        <w:snapToGrid w:val="0"/>
        <w:spacing w:line="360" w:lineRule="auto"/>
        <w:ind w:firstLine="480" w:firstLineChars="200"/>
        <w:outlineLvl w:val="2"/>
        <w:rPr>
          <w:rFonts w:ascii="宋体" w:hAnsi="宋体" w:cs="宋体"/>
          <w:highlight w:val="none"/>
        </w:rPr>
      </w:pPr>
      <w:bookmarkStart w:id="24" w:name="_Toc31577"/>
      <w:bookmarkStart w:id="25" w:name="_Toc31143"/>
      <w:r>
        <w:rPr>
          <w:rFonts w:ascii="宋体" w:hAnsi="宋体" w:cs="宋体"/>
          <w:highlight w:val="none"/>
        </w:rPr>
        <w:t>4.3 本项目采用资格后审方式。</w:t>
      </w:r>
      <w:bookmarkEnd w:id="24"/>
      <w:bookmarkEnd w:id="25"/>
    </w:p>
    <w:p w14:paraId="13F65434">
      <w:pPr>
        <w:pStyle w:val="4"/>
        <w:spacing w:before="120" w:after="120"/>
        <w:rPr>
          <w:rFonts w:cs="宋体"/>
          <w:highlight w:val="none"/>
        </w:rPr>
      </w:pPr>
      <w:bookmarkStart w:id="26" w:name="bookmark6"/>
      <w:bookmarkEnd w:id="26"/>
      <w:bookmarkStart w:id="27" w:name="_Toc8907"/>
      <w:r>
        <w:rPr>
          <w:rFonts w:cs="宋体"/>
          <w:highlight w:val="none"/>
        </w:rPr>
        <w:t>5.投标文件的递交</w:t>
      </w:r>
      <w:bookmarkEnd w:id="27"/>
    </w:p>
    <w:p w14:paraId="2E5E17A8">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5.1</w:t>
      </w:r>
      <w:r>
        <w:rPr>
          <w:rFonts w:hint="eastAsia" w:ascii="宋体" w:hAnsi="宋体" w:cs="宋体"/>
          <w:highlight w:val="none"/>
        </w:rPr>
        <w:t xml:space="preserve"> </w:t>
      </w:r>
      <w:r>
        <w:rPr>
          <w:rFonts w:ascii="宋体" w:hAnsi="宋体" w:cs="宋体"/>
          <w:highlight w:val="none"/>
        </w:rPr>
        <w:t>投标截止时间为</w:t>
      </w:r>
      <w:r>
        <w:rPr>
          <w:rFonts w:ascii="宋体" w:hAnsi="宋体" w:cs="宋体"/>
          <w:highlight w:val="none"/>
          <w:u w:val="single"/>
        </w:rPr>
        <w:t xml:space="preserve">    </w:t>
      </w:r>
      <w:r>
        <w:rPr>
          <w:rFonts w:ascii="宋体" w:hAnsi="宋体" w:cs="宋体"/>
          <w:highlight w:val="none"/>
        </w:rPr>
        <w:t>年</w:t>
      </w:r>
      <w:r>
        <w:rPr>
          <w:rFonts w:ascii="宋体" w:hAnsi="宋体" w:cs="宋体"/>
          <w:highlight w:val="none"/>
          <w:u w:val="single"/>
        </w:rPr>
        <w:t xml:space="preserve">    </w:t>
      </w:r>
      <w:r>
        <w:rPr>
          <w:rFonts w:ascii="宋体" w:hAnsi="宋体" w:cs="宋体"/>
          <w:highlight w:val="none"/>
        </w:rPr>
        <w:t>月</w:t>
      </w:r>
      <w:r>
        <w:rPr>
          <w:rFonts w:ascii="宋体" w:hAnsi="宋体" w:cs="宋体"/>
          <w:highlight w:val="none"/>
          <w:u w:val="single"/>
        </w:rPr>
        <w:t xml:space="preserve">    </w:t>
      </w:r>
      <w:r>
        <w:rPr>
          <w:rFonts w:ascii="宋体" w:hAnsi="宋体" w:cs="宋体"/>
          <w:highlight w:val="none"/>
        </w:rPr>
        <w:t>日</w:t>
      </w:r>
      <w:r>
        <w:rPr>
          <w:rFonts w:ascii="宋体" w:hAnsi="宋体" w:cs="宋体"/>
          <w:highlight w:val="none"/>
          <w:u w:val="single"/>
        </w:rPr>
        <w:t xml:space="preserve">    </w:t>
      </w:r>
      <w:r>
        <w:rPr>
          <w:rFonts w:ascii="宋体" w:hAnsi="宋体" w:cs="宋体"/>
          <w:highlight w:val="none"/>
        </w:rPr>
        <w:t>时</w:t>
      </w:r>
      <w:r>
        <w:rPr>
          <w:rFonts w:ascii="宋体" w:hAnsi="宋体" w:cs="宋体"/>
          <w:highlight w:val="none"/>
          <w:u w:val="single"/>
        </w:rPr>
        <w:t xml:space="preserve">    </w:t>
      </w:r>
      <w:r>
        <w:rPr>
          <w:rFonts w:ascii="宋体" w:hAnsi="宋体" w:cs="宋体"/>
          <w:highlight w:val="none"/>
        </w:rPr>
        <w:t>分，投标人应在截止时间前通过</w:t>
      </w:r>
      <w:r>
        <w:rPr>
          <w:rFonts w:hint="eastAsia" w:ascii="宋体" w:hAnsi="宋体" w:cs="宋体"/>
          <w:highlight w:val="none"/>
        </w:rPr>
        <w:t>广州交易集团有限公司（广州公共资源交易中心）</w:t>
      </w:r>
      <w:r>
        <w:rPr>
          <w:rFonts w:ascii="宋体" w:hAnsi="宋体" w:cs="宋体"/>
          <w:highlight w:val="none"/>
        </w:rPr>
        <w:t>网站交易平台递交电子投标文件。投标人完成电子投标文件上传后，交易平台即时向投标人发出递交回执通知。递交时间以递交回执通知载明的传输完成时间为准。</w:t>
      </w:r>
    </w:p>
    <w:p w14:paraId="4AFF7197">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在投标截止时间后半小时内，投标人通过</w:t>
      </w:r>
      <w:r>
        <w:rPr>
          <w:rFonts w:hint="eastAsia" w:ascii="宋体" w:hAnsi="宋体" w:cs="宋体"/>
          <w:highlight w:val="none"/>
        </w:rPr>
        <w:t>广州交易集团有限公司（广州公共资源交易中心）</w:t>
      </w:r>
      <w:r>
        <w:rPr>
          <w:rFonts w:ascii="宋体" w:hAnsi="宋体" w:cs="宋体"/>
          <w:highlight w:val="none"/>
        </w:rPr>
        <w:t>网站对已递交的电子投标文件进行解密。</w:t>
      </w:r>
    </w:p>
    <w:p w14:paraId="443C70B3">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5.2</w:t>
      </w:r>
      <w:r>
        <w:rPr>
          <w:rFonts w:hint="eastAsia" w:ascii="宋体" w:hAnsi="宋体" w:cs="宋体"/>
          <w:highlight w:val="none"/>
        </w:rPr>
        <w:t xml:space="preserve"> </w:t>
      </w:r>
      <w:r>
        <w:rPr>
          <w:rFonts w:ascii="宋体" w:hAnsi="宋体" w:cs="宋体"/>
          <w:highlight w:val="none"/>
        </w:rPr>
        <w:t>投标人应在递交投标文件截止时间前，登录</w:t>
      </w:r>
      <w:r>
        <w:rPr>
          <w:rFonts w:hint="eastAsia" w:ascii="宋体" w:hAnsi="宋体" w:cs="宋体"/>
          <w:highlight w:val="none"/>
        </w:rPr>
        <w:t>广州交易集团有限公司（广州公共资源交易中心）</w:t>
      </w:r>
      <w:r>
        <w:rPr>
          <w:rFonts w:ascii="宋体" w:hAnsi="宋体" w:cs="宋体"/>
          <w:highlight w:val="none"/>
        </w:rPr>
        <w:t>网站交易平台办理网上投标登记手续；</w:t>
      </w:r>
      <w:r>
        <w:rPr>
          <w:rFonts w:ascii="宋体" w:hAnsi="宋体"/>
          <w:highlight w:val="none"/>
        </w:rPr>
        <w:t>按照</w:t>
      </w:r>
      <w:r>
        <w:rPr>
          <w:rFonts w:hint="eastAsia" w:ascii="宋体" w:hAnsi="宋体"/>
          <w:highlight w:val="none"/>
        </w:rPr>
        <w:t>广州交易集团有限公司（广州公共资源交易中心）</w:t>
      </w:r>
      <w:r>
        <w:rPr>
          <w:rFonts w:ascii="宋体" w:hAnsi="宋体"/>
          <w:highlight w:val="none"/>
        </w:rPr>
        <w:t>网站关于全流程电子化项目的相关指南进行操作。</w:t>
      </w:r>
    </w:p>
    <w:p w14:paraId="39CE2C86">
      <w:pPr>
        <w:widowControl/>
        <w:topLinePunct/>
        <w:autoSpaceDE/>
        <w:autoSpaceDN/>
        <w:adjustRightInd/>
        <w:snapToGrid w:val="0"/>
        <w:spacing w:line="360" w:lineRule="auto"/>
        <w:ind w:left="480" w:leftChars="200"/>
        <w:rPr>
          <w:rFonts w:ascii="宋体" w:hAnsi="宋体" w:cs="宋体"/>
          <w:highlight w:val="none"/>
        </w:rPr>
      </w:pPr>
      <w:r>
        <w:rPr>
          <w:rFonts w:ascii="宋体" w:hAnsi="宋体" w:cs="宋体"/>
          <w:highlight w:val="none"/>
        </w:rPr>
        <w:t>5.3</w:t>
      </w:r>
      <w:r>
        <w:rPr>
          <w:rFonts w:hint="eastAsia" w:ascii="宋体" w:hAnsi="宋体" w:cs="宋体"/>
          <w:highlight w:val="none"/>
        </w:rPr>
        <w:t xml:space="preserve"> </w:t>
      </w:r>
      <w:r>
        <w:rPr>
          <w:rFonts w:ascii="宋体" w:hAnsi="宋体" w:cs="宋体"/>
          <w:highlight w:val="none"/>
        </w:rPr>
        <w:t>开标开始时间：</w:t>
      </w:r>
      <w:r>
        <w:rPr>
          <w:rFonts w:ascii="宋体" w:hAnsi="宋体" w:cs="宋体"/>
          <w:highlight w:val="none"/>
          <w:u w:val="single"/>
        </w:rPr>
        <w:t xml:space="preserve">    </w:t>
      </w:r>
      <w:r>
        <w:rPr>
          <w:rFonts w:ascii="宋体" w:hAnsi="宋体" w:cs="宋体"/>
          <w:highlight w:val="none"/>
        </w:rPr>
        <w:t>年</w:t>
      </w:r>
      <w:r>
        <w:rPr>
          <w:rFonts w:ascii="宋体" w:hAnsi="宋体" w:cs="宋体"/>
          <w:highlight w:val="none"/>
          <w:u w:val="single"/>
        </w:rPr>
        <w:t xml:space="preserve">    </w:t>
      </w:r>
      <w:r>
        <w:rPr>
          <w:rFonts w:ascii="宋体" w:hAnsi="宋体" w:cs="宋体"/>
          <w:highlight w:val="none"/>
        </w:rPr>
        <w:t>月</w:t>
      </w:r>
      <w:r>
        <w:rPr>
          <w:rFonts w:ascii="宋体" w:hAnsi="宋体" w:cs="宋体"/>
          <w:highlight w:val="none"/>
          <w:u w:val="single"/>
        </w:rPr>
        <w:t xml:space="preserve">    </w:t>
      </w:r>
      <w:r>
        <w:rPr>
          <w:rFonts w:ascii="宋体" w:hAnsi="宋体" w:cs="宋体"/>
          <w:highlight w:val="none"/>
        </w:rPr>
        <w:t>日</w:t>
      </w:r>
      <w:r>
        <w:rPr>
          <w:rFonts w:ascii="宋体" w:hAnsi="宋体" w:cs="宋体"/>
          <w:highlight w:val="none"/>
          <w:u w:val="single"/>
        </w:rPr>
        <w:t xml:space="preserve">    </w:t>
      </w:r>
      <w:r>
        <w:rPr>
          <w:rFonts w:ascii="宋体" w:hAnsi="宋体" w:cs="宋体"/>
          <w:highlight w:val="none"/>
        </w:rPr>
        <w:t>时</w:t>
      </w:r>
      <w:r>
        <w:rPr>
          <w:rFonts w:ascii="宋体" w:hAnsi="宋体" w:cs="宋体"/>
          <w:highlight w:val="none"/>
          <w:u w:val="single"/>
        </w:rPr>
        <w:t xml:space="preserve">    </w:t>
      </w:r>
      <w:r>
        <w:rPr>
          <w:rFonts w:ascii="宋体" w:hAnsi="宋体" w:cs="宋体"/>
          <w:highlight w:val="none"/>
        </w:rPr>
        <w:t xml:space="preserve">分。    </w:t>
      </w:r>
    </w:p>
    <w:p w14:paraId="0F92E6B6">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5.4</w:t>
      </w:r>
      <w:r>
        <w:rPr>
          <w:rFonts w:hint="eastAsia" w:ascii="宋体" w:hAnsi="宋体" w:cs="宋体"/>
          <w:highlight w:val="none"/>
        </w:rPr>
        <w:t xml:space="preserve"> </w:t>
      </w:r>
      <w:r>
        <w:rPr>
          <w:rFonts w:ascii="宋体" w:hAnsi="宋体" w:cs="宋体"/>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4791A9A6">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5.5 逾期送达的电子投标文件，</w:t>
      </w:r>
      <w:r>
        <w:rPr>
          <w:rFonts w:hint="eastAsia" w:ascii="宋体" w:hAnsi="宋体" w:cs="宋体"/>
          <w:highlight w:val="none"/>
        </w:rPr>
        <w:t>广州交易集团有限公司（广州公共资源交易中心）</w:t>
      </w:r>
      <w:r>
        <w:rPr>
          <w:rFonts w:ascii="宋体" w:hAnsi="宋体" w:cs="宋体"/>
          <w:highlight w:val="none"/>
        </w:rPr>
        <w:t>网站交易平台将予以拒收。</w:t>
      </w:r>
    </w:p>
    <w:p w14:paraId="7004927E">
      <w:pPr>
        <w:widowControl/>
        <w:topLinePunct/>
        <w:autoSpaceDE/>
        <w:autoSpaceDN/>
        <w:adjustRightInd/>
        <w:snapToGrid w:val="0"/>
        <w:spacing w:line="360" w:lineRule="auto"/>
        <w:ind w:firstLine="480" w:firstLineChars="200"/>
        <w:rPr>
          <w:rFonts w:ascii="宋体" w:hAnsi="宋体" w:cs="宋体"/>
          <w:highlight w:val="none"/>
        </w:rPr>
      </w:pPr>
      <w:r>
        <w:rPr>
          <w:rFonts w:ascii="宋体" w:hAnsi="宋体" w:cs="宋体"/>
          <w:highlight w:val="none"/>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01C84684">
      <w:pPr>
        <w:pStyle w:val="4"/>
        <w:spacing w:before="120" w:after="120"/>
        <w:rPr>
          <w:highlight w:val="none"/>
        </w:rPr>
      </w:pPr>
      <w:bookmarkStart w:id="28" w:name="bookmark7"/>
      <w:bookmarkEnd w:id="28"/>
      <w:bookmarkStart w:id="29" w:name="_Toc15859"/>
      <w:r>
        <w:rPr>
          <w:highlight w:val="none"/>
        </w:rPr>
        <w:t>6.发布公告的媒介</w:t>
      </w:r>
      <w:bookmarkEnd w:id="29"/>
    </w:p>
    <w:p w14:paraId="77C1F0DB">
      <w:pPr>
        <w:snapToGrid w:val="0"/>
        <w:spacing w:line="360" w:lineRule="auto"/>
        <w:ind w:firstLine="240" w:firstLineChars="100"/>
        <w:jc w:val="both"/>
        <w:rPr>
          <w:rFonts w:ascii="宋体" w:hAnsi="宋体"/>
          <w:highlight w:val="none"/>
        </w:rPr>
      </w:pPr>
      <w:r>
        <w:rPr>
          <w:rFonts w:ascii="宋体" w:hAnsi="宋体"/>
          <w:highlight w:val="none"/>
        </w:rPr>
        <w:t>本次招标公告同时在</w:t>
      </w:r>
      <w:r>
        <w:rPr>
          <w:rFonts w:hint="eastAsia" w:ascii="宋体" w:hAnsi="宋体"/>
          <w:highlight w:val="none"/>
        </w:rPr>
        <w:t>广州交易集团有限公司（广州公共资源交易中心）</w:t>
      </w:r>
      <w:r>
        <w:rPr>
          <w:rFonts w:ascii="宋体" w:hAnsi="宋体"/>
          <w:highlight w:val="none"/>
        </w:rPr>
        <w:t>网（网址：http://www.gzggzy.cn）、广东省招标投标监管网（网址：http://zbtb.gd.gov.cn/）和中国招标投标公共服务平台（网址：http://www.cebpubservice.com/）发布，本公告的修改、补充，在</w:t>
      </w:r>
      <w:r>
        <w:rPr>
          <w:rFonts w:hint="eastAsia" w:ascii="宋体" w:hAnsi="宋体"/>
          <w:highlight w:val="none"/>
        </w:rPr>
        <w:t>广州交易集团有限公司（广州公共资源交易中心）</w:t>
      </w:r>
      <w:r>
        <w:rPr>
          <w:rFonts w:ascii="宋体" w:hAnsi="宋体"/>
          <w:highlight w:val="none"/>
        </w:rPr>
        <w:t>网站上发布。</w:t>
      </w:r>
    </w:p>
    <w:p w14:paraId="5BA441B9">
      <w:pPr>
        <w:pStyle w:val="4"/>
        <w:spacing w:before="120" w:after="120"/>
        <w:rPr>
          <w:highlight w:val="none"/>
        </w:rPr>
      </w:pPr>
      <w:bookmarkStart w:id="30" w:name="bookmark8"/>
      <w:bookmarkEnd w:id="30"/>
      <w:bookmarkStart w:id="31" w:name="_Toc12025"/>
      <w:bookmarkStart w:id="32" w:name="_Toc29700"/>
      <w:r>
        <w:rPr>
          <w:rFonts w:hint="eastAsia"/>
          <w:highlight w:val="none"/>
        </w:rPr>
        <w:t>7</w:t>
      </w:r>
      <w:r>
        <w:rPr>
          <w:highlight w:val="none"/>
        </w:rPr>
        <w:t>.疑问、异议、投诉处理</w:t>
      </w:r>
      <w:bookmarkEnd w:id="31"/>
    </w:p>
    <w:p w14:paraId="310F4F6E">
      <w:pPr>
        <w:spacing w:line="360" w:lineRule="auto"/>
        <w:ind w:firstLine="480" w:firstLineChars="200"/>
        <w:rPr>
          <w:highlight w:val="none"/>
        </w:rPr>
      </w:pPr>
      <w:r>
        <w:rPr>
          <w:rFonts w:hint="eastAsia"/>
          <w:highlight w:val="none"/>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4573113A">
      <w:pPr>
        <w:spacing w:line="360" w:lineRule="auto"/>
        <w:ind w:firstLine="480" w:firstLineChars="200"/>
        <w:rPr>
          <w:highlight w:val="none"/>
        </w:rPr>
      </w:pPr>
      <w:r>
        <w:rPr>
          <w:rFonts w:hint="eastAsia"/>
          <w:highlight w:val="none"/>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5E8EF513">
      <w:pPr>
        <w:spacing w:line="360" w:lineRule="auto"/>
        <w:ind w:firstLine="480" w:firstLineChars="200"/>
        <w:rPr>
          <w:highlight w:val="none"/>
        </w:rPr>
      </w:pPr>
      <w:r>
        <w:rPr>
          <w:rFonts w:hint="eastAsia"/>
          <w:highlight w:val="none"/>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21802D1">
      <w:pPr>
        <w:spacing w:line="360" w:lineRule="auto"/>
        <w:ind w:firstLine="480" w:firstLineChars="200"/>
        <w:rPr>
          <w:highlight w:val="none"/>
        </w:rPr>
      </w:pPr>
      <w:r>
        <w:rPr>
          <w:rFonts w:hint="eastAsia"/>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08543310">
      <w:pPr>
        <w:spacing w:line="360" w:lineRule="auto"/>
        <w:ind w:firstLine="480" w:firstLineChars="200"/>
        <w:rPr>
          <w:highlight w:val="none"/>
        </w:rPr>
      </w:pPr>
      <w:r>
        <w:rPr>
          <w:rFonts w:hint="eastAsia"/>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A8562AF">
      <w:pPr>
        <w:pStyle w:val="4"/>
        <w:spacing w:before="120" w:after="120"/>
        <w:rPr>
          <w:highlight w:val="none"/>
        </w:rPr>
      </w:pPr>
      <w:r>
        <w:rPr>
          <w:rFonts w:hint="eastAsia"/>
          <w:highlight w:val="none"/>
        </w:rPr>
        <w:t>8</w:t>
      </w:r>
      <w:r>
        <w:rPr>
          <w:highlight w:val="none"/>
        </w:rPr>
        <w:t>.</w:t>
      </w:r>
      <w:r>
        <w:rPr>
          <w:rFonts w:hint="eastAsia" w:cs="宋体"/>
          <w:b w:val="0"/>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32"/>
    </w:p>
    <w:p w14:paraId="48FF89BB">
      <w:pPr>
        <w:pStyle w:val="4"/>
        <w:spacing w:before="120" w:after="120"/>
        <w:rPr>
          <w:rFonts w:ascii="Microsoft JhengHei" w:hAnsi="Microsoft JhengHei" w:eastAsia="Microsoft JhengHei"/>
          <w:b w:val="0"/>
          <w:sz w:val="19"/>
          <w:highlight w:val="none"/>
        </w:rPr>
      </w:pPr>
      <w:bookmarkStart w:id="33" w:name="_Toc20179"/>
      <w:r>
        <w:rPr>
          <w:rFonts w:hint="eastAsia"/>
          <w:highlight w:val="none"/>
        </w:rPr>
        <w:t>9</w:t>
      </w:r>
      <w:r>
        <w:rPr>
          <w:highlight w:val="none"/>
        </w:rPr>
        <w:t>.联系方式</w:t>
      </w:r>
      <w:bookmarkEnd w:id="33"/>
    </w:p>
    <w:p w14:paraId="20149120">
      <w:pPr>
        <w:spacing w:line="360" w:lineRule="auto"/>
        <w:rPr>
          <w:rFonts w:ascii="宋体" w:hAnsi="宋体"/>
          <w:highlight w:val="none"/>
        </w:rPr>
      </w:pPr>
      <w:r>
        <w:rPr>
          <w:rFonts w:hint="eastAsia" w:ascii="宋体" w:hAnsi="宋体"/>
          <w:highlight w:val="none"/>
        </w:rPr>
        <w:t>招 标 人：广州市天河区水务设施建设中心</w:t>
      </w:r>
    </w:p>
    <w:p w14:paraId="3A7015F3">
      <w:pPr>
        <w:spacing w:line="360" w:lineRule="auto"/>
        <w:rPr>
          <w:rFonts w:ascii="宋体" w:hAnsi="宋体"/>
          <w:highlight w:val="none"/>
        </w:rPr>
      </w:pPr>
      <w:r>
        <w:rPr>
          <w:rFonts w:hint="eastAsia" w:ascii="宋体" w:hAnsi="宋体"/>
          <w:highlight w:val="none"/>
        </w:rPr>
        <w:t>地    址：广州市天河区黄埔大道中168号</w:t>
      </w:r>
    </w:p>
    <w:p w14:paraId="34B7C509">
      <w:pPr>
        <w:spacing w:line="360" w:lineRule="auto"/>
        <w:rPr>
          <w:rFonts w:ascii="宋体" w:hAnsi="宋体"/>
          <w:highlight w:val="none"/>
        </w:rPr>
      </w:pPr>
      <w:r>
        <w:rPr>
          <w:rFonts w:hint="eastAsia" w:ascii="宋体" w:hAnsi="宋体"/>
          <w:highlight w:val="none"/>
        </w:rPr>
        <w:t>联 系 人：赵工      电    话：020-87594749</w:t>
      </w:r>
    </w:p>
    <w:p w14:paraId="6D3D5CD9">
      <w:pPr>
        <w:spacing w:line="360" w:lineRule="auto"/>
        <w:rPr>
          <w:rFonts w:hint="eastAsia" w:ascii="宋体" w:hAnsi="宋体"/>
          <w:sz w:val="16"/>
          <w:szCs w:val="16"/>
          <w:highlight w:val="none"/>
        </w:rPr>
      </w:pPr>
    </w:p>
    <w:p w14:paraId="29D64850">
      <w:pPr>
        <w:spacing w:line="360" w:lineRule="auto"/>
        <w:rPr>
          <w:rFonts w:hint="eastAsia" w:ascii="宋体" w:hAnsi="宋体" w:eastAsia="宋体"/>
          <w:highlight w:val="none"/>
          <w:lang w:eastAsia="zh-CN"/>
        </w:rPr>
      </w:pPr>
      <w:r>
        <w:rPr>
          <w:rFonts w:hint="eastAsia" w:ascii="宋体" w:hAnsi="宋体"/>
          <w:highlight w:val="none"/>
        </w:rPr>
        <w:t>招标代理机构：</w:t>
      </w:r>
      <w:r>
        <w:rPr>
          <w:rFonts w:hint="eastAsia" w:ascii="宋体" w:hAnsi="宋体"/>
          <w:highlight w:val="none"/>
          <w:lang w:eastAsia="zh-CN"/>
        </w:rPr>
        <w:t>天栋建设管理有限公司</w:t>
      </w:r>
    </w:p>
    <w:p w14:paraId="09D007AC">
      <w:pPr>
        <w:spacing w:line="360" w:lineRule="auto"/>
        <w:rPr>
          <w:rFonts w:ascii="宋体" w:hAnsi="宋体"/>
          <w:highlight w:val="none"/>
        </w:rPr>
      </w:pPr>
      <w:r>
        <w:rPr>
          <w:rFonts w:hint="eastAsia" w:ascii="宋体" w:hAnsi="宋体"/>
          <w:highlight w:val="none"/>
        </w:rPr>
        <w:t>地    址：广州市天河区天润路6号三楼</w:t>
      </w:r>
    </w:p>
    <w:p w14:paraId="443B2EF3">
      <w:pPr>
        <w:spacing w:line="360" w:lineRule="auto"/>
        <w:rPr>
          <w:rFonts w:ascii="宋体" w:hAnsi="宋体"/>
          <w:highlight w:val="none"/>
        </w:rPr>
      </w:pPr>
      <w:r>
        <w:rPr>
          <w:rFonts w:hint="eastAsia" w:ascii="宋体" w:hAnsi="宋体"/>
          <w:highlight w:val="none"/>
        </w:rPr>
        <w:t>联 系 人：</w:t>
      </w:r>
      <w:r>
        <w:rPr>
          <w:rFonts w:hint="eastAsia" w:ascii="宋体" w:hAnsi="宋体"/>
          <w:highlight w:val="none"/>
          <w:lang w:val="en-US" w:eastAsia="zh-CN"/>
        </w:rPr>
        <w:t>田 工</w:t>
      </w:r>
      <w:r>
        <w:rPr>
          <w:rFonts w:hint="eastAsia" w:ascii="宋体" w:hAnsi="宋体"/>
          <w:highlight w:val="none"/>
        </w:rPr>
        <w:t xml:space="preserve">      电    话：020-87180896</w:t>
      </w:r>
    </w:p>
    <w:p w14:paraId="1F094032">
      <w:pPr>
        <w:spacing w:line="360" w:lineRule="auto"/>
        <w:rPr>
          <w:rFonts w:hint="eastAsia" w:ascii="宋体" w:hAnsi="宋体"/>
          <w:sz w:val="18"/>
          <w:szCs w:val="18"/>
          <w:highlight w:val="none"/>
        </w:rPr>
      </w:pPr>
    </w:p>
    <w:p w14:paraId="3B6A9AD6">
      <w:pPr>
        <w:spacing w:line="360" w:lineRule="auto"/>
        <w:rPr>
          <w:rFonts w:ascii="宋体" w:hAnsi="宋体"/>
          <w:highlight w:val="none"/>
        </w:rPr>
      </w:pPr>
      <w:r>
        <w:rPr>
          <w:rFonts w:hint="eastAsia" w:ascii="宋体" w:hAnsi="宋体"/>
          <w:highlight w:val="none"/>
        </w:rPr>
        <w:t>招标监督机构：广州市天河区水务局</w:t>
      </w:r>
    </w:p>
    <w:p w14:paraId="0D6276D1">
      <w:pPr>
        <w:spacing w:line="360" w:lineRule="auto"/>
        <w:rPr>
          <w:rFonts w:ascii="宋体" w:hAnsi="宋体"/>
          <w:highlight w:val="none"/>
        </w:rPr>
      </w:pPr>
      <w:r>
        <w:rPr>
          <w:rFonts w:hint="eastAsia" w:ascii="宋体" w:hAnsi="宋体"/>
          <w:highlight w:val="none"/>
        </w:rPr>
        <w:t>地    址：广州市天河区黄埔大道中166号509</w:t>
      </w:r>
    </w:p>
    <w:p w14:paraId="5E8AC6AA">
      <w:pPr>
        <w:spacing w:line="360" w:lineRule="auto"/>
        <w:rPr>
          <w:rFonts w:ascii="宋体" w:hAnsi="宋体"/>
          <w:highlight w:val="none"/>
        </w:rPr>
      </w:pPr>
      <w:r>
        <w:rPr>
          <w:rFonts w:hint="eastAsia" w:ascii="宋体" w:hAnsi="宋体"/>
          <w:highlight w:val="none"/>
        </w:rPr>
        <w:t>监督电话：020-85626630</w:t>
      </w:r>
    </w:p>
    <w:p w14:paraId="44C121EE">
      <w:pPr>
        <w:spacing w:line="360" w:lineRule="auto"/>
        <w:jc w:val="right"/>
        <w:rPr>
          <w:rFonts w:ascii="宋体" w:hAnsi="宋体"/>
          <w:highlight w:val="none"/>
        </w:rPr>
      </w:pPr>
      <w:r>
        <w:rPr>
          <w:rFonts w:hint="eastAsia" w:ascii="宋体" w:hAnsi="宋体"/>
          <w:highlight w:val="none"/>
        </w:rPr>
        <w:t>招 标 人：广州市天河区水务设施建设中心</w:t>
      </w:r>
    </w:p>
    <w:p w14:paraId="05D6B936">
      <w:pPr>
        <w:spacing w:line="360" w:lineRule="auto"/>
        <w:jc w:val="right"/>
        <w:rPr>
          <w:rFonts w:hint="eastAsia" w:ascii="宋体" w:hAnsi="宋体" w:eastAsia="宋体"/>
          <w:highlight w:val="none"/>
          <w:lang w:eastAsia="zh-CN"/>
        </w:rPr>
      </w:pPr>
      <w:r>
        <w:rPr>
          <w:rFonts w:hint="eastAsia" w:ascii="宋体" w:hAnsi="宋体"/>
          <w:highlight w:val="none"/>
        </w:rPr>
        <w:t>招标代理机构：</w:t>
      </w:r>
      <w:r>
        <w:rPr>
          <w:rFonts w:hint="eastAsia" w:ascii="宋体" w:hAnsi="宋体"/>
          <w:highlight w:val="none"/>
          <w:lang w:eastAsia="zh-CN"/>
        </w:rPr>
        <w:t>天栋建设管理有限公司</w:t>
      </w:r>
    </w:p>
    <w:p w14:paraId="44CACFE4">
      <w:pPr>
        <w:spacing w:line="360" w:lineRule="auto"/>
        <w:jc w:val="right"/>
        <w:rPr>
          <w:rFonts w:ascii="宋体" w:hAnsi="宋体"/>
          <w:highlight w:val="none"/>
        </w:rPr>
      </w:pPr>
      <w:r>
        <w:rPr>
          <w:rFonts w:ascii="宋体" w:hAnsi="宋体"/>
          <w:highlight w:val="none"/>
        </w:rPr>
        <w:t>______</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月____日</w:t>
      </w:r>
    </w:p>
    <w:p w14:paraId="48041CA1">
      <w:pPr>
        <w:pStyle w:val="9"/>
        <w:tabs>
          <w:tab w:val="left" w:pos="5880"/>
          <w:tab w:val="left" w:pos="6826"/>
          <w:tab w:val="left" w:pos="7769"/>
        </w:tabs>
        <w:kinsoku w:val="0"/>
        <w:overflowPunct w:val="0"/>
        <w:spacing w:before="198" w:line="360" w:lineRule="auto"/>
        <w:ind w:left="5146" w:right="113"/>
        <w:rPr>
          <w:sz w:val="24"/>
          <w:highlight w:val="none"/>
        </w:rPr>
        <w:sectPr>
          <w:pgSz w:w="11905" w:h="16838"/>
          <w:pgMar w:top="1417" w:right="1417" w:bottom="1417" w:left="1417" w:header="720" w:footer="720" w:gutter="0"/>
          <w:cols w:space="720" w:num="1"/>
        </w:sectPr>
      </w:pPr>
    </w:p>
    <w:p w14:paraId="4088F77B">
      <w:pPr>
        <w:pStyle w:val="3"/>
        <w:rPr>
          <w:rFonts w:ascii="Microsoft JhengHei" w:hAnsi="Microsoft JhengHei" w:eastAsia="Microsoft JhengHei"/>
          <w:b w:val="0"/>
          <w:sz w:val="57"/>
          <w:highlight w:val="none"/>
        </w:rPr>
      </w:pPr>
      <w:bookmarkStart w:id="34" w:name="bookmark9"/>
      <w:bookmarkEnd w:id="34"/>
      <w:bookmarkStart w:id="35" w:name="bookmark18"/>
      <w:bookmarkEnd w:id="35"/>
      <w:bookmarkStart w:id="36" w:name="_Toc10685"/>
      <w:r>
        <w:rPr>
          <w:rFonts w:cs="宋体"/>
          <w:sz w:val="44"/>
          <w:highlight w:val="none"/>
        </w:rPr>
        <w:t>第二章 投标人须知</w:t>
      </w:r>
      <w:bookmarkEnd w:id="36"/>
    </w:p>
    <w:p w14:paraId="1571CB89">
      <w:pPr>
        <w:pStyle w:val="4"/>
        <w:kinsoku w:val="0"/>
        <w:overflowPunct w:val="0"/>
        <w:spacing w:before="120" w:after="120"/>
        <w:ind w:left="220"/>
        <w:jc w:val="center"/>
        <w:rPr>
          <w:rFonts w:ascii="Microsoft JhengHei" w:hAnsi="Microsoft JhengHei" w:eastAsia="Microsoft JhengHei"/>
          <w:b w:val="0"/>
          <w:sz w:val="20"/>
          <w:highlight w:val="none"/>
        </w:rPr>
      </w:pPr>
      <w:bookmarkStart w:id="37" w:name="bookmark19"/>
      <w:bookmarkEnd w:id="37"/>
      <w:bookmarkStart w:id="38" w:name="_Toc8684"/>
      <w:r>
        <w:rPr>
          <w:sz w:val="32"/>
          <w:highlight w:val="none"/>
        </w:rPr>
        <w:t>投标人须知前附表</w:t>
      </w:r>
      <w:bookmarkEnd w:id="38"/>
    </w:p>
    <w:tbl>
      <w:tblPr>
        <w:tblStyle w:val="1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7AD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1785F">
            <w:pPr>
              <w:pStyle w:val="22"/>
              <w:kinsoku w:val="0"/>
              <w:overflowPunct w:val="0"/>
              <w:spacing w:before="41"/>
              <w:jc w:val="center"/>
              <w:rPr>
                <w:sz w:val="21"/>
                <w:highlight w:val="none"/>
              </w:rPr>
            </w:pPr>
            <w:r>
              <w:rPr>
                <w:rFonts w:ascii="宋体" w:hAnsi="宋体" w:cs="宋体"/>
                <w:b/>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0FC18">
            <w:pPr>
              <w:pStyle w:val="22"/>
              <w:kinsoku w:val="0"/>
              <w:overflowPunct w:val="0"/>
              <w:spacing w:before="41"/>
              <w:jc w:val="center"/>
              <w:rPr>
                <w:sz w:val="21"/>
                <w:highlight w:val="none"/>
              </w:rPr>
            </w:pPr>
            <w:r>
              <w:rPr>
                <w:rFonts w:ascii="宋体" w:hAnsi="宋体" w:cs="宋体"/>
                <w:b/>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6D267B">
            <w:pPr>
              <w:pStyle w:val="22"/>
              <w:kinsoku w:val="0"/>
              <w:overflowPunct w:val="0"/>
              <w:spacing w:before="41"/>
              <w:jc w:val="center"/>
              <w:rPr>
                <w:sz w:val="21"/>
                <w:highlight w:val="none"/>
              </w:rPr>
            </w:pPr>
            <w:r>
              <w:rPr>
                <w:rFonts w:ascii="宋体" w:hAnsi="宋体" w:cs="宋体"/>
                <w:b/>
                <w:sz w:val="21"/>
                <w:szCs w:val="21"/>
                <w:highlight w:val="none"/>
              </w:rPr>
              <w:t>编列内容</w:t>
            </w:r>
          </w:p>
        </w:tc>
      </w:tr>
      <w:tr w14:paraId="22EE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BD306">
            <w:pPr>
              <w:pStyle w:val="22"/>
              <w:kinsoku w:val="0"/>
              <w:overflowPunct w:val="0"/>
              <w:jc w:val="center"/>
              <w:rPr>
                <w:sz w:val="21"/>
                <w:highlight w:val="none"/>
              </w:rPr>
            </w:pPr>
            <w:r>
              <w:rPr>
                <w:rFonts w:hint="eastAsia" w:eastAsia="Times New Roman"/>
                <w:sz w:val="21"/>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2B68D">
            <w:pPr>
              <w:pStyle w:val="22"/>
              <w:kinsoku w:val="0"/>
              <w:overflowPunct w:val="0"/>
              <w:spacing w:line="360" w:lineRule="auto"/>
              <w:jc w:val="center"/>
              <w:rPr>
                <w:sz w:val="21"/>
                <w:highlight w:val="none"/>
              </w:rPr>
            </w:pPr>
            <w:r>
              <w:rPr>
                <w:rFonts w:ascii="宋体" w:hAnsi="宋体"/>
                <w:sz w:val="21"/>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6BE40">
            <w:pPr>
              <w:spacing w:line="360" w:lineRule="auto"/>
              <w:rPr>
                <w:rFonts w:ascii="宋体" w:hAnsi="宋体" w:cs="宋体"/>
                <w:sz w:val="21"/>
                <w:szCs w:val="21"/>
                <w:highlight w:val="none"/>
                <w:u w:val="single"/>
              </w:rPr>
            </w:pPr>
            <w:r>
              <w:rPr>
                <w:rFonts w:hint="eastAsia" w:ascii="宋体" w:hAnsi="宋体" w:cs="宋体"/>
                <w:sz w:val="21"/>
                <w:szCs w:val="21"/>
                <w:highlight w:val="none"/>
              </w:rPr>
              <w:t>名称：</w:t>
            </w:r>
            <w:r>
              <w:rPr>
                <w:rFonts w:hint="eastAsia" w:ascii="宋体" w:hAnsi="宋体" w:cs="宋体"/>
                <w:sz w:val="21"/>
                <w:szCs w:val="21"/>
                <w:highlight w:val="none"/>
                <w:u w:val="single"/>
              </w:rPr>
              <w:t>广州市天河区水务设施建设中心</w:t>
            </w:r>
          </w:p>
          <w:p w14:paraId="6D8997B5">
            <w:pPr>
              <w:spacing w:line="360" w:lineRule="auto"/>
              <w:rPr>
                <w:rFonts w:ascii="宋体" w:hAnsi="宋体" w:cs="宋体"/>
                <w:sz w:val="21"/>
                <w:szCs w:val="21"/>
                <w:highlight w:val="none"/>
              </w:rPr>
            </w:pPr>
            <w:r>
              <w:rPr>
                <w:rFonts w:hint="eastAsia" w:ascii="宋体" w:hAnsi="宋体" w:cs="宋体"/>
                <w:sz w:val="21"/>
                <w:szCs w:val="21"/>
                <w:highlight w:val="none"/>
              </w:rPr>
              <w:t>地址：</w:t>
            </w:r>
            <w:r>
              <w:rPr>
                <w:rFonts w:hint="eastAsia" w:ascii="宋体" w:hAnsi="宋体" w:cs="宋体"/>
                <w:sz w:val="21"/>
                <w:szCs w:val="21"/>
                <w:highlight w:val="none"/>
                <w:u w:val="single"/>
              </w:rPr>
              <w:t>广州市天河区黄埔大道中168号</w:t>
            </w:r>
          </w:p>
          <w:p w14:paraId="18A7E321">
            <w:pPr>
              <w:spacing w:line="360" w:lineRule="auto"/>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u w:val="single"/>
              </w:rPr>
              <w:t>赵工</w:t>
            </w:r>
          </w:p>
          <w:p w14:paraId="37354EDB">
            <w:pPr>
              <w:rPr>
                <w:sz w:val="21"/>
                <w:highlight w:val="none"/>
              </w:rPr>
            </w:pPr>
            <w:r>
              <w:rPr>
                <w:rFonts w:hint="eastAsia" w:ascii="宋体" w:hAnsi="宋体" w:cs="宋体"/>
                <w:sz w:val="21"/>
                <w:szCs w:val="21"/>
                <w:highlight w:val="none"/>
              </w:rPr>
              <w:t>电话：</w:t>
            </w:r>
            <w:r>
              <w:rPr>
                <w:rFonts w:ascii="宋体" w:hAnsi="宋体" w:cs="宋体"/>
                <w:sz w:val="21"/>
                <w:szCs w:val="21"/>
                <w:highlight w:val="none"/>
                <w:u w:val="single"/>
              </w:rPr>
              <w:t>020-87594749</w:t>
            </w:r>
          </w:p>
        </w:tc>
      </w:tr>
      <w:tr w14:paraId="5441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D1DD5">
            <w:pPr>
              <w:pStyle w:val="22"/>
              <w:kinsoku w:val="0"/>
              <w:overflowPunct w:val="0"/>
              <w:jc w:val="center"/>
              <w:rPr>
                <w:sz w:val="21"/>
                <w:highlight w:val="none"/>
              </w:rPr>
            </w:pPr>
            <w:r>
              <w:rPr>
                <w:rFonts w:hint="eastAsia" w:eastAsia="Times New Roman"/>
                <w:sz w:val="21"/>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73DE7">
            <w:pPr>
              <w:pStyle w:val="22"/>
              <w:kinsoku w:val="0"/>
              <w:overflowPunct w:val="0"/>
              <w:jc w:val="center"/>
              <w:rPr>
                <w:sz w:val="21"/>
                <w:highlight w:val="none"/>
              </w:rPr>
            </w:pPr>
            <w:r>
              <w:rPr>
                <w:rFonts w:ascii="宋体" w:hAnsi="宋体"/>
                <w:sz w:val="21"/>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18BE0">
            <w:pPr>
              <w:adjustRightInd/>
              <w:spacing w:before="120" w:beforeLines="50"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名称：</w:t>
            </w:r>
            <w:r>
              <w:rPr>
                <w:rFonts w:hint="eastAsia" w:ascii="宋体" w:hAnsi="宋体" w:cs="宋体"/>
                <w:sz w:val="21"/>
                <w:szCs w:val="21"/>
                <w:highlight w:val="none"/>
                <w:u w:val="single"/>
                <w:lang w:eastAsia="zh-CN"/>
              </w:rPr>
              <w:t>天栋建设管理有限公司</w:t>
            </w:r>
          </w:p>
          <w:p w14:paraId="27733589">
            <w:pPr>
              <w:adjustRightInd/>
              <w:spacing w:line="360" w:lineRule="auto"/>
              <w:rPr>
                <w:rFonts w:ascii="宋体" w:hAnsi="宋体" w:cs="宋体"/>
                <w:sz w:val="21"/>
                <w:szCs w:val="21"/>
                <w:highlight w:val="none"/>
                <w:u w:val="single"/>
              </w:rPr>
            </w:pPr>
            <w:r>
              <w:rPr>
                <w:rFonts w:hint="eastAsia" w:ascii="宋体" w:hAnsi="宋体" w:cs="宋体"/>
                <w:sz w:val="21"/>
                <w:szCs w:val="21"/>
                <w:highlight w:val="none"/>
              </w:rPr>
              <w:t>地址：</w:t>
            </w:r>
            <w:r>
              <w:rPr>
                <w:rFonts w:hint="eastAsia" w:ascii="宋体" w:hAnsi="宋体" w:cs="宋体"/>
                <w:sz w:val="21"/>
                <w:szCs w:val="21"/>
                <w:highlight w:val="none"/>
                <w:u w:val="single"/>
              </w:rPr>
              <w:t>广州市天河区天润路6号三楼</w:t>
            </w:r>
          </w:p>
          <w:p w14:paraId="0D7E0E7E">
            <w:pPr>
              <w:adjustRightInd/>
              <w:spacing w:line="360" w:lineRule="auto"/>
              <w:rPr>
                <w:rFonts w:ascii="宋体" w:hAnsi="宋体" w:cs="宋体"/>
                <w:sz w:val="21"/>
                <w:szCs w:val="21"/>
                <w:highlight w:val="none"/>
              </w:rPr>
            </w:pPr>
            <w:r>
              <w:rPr>
                <w:rFonts w:hint="eastAsia" w:ascii="宋体" w:hAnsi="宋体" w:cs="宋体"/>
                <w:sz w:val="21"/>
                <w:szCs w:val="21"/>
                <w:highlight w:val="none"/>
              </w:rPr>
              <w:t>联系人：</w:t>
            </w:r>
            <w:r>
              <w:rPr>
                <w:rFonts w:hint="eastAsia" w:ascii="宋体" w:hAnsi="宋体" w:cs="宋体"/>
                <w:sz w:val="21"/>
                <w:szCs w:val="21"/>
                <w:highlight w:val="none"/>
                <w:u w:val="single"/>
                <w:lang w:val="en-US" w:eastAsia="zh-CN"/>
              </w:rPr>
              <w:t>田 工</w:t>
            </w:r>
          </w:p>
          <w:p w14:paraId="6465E825">
            <w:pPr>
              <w:pStyle w:val="22"/>
              <w:kinsoku w:val="0"/>
              <w:overflowPunct w:val="0"/>
              <w:spacing w:line="360" w:lineRule="auto"/>
              <w:jc w:val="both"/>
              <w:rPr>
                <w:sz w:val="21"/>
                <w:highlight w:val="none"/>
              </w:rPr>
            </w:pPr>
            <w:r>
              <w:rPr>
                <w:rFonts w:hint="eastAsia" w:ascii="宋体" w:hAnsi="宋体" w:cs="宋体"/>
                <w:sz w:val="21"/>
                <w:szCs w:val="21"/>
                <w:highlight w:val="none"/>
              </w:rPr>
              <w:t>电话：</w:t>
            </w:r>
            <w:r>
              <w:rPr>
                <w:rFonts w:hint="eastAsia" w:ascii="宋体" w:hAnsi="宋体" w:cs="宋体"/>
                <w:sz w:val="21"/>
                <w:szCs w:val="21"/>
                <w:highlight w:val="none"/>
                <w:u w:val="single"/>
              </w:rPr>
              <w:t>020-87180896</w:t>
            </w:r>
          </w:p>
        </w:tc>
      </w:tr>
      <w:tr w14:paraId="5C5A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41CDC">
            <w:pPr>
              <w:pStyle w:val="22"/>
              <w:kinsoku w:val="0"/>
              <w:overflowPunct w:val="0"/>
              <w:jc w:val="center"/>
              <w:rPr>
                <w:sz w:val="21"/>
                <w:highlight w:val="none"/>
              </w:rPr>
            </w:pPr>
            <w:r>
              <w:rPr>
                <w:rFonts w:hint="eastAsia" w:eastAsia="Times New Roman"/>
                <w:sz w:val="21"/>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8E9EF">
            <w:pPr>
              <w:pStyle w:val="22"/>
              <w:kinsoku w:val="0"/>
              <w:overflowPunct w:val="0"/>
              <w:jc w:val="center"/>
              <w:rPr>
                <w:sz w:val="21"/>
                <w:highlight w:val="none"/>
              </w:rPr>
            </w:pPr>
            <w:r>
              <w:rPr>
                <w:rFonts w:ascii="宋体" w:hAnsi="宋体"/>
                <w:sz w:val="21"/>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3B617">
            <w:pPr>
              <w:spacing w:line="360" w:lineRule="auto"/>
              <w:jc w:val="both"/>
              <w:rPr>
                <w:rFonts w:hint="eastAsia" w:eastAsia="宋体"/>
                <w:sz w:val="21"/>
                <w:highlight w:val="none"/>
                <w:lang w:eastAsia="zh-CN"/>
              </w:rPr>
            </w:pPr>
            <w:r>
              <w:rPr>
                <w:rFonts w:hint="eastAsia" w:ascii="宋体" w:hAnsi="宋体" w:cs="宋体"/>
                <w:sz w:val="21"/>
                <w:szCs w:val="21"/>
                <w:highlight w:val="none"/>
                <w:u w:val="single"/>
                <w:lang w:eastAsia="zh-CN"/>
              </w:rPr>
              <w:t>广州国际金融城东区深涌整治工程监理</w:t>
            </w:r>
          </w:p>
        </w:tc>
      </w:tr>
      <w:tr w14:paraId="03DC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A646B">
            <w:pPr>
              <w:pStyle w:val="22"/>
              <w:kinsoku w:val="0"/>
              <w:overflowPunct w:val="0"/>
              <w:jc w:val="center"/>
              <w:rPr>
                <w:sz w:val="21"/>
                <w:highlight w:val="none"/>
              </w:rPr>
            </w:pPr>
            <w:r>
              <w:rPr>
                <w:rFonts w:hint="eastAsia" w:eastAsia="Times New Roman"/>
                <w:sz w:val="21"/>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E600C">
            <w:pPr>
              <w:pStyle w:val="22"/>
              <w:kinsoku w:val="0"/>
              <w:overflowPunct w:val="0"/>
              <w:jc w:val="center"/>
              <w:rPr>
                <w:sz w:val="21"/>
                <w:highlight w:val="none"/>
              </w:rPr>
            </w:pPr>
            <w:r>
              <w:rPr>
                <w:rFonts w:ascii="宋体" w:hAnsi="宋体"/>
                <w:sz w:val="21"/>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8D970">
            <w:pPr>
              <w:spacing w:line="360" w:lineRule="auto"/>
              <w:jc w:val="both"/>
              <w:rPr>
                <w:sz w:val="21"/>
                <w:highlight w:val="none"/>
              </w:rPr>
            </w:pPr>
            <w:r>
              <w:rPr>
                <w:rFonts w:ascii="宋体" w:hAnsi="宋体"/>
                <w:sz w:val="21"/>
                <w:highlight w:val="none"/>
                <w:u w:val="single"/>
              </w:rPr>
              <w:t>详见本项目招标公告。</w:t>
            </w:r>
          </w:p>
        </w:tc>
      </w:tr>
      <w:tr w14:paraId="4C5E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FF51F">
            <w:pPr>
              <w:pStyle w:val="22"/>
              <w:kinsoku w:val="0"/>
              <w:overflowPunct w:val="0"/>
              <w:jc w:val="center"/>
              <w:rPr>
                <w:sz w:val="21"/>
                <w:highlight w:val="none"/>
              </w:rPr>
            </w:pPr>
            <w:r>
              <w:rPr>
                <w:rFonts w:hint="eastAsia" w:eastAsia="Times New Roman"/>
                <w:sz w:val="21"/>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4C2EF7">
            <w:pPr>
              <w:pStyle w:val="22"/>
              <w:kinsoku w:val="0"/>
              <w:overflowPunct w:val="0"/>
              <w:jc w:val="center"/>
              <w:rPr>
                <w:sz w:val="21"/>
                <w:highlight w:val="none"/>
              </w:rPr>
            </w:pPr>
            <w:r>
              <w:rPr>
                <w:rFonts w:ascii="宋体" w:hAnsi="宋体"/>
                <w:sz w:val="21"/>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964A1">
            <w:pPr>
              <w:spacing w:line="360" w:lineRule="auto"/>
              <w:jc w:val="both"/>
              <w:rPr>
                <w:sz w:val="21"/>
                <w:highlight w:val="none"/>
              </w:rPr>
            </w:pPr>
            <w:r>
              <w:rPr>
                <w:rFonts w:ascii="宋体" w:hAnsi="宋体"/>
                <w:sz w:val="21"/>
                <w:highlight w:val="none"/>
                <w:u w:val="single"/>
              </w:rPr>
              <w:t>详见本项目招标公告。</w:t>
            </w:r>
          </w:p>
        </w:tc>
      </w:tr>
      <w:tr w14:paraId="54B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BBD60">
            <w:pPr>
              <w:pStyle w:val="22"/>
              <w:kinsoku w:val="0"/>
              <w:overflowPunct w:val="0"/>
              <w:jc w:val="center"/>
              <w:rPr>
                <w:sz w:val="21"/>
                <w:highlight w:val="none"/>
              </w:rPr>
            </w:pPr>
            <w:r>
              <w:rPr>
                <w:rFonts w:hint="eastAsia" w:eastAsia="Times New Roman"/>
                <w:sz w:val="21"/>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6176F">
            <w:pPr>
              <w:pStyle w:val="22"/>
              <w:kinsoku w:val="0"/>
              <w:overflowPunct w:val="0"/>
              <w:jc w:val="center"/>
              <w:rPr>
                <w:sz w:val="21"/>
                <w:highlight w:val="none"/>
              </w:rPr>
            </w:pPr>
            <w:r>
              <w:rPr>
                <w:rFonts w:ascii="宋体" w:hAnsi="宋体"/>
                <w:sz w:val="21"/>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701E2">
            <w:pPr>
              <w:spacing w:line="360" w:lineRule="auto"/>
              <w:jc w:val="both"/>
              <w:rPr>
                <w:sz w:val="21"/>
                <w:highlight w:val="none"/>
              </w:rPr>
            </w:pPr>
            <w:r>
              <w:rPr>
                <w:sz w:val="21"/>
                <w:highlight w:val="none"/>
                <w:u w:val="single"/>
              </w:rPr>
              <w:t>自合同签订之日始，至监理服务缺陷责任期、竣工结算及财务决算期结束止；以最迟结束时间为准。计划施工工期：</w:t>
            </w:r>
            <w:r>
              <w:rPr>
                <w:rFonts w:hint="eastAsia"/>
                <w:sz w:val="21"/>
                <w:highlight w:val="none"/>
                <w:u w:val="single"/>
                <w:lang w:val="en-US" w:eastAsia="zh-CN"/>
              </w:rPr>
              <w:t>750</w:t>
            </w:r>
            <w:r>
              <w:rPr>
                <w:rFonts w:hint="eastAsia"/>
                <w:sz w:val="21"/>
                <w:highlight w:val="none"/>
                <w:u w:val="single"/>
              </w:rPr>
              <w:t>日历天</w:t>
            </w:r>
            <w:r>
              <w:rPr>
                <w:rFonts w:hint="eastAsia"/>
                <w:sz w:val="21"/>
                <w:highlight w:val="none"/>
                <w:u w:val="single"/>
                <w:lang w:eastAsia="zh-CN"/>
              </w:rPr>
              <w:t>。</w:t>
            </w:r>
          </w:p>
        </w:tc>
      </w:tr>
      <w:tr w14:paraId="78E0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BAF96C">
            <w:pPr>
              <w:pStyle w:val="22"/>
              <w:kinsoku w:val="0"/>
              <w:overflowPunct w:val="0"/>
              <w:jc w:val="center"/>
              <w:rPr>
                <w:sz w:val="21"/>
                <w:highlight w:val="none"/>
              </w:rPr>
            </w:pPr>
            <w:r>
              <w:rPr>
                <w:rFonts w:hint="eastAsia" w:eastAsia="Times New Roman"/>
                <w:sz w:val="21"/>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AF57D">
            <w:pPr>
              <w:pStyle w:val="22"/>
              <w:kinsoku w:val="0"/>
              <w:overflowPunct w:val="0"/>
              <w:jc w:val="center"/>
              <w:rPr>
                <w:sz w:val="21"/>
                <w:highlight w:val="none"/>
              </w:rPr>
            </w:pPr>
            <w:r>
              <w:rPr>
                <w:rFonts w:ascii="宋体" w:hAnsi="宋体"/>
                <w:sz w:val="21"/>
                <w:highlight w:val="none"/>
              </w:rPr>
              <w:t>建筑安装工程费</w:t>
            </w:r>
            <w:r>
              <w:rPr>
                <w:rFonts w:hint="eastAsia" w:eastAsia="Times New Roman"/>
                <w:sz w:val="21"/>
                <w:highlight w:val="none"/>
              </w:rPr>
              <w:t>/</w:t>
            </w:r>
            <w:r>
              <w:rPr>
                <w:rFonts w:ascii="宋体" w:hAnsi="宋体"/>
                <w:sz w:val="21"/>
                <w:highlight w:val="none"/>
              </w:rPr>
              <w:t>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D1DA6">
            <w:pPr>
              <w:spacing w:line="360" w:lineRule="auto"/>
              <w:jc w:val="both"/>
              <w:rPr>
                <w:sz w:val="21"/>
                <w:highlight w:val="none"/>
              </w:rPr>
            </w:pPr>
            <w:r>
              <w:rPr>
                <w:rFonts w:hint="eastAsia" w:ascii="宋体" w:hAnsi="宋体"/>
                <w:sz w:val="21"/>
                <w:szCs w:val="21"/>
                <w:highlight w:val="none"/>
                <w:u w:val="single"/>
              </w:rPr>
              <w:t>详见本项目招标公告</w:t>
            </w:r>
          </w:p>
        </w:tc>
      </w:tr>
      <w:tr w14:paraId="6B33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13ED4">
            <w:pPr>
              <w:pStyle w:val="22"/>
              <w:kinsoku w:val="0"/>
              <w:overflowPunct w:val="0"/>
              <w:jc w:val="center"/>
              <w:rPr>
                <w:sz w:val="21"/>
                <w:highlight w:val="none"/>
              </w:rPr>
            </w:pPr>
            <w:r>
              <w:rPr>
                <w:rFonts w:hint="eastAsia" w:eastAsia="Times New Roman"/>
                <w:sz w:val="21"/>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14613">
            <w:pPr>
              <w:pStyle w:val="22"/>
              <w:kinsoku w:val="0"/>
              <w:overflowPunct w:val="0"/>
              <w:jc w:val="center"/>
              <w:rPr>
                <w:sz w:val="21"/>
                <w:highlight w:val="none"/>
              </w:rPr>
            </w:pPr>
            <w:r>
              <w:rPr>
                <w:rFonts w:ascii="宋体" w:hAnsi="宋体"/>
                <w:sz w:val="21"/>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8BD3B">
            <w:pPr>
              <w:spacing w:line="360" w:lineRule="auto"/>
              <w:jc w:val="both"/>
              <w:rPr>
                <w:sz w:val="21"/>
                <w:highlight w:val="none"/>
              </w:rPr>
            </w:pPr>
            <w:r>
              <w:rPr>
                <w:rFonts w:ascii="宋体" w:hAnsi="宋体"/>
                <w:sz w:val="21"/>
                <w:highlight w:val="none"/>
                <w:u w:val="single"/>
              </w:rPr>
              <w:t>详见本项目招标公告。</w:t>
            </w:r>
          </w:p>
        </w:tc>
      </w:tr>
      <w:tr w14:paraId="359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B8919">
            <w:pPr>
              <w:pStyle w:val="22"/>
              <w:kinsoku w:val="0"/>
              <w:overflowPunct w:val="0"/>
              <w:jc w:val="center"/>
              <w:rPr>
                <w:sz w:val="21"/>
                <w:highlight w:val="none"/>
              </w:rPr>
            </w:pPr>
            <w:r>
              <w:rPr>
                <w:rFonts w:hint="eastAsia" w:eastAsia="Times New Roman"/>
                <w:sz w:val="21"/>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E62AC">
            <w:pPr>
              <w:pStyle w:val="22"/>
              <w:kinsoku w:val="0"/>
              <w:overflowPunct w:val="0"/>
              <w:jc w:val="center"/>
              <w:rPr>
                <w:sz w:val="21"/>
                <w:highlight w:val="none"/>
              </w:rPr>
            </w:pPr>
            <w:r>
              <w:rPr>
                <w:rFonts w:ascii="宋体" w:hAnsi="宋体"/>
                <w:sz w:val="21"/>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7DACD">
            <w:pPr>
              <w:spacing w:line="360" w:lineRule="auto"/>
              <w:jc w:val="both"/>
              <w:rPr>
                <w:sz w:val="21"/>
                <w:highlight w:val="none"/>
              </w:rPr>
            </w:pPr>
            <w:r>
              <w:rPr>
                <w:rFonts w:hint="eastAsia" w:ascii="宋体" w:hAnsi="宋体"/>
                <w:sz w:val="21"/>
                <w:szCs w:val="21"/>
                <w:highlight w:val="none"/>
                <w:u w:val="single"/>
              </w:rPr>
              <w:t>资金来源已落实。</w:t>
            </w:r>
          </w:p>
        </w:tc>
      </w:tr>
      <w:tr w14:paraId="7A79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6036F">
            <w:pPr>
              <w:pStyle w:val="22"/>
              <w:kinsoku w:val="0"/>
              <w:overflowPunct w:val="0"/>
              <w:jc w:val="center"/>
              <w:rPr>
                <w:sz w:val="21"/>
                <w:highlight w:val="none"/>
              </w:rPr>
            </w:pPr>
            <w:r>
              <w:rPr>
                <w:rFonts w:hint="eastAsia" w:eastAsia="Times New Roman"/>
                <w:sz w:val="21"/>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C44B9E">
            <w:pPr>
              <w:pStyle w:val="22"/>
              <w:kinsoku w:val="0"/>
              <w:overflowPunct w:val="0"/>
              <w:jc w:val="center"/>
              <w:rPr>
                <w:sz w:val="21"/>
                <w:highlight w:val="none"/>
              </w:rPr>
            </w:pPr>
            <w:r>
              <w:rPr>
                <w:rFonts w:ascii="宋体" w:hAnsi="宋体"/>
                <w:sz w:val="21"/>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53907">
            <w:pPr>
              <w:spacing w:line="360" w:lineRule="auto"/>
              <w:jc w:val="both"/>
              <w:rPr>
                <w:sz w:val="21"/>
                <w:highlight w:val="none"/>
              </w:rPr>
            </w:pPr>
            <w:r>
              <w:rPr>
                <w:rFonts w:ascii="宋体" w:hAnsi="宋体"/>
                <w:sz w:val="21"/>
                <w:highlight w:val="none"/>
                <w:u w:val="single"/>
              </w:rPr>
              <w:t>详见本项目招标公告。</w:t>
            </w:r>
          </w:p>
        </w:tc>
      </w:tr>
      <w:tr w14:paraId="733D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B929D">
            <w:pPr>
              <w:pStyle w:val="22"/>
              <w:kinsoku w:val="0"/>
              <w:overflowPunct w:val="0"/>
              <w:jc w:val="center"/>
              <w:rPr>
                <w:sz w:val="21"/>
                <w:highlight w:val="none"/>
              </w:rPr>
            </w:pPr>
            <w:r>
              <w:rPr>
                <w:rFonts w:hint="eastAsia" w:eastAsia="Times New Roman"/>
                <w:sz w:val="21"/>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4E92C">
            <w:pPr>
              <w:pStyle w:val="22"/>
              <w:kinsoku w:val="0"/>
              <w:overflowPunct w:val="0"/>
              <w:jc w:val="center"/>
              <w:rPr>
                <w:sz w:val="21"/>
                <w:highlight w:val="none"/>
              </w:rPr>
            </w:pPr>
            <w:r>
              <w:rPr>
                <w:rFonts w:ascii="宋体" w:hAnsi="宋体"/>
                <w:sz w:val="21"/>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DC2D9">
            <w:pPr>
              <w:spacing w:line="360" w:lineRule="auto"/>
              <w:jc w:val="both"/>
              <w:rPr>
                <w:sz w:val="21"/>
                <w:highlight w:val="none"/>
              </w:rPr>
            </w:pPr>
            <w:r>
              <w:rPr>
                <w:rFonts w:ascii="宋体" w:hAnsi="宋体"/>
                <w:sz w:val="21"/>
                <w:highlight w:val="none"/>
                <w:u w:val="single"/>
              </w:rPr>
              <w:t>详见本项目招标公告。</w:t>
            </w:r>
          </w:p>
        </w:tc>
      </w:tr>
      <w:tr w14:paraId="67BD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62BF0">
            <w:pPr>
              <w:pStyle w:val="22"/>
              <w:kinsoku w:val="0"/>
              <w:overflowPunct w:val="0"/>
              <w:jc w:val="center"/>
              <w:rPr>
                <w:sz w:val="21"/>
                <w:highlight w:val="none"/>
              </w:rPr>
            </w:pPr>
            <w:r>
              <w:rPr>
                <w:rFonts w:hint="eastAsia" w:eastAsia="Times New Roman"/>
                <w:sz w:val="21"/>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43A5C">
            <w:pPr>
              <w:pStyle w:val="22"/>
              <w:kinsoku w:val="0"/>
              <w:overflowPunct w:val="0"/>
              <w:jc w:val="center"/>
              <w:rPr>
                <w:sz w:val="21"/>
                <w:highlight w:val="none"/>
              </w:rPr>
            </w:pPr>
            <w:r>
              <w:rPr>
                <w:rFonts w:ascii="宋体" w:hAnsi="宋体"/>
                <w:sz w:val="21"/>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B0BD7">
            <w:pPr>
              <w:spacing w:line="360" w:lineRule="auto"/>
              <w:jc w:val="both"/>
              <w:rPr>
                <w:sz w:val="21"/>
                <w:highlight w:val="none"/>
              </w:rPr>
            </w:pPr>
            <w:r>
              <w:rPr>
                <w:rFonts w:hint="eastAsia"/>
                <w:sz w:val="21"/>
                <w:szCs w:val="21"/>
                <w:highlight w:val="none"/>
                <w:u w:val="single"/>
              </w:rPr>
              <w:t>工程质量达到国家或行业质量检验评定的合格标准。</w:t>
            </w:r>
          </w:p>
        </w:tc>
      </w:tr>
      <w:tr w14:paraId="5F2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7BD46">
            <w:pPr>
              <w:pStyle w:val="22"/>
              <w:kinsoku w:val="0"/>
              <w:overflowPunct w:val="0"/>
              <w:jc w:val="center"/>
              <w:rPr>
                <w:sz w:val="21"/>
                <w:highlight w:val="none"/>
              </w:rPr>
            </w:pPr>
            <w:r>
              <w:rPr>
                <w:rFonts w:hint="eastAsia" w:eastAsia="Times New Roman"/>
                <w:sz w:val="21"/>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36C00">
            <w:pPr>
              <w:pStyle w:val="22"/>
              <w:kinsoku w:val="0"/>
              <w:overflowPunct w:val="0"/>
              <w:jc w:val="center"/>
              <w:rPr>
                <w:sz w:val="21"/>
                <w:highlight w:val="none"/>
              </w:rPr>
            </w:pPr>
            <w:r>
              <w:rPr>
                <w:rFonts w:ascii="宋体" w:hAnsi="宋体"/>
                <w:sz w:val="21"/>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6331B">
            <w:pPr>
              <w:pStyle w:val="22"/>
              <w:kinsoku w:val="0"/>
              <w:overflowPunct w:val="0"/>
              <w:spacing w:line="360" w:lineRule="auto"/>
              <w:jc w:val="both"/>
              <w:rPr>
                <w:rFonts w:ascii="宋体" w:hAnsi="宋体"/>
                <w:sz w:val="21"/>
                <w:highlight w:val="none"/>
              </w:rPr>
            </w:pPr>
            <w:r>
              <w:rPr>
                <w:rFonts w:ascii="宋体" w:hAnsi="宋体"/>
                <w:sz w:val="21"/>
                <w:highlight w:val="none"/>
              </w:rPr>
              <w:t>详见本项目招标公告。</w:t>
            </w:r>
          </w:p>
        </w:tc>
      </w:tr>
      <w:tr w14:paraId="023B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6D5E5">
            <w:pPr>
              <w:pStyle w:val="22"/>
              <w:kinsoku w:val="0"/>
              <w:overflowPunct w:val="0"/>
              <w:jc w:val="center"/>
              <w:rPr>
                <w:sz w:val="21"/>
                <w:highlight w:val="none"/>
              </w:rPr>
            </w:pPr>
            <w:r>
              <w:rPr>
                <w:rFonts w:hint="eastAsia" w:eastAsia="Times New Roman"/>
                <w:sz w:val="21"/>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B89EB">
            <w:pPr>
              <w:pStyle w:val="22"/>
              <w:kinsoku w:val="0"/>
              <w:overflowPunct w:val="0"/>
              <w:jc w:val="center"/>
              <w:rPr>
                <w:sz w:val="21"/>
                <w:highlight w:val="none"/>
              </w:rPr>
            </w:pPr>
            <w:r>
              <w:rPr>
                <w:rFonts w:ascii="宋体" w:hAnsi="宋体"/>
                <w:sz w:val="21"/>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ADABB7">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不接受</w:t>
            </w:r>
          </w:p>
          <w:p w14:paraId="7618645E">
            <w:pPr>
              <w:pStyle w:val="22"/>
              <w:kinsoku w:val="0"/>
              <w:overflowPunct w:val="0"/>
              <w:spacing w:line="360" w:lineRule="auto"/>
              <w:jc w:val="both"/>
              <w:rPr>
                <w:sz w:val="21"/>
                <w:highlight w:val="none"/>
              </w:rPr>
            </w:pPr>
            <w:r>
              <w:rPr>
                <w:rFonts w:hint="eastAsia" w:eastAsia="Times New Roman"/>
                <w:sz w:val="21"/>
                <w:highlight w:val="none"/>
              </w:rPr>
              <w:sym w:font="Wingdings 2" w:char="00A3"/>
            </w:r>
            <w:r>
              <w:rPr>
                <w:rFonts w:ascii="宋体" w:hAnsi="宋体"/>
                <w:sz w:val="21"/>
                <w:highlight w:val="none"/>
              </w:rPr>
              <w:t>接受，应满足下列要求：</w:t>
            </w:r>
          </w:p>
        </w:tc>
      </w:tr>
      <w:tr w14:paraId="67CC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4AE7B">
            <w:pPr>
              <w:pStyle w:val="22"/>
              <w:kinsoku w:val="0"/>
              <w:overflowPunct w:val="0"/>
              <w:jc w:val="center"/>
              <w:rPr>
                <w:rFonts w:ascii="宋体" w:hAnsi="宋体" w:cs="宋体"/>
                <w:b/>
                <w:sz w:val="21"/>
                <w:szCs w:val="21"/>
                <w:highlight w:val="none"/>
              </w:rPr>
            </w:pPr>
            <w:r>
              <w:rPr>
                <w:rFonts w:hint="eastAsia" w:eastAsia="Times New Roman"/>
                <w:sz w:val="21"/>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F01B3">
            <w:pPr>
              <w:pStyle w:val="22"/>
              <w:kinsoku w:val="0"/>
              <w:overflowPunct w:val="0"/>
              <w:jc w:val="center"/>
              <w:rPr>
                <w:rFonts w:ascii="宋体" w:hAnsi="宋体" w:cs="宋体"/>
                <w:b/>
                <w:sz w:val="21"/>
                <w:szCs w:val="21"/>
                <w:highlight w:val="none"/>
              </w:rPr>
            </w:pPr>
            <w:r>
              <w:rPr>
                <w:rFonts w:ascii="宋体" w:hAnsi="宋体"/>
                <w:sz w:val="21"/>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8ADE5">
            <w:pPr>
              <w:spacing w:line="360" w:lineRule="auto"/>
              <w:jc w:val="both"/>
              <w:rPr>
                <w:rFonts w:ascii="宋体" w:hAnsi="宋体" w:cs="宋体"/>
                <w:b/>
                <w:sz w:val="21"/>
                <w:szCs w:val="21"/>
                <w:highlight w:val="none"/>
              </w:rPr>
            </w:pPr>
            <w:r>
              <w:rPr>
                <w:rFonts w:ascii="宋体" w:hAnsi="宋体" w:cs="宋体"/>
                <w:sz w:val="21"/>
                <w:szCs w:val="21"/>
                <w:highlight w:val="none"/>
              </w:rPr>
              <w:t>/</w:t>
            </w:r>
          </w:p>
        </w:tc>
      </w:tr>
      <w:tr w14:paraId="79D6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08EDF">
            <w:pPr>
              <w:pStyle w:val="22"/>
              <w:kinsoku w:val="0"/>
              <w:overflowPunct w:val="0"/>
              <w:jc w:val="center"/>
              <w:rPr>
                <w:rFonts w:ascii="宋体" w:hAnsi="宋体" w:cs="宋体"/>
                <w:b/>
                <w:sz w:val="21"/>
                <w:szCs w:val="21"/>
                <w:highlight w:val="none"/>
              </w:rPr>
            </w:pPr>
            <w:r>
              <w:rPr>
                <w:rFonts w:hint="eastAsia" w:eastAsia="Times New Roman"/>
                <w:sz w:val="21"/>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0C573">
            <w:pPr>
              <w:pStyle w:val="22"/>
              <w:kinsoku w:val="0"/>
              <w:overflowPunct w:val="0"/>
              <w:jc w:val="center"/>
              <w:rPr>
                <w:rFonts w:ascii="宋体" w:hAnsi="宋体" w:cs="宋体"/>
                <w:b/>
                <w:sz w:val="21"/>
                <w:szCs w:val="21"/>
                <w:highlight w:val="none"/>
              </w:rPr>
            </w:pPr>
            <w:r>
              <w:rPr>
                <w:rFonts w:ascii="宋体" w:hAnsi="宋体"/>
                <w:sz w:val="21"/>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99788">
            <w:pPr>
              <w:spacing w:line="360" w:lineRule="auto"/>
              <w:rPr>
                <w:sz w:val="21"/>
                <w:highlight w:val="none"/>
              </w:rPr>
            </w:pPr>
            <w:r>
              <w:rPr>
                <w:rFonts w:ascii="Segoe UI Symbol" w:hAnsi="Segoe UI Symbol" w:cs="Segoe UI Symbol"/>
                <w:sz w:val="21"/>
                <w:szCs w:val="21"/>
                <w:highlight w:val="none"/>
              </w:rPr>
              <w:t>☑</w:t>
            </w:r>
            <w:r>
              <w:rPr>
                <w:rFonts w:ascii="宋体"/>
                <w:sz w:val="21"/>
                <w:highlight w:val="none"/>
              </w:rPr>
              <w:t>招标人不集中组织，由投标人自行踏勘；</w:t>
            </w:r>
          </w:p>
          <w:p w14:paraId="66220A38">
            <w:pPr>
              <w:spacing w:line="360" w:lineRule="auto"/>
              <w:rPr>
                <w:sz w:val="21"/>
                <w:highlight w:val="none"/>
              </w:rPr>
            </w:pPr>
            <w:r>
              <w:rPr>
                <w:rFonts w:ascii="宋体" w:hAnsi="宋体" w:cs="宋体"/>
                <w:sz w:val="21"/>
                <w:szCs w:val="21"/>
                <w:highlight w:val="none"/>
              </w:rPr>
              <w:sym w:font="Wingdings 2" w:char="00A3"/>
            </w:r>
            <w:r>
              <w:rPr>
                <w:rFonts w:ascii="宋体"/>
                <w:sz w:val="21"/>
                <w:highlight w:val="none"/>
              </w:rPr>
              <w:t>时间：自___年</w:t>
            </w:r>
            <w:r>
              <w:rPr>
                <w:sz w:val="21"/>
                <w:highlight w:val="none"/>
              </w:rPr>
              <w:t>__</w:t>
            </w:r>
            <w:r>
              <w:rPr>
                <w:rFonts w:ascii="宋体"/>
                <w:sz w:val="21"/>
                <w:highlight w:val="none"/>
              </w:rPr>
              <w:t>月</w:t>
            </w:r>
            <w:r>
              <w:rPr>
                <w:sz w:val="21"/>
                <w:highlight w:val="none"/>
              </w:rPr>
              <w:t>__</w:t>
            </w:r>
            <w:r>
              <w:rPr>
                <w:rFonts w:ascii="宋体"/>
                <w:sz w:val="21"/>
                <w:highlight w:val="none"/>
              </w:rPr>
              <w:t>日起具备现场踏勘条件；</w:t>
            </w:r>
          </w:p>
          <w:p w14:paraId="5EE07487">
            <w:pPr>
              <w:pStyle w:val="22"/>
              <w:kinsoku w:val="0"/>
              <w:overflowPunct w:val="0"/>
              <w:spacing w:line="360" w:lineRule="auto"/>
              <w:jc w:val="both"/>
              <w:rPr>
                <w:rFonts w:ascii="宋体" w:hAnsi="宋体" w:cs="宋体"/>
                <w:b/>
                <w:sz w:val="21"/>
                <w:szCs w:val="21"/>
                <w:highlight w:val="none"/>
              </w:rPr>
            </w:pPr>
            <w:r>
              <w:rPr>
                <w:rFonts w:ascii="宋体"/>
                <w:sz w:val="21"/>
                <w:highlight w:val="none"/>
              </w:rPr>
              <w:t>现场详细地点：</w:t>
            </w:r>
            <w:r>
              <w:rPr>
                <w:sz w:val="21"/>
                <w:highlight w:val="none"/>
              </w:rPr>
              <w:t>___________________</w:t>
            </w:r>
            <w:r>
              <w:rPr>
                <w:rFonts w:ascii="宋体"/>
                <w:sz w:val="21"/>
                <w:highlight w:val="none"/>
              </w:rPr>
              <w:t>；</w:t>
            </w:r>
          </w:p>
        </w:tc>
      </w:tr>
      <w:tr w14:paraId="0B93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7BC7BFDA">
            <w:pPr>
              <w:spacing w:line="283" w:lineRule="auto"/>
              <w:rPr>
                <w:rFonts w:ascii="Arial"/>
                <w:sz w:val="21"/>
                <w:highlight w:val="none"/>
              </w:rPr>
            </w:pPr>
          </w:p>
          <w:p w14:paraId="36A954D1">
            <w:pPr>
              <w:spacing w:line="284" w:lineRule="auto"/>
              <w:rPr>
                <w:rFonts w:ascii="Arial"/>
                <w:sz w:val="21"/>
                <w:highlight w:val="none"/>
              </w:rPr>
            </w:pPr>
          </w:p>
          <w:p w14:paraId="00E4E341">
            <w:pPr>
              <w:spacing w:before="60" w:line="186" w:lineRule="auto"/>
              <w:jc w:val="center"/>
              <w:rPr>
                <w:rFonts w:eastAsia="Times New Roman"/>
                <w:sz w:val="21"/>
                <w:szCs w:val="21"/>
                <w:highlight w:val="none"/>
              </w:rPr>
            </w:pPr>
            <w:r>
              <w:rPr>
                <w:rFonts w:hint="eastAsia" w:eastAsia="Times New Roman"/>
                <w:spacing w:val="-5"/>
                <w:sz w:val="21"/>
                <w:szCs w:val="21"/>
                <w:highlight w:val="none"/>
              </w:rPr>
              <w:t>1</w:t>
            </w:r>
            <w:r>
              <w:rPr>
                <w:rFonts w:hint="eastAsia" w:eastAsia="Times New Roman"/>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3589BCAC">
            <w:pPr>
              <w:spacing w:line="260" w:lineRule="auto"/>
              <w:jc w:val="center"/>
              <w:rPr>
                <w:rFonts w:ascii="Arial"/>
                <w:sz w:val="21"/>
                <w:highlight w:val="none"/>
              </w:rPr>
            </w:pPr>
          </w:p>
          <w:p w14:paraId="4EA68CF1">
            <w:pPr>
              <w:spacing w:line="260" w:lineRule="auto"/>
              <w:jc w:val="center"/>
              <w:rPr>
                <w:rFonts w:ascii="Arial"/>
                <w:sz w:val="21"/>
                <w:highlight w:val="none"/>
              </w:rPr>
            </w:pPr>
          </w:p>
          <w:p w14:paraId="422FDFCE">
            <w:pPr>
              <w:spacing w:before="68" w:line="217" w:lineRule="auto"/>
              <w:jc w:val="center"/>
              <w:rPr>
                <w:rFonts w:ascii="宋体" w:hAnsi="宋体" w:cs="宋体"/>
                <w:sz w:val="21"/>
                <w:szCs w:val="21"/>
                <w:highlight w:val="none"/>
              </w:rPr>
            </w:pPr>
            <w:r>
              <w:rPr>
                <w:rFonts w:ascii="宋体" w:hAnsi="宋体"/>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3B715BAD">
            <w:pPr>
              <w:pStyle w:val="8"/>
              <w:spacing w:before="48" w:beforeLines="20" w:after="48" w:afterLines="20" w:line="360" w:lineRule="auto"/>
              <w:ind w:left="48" w:leftChars="20" w:right="48" w:rightChars="20"/>
              <w:rPr>
                <w:rFonts w:hint="default" w:ascii="宋体" w:hAnsi="宋体" w:eastAsia="宋体" w:cs="宋体"/>
                <w:sz w:val="21"/>
                <w:szCs w:val="21"/>
                <w:highlight w:val="none"/>
              </w:rPr>
            </w:pPr>
            <w:r>
              <w:rPr>
                <w:rFonts w:hint="default" w:ascii="宋体" w:hAnsi="宋体" w:eastAsia="宋体" w:cs="宋体"/>
                <w:sz w:val="21"/>
                <w:szCs w:val="21"/>
                <w:highlight w:val="none"/>
              </w:rPr>
              <w:t>☑不召开</w:t>
            </w:r>
          </w:p>
          <w:p w14:paraId="60D1A05F">
            <w:pPr>
              <w:spacing w:before="48" w:beforeLines="20" w:after="48" w:afterLines="20" w:line="360" w:lineRule="auto"/>
              <w:ind w:left="48" w:leftChars="20" w:right="48" w:rightChars="20"/>
              <w:rPr>
                <w:rFonts w:ascii="宋体" w:hAnsi="宋体" w:cs="宋体"/>
                <w:sz w:val="21"/>
                <w:szCs w:val="21"/>
                <w:highlight w:val="none"/>
              </w:rPr>
            </w:pPr>
            <w:r>
              <w:rPr>
                <w:rFonts w:ascii="宋体" w:hAnsi="宋体" w:cs="宋体"/>
                <w:sz w:val="21"/>
                <w:szCs w:val="21"/>
                <w:highlight w:val="none"/>
              </w:rPr>
              <w:sym w:font="Wingdings 2" w:char="00A3"/>
            </w:r>
            <w:r>
              <w:rPr>
                <w:rFonts w:ascii="宋体" w:hAnsi="宋体" w:cs="宋体"/>
                <w:sz w:val="21"/>
                <w:szCs w:val="21"/>
                <w:highlight w:val="none"/>
              </w:rPr>
              <w:t>召开，召开时间：</w:t>
            </w:r>
          </w:p>
          <w:p w14:paraId="03B8BBFD">
            <w:pPr>
              <w:spacing w:before="173" w:line="360" w:lineRule="auto"/>
              <w:ind w:right="50" w:firstLine="840" w:firstLineChars="400"/>
              <w:rPr>
                <w:rFonts w:ascii="宋体" w:hAnsi="宋体"/>
                <w:sz w:val="21"/>
                <w:highlight w:val="none"/>
              </w:rPr>
            </w:pPr>
            <w:r>
              <w:rPr>
                <w:rFonts w:ascii="宋体" w:hAnsi="宋体" w:cs="宋体"/>
                <w:sz w:val="21"/>
                <w:szCs w:val="21"/>
                <w:highlight w:val="none"/>
              </w:rPr>
              <w:t>召开地点：</w:t>
            </w:r>
          </w:p>
        </w:tc>
      </w:tr>
      <w:tr w14:paraId="1EC0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49D028">
            <w:pPr>
              <w:spacing w:before="60" w:line="186" w:lineRule="auto"/>
              <w:jc w:val="center"/>
              <w:rPr>
                <w:rFonts w:eastAsia="Times New Roman"/>
                <w:spacing w:val="-5"/>
                <w:sz w:val="21"/>
                <w:szCs w:val="21"/>
                <w:highlight w:val="none"/>
              </w:rPr>
            </w:pPr>
            <w:r>
              <w:rPr>
                <w:rFonts w:hint="eastAsia" w:eastAsia="Times New Roman"/>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E28AA4">
            <w:pPr>
              <w:spacing w:before="68" w:line="217" w:lineRule="auto"/>
              <w:jc w:val="center"/>
              <w:rPr>
                <w:rFonts w:ascii="宋体" w:hAnsi="宋体" w:cs="宋体"/>
                <w:spacing w:val="-2"/>
                <w:sz w:val="21"/>
                <w:szCs w:val="21"/>
                <w:highlight w:val="none"/>
              </w:rPr>
            </w:pPr>
            <w:r>
              <w:rPr>
                <w:rFonts w:ascii="宋体" w:hAnsi="宋体" w:cs="宋体"/>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DD047">
            <w:pPr>
              <w:autoSpaceDE/>
              <w:autoSpaceDN/>
              <w:adjustRightInd/>
              <w:spacing w:before="48" w:beforeLines="20" w:after="48" w:afterLines="20" w:line="360" w:lineRule="auto"/>
              <w:ind w:left="48" w:leftChars="20" w:right="48" w:rightChars="20"/>
              <w:rPr>
                <w:rFonts w:ascii="宋体" w:hAnsi="宋体" w:cs="宋体"/>
                <w:sz w:val="21"/>
                <w:szCs w:val="21"/>
                <w:highlight w:val="none"/>
              </w:rPr>
            </w:pPr>
            <w:r>
              <w:rPr>
                <w:rFonts w:ascii="宋体" w:hAnsi="宋体" w:cs="宋体"/>
                <w:sz w:val="21"/>
                <w:szCs w:val="21"/>
                <w:highlight w:val="none"/>
              </w:rPr>
              <w:t>时间： /</w:t>
            </w:r>
          </w:p>
        </w:tc>
      </w:tr>
      <w:tr w14:paraId="6D95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72707F">
            <w:pPr>
              <w:pStyle w:val="22"/>
              <w:kinsoku w:val="0"/>
              <w:overflowPunct w:val="0"/>
              <w:jc w:val="center"/>
              <w:rPr>
                <w:rFonts w:eastAsia="Times New Roman"/>
                <w:sz w:val="21"/>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5876F3">
            <w:pPr>
              <w:pStyle w:val="22"/>
              <w:kinsoku w:val="0"/>
              <w:overflowPunct w:val="0"/>
              <w:jc w:val="center"/>
              <w:rPr>
                <w:rFonts w:ascii="宋体" w:hAnsi="宋体"/>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71BCB">
            <w:pPr>
              <w:autoSpaceDE/>
              <w:autoSpaceDN/>
              <w:adjustRightInd/>
              <w:spacing w:before="48" w:beforeLines="20" w:after="48" w:afterLines="20" w:line="360" w:lineRule="auto"/>
              <w:ind w:left="48" w:leftChars="20" w:right="48" w:rightChars="20"/>
              <w:rPr>
                <w:rFonts w:ascii="宋体" w:hAnsi="宋体" w:cs="宋体"/>
                <w:sz w:val="21"/>
                <w:szCs w:val="21"/>
                <w:highlight w:val="none"/>
              </w:rPr>
            </w:pPr>
            <w:r>
              <w:rPr>
                <w:rFonts w:ascii="宋体" w:hAnsi="宋体" w:cs="宋体"/>
                <w:sz w:val="21"/>
                <w:szCs w:val="21"/>
                <w:highlight w:val="none"/>
              </w:rPr>
              <w:t>形式： /</w:t>
            </w:r>
          </w:p>
        </w:tc>
      </w:tr>
      <w:tr w14:paraId="5A5F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C968C">
            <w:pPr>
              <w:spacing w:before="48" w:beforeLines="20" w:after="48" w:afterLines="20"/>
              <w:ind w:left="48" w:leftChars="20" w:right="48" w:rightChars="20"/>
              <w:jc w:val="center"/>
              <w:rPr>
                <w:rFonts w:ascii="Arial" w:hAnsi="宋体" w:cs="宋体"/>
                <w:snapToGrid w:val="0"/>
                <w:sz w:val="21"/>
                <w:szCs w:val="21"/>
                <w:highlight w:val="none"/>
              </w:rPr>
            </w:pPr>
            <w:r>
              <w:rPr>
                <w:rFonts w:hint="eastAsia" w:eastAsia="Times New Roman"/>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D117B">
            <w:pPr>
              <w:spacing w:before="48" w:beforeLines="20" w:after="48" w:afterLines="20"/>
              <w:ind w:left="48" w:leftChars="20" w:right="48" w:rightChars="20"/>
              <w:jc w:val="center"/>
              <w:rPr>
                <w:rFonts w:ascii="宋体" w:hAnsi="宋体" w:cs="宋体"/>
                <w:snapToGrid w:val="0"/>
                <w:sz w:val="21"/>
                <w:szCs w:val="21"/>
                <w:highlight w:val="none"/>
              </w:rPr>
            </w:pPr>
            <w:r>
              <w:rPr>
                <w:rFonts w:ascii="宋体" w:hAnsi="宋体" w:cs="宋体"/>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19291C">
            <w:pPr>
              <w:autoSpaceDE/>
              <w:autoSpaceDN/>
              <w:adjustRightInd/>
              <w:spacing w:before="48" w:beforeLines="20" w:after="48" w:afterLines="20" w:line="360" w:lineRule="auto"/>
              <w:ind w:right="48" w:rightChars="20"/>
              <w:rPr>
                <w:rFonts w:ascii="宋体" w:hAnsi="宋体" w:cs="宋体"/>
                <w:sz w:val="21"/>
                <w:szCs w:val="21"/>
                <w:highlight w:val="none"/>
              </w:rPr>
            </w:pPr>
            <w:r>
              <w:rPr>
                <w:rFonts w:hint="eastAsia" w:ascii="宋体" w:hAnsi="宋体"/>
                <w:sz w:val="21"/>
                <w:szCs w:val="21"/>
                <w:highlight w:val="none"/>
                <w:u w:val="single"/>
              </w:rPr>
              <w:t>在广州交易集团有限公司（广州公共资源交易中心）网站首页-建设工程-“项目查询（日程安排、答疑纪要）”专区发布，一经在发布，视作已发放给所有投标人。</w:t>
            </w:r>
          </w:p>
        </w:tc>
      </w:tr>
      <w:tr w14:paraId="75F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ABD4BE">
            <w:pPr>
              <w:pStyle w:val="22"/>
              <w:kinsoku w:val="0"/>
              <w:overflowPunct w:val="0"/>
              <w:jc w:val="center"/>
              <w:rPr>
                <w:rFonts w:ascii="宋体" w:hAnsi="宋体" w:cs="宋体"/>
                <w:b/>
                <w:sz w:val="21"/>
                <w:szCs w:val="21"/>
                <w:highlight w:val="none"/>
              </w:rPr>
            </w:pPr>
            <w:r>
              <w:rPr>
                <w:rFonts w:hint="eastAsia" w:eastAsia="Times New Roman"/>
                <w:sz w:val="21"/>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7BBDF">
            <w:pPr>
              <w:pStyle w:val="22"/>
              <w:kinsoku w:val="0"/>
              <w:overflowPunct w:val="0"/>
              <w:jc w:val="center"/>
              <w:rPr>
                <w:rFonts w:ascii="宋体" w:hAnsi="宋体" w:cs="宋体"/>
                <w:b/>
                <w:sz w:val="21"/>
                <w:szCs w:val="21"/>
                <w:highlight w:val="none"/>
              </w:rPr>
            </w:pPr>
            <w:r>
              <w:rPr>
                <w:rFonts w:ascii="宋体" w:hAnsi="宋体"/>
                <w:sz w:val="21"/>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9CD9E">
            <w:pPr>
              <w:spacing w:line="360" w:lineRule="auto"/>
              <w:jc w:val="both"/>
              <w:rPr>
                <w:rFonts w:ascii="宋体" w:hAnsi="宋体" w:cs="宋体"/>
                <w:b/>
                <w:sz w:val="21"/>
                <w:szCs w:val="21"/>
                <w:highlight w:val="none"/>
              </w:rPr>
            </w:pPr>
            <w:r>
              <w:rPr>
                <w:rFonts w:ascii="宋体" w:hAnsi="宋体" w:cs="宋体"/>
                <w:sz w:val="21"/>
                <w:szCs w:val="21"/>
                <w:highlight w:val="none"/>
              </w:rPr>
              <w:t>/</w:t>
            </w:r>
          </w:p>
        </w:tc>
      </w:tr>
      <w:tr w14:paraId="50A2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B33A4">
            <w:pPr>
              <w:pStyle w:val="22"/>
              <w:kinsoku w:val="0"/>
              <w:overflowPunct w:val="0"/>
              <w:jc w:val="center"/>
              <w:rPr>
                <w:rFonts w:ascii="宋体" w:hAnsi="宋体" w:cs="宋体"/>
                <w:b/>
                <w:sz w:val="21"/>
                <w:szCs w:val="21"/>
                <w:highlight w:val="none"/>
              </w:rPr>
            </w:pPr>
            <w:r>
              <w:rPr>
                <w:rFonts w:hint="eastAsia" w:eastAsia="Times New Roman"/>
                <w:sz w:val="21"/>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B7036">
            <w:pPr>
              <w:pStyle w:val="22"/>
              <w:kinsoku w:val="0"/>
              <w:overflowPunct w:val="0"/>
              <w:jc w:val="center"/>
              <w:rPr>
                <w:rFonts w:ascii="宋体" w:hAnsi="宋体" w:cs="宋体"/>
                <w:b/>
                <w:sz w:val="21"/>
                <w:szCs w:val="21"/>
                <w:highlight w:val="none"/>
              </w:rPr>
            </w:pPr>
            <w:r>
              <w:rPr>
                <w:rFonts w:ascii="宋体" w:hAnsi="宋体"/>
                <w:sz w:val="21"/>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A3D94">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不允许</w:t>
            </w:r>
          </w:p>
          <w:p w14:paraId="7BA44A40">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允许，偏差范围：</w:t>
            </w:r>
          </w:p>
          <w:p w14:paraId="7292ED86">
            <w:pPr>
              <w:pStyle w:val="22"/>
              <w:kinsoku w:val="0"/>
              <w:overflowPunct w:val="0"/>
              <w:spacing w:line="360" w:lineRule="auto"/>
              <w:jc w:val="both"/>
              <w:rPr>
                <w:rFonts w:ascii="宋体" w:hAnsi="宋体" w:cs="宋体"/>
                <w:b/>
                <w:sz w:val="21"/>
                <w:szCs w:val="21"/>
                <w:highlight w:val="none"/>
              </w:rPr>
            </w:pPr>
            <w:r>
              <w:rPr>
                <w:rFonts w:ascii="宋体" w:hAnsi="宋体"/>
                <w:sz w:val="21"/>
                <w:highlight w:val="none"/>
              </w:rPr>
              <w:t>偏差幅度：</w:t>
            </w:r>
          </w:p>
        </w:tc>
      </w:tr>
      <w:tr w14:paraId="6D13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FBCAB">
            <w:pPr>
              <w:pStyle w:val="22"/>
              <w:kinsoku w:val="0"/>
              <w:overflowPunct w:val="0"/>
              <w:jc w:val="center"/>
              <w:rPr>
                <w:rFonts w:ascii="宋体" w:hAnsi="宋体" w:cs="宋体"/>
                <w:b/>
                <w:sz w:val="21"/>
                <w:szCs w:val="21"/>
                <w:highlight w:val="none"/>
              </w:rPr>
            </w:pPr>
            <w:r>
              <w:rPr>
                <w:rFonts w:hint="eastAsia" w:eastAsia="Times New Roman"/>
                <w:sz w:val="21"/>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FB505">
            <w:pPr>
              <w:pStyle w:val="22"/>
              <w:kinsoku w:val="0"/>
              <w:overflowPunct w:val="0"/>
              <w:jc w:val="both"/>
              <w:rPr>
                <w:rFonts w:ascii="宋体" w:hAnsi="宋体" w:cs="宋体"/>
                <w:b/>
                <w:sz w:val="21"/>
                <w:szCs w:val="21"/>
                <w:highlight w:val="none"/>
              </w:rPr>
            </w:pPr>
            <w:r>
              <w:rPr>
                <w:rFonts w:ascii="宋体" w:hAnsi="宋体"/>
                <w:sz w:val="21"/>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3101A">
            <w:pPr>
              <w:spacing w:line="360" w:lineRule="auto"/>
              <w:jc w:val="both"/>
              <w:rPr>
                <w:rFonts w:ascii="宋体" w:hAnsi="宋体" w:cs="宋体"/>
                <w:b/>
                <w:sz w:val="21"/>
                <w:szCs w:val="21"/>
                <w:highlight w:val="none"/>
              </w:rPr>
            </w:pPr>
            <w:r>
              <w:rPr>
                <w:rFonts w:ascii="宋体" w:hAnsi="宋体" w:cs="宋体"/>
                <w:sz w:val="21"/>
                <w:szCs w:val="21"/>
                <w:highlight w:val="none"/>
              </w:rPr>
              <w:t>/</w:t>
            </w:r>
          </w:p>
        </w:tc>
      </w:tr>
      <w:tr w14:paraId="6FC6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29302">
            <w:pPr>
              <w:spacing w:before="60" w:line="186" w:lineRule="auto"/>
              <w:jc w:val="center"/>
              <w:rPr>
                <w:rFonts w:eastAsia="Times New Roman"/>
                <w:sz w:val="21"/>
                <w:highlight w:val="none"/>
              </w:rPr>
            </w:pPr>
            <w:r>
              <w:rPr>
                <w:rFonts w:hint="eastAsia" w:eastAsia="Times New Roman"/>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CF1AA">
            <w:pPr>
              <w:spacing w:line="272" w:lineRule="auto"/>
              <w:jc w:val="center"/>
              <w:rPr>
                <w:sz w:val="21"/>
                <w:highlight w:val="none"/>
              </w:rPr>
            </w:pPr>
          </w:p>
          <w:p w14:paraId="67B6F1E7">
            <w:pPr>
              <w:spacing w:before="69" w:line="220" w:lineRule="auto"/>
              <w:jc w:val="center"/>
              <w:rPr>
                <w:sz w:val="21"/>
                <w:highlight w:val="none"/>
              </w:rPr>
            </w:pPr>
            <w:r>
              <w:rPr>
                <w:rFonts w:ascii="宋体"/>
                <w:sz w:val="21"/>
                <w:highlight w:val="none"/>
              </w:rPr>
              <w:t>招标答疑</w:t>
            </w:r>
          </w:p>
          <w:p w14:paraId="68BFB084">
            <w:pPr>
              <w:jc w:val="center"/>
              <w:rPr>
                <w:sz w:val="21"/>
                <w:highlight w:val="none"/>
              </w:rPr>
            </w:pPr>
          </w:p>
          <w:p w14:paraId="5727A609">
            <w:pPr>
              <w:tabs>
                <w:tab w:val="left" w:pos="1103"/>
              </w:tabs>
              <w:jc w:val="center"/>
              <w:rPr>
                <w:rFonts w:ascii="宋体" w:hAnsi="宋体"/>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3B54AB59">
            <w:pPr>
              <w:spacing w:before="120" w:beforeLines="50" w:line="360" w:lineRule="auto"/>
              <w:ind w:left="113" w:leftChars="47"/>
              <w:rPr>
                <w:rFonts w:ascii="宋体" w:hAnsi="宋体" w:cs="宋体"/>
                <w:sz w:val="21"/>
                <w:szCs w:val="21"/>
                <w:highlight w:val="none"/>
              </w:rPr>
            </w:pPr>
            <w:r>
              <w:rPr>
                <w:rFonts w:ascii="宋体" w:hAnsi="宋体" w:cs="宋体"/>
                <w:sz w:val="21"/>
                <w:szCs w:val="21"/>
                <w:highlight w:val="none"/>
              </w:rPr>
              <w:t>疑问提交时间：</w:t>
            </w:r>
            <w:r>
              <w:rPr>
                <w:rFonts w:ascii="宋体" w:hAnsi="宋体" w:cs="宋体"/>
                <w:sz w:val="21"/>
                <w:szCs w:val="21"/>
                <w:highlight w:val="none"/>
                <w:u w:val="single"/>
              </w:rPr>
              <w:t xml:space="preserve">    </w:t>
            </w:r>
            <w:r>
              <w:rPr>
                <w:rFonts w:ascii="宋体" w:hAnsi="宋体" w:cs="宋体"/>
                <w:sz w:val="21"/>
                <w:szCs w:val="21"/>
                <w:highlight w:val="none"/>
              </w:rPr>
              <w:t>年</w:t>
            </w:r>
            <w:r>
              <w:rPr>
                <w:rFonts w:ascii="宋体" w:hAnsi="宋体" w:cs="宋体"/>
                <w:sz w:val="21"/>
                <w:szCs w:val="21"/>
                <w:highlight w:val="none"/>
                <w:u w:val="single"/>
              </w:rPr>
              <w:t xml:space="preserve">   </w:t>
            </w:r>
            <w:r>
              <w:rPr>
                <w:rFonts w:ascii="宋体" w:hAnsi="宋体" w:cs="宋体"/>
                <w:sz w:val="21"/>
                <w:szCs w:val="21"/>
                <w:highlight w:val="none"/>
              </w:rPr>
              <w:t>月</w:t>
            </w:r>
            <w:r>
              <w:rPr>
                <w:rFonts w:ascii="宋体" w:hAnsi="宋体" w:cs="宋体"/>
                <w:sz w:val="21"/>
                <w:szCs w:val="21"/>
                <w:highlight w:val="none"/>
                <w:u w:val="single"/>
              </w:rPr>
              <w:t xml:space="preserve">   </w:t>
            </w:r>
            <w:r>
              <w:rPr>
                <w:rFonts w:ascii="宋体" w:hAnsi="宋体" w:cs="宋体"/>
                <w:sz w:val="21"/>
                <w:szCs w:val="21"/>
                <w:highlight w:val="none"/>
              </w:rPr>
              <w:t>日</w:t>
            </w:r>
            <w:r>
              <w:rPr>
                <w:rFonts w:ascii="宋体" w:hAnsi="宋体" w:cs="宋体"/>
                <w:sz w:val="21"/>
                <w:szCs w:val="21"/>
                <w:highlight w:val="none"/>
                <w:u w:val="single"/>
              </w:rPr>
              <w:t xml:space="preserve">   </w:t>
            </w:r>
            <w:r>
              <w:rPr>
                <w:rFonts w:ascii="宋体" w:hAnsi="宋体" w:cs="宋体"/>
                <w:sz w:val="21"/>
                <w:szCs w:val="21"/>
                <w:highlight w:val="none"/>
              </w:rPr>
              <w:t>时前；</w:t>
            </w:r>
          </w:p>
          <w:p w14:paraId="2130AD53">
            <w:pPr>
              <w:spacing w:before="120" w:beforeLines="50" w:line="360" w:lineRule="auto"/>
              <w:ind w:left="113" w:leftChars="47"/>
              <w:rPr>
                <w:rFonts w:ascii="宋体" w:hAnsi="宋体" w:cs="宋体"/>
                <w:sz w:val="21"/>
                <w:szCs w:val="21"/>
                <w:highlight w:val="none"/>
              </w:rPr>
            </w:pPr>
            <w:r>
              <w:rPr>
                <w:rFonts w:ascii="宋体" w:hAnsi="宋体" w:cs="宋体"/>
                <w:sz w:val="21"/>
                <w:szCs w:val="21"/>
                <w:highlight w:val="none"/>
              </w:rPr>
              <w:t>形式：投标人的疑问通过</w:t>
            </w:r>
            <w:r>
              <w:rPr>
                <w:rFonts w:hint="eastAsia" w:ascii="宋体" w:hAnsi="宋体" w:cs="宋体"/>
                <w:sz w:val="21"/>
                <w:szCs w:val="21"/>
                <w:highlight w:val="none"/>
              </w:rPr>
              <w:t>广州交易集团有限公司（广州公共资源交易中心）</w:t>
            </w:r>
            <w:r>
              <w:rPr>
                <w:rFonts w:ascii="宋体" w:hAnsi="宋体" w:cs="宋体"/>
                <w:sz w:val="21"/>
                <w:szCs w:val="21"/>
                <w:highlight w:val="none"/>
              </w:rPr>
              <w:t>网站提交。</w:t>
            </w:r>
          </w:p>
          <w:p w14:paraId="5A8E37FB">
            <w:pPr>
              <w:spacing w:before="120" w:beforeLines="50" w:line="360" w:lineRule="auto"/>
              <w:ind w:left="113" w:leftChars="47"/>
              <w:rPr>
                <w:rFonts w:ascii="宋体" w:hAnsi="宋体" w:cs="宋体"/>
                <w:b/>
                <w:sz w:val="21"/>
                <w:szCs w:val="21"/>
                <w:highlight w:val="none"/>
              </w:rPr>
            </w:pPr>
            <w:r>
              <w:rPr>
                <w:rFonts w:ascii="宋体" w:hAnsi="宋体" w:cs="宋体"/>
                <w:sz w:val="21"/>
                <w:szCs w:val="21"/>
                <w:highlight w:val="none"/>
              </w:rPr>
              <w:t>具体要求：按照</w:t>
            </w:r>
            <w:r>
              <w:rPr>
                <w:rFonts w:hint="eastAsia" w:ascii="宋体" w:hAnsi="宋体" w:cs="宋体"/>
                <w:sz w:val="21"/>
                <w:szCs w:val="21"/>
                <w:highlight w:val="none"/>
              </w:rPr>
              <w:t>广州交易集团有限公司（广州公共资源交易中心）</w:t>
            </w:r>
            <w:r>
              <w:rPr>
                <w:rFonts w:ascii="宋体" w:hAnsi="宋体" w:cs="宋体"/>
                <w:sz w:val="21"/>
                <w:szCs w:val="21"/>
                <w:highlight w:val="none"/>
              </w:rPr>
              <w:t>网站关于全流程电子化项目的相关指南进行操作，提问一律不得署名。</w:t>
            </w:r>
          </w:p>
        </w:tc>
      </w:tr>
      <w:tr w14:paraId="247A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267CD">
            <w:pPr>
              <w:spacing w:before="209" w:line="186" w:lineRule="auto"/>
              <w:jc w:val="center"/>
              <w:rPr>
                <w:rFonts w:eastAsia="Times New Roman"/>
                <w:sz w:val="21"/>
                <w:highlight w:val="none"/>
              </w:rPr>
            </w:pPr>
            <w:r>
              <w:rPr>
                <w:rFonts w:hint="eastAsia" w:eastAsia="Times New Roman"/>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F7019">
            <w:pPr>
              <w:spacing w:before="170" w:line="220" w:lineRule="auto"/>
              <w:jc w:val="center"/>
              <w:rPr>
                <w:rFonts w:ascii="宋体" w:hAnsi="宋体"/>
                <w:sz w:val="21"/>
                <w:highlight w:val="none"/>
              </w:rPr>
            </w:pPr>
            <w:r>
              <w:rPr>
                <w:rFonts w:ascii="宋体" w:hAnsi="宋体" w:cs="宋体"/>
                <w:spacing w:val="-1"/>
                <w:sz w:val="21"/>
                <w:szCs w:val="21"/>
                <w:highlight w:val="none"/>
              </w:rPr>
              <w:t>招标文件的澄清和修改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DBB50">
            <w:pPr>
              <w:spacing w:line="360" w:lineRule="auto"/>
              <w:ind w:left="91" w:leftChars="38"/>
              <w:jc w:val="both"/>
              <w:rPr>
                <w:rFonts w:ascii="宋体" w:hAnsi="宋体" w:cs="宋体"/>
                <w:b/>
                <w:sz w:val="21"/>
                <w:szCs w:val="21"/>
                <w:highlight w:val="none"/>
              </w:rPr>
            </w:pPr>
            <w:r>
              <w:rPr>
                <w:rFonts w:ascii="宋体" w:hAnsi="宋体"/>
                <w:sz w:val="21"/>
                <w:highlight w:val="none"/>
              </w:rPr>
              <w:t>招标文件的修改期限：在投标截止时间</w:t>
            </w:r>
            <w:r>
              <w:rPr>
                <w:rFonts w:ascii="宋体" w:hAnsi="宋体"/>
                <w:sz w:val="21"/>
                <w:highlight w:val="none"/>
                <w:u w:val="single"/>
              </w:rPr>
              <w:t xml:space="preserve"> 15 </w:t>
            </w:r>
            <w:r>
              <w:rPr>
                <w:rFonts w:ascii="宋体" w:hAnsi="宋体"/>
                <w:sz w:val="21"/>
                <w:highlight w:val="none"/>
              </w:rPr>
              <w:t>天前</w:t>
            </w:r>
          </w:p>
        </w:tc>
      </w:tr>
      <w:tr w14:paraId="209A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D9BA9">
            <w:pPr>
              <w:pStyle w:val="22"/>
              <w:kinsoku w:val="0"/>
              <w:overflowPunct w:val="0"/>
              <w:jc w:val="center"/>
              <w:rPr>
                <w:rFonts w:ascii="宋体" w:hAnsi="宋体" w:cs="宋体"/>
                <w:b/>
                <w:sz w:val="21"/>
                <w:szCs w:val="21"/>
                <w:highlight w:val="none"/>
              </w:rPr>
            </w:pPr>
            <w:r>
              <w:rPr>
                <w:rFonts w:hint="eastAsia" w:eastAsia="Times New Roman"/>
                <w:sz w:val="21"/>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1125A">
            <w:pPr>
              <w:pStyle w:val="22"/>
              <w:kinsoku w:val="0"/>
              <w:overflowPunct w:val="0"/>
              <w:jc w:val="both"/>
              <w:rPr>
                <w:rFonts w:ascii="宋体" w:hAnsi="宋体" w:cs="宋体"/>
                <w:b/>
                <w:sz w:val="21"/>
                <w:szCs w:val="21"/>
                <w:highlight w:val="none"/>
              </w:rPr>
            </w:pPr>
            <w:r>
              <w:rPr>
                <w:rFonts w:ascii="宋体" w:hAnsi="宋体"/>
                <w:sz w:val="21"/>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57DDE">
            <w:pPr>
              <w:spacing w:line="360" w:lineRule="auto"/>
              <w:jc w:val="both"/>
              <w:rPr>
                <w:rFonts w:ascii="宋体" w:hAnsi="宋体" w:cs="宋体"/>
                <w:b/>
                <w:sz w:val="21"/>
                <w:szCs w:val="21"/>
                <w:highlight w:val="none"/>
              </w:rPr>
            </w:pPr>
            <w:r>
              <w:rPr>
                <w:rFonts w:ascii="宋体" w:hAnsi="宋体" w:cs="宋体"/>
                <w:spacing w:val="-1"/>
                <w:sz w:val="21"/>
                <w:szCs w:val="21"/>
                <w:highlight w:val="none"/>
              </w:rPr>
              <w:t>满足本项目评审要求的其他资料。</w:t>
            </w:r>
          </w:p>
        </w:tc>
      </w:tr>
      <w:tr w14:paraId="6D86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1E48A">
            <w:pPr>
              <w:pStyle w:val="22"/>
              <w:kinsoku w:val="0"/>
              <w:overflowPunct w:val="0"/>
              <w:jc w:val="center"/>
              <w:rPr>
                <w:rFonts w:ascii="宋体" w:hAnsi="宋体" w:cs="宋体"/>
                <w:b/>
                <w:sz w:val="21"/>
                <w:szCs w:val="21"/>
                <w:highlight w:val="none"/>
              </w:rPr>
            </w:pPr>
            <w:r>
              <w:rPr>
                <w:rFonts w:hint="eastAsia" w:eastAsia="Times New Roman"/>
                <w:sz w:val="21"/>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ECEFE">
            <w:pPr>
              <w:pStyle w:val="22"/>
              <w:kinsoku w:val="0"/>
              <w:overflowPunct w:val="0"/>
              <w:jc w:val="both"/>
              <w:rPr>
                <w:rFonts w:ascii="宋体" w:hAnsi="宋体" w:cs="宋体"/>
                <w:b/>
                <w:sz w:val="21"/>
                <w:szCs w:val="21"/>
                <w:highlight w:val="none"/>
              </w:rPr>
            </w:pPr>
            <w:r>
              <w:rPr>
                <w:rFonts w:ascii="宋体" w:hAnsi="宋体"/>
                <w:sz w:val="21"/>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D857E">
            <w:pPr>
              <w:spacing w:line="360" w:lineRule="auto"/>
              <w:jc w:val="both"/>
              <w:rPr>
                <w:rFonts w:ascii="宋体" w:hAnsi="宋体" w:cs="宋体"/>
                <w:b/>
                <w:sz w:val="21"/>
                <w:szCs w:val="21"/>
                <w:highlight w:val="none"/>
              </w:rPr>
            </w:pPr>
            <w:r>
              <w:rPr>
                <w:rFonts w:hint="eastAsia" w:ascii="宋体" w:hAnsi="宋体" w:cs="宋体"/>
                <w:spacing w:val="-1"/>
                <w:sz w:val="21"/>
                <w:szCs w:val="21"/>
                <w:highlight w:val="none"/>
              </w:rPr>
              <w:t>一般计税方法计算、简易计税法（适用于小规模纳税人）。</w:t>
            </w:r>
          </w:p>
        </w:tc>
      </w:tr>
      <w:tr w14:paraId="4071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376C4">
            <w:pPr>
              <w:pStyle w:val="22"/>
              <w:kinsoku w:val="0"/>
              <w:overflowPunct w:val="0"/>
              <w:jc w:val="center"/>
              <w:rPr>
                <w:rFonts w:ascii="宋体" w:hAnsi="宋体" w:cs="宋体"/>
                <w:b/>
                <w:sz w:val="21"/>
                <w:szCs w:val="21"/>
                <w:highlight w:val="none"/>
              </w:rPr>
            </w:pPr>
            <w:r>
              <w:rPr>
                <w:rFonts w:hint="eastAsia" w:eastAsia="Times New Roman"/>
                <w:sz w:val="21"/>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FD4CF">
            <w:pPr>
              <w:pStyle w:val="22"/>
              <w:kinsoku w:val="0"/>
              <w:overflowPunct w:val="0"/>
              <w:jc w:val="center"/>
              <w:rPr>
                <w:rFonts w:ascii="宋体" w:hAnsi="宋体" w:cs="宋体"/>
                <w:b/>
                <w:sz w:val="21"/>
                <w:szCs w:val="21"/>
                <w:highlight w:val="none"/>
              </w:rPr>
            </w:pPr>
            <w:r>
              <w:rPr>
                <w:rFonts w:ascii="宋体" w:hAnsi="宋体"/>
                <w:sz w:val="21"/>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14E40">
            <w:pPr>
              <w:spacing w:line="360" w:lineRule="auto"/>
              <w:jc w:val="both"/>
              <w:rPr>
                <w:rFonts w:ascii="宋体" w:hAnsi="宋体" w:cs="宋体"/>
                <w:b/>
                <w:sz w:val="21"/>
                <w:szCs w:val="21"/>
                <w:highlight w:val="none"/>
              </w:rPr>
            </w:pPr>
            <w:r>
              <w:rPr>
                <w:rFonts w:hint="eastAsia" w:ascii="宋体" w:hAnsi="宋体" w:cs="宋体"/>
                <w:spacing w:val="-1"/>
                <w:sz w:val="21"/>
                <w:szCs w:val="21"/>
                <w:highlight w:val="none"/>
              </w:rPr>
              <w:t>投标人自行报价。</w:t>
            </w:r>
          </w:p>
        </w:tc>
      </w:tr>
      <w:tr w14:paraId="605A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4E519">
            <w:pPr>
              <w:pStyle w:val="22"/>
              <w:kinsoku w:val="0"/>
              <w:overflowPunct w:val="0"/>
              <w:jc w:val="center"/>
              <w:rPr>
                <w:rFonts w:eastAsia="Times New Roman"/>
                <w:sz w:val="21"/>
                <w:highlight w:val="none"/>
              </w:rPr>
            </w:pPr>
          </w:p>
          <w:p w14:paraId="73948DBE">
            <w:pPr>
              <w:pStyle w:val="22"/>
              <w:kinsoku w:val="0"/>
              <w:overflowPunct w:val="0"/>
              <w:jc w:val="center"/>
              <w:rPr>
                <w:rFonts w:ascii="宋体" w:hAnsi="宋体" w:cs="宋体"/>
                <w:b/>
                <w:sz w:val="21"/>
                <w:szCs w:val="21"/>
                <w:highlight w:val="none"/>
              </w:rPr>
            </w:pPr>
            <w:r>
              <w:rPr>
                <w:rFonts w:hint="eastAsia" w:eastAsia="Times New Roman"/>
                <w:sz w:val="21"/>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EA2A6">
            <w:pPr>
              <w:pStyle w:val="22"/>
              <w:kinsoku w:val="0"/>
              <w:overflowPunct w:val="0"/>
              <w:jc w:val="center"/>
              <w:rPr>
                <w:rFonts w:ascii="宋体" w:hAnsi="宋体" w:cs="宋体"/>
                <w:b/>
                <w:sz w:val="21"/>
                <w:szCs w:val="21"/>
                <w:highlight w:val="none"/>
              </w:rPr>
            </w:pPr>
            <w:r>
              <w:rPr>
                <w:rFonts w:ascii="宋体" w:hAnsi="宋体"/>
                <w:sz w:val="21"/>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DAA0E">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无</w:t>
            </w:r>
          </w:p>
          <w:p w14:paraId="41ABC6C3">
            <w:pPr>
              <w:pStyle w:val="22"/>
              <w:kinsoku w:val="0"/>
              <w:overflowPunct w:val="0"/>
              <w:spacing w:line="360" w:lineRule="auto"/>
              <w:jc w:val="both"/>
              <w:rPr>
                <w:rFonts w:ascii="宋体" w:hAnsi="宋体" w:cs="宋体"/>
                <w:b/>
                <w:sz w:val="21"/>
                <w:szCs w:val="21"/>
                <w:highlight w:val="none"/>
              </w:rPr>
            </w:pPr>
            <w:r>
              <w:rPr>
                <w:rFonts w:hint="eastAsia" w:eastAsia="Times New Roman"/>
                <w:sz w:val="21"/>
                <w:highlight w:val="none"/>
              </w:rPr>
              <w:sym w:font="Wingdings 2" w:char="0052"/>
            </w:r>
            <w:r>
              <w:rPr>
                <w:rFonts w:ascii="宋体" w:hAnsi="宋体"/>
                <w:sz w:val="21"/>
                <w:highlight w:val="none"/>
              </w:rPr>
              <w:t>有，最高投标限价：</w:t>
            </w:r>
            <w:r>
              <w:rPr>
                <w:rFonts w:hint="eastAsia" w:ascii="宋体" w:hAnsi="宋体"/>
                <w:sz w:val="21"/>
                <w:highlight w:val="none"/>
              </w:rPr>
              <w:t>3244306.78</w:t>
            </w:r>
            <w:r>
              <w:rPr>
                <w:rFonts w:ascii="宋体" w:hAnsi="宋体"/>
                <w:sz w:val="21"/>
                <w:highlight w:val="none"/>
              </w:rPr>
              <w:t>元。投标人在“投标函及投标函附录”和“监理报酬清单报价”均不得超过此限额。</w:t>
            </w:r>
          </w:p>
        </w:tc>
      </w:tr>
      <w:tr w14:paraId="1216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BFAA8">
            <w:pPr>
              <w:pStyle w:val="22"/>
              <w:kinsoku w:val="0"/>
              <w:overflowPunct w:val="0"/>
              <w:jc w:val="center"/>
              <w:rPr>
                <w:rFonts w:eastAsia="Times New Roman"/>
                <w:sz w:val="21"/>
                <w:highlight w:val="none"/>
              </w:rPr>
            </w:pPr>
            <w:r>
              <w:rPr>
                <w:rFonts w:hint="eastAsia" w:eastAsia="Times New Roman"/>
                <w:sz w:val="21"/>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316D5">
            <w:pPr>
              <w:pStyle w:val="22"/>
              <w:kinsoku w:val="0"/>
              <w:overflowPunct w:val="0"/>
              <w:jc w:val="center"/>
              <w:rPr>
                <w:rFonts w:ascii="宋体" w:hAnsi="宋体"/>
                <w:sz w:val="21"/>
                <w:highlight w:val="none"/>
              </w:rPr>
            </w:pPr>
            <w:r>
              <w:rPr>
                <w:rFonts w:ascii="宋体" w:hAnsi="宋体"/>
                <w:sz w:val="21"/>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D9CCC">
            <w:pPr>
              <w:adjustRightInd/>
              <w:spacing w:before="120" w:beforeLines="50" w:line="360" w:lineRule="auto"/>
              <w:jc w:val="both"/>
              <w:rPr>
                <w:rFonts w:ascii="宋体" w:hAnsi="宋体"/>
                <w:sz w:val="21"/>
                <w:szCs w:val="21"/>
                <w:highlight w:val="none"/>
              </w:rPr>
            </w:pPr>
            <w:r>
              <w:rPr>
                <w:rFonts w:hint="eastAsia" w:ascii="宋体" w:hAnsi="宋体"/>
                <w:sz w:val="21"/>
                <w:szCs w:val="21"/>
                <w:highlight w:val="none"/>
              </w:rPr>
              <w:t>1、投标人必须详细审阅全部招标文件,充分考虑职责和义务,全面地理解招标文件对投标报价的要求,并按招标人提出的条件及内容进行报价。</w:t>
            </w:r>
          </w:p>
          <w:p w14:paraId="7AB42A74">
            <w:pPr>
              <w:adjustRightInd/>
              <w:spacing w:before="120" w:beforeLines="50" w:line="360" w:lineRule="auto"/>
              <w:jc w:val="both"/>
              <w:rPr>
                <w:rFonts w:ascii="宋体" w:hAnsi="宋体"/>
                <w:sz w:val="21"/>
                <w:szCs w:val="21"/>
                <w:highlight w:val="none"/>
              </w:rPr>
            </w:pPr>
            <w:r>
              <w:rPr>
                <w:rFonts w:hint="eastAsia" w:ascii="宋体" w:hAnsi="宋体"/>
                <w:sz w:val="21"/>
                <w:szCs w:val="21"/>
                <w:highlight w:val="none"/>
              </w:rPr>
              <w:t>2、除非合同另有规定，投标报价应已包括但不限于监理设备、劳务、管理、交通、维护、保险、利润、税金、政策性文件规定及合同包含的所有风险、责任等各项所有费用。</w:t>
            </w:r>
          </w:p>
          <w:p w14:paraId="3B52F080">
            <w:pPr>
              <w:adjustRightInd/>
              <w:spacing w:before="120" w:beforeLines="50" w:line="360" w:lineRule="auto"/>
              <w:jc w:val="both"/>
              <w:rPr>
                <w:rFonts w:eastAsia="Times New Roman"/>
                <w:sz w:val="21"/>
                <w:highlight w:val="none"/>
              </w:rPr>
            </w:pPr>
            <w:r>
              <w:rPr>
                <w:rFonts w:hint="eastAsia" w:ascii="宋体" w:hAnsi="宋体"/>
                <w:sz w:val="21"/>
                <w:szCs w:val="21"/>
                <w:highlight w:val="none"/>
              </w:rPr>
              <w:t>3.监理费用的结算计费基数为经审定的建安费结算价，参照国家发展改革委、建设部《建设工程监理与相关服务收费管理规定》发改价格[2007]670号文件规定的计价方式和计价标准结合中标下浮率计算监理结算价，中标下浮率=（最高投标限价-中标报价总价）/最高投标限价*100%。</w:t>
            </w:r>
          </w:p>
        </w:tc>
      </w:tr>
      <w:tr w14:paraId="25BE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354BA">
            <w:pPr>
              <w:pStyle w:val="22"/>
              <w:kinsoku w:val="0"/>
              <w:overflowPunct w:val="0"/>
              <w:jc w:val="center"/>
              <w:rPr>
                <w:rFonts w:eastAsia="Times New Roman"/>
                <w:sz w:val="21"/>
                <w:highlight w:val="none"/>
              </w:rPr>
            </w:pPr>
            <w:r>
              <w:rPr>
                <w:rFonts w:hint="eastAsia" w:eastAsia="Times New Roman"/>
                <w:sz w:val="21"/>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25281">
            <w:pPr>
              <w:pStyle w:val="22"/>
              <w:kinsoku w:val="0"/>
              <w:overflowPunct w:val="0"/>
              <w:jc w:val="center"/>
              <w:rPr>
                <w:rFonts w:ascii="宋体" w:hAnsi="宋体"/>
                <w:sz w:val="21"/>
                <w:highlight w:val="none"/>
              </w:rPr>
            </w:pPr>
            <w:r>
              <w:rPr>
                <w:rFonts w:ascii="宋体" w:hAnsi="宋体"/>
                <w:sz w:val="21"/>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64F76">
            <w:pPr>
              <w:spacing w:line="360" w:lineRule="auto"/>
              <w:jc w:val="both"/>
              <w:rPr>
                <w:rFonts w:eastAsia="Times New Roman"/>
                <w:sz w:val="21"/>
                <w:highlight w:val="none"/>
              </w:rPr>
            </w:pPr>
            <w:r>
              <w:rPr>
                <w:rFonts w:hint="eastAsia"/>
                <w:sz w:val="21"/>
                <w:highlight w:val="none"/>
              </w:rPr>
              <w:t>90</w:t>
            </w:r>
            <w:r>
              <w:rPr>
                <w:rFonts w:ascii="宋体"/>
                <w:sz w:val="21"/>
                <w:highlight w:val="none"/>
              </w:rPr>
              <w:t>日历天（从投标截止之日计起）</w:t>
            </w:r>
          </w:p>
        </w:tc>
      </w:tr>
      <w:tr w14:paraId="321C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32389">
            <w:pPr>
              <w:pStyle w:val="22"/>
              <w:kinsoku w:val="0"/>
              <w:overflowPunct w:val="0"/>
              <w:jc w:val="center"/>
              <w:rPr>
                <w:rFonts w:eastAsia="Times New Roman"/>
                <w:sz w:val="21"/>
                <w:highlight w:val="none"/>
              </w:rPr>
            </w:pPr>
            <w:r>
              <w:rPr>
                <w:rFonts w:hint="eastAsia" w:eastAsia="Times New Roman"/>
                <w:sz w:val="21"/>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60120">
            <w:pPr>
              <w:pStyle w:val="22"/>
              <w:kinsoku w:val="0"/>
              <w:overflowPunct w:val="0"/>
              <w:jc w:val="center"/>
              <w:rPr>
                <w:rFonts w:ascii="宋体" w:hAnsi="宋体"/>
                <w:sz w:val="21"/>
                <w:highlight w:val="none"/>
              </w:rPr>
            </w:pPr>
            <w:r>
              <w:rPr>
                <w:rFonts w:ascii="宋体" w:hAnsi="宋体"/>
                <w:sz w:val="21"/>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4DD2C">
            <w:pPr>
              <w:spacing w:before="139" w:line="360" w:lineRule="auto"/>
              <w:ind w:left="117"/>
              <w:rPr>
                <w:rFonts w:ascii="宋体" w:hAnsi="宋体" w:cs="宋体"/>
                <w:sz w:val="21"/>
                <w:szCs w:val="21"/>
                <w:highlight w:val="none"/>
              </w:rPr>
            </w:pPr>
            <w:r>
              <w:rPr>
                <w:rFonts w:ascii="宋体" w:hAnsi="宋体" w:cs="宋体"/>
                <w:spacing w:val="-6"/>
                <w:sz w:val="21"/>
                <w:szCs w:val="21"/>
                <w:highlight w:val="none"/>
              </w:rPr>
              <w:t>是否要</w:t>
            </w:r>
            <w:r>
              <w:rPr>
                <w:rFonts w:ascii="宋体" w:hAnsi="宋体" w:cs="宋体"/>
                <w:spacing w:val="-5"/>
                <w:sz w:val="21"/>
                <w:szCs w:val="21"/>
                <w:highlight w:val="none"/>
              </w:rPr>
              <w:t>求</w:t>
            </w:r>
            <w:r>
              <w:rPr>
                <w:rFonts w:ascii="宋体" w:hAnsi="宋体" w:cs="宋体"/>
                <w:spacing w:val="-3"/>
                <w:sz w:val="21"/>
                <w:szCs w:val="21"/>
                <w:highlight w:val="none"/>
              </w:rPr>
              <w:t>投标人递交投标保证金：</w:t>
            </w:r>
          </w:p>
          <w:p w14:paraId="65D3BC33">
            <w:pPr>
              <w:pStyle w:val="22"/>
              <w:kinsoku w:val="0"/>
              <w:overflowPunct w:val="0"/>
              <w:spacing w:line="360" w:lineRule="auto"/>
              <w:ind w:firstLine="198" w:firstLineChars="100"/>
              <w:jc w:val="both"/>
              <w:rPr>
                <w:rFonts w:eastAsia="Times New Roman"/>
                <w:spacing w:val="-6"/>
                <w:sz w:val="21"/>
                <w:szCs w:val="21"/>
                <w:highlight w:val="none"/>
              </w:rPr>
            </w:pPr>
          </w:p>
          <w:p w14:paraId="55A87596">
            <w:pPr>
              <w:pStyle w:val="22"/>
              <w:kinsoku w:val="0"/>
              <w:overflowPunct w:val="0"/>
              <w:spacing w:line="360" w:lineRule="auto"/>
              <w:ind w:firstLine="198" w:firstLineChars="100"/>
              <w:jc w:val="both"/>
              <w:rPr>
                <w:rFonts w:eastAsia="Times New Roman"/>
                <w:spacing w:val="-6"/>
                <w:sz w:val="21"/>
                <w:szCs w:val="21"/>
                <w:highlight w:val="none"/>
              </w:rPr>
            </w:pPr>
            <w:r>
              <w:rPr>
                <w:rFonts w:hint="eastAsia" w:eastAsia="Times New Roman"/>
                <w:spacing w:val="-6"/>
                <w:sz w:val="21"/>
                <w:szCs w:val="21"/>
                <w:highlight w:val="none"/>
              </w:rPr>
              <w:sym w:font="Wingdings 2" w:char="0052"/>
            </w:r>
            <w:r>
              <w:rPr>
                <w:rFonts w:ascii="宋体" w:hAnsi="宋体" w:cs="宋体"/>
                <w:spacing w:val="-3"/>
                <w:sz w:val="21"/>
                <w:szCs w:val="21"/>
                <w:highlight w:val="none"/>
              </w:rPr>
              <w:t>不要求</w:t>
            </w:r>
          </w:p>
          <w:p w14:paraId="5A14B958">
            <w:pPr>
              <w:spacing w:before="147" w:line="360" w:lineRule="auto"/>
              <w:ind w:right="1461" w:firstLine="196" w:firstLineChars="100"/>
              <w:rPr>
                <w:rFonts w:ascii="宋体" w:hAnsi="宋体" w:cs="宋体"/>
                <w:sz w:val="21"/>
                <w:szCs w:val="21"/>
                <w:highlight w:val="none"/>
              </w:rPr>
            </w:pPr>
            <w:r>
              <w:rPr>
                <w:rFonts w:hint="eastAsia" w:eastAsia="Times New Roman"/>
                <w:spacing w:val="-7"/>
                <w:sz w:val="21"/>
                <w:szCs w:val="21"/>
                <w:highlight w:val="none"/>
              </w:rPr>
              <w:sym w:font="Wingdings 2" w:char="00A3"/>
            </w:r>
            <w:r>
              <w:rPr>
                <w:rFonts w:ascii="宋体" w:hAnsi="宋体" w:cs="宋体"/>
                <w:spacing w:val="-5"/>
                <w:sz w:val="21"/>
                <w:szCs w:val="21"/>
                <w:highlight w:val="none"/>
              </w:rPr>
              <w:t>要求，投标保证金的形式：</w:t>
            </w:r>
            <w:r>
              <w:rPr>
                <w:rFonts w:ascii="宋体" w:hAnsi="宋体" w:cs="宋体"/>
                <w:sz w:val="21"/>
                <w:szCs w:val="21"/>
                <w:highlight w:val="none"/>
              </w:rPr>
              <w:t xml:space="preserve"> </w:t>
            </w:r>
          </w:p>
          <w:p w14:paraId="1F16EED1">
            <w:pPr>
              <w:spacing w:before="147" w:line="360" w:lineRule="auto"/>
              <w:ind w:left="1102" w:leftChars="459" w:right="1461" w:firstLine="13" w:firstLineChars="7"/>
              <w:rPr>
                <w:rFonts w:ascii="宋体" w:hAnsi="宋体" w:cs="宋体"/>
                <w:sz w:val="21"/>
                <w:szCs w:val="21"/>
                <w:highlight w:val="none"/>
              </w:rPr>
            </w:pPr>
            <w:r>
              <w:rPr>
                <w:rFonts w:ascii="宋体" w:hAnsi="宋体" w:cs="宋体"/>
                <w:spacing w:val="-12"/>
                <w:sz w:val="21"/>
                <w:szCs w:val="21"/>
                <w:highlight w:val="none"/>
              </w:rPr>
              <w:t>投</w:t>
            </w:r>
            <w:r>
              <w:rPr>
                <w:rFonts w:ascii="宋体" w:hAnsi="宋体" w:cs="宋体"/>
                <w:spacing w:val="-6"/>
                <w:sz w:val="21"/>
                <w:szCs w:val="21"/>
                <w:highlight w:val="none"/>
              </w:rPr>
              <w:t>标保证金的金额：</w:t>
            </w:r>
          </w:p>
          <w:p w14:paraId="6A1836CB">
            <w:pPr>
              <w:pStyle w:val="10"/>
              <w:autoSpaceDE/>
              <w:autoSpaceDN/>
              <w:adjustRightInd/>
              <w:spacing w:line="360" w:lineRule="auto"/>
              <w:jc w:val="both"/>
              <w:rPr>
                <w:rFonts w:hAnsi="宋体"/>
                <w:sz w:val="21"/>
                <w:szCs w:val="21"/>
                <w:highlight w:val="none"/>
              </w:rPr>
            </w:pPr>
            <w:r>
              <w:rPr>
                <w:rFonts w:hint="eastAsia" w:hAnsi="宋体"/>
                <w:sz w:val="21"/>
                <w:szCs w:val="21"/>
                <w:highlight w:val="none"/>
              </w:rPr>
              <w:t>注：1、投标保证金不得超过招标项目估算价的2%。投标保证金有效期应当与投标有效期一致。（投标保证金金额根据《中华人民共和国招标投标法实施条例》第二十六条和《水利工程建设项目招标投标管理规定》(水利部第14号令)第二十五条）</w:t>
            </w:r>
          </w:p>
          <w:p w14:paraId="5E25EDF1">
            <w:pPr>
              <w:pStyle w:val="10"/>
              <w:autoSpaceDE/>
              <w:autoSpaceDN/>
              <w:adjustRightInd/>
              <w:spacing w:line="360" w:lineRule="auto"/>
              <w:jc w:val="both"/>
              <w:rPr>
                <w:rFonts w:hAnsi="宋体"/>
                <w:sz w:val="21"/>
                <w:szCs w:val="21"/>
                <w:highlight w:val="none"/>
              </w:rPr>
            </w:pPr>
            <w:r>
              <w:rPr>
                <w:rFonts w:hint="eastAsia" w:hAnsi="宋体"/>
                <w:sz w:val="21"/>
                <w:szCs w:val="21"/>
                <w:highlight w:val="none"/>
              </w:rPr>
              <w:t>2、</w:t>
            </w:r>
            <w:r>
              <w:rPr>
                <w:rFonts w:hint="eastAsia" w:hAnsi="宋体" w:cs="宋体"/>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p>
          <w:p w14:paraId="663C34FB">
            <w:pPr>
              <w:pStyle w:val="22"/>
              <w:kinsoku w:val="0"/>
              <w:overflowPunct w:val="0"/>
              <w:spacing w:line="360" w:lineRule="auto"/>
              <w:ind w:firstLine="210" w:firstLineChars="100"/>
              <w:jc w:val="both"/>
              <w:rPr>
                <w:rFonts w:eastAsia="Times New Roman"/>
                <w:sz w:val="21"/>
                <w:highlight w:val="none"/>
              </w:rPr>
            </w:pPr>
            <w:r>
              <w:rPr>
                <w:rFonts w:hint="eastAsia" w:ascii="宋体" w:hAnsi="宋体"/>
                <w:sz w:val="21"/>
                <w:szCs w:val="21"/>
                <w:highlight w:val="none"/>
              </w:rPr>
              <w:t>3、</w:t>
            </w:r>
            <w:r>
              <w:rPr>
                <w:rFonts w:hint="eastAsia" w:hAnsi="宋体" w:cs="宋体"/>
                <w:sz w:val="21"/>
                <w:szCs w:val="21"/>
                <w:highlight w:val="none"/>
                <w:shd w:val="clear" w:color="auto" w:fill="FFFFFF"/>
              </w:rPr>
              <w:t>招标人在免收投标保证金的同时，应约定免交投标保证金的投标人存在3.4.4条款所列情形的后续处理措施，包括但不限于向投标人索赔等情形。</w:t>
            </w:r>
          </w:p>
        </w:tc>
      </w:tr>
      <w:tr w14:paraId="5AC5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26286">
            <w:pPr>
              <w:pStyle w:val="22"/>
              <w:kinsoku w:val="0"/>
              <w:overflowPunct w:val="0"/>
              <w:jc w:val="center"/>
              <w:rPr>
                <w:rFonts w:eastAsia="Times New Roman"/>
                <w:sz w:val="21"/>
                <w:highlight w:val="none"/>
              </w:rPr>
            </w:pPr>
            <w:r>
              <w:rPr>
                <w:rFonts w:hint="eastAsia" w:eastAsia="Times New Roman"/>
                <w:sz w:val="21"/>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00EE4">
            <w:pPr>
              <w:pStyle w:val="22"/>
              <w:kinsoku w:val="0"/>
              <w:overflowPunct w:val="0"/>
              <w:jc w:val="center"/>
              <w:rPr>
                <w:rFonts w:ascii="宋体" w:hAnsi="宋体"/>
                <w:sz w:val="21"/>
                <w:highlight w:val="none"/>
              </w:rPr>
            </w:pPr>
            <w:r>
              <w:rPr>
                <w:rFonts w:ascii="宋体" w:hAnsi="宋体"/>
                <w:sz w:val="21"/>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C8718">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无</w:t>
            </w:r>
          </w:p>
          <w:p w14:paraId="0714C9DC">
            <w:pPr>
              <w:pStyle w:val="22"/>
              <w:kinsoku w:val="0"/>
              <w:overflowPunct w:val="0"/>
              <w:spacing w:line="360" w:lineRule="auto"/>
              <w:jc w:val="both"/>
              <w:rPr>
                <w:rFonts w:eastAsia="Times New Roman"/>
                <w:sz w:val="21"/>
                <w:highlight w:val="none"/>
              </w:rPr>
            </w:pPr>
            <w:r>
              <w:rPr>
                <w:rFonts w:hint="eastAsia" w:eastAsia="Times New Roman"/>
                <w:sz w:val="21"/>
                <w:highlight w:val="none"/>
              </w:rPr>
              <w:sym w:font="Wingdings 2" w:char="00A3"/>
            </w:r>
            <w:r>
              <w:rPr>
                <w:rFonts w:ascii="宋体" w:hAnsi="宋体"/>
                <w:sz w:val="21"/>
                <w:highlight w:val="none"/>
              </w:rPr>
              <w:t>有，具体要求：</w:t>
            </w:r>
          </w:p>
        </w:tc>
      </w:tr>
      <w:tr w14:paraId="6D9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298B6">
            <w:pPr>
              <w:pStyle w:val="22"/>
              <w:kinsoku w:val="0"/>
              <w:overflowPunct w:val="0"/>
              <w:jc w:val="center"/>
              <w:rPr>
                <w:rFonts w:eastAsia="Times New Roman"/>
                <w:sz w:val="21"/>
                <w:highlight w:val="none"/>
              </w:rPr>
            </w:pPr>
            <w:r>
              <w:rPr>
                <w:rFonts w:hint="eastAsia" w:eastAsia="Times New Roman"/>
                <w:sz w:val="21"/>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8DF6A">
            <w:pPr>
              <w:pStyle w:val="22"/>
              <w:kinsoku w:val="0"/>
              <w:overflowPunct w:val="0"/>
              <w:jc w:val="center"/>
              <w:rPr>
                <w:rFonts w:ascii="宋体" w:hAnsi="宋体"/>
                <w:sz w:val="21"/>
                <w:highlight w:val="none"/>
              </w:rPr>
            </w:pPr>
            <w:r>
              <w:rPr>
                <w:rFonts w:ascii="宋体" w:hAnsi="宋体"/>
                <w:sz w:val="21"/>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6ED9F">
            <w:pPr>
              <w:pStyle w:val="22"/>
              <w:tabs>
                <w:tab w:val="left" w:pos="799"/>
                <w:tab w:val="left" w:pos="1569"/>
                <w:tab w:val="left" w:pos="2340"/>
              </w:tabs>
              <w:kinsoku w:val="0"/>
              <w:overflowPunct w:val="0"/>
              <w:spacing w:line="360" w:lineRule="auto"/>
              <w:jc w:val="both"/>
              <w:rPr>
                <w:rFonts w:ascii="宋体"/>
                <w:sz w:val="21"/>
                <w:highlight w:val="none"/>
              </w:rPr>
            </w:pPr>
            <w:r>
              <w:rPr>
                <w:rFonts w:ascii="宋体" w:hAnsi="宋体" w:cs="宋体"/>
                <w:sz w:val="21"/>
                <w:szCs w:val="21"/>
                <w:highlight w:val="none"/>
              </w:rPr>
              <w:t>/</w:t>
            </w:r>
          </w:p>
        </w:tc>
      </w:tr>
      <w:tr w14:paraId="2C53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F1E02">
            <w:pPr>
              <w:pStyle w:val="22"/>
              <w:kinsoku w:val="0"/>
              <w:overflowPunct w:val="0"/>
              <w:jc w:val="center"/>
              <w:rPr>
                <w:rFonts w:eastAsia="Times New Roman"/>
                <w:sz w:val="21"/>
                <w:highlight w:val="none"/>
              </w:rPr>
            </w:pPr>
            <w:r>
              <w:rPr>
                <w:rFonts w:hint="eastAsia" w:eastAsia="Times New Roman"/>
                <w:sz w:val="21"/>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81FEC">
            <w:pPr>
              <w:pStyle w:val="22"/>
              <w:kinsoku w:val="0"/>
              <w:overflowPunct w:val="0"/>
              <w:jc w:val="center"/>
              <w:rPr>
                <w:rFonts w:ascii="宋体" w:hAnsi="宋体"/>
                <w:sz w:val="21"/>
                <w:highlight w:val="none"/>
              </w:rPr>
            </w:pPr>
            <w:r>
              <w:rPr>
                <w:rFonts w:ascii="宋体" w:hAnsi="宋体"/>
                <w:sz w:val="21"/>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C2DF8">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不允许</w:t>
            </w:r>
          </w:p>
          <w:p w14:paraId="6F0F0F79">
            <w:pPr>
              <w:pStyle w:val="22"/>
              <w:kinsoku w:val="0"/>
              <w:overflowPunct w:val="0"/>
              <w:spacing w:line="360" w:lineRule="auto"/>
              <w:jc w:val="both"/>
              <w:rPr>
                <w:rFonts w:eastAsia="Times New Roman"/>
                <w:sz w:val="21"/>
                <w:highlight w:val="none"/>
              </w:rPr>
            </w:pPr>
            <w:r>
              <w:rPr>
                <w:rFonts w:hint="eastAsia" w:eastAsia="Times New Roman"/>
                <w:sz w:val="21"/>
                <w:highlight w:val="none"/>
              </w:rPr>
              <w:sym w:font="Wingdings 2" w:char="00A3"/>
            </w:r>
            <w:r>
              <w:rPr>
                <w:rFonts w:ascii="宋体" w:hAnsi="宋体"/>
                <w:sz w:val="21"/>
                <w:highlight w:val="none"/>
              </w:rPr>
              <w:t>允许</w:t>
            </w:r>
          </w:p>
        </w:tc>
      </w:tr>
      <w:tr w14:paraId="778D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D3C3A">
            <w:pPr>
              <w:pStyle w:val="22"/>
              <w:kinsoku w:val="0"/>
              <w:overflowPunct w:val="0"/>
              <w:jc w:val="center"/>
              <w:rPr>
                <w:rFonts w:eastAsia="Times New Roman"/>
                <w:sz w:val="21"/>
                <w:highlight w:val="none"/>
              </w:rPr>
            </w:pPr>
            <w:r>
              <w:rPr>
                <w:rFonts w:hint="eastAsia" w:eastAsia="Times New Roman"/>
                <w:sz w:val="21"/>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E932D4">
            <w:pPr>
              <w:pStyle w:val="22"/>
              <w:kinsoku w:val="0"/>
              <w:overflowPunct w:val="0"/>
              <w:jc w:val="center"/>
              <w:rPr>
                <w:rFonts w:ascii="宋体" w:hAnsi="宋体"/>
                <w:sz w:val="21"/>
                <w:highlight w:val="none"/>
              </w:rPr>
            </w:pPr>
            <w:r>
              <w:rPr>
                <w:rFonts w:ascii="宋体" w:hAnsi="宋体"/>
                <w:sz w:val="21"/>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73E5E">
            <w:pPr>
              <w:spacing w:line="360" w:lineRule="auto"/>
              <w:jc w:val="both"/>
              <w:rPr>
                <w:rFonts w:eastAsia="Times New Roman"/>
                <w:sz w:val="21"/>
                <w:highlight w:val="none"/>
              </w:rPr>
            </w:pPr>
            <w:r>
              <w:rPr>
                <w:rFonts w:ascii="宋体" w:hAnsi="宋体"/>
                <w:sz w:val="21"/>
                <w:highlight w:val="none"/>
              </w:rPr>
              <w:t>投标文件格式规定需个人签字的，应签字或签章后扫描上传</w:t>
            </w:r>
            <w:r>
              <w:rPr>
                <w:rFonts w:hint="eastAsia"/>
                <w:kern w:val="2"/>
                <w:sz w:val="21"/>
                <w:szCs w:val="21"/>
                <w:highlight w:val="none"/>
              </w:rPr>
              <w:t>（</w:t>
            </w:r>
            <w:r>
              <w:rPr>
                <w:rFonts w:ascii="Calibri" w:hAnsi="Calibri"/>
                <w:kern w:val="2"/>
                <w:sz w:val="21"/>
                <w:highlight w:val="none"/>
              </w:rPr>
              <w:t>可靠的电子签名与手写签名或者盖章具有同等的法律效力</w:t>
            </w:r>
            <w:r>
              <w:rPr>
                <w:rFonts w:hint="eastAsia"/>
                <w:kern w:val="2"/>
                <w:sz w:val="21"/>
                <w:szCs w:val="21"/>
                <w:highlight w:val="none"/>
              </w:rPr>
              <w:t>）</w:t>
            </w:r>
            <w:r>
              <w:rPr>
                <w:rFonts w:ascii="宋体" w:hAnsi="宋体"/>
                <w:sz w:val="21"/>
                <w:highlight w:val="none"/>
              </w:rPr>
              <w:t>。投标文件格式规定盖单位公章的页面必须盖单位公章（公章与电子公章具有相同法律效力）</w:t>
            </w:r>
          </w:p>
        </w:tc>
      </w:tr>
      <w:tr w14:paraId="5F4F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529C3">
            <w:pPr>
              <w:pStyle w:val="22"/>
              <w:kinsoku w:val="0"/>
              <w:overflowPunct w:val="0"/>
              <w:jc w:val="center"/>
              <w:rPr>
                <w:rFonts w:eastAsia="Times New Roman"/>
                <w:sz w:val="21"/>
                <w:highlight w:val="none"/>
              </w:rPr>
            </w:pPr>
            <w:r>
              <w:rPr>
                <w:rFonts w:hint="eastAsia" w:eastAsia="Times New Roman"/>
                <w:sz w:val="21"/>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60C8A">
            <w:pPr>
              <w:pStyle w:val="22"/>
              <w:kinsoku w:val="0"/>
              <w:overflowPunct w:val="0"/>
              <w:jc w:val="center"/>
              <w:rPr>
                <w:rFonts w:ascii="宋体" w:hAnsi="宋体"/>
                <w:sz w:val="21"/>
                <w:highlight w:val="none"/>
              </w:rPr>
            </w:pPr>
            <w:r>
              <w:rPr>
                <w:rFonts w:ascii="宋体" w:hAnsi="宋体"/>
                <w:sz w:val="21"/>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EA8A0">
            <w:pPr>
              <w:spacing w:before="48" w:beforeLines="20" w:after="48" w:afterLines="20" w:line="360" w:lineRule="auto"/>
              <w:ind w:left="48" w:leftChars="20" w:right="48" w:rightChars="20"/>
              <w:rPr>
                <w:rFonts w:eastAsia="Times New Roman"/>
                <w:sz w:val="21"/>
                <w:highlight w:val="none"/>
              </w:rPr>
            </w:pPr>
            <w:r>
              <w:rPr>
                <w:rFonts w:ascii="宋体"/>
                <w:sz w:val="21"/>
                <w:highlight w:val="none"/>
              </w:rPr>
              <w:t>投标截止时间：</w:t>
            </w:r>
            <w:r>
              <w:rPr>
                <w:rFonts w:ascii="宋体"/>
                <w:sz w:val="21"/>
                <w:highlight w:val="none"/>
                <w:u w:val="single"/>
              </w:rPr>
              <w:t xml:space="preserve">       年     月      日     时   分</w:t>
            </w:r>
            <w:r>
              <w:rPr>
                <w:rFonts w:ascii="宋体"/>
                <w:sz w:val="21"/>
                <w:highlight w:val="none"/>
              </w:rPr>
              <w:t>（北京时间）</w:t>
            </w:r>
          </w:p>
        </w:tc>
      </w:tr>
      <w:tr w14:paraId="4CF2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CD6A4">
            <w:pPr>
              <w:pStyle w:val="22"/>
              <w:kinsoku w:val="0"/>
              <w:overflowPunct w:val="0"/>
              <w:jc w:val="center"/>
              <w:rPr>
                <w:rFonts w:eastAsia="Times New Roman"/>
                <w:sz w:val="21"/>
                <w:highlight w:val="none"/>
              </w:rPr>
            </w:pPr>
            <w:r>
              <w:rPr>
                <w:rFonts w:hint="eastAsia" w:eastAsia="Times New Roman"/>
                <w:sz w:val="21"/>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24E04">
            <w:pPr>
              <w:pStyle w:val="22"/>
              <w:kinsoku w:val="0"/>
              <w:overflowPunct w:val="0"/>
              <w:jc w:val="center"/>
              <w:rPr>
                <w:rFonts w:ascii="宋体" w:hAnsi="宋体"/>
                <w:sz w:val="21"/>
                <w:highlight w:val="none"/>
              </w:rPr>
            </w:pPr>
            <w:r>
              <w:rPr>
                <w:rFonts w:ascii="宋体" w:hAnsi="宋体"/>
                <w:sz w:val="21"/>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88186">
            <w:pPr>
              <w:spacing w:before="120" w:beforeLines="50" w:line="360" w:lineRule="auto"/>
              <w:rPr>
                <w:sz w:val="21"/>
                <w:szCs w:val="21"/>
                <w:highlight w:val="none"/>
              </w:rPr>
            </w:pPr>
            <w:r>
              <w:rPr>
                <w:sz w:val="21"/>
                <w:szCs w:val="21"/>
                <w:highlight w:val="none"/>
              </w:rPr>
              <w:t>1</w:t>
            </w:r>
            <w:r>
              <w:rPr>
                <w:rFonts w:ascii="宋体"/>
                <w:sz w:val="21"/>
                <w:szCs w:val="21"/>
                <w:highlight w:val="none"/>
              </w:rPr>
              <w:t>、开标时间：同投标截止时间</w:t>
            </w:r>
          </w:p>
          <w:p w14:paraId="7ADA3FB0">
            <w:pPr>
              <w:spacing w:before="174" w:line="360" w:lineRule="auto"/>
              <w:rPr>
                <w:rFonts w:ascii="宋体" w:hAnsi="宋体" w:cs="宋体"/>
                <w:sz w:val="21"/>
                <w:szCs w:val="21"/>
                <w:highlight w:val="none"/>
              </w:rPr>
            </w:pPr>
            <w:r>
              <w:rPr>
                <w:rFonts w:ascii="宋体" w:hAnsi="宋体" w:cs="宋体"/>
                <w:sz w:val="21"/>
                <w:szCs w:val="21"/>
                <w:highlight w:val="none"/>
              </w:rPr>
              <w:t>2、开标地点：</w:t>
            </w:r>
            <w:r>
              <w:rPr>
                <w:rFonts w:hint="eastAsia" w:ascii="宋体" w:hAnsi="宋体" w:cs="宋体"/>
                <w:sz w:val="21"/>
                <w:szCs w:val="21"/>
                <w:highlight w:val="none"/>
              </w:rPr>
              <w:t>广州交易集团有限公司（广州公共资源交易中心）</w:t>
            </w:r>
            <w:r>
              <w:rPr>
                <w:rFonts w:ascii="宋体" w:hAnsi="宋体" w:cs="宋体"/>
                <w:sz w:val="21"/>
                <w:szCs w:val="21"/>
                <w:highlight w:val="none"/>
                <w:u w:val="single"/>
              </w:rPr>
              <w:t xml:space="preserve">   </w:t>
            </w:r>
            <w:r>
              <w:rPr>
                <w:rFonts w:ascii="宋体" w:hAnsi="宋体" w:cs="宋体"/>
                <w:sz w:val="21"/>
                <w:szCs w:val="21"/>
                <w:highlight w:val="none"/>
              </w:rPr>
              <w:t>开标室</w:t>
            </w:r>
          </w:p>
          <w:p w14:paraId="3682C7AF">
            <w:pPr>
              <w:spacing w:before="120" w:beforeLines="50" w:line="360" w:lineRule="auto"/>
              <w:contextualSpacing/>
              <w:rPr>
                <w:sz w:val="21"/>
                <w:szCs w:val="18"/>
                <w:highlight w:val="none"/>
              </w:rPr>
            </w:pPr>
            <w:r>
              <w:rPr>
                <w:rFonts w:hint="eastAsia"/>
                <w:sz w:val="21"/>
                <w:szCs w:val="18"/>
                <w:highlight w:val="none"/>
              </w:rPr>
              <w:t>3、递交投标文件备用光盘时间：____年____月____日____时____分至____年____月____日____时____分；递交地点：____。</w:t>
            </w:r>
          </w:p>
          <w:p w14:paraId="1393F9E3">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4、提交投标文件光盘备用</w:t>
            </w:r>
          </w:p>
          <w:p w14:paraId="0A09506C">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3595255">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5、补救方案</w:t>
            </w:r>
          </w:p>
          <w:p w14:paraId="1F68F554">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（1）投标文件解密失败的补救方案：</w:t>
            </w:r>
          </w:p>
          <w:p w14:paraId="7A1068A2">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A078E64">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（2）评标时突发情况的补救方案</w:t>
            </w:r>
          </w:p>
          <w:p w14:paraId="0322F63C">
            <w:pPr>
              <w:spacing w:before="120" w:beforeLines="50" w:line="360" w:lineRule="auto"/>
              <w:contextualSpacing/>
              <w:rPr>
                <w:rFonts w:ascii="宋体" w:hAnsi="宋体" w:cs="宋体"/>
                <w:sz w:val="21"/>
                <w:szCs w:val="21"/>
                <w:highlight w:val="none"/>
              </w:rPr>
            </w:pPr>
            <w:r>
              <w:rPr>
                <w:rFonts w:hint="eastAsia" w:ascii="宋体" w:hAnsi="宋体" w:cs="宋体"/>
                <w:sz w:val="21"/>
                <w:szCs w:val="21"/>
                <w:highlight w:val="none"/>
              </w:rPr>
              <w:t>若遇不可抗力发生（指网络瘫痪、服务器损坏、交易系统故障短期无法恢复等因素），由评标委员会开启投标人递交的全部投标文件光盘，并按光盘内容进行评审。</w:t>
            </w:r>
          </w:p>
          <w:p w14:paraId="72C9806A">
            <w:pPr>
              <w:spacing w:before="120" w:beforeLines="50" w:line="360" w:lineRule="auto"/>
              <w:contextualSpacing/>
              <w:rPr>
                <w:rFonts w:ascii="Calibri" w:hAnsi="Calibri"/>
                <w:kern w:val="2"/>
                <w:sz w:val="21"/>
                <w:szCs w:val="21"/>
                <w:highlight w:val="none"/>
              </w:rPr>
            </w:pPr>
            <w:r>
              <w:rPr>
                <w:rFonts w:hint="eastAsia" w:ascii="宋体" w:hAnsi="宋体" w:cs="宋体"/>
                <w:sz w:val="21"/>
                <w:szCs w:val="21"/>
                <w:highlight w:val="none"/>
              </w:rPr>
              <w:t>（3）除发生上述情况外，开标评标均以投标人通过交易平台网上递交的电子投标文件为准。</w:t>
            </w:r>
          </w:p>
          <w:p w14:paraId="497FC96B">
            <w:pPr>
              <w:spacing w:before="120" w:beforeLines="50" w:line="360" w:lineRule="auto"/>
              <w:contextualSpacing/>
              <w:rPr>
                <w:sz w:val="21"/>
                <w:szCs w:val="21"/>
                <w:highlight w:val="none"/>
              </w:rPr>
            </w:pPr>
            <w:r>
              <w:rPr>
                <w:rFonts w:hint="eastAsia" w:ascii="Calibri" w:hAnsi="Calibri"/>
                <w:kern w:val="2"/>
                <w:sz w:val="21"/>
                <w:szCs w:val="21"/>
                <w:highlight w:val="none"/>
              </w:rPr>
              <w:t>开标时，投标人代表有权参加现场开标或在线开标，也可以自主决定不参加开标</w:t>
            </w:r>
            <w:r>
              <w:rPr>
                <w:rFonts w:hint="eastAsia"/>
                <w:kern w:val="2"/>
                <w:sz w:val="21"/>
                <w:szCs w:val="21"/>
                <w:highlight w:val="none"/>
              </w:rPr>
              <w:t>，</w:t>
            </w:r>
            <w:r>
              <w:rPr>
                <w:rFonts w:hint="eastAsia"/>
                <w:sz w:val="21"/>
                <w:szCs w:val="21"/>
                <w:highlight w:val="none"/>
              </w:rPr>
              <w:t>投标人选择参加在线开标的，具体按照交易平台相关指南进行操作。</w:t>
            </w:r>
          </w:p>
          <w:p w14:paraId="21C43551">
            <w:pPr>
              <w:spacing w:before="174" w:line="360" w:lineRule="auto"/>
              <w:rPr>
                <w:rFonts w:eastAsia="Times New Roman"/>
                <w:sz w:val="21"/>
                <w:highlight w:val="none"/>
              </w:rPr>
            </w:pPr>
            <w:r>
              <w:rPr>
                <w:rFonts w:hint="eastAsia"/>
                <w:sz w:val="21"/>
                <w:szCs w:val="21"/>
                <w:highlight w:val="none"/>
              </w:rPr>
              <w:t>6、上述时间及地点是否有改变，请密切留意补充公告或招标答疑纪要的相关信息。</w:t>
            </w:r>
          </w:p>
        </w:tc>
      </w:tr>
      <w:tr w14:paraId="46F1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93D25">
            <w:pPr>
              <w:pStyle w:val="22"/>
              <w:kinsoku w:val="0"/>
              <w:overflowPunct w:val="0"/>
              <w:jc w:val="center"/>
              <w:rPr>
                <w:rFonts w:eastAsia="Times New Roman"/>
                <w:sz w:val="21"/>
                <w:highlight w:val="none"/>
              </w:rPr>
            </w:pPr>
            <w:r>
              <w:rPr>
                <w:rFonts w:hint="eastAsia" w:eastAsia="Times New Roman"/>
                <w:sz w:val="21"/>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DF74A">
            <w:pPr>
              <w:pStyle w:val="22"/>
              <w:kinsoku w:val="0"/>
              <w:overflowPunct w:val="0"/>
              <w:jc w:val="center"/>
              <w:rPr>
                <w:rFonts w:ascii="宋体" w:hAnsi="宋体"/>
                <w:sz w:val="21"/>
                <w:highlight w:val="none"/>
              </w:rPr>
            </w:pPr>
            <w:r>
              <w:rPr>
                <w:rFonts w:ascii="宋体" w:hAnsi="宋体"/>
                <w:sz w:val="21"/>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DEFF4">
            <w:pPr>
              <w:pStyle w:val="22"/>
              <w:tabs>
                <w:tab w:val="left" w:pos="2309"/>
                <w:tab w:val="left" w:pos="3826"/>
              </w:tabs>
              <w:kinsoku w:val="0"/>
              <w:overflowPunct w:val="0"/>
              <w:snapToGrid w:val="0"/>
              <w:spacing w:line="360" w:lineRule="auto"/>
              <w:jc w:val="both"/>
              <w:rPr>
                <w:rFonts w:ascii="宋体" w:hAnsi="宋体"/>
                <w:sz w:val="21"/>
                <w:szCs w:val="21"/>
                <w:highlight w:val="none"/>
              </w:rPr>
            </w:pPr>
            <w:r>
              <w:rPr>
                <w:rFonts w:ascii="宋体" w:hAnsi="宋体"/>
                <w:spacing w:val="-103"/>
                <w:sz w:val="21"/>
                <w:highlight w:val="none"/>
              </w:rPr>
              <w:t xml:space="preserve"> </w:t>
            </w:r>
            <w:r>
              <w:rPr>
                <w:rFonts w:ascii="宋体" w:hAnsi="宋体"/>
                <w:sz w:val="21"/>
                <w:szCs w:val="21"/>
                <w:highlight w:val="none"/>
              </w:rPr>
              <w:t>评标委员会构成：</w:t>
            </w:r>
            <w:r>
              <w:rPr>
                <w:rFonts w:hint="eastAsia" w:ascii="宋体" w:hAnsi="宋体" w:cs="宋体"/>
                <w:sz w:val="21"/>
                <w:szCs w:val="21"/>
                <w:highlight w:val="none"/>
              </w:rPr>
              <w:t>由招标人依法组建。</w:t>
            </w:r>
          </w:p>
          <w:p w14:paraId="7FB441B6">
            <w:pPr>
              <w:pStyle w:val="22"/>
              <w:tabs>
                <w:tab w:val="left" w:pos="2309"/>
                <w:tab w:val="left" w:pos="3826"/>
              </w:tabs>
              <w:kinsoku w:val="0"/>
              <w:overflowPunct w:val="0"/>
              <w:spacing w:line="360" w:lineRule="auto"/>
              <w:jc w:val="both"/>
              <w:rPr>
                <w:rFonts w:ascii="宋体" w:hAnsi="宋体"/>
                <w:sz w:val="21"/>
                <w:highlight w:val="none"/>
              </w:rPr>
            </w:pPr>
            <w:r>
              <w:rPr>
                <w:rFonts w:ascii="宋体" w:hAnsi="宋体"/>
                <w:sz w:val="21"/>
                <w:szCs w:val="21"/>
                <w:highlight w:val="none"/>
              </w:rPr>
              <w:t>评标专家确定方式：</w:t>
            </w:r>
            <w:r>
              <w:rPr>
                <w:rFonts w:hint="eastAsia" w:ascii="宋体" w:hAnsi="宋体" w:cs="宋体"/>
                <w:sz w:val="21"/>
                <w:szCs w:val="21"/>
                <w:highlight w:val="none"/>
              </w:rPr>
              <w:t>除招标人代表外，其余专家均从广东省综合评标评审专家库中随机抽取。</w:t>
            </w:r>
          </w:p>
        </w:tc>
      </w:tr>
      <w:tr w14:paraId="22D9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11818">
            <w:pPr>
              <w:pStyle w:val="22"/>
              <w:kinsoku w:val="0"/>
              <w:overflowPunct w:val="0"/>
              <w:jc w:val="center"/>
              <w:rPr>
                <w:rFonts w:eastAsia="Times New Roman"/>
                <w:sz w:val="21"/>
                <w:highlight w:val="none"/>
              </w:rPr>
            </w:pPr>
            <w:r>
              <w:rPr>
                <w:rFonts w:hint="eastAsia" w:eastAsia="Times New Roman"/>
                <w:sz w:val="21"/>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2CF332">
            <w:pPr>
              <w:pStyle w:val="22"/>
              <w:kinsoku w:val="0"/>
              <w:overflowPunct w:val="0"/>
              <w:jc w:val="center"/>
              <w:rPr>
                <w:rFonts w:ascii="宋体" w:hAnsi="宋体"/>
                <w:sz w:val="21"/>
                <w:highlight w:val="none"/>
              </w:rPr>
            </w:pPr>
            <w:r>
              <w:rPr>
                <w:rFonts w:ascii="宋体" w:hAnsi="宋体"/>
                <w:sz w:val="21"/>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EF661">
            <w:pPr>
              <w:spacing w:line="360" w:lineRule="auto"/>
              <w:jc w:val="both"/>
              <w:rPr>
                <w:rFonts w:eastAsia="Times New Roman"/>
                <w:sz w:val="21"/>
                <w:highlight w:val="none"/>
              </w:rPr>
            </w:pPr>
            <w:r>
              <w:rPr>
                <w:rFonts w:hint="eastAsia" w:ascii="宋体" w:hAnsi="宋体" w:cs="宋体"/>
                <w:sz w:val="21"/>
                <w:szCs w:val="21"/>
                <w:highlight w:val="none"/>
              </w:rPr>
              <w:t>推荐的中标候选人数：</w:t>
            </w:r>
            <w:r>
              <w:rPr>
                <w:rFonts w:hint="eastAsia" w:ascii="宋体" w:hAnsi="宋体" w:cs="宋体"/>
                <w:sz w:val="21"/>
                <w:szCs w:val="21"/>
                <w:highlight w:val="none"/>
                <w:u w:val="single"/>
              </w:rPr>
              <w:t xml:space="preserve"> 3 </w:t>
            </w:r>
            <w:r>
              <w:rPr>
                <w:rFonts w:hint="eastAsia" w:ascii="宋体" w:hAnsi="宋体" w:cs="宋体"/>
                <w:sz w:val="21"/>
                <w:szCs w:val="21"/>
                <w:highlight w:val="none"/>
              </w:rPr>
              <w:t>人。</w:t>
            </w:r>
          </w:p>
        </w:tc>
      </w:tr>
      <w:tr w14:paraId="7914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7A2FA">
            <w:pPr>
              <w:pStyle w:val="22"/>
              <w:kinsoku w:val="0"/>
              <w:overflowPunct w:val="0"/>
              <w:jc w:val="center"/>
              <w:rPr>
                <w:rFonts w:eastAsia="Times New Roman"/>
                <w:sz w:val="21"/>
                <w:highlight w:val="none"/>
              </w:rPr>
            </w:pPr>
            <w:r>
              <w:rPr>
                <w:rFonts w:hint="eastAsia" w:eastAsia="Times New Roman"/>
                <w:sz w:val="21"/>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75C8A">
            <w:pPr>
              <w:pStyle w:val="22"/>
              <w:kinsoku w:val="0"/>
              <w:overflowPunct w:val="0"/>
              <w:jc w:val="center"/>
              <w:rPr>
                <w:rFonts w:ascii="宋体" w:hAnsi="宋体"/>
                <w:sz w:val="21"/>
                <w:highlight w:val="none"/>
              </w:rPr>
            </w:pPr>
            <w:r>
              <w:rPr>
                <w:rFonts w:ascii="宋体" w:hAnsi="宋体"/>
                <w:sz w:val="21"/>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F6C1E">
            <w:pPr>
              <w:spacing w:before="171" w:line="360" w:lineRule="auto"/>
              <w:ind w:left="40"/>
              <w:rPr>
                <w:rFonts w:ascii="宋体" w:hAnsi="宋体" w:cs="宋体"/>
                <w:sz w:val="21"/>
                <w:szCs w:val="21"/>
                <w:highlight w:val="none"/>
              </w:rPr>
            </w:pPr>
            <w:r>
              <w:rPr>
                <w:rFonts w:ascii="宋体" w:hAnsi="宋体" w:cs="宋体"/>
                <w:spacing w:val="-11"/>
                <w:sz w:val="21"/>
                <w:szCs w:val="21"/>
                <w:highlight w:val="none"/>
              </w:rPr>
              <w:t>公</w:t>
            </w:r>
            <w:r>
              <w:rPr>
                <w:rFonts w:ascii="宋体" w:hAnsi="宋体" w:cs="宋体"/>
                <w:spacing w:val="-10"/>
                <w:sz w:val="21"/>
                <w:szCs w:val="21"/>
                <w:highlight w:val="none"/>
              </w:rPr>
              <w:t>示媒介：</w:t>
            </w:r>
            <w:r>
              <w:rPr>
                <w:rFonts w:hint="eastAsia" w:ascii="宋体" w:hAnsi="宋体" w:cs="宋体"/>
                <w:sz w:val="21"/>
                <w:szCs w:val="21"/>
                <w:highlight w:val="none"/>
                <w:lang w:val="zh-CN"/>
              </w:rPr>
              <w:t>广州交易集团有限公司（广州公共资源交易中心）</w:t>
            </w:r>
            <w:r>
              <w:rPr>
                <w:rFonts w:ascii="宋体" w:hAnsi="宋体" w:cs="宋体"/>
                <w:sz w:val="21"/>
                <w:szCs w:val="21"/>
                <w:highlight w:val="none"/>
                <w:lang w:val="zh-CN"/>
              </w:rPr>
              <w:t>网和广东省招标投标监管网</w:t>
            </w:r>
          </w:p>
          <w:p w14:paraId="573B39C2">
            <w:pPr>
              <w:pStyle w:val="22"/>
              <w:tabs>
                <w:tab w:val="left" w:pos="2100"/>
              </w:tabs>
              <w:kinsoku w:val="0"/>
              <w:overflowPunct w:val="0"/>
              <w:spacing w:line="360" w:lineRule="auto"/>
              <w:jc w:val="both"/>
              <w:rPr>
                <w:rFonts w:eastAsia="Times New Roman"/>
                <w:sz w:val="21"/>
                <w:highlight w:val="none"/>
              </w:rPr>
            </w:pPr>
            <w:r>
              <w:rPr>
                <w:rFonts w:ascii="宋体" w:hAnsi="宋体" w:cs="宋体"/>
                <w:spacing w:val="-8"/>
                <w:sz w:val="21"/>
                <w:szCs w:val="21"/>
                <w:highlight w:val="none"/>
              </w:rPr>
              <w:t>公示期</w:t>
            </w:r>
            <w:r>
              <w:rPr>
                <w:rFonts w:ascii="宋体" w:hAnsi="宋体" w:cs="宋体"/>
                <w:spacing w:val="-4"/>
                <w:sz w:val="21"/>
                <w:szCs w:val="21"/>
                <w:highlight w:val="none"/>
              </w:rPr>
              <w:t>限：</w:t>
            </w:r>
            <w:r>
              <w:rPr>
                <w:rFonts w:ascii="宋体" w:hAnsi="宋体" w:cs="宋体"/>
                <w:spacing w:val="-4"/>
                <w:sz w:val="21"/>
                <w:szCs w:val="21"/>
                <w:highlight w:val="none"/>
                <w:u w:val="single"/>
              </w:rPr>
              <w:t>不少于3</w:t>
            </w:r>
            <w:r>
              <w:rPr>
                <w:rFonts w:ascii="宋体" w:hAnsi="宋体" w:cs="宋体"/>
                <w:spacing w:val="-4"/>
                <w:sz w:val="21"/>
                <w:szCs w:val="21"/>
                <w:highlight w:val="none"/>
              </w:rPr>
              <w:t>日</w:t>
            </w:r>
            <w:r>
              <w:rPr>
                <w:rFonts w:ascii="宋体" w:hAnsi="宋体" w:cs="宋体"/>
                <w:spacing w:val="-5"/>
                <w:sz w:val="21"/>
                <w:szCs w:val="21"/>
                <w:highlight w:val="none"/>
              </w:rPr>
              <w:t>（最后一天应为工作日）</w:t>
            </w:r>
          </w:p>
        </w:tc>
      </w:tr>
      <w:tr w14:paraId="3F83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0ACFC">
            <w:pPr>
              <w:pStyle w:val="22"/>
              <w:kinsoku w:val="0"/>
              <w:overflowPunct w:val="0"/>
              <w:jc w:val="center"/>
              <w:rPr>
                <w:rFonts w:eastAsia="Times New Roman"/>
                <w:sz w:val="21"/>
                <w:highlight w:val="none"/>
              </w:rPr>
            </w:pPr>
            <w:r>
              <w:rPr>
                <w:rFonts w:hint="eastAsia" w:eastAsia="Times New Roman"/>
                <w:sz w:val="21"/>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EB3BA">
            <w:pPr>
              <w:pStyle w:val="22"/>
              <w:kinsoku w:val="0"/>
              <w:overflowPunct w:val="0"/>
              <w:jc w:val="center"/>
              <w:rPr>
                <w:rFonts w:ascii="宋体" w:hAnsi="宋体"/>
                <w:sz w:val="21"/>
                <w:highlight w:val="none"/>
              </w:rPr>
            </w:pPr>
            <w:r>
              <w:rPr>
                <w:rFonts w:ascii="宋体" w:hAnsi="宋体"/>
                <w:sz w:val="21"/>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61A63">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是</w:t>
            </w:r>
          </w:p>
          <w:p w14:paraId="7A3CEABA">
            <w:pPr>
              <w:pStyle w:val="22"/>
              <w:kinsoku w:val="0"/>
              <w:overflowPunct w:val="0"/>
              <w:spacing w:line="360" w:lineRule="auto"/>
              <w:jc w:val="both"/>
              <w:rPr>
                <w:rFonts w:eastAsia="Times New Roman"/>
                <w:sz w:val="21"/>
                <w:highlight w:val="none"/>
              </w:rPr>
            </w:pPr>
            <w:r>
              <w:rPr>
                <w:rFonts w:hint="eastAsia" w:eastAsia="Times New Roman"/>
                <w:sz w:val="21"/>
                <w:highlight w:val="none"/>
              </w:rPr>
              <w:sym w:font="Wingdings 2" w:char="0052"/>
            </w:r>
            <w:r>
              <w:rPr>
                <w:rFonts w:ascii="宋体" w:hAnsi="宋体"/>
                <w:sz w:val="21"/>
                <w:highlight w:val="none"/>
              </w:rPr>
              <w:t>否</w:t>
            </w:r>
          </w:p>
        </w:tc>
      </w:tr>
      <w:tr w14:paraId="4101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60CA4">
            <w:pPr>
              <w:pStyle w:val="22"/>
              <w:kinsoku w:val="0"/>
              <w:overflowPunct w:val="0"/>
              <w:jc w:val="center"/>
              <w:rPr>
                <w:rFonts w:eastAsia="Times New Roman"/>
                <w:sz w:val="21"/>
                <w:highlight w:val="none"/>
              </w:rPr>
            </w:pPr>
            <w:r>
              <w:rPr>
                <w:rFonts w:hint="eastAsia" w:eastAsia="Times New Roman"/>
                <w:sz w:val="21"/>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A70C0">
            <w:pPr>
              <w:pStyle w:val="22"/>
              <w:kinsoku w:val="0"/>
              <w:overflowPunct w:val="0"/>
              <w:jc w:val="center"/>
              <w:rPr>
                <w:rFonts w:ascii="宋体" w:hAnsi="宋体"/>
                <w:sz w:val="21"/>
                <w:highlight w:val="none"/>
              </w:rPr>
            </w:pPr>
            <w:r>
              <w:rPr>
                <w:rFonts w:ascii="宋体" w:hAnsi="宋体"/>
                <w:sz w:val="21"/>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A5B66">
            <w:pPr>
              <w:pStyle w:val="22"/>
              <w:kinsoku w:val="0"/>
              <w:overflowPunct w:val="0"/>
              <w:spacing w:line="360" w:lineRule="auto"/>
              <w:jc w:val="both"/>
              <w:rPr>
                <w:rFonts w:ascii="宋体" w:hAnsi="宋体"/>
                <w:sz w:val="21"/>
                <w:highlight w:val="none"/>
              </w:rPr>
            </w:pPr>
            <w:r>
              <w:rPr>
                <w:rFonts w:ascii="宋体" w:hAnsi="宋体"/>
                <w:sz w:val="21"/>
                <w:highlight w:val="none"/>
              </w:rPr>
              <w:t>是否要求中标人提交履约保证金：</w:t>
            </w:r>
          </w:p>
          <w:p w14:paraId="01872AA5">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52"/>
            </w:r>
            <w:r>
              <w:rPr>
                <w:rFonts w:ascii="宋体" w:hAnsi="宋体"/>
                <w:sz w:val="21"/>
                <w:highlight w:val="none"/>
              </w:rPr>
              <w:t>不要求</w:t>
            </w:r>
          </w:p>
          <w:p w14:paraId="54FFDAC0">
            <w:pPr>
              <w:pStyle w:val="22"/>
              <w:kinsoku w:val="0"/>
              <w:overflowPunct w:val="0"/>
              <w:spacing w:line="360" w:lineRule="auto"/>
              <w:jc w:val="both"/>
              <w:rPr>
                <w:rFonts w:ascii="宋体" w:hAnsi="宋体"/>
                <w:sz w:val="21"/>
                <w:highlight w:val="none"/>
              </w:rPr>
            </w:pPr>
            <w:r>
              <w:rPr>
                <w:rFonts w:hint="eastAsia" w:eastAsia="Times New Roman"/>
                <w:sz w:val="21"/>
                <w:highlight w:val="none"/>
              </w:rPr>
              <w:sym w:font="Wingdings 2" w:char="00A3"/>
            </w:r>
            <w:r>
              <w:rPr>
                <w:rFonts w:ascii="宋体" w:hAnsi="宋体"/>
                <w:sz w:val="21"/>
                <w:highlight w:val="none"/>
              </w:rPr>
              <w:t>要求，履约保证金的形式：</w:t>
            </w:r>
          </w:p>
          <w:p w14:paraId="1FDDBBE9">
            <w:pPr>
              <w:pStyle w:val="22"/>
              <w:kinsoku w:val="0"/>
              <w:overflowPunct w:val="0"/>
              <w:spacing w:line="360" w:lineRule="auto"/>
              <w:ind w:firstLine="840" w:firstLineChars="400"/>
              <w:jc w:val="both"/>
              <w:rPr>
                <w:rFonts w:eastAsia="Times New Roman"/>
                <w:sz w:val="21"/>
                <w:highlight w:val="none"/>
              </w:rPr>
            </w:pPr>
            <w:r>
              <w:rPr>
                <w:rFonts w:ascii="宋体" w:hAnsi="宋体"/>
                <w:sz w:val="21"/>
                <w:highlight w:val="none"/>
              </w:rPr>
              <w:t>履约保证金的金额：</w:t>
            </w:r>
          </w:p>
        </w:tc>
      </w:tr>
      <w:tr w14:paraId="24B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5F375">
            <w:pPr>
              <w:pStyle w:val="22"/>
              <w:kinsoku w:val="0"/>
              <w:overflowPunct w:val="0"/>
              <w:jc w:val="center"/>
              <w:rPr>
                <w:rFonts w:eastAsia="Times New Roman"/>
                <w:sz w:val="21"/>
                <w:highlight w:val="none"/>
              </w:rPr>
            </w:pPr>
            <w:r>
              <w:rPr>
                <w:rFonts w:hint="eastAsia" w:eastAsia="Times New Roman"/>
                <w:sz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E4457">
            <w:pPr>
              <w:pStyle w:val="22"/>
              <w:kinsoku w:val="0"/>
              <w:overflowPunct w:val="0"/>
              <w:jc w:val="center"/>
              <w:rPr>
                <w:rFonts w:ascii="宋体" w:hAnsi="宋体"/>
                <w:sz w:val="21"/>
                <w:highlight w:val="none"/>
              </w:rPr>
            </w:pPr>
            <w:r>
              <w:rPr>
                <w:rFonts w:ascii="宋体" w:hAnsi="宋体"/>
                <w:sz w:val="21"/>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69D7C6">
            <w:pPr>
              <w:spacing w:line="360" w:lineRule="auto"/>
              <w:jc w:val="both"/>
              <w:rPr>
                <w:rFonts w:eastAsia="Times New Roman"/>
                <w:sz w:val="21"/>
                <w:highlight w:val="none"/>
              </w:rPr>
            </w:pPr>
          </w:p>
        </w:tc>
      </w:tr>
      <w:tr w14:paraId="522D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47D3C">
            <w:pPr>
              <w:pStyle w:val="22"/>
              <w:kinsoku w:val="0"/>
              <w:overflowPunct w:val="0"/>
              <w:jc w:val="center"/>
              <w:rPr>
                <w:rFonts w:eastAsia="宋体"/>
                <w:sz w:val="21"/>
                <w:highlight w:val="none"/>
              </w:rPr>
            </w:pPr>
            <w:r>
              <w:rPr>
                <w:rFonts w:hint="eastAsia" w:eastAsia="宋体"/>
                <w:sz w:val="21"/>
                <w:highlight w:val="none"/>
              </w:rPr>
              <w:t>1</w:t>
            </w:r>
            <w:r>
              <w:rPr>
                <w:rFonts w:eastAsia="宋体"/>
                <w:sz w:val="21"/>
                <w:highlight w:val="none"/>
              </w:rPr>
              <w:t>0</w:t>
            </w:r>
            <w:r>
              <w:rPr>
                <w:rFonts w:hint="eastAsia" w:eastAsia="宋体"/>
                <w:sz w:val="21"/>
                <w:highlight w:val="none"/>
              </w:rPr>
              <w:t>.1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0CFD8">
            <w:pPr>
              <w:snapToGrid w:val="0"/>
              <w:spacing w:line="276" w:lineRule="auto"/>
              <w:jc w:val="center"/>
              <w:rPr>
                <w:rFonts w:ascii="宋体" w:hAnsi="宋体"/>
                <w:sz w:val="21"/>
                <w:szCs w:val="21"/>
                <w:highlight w:val="none"/>
                <w:u w:val="single"/>
              </w:rPr>
            </w:pPr>
            <w:r>
              <w:rPr>
                <w:rFonts w:hint="eastAsia" w:ascii="宋体" w:hAnsi="宋体"/>
                <w:sz w:val="21"/>
                <w:szCs w:val="21"/>
                <w:highlight w:val="none"/>
                <w:u w:val="single"/>
              </w:rPr>
              <w:t>特别提示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3CE91A">
            <w:pPr>
              <w:spacing w:line="360" w:lineRule="auto"/>
              <w:rPr>
                <w:rFonts w:ascii="宋体" w:hAnsi="宋体" w:cs="宋体"/>
                <w:sz w:val="21"/>
                <w:szCs w:val="21"/>
                <w:highlight w:val="none"/>
              </w:rPr>
            </w:pPr>
            <w:r>
              <w:rPr>
                <w:rFonts w:hint="eastAsia" w:ascii="宋体" w:hAnsi="宋体" w:cs="宋体"/>
                <w:sz w:val="21"/>
                <w:szCs w:val="21"/>
                <w:highlight w:val="none"/>
              </w:rPr>
              <w:t>投标人在本项目招标人的工程项目中存在下列行为的，将被拒绝三个月内参与我单位后续工程投标。（注：拒绝投标时限由自招标人发出通知之日起计）：</w:t>
            </w:r>
          </w:p>
          <w:p w14:paraId="22C7BEF8">
            <w:pPr>
              <w:spacing w:line="360" w:lineRule="auto"/>
              <w:rPr>
                <w:rFonts w:ascii="宋体" w:hAnsi="宋体" w:cs="宋体"/>
                <w:sz w:val="21"/>
                <w:szCs w:val="21"/>
                <w:highlight w:val="none"/>
              </w:rPr>
            </w:pPr>
            <w:r>
              <w:rPr>
                <w:rFonts w:hint="eastAsia" w:ascii="宋体" w:hAnsi="宋体" w:cs="宋体"/>
                <w:sz w:val="21"/>
                <w:szCs w:val="21"/>
                <w:highlight w:val="none"/>
              </w:rPr>
              <w:t>（1）将中标工程转包或者违法分包的；</w:t>
            </w:r>
          </w:p>
          <w:p w14:paraId="15A906FD">
            <w:pPr>
              <w:spacing w:line="360" w:lineRule="auto"/>
              <w:rPr>
                <w:rFonts w:ascii="宋体" w:hAnsi="宋体" w:cs="宋体"/>
                <w:sz w:val="21"/>
                <w:szCs w:val="21"/>
                <w:highlight w:val="none"/>
              </w:rPr>
            </w:pPr>
            <w:r>
              <w:rPr>
                <w:rFonts w:hint="eastAsia" w:ascii="宋体" w:hAnsi="宋体" w:cs="宋体"/>
                <w:sz w:val="21"/>
                <w:szCs w:val="21"/>
                <w:highlight w:val="none"/>
              </w:rPr>
              <w:t>（2）在中标工程中不执行质量、安全生产相关规定的，造成质量或安全事故的；</w:t>
            </w:r>
          </w:p>
          <w:p w14:paraId="472D036B">
            <w:pPr>
              <w:spacing w:line="360" w:lineRule="auto"/>
              <w:rPr>
                <w:rFonts w:ascii="宋体" w:hAnsi="宋体" w:cs="宋体"/>
                <w:sz w:val="21"/>
                <w:szCs w:val="21"/>
                <w:highlight w:val="none"/>
              </w:rPr>
            </w:pPr>
            <w:r>
              <w:rPr>
                <w:rFonts w:hint="eastAsia" w:ascii="宋体" w:hAnsi="宋体" w:cs="宋体"/>
                <w:sz w:val="21"/>
                <w:szCs w:val="21"/>
                <w:highlight w:val="none"/>
              </w:rPr>
              <w:t>（3）出让投标资格的；</w:t>
            </w:r>
          </w:p>
          <w:p w14:paraId="722526BE">
            <w:pPr>
              <w:spacing w:line="360" w:lineRule="auto"/>
              <w:rPr>
                <w:rFonts w:ascii="宋体" w:hAnsi="宋体" w:cs="宋体"/>
                <w:sz w:val="21"/>
                <w:szCs w:val="21"/>
                <w:highlight w:val="none"/>
              </w:rPr>
            </w:pPr>
            <w:r>
              <w:rPr>
                <w:rFonts w:hint="eastAsia" w:ascii="宋体" w:hAnsi="宋体" w:cs="宋体"/>
                <w:sz w:val="21"/>
                <w:szCs w:val="21"/>
                <w:highlight w:val="none"/>
              </w:rPr>
              <w:t>（4）存在围标或串标情形的；</w:t>
            </w:r>
          </w:p>
          <w:p w14:paraId="11CCFBC6">
            <w:pPr>
              <w:spacing w:line="360" w:lineRule="auto"/>
              <w:rPr>
                <w:rFonts w:ascii="宋体" w:hAnsi="宋体" w:cs="宋体"/>
                <w:sz w:val="21"/>
                <w:szCs w:val="21"/>
                <w:highlight w:val="none"/>
              </w:rPr>
            </w:pPr>
            <w:r>
              <w:rPr>
                <w:rFonts w:hint="eastAsia" w:ascii="宋体" w:hAnsi="宋体" w:cs="宋体"/>
                <w:sz w:val="21"/>
                <w:szCs w:val="21"/>
                <w:highlight w:val="none"/>
              </w:rPr>
              <w:t>（5）在投标文件中提供虚假材料的；</w:t>
            </w:r>
          </w:p>
          <w:p w14:paraId="466F0FC4">
            <w:pPr>
              <w:spacing w:line="360" w:lineRule="auto"/>
              <w:rPr>
                <w:rFonts w:ascii="宋体" w:hAnsi="宋体" w:cs="宋体"/>
                <w:sz w:val="21"/>
                <w:szCs w:val="21"/>
                <w:highlight w:val="none"/>
              </w:rPr>
            </w:pPr>
            <w:r>
              <w:rPr>
                <w:rFonts w:hint="eastAsia" w:ascii="宋体" w:hAnsi="宋体" w:cs="宋体"/>
                <w:sz w:val="21"/>
                <w:szCs w:val="21"/>
                <w:highlight w:val="none"/>
              </w:rPr>
              <w:t>（6）存在少放、不放业绩、奖项等客观评审资料，减少自身竞争力情形的；</w:t>
            </w:r>
          </w:p>
          <w:p w14:paraId="75292C19">
            <w:pPr>
              <w:spacing w:line="360" w:lineRule="auto"/>
              <w:rPr>
                <w:rFonts w:ascii="宋体" w:hAnsi="宋体"/>
                <w:sz w:val="21"/>
                <w:szCs w:val="21"/>
                <w:highlight w:val="none"/>
              </w:rPr>
            </w:pPr>
            <w:r>
              <w:rPr>
                <w:rFonts w:hint="eastAsia" w:ascii="宋体" w:hAnsi="宋体" w:cs="宋体"/>
                <w:sz w:val="21"/>
                <w:szCs w:val="21"/>
                <w:highlight w:val="none"/>
              </w:rPr>
              <w:t>（7）存在行贿情形的。</w:t>
            </w:r>
          </w:p>
        </w:tc>
      </w:tr>
      <w:tr w14:paraId="71D4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8B572">
            <w:pPr>
              <w:pStyle w:val="22"/>
              <w:kinsoku w:val="0"/>
              <w:overflowPunct w:val="0"/>
              <w:jc w:val="center"/>
              <w:rPr>
                <w:rFonts w:eastAsia="Times New Roman"/>
                <w:sz w:val="21"/>
                <w:highlight w:val="none"/>
              </w:rPr>
            </w:pPr>
            <w:r>
              <w:rPr>
                <w:rFonts w:hint="eastAsia" w:eastAsia="宋体"/>
                <w:sz w:val="21"/>
                <w:highlight w:val="none"/>
              </w:rPr>
              <w:t>1</w:t>
            </w:r>
            <w:r>
              <w:rPr>
                <w:rFonts w:eastAsia="宋体"/>
                <w:sz w:val="21"/>
                <w:highlight w:val="none"/>
              </w:rPr>
              <w:t>0</w:t>
            </w:r>
            <w:r>
              <w:rPr>
                <w:rFonts w:hint="eastAsia" w:eastAsia="宋体"/>
                <w:sz w:val="21"/>
                <w:highlight w:val="none"/>
              </w:rPr>
              <w:t>.</w:t>
            </w:r>
            <w:r>
              <w:rPr>
                <w:rFonts w:eastAsia="宋体"/>
                <w:sz w:val="21"/>
                <w:highlight w:val="none"/>
              </w:rPr>
              <w:t>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A68F9">
            <w:pPr>
              <w:spacing w:line="276" w:lineRule="auto"/>
              <w:jc w:val="center"/>
              <w:rPr>
                <w:rFonts w:ascii="宋体" w:hAnsi="宋体"/>
                <w:sz w:val="21"/>
                <w:szCs w:val="21"/>
                <w:highlight w:val="none"/>
                <w:u w:val="single"/>
              </w:rPr>
            </w:pPr>
            <w:r>
              <w:rPr>
                <w:rFonts w:hint="eastAsia" w:ascii="宋体" w:hAnsi="宋体"/>
                <w:sz w:val="21"/>
                <w:szCs w:val="21"/>
                <w:highlight w:val="none"/>
                <w:u w:val="single"/>
              </w:rPr>
              <w:t>招标失败的情形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FC150">
            <w:pPr>
              <w:spacing w:line="360" w:lineRule="auto"/>
              <w:rPr>
                <w:rFonts w:ascii="宋体" w:hAnsi="宋体"/>
                <w:sz w:val="21"/>
                <w:szCs w:val="21"/>
                <w:highlight w:val="none"/>
              </w:rPr>
            </w:pPr>
            <w:r>
              <w:rPr>
                <w:rFonts w:hint="eastAsia" w:ascii="宋体" w:hAnsi="宋体" w:cs="Calibri"/>
                <w:sz w:val="21"/>
                <w:szCs w:val="21"/>
                <w:highlight w:val="none"/>
              </w:rPr>
              <w:t>本项目采用资格后审方式，满足资格审查合格条件或通过初步评审的投标申请人不足3名时为招标失败。招标人分析招标失败原因，修正招标方案，重新组织招标。</w:t>
            </w:r>
          </w:p>
        </w:tc>
      </w:tr>
      <w:tr w14:paraId="6DEB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213B8">
            <w:pPr>
              <w:pStyle w:val="22"/>
              <w:kinsoku w:val="0"/>
              <w:overflowPunct w:val="0"/>
              <w:jc w:val="center"/>
              <w:rPr>
                <w:rFonts w:eastAsia="Times New Roman"/>
                <w:sz w:val="21"/>
                <w:highlight w:val="none"/>
              </w:rPr>
            </w:pPr>
            <w:r>
              <w:rPr>
                <w:rFonts w:hint="eastAsia" w:eastAsia="宋体"/>
                <w:sz w:val="21"/>
                <w:highlight w:val="none"/>
              </w:rPr>
              <w:t>1</w:t>
            </w:r>
            <w:r>
              <w:rPr>
                <w:rFonts w:eastAsia="宋体"/>
                <w:sz w:val="21"/>
                <w:highlight w:val="none"/>
              </w:rPr>
              <w:t>0</w:t>
            </w:r>
            <w:r>
              <w:rPr>
                <w:rFonts w:hint="eastAsia" w:eastAsia="宋体"/>
                <w:sz w:val="21"/>
                <w:highlight w:val="none"/>
              </w:rPr>
              <w:t>.</w:t>
            </w:r>
            <w:r>
              <w:rPr>
                <w:rFonts w:eastAsia="宋体"/>
                <w:sz w:val="21"/>
                <w:highlight w:val="none"/>
              </w:rPr>
              <w:t>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F7732A">
            <w:pPr>
              <w:spacing w:line="276" w:lineRule="auto"/>
              <w:jc w:val="center"/>
              <w:rPr>
                <w:rFonts w:ascii="宋体" w:hAnsi="宋体"/>
                <w:sz w:val="21"/>
                <w:szCs w:val="21"/>
                <w:highlight w:val="none"/>
                <w:u w:val="single"/>
              </w:rPr>
            </w:pPr>
            <w:r>
              <w:rPr>
                <w:rFonts w:hint="eastAsia" w:ascii="宋体" w:hAnsi="宋体"/>
                <w:sz w:val="21"/>
                <w:szCs w:val="21"/>
                <w:highlight w:val="none"/>
                <w:u w:val="single"/>
              </w:rPr>
              <w:t>招标人拒绝接收备用投标文件电子光盘的情况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26549B">
            <w:pPr>
              <w:spacing w:line="360" w:lineRule="auto"/>
              <w:rPr>
                <w:rFonts w:ascii="宋体" w:hAnsi="宋体"/>
                <w:sz w:val="21"/>
                <w:szCs w:val="21"/>
                <w:highlight w:val="none"/>
              </w:rPr>
            </w:pPr>
            <w:r>
              <w:rPr>
                <w:rFonts w:hint="eastAsia" w:ascii="宋体" w:hAnsi="宋体"/>
                <w:sz w:val="21"/>
                <w:szCs w:val="21"/>
                <w:highlight w:val="none"/>
              </w:rPr>
              <w:t>1、投标人在投标截止期后逾期或未在指定地点递交备用投标文件电子光盘的；</w:t>
            </w:r>
          </w:p>
          <w:p w14:paraId="0E397CBA">
            <w:pPr>
              <w:spacing w:line="360" w:lineRule="auto"/>
              <w:rPr>
                <w:rFonts w:ascii="宋体" w:hAnsi="宋体"/>
                <w:sz w:val="21"/>
                <w:szCs w:val="21"/>
                <w:highlight w:val="none"/>
              </w:rPr>
            </w:pPr>
            <w:r>
              <w:rPr>
                <w:rFonts w:hint="eastAsia" w:ascii="宋体" w:hAnsi="宋体"/>
                <w:sz w:val="21"/>
                <w:szCs w:val="21"/>
                <w:highlight w:val="none"/>
              </w:rPr>
              <w:t>2、投标人递交的备用投标文件电子光盘未按招标文件要求密封或未在密封处盖章的；</w:t>
            </w:r>
          </w:p>
          <w:p w14:paraId="17336E87">
            <w:pPr>
              <w:spacing w:line="360" w:lineRule="auto"/>
              <w:rPr>
                <w:rFonts w:ascii="宋体" w:hAnsi="宋体"/>
                <w:sz w:val="21"/>
                <w:szCs w:val="21"/>
                <w:highlight w:val="none"/>
              </w:rPr>
            </w:pPr>
            <w:r>
              <w:rPr>
                <w:rFonts w:hint="eastAsia" w:ascii="宋体" w:hAnsi="宋体"/>
                <w:sz w:val="21"/>
                <w:szCs w:val="21"/>
                <w:highlight w:val="none"/>
              </w:rPr>
              <w:t>3、投标人代表未凭法定代表人证明书原件、授权委托书原件（仅限于非法定代表人）、本人身份证原件要求递交备用投标文件电子光盘的；</w:t>
            </w:r>
          </w:p>
        </w:tc>
      </w:tr>
      <w:tr w14:paraId="4C5D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5F3EB">
            <w:pPr>
              <w:pStyle w:val="22"/>
              <w:kinsoku w:val="0"/>
              <w:overflowPunct w:val="0"/>
              <w:jc w:val="center"/>
              <w:rPr>
                <w:rFonts w:eastAsia="Times New Roman"/>
                <w:sz w:val="21"/>
                <w:highlight w:val="none"/>
              </w:rPr>
            </w:pPr>
            <w:r>
              <w:rPr>
                <w:rFonts w:hint="eastAsia" w:eastAsia="宋体"/>
                <w:sz w:val="21"/>
                <w:highlight w:val="none"/>
              </w:rPr>
              <w:t>1</w:t>
            </w:r>
            <w:r>
              <w:rPr>
                <w:rFonts w:eastAsia="宋体"/>
                <w:sz w:val="21"/>
                <w:highlight w:val="none"/>
              </w:rPr>
              <w:t>0</w:t>
            </w:r>
            <w:r>
              <w:rPr>
                <w:rFonts w:hint="eastAsia" w:eastAsia="宋体"/>
                <w:sz w:val="21"/>
                <w:highlight w:val="none"/>
              </w:rPr>
              <w:t>.</w:t>
            </w:r>
            <w:r>
              <w:rPr>
                <w:rFonts w:eastAsia="宋体"/>
                <w:sz w:val="21"/>
                <w:highlight w:val="none"/>
              </w:rPr>
              <w:t>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84DEBA">
            <w:pPr>
              <w:spacing w:line="276" w:lineRule="auto"/>
              <w:jc w:val="center"/>
              <w:rPr>
                <w:rFonts w:ascii="宋体" w:hAnsi="宋体"/>
                <w:sz w:val="21"/>
                <w:szCs w:val="21"/>
                <w:highlight w:val="none"/>
                <w:u w:val="single"/>
              </w:rPr>
            </w:pPr>
            <w:r>
              <w:rPr>
                <w:rFonts w:hint="eastAsia" w:ascii="宋体" w:hAnsi="宋体"/>
                <w:sz w:val="21"/>
                <w:szCs w:val="21"/>
                <w:highlight w:val="none"/>
                <w:u w:val="single"/>
              </w:rPr>
              <w:t>监理机构人员最低配备要求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16A199">
            <w:pPr>
              <w:spacing w:line="360" w:lineRule="auto"/>
              <w:rPr>
                <w:rFonts w:ascii="宋体" w:hAnsi="宋体" w:cs="宋体"/>
                <w:sz w:val="21"/>
                <w:szCs w:val="21"/>
                <w:highlight w:val="none"/>
              </w:rPr>
            </w:pPr>
            <w:r>
              <w:rPr>
                <w:rFonts w:hint="eastAsia" w:ascii="宋体" w:hAnsi="宋体"/>
                <w:sz w:val="21"/>
                <w:szCs w:val="21"/>
                <w:highlight w:val="none"/>
              </w:rPr>
              <w:t>监理机构人员最低配备要求：</w:t>
            </w:r>
            <w:r>
              <w:rPr>
                <w:rFonts w:hint="eastAsia" w:ascii="宋体" w:hAnsi="宋体"/>
                <w:sz w:val="21"/>
                <w:szCs w:val="21"/>
                <w:highlight w:val="none"/>
                <w:u w:val="single"/>
              </w:rPr>
              <w:t>详见本须知后附表。</w:t>
            </w:r>
          </w:p>
        </w:tc>
      </w:tr>
      <w:tr w14:paraId="079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63A67">
            <w:pPr>
              <w:pStyle w:val="22"/>
              <w:kinsoku w:val="0"/>
              <w:overflowPunct w:val="0"/>
              <w:jc w:val="center"/>
              <w:rPr>
                <w:rFonts w:eastAsia="Times New Roman"/>
                <w:sz w:val="21"/>
                <w:highlight w:val="none"/>
              </w:rPr>
            </w:pPr>
            <w:r>
              <w:rPr>
                <w:rFonts w:hint="eastAsia" w:eastAsia="宋体"/>
                <w:sz w:val="21"/>
                <w:highlight w:val="none"/>
              </w:rPr>
              <w:t>1</w:t>
            </w:r>
            <w:r>
              <w:rPr>
                <w:rFonts w:eastAsia="宋体"/>
                <w:sz w:val="21"/>
                <w:highlight w:val="none"/>
              </w:rPr>
              <w:t>0</w:t>
            </w:r>
            <w:r>
              <w:rPr>
                <w:rFonts w:hint="eastAsia" w:eastAsia="宋体"/>
                <w:sz w:val="21"/>
                <w:highlight w:val="none"/>
              </w:rPr>
              <w:t>.</w:t>
            </w:r>
            <w:r>
              <w:rPr>
                <w:rFonts w:eastAsia="宋体"/>
                <w:sz w:val="21"/>
                <w:highlight w:val="none"/>
              </w:rPr>
              <w:t>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A49CE">
            <w:pPr>
              <w:spacing w:line="276" w:lineRule="auto"/>
              <w:jc w:val="center"/>
              <w:rPr>
                <w:rFonts w:ascii="宋体" w:hAnsi="宋体"/>
                <w:sz w:val="21"/>
                <w:szCs w:val="21"/>
                <w:highlight w:val="none"/>
                <w:u w:val="single"/>
              </w:rPr>
            </w:pPr>
            <w:r>
              <w:rPr>
                <w:rFonts w:hint="eastAsia" w:ascii="宋体" w:hAnsi="宋体"/>
                <w:sz w:val="21"/>
                <w:szCs w:val="21"/>
                <w:highlight w:val="none"/>
                <w:u w:val="single"/>
              </w:rPr>
              <w:t>中标候选人公示要求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548D4">
            <w:pPr>
              <w:spacing w:line="360" w:lineRule="auto"/>
              <w:rPr>
                <w:rFonts w:ascii="宋体" w:hAnsi="宋体"/>
                <w:sz w:val="21"/>
                <w:szCs w:val="21"/>
                <w:highlight w:val="none"/>
              </w:rPr>
            </w:pPr>
            <w:r>
              <w:rPr>
                <w:rFonts w:ascii="宋体" w:hAnsi="宋体"/>
                <w:sz w:val="21"/>
                <w:szCs w:val="21"/>
                <w:highlight w:val="none"/>
              </w:rPr>
              <w:t>在产生中标候选人后，招标人将中标候选人的投标文件商务部分的电子版（</w:t>
            </w:r>
            <w:r>
              <w:rPr>
                <w:rFonts w:hint="eastAsia" w:ascii="宋体" w:hAnsi="宋体"/>
                <w:sz w:val="21"/>
                <w:szCs w:val="21"/>
                <w:highlight w:val="none"/>
              </w:rPr>
              <w:t>报价清单、</w:t>
            </w:r>
            <w:r>
              <w:rPr>
                <w:rFonts w:ascii="宋体" w:hAnsi="宋体"/>
                <w:sz w:val="21"/>
                <w:szCs w:val="21"/>
                <w:highlight w:val="none"/>
              </w:rPr>
              <w:t>方案等涉及商业秘密的内容除外）在广州交易集团有限公司（广州公共资源交易中心）网站公开。</w:t>
            </w:r>
          </w:p>
        </w:tc>
      </w:tr>
      <w:tr w14:paraId="6352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2C47F">
            <w:pPr>
              <w:pStyle w:val="22"/>
              <w:kinsoku w:val="0"/>
              <w:overflowPunct w:val="0"/>
              <w:jc w:val="center"/>
              <w:rPr>
                <w:rFonts w:eastAsia="Times New Roman"/>
                <w:sz w:val="21"/>
                <w:highlight w:val="none"/>
              </w:rPr>
            </w:pPr>
            <w:r>
              <w:rPr>
                <w:rFonts w:hint="eastAsia" w:eastAsia="宋体"/>
                <w:sz w:val="21"/>
                <w:highlight w:val="none"/>
              </w:rPr>
              <w:t>1</w:t>
            </w:r>
            <w:r>
              <w:rPr>
                <w:rFonts w:eastAsia="宋体"/>
                <w:sz w:val="21"/>
                <w:highlight w:val="none"/>
              </w:rPr>
              <w:t>0</w:t>
            </w:r>
            <w:r>
              <w:rPr>
                <w:rFonts w:hint="eastAsia" w:eastAsia="宋体"/>
                <w:sz w:val="21"/>
                <w:highlight w:val="none"/>
              </w:rPr>
              <w:t>.</w:t>
            </w:r>
            <w:r>
              <w:rPr>
                <w:rFonts w:eastAsia="宋体"/>
                <w:sz w:val="21"/>
                <w:highlight w:val="none"/>
              </w:rPr>
              <w:t>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13060">
            <w:pPr>
              <w:spacing w:line="276" w:lineRule="auto"/>
              <w:jc w:val="center"/>
              <w:rPr>
                <w:rFonts w:ascii="宋体" w:hAnsi="宋体" w:cs="宋体"/>
                <w:sz w:val="21"/>
                <w:szCs w:val="21"/>
                <w:highlight w:val="none"/>
                <w:u w:val="single"/>
              </w:rPr>
            </w:pPr>
            <w:r>
              <w:rPr>
                <w:rFonts w:hint="eastAsia" w:ascii="宋体" w:hAnsi="宋体" w:cs="宋体"/>
                <w:sz w:val="21"/>
                <w:szCs w:val="21"/>
                <w:highlight w:val="none"/>
                <w:u w:val="single"/>
              </w:rPr>
              <w:t>其他</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9EEC3">
            <w:pPr>
              <w:spacing w:line="360" w:lineRule="auto"/>
              <w:rPr>
                <w:rFonts w:ascii="宋体" w:hAnsi="宋体"/>
                <w:sz w:val="21"/>
                <w:szCs w:val="21"/>
                <w:highlight w:val="none"/>
              </w:rPr>
            </w:pPr>
            <w:r>
              <w:rPr>
                <w:rFonts w:hint="eastAsia" w:ascii="宋体" w:hAnsi="宋体"/>
                <w:sz w:val="21"/>
                <w:szCs w:val="21"/>
                <w:highlight w:val="none"/>
              </w:rPr>
              <w:t>排名第一的中标候选人放弃中标、或因不可抗力提出不能履行合同，或者招标文件规定应当提交履约保证金而在规定时间内未能提交的，招标人可以确定排名第二的中标候选人为中标人。</w:t>
            </w:r>
          </w:p>
          <w:p w14:paraId="21D7BAD6">
            <w:pPr>
              <w:spacing w:line="360" w:lineRule="auto"/>
              <w:rPr>
                <w:rFonts w:ascii="宋体" w:hAnsi="宋体"/>
                <w:sz w:val="21"/>
                <w:szCs w:val="21"/>
                <w:highlight w:val="none"/>
              </w:rPr>
            </w:pPr>
            <w:r>
              <w:rPr>
                <w:rFonts w:hint="eastAsia" w:ascii="宋体" w:hAnsi="宋体"/>
                <w:sz w:val="21"/>
                <w:szCs w:val="21"/>
                <w:highlight w:val="none"/>
              </w:rPr>
              <w:t>中标后，中标人须提供与电子投标文件一致的纸质版投标文件（一正二副，含电子版文件光盘）。</w:t>
            </w:r>
          </w:p>
        </w:tc>
      </w:tr>
    </w:tbl>
    <w:p w14:paraId="2465435B">
      <w:pPr>
        <w:rPr>
          <w:highlight w:val="none"/>
        </w:rPr>
      </w:pPr>
    </w:p>
    <w:p w14:paraId="6C789870">
      <w:pPr>
        <w:pStyle w:val="6"/>
        <w:rPr>
          <w:szCs w:val="24"/>
          <w:highlight w:val="none"/>
        </w:rPr>
      </w:pPr>
    </w:p>
    <w:p w14:paraId="4C89D139">
      <w:pPr>
        <w:pStyle w:val="6"/>
        <w:rPr>
          <w:szCs w:val="24"/>
          <w:highlight w:val="none"/>
        </w:rPr>
      </w:pPr>
    </w:p>
    <w:p w14:paraId="43B4E13E">
      <w:pPr>
        <w:pStyle w:val="6"/>
        <w:rPr>
          <w:szCs w:val="24"/>
          <w:highlight w:val="none"/>
        </w:rPr>
      </w:pPr>
    </w:p>
    <w:p w14:paraId="7A76F710">
      <w:pPr>
        <w:rPr>
          <w:rFonts w:hint="eastAsia" w:ascii="宋体" w:hAnsi="宋体"/>
          <w:b/>
          <w:sz w:val="21"/>
          <w:szCs w:val="21"/>
          <w:highlight w:val="none"/>
        </w:rPr>
      </w:pPr>
      <w:r>
        <w:rPr>
          <w:rFonts w:hint="eastAsia" w:ascii="宋体" w:hAnsi="宋体"/>
          <w:b/>
          <w:sz w:val="21"/>
          <w:szCs w:val="21"/>
          <w:highlight w:val="none"/>
        </w:rPr>
        <w:br w:type="page"/>
      </w:r>
    </w:p>
    <w:p w14:paraId="7F0DEBB8">
      <w:pPr>
        <w:tabs>
          <w:tab w:val="left" w:pos="105"/>
        </w:tabs>
        <w:spacing w:line="360" w:lineRule="auto"/>
        <w:rPr>
          <w:rFonts w:ascii="宋体" w:hAnsi="宋体"/>
          <w:b/>
          <w:sz w:val="21"/>
          <w:szCs w:val="21"/>
          <w:highlight w:val="none"/>
        </w:rPr>
      </w:pPr>
      <w:r>
        <w:rPr>
          <w:rFonts w:hint="eastAsia" w:ascii="宋体" w:hAnsi="宋体"/>
          <w:b/>
          <w:sz w:val="21"/>
          <w:szCs w:val="21"/>
          <w:highlight w:val="none"/>
        </w:rPr>
        <w:t>附件1：监理机构人员最低配备要求：</w:t>
      </w:r>
    </w:p>
    <w:p w14:paraId="5D693DD6">
      <w:pPr>
        <w:tabs>
          <w:tab w:val="left" w:pos="105"/>
        </w:tabs>
        <w:spacing w:line="360" w:lineRule="auto"/>
        <w:jc w:val="center"/>
        <w:rPr>
          <w:rFonts w:ascii="宋体" w:hAnsi="宋体" w:cs="宋体"/>
          <w:b/>
          <w:szCs w:val="21"/>
          <w:highlight w:val="none"/>
        </w:rPr>
      </w:pPr>
      <w:r>
        <w:rPr>
          <w:rFonts w:hint="eastAsia" w:ascii="宋体" w:hAnsi="宋体" w:cs="宋体"/>
          <w:b/>
          <w:szCs w:val="21"/>
          <w:highlight w:val="none"/>
        </w:rPr>
        <w:t>监理机构人员配备要求表</w:t>
      </w:r>
    </w:p>
    <w:tbl>
      <w:tblPr>
        <w:tblStyle w:val="18"/>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83"/>
        <w:gridCol w:w="859"/>
        <w:gridCol w:w="3054"/>
        <w:gridCol w:w="2300"/>
      </w:tblGrid>
      <w:tr w14:paraId="7292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0A84178">
            <w:pPr>
              <w:snapToGrid w:val="0"/>
              <w:spacing w:line="360" w:lineRule="auto"/>
              <w:jc w:val="center"/>
              <w:rPr>
                <w:rFonts w:ascii="宋体" w:hAnsi="宋体"/>
                <w:b/>
                <w:sz w:val="21"/>
                <w:szCs w:val="21"/>
                <w:highlight w:val="none"/>
              </w:rPr>
            </w:pPr>
            <w:r>
              <w:rPr>
                <w:rFonts w:hint="eastAsia" w:ascii="宋体" w:hAnsi="宋体"/>
                <w:b/>
                <w:sz w:val="21"/>
                <w:szCs w:val="21"/>
                <w:highlight w:val="none"/>
              </w:rPr>
              <w:t>序号</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6394431">
            <w:pPr>
              <w:snapToGrid w:val="0"/>
              <w:spacing w:line="360" w:lineRule="auto"/>
              <w:jc w:val="center"/>
              <w:rPr>
                <w:rFonts w:ascii="宋体" w:hAnsi="宋体"/>
                <w:b/>
                <w:sz w:val="21"/>
                <w:szCs w:val="21"/>
                <w:highlight w:val="none"/>
              </w:rPr>
            </w:pPr>
            <w:r>
              <w:rPr>
                <w:rFonts w:hint="eastAsia" w:ascii="宋体" w:hAnsi="宋体"/>
                <w:b/>
                <w:sz w:val="21"/>
                <w:szCs w:val="21"/>
                <w:highlight w:val="none"/>
              </w:rPr>
              <w:t>岗位</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06365FF1">
            <w:pPr>
              <w:snapToGrid w:val="0"/>
              <w:spacing w:line="360" w:lineRule="auto"/>
              <w:jc w:val="center"/>
              <w:rPr>
                <w:rFonts w:ascii="宋体" w:hAnsi="宋体"/>
                <w:b/>
                <w:sz w:val="21"/>
                <w:szCs w:val="21"/>
                <w:highlight w:val="none"/>
              </w:rPr>
            </w:pPr>
            <w:r>
              <w:rPr>
                <w:rFonts w:hint="eastAsia" w:ascii="宋体" w:hAnsi="宋体"/>
                <w:b/>
                <w:sz w:val="21"/>
                <w:szCs w:val="21"/>
                <w:highlight w:val="none"/>
              </w:rPr>
              <w:t>最低要求数量</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D7BBC1A">
            <w:pPr>
              <w:snapToGrid w:val="0"/>
              <w:spacing w:line="360" w:lineRule="auto"/>
              <w:jc w:val="center"/>
              <w:rPr>
                <w:rFonts w:ascii="宋体" w:hAnsi="宋体"/>
                <w:b/>
                <w:sz w:val="21"/>
                <w:szCs w:val="21"/>
                <w:highlight w:val="none"/>
              </w:rPr>
            </w:pPr>
            <w:r>
              <w:rPr>
                <w:rFonts w:hint="eastAsia" w:ascii="宋体" w:hAnsi="宋体"/>
                <w:b/>
                <w:sz w:val="21"/>
                <w:szCs w:val="21"/>
                <w:highlight w:val="none"/>
              </w:rPr>
              <w:t>基本要求</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541E6B8E">
            <w:pPr>
              <w:snapToGrid w:val="0"/>
              <w:spacing w:line="360" w:lineRule="auto"/>
              <w:jc w:val="center"/>
              <w:rPr>
                <w:rFonts w:ascii="宋体" w:hAnsi="宋体"/>
                <w:b/>
                <w:sz w:val="21"/>
                <w:szCs w:val="21"/>
                <w:highlight w:val="none"/>
              </w:rPr>
            </w:pPr>
            <w:r>
              <w:rPr>
                <w:rFonts w:hint="eastAsia" w:ascii="宋体" w:hAnsi="宋体"/>
                <w:b/>
                <w:sz w:val="21"/>
                <w:szCs w:val="21"/>
                <w:highlight w:val="none"/>
              </w:rPr>
              <w:t>备注（应提供如下证明材料等）</w:t>
            </w:r>
          </w:p>
        </w:tc>
      </w:tr>
      <w:tr w14:paraId="23DD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9DE8622">
            <w:pPr>
              <w:snapToGrid w:val="0"/>
              <w:spacing w:line="360" w:lineRule="auto"/>
              <w:jc w:val="center"/>
              <w:rPr>
                <w:rFonts w:ascii="宋体" w:hAnsi="宋体"/>
                <w:sz w:val="21"/>
                <w:szCs w:val="21"/>
                <w:highlight w:val="none"/>
              </w:rPr>
            </w:pPr>
            <w:r>
              <w:rPr>
                <w:rFonts w:hint="eastAsia" w:ascii="宋体" w:hAnsi="宋体"/>
                <w:sz w:val="21"/>
                <w:szCs w:val="21"/>
                <w:highlight w:val="none"/>
              </w:rPr>
              <w:t>1</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864C634">
            <w:pPr>
              <w:snapToGrid w:val="0"/>
              <w:spacing w:line="360" w:lineRule="auto"/>
              <w:jc w:val="center"/>
              <w:rPr>
                <w:rFonts w:ascii="宋体" w:hAnsi="宋体"/>
                <w:sz w:val="21"/>
                <w:szCs w:val="21"/>
                <w:highlight w:val="none"/>
              </w:rPr>
            </w:pPr>
            <w:r>
              <w:rPr>
                <w:rFonts w:hint="eastAsia" w:ascii="宋体" w:hAnsi="宋体"/>
                <w:sz w:val="21"/>
                <w:szCs w:val="21"/>
                <w:highlight w:val="none"/>
              </w:rPr>
              <w:t>总监理工程师</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35FB1F63">
            <w:pPr>
              <w:snapToGrid w:val="0"/>
              <w:spacing w:line="360" w:lineRule="auto"/>
              <w:jc w:val="center"/>
              <w:rPr>
                <w:rFonts w:ascii="宋体" w:hAnsi="宋体"/>
                <w:sz w:val="21"/>
                <w:szCs w:val="21"/>
                <w:highlight w:val="none"/>
              </w:rPr>
            </w:pPr>
            <w:r>
              <w:rPr>
                <w:rFonts w:ascii="宋体" w:hAnsi="宋体"/>
                <w:sz w:val="21"/>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22698508">
            <w:pPr>
              <w:snapToGrid w:val="0"/>
              <w:spacing w:line="360" w:lineRule="auto"/>
              <w:rPr>
                <w:sz w:val="21"/>
                <w:szCs w:val="21"/>
                <w:highlight w:val="none"/>
              </w:rPr>
            </w:pPr>
            <w:r>
              <w:rPr>
                <w:rFonts w:hint="eastAsia" w:ascii="宋体" w:hAnsi="宋体"/>
                <w:sz w:val="21"/>
                <w:szCs w:val="21"/>
                <w:highlight w:val="none"/>
              </w:rPr>
              <w:t>资格要求与招标公告要求一致；</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1BC73D22">
            <w:pPr>
              <w:snapToGrid w:val="0"/>
              <w:spacing w:line="360" w:lineRule="auto"/>
              <w:jc w:val="both"/>
              <w:rPr>
                <w:rFonts w:ascii="宋体" w:hAnsi="宋体"/>
                <w:sz w:val="21"/>
                <w:szCs w:val="21"/>
                <w:highlight w:val="none"/>
              </w:rPr>
            </w:pPr>
            <w:r>
              <w:rPr>
                <w:rFonts w:hint="eastAsia" w:ascii="宋体" w:hAnsi="宋体"/>
                <w:sz w:val="21"/>
                <w:szCs w:val="21"/>
                <w:highlight w:val="none"/>
              </w:rPr>
              <w:t>监理工程师注册证书、职称证书扫描件</w:t>
            </w:r>
          </w:p>
        </w:tc>
      </w:tr>
      <w:tr w14:paraId="4F34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DB90A4A">
            <w:pPr>
              <w:snapToGrid w:val="0"/>
              <w:spacing w:line="360" w:lineRule="auto"/>
              <w:jc w:val="center"/>
              <w:rPr>
                <w:rFonts w:ascii="宋体" w:hAnsi="宋体"/>
                <w:sz w:val="21"/>
                <w:szCs w:val="21"/>
                <w:highlight w:val="none"/>
              </w:rPr>
            </w:pPr>
            <w:r>
              <w:rPr>
                <w:rFonts w:hint="eastAsia" w:ascii="宋体" w:hAnsi="宋体"/>
                <w:sz w:val="21"/>
                <w:szCs w:val="21"/>
                <w:highlight w:val="none"/>
              </w:rPr>
              <w:t>2</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18F2741">
            <w:pPr>
              <w:snapToGrid w:val="0"/>
              <w:spacing w:line="360" w:lineRule="auto"/>
              <w:jc w:val="center"/>
              <w:rPr>
                <w:rFonts w:ascii="宋体" w:hAnsi="宋体"/>
                <w:kern w:val="2"/>
                <w:sz w:val="21"/>
                <w:szCs w:val="21"/>
                <w:highlight w:val="none"/>
              </w:rPr>
            </w:pPr>
            <w:r>
              <w:rPr>
                <w:rFonts w:hint="eastAsia" w:ascii="宋体" w:hAnsi="宋体"/>
                <w:sz w:val="21"/>
                <w:szCs w:val="21"/>
                <w:highlight w:val="none"/>
              </w:rPr>
              <w:t>监理工程师</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621D7927">
            <w:pPr>
              <w:snapToGrid w:val="0"/>
              <w:spacing w:line="360" w:lineRule="auto"/>
              <w:jc w:val="center"/>
              <w:rPr>
                <w:rFonts w:ascii="宋体" w:hAnsi="宋体"/>
                <w:kern w:val="2"/>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6AA79DE0">
            <w:pPr>
              <w:snapToGrid w:val="0"/>
              <w:spacing w:line="360" w:lineRule="auto"/>
              <w:rPr>
                <w:rFonts w:ascii="Calibri" w:hAnsi="Calibri"/>
                <w:kern w:val="2"/>
                <w:sz w:val="21"/>
                <w:szCs w:val="21"/>
                <w:highlight w:val="none"/>
              </w:rPr>
            </w:pPr>
            <w:r>
              <w:rPr>
                <w:rFonts w:hint="eastAsia" w:ascii="宋体" w:hAnsi="宋体"/>
                <w:spacing w:val="-3"/>
                <w:sz w:val="21"/>
                <w:szCs w:val="21"/>
                <w:highlight w:val="none"/>
              </w:rPr>
              <w:t>具备</w:t>
            </w:r>
            <w:r>
              <w:rPr>
                <w:rFonts w:hint="eastAsia" w:ascii="宋体" w:hAnsi="宋体"/>
                <w:spacing w:val="-3"/>
                <w:sz w:val="21"/>
                <w:szCs w:val="21"/>
                <w:highlight w:val="none"/>
                <w:lang w:val="zh-CN"/>
              </w:rPr>
              <w:t>水利部颁发的监理工程师注册证书（</w:t>
            </w:r>
            <w:r>
              <w:rPr>
                <w:rFonts w:hint="eastAsia" w:ascii="宋体" w:hAnsi="宋体" w:cs="宋体"/>
                <w:sz w:val="21"/>
                <w:szCs w:val="21"/>
                <w:highlight w:val="none"/>
              </w:rPr>
              <w:t>专业：水利工程施工监理（</w:t>
            </w:r>
            <w:r>
              <w:rPr>
                <w:rFonts w:hint="eastAsia" w:ascii="宋体" w:hAnsi="宋体" w:cs="宋体"/>
                <w:sz w:val="21"/>
                <w:szCs w:val="21"/>
                <w:highlight w:val="none"/>
                <w:lang w:val="en-US" w:eastAsia="zh-CN"/>
              </w:rPr>
              <w:t>2</w:t>
            </w:r>
            <w:r>
              <w:rPr>
                <w:rFonts w:hint="eastAsia" w:ascii="宋体" w:hAnsi="宋体" w:cs="宋体"/>
                <w:sz w:val="21"/>
                <w:szCs w:val="21"/>
                <w:highlight w:val="none"/>
              </w:rPr>
              <w:t>人）</w:t>
            </w:r>
            <w:r>
              <w:rPr>
                <w:rFonts w:hint="eastAsia" w:ascii="宋体" w:hAnsi="宋体" w:cs="宋体"/>
                <w:sz w:val="21"/>
                <w:szCs w:val="21"/>
                <w:highlight w:val="none"/>
                <w:lang w:eastAsia="zh-CN"/>
              </w:rPr>
              <w:t>，</w:t>
            </w:r>
            <w:r>
              <w:rPr>
                <w:rFonts w:hint="eastAsia" w:ascii="宋体" w:hAnsi="宋体" w:cs="宋体"/>
                <w:sz w:val="21"/>
                <w:szCs w:val="21"/>
                <w:highlight w:val="none"/>
              </w:rPr>
              <w:t>专业：水土保持工程施工监理（</w:t>
            </w:r>
            <w:r>
              <w:rPr>
                <w:rFonts w:hint="eastAsia" w:ascii="宋体" w:hAnsi="宋体" w:cs="宋体"/>
                <w:sz w:val="21"/>
                <w:szCs w:val="21"/>
                <w:highlight w:val="none"/>
                <w:lang w:val="en-US" w:eastAsia="zh-CN"/>
              </w:rPr>
              <w:t>1</w:t>
            </w:r>
            <w:r>
              <w:rPr>
                <w:rFonts w:hint="eastAsia" w:ascii="宋体" w:hAnsi="宋体" w:cs="宋体"/>
                <w:sz w:val="21"/>
                <w:szCs w:val="21"/>
                <w:highlight w:val="none"/>
              </w:rPr>
              <w:t>人）</w:t>
            </w:r>
            <w:r>
              <w:rPr>
                <w:rFonts w:hint="eastAsia" w:ascii="宋体" w:hAnsi="宋体" w:cs="宋体"/>
                <w:sz w:val="21"/>
                <w:szCs w:val="21"/>
                <w:highlight w:val="none"/>
                <w:lang w:eastAsia="zh-CN"/>
              </w:rPr>
              <w:t>，</w:t>
            </w:r>
            <w:r>
              <w:rPr>
                <w:rFonts w:hint="eastAsia" w:ascii="宋体" w:hAnsi="宋体" w:cs="宋体"/>
                <w:sz w:val="21"/>
                <w:szCs w:val="21"/>
                <w:highlight w:val="none"/>
              </w:rPr>
              <w:t>专业：水利工程建设环境保护监理（</w:t>
            </w:r>
            <w:r>
              <w:rPr>
                <w:rFonts w:hint="eastAsia" w:ascii="宋体" w:hAnsi="宋体" w:cs="宋体"/>
                <w:sz w:val="21"/>
                <w:szCs w:val="21"/>
                <w:highlight w:val="none"/>
                <w:lang w:val="en-US" w:eastAsia="zh-CN"/>
              </w:rPr>
              <w:t>1</w:t>
            </w:r>
            <w:r>
              <w:rPr>
                <w:rFonts w:hint="eastAsia" w:ascii="宋体" w:hAnsi="宋体" w:cs="宋体"/>
                <w:sz w:val="21"/>
                <w:szCs w:val="21"/>
                <w:highlight w:val="none"/>
              </w:rPr>
              <w:t>人））</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36300BE1">
            <w:pPr>
              <w:spacing w:line="360" w:lineRule="auto"/>
              <w:jc w:val="both"/>
              <w:rPr>
                <w:rFonts w:ascii="宋体" w:hAnsi="宋体"/>
                <w:kern w:val="2"/>
                <w:sz w:val="21"/>
                <w:szCs w:val="21"/>
                <w:highlight w:val="none"/>
              </w:rPr>
            </w:pPr>
            <w:r>
              <w:rPr>
                <w:rFonts w:hint="eastAsia" w:ascii="宋体" w:hAnsi="宋体"/>
                <w:sz w:val="21"/>
                <w:szCs w:val="21"/>
                <w:highlight w:val="none"/>
              </w:rPr>
              <w:t>水利部颁发的监理工程师注册证书扫描件</w:t>
            </w:r>
          </w:p>
        </w:tc>
      </w:tr>
      <w:tr w14:paraId="5682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5B482BC">
            <w:pPr>
              <w:snapToGrid w:val="0"/>
              <w:spacing w:line="360" w:lineRule="auto"/>
              <w:jc w:val="center"/>
              <w:rPr>
                <w:rFonts w:ascii="宋体" w:hAnsi="宋体"/>
                <w:sz w:val="21"/>
                <w:szCs w:val="21"/>
                <w:highlight w:val="none"/>
              </w:rPr>
            </w:pPr>
            <w:r>
              <w:rPr>
                <w:rFonts w:hint="eastAsia" w:ascii="宋体" w:hAnsi="宋体"/>
                <w:sz w:val="21"/>
                <w:szCs w:val="21"/>
                <w:highlight w:val="none"/>
              </w:rPr>
              <w:t>3</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8F73581">
            <w:pPr>
              <w:snapToGrid w:val="0"/>
              <w:spacing w:line="360" w:lineRule="auto"/>
              <w:jc w:val="center"/>
              <w:rPr>
                <w:rFonts w:ascii="宋体" w:hAnsi="宋体"/>
                <w:sz w:val="21"/>
                <w:szCs w:val="21"/>
                <w:highlight w:val="none"/>
              </w:rPr>
            </w:pPr>
            <w:r>
              <w:rPr>
                <w:rFonts w:hint="eastAsia" w:ascii="宋体" w:hAnsi="宋体"/>
                <w:kern w:val="44"/>
                <w:sz w:val="21"/>
                <w:szCs w:val="21"/>
                <w:highlight w:val="none"/>
              </w:rPr>
              <w:t>造价工程师</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7EB15865">
            <w:pPr>
              <w:snapToGrid w:val="0"/>
              <w:spacing w:line="360" w:lineRule="auto"/>
              <w:jc w:val="center"/>
              <w:rPr>
                <w:rFonts w:ascii="宋体" w:hAnsi="宋体"/>
                <w:sz w:val="21"/>
                <w:szCs w:val="21"/>
                <w:highlight w:val="none"/>
              </w:rPr>
            </w:pPr>
            <w:r>
              <w:rPr>
                <w:rFonts w:hint="eastAsia" w:ascii="宋体" w:hAnsi="宋体"/>
                <w:kern w:val="44"/>
                <w:sz w:val="21"/>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588F3146">
            <w:pPr>
              <w:snapToGrid w:val="0"/>
              <w:spacing w:line="360" w:lineRule="auto"/>
              <w:rPr>
                <w:rFonts w:ascii="宋体" w:hAnsi="宋体"/>
                <w:kern w:val="44"/>
                <w:sz w:val="21"/>
                <w:szCs w:val="21"/>
                <w:highlight w:val="none"/>
              </w:rPr>
            </w:pPr>
            <w:r>
              <w:rPr>
                <w:rFonts w:hint="eastAsia" w:ascii="宋体" w:hAnsi="宋体"/>
                <w:kern w:val="44"/>
                <w:sz w:val="21"/>
                <w:szCs w:val="21"/>
                <w:highlight w:val="none"/>
              </w:rPr>
              <w:t>具备水利部核发的注册造价工程师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DB42BF5">
            <w:pPr>
              <w:spacing w:line="360" w:lineRule="auto"/>
              <w:jc w:val="both"/>
              <w:rPr>
                <w:rFonts w:ascii="宋体" w:hAnsi="宋体"/>
                <w:sz w:val="21"/>
                <w:szCs w:val="21"/>
                <w:highlight w:val="none"/>
              </w:rPr>
            </w:pPr>
            <w:r>
              <w:rPr>
                <w:rFonts w:hint="eastAsia" w:ascii="宋体" w:hAnsi="宋体"/>
                <w:sz w:val="21"/>
                <w:szCs w:val="21"/>
                <w:highlight w:val="none"/>
              </w:rPr>
              <w:t>水利部颁发的注册造价工程师扫描件</w:t>
            </w:r>
          </w:p>
        </w:tc>
      </w:tr>
      <w:tr w14:paraId="31AC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75EBE04">
            <w:pPr>
              <w:snapToGrid w:val="0"/>
              <w:spacing w:line="360" w:lineRule="auto"/>
              <w:jc w:val="center"/>
              <w:rPr>
                <w:rFonts w:ascii="宋体" w:hAnsi="宋体"/>
                <w:sz w:val="21"/>
                <w:szCs w:val="21"/>
                <w:highlight w:val="none"/>
              </w:rPr>
            </w:pPr>
            <w:r>
              <w:rPr>
                <w:rFonts w:hint="eastAsia" w:ascii="宋体" w:hAnsi="宋体"/>
                <w:sz w:val="21"/>
                <w:szCs w:val="21"/>
                <w:highlight w:val="none"/>
              </w:rPr>
              <w:t>4</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1EEF899F">
            <w:pPr>
              <w:snapToGrid w:val="0"/>
              <w:spacing w:line="360" w:lineRule="auto"/>
              <w:jc w:val="center"/>
              <w:rPr>
                <w:rFonts w:ascii="宋体" w:hAnsi="宋体"/>
                <w:kern w:val="44"/>
                <w:sz w:val="21"/>
                <w:szCs w:val="21"/>
                <w:highlight w:val="none"/>
              </w:rPr>
            </w:pPr>
            <w:r>
              <w:rPr>
                <w:rFonts w:hint="eastAsia" w:ascii="宋体" w:hAnsi="宋体"/>
                <w:kern w:val="44"/>
                <w:sz w:val="21"/>
                <w:szCs w:val="21"/>
                <w:highlight w:val="none"/>
              </w:rPr>
              <w:t>安全员</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34B8DCF4">
            <w:pPr>
              <w:snapToGrid w:val="0"/>
              <w:spacing w:line="360" w:lineRule="auto"/>
              <w:jc w:val="center"/>
              <w:rPr>
                <w:rFonts w:ascii="宋体" w:hAnsi="宋体"/>
                <w:kern w:val="44"/>
                <w:sz w:val="21"/>
                <w:szCs w:val="21"/>
                <w:highlight w:val="none"/>
              </w:rPr>
            </w:pPr>
            <w:r>
              <w:rPr>
                <w:rFonts w:hint="eastAsia" w:ascii="宋体" w:hAnsi="宋体"/>
                <w:kern w:val="44"/>
                <w:sz w:val="21"/>
                <w:szCs w:val="21"/>
                <w:highlight w:val="none"/>
              </w:rPr>
              <w:t>1名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4361BB01">
            <w:pPr>
              <w:snapToGrid w:val="0"/>
              <w:spacing w:line="360" w:lineRule="auto"/>
              <w:rPr>
                <w:rFonts w:ascii="宋体" w:hAnsi="宋体"/>
                <w:kern w:val="44"/>
                <w:sz w:val="21"/>
                <w:szCs w:val="21"/>
                <w:highlight w:val="none"/>
              </w:rPr>
            </w:pPr>
            <w:r>
              <w:rPr>
                <w:rFonts w:hint="eastAsia" w:ascii="宋体" w:hAnsi="宋体"/>
                <w:kern w:val="44"/>
                <w:sz w:val="21"/>
                <w:szCs w:val="21"/>
                <w:highlight w:val="none"/>
              </w:rPr>
              <w:t>具备安全员证或注册安全工程师</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B9484C2">
            <w:pPr>
              <w:spacing w:line="360" w:lineRule="auto"/>
              <w:jc w:val="both"/>
              <w:rPr>
                <w:rFonts w:ascii="宋体" w:hAnsi="宋体"/>
                <w:sz w:val="21"/>
                <w:szCs w:val="21"/>
                <w:highlight w:val="none"/>
              </w:rPr>
            </w:pPr>
            <w:r>
              <w:rPr>
                <w:rFonts w:hint="eastAsia" w:ascii="宋体" w:hAnsi="宋体"/>
                <w:sz w:val="21"/>
                <w:szCs w:val="21"/>
                <w:highlight w:val="none"/>
              </w:rPr>
              <w:t>上岗证或培训证或注册安全工程师证书扫描件</w:t>
            </w:r>
          </w:p>
        </w:tc>
      </w:tr>
      <w:tr w14:paraId="291A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1A0E27F">
            <w:pPr>
              <w:snapToGrid w:val="0"/>
              <w:spacing w:line="360" w:lineRule="auto"/>
              <w:jc w:val="center"/>
              <w:rPr>
                <w:rFonts w:ascii="宋体" w:hAnsi="宋体"/>
                <w:sz w:val="21"/>
                <w:szCs w:val="21"/>
                <w:highlight w:val="none"/>
              </w:rPr>
            </w:pPr>
            <w:r>
              <w:rPr>
                <w:rFonts w:hint="eastAsia" w:ascii="宋体" w:hAnsi="宋体"/>
                <w:sz w:val="21"/>
                <w:szCs w:val="21"/>
                <w:highlight w:val="none"/>
              </w:rPr>
              <w:t>5</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2EA8C5F2">
            <w:pPr>
              <w:snapToGrid w:val="0"/>
              <w:spacing w:line="360" w:lineRule="auto"/>
              <w:jc w:val="center"/>
              <w:rPr>
                <w:rFonts w:ascii="宋体" w:hAnsi="宋体"/>
                <w:kern w:val="2"/>
                <w:sz w:val="21"/>
                <w:szCs w:val="21"/>
                <w:highlight w:val="none"/>
              </w:rPr>
            </w:pPr>
            <w:r>
              <w:rPr>
                <w:rFonts w:hint="eastAsia" w:ascii="宋体" w:hAnsi="宋体"/>
                <w:sz w:val="21"/>
                <w:szCs w:val="21"/>
                <w:highlight w:val="none"/>
              </w:rPr>
              <w:t>监理员</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61A3CFD7">
            <w:pPr>
              <w:snapToGrid w:val="0"/>
              <w:spacing w:line="360" w:lineRule="auto"/>
              <w:jc w:val="center"/>
              <w:rPr>
                <w:rFonts w:ascii="宋体" w:hAnsi="宋体"/>
                <w:kern w:val="2"/>
                <w:sz w:val="21"/>
                <w:szCs w:val="21"/>
                <w:highlight w:val="none"/>
              </w:rPr>
            </w:pPr>
            <w:r>
              <w:rPr>
                <w:rFonts w:hint="eastAsia" w:ascii="宋体" w:hAnsi="宋体"/>
                <w:sz w:val="21"/>
                <w:szCs w:val="21"/>
                <w:highlight w:val="none"/>
              </w:rPr>
              <w:t>2名</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398BD2AD">
            <w:pPr>
              <w:spacing w:line="360" w:lineRule="auto"/>
              <w:jc w:val="both"/>
              <w:rPr>
                <w:rFonts w:hint="eastAsia" w:ascii="宋体" w:hAnsi="Courier New" w:eastAsia="宋体"/>
                <w:sz w:val="21"/>
                <w:szCs w:val="21"/>
                <w:highlight w:val="none"/>
                <w:lang w:eastAsia="zh-CN"/>
              </w:rPr>
            </w:pPr>
            <w:r>
              <w:rPr>
                <w:rFonts w:hint="eastAsia" w:ascii="宋体" w:hAnsi="宋体" w:cs="宋体"/>
                <w:color w:val="000000"/>
                <w:sz w:val="21"/>
                <w:szCs w:val="21"/>
                <w:highlight w:val="none"/>
              </w:rPr>
              <w:t>具备监理员岗位证书</w:t>
            </w:r>
            <w:r>
              <w:rPr>
                <w:rFonts w:hint="eastAsia" w:ascii="宋体" w:hAnsi="宋体" w:cs="宋体"/>
                <w:sz w:val="21"/>
                <w:szCs w:val="21"/>
                <w:highlight w:val="none"/>
              </w:rPr>
              <w:t>或具备</w:t>
            </w:r>
            <w:r>
              <w:rPr>
                <w:rFonts w:hint="eastAsia" w:ascii="宋体" w:hAnsi="宋体" w:cs="宋体"/>
                <w:sz w:val="21"/>
                <w:szCs w:val="21"/>
                <w:highlight w:val="none"/>
                <w:lang w:val="zh-CN"/>
              </w:rPr>
              <w:t>水利部颁发的监理工程师注册证书（</w:t>
            </w:r>
            <w:r>
              <w:rPr>
                <w:rFonts w:hint="eastAsia" w:ascii="宋体" w:hAnsi="宋体" w:cs="宋体"/>
                <w:sz w:val="21"/>
                <w:szCs w:val="21"/>
                <w:highlight w:val="none"/>
              </w:rPr>
              <w:t>专业：水利工程施工监理</w:t>
            </w:r>
            <w:r>
              <w:rPr>
                <w:rFonts w:hint="eastAsia" w:ascii="宋体" w:hAnsi="宋体" w:cs="宋体"/>
                <w:sz w:val="21"/>
                <w:szCs w:val="21"/>
                <w:highlight w:val="none"/>
                <w:lang w:eastAsia="zh-CN"/>
              </w:rPr>
              <w:t>）</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7768C67E">
            <w:pPr>
              <w:snapToGrid w:val="0"/>
              <w:spacing w:line="360" w:lineRule="auto"/>
              <w:rPr>
                <w:rFonts w:ascii="宋体" w:hAnsi="宋体"/>
                <w:kern w:val="2"/>
                <w:sz w:val="21"/>
                <w:szCs w:val="21"/>
                <w:highlight w:val="none"/>
              </w:rPr>
            </w:pPr>
            <w:r>
              <w:rPr>
                <w:rFonts w:hint="eastAsia" w:ascii="宋体" w:hAnsi="宋体"/>
                <w:sz w:val="21"/>
                <w:szCs w:val="21"/>
                <w:highlight w:val="none"/>
              </w:rPr>
              <w:t>上岗证或培训证</w:t>
            </w:r>
            <w:r>
              <w:rPr>
                <w:rFonts w:hint="eastAsia" w:ascii="宋体" w:hAnsi="宋体"/>
                <w:sz w:val="21"/>
                <w:szCs w:val="21"/>
                <w:highlight w:val="none"/>
                <w:lang w:val="en-US" w:eastAsia="zh-CN"/>
              </w:rPr>
              <w:t>或</w:t>
            </w:r>
            <w:r>
              <w:rPr>
                <w:rFonts w:hint="eastAsia" w:ascii="宋体" w:hAnsi="宋体"/>
                <w:sz w:val="21"/>
                <w:szCs w:val="21"/>
                <w:highlight w:val="none"/>
              </w:rPr>
              <w:t>水利部颁发的监理工程师注册证书扫描件扫描件</w:t>
            </w:r>
          </w:p>
        </w:tc>
      </w:tr>
      <w:tr w14:paraId="0581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0D16852">
            <w:pPr>
              <w:snapToGrid w:val="0"/>
              <w:spacing w:line="360" w:lineRule="auto"/>
              <w:jc w:val="center"/>
              <w:rPr>
                <w:rFonts w:ascii="宋体" w:hAnsi="宋体"/>
                <w:sz w:val="21"/>
                <w:szCs w:val="21"/>
                <w:highlight w:val="none"/>
              </w:rPr>
            </w:pPr>
            <w:r>
              <w:rPr>
                <w:rFonts w:hint="eastAsia" w:ascii="宋体" w:hAnsi="宋体"/>
                <w:sz w:val="21"/>
                <w:szCs w:val="21"/>
                <w:highlight w:val="none"/>
              </w:rPr>
              <w:t>合计</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38CD9508">
            <w:pPr>
              <w:snapToGrid w:val="0"/>
              <w:spacing w:line="360" w:lineRule="auto"/>
              <w:jc w:val="center"/>
              <w:rPr>
                <w:rFonts w:ascii="宋体" w:hAnsi="宋体"/>
                <w:sz w:val="21"/>
                <w:szCs w:val="21"/>
                <w:highlight w:val="none"/>
              </w:rPr>
            </w:pPr>
          </w:p>
        </w:tc>
        <w:tc>
          <w:tcPr>
            <w:tcW w:w="859" w:type="dxa"/>
            <w:tcBorders>
              <w:top w:val="single" w:color="auto" w:sz="4" w:space="0"/>
              <w:left w:val="single" w:color="auto" w:sz="4" w:space="0"/>
              <w:bottom w:val="single" w:color="auto" w:sz="4" w:space="0"/>
              <w:right w:val="single" w:color="auto" w:sz="4" w:space="0"/>
            </w:tcBorders>
            <w:noWrap w:val="0"/>
            <w:vAlign w:val="center"/>
          </w:tcPr>
          <w:p w14:paraId="4526AF13">
            <w:pPr>
              <w:snapToGrid w:val="0"/>
              <w:spacing w:line="360" w:lineRule="auto"/>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9</w:t>
            </w:r>
          </w:p>
        </w:tc>
        <w:tc>
          <w:tcPr>
            <w:tcW w:w="3054" w:type="dxa"/>
            <w:tcBorders>
              <w:top w:val="single" w:color="auto" w:sz="4" w:space="0"/>
              <w:left w:val="single" w:color="auto" w:sz="4" w:space="0"/>
              <w:bottom w:val="single" w:color="auto" w:sz="4" w:space="0"/>
              <w:right w:val="single" w:color="auto" w:sz="4" w:space="0"/>
            </w:tcBorders>
            <w:noWrap w:val="0"/>
            <w:vAlign w:val="center"/>
          </w:tcPr>
          <w:p w14:paraId="1D3EA585">
            <w:pPr>
              <w:spacing w:line="360" w:lineRule="auto"/>
              <w:rPr>
                <w:sz w:val="21"/>
                <w:szCs w:val="21"/>
                <w:highlight w:val="none"/>
              </w:rPr>
            </w:pPr>
          </w:p>
          <w:p w14:paraId="0ADB0A69">
            <w:pPr>
              <w:spacing w:line="360" w:lineRule="auto"/>
              <w:rPr>
                <w:sz w:val="21"/>
                <w:szCs w:val="21"/>
                <w:highlight w:val="none"/>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E72DCB8">
            <w:pPr>
              <w:snapToGrid w:val="0"/>
              <w:spacing w:line="360" w:lineRule="auto"/>
              <w:jc w:val="both"/>
              <w:rPr>
                <w:rFonts w:ascii="宋体" w:hAnsi="宋体"/>
                <w:sz w:val="21"/>
                <w:szCs w:val="21"/>
                <w:highlight w:val="none"/>
              </w:rPr>
            </w:pPr>
          </w:p>
        </w:tc>
      </w:tr>
    </w:tbl>
    <w:p w14:paraId="4F105202">
      <w:pPr>
        <w:spacing w:line="360" w:lineRule="auto"/>
        <w:rPr>
          <w:rFonts w:ascii="宋体" w:hAnsi="宋体" w:cs="宋体"/>
          <w:bCs/>
          <w:sz w:val="21"/>
          <w:szCs w:val="21"/>
          <w:highlight w:val="none"/>
        </w:rPr>
      </w:pPr>
      <w:r>
        <w:rPr>
          <w:rFonts w:hint="eastAsia" w:ascii="宋体" w:hAnsi="宋体" w:cs="宋体"/>
          <w:b/>
          <w:sz w:val="21"/>
          <w:szCs w:val="21"/>
          <w:highlight w:val="none"/>
        </w:rPr>
        <w:t>备注：</w:t>
      </w:r>
      <w:r>
        <w:rPr>
          <w:rFonts w:hint="eastAsia" w:ascii="宋体" w:hAnsi="宋体" w:cs="宋体"/>
          <w:bCs/>
          <w:sz w:val="21"/>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水利监理工程师岗位。</w:t>
      </w:r>
    </w:p>
    <w:p w14:paraId="65BE15DB">
      <w:pPr>
        <w:spacing w:line="360" w:lineRule="auto"/>
        <w:rPr>
          <w:rFonts w:ascii="宋体" w:hAnsi="宋体" w:cs="宋体"/>
          <w:bCs/>
          <w:sz w:val="21"/>
          <w:szCs w:val="21"/>
          <w:highlight w:val="none"/>
        </w:rPr>
      </w:pPr>
      <w:r>
        <w:rPr>
          <w:rFonts w:hint="eastAsia" w:ascii="宋体" w:hAnsi="宋体" w:cs="宋体"/>
          <w:bCs/>
          <w:sz w:val="21"/>
          <w:szCs w:val="21"/>
          <w:highlight w:val="none"/>
        </w:rPr>
        <w:t>②总监理工程师及监理机构人员资格、认证证书及社保证明等方面内容必须提供相应的证明材料；所投入人员必须为投标人本单位人员，人员提供</w:t>
      </w:r>
      <w:r>
        <w:rPr>
          <w:rFonts w:hint="eastAsia" w:ascii="宋体" w:hAnsi="宋体" w:cs="宋体"/>
          <w:sz w:val="21"/>
          <w:szCs w:val="21"/>
          <w:highlight w:val="none"/>
        </w:rPr>
        <w:t>近一个月（指2025年</w:t>
      </w:r>
      <w:r>
        <w:rPr>
          <w:rFonts w:hint="eastAsia" w:ascii="宋体" w:hAnsi="宋体" w:cs="宋体"/>
          <w:sz w:val="21"/>
          <w:szCs w:val="21"/>
          <w:highlight w:val="none"/>
          <w:lang w:val="en-US" w:eastAsia="zh-CN"/>
        </w:rPr>
        <w:t>08</w:t>
      </w:r>
      <w:r>
        <w:rPr>
          <w:rFonts w:hint="eastAsia" w:ascii="宋体" w:hAnsi="宋体" w:cs="宋体"/>
          <w:sz w:val="21"/>
          <w:szCs w:val="21"/>
          <w:highlight w:val="none"/>
        </w:rPr>
        <w:t>月）</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投标单位购买社保缴纳证明材料</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须加盖社保部门或税务部门印章</w:t>
      </w:r>
      <w:r>
        <w:rPr>
          <w:rFonts w:hint="eastAsia" w:ascii="宋体" w:hAnsi="宋体" w:eastAsia="宋体" w:cs="宋体"/>
          <w:color w:val="000000"/>
          <w:sz w:val="21"/>
          <w:szCs w:val="21"/>
          <w:highlight w:val="none"/>
          <w:lang w:eastAsia="zh-CN"/>
        </w:rPr>
        <w:t>）</w:t>
      </w:r>
      <w:r>
        <w:rPr>
          <w:rFonts w:hint="eastAsia" w:ascii="宋体" w:hAnsi="宋体" w:cs="宋体"/>
          <w:bCs/>
          <w:sz w:val="21"/>
          <w:szCs w:val="21"/>
          <w:highlight w:val="none"/>
        </w:rPr>
        <w:t>，提供证明资料的清晰扫描件并加盖投标单位电子印章，否则不计分。</w:t>
      </w:r>
    </w:p>
    <w:p w14:paraId="565CE46D">
      <w:pPr>
        <w:spacing w:line="360" w:lineRule="auto"/>
        <w:rPr>
          <w:rFonts w:ascii="宋体" w:hAnsi="宋体" w:cs="宋体"/>
          <w:bCs/>
          <w:sz w:val="21"/>
          <w:szCs w:val="21"/>
          <w:highlight w:val="none"/>
        </w:rPr>
      </w:pPr>
      <w:r>
        <w:rPr>
          <w:rFonts w:hint="eastAsia" w:ascii="宋体" w:hAnsi="宋体" w:cs="宋体"/>
          <w:bCs/>
          <w:sz w:val="21"/>
          <w:szCs w:val="21"/>
          <w:highlight w:val="none"/>
        </w:rPr>
        <w:t>③除总监理工程师外，上述人员要求不作为形式评审、资格评审、响应性评审的审查依据，只作为综合评分表中的评审依据。</w:t>
      </w:r>
    </w:p>
    <w:p w14:paraId="5581A6DC">
      <w:pPr>
        <w:pStyle w:val="12"/>
        <w:rPr>
          <w:sz w:val="21"/>
          <w:szCs w:val="21"/>
          <w:highlight w:val="none"/>
        </w:rPr>
        <w:sectPr>
          <w:footerReference r:id="rId5" w:type="default"/>
          <w:pgSz w:w="11905" w:h="16838"/>
          <w:pgMar w:top="1417" w:right="1417" w:bottom="1417" w:left="1417" w:header="992" w:footer="992" w:gutter="0"/>
          <w:cols w:space="720" w:num="1"/>
        </w:sectPr>
      </w:pPr>
    </w:p>
    <w:p w14:paraId="362EF9EE">
      <w:pPr>
        <w:pStyle w:val="4"/>
        <w:spacing w:before="120" w:after="120"/>
        <w:jc w:val="center"/>
        <w:rPr>
          <w:sz w:val="32"/>
          <w:highlight w:val="none"/>
        </w:rPr>
      </w:pPr>
      <w:bookmarkStart w:id="39" w:name="_Toc17451578"/>
      <w:bookmarkStart w:id="40" w:name="_Toc17556876"/>
      <w:bookmarkStart w:id="41" w:name="_Toc17454871"/>
      <w:bookmarkStart w:id="42" w:name="_Toc17451101"/>
      <w:bookmarkStart w:id="43" w:name="_Toc17454922"/>
      <w:bookmarkStart w:id="44" w:name="_Toc17451623"/>
      <w:bookmarkStart w:id="45" w:name="_Toc32198"/>
      <w:bookmarkStart w:id="46" w:name="_Toc17556931"/>
      <w:bookmarkStart w:id="47" w:name="_Toc262229161"/>
      <w:bookmarkStart w:id="48" w:name="_Toc17452664"/>
      <w:r>
        <w:rPr>
          <w:sz w:val="32"/>
          <w:highlight w:val="none"/>
        </w:rPr>
        <w:t>投标须知修改表</w:t>
      </w:r>
      <w:bookmarkEnd w:id="39"/>
      <w:bookmarkEnd w:id="40"/>
      <w:bookmarkEnd w:id="41"/>
      <w:bookmarkEnd w:id="42"/>
      <w:bookmarkEnd w:id="43"/>
      <w:bookmarkEnd w:id="44"/>
      <w:bookmarkEnd w:id="45"/>
      <w:bookmarkEnd w:id="46"/>
      <w:bookmarkEnd w:id="47"/>
      <w:bookmarkEnd w:id="48"/>
    </w:p>
    <w:p w14:paraId="24DAD42E">
      <w:pPr>
        <w:pStyle w:val="17"/>
        <w:spacing w:line="360" w:lineRule="auto"/>
        <w:rPr>
          <w:rFonts w:hint="default" w:ascii="宋体" w:hAnsi="宋体" w:eastAsia="宋体"/>
          <w:b/>
          <w:sz w:val="24"/>
          <w:highlight w:val="none"/>
        </w:rPr>
      </w:pPr>
      <w:r>
        <w:rPr>
          <w:rFonts w:hint="default" w:ascii="宋体" w:hAnsi="宋体" w:eastAsia="宋体"/>
          <w:b/>
          <w:sz w:val="24"/>
          <w:highlight w:val="none"/>
        </w:rPr>
        <w:t>本投标须知使用</w:t>
      </w:r>
      <w:r>
        <w:rPr>
          <w:rFonts w:ascii="宋体" w:hAnsi="宋体" w:eastAsia="宋体"/>
          <w:b/>
          <w:sz w:val="24"/>
          <w:highlight w:val="none"/>
        </w:rPr>
        <w:t>SWZB2024-06</w:t>
      </w:r>
      <w:r>
        <w:rPr>
          <w:rFonts w:hint="default" w:ascii="宋体" w:hAnsi="宋体" w:eastAsia="宋体"/>
          <w:b/>
          <w:sz w:val="24"/>
          <w:highlight w:val="none"/>
        </w:rPr>
        <w:t>招标文件范本的投标须知通用条款，与该通用条款不同之处，均在本表中列明，并以现文为准，原文不再有效。</w:t>
      </w:r>
    </w:p>
    <w:p w14:paraId="0E0617BE">
      <w:pPr>
        <w:spacing w:line="480" w:lineRule="auto"/>
        <w:ind w:firstLine="537" w:firstLineChars="224"/>
        <w:rPr>
          <w:rFonts w:ascii="宋体" w:hAnsi="宋体"/>
          <w:highlight w:val="none"/>
        </w:rPr>
      </w:pPr>
      <w:r>
        <w:rPr>
          <w:rFonts w:ascii="宋体" w:hAnsi="宋体"/>
          <w:highlight w:val="none"/>
        </w:rPr>
        <w:t>条款号：</w:t>
      </w:r>
      <w:r>
        <w:rPr>
          <w:rFonts w:hint="eastAsia" w:ascii="宋体" w:hAnsi="宋体"/>
          <w:highlight w:val="none"/>
        </w:rPr>
        <w:t>1.5</w:t>
      </w:r>
      <w:r>
        <w:rPr>
          <w:rFonts w:ascii="宋体" w:hAnsi="宋体"/>
          <w:highlight w:val="none"/>
        </w:rPr>
        <w:t xml:space="preserve">             修改类型：增加</w:t>
      </w:r>
    </w:p>
    <w:p w14:paraId="5B0C2140">
      <w:pPr>
        <w:pBdr>
          <w:bottom w:val="single" w:color="auto" w:sz="6" w:space="1"/>
        </w:pBdr>
        <w:spacing w:line="480" w:lineRule="auto"/>
        <w:ind w:firstLine="537" w:firstLineChars="224"/>
        <w:rPr>
          <w:rFonts w:ascii="宋体" w:hAnsi="宋体"/>
          <w:highlight w:val="none"/>
        </w:rPr>
      </w:pPr>
      <w:r>
        <w:rPr>
          <w:rFonts w:ascii="宋体" w:hAnsi="宋体"/>
          <w:highlight w:val="none"/>
        </w:rPr>
        <w:t>现文：中标人支付交易服务费（由投标人在投标报价中综合考虑）。</w:t>
      </w:r>
    </w:p>
    <w:p w14:paraId="5E676BDD">
      <w:pPr>
        <w:spacing w:line="480" w:lineRule="auto"/>
        <w:ind w:firstLine="537" w:firstLineChars="224"/>
        <w:rPr>
          <w:rFonts w:ascii="宋体" w:hAnsi="宋体"/>
          <w:highlight w:val="none"/>
        </w:rPr>
      </w:pPr>
      <w:r>
        <w:rPr>
          <w:rFonts w:ascii="宋体" w:hAnsi="宋体"/>
          <w:highlight w:val="none"/>
        </w:rPr>
        <w:t>条款号：</w:t>
      </w:r>
      <w:r>
        <w:rPr>
          <w:rFonts w:hint="eastAsia" w:ascii="宋体" w:hAnsi="宋体"/>
          <w:highlight w:val="none"/>
        </w:rPr>
        <w:t>3.1</w:t>
      </w:r>
      <w:r>
        <w:rPr>
          <w:rFonts w:ascii="宋体" w:hAnsi="宋体"/>
          <w:highlight w:val="none"/>
        </w:rPr>
        <w:t xml:space="preserve">             修改类型：</w:t>
      </w:r>
      <w:r>
        <w:rPr>
          <w:rFonts w:hint="eastAsia" w:ascii="宋体" w:hAnsi="宋体"/>
          <w:highlight w:val="none"/>
        </w:rPr>
        <w:t>修改</w:t>
      </w:r>
    </w:p>
    <w:p w14:paraId="5FB216BB">
      <w:pPr>
        <w:spacing w:line="360" w:lineRule="auto"/>
        <w:ind w:firstLine="480" w:firstLineChars="200"/>
        <w:rPr>
          <w:rFonts w:ascii="宋体" w:hAnsi="宋体" w:cs="宋体"/>
          <w:highlight w:val="none"/>
        </w:rPr>
      </w:pPr>
      <w:r>
        <w:rPr>
          <w:rFonts w:ascii="宋体" w:hAnsi="宋体"/>
          <w:highlight w:val="none"/>
        </w:rPr>
        <w:t>原文：</w:t>
      </w:r>
      <w:r>
        <w:rPr>
          <w:rFonts w:hint="eastAsia" w:ascii="宋体" w:hAnsi="宋体" w:cs="宋体"/>
          <w:highlight w:val="none"/>
        </w:rPr>
        <w:t>3.1 投标文件的组成</w:t>
      </w:r>
    </w:p>
    <w:p w14:paraId="4A4AE1D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3.1.1 投标文件应包括下列内容：</w:t>
      </w:r>
    </w:p>
    <w:p w14:paraId="344687CB">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（1）投标函及投标函附录；</w:t>
      </w:r>
    </w:p>
    <w:p w14:paraId="6646B2C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（2）法定代表人身份证明或授权委托书；</w:t>
      </w:r>
    </w:p>
    <w:p w14:paraId="4E35114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（3）联合体协议书；</w:t>
      </w:r>
    </w:p>
    <w:p w14:paraId="3323E6F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（4）投标保证金；</w:t>
      </w:r>
    </w:p>
    <w:p w14:paraId="3EC7EB6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（5）监理报酬清单；</w:t>
      </w:r>
    </w:p>
    <w:p w14:paraId="642B9B65">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（6）资格审查资料；</w:t>
      </w:r>
    </w:p>
    <w:p w14:paraId="4A7ECD29">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（7）监理大纲；</w:t>
      </w:r>
    </w:p>
    <w:p w14:paraId="7CDBCEA8">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（8）投标人须知前附表规定的其他资料。投标人在评标过程中作出的符合法律法规和招标文件规定的澄清确认，构成投标文件的组成部分。</w:t>
      </w:r>
    </w:p>
    <w:p w14:paraId="25FFC837">
      <w:pPr>
        <w:spacing w:line="360" w:lineRule="auto"/>
        <w:ind w:firstLine="480" w:firstLineChars="200"/>
        <w:rPr>
          <w:rFonts w:ascii="宋体" w:hAnsi="宋体" w:cs="宋体"/>
          <w:highlight w:val="none"/>
        </w:rPr>
      </w:pPr>
      <w:r>
        <w:rPr>
          <w:rFonts w:ascii="宋体" w:hAnsi="宋体"/>
          <w:highlight w:val="none"/>
        </w:rPr>
        <w:t>现文：</w:t>
      </w:r>
      <w:r>
        <w:rPr>
          <w:rFonts w:hint="eastAsia" w:ascii="宋体" w:hAnsi="宋体" w:cs="宋体"/>
          <w:highlight w:val="none"/>
        </w:rPr>
        <w:t>3.1 投标文件的组成</w:t>
      </w:r>
    </w:p>
    <w:p w14:paraId="3ABBD3B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3.1.1 投标文件应包括下列内容：</w:t>
      </w:r>
    </w:p>
    <w:p w14:paraId="0EE00A76">
      <w:pPr>
        <w:tabs>
          <w:tab w:val="left" w:pos="993"/>
        </w:tabs>
        <w:autoSpaceDE/>
        <w:autoSpaceDN/>
        <w:adjustRightInd/>
        <w:spacing w:line="360" w:lineRule="auto"/>
        <w:ind w:left="480" w:leftChars="200"/>
        <w:rPr>
          <w:rFonts w:ascii="宋体" w:hAnsi="宋体" w:cs="宋体"/>
          <w:spacing w:val="-2"/>
          <w:position w:val="-1"/>
          <w:highlight w:val="none"/>
        </w:rPr>
      </w:pPr>
      <w:r>
        <w:rPr>
          <w:rFonts w:hint="eastAsia" w:ascii="宋体" w:hAnsi="宋体" w:cs="宋体"/>
          <w:spacing w:val="-2"/>
          <w:position w:val="-1"/>
          <w:highlight w:val="none"/>
        </w:rPr>
        <w:t>（1）投标函及投标函附录</w:t>
      </w:r>
    </w:p>
    <w:p w14:paraId="6B1A33F3">
      <w:pPr>
        <w:tabs>
          <w:tab w:val="left" w:pos="993"/>
        </w:tabs>
        <w:autoSpaceDE/>
        <w:autoSpaceDN/>
        <w:adjustRightInd/>
        <w:spacing w:line="360" w:lineRule="auto"/>
        <w:ind w:left="480" w:leftChars="200"/>
        <w:rPr>
          <w:rFonts w:ascii="宋体" w:hAnsi="宋体" w:cs="宋体"/>
          <w:spacing w:val="-2"/>
          <w:position w:val="-1"/>
          <w:highlight w:val="none"/>
        </w:rPr>
      </w:pPr>
      <w:r>
        <w:rPr>
          <w:rFonts w:hint="eastAsia" w:ascii="宋体" w:hAnsi="宋体" w:cs="宋体"/>
          <w:spacing w:val="-2"/>
          <w:position w:val="-1"/>
          <w:highlight w:val="none"/>
        </w:rPr>
        <w:t xml:space="preserve">（2）法定代表人身份证明、授权委托书 </w:t>
      </w:r>
    </w:p>
    <w:p w14:paraId="219CFAAF">
      <w:pPr>
        <w:tabs>
          <w:tab w:val="left" w:pos="993"/>
        </w:tabs>
        <w:autoSpaceDE/>
        <w:autoSpaceDN/>
        <w:adjustRightInd/>
        <w:spacing w:line="360" w:lineRule="auto"/>
        <w:ind w:left="480" w:leftChars="200"/>
        <w:rPr>
          <w:rFonts w:ascii="宋体" w:hAnsi="宋体" w:cs="宋体"/>
          <w:spacing w:val="-2"/>
          <w:position w:val="-1"/>
          <w:highlight w:val="none"/>
        </w:rPr>
      </w:pPr>
      <w:r>
        <w:rPr>
          <w:rFonts w:hint="eastAsia" w:ascii="宋体" w:hAnsi="宋体" w:cs="宋体"/>
          <w:spacing w:val="-2"/>
          <w:position w:val="-1"/>
          <w:highlight w:val="none"/>
        </w:rPr>
        <w:t xml:space="preserve">（3）监理报酬清单 </w:t>
      </w:r>
    </w:p>
    <w:p w14:paraId="6FCFCAE9">
      <w:pPr>
        <w:tabs>
          <w:tab w:val="left" w:pos="993"/>
        </w:tabs>
        <w:autoSpaceDE/>
        <w:autoSpaceDN/>
        <w:adjustRightInd/>
        <w:spacing w:line="360" w:lineRule="auto"/>
        <w:ind w:left="480" w:leftChars="200"/>
        <w:rPr>
          <w:rFonts w:ascii="宋体" w:hAnsi="宋体" w:cs="宋体"/>
          <w:spacing w:val="-2"/>
          <w:position w:val="-1"/>
          <w:highlight w:val="none"/>
        </w:rPr>
      </w:pPr>
      <w:r>
        <w:rPr>
          <w:rFonts w:hint="eastAsia" w:ascii="宋体" w:hAnsi="宋体" w:cs="宋体"/>
          <w:spacing w:val="-2"/>
          <w:position w:val="-1"/>
          <w:highlight w:val="none"/>
        </w:rPr>
        <w:t xml:space="preserve">（4）资格审查资料 </w:t>
      </w:r>
    </w:p>
    <w:p w14:paraId="64C35C7E">
      <w:pPr>
        <w:tabs>
          <w:tab w:val="left" w:pos="993"/>
        </w:tabs>
        <w:autoSpaceDE/>
        <w:autoSpaceDN/>
        <w:adjustRightInd/>
        <w:spacing w:line="360" w:lineRule="auto"/>
        <w:ind w:left="480" w:leftChars="200"/>
        <w:rPr>
          <w:rFonts w:ascii="宋体" w:hAnsi="宋体" w:cs="宋体"/>
          <w:spacing w:val="-2"/>
          <w:position w:val="-1"/>
          <w:highlight w:val="none"/>
        </w:rPr>
      </w:pPr>
      <w:r>
        <w:rPr>
          <w:rFonts w:hint="eastAsia" w:ascii="宋体" w:hAnsi="宋体" w:cs="宋体"/>
          <w:spacing w:val="-2"/>
          <w:position w:val="-1"/>
          <w:highlight w:val="none"/>
        </w:rPr>
        <w:t xml:space="preserve">（5）监理大纲 </w:t>
      </w:r>
    </w:p>
    <w:p w14:paraId="2F1E6F7E">
      <w:pPr>
        <w:pBdr>
          <w:bottom w:val="single" w:color="auto" w:sz="6" w:space="1"/>
        </w:pBdr>
        <w:spacing w:line="360" w:lineRule="auto"/>
        <w:ind w:firstLine="472" w:firstLineChars="200"/>
        <w:rPr>
          <w:rFonts w:ascii="宋体" w:hAnsi="宋体"/>
          <w:highlight w:val="none"/>
        </w:rPr>
      </w:pPr>
      <w:r>
        <w:rPr>
          <w:rFonts w:hint="eastAsia" w:ascii="宋体" w:hAnsi="宋体" w:cs="宋体"/>
          <w:spacing w:val="-2"/>
          <w:position w:val="-1"/>
          <w:highlight w:val="none"/>
        </w:rPr>
        <w:t>（6）其他资料</w:t>
      </w:r>
    </w:p>
    <w:p w14:paraId="4512AFB7">
      <w:pPr>
        <w:pStyle w:val="12"/>
        <w:rPr>
          <w:rFonts w:ascii="宋体" w:hAnsi="宋体" w:cs="宋体"/>
          <w:spacing w:val="-2"/>
          <w:position w:val="-1"/>
          <w:sz w:val="24"/>
          <w:highlight w:val="none"/>
        </w:rPr>
      </w:pPr>
    </w:p>
    <w:p w14:paraId="0586CC7C">
      <w:pPr>
        <w:spacing w:line="360" w:lineRule="auto"/>
        <w:ind w:firstLine="482" w:firstLineChars="200"/>
        <w:rPr>
          <w:rFonts w:ascii="宋体" w:hAnsi="宋体" w:cs="宋体"/>
          <w:b/>
          <w:bCs/>
          <w:highlight w:val="none"/>
        </w:rPr>
      </w:pPr>
      <w:r>
        <w:rPr>
          <w:rFonts w:hint="eastAsia" w:ascii="宋体" w:hAnsi="宋体" w:cs="宋体"/>
          <w:b/>
          <w:bCs/>
          <w:highlight w:val="none"/>
        </w:rPr>
        <w:t>条款号：3.3.3            修改类型：修改</w:t>
      </w:r>
    </w:p>
    <w:p w14:paraId="60C00F45">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bCs/>
          <w:sz w:val="24"/>
          <w:highlight w:val="none"/>
        </w:rPr>
        <w:t>原文：</w:t>
      </w:r>
      <w:r>
        <w:rPr>
          <w:rFonts w:hint="eastAsia" w:cs="宋体"/>
          <w:sz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72D5795D">
      <w:pPr>
        <w:pBdr>
          <w:bottom w:val="single" w:color="auto" w:sz="6" w:space="1"/>
        </w:pBdr>
        <w:spacing w:line="360" w:lineRule="auto"/>
        <w:ind w:firstLine="537" w:firstLineChars="224"/>
        <w:rPr>
          <w:rFonts w:ascii="宋体" w:hAnsi="宋体"/>
          <w:highlight w:val="none"/>
        </w:rPr>
      </w:pPr>
      <w:r>
        <w:rPr>
          <w:rFonts w:hint="eastAsia" w:ascii="宋体" w:hAnsi="宋体" w:cs="宋体"/>
          <w:bCs/>
          <w:highlight w:val="none"/>
        </w:rPr>
        <w:t>现文：</w:t>
      </w:r>
      <w:r>
        <w:rPr>
          <w:rFonts w:hint="eastAsia" w:ascii="宋体" w:hAnsi="宋体" w:cs="宋体"/>
          <w:highlight w:val="none"/>
          <w:u w:val="single"/>
        </w:rPr>
        <w:t>3.3.3 出现特殊情况需要延长投标有效期的，招标人以书面形式通知所有投标人延长投标有效期。投标人应予以书面答复，同意延长的，但不得要求或被允许修改其投标文件；投标人拒绝延长的，其投标失效。</w:t>
      </w:r>
    </w:p>
    <w:p w14:paraId="2095A53C">
      <w:pPr>
        <w:spacing w:line="360" w:lineRule="auto"/>
        <w:ind w:firstLine="540" w:firstLineChars="224"/>
        <w:rPr>
          <w:rFonts w:ascii="宋体" w:hAnsi="宋体"/>
          <w:b/>
          <w:highlight w:val="none"/>
        </w:rPr>
      </w:pPr>
      <w:r>
        <w:rPr>
          <w:rFonts w:ascii="宋体" w:hAnsi="宋体"/>
          <w:b/>
          <w:highlight w:val="none"/>
        </w:rPr>
        <w:t>条款号：3.4           修改类型：</w:t>
      </w:r>
      <w:r>
        <w:rPr>
          <w:rFonts w:hint="eastAsia" w:ascii="宋体" w:hAnsi="宋体"/>
          <w:b/>
          <w:highlight w:val="none"/>
        </w:rPr>
        <w:t>修改</w:t>
      </w:r>
    </w:p>
    <w:p w14:paraId="3E70CCFF">
      <w:pPr>
        <w:pBdr>
          <w:bottom w:val="single" w:color="auto" w:sz="6" w:space="1"/>
        </w:pBdr>
        <w:spacing w:line="360" w:lineRule="auto"/>
        <w:ind w:firstLine="537" w:firstLineChars="224"/>
        <w:rPr>
          <w:rFonts w:ascii="宋体" w:hAnsi="宋体"/>
          <w:highlight w:val="none"/>
        </w:rPr>
      </w:pPr>
      <w:r>
        <w:rPr>
          <w:rFonts w:ascii="宋体" w:hAnsi="宋体"/>
          <w:highlight w:val="none"/>
        </w:rPr>
        <w:t>原文：3.4</w:t>
      </w:r>
      <w:r>
        <w:rPr>
          <w:rFonts w:cs="宋体"/>
          <w:highlight w:val="none"/>
        </w:rPr>
        <w:t xml:space="preserve">  投标保证金</w:t>
      </w:r>
      <w:r>
        <w:rPr>
          <w:rFonts w:hint="eastAsia" w:ascii="宋体" w:hAnsi="宋体"/>
          <w:highlight w:val="none"/>
        </w:rPr>
        <w:t>（</w:t>
      </w:r>
      <w:r>
        <w:rPr>
          <w:rFonts w:ascii="宋体" w:hAnsi="宋体"/>
          <w:highlight w:val="none"/>
        </w:rPr>
        <w:t>3.4.1-3.4.4</w:t>
      </w:r>
      <w:r>
        <w:rPr>
          <w:rFonts w:hint="eastAsia" w:ascii="宋体" w:hAnsi="宋体"/>
          <w:highlight w:val="none"/>
        </w:rPr>
        <w:t>）</w:t>
      </w:r>
    </w:p>
    <w:p w14:paraId="746D9F5A">
      <w:pPr>
        <w:pBdr>
          <w:bottom w:val="single" w:color="auto" w:sz="6" w:space="1"/>
        </w:pBdr>
        <w:spacing w:line="360" w:lineRule="auto"/>
        <w:ind w:firstLine="537" w:firstLineChars="224"/>
        <w:rPr>
          <w:rFonts w:cs="宋体"/>
          <w:highlight w:val="none"/>
        </w:rPr>
      </w:pPr>
      <w:r>
        <w:rPr>
          <w:rFonts w:hint="eastAsia" w:ascii="宋体" w:hAnsi="宋体" w:cs="宋体"/>
          <w:bCs/>
          <w:highlight w:val="none"/>
        </w:rPr>
        <w:t>现文：</w:t>
      </w:r>
      <w:r>
        <w:rPr>
          <w:rFonts w:ascii="宋体" w:hAnsi="宋体"/>
          <w:highlight w:val="none"/>
        </w:rPr>
        <w:t>3.4</w:t>
      </w:r>
      <w:r>
        <w:rPr>
          <w:rFonts w:cs="宋体"/>
          <w:highlight w:val="none"/>
        </w:rPr>
        <w:t xml:space="preserve">  投标保证金</w:t>
      </w:r>
    </w:p>
    <w:p w14:paraId="0DEDC3FF">
      <w:pPr>
        <w:pBdr>
          <w:bottom w:val="single" w:color="auto" w:sz="6" w:space="1"/>
        </w:pBdr>
        <w:spacing w:line="360" w:lineRule="auto"/>
        <w:ind w:firstLine="537" w:firstLineChars="224"/>
        <w:rPr>
          <w:rFonts w:ascii="宋体" w:hAnsi="宋体"/>
          <w:highlight w:val="none"/>
        </w:rPr>
      </w:pPr>
      <w:r>
        <w:rPr>
          <w:rFonts w:hint="eastAsia" w:ascii="宋体" w:hAnsi="宋体" w:cs="宋体"/>
          <w:highlight w:val="none"/>
          <w:u w:val="single"/>
        </w:rPr>
        <w:t>本项目不需要提交投标保证金。</w:t>
      </w:r>
    </w:p>
    <w:p w14:paraId="1602680A">
      <w:pPr>
        <w:spacing w:line="360" w:lineRule="auto"/>
        <w:ind w:firstLine="482" w:firstLineChars="200"/>
        <w:rPr>
          <w:rFonts w:ascii="宋体" w:hAnsi="宋体" w:cs="宋体"/>
          <w:b/>
          <w:bCs/>
          <w:highlight w:val="none"/>
        </w:rPr>
      </w:pPr>
      <w:r>
        <w:rPr>
          <w:rFonts w:hint="eastAsia" w:ascii="宋体" w:hAnsi="宋体" w:cs="宋体"/>
          <w:b/>
          <w:bCs/>
          <w:highlight w:val="none"/>
        </w:rPr>
        <w:t>条款号：3.5            修改类型：修改</w:t>
      </w:r>
    </w:p>
    <w:p w14:paraId="4567838E">
      <w:pPr>
        <w:spacing w:line="360" w:lineRule="auto"/>
        <w:ind w:firstLine="480" w:firstLineChars="200"/>
        <w:rPr>
          <w:rFonts w:ascii="宋体" w:hAnsi="宋体" w:cs="宋体"/>
          <w:highlight w:val="none"/>
        </w:rPr>
      </w:pPr>
      <w:r>
        <w:rPr>
          <w:rFonts w:hint="eastAsia" w:ascii="宋体" w:hAnsi="宋体" w:cs="宋体"/>
          <w:bCs/>
          <w:highlight w:val="none"/>
        </w:rPr>
        <w:t>原文：</w:t>
      </w:r>
      <w:r>
        <w:rPr>
          <w:rFonts w:hint="eastAsia" w:ascii="宋体" w:hAnsi="宋体" w:cs="宋体"/>
          <w:highlight w:val="none"/>
        </w:rPr>
        <w:t>3.5 资格审查资料</w:t>
      </w:r>
    </w:p>
    <w:p w14:paraId="56BCB8D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除投标人须知前附表另有规定外，投标人应按下列规定提供资格审查资料，以证明其满足本章第 1.4 款规定的资质、财务、业绩、信誉等要求。</w:t>
      </w:r>
    </w:p>
    <w:p w14:paraId="0A91A12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3.5.1 “投标人基本情况表”应附投标人营业执照、投标人监理资质证书副本等材料的扫描件。</w:t>
      </w:r>
    </w:p>
    <w:p w14:paraId="500A6C5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3.5.2 “近年完成的类似监理项目情况表”应附中标通知书和（或）合同协议书、委托人出具的证明文件；具体时间要求见投标人须知前附表，每张表格只填写一个项目，并标明序号。</w:t>
      </w:r>
    </w:p>
    <w:p w14:paraId="066B714C">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个月（2025年</w:t>
      </w:r>
      <w:r>
        <w:rPr>
          <w:rFonts w:hint="eastAsia" w:cs="宋体"/>
          <w:sz w:val="24"/>
          <w:highlight w:val="none"/>
          <w:lang w:val="en-US" w:eastAsia="zh-CN"/>
        </w:rPr>
        <w:t>07</w:t>
      </w:r>
      <w:r>
        <w:rPr>
          <w:rFonts w:hint="eastAsia" w:cs="宋体"/>
          <w:sz w:val="24"/>
          <w:highlight w:val="none"/>
        </w:rPr>
        <w:t>月）在本单位缴纳的社保证明文件（已退休人员提供退休证）。）</w:t>
      </w:r>
    </w:p>
    <w:p w14:paraId="441A102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3.5.4 投标人须知前附表规定接受联合体投标的，本章第3.5.1 项至第3.5.3项规定的表格和资料应包括联合体各方相关情况。</w:t>
      </w:r>
    </w:p>
    <w:p w14:paraId="7587DC42">
      <w:pPr>
        <w:spacing w:line="360" w:lineRule="auto"/>
        <w:ind w:firstLine="480" w:firstLineChars="200"/>
        <w:rPr>
          <w:rFonts w:ascii="宋体" w:hAnsi="宋体" w:cs="宋体"/>
          <w:highlight w:val="none"/>
        </w:rPr>
      </w:pPr>
      <w:r>
        <w:rPr>
          <w:rFonts w:hint="eastAsia" w:ascii="宋体" w:hAnsi="宋体" w:cs="宋体"/>
          <w:highlight w:val="none"/>
        </w:rPr>
        <w:t>现文：3.5 资格审查资料</w:t>
      </w:r>
    </w:p>
    <w:p w14:paraId="4F165A75">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除投标人须知前附表另有规定外，投标人应按下列规定提供资格审查资料，以证明其满足本章第 1.4 款规定的</w:t>
      </w:r>
      <w:r>
        <w:rPr>
          <w:rFonts w:hint="eastAsia" w:cs="宋体"/>
          <w:sz w:val="24"/>
          <w:highlight w:val="none"/>
          <w:u w:val="single"/>
        </w:rPr>
        <w:t>资质、信誉等要求</w:t>
      </w:r>
      <w:r>
        <w:rPr>
          <w:rFonts w:hint="eastAsia" w:cs="宋体"/>
          <w:sz w:val="24"/>
          <w:highlight w:val="none"/>
        </w:rPr>
        <w:t>。</w:t>
      </w:r>
    </w:p>
    <w:p w14:paraId="463E9CB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 xml:space="preserve">3.5.1 </w:t>
      </w:r>
      <w:r>
        <w:rPr>
          <w:rFonts w:hint="eastAsia" w:cs="宋体"/>
          <w:sz w:val="24"/>
          <w:highlight w:val="none"/>
          <w:u w:val="single"/>
        </w:rPr>
        <w:t>附投标人营业执照、投标人监理资质证书副本等材料的扫描件或电子证照</w:t>
      </w:r>
      <w:r>
        <w:rPr>
          <w:rFonts w:hint="eastAsia" w:cs="宋体"/>
          <w:sz w:val="24"/>
          <w:highlight w:val="none"/>
        </w:rPr>
        <w:t>。</w:t>
      </w:r>
    </w:p>
    <w:p w14:paraId="4ECB01A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default" w:cs="宋体"/>
          <w:sz w:val="24"/>
          <w:highlight w:val="none"/>
          <w:lang w:val="en-US"/>
        </w:rPr>
      </w:pPr>
      <w:r>
        <w:rPr>
          <w:rFonts w:hint="eastAsia" w:cs="宋体"/>
          <w:sz w:val="24"/>
          <w:highlight w:val="none"/>
        </w:rPr>
        <w:t xml:space="preserve">3.5.2 </w:t>
      </w:r>
      <w:r>
        <w:rPr>
          <w:rFonts w:hint="eastAsia" w:cs="宋体"/>
          <w:sz w:val="24"/>
          <w:highlight w:val="none"/>
          <w:u w:val="single"/>
        </w:rPr>
        <w:t>总监理工程师应附身份证、学历证、职称证、注册监理工程师执业证书和社保缴费证明扫描件。（注：以上人员社保要求：近一个月（指2025年</w:t>
      </w:r>
      <w:r>
        <w:rPr>
          <w:rFonts w:hint="eastAsia" w:cs="宋体"/>
          <w:sz w:val="24"/>
          <w:highlight w:val="none"/>
          <w:u w:val="single"/>
          <w:lang w:val="en-US" w:eastAsia="zh-CN"/>
        </w:rPr>
        <w:t>08</w:t>
      </w:r>
      <w:r>
        <w:rPr>
          <w:rFonts w:hint="eastAsia" w:cs="宋体"/>
          <w:sz w:val="24"/>
          <w:highlight w:val="none"/>
          <w:u w:val="single"/>
        </w:rPr>
        <w:t>月）在</w:t>
      </w:r>
      <w:r>
        <w:rPr>
          <w:rFonts w:hint="eastAsia" w:cs="宋体"/>
          <w:sz w:val="24"/>
          <w:highlight w:val="none"/>
          <w:u w:val="single"/>
          <w:lang w:val="en-US" w:eastAsia="zh-CN"/>
        </w:rPr>
        <w:t>该</w:t>
      </w:r>
      <w:r>
        <w:rPr>
          <w:rFonts w:hint="eastAsia" w:cs="宋体"/>
          <w:sz w:val="24"/>
          <w:highlight w:val="none"/>
          <w:u w:val="single"/>
        </w:rPr>
        <w:t>投标单位购买社保缴纳证明材料</w:t>
      </w:r>
      <w:r>
        <w:rPr>
          <w:rFonts w:hint="eastAsia" w:cs="宋体"/>
          <w:sz w:val="24"/>
          <w:highlight w:val="none"/>
          <w:u w:val="single"/>
          <w:lang w:eastAsia="zh-CN"/>
        </w:rPr>
        <w:t>（</w:t>
      </w:r>
      <w:r>
        <w:rPr>
          <w:rFonts w:hint="eastAsia" w:cs="宋体"/>
          <w:sz w:val="24"/>
          <w:highlight w:val="none"/>
          <w:u w:val="single"/>
        </w:rPr>
        <w:t>须加盖社保部门或税务部门印章</w:t>
      </w:r>
      <w:r>
        <w:rPr>
          <w:rFonts w:hint="eastAsia" w:cs="宋体"/>
          <w:sz w:val="24"/>
          <w:highlight w:val="none"/>
          <w:u w:val="single"/>
          <w:lang w:eastAsia="zh-CN"/>
        </w:rPr>
        <w:t>）。</w:t>
      </w:r>
    </w:p>
    <w:p w14:paraId="79A8520B">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 xml:space="preserve">3.5.3 </w:t>
      </w:r>
      <w:r>
        <w:rPr>
          <w:rFonts w:hint="eastAsia" w:cs="宋体"/>
          <w:sz w:val="24"/>
          <w:highlight w:val="none"/>
          <w:u w:val="single"/>
        </w:rPr>
        <w:t>本项目不接受联合体投标</w:t>
      </w:r>
      <w:r>
        <w:rPr>
          <w:rFonts w:hint="eastAsia" w:cs="宋体"/>
          <w:sz w:val="24"/>
          <w:highlight w:val="none"/>
        </w:rPr>
        <w:t>。</w:t>
      </w:r>
    </w:p>
    <w:p w14:paraId="0D900476">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sz w:val="24"/>
          <w:highlight w:val="none"/>
        </w:rPr>
      </w:pPr>
      <w:r>
        <w:rPr>
          <w:rFonts w:hint="eastAsia" w:cs="宋体"/>
          <w:sz w:val="24"/>
          <w:highlight w:val="none"/>
        </w:rPr>
        <w:t xml:space="preserve">3.5.4 </w:t>
      </w:r>
      <w:r>
        <w:rPr>
          <w:rFonts w:hint="eastAsia" w:cs="宋体"/>
          <w:sz w:val="24"/>
          <w:highlight w:val="none"/>
          <w:u w:val="single"/>
        </w:rPr>
        <w:t>其他详见招标公告要求。</w:t>
      </w:r>
    </w:p>
    <w:p w14:paraId="7CBC6C4E">
      <w:pPr>
        <w:spacing w:line="360" w:lineRule="auto"/>
        <w:ind w:firstLine="540" w:firstLineChars="224"/>
        <w:rPr>
          <w:rFonts w:ascii="宋体" w:hAnsi="宋体"/>
          <w:b/>
          <w:highlight w:val="none"/>
        </w:rPr>
      </w:pPr>
      <w:r>
        <w:rPr>
          <w:rFonts w:ascii="宋体" w:hAnsi="宋体"/>
          <w:b/>
          <w:highlight w:val="none"/>
        </w:rPr>
        <w:t>条款号：3.7.4         修改类型：删除</w:t>
      </w:r>
    </w:p>
    <w:p w14:paraId="68341907">
      <w:pPr>
        <w:pBdr>
          <w:bottom w:val="single" w:color="auto" w:sz="6" w:space="1"/>
        </w:pBdr>
        <w:spacing w:line="360" w:lineRule="auto"/>
        <w:ind w:firstLine="537" w:firstLineChars="224"/>
        <w:rPr>
          <w:rFonts w:ascii="宋体" w:hAnsi="宋体"/>
          <w:highlight w:val="none"/>
        </w:rPr>
      </w:pPr>
      <w:r>
        <w:rPr>
          <w:rFonts w:ascii="宋体" w:hAnsi="宋体"/>
          <w:highlight w:val="none"/>
        </w:rPr>
        <w:t xml:space="preserve">原文：3.7.4 </w:t>
      </w:r>
      <w:r>
        <w:rPr>
          <w:highlight w:val="none"/>
        </w:rPr>
        <w:t>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0DF3AAD7">
      <w:pPr>
        <w:spacing w:line="360" w:lineRule="auto"/>
        <w:ind w:firstLine="482" w:firstLineChars="200"/>
        <w:rPr>
          <w:rFonts w:ascii="宋体" w:hAnsi="宋体" w:cs="宋体"/>
          <w:b/>
          <w:bCs/>
          <w:highlight w:val="none"/>
        </w:rPr>
      </w:pPr>
      <w:r>
        <w:rPr>
          <w:rFonts w:hint="eastAsia" w:ascii="宋体" w:hAnsi="宋体" w:cs="宋体"/>
          <w:b/>
          <w:bCs/>
          <w:highlight w:val="none"/>
        </w:rPr>
        <w:t>条款号：5.2.1           修改类型：修改</w:t>
      </w:r>
    </w:p>
    <w:p w14:paraId="101B338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bCs/>
          <w:sz w:val="24"/>
          <w:highlight w:val="none"/>
        </w:rPr>
        <w:t>原文：</w:t>
      </w:r>
      <w:r>
        <w:rPr>
          <w:rFonts w:hint="eastAsia" w:cs="宋体"/>
          <w:sz w:val="24"/>
          <w:highlight w:val="none"/>
        </w:rPr>
        <w:t>5.2.1   在投标截止时间后</w:t>
      </w:r>
      <w:r>
        <w:rPr>
          <w:rFonts w:hint="eastAsia" w:cs="宋体"/>
          <w:sz w:val="24"/>
          <w:highlight w:val="none"/>
          <w:u w:val="single"/>
        </w:rPr>
        <w:t>半小时</w:t>
      </w:r>
      <w:r>
        <w:rPr>
          <w:rFonts w:hint="eastAsia" w:cs="宋体"/>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20A6C3B6">
      <w:pPr>
        <w:pBdr>
          <w:bottom w:val="single" w:color="auto" w:sz="6" w:space="1"/>
        </w:pBdr>
        <w:spacing w:line="360" w:lineRule="auto"/>
        <w:ind w:firstLine="537" w:firstLineChars="224"/>
        <w:rPr>
          <w:highlight w:val="none"/>
        </w:rPr>
      </w:pPr>
      <w:r>
        <w:rPr>
          <w:rFonts w:hint="eastAsia" w:ascii="宋体" w:hAnsi="宋体" w:cs="宋体"/>
          <w:highlight w:val="none"/>
        </w:rPr>
        <w:t>现文：5.2.1   在投标截止时间后</w:t>
      </w:r>
      <w:r>
        <w:rPr>
          <w:rFonts w:hint="eastAsia" w:ascii="宋体" w:hAnsi="宋体" w:cs="宋体"/>
          <w:highlight w:val="none"/>
          <w:u w:val="single"/>
        </w:rPr>
        <w:t>半小时</w:t>
      </w:r>
      <w:r>
        <w:rPr>
          <w:rFonts w:hint="eastAsia" w:ascii="宋体" w:hAnsi="宋体" w:cs="宋体"/>
          <w:highlight w:val="none"/>
        </w:rPr>
        <w:t>内，投标人通过递交投标文件的交易平台对已递交的电子投标文件进行解密。投标人完成解密后，再由招标人进行解密。解密完成后，公布招标项目名称、</w:t>
      </w:r>
      <w:r>
        <w:rPr>
          <w:rFonts w:hint="eastAsia" w:ascii="宋体" w:hAnsi="宋体" w:cs="宋体"/>
          <w:highlight w:val="none"/>
          <w:u w:val="single"/>
        </w:rPr>
        <w:t>投标人名称、投标报价、</w:t>
      </w:r>
      <w:r>
        <w:rPr>
          <w:rFonts w:hint="eastAsia" w:ascii="宋体" w:hAnsi="宋体" w:cs="宋体"/>
          <w:highlight w:val="none"/>
        </w:rPr>
        <w:t>拟派总监理工程师及其他内容。未在规定时间内解密的投标文件不参与开标、评标</w:t>
      </w:r>
      <w:r>
        <w:rPr>
          <w:highlight w:val="none"/>
        </w:rPr>
        <w:t>。</w:t>
      </w:r>
    </w:p>
    <w:p w14:paraId="31777E2E">
      <w:pPr>
        <w:spacing w:line="360" w:lineRule="auto"/>
        <w:ind w:firstLine="482" w:firstLineChars="200"/>
        <w:rPr>
          <w:rFonts w:ascii="宋体" w:hAnsi="宋体" w:cs="宋体"/>
          <w:b/>
          <w:bCs/>
          <w:highlight w:val="none"/>
        </w:rPr>
      </w:pPr>
      <w:r>
        <w:rPr>
          <w:rFonts w:hint="eastAsia" w:ascii="宋体" w:hAnsi="宋体" w:cs="宋体"/>
          <w:b/>
          <w:bCs/>
          <w:highlight w:val="none"/>
        </w:rPr>
        <w:t>条款号：7.2         修改类型：修改</w:t>
      </w:r>
    </w:p>
    <w:p w14:paraId="238D33BB">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rFonts w:cs="宋体"/>
          <w:sz w:val="24"/>
          <w:highlight w:val="none"/>
        </w:rPr>
      </w:pPr>
      <w:r>
        <w:rPr>
          <w:rFonts w:hint="eastAsia" w:cs="宋体"/>
          <w:bCs/>
          <w:sz w:val="24"/>
          <w:highlight w:val="none"/>
        </w:rPr>
        <w:t>原文：</w:t>
      </w:r>
      <w:r>
        <w:rPr>
          <w:rFonts w:hint="eastAsia" w:cs="宋体"/>
          <w:sz w:val="24"/>
          <w:highlight w:val="none"/>
        </w:rPr>
        <w:t>7.2 评标结果异议</w:t>
      </w:r>
    </w:p>
    <w:p w14:paraId="5963B9CA">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投标人或者其他利害关系人对评标结果有异议的，应当在中标候选人公示期间提出。招标人将在收到异议之日起3日内作出答复；作出答复前，将暂停招标投标活动。</w:t>
      </w:r>
    </w:p>
    <w:p w14:paraId="5F577D82">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现文：投标人或者其他利害关系人对评标结果有异议的，应当在中标候选人公示期间提出。招标人将在收到异议之日起3日内作出答复；作出答复前，将暂停招标投标活动。</w:t>
      </w:r>
      <w:r>
        <w:rPr>
          <w:rFonts w:hint="eastAsia" w:cs="宋体"/>
          <w:sz w:val="24"/>
          <w:highlight w:val="none"/>
          <w:u w:val="single"/>
        </w:rPr>
        <w:t>注：投标人可以通过线下或线上的形式提出异议。线上提交的，应通过交易平台进行，招标人也应通过交易平台答复线上提交的异议。</w:t>
      </w:r>
    </w:p>
    <w:p w14:paraId="20AD8087">
      <w:pPr>
        <w:spacing w:line="360" w:lineRule="auto"/>
        <w:ind w:firstLine="482" w:firstLineChars="200"/>
        <w:rPr>
          <w:rFonts w:ascii="宋体" w:hAnsi="宋体" w:cs="宋体"/>
          <w:b/>
          <w:bCs/>
          <w:highlight w:val="none"/>
        </w:rPr>
      </w:pPr>
      <w:r>
        <w:rPr>
          <w:rFonts w:hint="eastAsia" w:ascii="宋体" w:hAnsi="宋体" w:cs="宋体"/>
          <w:b/>
          <w:bCs/>
          <w:highlight w:val="none"/>
        </w:rPr>
        <w:t>条款号：7.6             修改类型：删除</w:t>
      </w:r>
    </w:p>
    <w:p w14:paraId="00FA71F8">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rFonts w:cs="宋体"/>
          <w:sz w:val="24"/>
          <w:highlight w:val="none"/>
        </w:rPr>
      </w:pPr>
      <w:r>
        <w:rPr>
          <w:rFonts w:hint="eastAsia" w:cs="宋体"/>
          <w:bCs/>
          <w:sz w:val="24"/>
          <w:highlight w:val="none"/>
        </w:rPr>
        <w:t>原文：</w:t>
      </w:r>
      <w:r>
        <w:rPr>
          <w:rFonts w:hint="eastAsia" w:cs="宋体"/>
          <w:sz w:val="24"/>
          <w:highlight w:val="none"/>
        </w:rPr>
        <w:t>7.6  履约保证金</w:t>
      </w:r>
    </w:p>
    <w:p w14:paraId="69527E4C">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spacing w:val="-2"/>
          <w:sz w:val="24"/>
          <w:highlight w:val="none"/>
        </w:rPr>
        <w:t>主办方</w:t>
      </w:r>
      <w:r>
        <w:rPr>
          <w:rFonts w:hint="eastAsia" w:cs="宋体"/>
          <w:sz w:val="24"/>
          <w:highlight w:val="none"/>
        </w:rPr>
        <w:t>的名义提交。</w:t>
      </w:r>
    </w:p>
    <w:p w14:paraId="63750049">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7.6.2 中标人不能按本章第 7.6.1 项要求提交履约保证金的，视为放弃中标，其投标保证金不予退还，给招标人造成的损失超过投标保证金数额的，中标人还应当对超过部分予以赔偿。</w:t>
      </w:r>
    </w:p>
    <w:p w14:paraId="012EE370">
      <w:pPr>
        <w:spacing w:line="360" w:lineRule="auto"/>
        <w:ind w:firstLine="540" w:firstLineChars="224"/>
        <w:rPr>
          <w:rFonts w:ascii="宋体" w:hAnsi="宋体"/>
          <w:b/>
          <w:highlight w:val="none"/>
        </w:rPr>
      </w:pPr>
      <w:r>
        <w:rPr>
          <w:rFonts w:ascii="宋体" w:hAnsi="宋体"/>
          <w:b/>
          <w:highlight w:val="none"/>
        </w:rPr>
        <w:t>条款号：</w:t>
      </w:r>
      <w:r>
        <w:rPr>
          <w:rFonts w:ascii="宋体" w:hAnsi="宋体" w:eastAsia="宋体"/>
          <w:b/>
          <w:highlight w:val="none"/>
        </w:rPr>
        <w:t>7.7</w:t>
      </w:r>
      <w:r>
        <w:rPr>
          <w:rFonts w:ascii="宋体" w:hAnsi="宋体"/>
          <w:b/>
          <w:highlight w:val="none"/>
        </w:rPr>
        <w:t xml:space="preserve">        修改类型：修改</w:t>
      </w:r>
    </w:p>
    <w:p w14:paraId="4426970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sz w:val="24"/>
          <w:highlight w:val="none"/>
        </w:rPr>
      </w:pPr>
      <w:r>
        <w:rPr>
          <w:sz w:val="24"/>
          <w:highlight w:val="none"/>
        </w:rPr>
        <w:t>原文：</w:t>
      </w:r>
      <w:r>
        <w:rPr>
          <w:rFonts w:cs="宋体"/>
          <w:sz w:val="24"/>
          <w:highlight w:val="none"/>
        </w:rPr>
        <w:t>7.7  签订合同</w:t>
      </w:r>
    </w:p>
    <w:p w14:paraId="50DC8F5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sz w:val="24"/>
          <w:highlight w:val="none"/>
        </w:rPr>
      </w:pPr>
      <w:r>
        <w:rPr>
          <w:sz w:val="24"/>
          <w:highlight w:val="none"/>
        </w:rPr>
        <w:t>7.7.1 招标人和中标人应当在中标通知书发出之日起30日内，根据招标文件和中标人的投标文件订立书面合同</w:t>
      </w:r>
      <w:r>
        <w:rPr>
          <w:rFonts w:hint="eastAsia"/>
          <w:sz w:val="24"/>
          <w:highlight w:val="none"/>
        </w:rPr>
        <w:t>，并通过电子交易系统与中标人在线签订合同</w:t>
      </w:r>
      <w:r>
        <w:rPr>
          <w:sz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37893CC">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sz w:val="24"/>
          <w:highlight w:val="none"/>
        </w:rPr>
      </w:pPr>
      <w:r>
        <w:rPr>
          <w:sz w:val="24"/>
          <w:highlight w:val="none"/>
        </w:rPr>
        <w:t>7.7.2 发出中标通知书后，招标人无正当理由拒签合同，或者在签订合同时向中标人提出附加条件的，招标人向中标人退还投标保证金；给中标人造成损失的，还应当赔偿损失。</w:t>
      </w:r>
    </w:p>
    <w:p w14:paraId="6A99A87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sz w:val="24"/>
          <w:highlight w:val="none"/>
        </w:rPr>
      </w:pPr>
      <w:r>
        <w:rPr>
          <w:sz w:val="24"/>
          <w:highlight w:val="none"/>
        </w:rPr>
        <w:t>7.7.3 联合体中标的，联合体各方应当共同与招标人签订合同，就中标项目向招标人承担连带责任。</w:t>
      </w:r>
    </w:p>
    <w:p w14:paraId="1E3084AF">
      <w:pPr>
        <w:pBdr>
          <w:bottom w:val="single" w:color="auto" w:sz="6" w:space="1"/>
        </w:pBdr>
        <w:spacing w:line="360" w:lineRule="auto"/>
        <w:ind w:firstLine="537" w:firstLineChars="224"/>
        <w:rPr>
          <w:rFonts w:ascii="宋体" w:hAnsi="宋体"/>
          <w:highlight w:val="none"/>
        </w:rPr>
      </w:pPr>
      <w:r>
        <w:rPr>
          <w:rFonts w:ascii="宋体" w:hAnsi="宋体"/>
          <w:highlight w:val="none"/>
        </w:rPr>
        <w:t>现文：</w:t>
      </w:r>
      <w:r>
        <w:rPr>
          <w:rFonts w:ascii="宋体" w:hAnsi="宋体" w:eastAsia="宋体" w:cs="宋体"/>
          <w:highlight w:val="none"/>
          <w:u w:val="single"/>
        </w:rPr>
        <w:t>7.7  签订合同</w:t>
      </w:r>
    </w:p>
    <w:p w14:paraId="7BB79682">
      <w:pPr>
        <w:pBdr>
          <w:bottom w:val="single" w:color="auto" w:sz="6" w:space="1"/>
        </w:pBdr>
        <w:spacing w:line="360" w:lineRule="auto"/>
        <w:ind w:firstLine="537" w:firstLineChars="224"/>
        <w:rPr>
          <w:rFonts w:ascii="宋体" w:hAnsi="宋体" w:eastAsia="宋体"/>
          <w:highlight w:val="none"/>
          <w:u w:val="single"/>
        </w:rPr>
      </w:pPr>
      <w:r>
        <w:rPr>
          <w:rFonts w:ascii="宋体" w:hAnsi="宋体" w:eastAsia="宋体"/>
          <w:highlight w:val="none"/>
          <w:u w:val="single"/>
        </w:rPr>
        <w:t xml:space="preserve">7.7.1 </w:t>
      </w:r>
      <w:r>
        <w:rPr>
          <w:highlight w:val="none"/>
          <w:u w:val="single"/>
        </w:rPr>
        <w:t>招标人和中标人应当在中标通知书发出之日起</w:t>
      </w:r>
      <w:r>
        <w:rPr>
          <w:rFonts w:ascii="宋体" w:hAnsi="宋体" w:eastAsia="宋体"/>
          <w:highlight w:val="none"/>
          <w:u w:val="single"/>
        </w:rPr>
        <w:t>30日</w:t>
      </w:r>
      <w:r>
        <w:rPr>
          <w:highlight w:val="none"/>
          <w:u w:val="single"/>
        </w:rPr>
        <w:t>内，根据招标文件和中标人的投标文件订立书面合同</w:t>
      </w:r>
      <w:r>
        <w:rPr>
          <w:rFonts w:hint="eastAsia"/>
          <w:highlight w:val="none"/>
          <w:u w:val="single"/>
        </w:rPr>
        <w:t>，并通过电子交易系统与中标人在线签订合同</w:t>
      </w:r>
      <w:r>
        <w:rPr>
          <w:highlight w:val="none"/>
          <w:u w:val="single"/>
        </w:rPr>
        <w:t>。中标人无正当理由拒签合同，在签订合同时向招标人提出附加条件，招标人有权取消其中标资格；给招标人造成的损失，中标人还应当予以赔偿</w:t>
      </w:r>
      <w:r>
        <w:rPr>
          <w:rFonts w:hint="eastAsia"/>
          <w:highlight w:val="none"/>
          <w:u w:val="single"/>
        </w:rPr>
        <w:t>。</w:t>
      </w:r>
    </w:p>
    <w:p w14:paraId="28C23571">
      <w:pPr>
        <w:pBdr>
          <w:bottom w:val="single" w:color="auto" w:sz="6" w:space="1"/>
        </w:pBdr>
        <w:spacing w:line="360" w:lineRule="auto"/>
        <w:ind w:firstLine="537" w:firstLineChars="224"/>
        <w:rPr>
          <w:rFonts w:ascii="宋体" w:hAnsi="宋体" w:cs="宋体"/>
          <w:spacing w:val="-2"/>
          <w:position w:val="-1"/>
          <w:sz w:val="28"/>
          <w:szCs w:val="28"/>
          <w:highlight w:val="none"/>
        </w:rPr>
      </w:pPr>
      <w:r>
        <w:rPr>
          <w:rFonts w:ascii="宋体" w:hAnsi="宋体" w:eastAsia="宋体"/>
          <w:highlight w:val="none"/>
          <w:u w:val="single"/>
        </w:rPr>
        <w:t>7.7.2</w:t>
      </w:r>
      <w:r>
        <w:rPr>
          <w:rFonts w:hint="eastAsia"/>
          <w:highlight w:val="none"/>
          <w:u w:val="single"/>
        </w:rPr>
        <w:t xml:space="preserve"> </w:t>
      </w:r>
      <w:r>
        <w:rPr>
          <w:highlight w:val="none"/>
          <w:u w:val="single"/>
        </w:rPr>
        <w:t>发出中标通知书后，招标人无正当理由拒签合同，或者在签订合同时向中标人提出附加条件的</w:t>
      </w:r>
      <w:r>
        <w:rPr>
          <w:rFonts w:hint="eastAsia"/>
          <w:highlight w:val="none"/>
          <w:u w:val="single"/>
        </w:rPr>
        <w:t>，</w:t>
      </w:r>
      <w:r>
        <w:rPr>
          <w:highlight w:val="none"/>
          <w:u w:val="single"/>
        </w:rPr>
        <w:t>给中标人造成损失的，还应当赔偿损失。</w:t>
      </w:r>
    </w:p>
    <w:p w14:paraId="75AA9B34">
      <w:pPr>
        <w:rPr>
          <w:highlight w:val="none"/>
        </w:rPr>
      </w:pPr>
    </w:p>
    <w:p w14:paraId="1377B3EC">
      <w:pPr>
        <w:tabs>
          <w:tab w:val="left" w:pos="511"/>
        </w:tabs>
        <w:rPr>
          <w:highlight w:val="none"/>
        </w:rPr>
        <w:sectPr>
          <w:pgSz w:w="11905" w:h="16838"/>
          <w:pgMar w:top="1417" w:right="1417" w:bottom="1417" w:left="1417" w:header="992" w:footer="992" w:gutter="0"/>
          <w:cols w:space="720" w:num="1"/>
        </w:sectPr>
      </w:pPr>
      <w:r>
        <w:rPr>
          <w:rFonts w:hint="eastAsia"/>
          <w:highlight w:val="none"/>
        </w:rPr>
        <w:t>（以下无正文）</w:t>
      </w:r>
    </w:p>
    <w:p w14:paraId="34D40187">
      <w:pPr>
        <w:pStyle w:val="4"/>
        <w:spacing w:before="120" w:after="120"/>
        <w:rPr>
          <w:rFonts w:cs="宋体"/>
          <w:b w:val="0"/>
          <w:highlight w:val="none"/>
        </w:rPr>
      </w:pPr>
      <w:bookmarkStart w:id="49" w:name="_Toc16248"/>
      <w:r>
        <w:rPr>
          <w:rFonts w:cs="宋体"/>
          <w:highlight w:val="none"/>
        </w:rPr>
        <w:t>1.总则</w:t>
      </w:r>
      <w:bookmarkEnd w:id="49"/>
    </w:p>
    <w:p w14:paraId="545198EA">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0" w:name="bookmark21"/>
      <w:bookmarkEnd w:id="50"/>
      <w:bookmarkStart w:id="51" w:name="_Toc21335"/>
      <w:r>
        <w:rPr>
          <w:sz w:val="24"/>
          <w:highlight w:val="none"/>
        </w:rPr>
        <w:t>1.1 招标项目概况</w:t>
      </w:r>
      <w:bookmarkEnd w:id="51"/>
    </w:p>
    <w:p w14:paraId="289867AF">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1.1.1 根据《中华人民共和国招标投标法》、《中华人民共和国招标投标法实施条例》等有关法律、法规和规章的规定，本招标项目已具备招标条件，现对监理进行招标。</w:t>
      </w:r>
    </w:p>
    <w:p w14:paraId="243D7128">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1.1.2 招标人：见投标人须知前附表。</w:t>
      </w:r>
    </w:p>
    <w:p w14:paraId="29D04486">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1.1.3 招标代理机构：见投标人须知前附表。</w:t>
      </w:r>
    </w:p>
    <w:p w14:paraId="2C21EA45">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1.1.4 招标项目名称：见投标人须知前附表。</w:t>
      </w:r>
    </w:p>
    <w:p w14:paraId="51D55C6F">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1.1.5 项目建设地点：见投标人须知前附表。</w:t>
      </w:r>
    </w:p>
    <w:p w14:paraId="5D6537C0">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1.1.6 项目建设规模：见投标人须知前附表。</w:t>
      </w:r>
    </w:p>
    <w:p w14:paraId="23E77B4D">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1.1.7 工程项目施工预计开工日期和建设周期：见投标人须知前附表。</w:t>
      </w:r>
    </w:p>
    <w:p w14:paraId="5DC89F19">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1.1.8 建筑安装工程费/工程概算：见投标人须知前附表。</w:t>
      </w:r>
    </w:p>
    <w:p w14:paraId="244A697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2" w:name="bookmark22"/>
      <w:bookmarkEnd w:id="52"/>
      <w:bookmarkStart w:id="53" w:name="_Toc17099"/>
      <w:r>
        <w:rPr>
          <w:sz w:val="24"/>
          <w:highlight w:val="none"/>
        </w:rPr>
        <w:t>1.2 招标项目的资金来源和落实情况</w:t>
      </w:r>
      <w:bookmarkEnd w:id="53"/>
    </w:p>
    <w:p w14:paraId="265B6BA9">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1.2.1 资金来源及比例：见投标人须知前附表。</w:t>
      </w:r>
    </w:p>
    <w:p w14:paraId="4EE6D430">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1.2.2 资金落实情况：见投标人须知前附表。</w:t>
      </w:r>
    </w:p>
    <w:p w14:paraId="3C4B1A29">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4" w:name="bookmark23"/>
      <w:bookmarkEnd w:id="54"/>
      <w:bookmarkStart w:id="55" w:name="_Toc4457"/>
      <w:r>
        <w:rPr>
          <w:sz w:val="24"/>
          <w:highlight w:val="none"/>
        </w:rPr>
        <w:t>1.3 招标范围、监理服务期限和质量标准</w:t>
      </w:r>
      <w:bookmarkEnd w:id="55"/>
    </w:p>
    <w:p w14:paraId="2C6F166D">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1.3.1 招标范围：见投标人须知前附表。</w:t>
      </w:r>
    </w:p>
    <w:p w14:paraId="337939A2">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1.3.2 监理服务期限：见投标人须知前附表。</w:t>
      </w:r>
    </w:p>
    <w:p w14:paraId="052B8EBB">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1.3.3 质量标准：见投标人须知前附表。</w:t>
      </w:r>
    </w:p>
    <w:p w14:paraId="6A678F4A">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6" w:name="bookmark24"/>
      <w:bookmarkEnd w:id="56"/>
      <w:bookmarkStart w:id="57" w:name="_Toc13328"/>
      <w:r>
        <w:rPr>
          <w:sz w:val="24"/>
          <w:highlight w:val="none"/>
        </w:rPr>
        <w:t>1.4 投标人资格要求</w:t>
      </w:r>
      <w:bookmarkEnd w:id="57"/>
    </w:p>
    <w:p w14:paraId="228B481A">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1.4.1 投标人应具备承担本招标项目资质条件、能力和信誉：</w:t>
      </w:r>
    </w:p>
    <w:p w14:paraId="65DF33B9">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（1）资质要求：见投标人须知前附表；</w:t>
      </w:r>
    </w:p>
    <w:p w14:paraId="183E2450">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（2）财务要求：见投标人须知前附表；</w:t>
      </w:r>
    </w:p>
    <w:p w14:paraId="6860C3A8">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（3）业绩要求：见投标人须知前附表；</w:t>
      </w:r>
    </w:p>
    <w:p w14:paraId="250078D2">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（4）信誉要求：见投标人须知前附表；</w:t>
      </w:r>
    </w:p>
    <w:p w14:paraId="4B21EA53">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（5）总监理工程师的资格要求：应当具备工程注册监理工程师执业资格，具体要求见投标人须知前附表；</w:t>
      </w:r>
    </w:p>
    <w:p w14:paraId="7D490F1A">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（6）其他主要人员要求：见投标人须知前附表。</w:t>
      </w:r>
    </w:p>
    <w:p w14:paraId="6542DA25">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（7）试验检测仪器设备要求：见投标人须知前附表。</w:t>
      </w:r>
    </w:p>
    <w:p w14:paraId="58C09C1F">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（8）其他要求：见投标人须知前附表。需要提交的相关证明材料见本章第 3.5 款的规定。</w:t>
      </w:r>
    </w:p>
    <w:p w14:paraId="4B6A6C8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1.4.2 投标人须知前附表规定接受联合体投标的，联合体除应符合本章第 1.4.1 项和投标人须知前附表的要求外，还应遵守以下规定：</w:t>
      </w:r>
    </w:p>
    <w:p w14:paraId="7467D84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（1）联合体各方应按招标文件提供的格式签订联合体协议书，明确联合体</w:t>
      </w:r>
      <w:r>
        <w:rPr>
          <w:spacing w:val="-2"/>
          <w:sz w:val="24"/>
          <w:highlight w:val="none"/>
        </w:rPr>
        <w:t>主办方</w:t>
      </w:r>
      <w:r>
        <w:rPr>
          <w:sz w:val="24"/>
          <w:highlight w:val="none"/>
        </w:rPr>
        <w:t>和各方权利义务，并承诺就中标项目向招标人承担连带责任；</w:t>
      </w:r>
    </w:p>
    <w:p w14:paraId="1521AB7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（2）由同一专业的单位组成的联合体，按照资质等级较低的单位确定资质等级；</w:t>
      </w:r>
    </w:p>
    <w:p w14:paraId="0648613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（3）联合体各方不得再以自己名义单独或参加其他联合体在本招标项目中投标，否则各相关投标均无效。</w:t>
      </w:r>
    </w:p>
    <w:p w14:paraId="60755BA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1.4.3 投标人不得存在下列情形之一：</w:t>
      </w:r>
    </w:p>
    <w:p w14:paraId="0256453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（1）为招标人不具有独立法人资格的附属机构（单位）；</w:t>
      </w:r>
    </w:p>
    <w:p w14:paraId="491BF10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（2）与招标人存在利害关系且可能影响招标公正性；</w:t>
      </w:r>
    </w:p>
    <w:p w14:paraId="249E2F0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（3）与本招标项目的其他投标人为同一个单位负责人；</w:t>
      </w:r>
    </w:p>
    <w:p w14:paraId="0506ABC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（4）与本招标项目的其他投标人存在控股、管理关系；</w:t>
      </w:r>
    </w:p>
    <w:p w14:paraId="561B852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（5）为本招标项目的代建人；</w:t>
      </w:r>
    </w:p>
    <w:p w14:paraId="4379251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（6）为本招标项目的招标代理机构；</w:t>
      </w:r>
    </w:p>
    <w:p w14:paraId="284B2B2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（7）与本招标项目的代建人或招标代理机构同为一个法定代表人；</w:t>
      </w:r>
    </w:p>
    <w:p w14:paraId="32D7549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（8）与本招标项目的代建人或招标代理机构存在控股或参股关系；</w:t>
      </w:r>
    </w:p>
    <w:p w14:paraId="1A37269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（9）与本招标项目的检测机构、建设、施工单位以及建筑材料、建筑构配件和设备供应商有隶属关系或者其他利害关系有隶属关系或者其他利害关系；</w:t>
      </w:r>
    </w:p>
    <w:p w14:paraId="2A0A838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（10）被依法暂停或者取消投标资格；</w:t>
      </w:r>
    </w:p>
    <w:p w14:paraId="481D39F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（11）被依法暂停或取消投标资格的；</w:t>
      </w:r>
      <w:r>
        <w:rPr>
          <w:rFonts w:hint="eastAsia"/>
          <w:sz w:val="24"/>
          <w:highlight w:val="none"/>
        </w:rPr>
        <w:t>(</w:t>
      </w:r>
      <w:r>
        <w:rPr>
          <w:sz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sz w:val="24"/>
          <w:highlight w:val="none"/>
        </w:rPr>
        <w:t>)</w:t>
      </w:r>
      <w:r>
        <w:rPr>
          <w:sz w:val="24"/>
          <w:highlight w:val="none"/>
        </w:rPr>
        <w:t>；</w:t>
      </w:r>
    </w:p>
    <w:p w14:paraId="58E5E7A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（12）被责令停产停业、暂扣或者吊销许可证、暂扣或者吊销执照的（本项事实应当以根据《中华人民共和国行政处罚法》依法作出并已经生效的行政处罚决定为认定依据。）；</w:t>
      </w:r>
    </w:p>
    <w:p w14:paraId="4074E6B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（13）进入清算程序，或被宣布破产，或其他丧失履约能力的情形；</w:t>
      </w:r>
    </w:p>
    <w:p w14:paraId="4900B72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6F5970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w:t>
      </w:r>
      <w:r>
        <w:rPr>
          <w:rFonts w:hint="eastAsia"/>
          <w:sz w:val="24"/>
          <w:highlight w:val="none"/>
        </w:rPr>
        <w:t>5</w:t>
      </w:r>
      <w:r>
        <w:rPr>
          <w:sz w:val="24"/>
          <w:highlight w:val="none"/>
        </w:rPr>
        <w:t>）法律法规规定的其他情形。</w:t>
      </w:r>
    </w:p>
    <w:p w14:paraId="18183BCE">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58" w:name="bookmark25"/>
      <w:bookmarkEnd w:id="58"/>
      <w:bookmarkStart w:id="59" w:name="_Toc12360"/>
      <w:r>
        <w:rPr>
          <w:sz w:val="24"/>
          <w:highlight w:val="none"/>
        </w:rPr>
        <w:t>1.5 费用承担</w:t>
      </w:r>
      <w:bookmarkEnd w:id="59"/>
    </w:p>
    <w:p w14:paraId="6D21B54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投标人准备和参加投标活动发生的费用自理。</w:t>
      </w:r>
    </w:p>
    <w:p w14:paraId="52AE5E3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0" w:name="bookmark26"/>
      <w:bookmarkEnd w:id="60"/>
      <w:bookmarkStart w:id="61" w:name="_Toc8195"/>
      <w:r>
        <w:rPr>
          <w:sz w:val="24"/>
          <w:highlight w:val="none"/>
        </w:rPr>
        <w:t>1.6 保密</w:t>
      </w:r>
      <w:bookmarkEnd w:id="61"/>
    </w:p>
    <w:p w14:paraId="5E5A781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参与招标投标活动的各方应对招标文件和投标文件中的商业和技术等秘密保密，否则应承 担相应的法律责任。</w:t>
      </w:r>
    </w:p>
    <w:p w14:paraId="0E7EA5D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2" w:name="bookmark27"/>
      <w:bookmarkEnd w:id="62"/>
      <w:bookmarkStart w:id="63" w:name="_Toc12511"/>
      <w:r>
        <w:rPr>
          <w:sz w:val="24"/>
          <w:highlight w:val="none"/>
        </w:rPr>
        <w:t>1.7 语言文字</w:t>
      </w:r>
      <w:bookmarkEnd w:id="63"/>
    </w:p>
    <w:p w14:paraId="4A3D258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招标投标文件使用的语言文字为中文。专用术语使用外文的，应附有中文注释。</w:t>
      </w:r>
    </w:p>
    <w:p w14:paraId="128033E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4" w:name="bookmark28"/>
      <w:bookmarkEnd w:id="64"/>
      <w:bookmarkStart w:id="65" w:name="_Toc30360"/>
      <w:r>
        <w:rPr>
          <w:sz w:val="24"/>
          <w:highlight w:val="none"/>
        </w:rPr>
        <w:t>1.8 计量单位</w:t>
      </w:r>
      <w:bookmarkEnd w:id="65"/>
    </w:p>
    <w:p w14:paraId="2254F5F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所有计量均采用中华人民共和国法定计量单位。</w:t>
      </w:r>
    </w:p>
    <w:p w14:paraId="7035EEB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6" w:name="bookmark29"/>
      <w:bookmarkEnd w:id="66"/>
      <w:bookmarkStart w:id="67" w:name="_Toc13105"/>
      <w:r>
        <w:rPr>
          <w:sz w:val="24"/>
          <w:highlight w:val="none"/>
        </w:rPr>
        <w:t>1.9 踏勘现场</w:t>
      </w:r>
      <w:bookmarkEnd w:id="67"/>
    </w:p>
    <w:p w14:paraId="0DF5FC4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0FD87E5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1.9.2 投标人踏勘现场发生的费用自理。</w:t>
      </w:r>
    </w:p>
    <w:p w14:paraId="6F4317B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1.9.3 除招标人的原因外，投标人自行负责在踏勘现场中所发生的人员伤亡和财产损失。</w:t>
      </w:r>
    </w:p>
    <w:p w14:paraId="08FACAB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1.9.4 招标人在踏勘现场中介绍的工程场地和相关的周边环境情况，供投标人在编制投标文 件时参考，招标人不对投标人据此作出的判断和决策负责。</w:t>
      </w:r>
    </w:p>
    <w:p w14:paraId="4BF348CE">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68" w:name="bookmark30"/>
      <w:bookmarkEnd w:id="68"/>
      <w:bookmarkStart w:id="69" w:name="_Toc12293"/>
      <w:r>
        <w:rPr>
          <w:sz w:val="24"/>
          <w:highlight w:val="none"/>
        </w:rPr>
        <w:t>1.10 投标预备会</w:t>
      </w:r>
      <w:bookmarkEnd w:id="69"/>
    </w:p>
    <w:p w14:paraId="69686FF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1.10.1 投标人须知前附表规定召开投标预备会的，招标人按投标人须知前附表规定的时间和地点召开投标预备会，澄清投标人提出的问题。</w:t>
      </w:r>
    </w:p>
    <w:p w14:paraId="1468544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1.10.2 投标人应按投标人须知前附表规定的时间和形式将提出的问题送达招标人，以便招标人在会议期间澄清。</w:t>
      </w:r>
    </w:p>
    <w:p w14:paraId="243E305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1.10.3 投标预备会后，招标人将对投标人所提问题的澄清，以投标人须知前附表规定的形式通知所有潜在投标人。该澄清内容为招标文件的组成部分。</w:t>
      </w:r>
    </w:p>
    <w:p w14:paraId="16BA9858">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70" w:name="bookmark31"/>
      <w:bookmarkEnd w:id="70"/>
      <w:bookmarkStart w:id="71" w:name="_Toc19938"/>
      <w:r>
        <w:rPr>
          <w:sz w:val="24"/>
          <w:highlight w:val="none"/>
        </w:rPr>
        <w:t>1.11 分包</w:t>
      </w:r>
      <w:bookmarkEnd w:id="71"/>
    </w:p>
    <w:p w14:paraId="25F3D91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本项目严禁分包。</w:t>
      </w:r>
    </w:p>
    <w:p w14:paraId="6B5F8FBE">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72" w:name="bookmark32"/>
      <w:bookmarkEnd w:id="72"/>
      <w:bookmarkStart w:id="73" w:name="_Toc29362"/>
      <w:r>
        <w:rPr>
          <w:sz w:val="24"/>
          <w:highlight w:val="none"/>
        </w:rPr>
        <w:t>1.12 响应和偏差</w:t>
      </w:r>
      <w:bookmarkEnd w:id="73"/>
    </w:p>
    <w:p w14:paraId="2A1C689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1.12.1 投标文件应当对招标文件的实质性要求和条件作出满足性或更有利于招标人的响应，否则，投标人的投标将被否决。实质性要求和条件见投标人须知前附表。</w:t>
      </w:r>
    </w:p>
    <w:p w14:paraId="0539B2A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1.12.2 投标人应根据招标文件的要求提供投标监理大纲等内容以对招标文件作出响应。</w:t>
      </w:r>
    </w:p>
    <w:p w14:paraId="7A0FEC1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1.12.3 投标人须知前附表允许投标文件偏离招标文件某些要求的，偏差应当符合招标文件规定的偏差范围和幅度。</w:t>
      </w:r>
    </w:p>
    <w:p w14:paraId="7C5F086D">
      <w:pPr>
        <w:pStyle w:val="4"/>
        <w:spacing w:before="120" w:after="120"/>
        <w:rPr>
          <w:rFonts w:cs="宋体"/>
          <w:highlight w:val="none"/>
        </w:rPr>
      </w:pPr>
      <w:bookmarkStart w:id="74" w:name="bookmark33"/>
      <w:bookmarkEnd w:id="74"/>
      <w:bookmarkStart w:id="75" w:name="_Toc5819"/>
      <w:r>
        <w:rPr>
          <w:rFonts w:cs="宋体"/>
          <w:highlight w:val="none"/>
        </w:rPr>
        <w:t>2.招标文件</w:t>
      </w:r>
      <w:bookmarkEnd w:id="75"/>
    </w:p>
    <w:p w14:paraId="0006FD4A">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sz w:val="24"/>
          <w:highlight w:val="none"/>
        </w:rPr>
      </w:pPr>
      <w:bookmarkStart w:id="76" w:name="bookmark34"/>
      <w:bookmarkEnd w:id="76"/>
      <w:bookmarkStart w:id="77" w:name="_Toc2597"/>
      <w:r>
        <w:rPr>
          <w:sz w:val="24"/>
          <w:highlight w:val="none"/>
        </w:rPr>
        <w:t>2.1 招标文件的组成</w:t>
      </w:r>
      <w:bookmarkEnd w:id="77"/>
    </w:p>
    <w:p w14:paraId="4940835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本招标文件包括：</w:t>
      </w:r>
    </w:p>
    <w:p w14:paraId="03A5837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（1）招标公告；</w:t>
      </w:r>
    </w:p>
    <w:p w14:paraId="08AA7E6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（2）投标人须知；</w:t>
      </w:r>
    </w:p>
    <w:p w14:paraId="09CFA97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（3）评标办法；</w:t>
      </w:r>
    </w:p>
    <w:p w14:paraId="096B17B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（4）合同条款及格式；</w:t>
      </w:r>
    </w:p>
    <w:p w14:paraId="6796AC5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（5）委托人要求；</w:t>
      </w:r>
    </w:p>
    <w:p w14:paraId="75C6961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（6）投标文件格式；</w:t>
      </w:r>
    </w:p>
    <w:p w14:paraId="2DAE06C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（7）投标人须知前附表规定的其他资料。</w:t>
      </w:r>
    </w:p>
    <w:p w14:paraId="0E56731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根据本章第1.10款、第2.2款和第2.3款对招标文件所作的澄清、修改，构成招标文件的组成部分。</w:t>
      </w:r>
    </w:p>
    <w:p w14:paraId="1CF6396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78" w:name="bookmark38"/>
      <w:bookmarkEnd w:id="78"/>
      <w:bookmarkStart w:id="79" w:name="bookmark35"/>
      <w:bookmarkEnd w:id="79"/>
      <w:bookmarkStart w:id="80" w:name="_Toc3209"/>
      <w:r>
        <w:rPr>
          <w:sz w:val="24"/>
          <w:highlight w:val="none"/>
        </w:rPr>
        <w:t>2.2  招标文件的答疑</w:t>
      </w:r>
      <w:bookmarkEnd w:id="80"/>
    </w:p>
    <w:p w14:paraId="6FFFE71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2.2.1  投标人应仔细阅读和检查招标文件的全部内容。如有疑问，应按投标人须知前附表规定的时间和形式将提出的问题送达招标人，要求招标人对招标文件予以澄清。</w:t>
      </w:r>
    </w:p>
    <w:p w14:paraId="47EEDBF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2.2.2</w:t>
      </w:r>
      <w:r>
        <w:rPr>
          <w:rFonts w:hint="eastAsia"/>
          <w:sz w:val="24"/>
          <w:highlight w:val="none"/>
        </w:rPr>
        <w:t xml:space="preserve">  </w:t>
      </w:r>
      <w:r>
        <w:rPr>
          <w:sz w:val="24"/>
          <w:highlight w:val="none"/>
        </w:rPr>
        <w:t>招标答疑采用网上答疑方式进行。投标人若对招标文件有疑问的，通过</w:t>
      </w:r>
      <w:r>
        <w:rPr>
          <w:rFonts w:hint="eastAsia"/>
          <w:sz w:val="24"/>
          <w:highlight w:val="none"/>
        </w:rPr>
        <w:t>广州交易集团有限公司（广州公共资源交易中心）</w:t>
      </w:r>
      <w:r>
        <w:rPr>
          <w:sz w:val="24"/>
          <w:highlight w:val="none"/>
        </w:rPr>
        <w:t>网站提交，应按照</w:t>
      </w:r>
      <w:r>
        <w:rPr>
          <w:rFonts w:hint="eastAsia"/>
          <w:sz w:val="24"/>
          <w:highlight w:val="none"/>
        </w:rPr>
        <w:t>广州交易集团有限公司（广州公共资源交易中心）</w:t>
      </w:r>
      <w:r>
        <w:rPr>
          <w:sz w:val="24"/>
          <w:highlight w:val="none"/>
        </w:rPr>
        <w:t>网站关于全流程电子化项目的相关指南进行操作。提问一律不得署名。</w:t>
      </w:r>
    </w:p>
    <w:p w14:paraId="5C1D492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2.2.3  招标答疑会会议纪要将在提交投标文件截止时间 15 日前在</w:t>
      </w:r>
      <w:r>
        <w:rPr>
          <w:rFonts w:hint="eastAsia"/>
          <w:sz w:val="24"/>
          <w:highlight w:val="none"/>
        </w:rPr>
        <w:t>广州交易集团有限公司（广州公共资源交易中心）</w:t>
      </w:r>
      <w:r>
        <w:rPr>
          <w:sz w:val="24"/>
          <w:highlight w:val="none"/>
        </w:rPr>
        <w:t>网站“项目答疑纪要”专区公开发布。答疑纪要一经在</w:t>
      </w:r>
      <w:r>
        <w:rPr>
          <w:rFonts w:hint="eastAsia"/>
          <w:sz w:val="24"/>
          <w:highlight w:val="none"/>
        </w:rPr>
        <w:t>广州交易集团有限公司（广州公共资源交易中心）</w:t>
      </w:r>
      <w:r>
        <w:rPr>
          <w:sz w:val="24"/>
          <w:highlight w:val="none"/>
        </w:rPr>
        <w:t>网站发布，视作已发放给所有投标人。</w:t>
      </w:r>
    </w:p>
    <w:p w14:paraId="022EA32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2.2.4  招标答疑会会议纪要是招标文件的组成部分，对投标人起约束作用。</w:t>
      </w:r>
    </w:p>
    <w:p w14:paraId="67087E2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2.2.5  若招标答疑会会议纪要与招标文件有矛盾时，以</w:t>
      </w:r>
      <w:r>
        <w:rPr>
          <w:rFonts w:hint="eastAsia"/>
          <w:sz w:val="24"/>
          <w:highlight w:val="none"/>
        </w:rPr>
        <w:t>广州交易集团有限公司（广州公共资源交易中心）</w:t>
      </w:r>
      <w:r>
        <w:rPr>
          <w:sz w:val="24"/>
          <w:highlight w:val="none"/>
        </w:rPr>
        <w:t>网站最后发布的答疑纪要为准。</w:t>
      </w:r>
    </w:p>
    <w:p w14:paraId="5A0CA1D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81" w:name="_Toc15850"/>
      <w:r>
        <w:rPr>
          <w:sz w:val="24"/>
          <w:highlight w:val="none"/>
        </w:rPr>
        <w:t>2.3  招标文件的澄清与修改</w:t>
      </w:r>
      <w:bookmarkEnd w:id="81"/>
    </w:p>
    <w:p w14:paraId="2CBDCC4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2.3.1  招标文件发出后，在提交投标文件截止时间15日前，招标人可对招标文件进行必要的澄清或修改。</w:t>
      </w:r>
    </w:p>
    <w:p w14:paraId="0063DBB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2.3.2  招标文件的澄清或修改将在</w:t>
      </w:r>
      <w:r>
        <w:rPr>
          <w:rFonts w:hint="eastAsia"/>
          <w:sz w:val="24"/>
          <w:highlight w:val="none"/>
        </w:rPr>
        <w:t>广州交易集团有限公司（广州公共资源交易中心）</w:t>
      </w:r>
      <w:r>
        <w:rPr>
          <w:sz w:val="24"/>
          <w:highlight w:val="none"/>
        </w:rPr>
        <w:t>网站“项目答疑纪要”专区公开发布。招标文件的澄清或修改一经在</w:t>
      </w:r>
      <w:r>
        <w:rPr>
          <w:rFonts w:hint="eastAsia"/>
          <w:sz w:val="24"/>
          <w:highlight w:val="none"/>
        </w:rPr>
        <w:t>广州交易集团有限公司（广州公共资源交易中心）</w:t>
      </w:r>
      <w:r>
        <w:rPr>
          <w:sz w:val="24"/>
          <w:highlight w:val="none"/>
        </w:rPr>
        <w:t>网站发布，视作已发放给所有投标人，以</w:t>
      </w:r>
      <w:r>
        <w:rPr>
          <w:rFonts w:hint="eastAsia"/>
          <w:sz w:val="24"/>
          <w:highlight w:val="none"/>
        </w:rPr>
        <w:t>广州交易集团有限公司（广州公共资源交易中心）</w:t>
      </w:r>
      <w:r>
        <w:rPr>
          <w:sz w:val="24"/>
          <w:highlight w:val="none"/>
        </w:rPr>
        <w:t>网站发布时间作为送达时间。</w:t>
      </w:r>
    </w:p>
    <w:p w14:paraId="52EEC7D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2.3.3  招标文件的澄清或修改是招标文件的组成部分，对投标人起约束作用。</w:t>
      </w:r>
    </w:p>
    <w:p w14:paraId="383376E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2.3.4  招标文件的澄清或修改均以</w:t>
      </w:r>
      <w:r>
        <w:rPr>
          <w:rFonts w:hint="eastAsia"/>
          <w:sz w:val="24"/>
          <w:highlight w:val="none"/>
        </w:rPr>
        <w:t>广州交易集团有限公司（广州公共资源交易中心）</w:t>
      </w:r>
      <w:r>
        <w:rPr>
          <w:sz w:val="24"/>
          <w:highlight w:val="none"/>
        </w:rPr>
        <w:t>网站发布的内容为准。当招标文件的澄清、修改、补充等在同一内容的表述不一致时，以</w:t>
      </w:r>
      <w:r>
        <w:rPr>
          <w:rFonts w:hint="eastAsia"/>
          <w:sz w:val="24"/>
          <w:highlight w:val="none"/>
        </w:rPr>
        <w:t>广州交易集团有限公司（广州公共资源交易中心）</w:t>
      </w:r>
      <w:r>
        <w:rPr>
          <w:sz w:val="24"/>
          <w:highlight w:val="none"/>
        </w:rPr>
        <w:t>网站最后发布的内容为准。</w:t>
      </w:r>
    </w:p>
    <w:p w14:paraId="49E3396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spacing w:val="-11"/>
          <w:sz w:val="24"/>
          <w:highlight w:val="none"/>
        </w:rPr>
        <w:t>，即表示投标时间不延长。</w:t>
      </w:r>
    </w:p>
    <w:p w14:paraId="21B5F79E">
      <w:pPr>
        <w:pStyle w:val="4"/>
        <w:spacing w:before="120" w:after="120"/>
        <w:rPr>
          <w:rFonts w:cs="宋体"/>
          <w:highlight w:val="none"/>
        </w:rPr>
      </w:pPr>
      <w:bookmarkStart w:id="82" w:name="_Toc21710"/>
      <w:r>
        <w:rPr>
          <w:rFonts w:cs="宋体"/>
          <w:highlight w:val="none"/>
        </w:rPr>
        <w:t>3.投标文件</w:t>
      </w:r>
      <w:bookmarkEnd w:id="82"/>
    </w:p>
    <w:p w14:paraId="166AAD1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3" w:name="bookmark39"/>
      <w:bookmarkEnd w:id="83"/>
      <w:bookmarkStart w:id="84" w:name="_Toc20731"/>
      <w:r>
        <w:rPr>
          <w:rFonts w:cs="宋体"/>
          <w:sz w:val="24"/>
          <w:highlight w:val="none"/>
        </w:rPr>
        <w:t>3.1 投标文件的组成</w:t>
      </w:r>
      <w:bookmarkEnd w:id="84"/>
    </w:p>
    <w:p w14:paraId="74F1F62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3.1.1 投标文件应包括下列内容：</w:t>
      </w:r>
    </w:p>
    <w:p w14:paraId="4788858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（1）投标函及投标函附录；</w:t>
      </w:r>
    </w:p>
    <w:p w14:paraId="75131DA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（2）法定代表人身份证明或授权委托书；</w:t>
      </w:r>
    </w:p>
    <w:p w14:paraId="2B0A100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（3）联合体协议书；</w:t>
      </w:r>
    </w:p>
    <w:p w14:paraId="7153F9E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（4）投标保证金；</w:t>
      </w:r>
    </w:p>
    <w:p w14:paraId="605B3D0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（5）监理报酬清单；</w:t>
      </w:r>
    </w:p>
    <w:p w14:paraId="12CDE6E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（6）资格审查资料；</w:t>
      </w:r>
    </w:p>
    <w:p w14:paraId="6AA69AE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（7）监理大纲；</w:t>
      </w:r>
    </w:p>
    <w:p w14:paraId="2DFF3B8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（8）投标人须知前附表规定的其他资料。投标人在评标过程中作出的符合法律法规和招标文件规定的澄清确认，构成投标文件的组成部分。</w:t>
      </w:r>
    </w:p>
    <w:p w14:paraId="49029BD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3.1.2 投标人须知前附表规定不接受联合体投标的，或投标人没有组成联合体的，投标文件不包括本章第 3.1.1（3）目所指的联合体协议书。</w:t>
      </w:r>
    </w:p>
    <w:p w14:paraId="4D9918D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3.1.3 投标人须知前附表未要求提交投标保证金的，投标文件不包括本章第 3.1.1（4）目所指的投标保证金。</w:t>
      </w:r>
    </w:p>
    <w:p w14:paraId="5EB513E8">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5" w:name="bookmark40"/>
      <w:bookmarkEnd w:id="85"/>
      <w:bookmarkStart w:id="86" w:name="_Toc5145"/>
      <w:r>
        <w:rPr>
          <w:rFonts w:cs="宋体"/>
          <w:sz w:val="24"/>
          <w:highlight w:val="none"/>
        </w:rPr>
        <w:t>3.2 投标报价</w:t>
      </w:r>
      <w:bookmarkEnd w:id="86"/>
    </w:p>
    <w:p w14:paraId="2FB765E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65F8F58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3.2.2 投标人应充分了解该项目的总体情况以及影响投标报价的其他要素。</w:t>
      </w:r>
    </w:p>
    <w:p w14:paraId="6540848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033B46E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3.2.4 招标人设有最高投标限价的，投标人的投标报价不得超过最高投标限价，最高投标限价在投标人须知前附表中载明。</w:t>
      </w:r>
    </w:p>
    <w:p w14:paraId="1E6B1EB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3.2.5 投标报价的其他要求见投标人须知前附表。</w:t>
      </w:r>
    </w:p>
    <w:p w14:paraId="0179A41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87" w:name="bookmark41"/>
      <w:bookmarkEnd w:id="87"/>
      <w:bookmarkStart w:id="88" w:name="_Toc30013"/>
      <w:r>
        <w:rPr>
          <w:rFonts w:cs="宋体"/>
          <w:sz w:val="24"/>
          <w:highlight w:val="none"/>
        </w:rPr>
        <w:t>3.3 投标有效期</w:t>
      </w:r>
      <w:bookmarkEnd w:id="88"/>
    </w:p>
    <w:p w14:paraId="21E2680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3.3.1 除投标人须知前附表另有规定外，投标有效期为 90 天。</w:t>
      </w:r>
    </w:p>
    <w:p w14:paraId="740E7B3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3.3.2 在投标有效期内，投标人撤销投标文件的，应承担招标文件和法律规定的责任。</w:t>
      </w:r>
    </w:p>
    <w:p w14:paraId="2F17F85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0DBD7E94">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89" w:name="bookmark42"/>
      <w:bookmarkEnd w:id="89"/>
      <w:bookmarkStart w:id="90" w:name="_Toc7684"/>
      <w:r>
        <w:rPr>
          <w:rFonts w:cs="宋体"/>
          <w:sz w:val="24"/>
          <w:highlight w:val="none"/>
        </w:rPr>
        <w:t>3.4  投标保证金</w:t>
      </w:r>
      <w:bookmarkEnd w:id="90"/>
    </w:p>
    <w:p w14:paraId="007E607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08ACBAC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3.4.2 开标时投标人没有按要求提交投标保证金的，其投标文件将被否决。</w:t>
      </w:r>
    </w:p>
    <w:p w14:paraId="0CCF5E4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3.4.3 中标候选人以外的投标人的投标保证金将尽快退还，最迟不超过中标通知书发出之日起五日内；中标人和其他中标候选人的投标保证金，在书面合同订立之日起五日内予以退还。</w:t>
      </w:r>
    </w:p>
    <w:p w14:paraId="1D743B6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3.4.4 有下列情形之一的，投标保证金将不予退还：</w:t>
      </w:r>
    </w:p>
    <w:p w14:paraId="6D5699B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1</w:t>
      </w:r>
      <w:r>
        <w:rPr>
          <w:sz w:val="24"/>
          <w:highlight w:val="none"/>
        </w:rPr>
        <w:t>) 投标人在规定的投标有效期内撤销其投标文件；</w:t>
      </w:r>
    </w:p>
    <w:p w14:paraId="3033A6D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2</w:t>
      </w:r>
      <w:r>
        <w:rPr>
          <w:sz w:val="24"/>
          <w:highlight w:val="none"/>
        </w:rPr>
        <w:t>) 中标人在收到中标通知书后，无正当理由不与招标人订立合同，在签订合同时向招标 人提出附加条件，或者不按照招标文件要求提交履约保证金。</w:t>
      </w:r>
    </w:p>
    <w:p w14:paraId="1D02E954">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91" w:name="bookmark43"/>
      <w:bookmarkEnd w:id="91"/>
      <w:bookmarkStart w:id="92" w:name="bookmark44"/>
      <w:bookmarkEnd w:id="92"/>
      <w:bookmarkStart w:id="93" w:name="_Toc7177"/>
      <w:r>
        <w:rPr>
          <w:rFonts w:cs="宋体"/>
          <w:sz w:val="24"/>
          <w:highlight w:val="none"/>
        </w:rPr>
        <w:t>3.5 资格审查资料</w:t>
      </w:r>
      <w:bookmarkEnd w:id="93"/>
    </w:p>
    <w:p w14:paraId="579B96B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除投标人须知前附表另有规定外，投标人应按下列规定提供资格审查资料，以证明其满足本章第 1.4 款规定的资质、财务、业绩、信誉等要求。</w:t>
      </w:r>
    </w:p>
    <w:p w14:paraId="7BAEEF3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3.5.1 “投标人基本情况表”应附投标人营业执照、投标人监理资质证书副本等材料的扫描件。</w:t>
      </w:r>
    </w:p>
    <w:p w14:paraId="2D9DF0C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3.5.2 “近年完成的类似监理项目情况表”应附中标通知书和（或）合同协议书、委托人出具的证明文件；具体时间要求见投标人须知前附表，每张表格只填写一个项目，并标明序号。</w:t>
      </w:r>
    </w:p>
    <w:p w14:paraId="64849DD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w:t>
      </w:r>
      <w:r>
        <w:rPr>
          <w:rFonts w:hint="eastAsia"/>
          <w:sz w:val="24"/>
          <w:highlight w:val="none"/>
        </w:rPr>
        <w:t>（注：以上人员社保要求：具有离投标截止时间最近的至少1个月在本单位缴纳的社保证明文件。）</w:t>
      </w:r>
    </w:p>
    <w:p w14:paraId="2B4A91E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3.5.4 投标人须知前附表规定接受联合体投标的，本章第3.5.1 项至第3.5.3项规定的表格和资料应包括联合体各方相关情况。</w:t>
      </w:r>
    </w:p>
    <w:p w14:paraId="6B975E2C">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94" w:name="bookmark45"/>
      <w:bookmarkEnd w:id="94"/>
      <w:bookmarkStart w:id="95" w:name="_Toc25118"/>
      <w:r>
        <w:rPr>
          <w:rFonts w:cs="宋体"/>
          <w:sz w:val="24"/>
          <w:highlight w:val="none"/>
        </w:rPr>
        <w:t>3.6 备选投标方案</w:t>
      </w:r>
      <w:bookmarkEnd w:id="95"/>
    </w:p>
    <w:p w14:paraId="38480D8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3.6.1 除投标人须知前附表规定允许外，投标人不得递交备选投标方案，否则其投标将被否决。</w:t>
      </w:r>
    </w:p>
    <w:p w14:paraId="1C97120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7A0DE0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3.6.3 投标人提供两个或两个以上投标报价，或者在投标文件中提供一个报价，但同时提供两个或两个以上监理方案的，视为提供备选方案。</w:t>
      </w:r>
    </w:p>
    <w:p w14:paraId="34BE789A">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96" w:name="bookmark46"/>
      <w:bookmarkEnd w:id="96"/>
      <w:bookmarkStart w:id="97" w:name="_Toc5084"/>
      <w:r>
        <w:rPr>
          <w:rFonts w:cs="宋体"/>
          <w:sz w:val="24"/>
          <w:highlight w:val="none"/>
        </w:rPr>
        <w:t>3.7 投标文件的编制</w:t>
      </w:r>
      <w:bookmarkEnd w:id="97"/>
    </w:p>
    <w:p w14:paraId="5C28C8C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66CF9AA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3.7.2  投标文件应当对招标文件有关监理服务期限、投标有效期、委托人要求、招标范围等实质性内容作出响应。</w:t>
      </w:r>
    </w:p>
    <w:p w14:paraId="0F9E028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hint="eastAsia"/>
          <w:kern w:val="2"/>
          <w:sz w:val="24"/>
          <w:highlight w:val="none"/>
        </w:rPr>
        <w:t>（</w:t>
      </w:r>
      <w:r>
        <w:rPr>
          <w:rFonts w:ascii="Calibri" w:hAnsi="Calibri"/>
          <w:kern w:val="2"/>
          <w:sz w:val="24"/>
          <w:highlight w:val="none"/>
        </w:rPr>
        <w:t>可靠的电子签名与手写签名或者盖章具有同等的法律效力</w:t>
      </w:r>
      <w:r>
        <w:rPr>
          <w:rFonts w:hint="eastAsia"/>
          <w:kern w:val="2"/>
          <w:sz w:val="24"/>
          <w:highlight w:val="none"/>
        </w:rPr>
        <w:t>）</w:t>
      </w:r>
      <w:r>
        <w:rPr>
          <w:sz w:val="24"/>
          <w:highlight w:val="none"/>
        </w:rPr>
        <w:t>。按照</w:t>
      </w:r>
      <w:r>
        <w:rPr>
          <w:rFonts w:hint="eastAsia"/>
          <w:sz w:val="24"/>
          <w:highlight w:val="none"/>
        </w:rPr>
        <w:t>广州交易集团有限公司（广州公共资源交易中心）</w:t>
      </w:r>
      <w:r>
        <w:rPr>
          <w:sz w:val="24"/>
          <w:highlight w:val="none"/>
        </w:rPr>
        <w:t>网站关于全流程电子化项目的相关指南进行操作。</w:t>
      </w:r>
    </w:p>
    <w:p w14:paraId="5E11231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2AAC783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3.7.5 </w:t>
      </w:r>
      <w:r>
        <w:rPr>
          <w:rFonts w:hint="eastAsia"/>
          <w:sz w:val="24"/>
          <w:highlight w:val="none"/>
        </w:rPr>
        <w:t xml:space="preserve"> </w:t>
      </w:r>
      <w:r>
        <w:rPr>
          <w:sz w:val="24"/>
          <w:highlight w:val="none"/>
        </w:rPr>
        <w:t>投标文件应按照</w:t>
      </w:r>
      <w:r>
        <w:rPr>
          <w:rFonts w:hint="eastAsia"/>
          <w:sz w:val="24"/>
          <w:highlight w:val="none"/>
        </w:rPr>
        <w:t>广州交易集团有限公司（广州公共资源交易中心）</w:t>
      </w:r>
      <w:r>
        <w:rPr>
          <w:sz w:val="24"/>
          <w:highlight w:val="none"/>
        </w:rPr>
        <w:t>网站关于全流程电子化项目的相关指南进行编制。如因不按上述编排要求编制而所引起系统无法检索、读取相关信息时，其后果将由投标人自行承担。</w:t>
      </w:r>
    </w:p>
    <w:p w14:paraId="2B26F872">
      <w:pPr>
        <w:pStyle w:val="4"/>
        <w:spacing w:before="120" w:after="120"/>
        <w:rPr>
          <w:rFonts w:cs="宋体"/>
          <w:highlight w:val="none"/>
        </w:rPr>
      </w:pPr>
      <w:bookmarkStart w:id="98" w:name="bookmark47"/>
      <w:bookmarkEnd w:id="98"/>
      <w:bookmarkStart w:id="99" w:name="_Toc25949"/>
      <w:r>
        <w:rPr>
          <w:rFonts w:cs="宋体"/>
          <w:highlight w:val="none"/>
        </w:rPr>
        <w:t>4.投标</w:t>
      </w:r>
      <w:bookmarkEnd w:id="99"/>
    </w:p>
    <w:p w14:paraId="4E1D4DB5">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0" w:name="bookmark48"/>
      <w:bookmarkEnd w:id="100"/>
      <w:bookmarkStart w:id="101" w:name="_Toc9375"/>
      <w:r>
        <w:rPr>
          <w:rFonts w:cs="宋体"/>
          <w:sz w:val="24"/>
          <w:highlight w:val="none"/>
        </w:rPr>
        <w:t>4.1  投标文件的加密</w:t>
      </w:r>
      <w:bookmarkEnd w:id="101"/>
    </w:p>
    <w:p w14:paraId="0D777CD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02" w:name="bookmark49"/>
      <w:bookmarkEnd w:id="102"/>
      <w:r>
        <w:rPr>
          <w:sz w:val="24"/>
          <w:highlight w:val="none"/>
        </w:rPr>
        <w:t xml:space="preserve">4.1.1 </w:t>
      </w:r>
      <w:r>
        <w:rPr>
          <w:rFonts w:hint="eastAsia"/>
          <w:sz w:val="24"/>
          <w:highlight w:val="none"/>
        </w:rPr>
        <w:t xml:space="preserve"> </w:t>
      </w:r>
      <w:r>
        <w:rPr>
          <w:sz w:val="24"/>
          <w:highlight w:val="none"/>
        </w:rPr>
        <w:t>递交的电子投标文件（不含备用光盘）必须进行加密。按照</w:t>
      </w:r>
      <w:r>
        <w:rPr>
          <w:rFonts w:hint="eastAsia"/>
          <w:sz w:val="24"/>
          <w:highlight w:val="none"/>
        </w:rPr>
        <w:t>广州交易集团有限公司（广州公共资源交易中心）</w:t>
      </w:r>
      <w:r>
        <w:rPr>
          <w:sz w:val="24"/>
          <w:highlight w:val="none"/>
        </w:rPr>
        <w:t>网站关于全流程电子化项目的相关指南进行操作。</w:t>
      </w:r>
    </w:p>
    <w:p w14:paraId="24ABAAB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4.1.2  未按要求加密的投标文件，</w:t>
      </w:r>
      <w:r>
        <w:rPr>
          <w:rFonts w:hint="eastAsia"/>
          <w:sz w:val="24"/>
          <w:highlight w:val="none"/>
        </w:rPr>
        <w:t>广州交易集团有限公司（广州公共资源交易中心）</w:t>
      </w:r>
      <w:r>
        <w:rPr>
          <w:sz w:val="24"/>
          <w:highlight w:val="none"/>
        </w:rPr>
        <w:t>网站交易平台将予以拒收。</w:t>
      </w:r>
    </w:p>
    <w:p w14:paraId="1736DAD4">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3" w:name="_Toc21435"/>
      <w:r>
        <w:rPr>
          <w:rFonts w:cs="宋体"/>
          <w:sz w:val="24"/>
          <w:highlight w:val="none"/>
        </w:rPr>
        <w:t>4.2  投标文件的递交</w:t>
      </w:r>
      <w:bookmarkEnd w:id="103"/>
    </w:p>
    <w:p w14:paraId="34D7D43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04" w:name="bookmark50"/>
      <w:bookmarkEnd w:id="104"/>
      <w:r>
        <w:rPr>
          <w:sz w:val="24"/>
          <w:highlight w:val="none"/>
        </w:rPr>
        <w:t>4.2.1  投标人应在投标人须知前附表规定的投标截止时间前，通过</w:t>
      </w:r>
      <w:r>
        <w:rPr>
          <w:rFonts w:hint="eastAsia"/>
          <w:sz w:val="24"/>
          <w:highlight w:val="none"/>
        </w:rPr>
        <w:t>广州交易集团有限公司（广州公共资源交易中心）</w:t>
      </w:r>
      <w:r>
        <w:rPr>
          <w:sz w:val="24"/>
          <w:highlight w:val="none"/>
        </w:rPr>
        <w:t>网站交易平台递交电子投标文件。</w:t>
      </w:r>
    </w:p>
    <w:p w14:paraId="5CA78D3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4.2.2  投标人完成电子投标文件上传后，</w:t>
      </w:r>
      <w:r>
        <w:rPr>
          <w:rFonts w:hint="eastAsia"/>
          <w:sz w:val="24"/>
          <w:highlight w:val="none"/>
        </w:rPr>
        <w:t>广州交易集团有限公司（广州公共资源交易中心）</w:t>
      </w:r>
      <w:r>
        <w:rPr>
          <w:sz w:val="24"/>
          <w:highlight w:val="none"/>
        </w:rPr>
        <w:t>网站交易平台即时向投标人发出递交回执通知。递交时间以递交回执通知载明的传输完成时间为准。</w:t>
      </w:r>
    </w:p>
    <w:p w14:paraId="2992BD0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4.2.3  逾期送达的电子投标文件，</w:t>
      </w:r>
      <w:r>
        <w:rPr>
          <w:rFonts w:hint="eastAsia"/>
          <w:sz w:val="24"/>
          <w:highlight w:val="none"/>
        </w:rPr>
        <w:t>广州交易集团有限公司（广州公共资源交易中心）</w:t>
      </w:r>
      <w:r>
        <w:rPr>
          <w:sz w:val="24"/>
          <w:highlight w:val="none"/>
        </w:rPr>
        <w:t>网站交易平台将予以拒收。</w:t>
      </w:r>
    </w:p>
    <w:p w14:paraId="7BD66E4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4.2.4  投标截止前，招标人拒绝接收符合条件的投标文件，投标人可向招标监督机构投诉。</w:t>
      </w:r>
      <w:bookmarkStart w:id="105" w:name="_bookmark83"/>
      <w:bookmarkEnd w:id="105"/>
    </w:p>
    <w:p w14:paraId="1E594706">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6" w:name="_Toc10029"/>
      <w:r>
        <w:rPr>
          <w:rFonts w:cs="宋体"/>
          <w:sz w:val="24"/>
          <w:highlight w:val="none"/>
        </w:rPr>
        <w:t>4.3  投标文件的修改与撤回</w:t>
      </w:r>
      <w:bookmarkEnd w:id="106"/>
    </w:p>
    <w:p w14:paraId="78DFC0D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4.3.1  在规定的投标截止时间前， 投标人可以修改或撤回已递交的投标文件， 但应以书面形式通知招标人。</w:t>
      </w:r>
    </w:p>
    <w:p w14:paraId="7792624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4.3.2  投标人修改或撤回已递交投标文件,需在交易平台发出修改或撤回通知，并按要求加盖电子印章。电子招标投标交易平台收到通知后，即时向投标人发出确认回执通知。</w:t>
      </w:r>
    </w:p>
    <w:p w14:paraId="1CE9AAA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4.3.3  修改后再次递交的，按第4.2项的规定执行。</w:t>
      </w:r>
    </w:p>
    <w:p w14:paraId="66CCAF2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4.3.4  在投标截止时间之后，投标人不得补充、修改和更换投标文件。</w:t>
      </w:r>
    </w:p>
    <w:p w14:paraId="5C68A3B4">
      <w:pPr>
        <w:pStyle w:val="4"/>
        <w:spacing w:before="120" w:after="120"/>
        <w:rPr>
          <w:rFonts w:cs="宋体"/>
          <w:highlight w:val="none"/>
        </w:rPr>
      </w:pPr>
      <w:bookmarkStart w:id="107" w:name="bookmark51"/>
      <w:bookmarkEnd w:id="107"/>
      <w:bookmarkStart w:id="108" w:name="_Toc21556"/>
      <w:r>
        <w:rPr>
          <w:rFonts w:cs="宋体"/>
          <w:highlight w:val="none"/>
        </w:rPr>
        <w:t>5.开标</w:t>
      </w:r>
      <w:bookmarkEnd w:id="108"/>
    </w:p>
    <w:p w14:paraId="72B840E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9" w:name="bookmark52"/>
      <w:bookmarkEnd w:id="109"/>
      <w:bookmarkStart w:id="110" w:name="bookmark53"/>
      <w:bookmarkEnd w:id="110"/>
      <w:bookmarkStart w:id="111" w:name="_Toc14844"/>
      <w:r>
        <w:rPr>
          <w:rFonts w:cs="宋体"/>
          <w:sz w:val="24"/>
          <w:highlight w:val="none"/>
        </w:rPr>
        <w:t>5.1 开标时间和地点</w:t>
      </w:r>
      <w:bookmarkEnd w:id="111"/>
    </w:p>
    <w:p w14:paraId="1481B1F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12" w:name="bookmark54"/>
      <w:bookmarkEnd w:id="112"/>
      <w:r>
        <w:rPr>
          <w:sz w:val="24"/>
          <w:highlight w:val="none"/>
        </w:rPr>
        <w:t>5.1.1  招标人按投标须知前附表规定的时间和地点公开开标。截标后，开标开始时间因故推迟的，相关评标信息仍以原定的开标开始时间的信息为准。</w:t>
      </w:r>
    </w:p>
    <w:p w14:paraId="322CB11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89EE9B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13" w:name="_Toc22847"/>
      <w:r>
        <w:rPr>
          <w:rFonts w:cs="宋体"/>
          <w:sz w:val="24"/>
          <w:highlight w:val="none"/>
        </w:rPr>
        <w:t>5.2 开标程序</w:t>
      </w:r>
      <w:bookmarkEnd w:id="113"/>
    </w:p>
    <w:p w14:paraId="44B188F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14" w:name="bookmark55"/>
      <w:bookmarkEnd w:id="114"/>
      <w:r>
        <w:rPr>
          <w:sz w:val="24"/>
          <w:highlight w:val="none"/>
        </w:rPr>
        <w:t>5.2.1   在投标截止时间后</w:t>
      </w:r>
      <w:r>
        <w:rPr>
          <w:sz w:val="24"/>
          <w:highlight w:val="none"/>
          <w:u w:val="single"/>
        </w:rPr>
        <w:t>半小时</w:t>
      </w:r>
      <w:r>
        <w:rPr>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6722F8E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5.2.2  按开标记录表规定的内容进行唱标。</w:t>
      </w:r>
    </w:p>
    <w:p w14:paraId="4AC5137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5.2.3  投标人代表、招标人代表、监标人、记录人等有关人员在开标记录上签字确认；若有关人员不签字的，不影响开标程序。</w:t>
      </w:r>
    </w:p>
    <w:p w14:paraId="06613C2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5.2.4  开标结束。</w:t>
      </w:r>
    </w:p>
    <w:p w14:paraId="6173841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727990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5.2.6  开标时，两个（含两个）以上的投标人加密打包投标文件电脑机器特征码一致的，不参与下一程序，并由评标委员会否决其投标。</w:t>
      </w:r>
    </w:p>
    <w:p w14:paraId="5B76E66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15" w:name="_Toc1043"/>
      <w:r>
        <w:rPr>
          <w:rFonts w:cs="宋体"/>
          <w:sz w:val="24"/>
          <w:highlight w:val="none"/>
        </w:rPr>
        <w:t>5.3  开标异议</w:t>
      </w:r>
      <w:bookmarkEnd w:id="115"/>
    </w:p>
    <w:p w14:paraId="6B4AC49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5.3.1  参加现场开标的投标人对开标结果有异议的，应当在开标现场提出，招标人应当当场作出答复，并制作记录。</w:t>
      </w:r>
    </w:p>
    <w:p w14:paraId="31CCAE5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4499A2B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5.3.3  投标人未参加开标或在规定的时间内未提出异议的，视为对开标无异议。</w:t>
      </w:r>
    </w:p>
    <w:p w14:paraId="5F6C9D3D">
      <w:pPr>
        <w:pStyle w:val="4"/>
        <w:spacing w:before="120" w:after="120"/>
        <w:rPr>
          <w:rFonts w:ascii="Microsoft JhengHei" w:hAnsi="Microsoft JhengHei" w:eastAsia="Microsoft JhengHei"/>
          <w:b w:val="0"/>
          <w:sz w:val="30"/>
          <w:highlight w:val="none"/>
        </w:rPr>
      </w:pPr>
      <w:bookmarkStart w:id="116" w:name="bookmark56"/>
      <w:bookmarkEnd w:id="116"/>
      <w:bookmarkStart w:id="117" w:name="_Toc14961"/>
      <w:r>
        <w:rPr>
          <w:rFonts w:cs="宋体"/>
          <w:highlight w:val="none"/>
        </w:rPr>
        <w:t>6.评标</w:t>
      </w:r>
      <w:bookmarkEnd w:id="117"/>
    </w:p>
    <w:p w14:paraId="3D1AAD2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18" w:name="bookmark57"/>
      <w:bookmarkEnd w:id="118"/>
      <w:bookmarkStart w:id="119" w:name="_Toc16566"/>
      <w:r>
        <w:rPr>
          <w:rFonts w:cs="宋体"/>
          <w:sz w:val="24"/>
          <w:highlight w:val="none"/>
        </w:rPr>
        <w:t>6.1  评标委员会</w:t>
      </w:r>
      <w:bookmarkEnd w:id="119"/>
    </w:p>
    <w:p w14:paraId="37318F1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6.1.1 </w:t>
      </w:r>
      <w:r>
        <w:rPr>
          <w:rFonts w:cs="宋体"/>
          <w:sz w:val="24"/>
          <w:highlight w:val="none"/>
        </w:rPr>
        <w:t>评标由招标人依法组建的评标委员会负责。评标委员会由有关技术、经济等方面的专家和招标人代表组成，专家从</w:t>
      </w:r>
      <w:r>
        <w:rPr>
          <w:rFonts w:cs="宋体"/>
          <w:sz w:val="24"/>
          <w:highlight w:val="none"/>
          <w:u w:val="single"/>
        </w:rPr>
        <w:t>广东省综合评标评审专家库</w:t>
      </w:r>
      <w:r>
        <w:rPr>
          <w:rFonts w:cs="宋体"/>
          <w:sz w:val="24"/>
          <w:highlight w:val="none"/>
        </w:rPr>
        <w:t>中抽取。评标委员会成员人数以及技术、经济等方面专家的确定方式见投标人须知前附表</w:t>
      </w:r>
      <w:r>
        <w:rPr>
          <w:sz w:val="24"/>
          <w:highlight w:val="none"/>
        </w:rPr>
        <w:t>。</w:t>
      </w:r>
    </w:p>
    <w:p w14:paraId="2B9F274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6.1.2 评标委员会成员有下列情形之一的，应当回避：</w:t>
      </w:r>
    </w:p>
    <w:p w14:paraId="1834F4F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（1）投标人或投标人主要负责人的近亲属；</w:t>
      </w:r>
    </w:p>
    <w:p w14:paraId="2F0DECA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（2）项目主管部门或者行政监督部门的人员；</w:t>
      </w:r>
    </w:p>
    <w:p w14:paraId="760066C9">
      <w:pPr>
        <w:spacing w:line="360" w:lineRule="auto"/>
        <w:ind w:firstLine="480" w:firstLineChars="200"/>
        <w:rPr>
          <w:highlight w:val="none"/>
        </w:rPr>
      </w:pPr>
      <w:r>
        <w:rPr>
          <w:rFonts w:hint="eastAsia"/>
          <w:highlight w:val="none"/>
        </w:rPr>
        <w:t>（3）招标人或投标人的工作人员、退休或离职未满3年的人员；</w:t>
      </w:r>
    </w:p>
    <w:p w14:paraId="58806A9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4</w:t>
      </w:r>
      <w:r>
        <w:rPr>
          <w:sz w:val="24"/>
          <w:highlight w:val="none"/>
        </w:rPr>
        <w:t>）与投标人有经济利益关系，可能影响对投标公正评审的；</w:t>
      </w:r>
    </w:p>
    <w:p w14:paraId="4E8D364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5</w:t>
      </w:r>
      <w:r>
        <w:rPr>
          <w:sz w:val="24"/>
          <w:highlight w:val="none"/>
        </w:rPr>
        <w:t>）曾因在招标、评标以及其他与招标投标有关活动中从事违法行为而受过行政处罚或刑事处罚的；</w:t>
      </w:r>
    </w:p>
    <w:p w14:paraId="3B82D81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6</w:t>
      </w:r>
      <w:r>
        <w:rPr>
          <w:sz w:val="24"/>
          <w:highlight w:val="none"/>
        </w:rPr>
        <w:t>）与投标人有其他利害关系。</w:t>
      </w:r>
    </w:p>
    <w:p w14:paraId="4F5A681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E95182E">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0" w:name="bookmark58"/>
      <w:bookmarkEnd w:id="120"/>
      <w:bookmarkStart w:id="121" w:name="_Toc2040"/>
      <w:r>
        <w:rPr>
          <w:rFonts w:cs="宋体"/>
          <w:sz w:val="24"/>
          <w:highlight w:val="none"/>
        </w:rPr>
        <w:t>6.2  评标原则</w:t>
      </w:r>
      <w:bookmarkEnd w:id="121"/>
    </w:p>
    <w:p w14:paraId="320549E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评标活动遵循公平、公正、科学和择优的原则。</w:t>
      </w:r>
    </w:p>
    <w:p w14:paraId="3960DC7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2" w:name="bookmark59"/>
      <w:bookmarkEnd w:id="122"/>
      <w:bookmarkStart w:id="123" w:name="_Toc24943"/>
      <w:r>
        <w:rPr>
          <w:rFonts w:cs="宋体"/>
          <w:sz w:val="24"/>
          <w:highlight w:val="none"/>
        </w:rPr>
        <w:t>6.3 评标</w:t>
      </w:r>
      <w:bookmarkEnd w:id="123"/>
    </w:p>
    <w:p w14:paraId="56D7F72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6.3.1 评标委员会按照第三章“评标办法”规定的方法、评审因素、标准和程序对投标文件进 行评审。第三章“评标办法”没有规定的方法、评审因素和标准，不作为评标依据。</w:t>
      </w:r>
    </w:p>
    <w:p w14:paraId="3B98069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6.3.2 评标完成后，评标委员会应当向招标人提交书面评标报告和中标候选人名单。评标委员会推荐中标候选人的人数见投标人须知前附表。</w:t>
      </w:r>
    </w:p>
    <w:p w14:paraId="3BF0923B">
      <w:pPr>
        <w:pStyle w:val="4"/>
        <w:spacing w:before="120" w:after="120"/>
        <w:rPr>
          <w:rFonts w:cs="宋体"/>
          <w:highlight w:val="none"/>
        </w:rPr>
      </w:pPr>
      <w:bookmarkStart w:id="124" w:name="bookmark60"/>
      <w:bookmarkEnd w:id="124"/>
      <w:bookmarkStart w:id="125" w:name="_Toc20225"/>
      <w:r>
        <w:rPr>
          <w:rFonts w:cs="宋体"/>
          <w:highlight w:val="none"/>
        </w:rPr>
        <w:t>7.合同授予</w:t>
      </w:r>
      <w:bookmarkEnd w:id="125"/>
    </w:p>
    <w:p w14:paraId="31DE2E5E">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6" w:name="bookmark61"/>
      <w:bookmarkEnd w:id="126"/>
      <w:bookmarkStart w:id="127" w:name="_Toc16732"/>
      <w:r>
        <w:rPr>
          <w:rFonts w:cs="宋体"/>
          <w:sz w:val="24"/>
          <w:highlight w:val="none"/>
        </w:rPr>
        <w:t>7.1 中标候选人公示</w:t>
      </w:r>
      <w:bookmarkEnd w:id="127"/>
    </w:p>
    <w:p w14:paraId="036FCF8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招标人在收到评标报告之日起3日内，按照投标人须知前附表规定的公示媒介和期限公示中标候选人，公示期不得少于3天</w:t>
      </w:r>
      <w:r>
        <w:rPr>
          <w:rFonts w:hint="eastAsia"/>
          <w:sz w:val="24"/>
          <w:highlight w:val="none"/>
        </w:rPr>
        <w:t>，最后一天应为工作日</w:t>
      </w:r>
      <w:r>
        <w:rPr>
          <w:sz w:val="24"/>
          <w:highlight w:val="none"/>
        </w:rPr>
        <w:t>。</w:t>
      </w:r>
    </w:p>
    <w:p w14:paraId="1252D061">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8" w:name="bookmark62"/>
      <w:bookmarkEnd w:id="128"/>
      <w:bookmarkStart w:id="129" w:name="_Toc32332"/>
      <w:r>
        <w:rPr>
          <w:rFonts w:cs="宋体"/>
          <w:sz w:val="24"/>
          <w:highlight w:val="none"/>
        </w:rPr>
        <w:t>7.2 评标结果异议</w:t>
      </w:r>
      <w:bookmarkEnd w:id="129"/>
    </w:p>
    <w:p w14:paraId="0D55A35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投标人或者其他利害关系人对评标结果有异议的，应当在中标候选人公示期间提出。招标人将在收到异议之日起3日内作出答复；作出答复前，将暂停招标投标活动。</w:t>
      </w:r>
    </w:p>
    <w:p w14:paraId="6359B78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30" w:name="bookmark63"/>
      <w:bookmarkEnd w:id="130"/>
      <w:bookmarkStart w:id="131" w:name="_Toc31719"/>
      <w:r>
        <w:rPr>
          <w:rFonts w:cs="宋体"/>
          <w:sz w:val="24"/>
          <w:highlight w:val="none"/>
        </w:rPr>
        <w:t>7.3 中标候选人履约能力审查</w:t>
      </w:r>
      <w:bookmarkEnd w:id="131"/>
    </w:p>
    <w:p w14:paraId="190EBB2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7DB293C">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2" w:name="bookmark64"/>
      <w:bookmarkEnd w:id="132"/>
      <w:bookmarkStart w:id="133" w:name="_Toc21635"/>
      <w:r>
        <w:rPr>
          <w:rFonts w:cs="宋体"/>
          <w:sz w:val="24"/>
          <w:highlight w:val="none"/>
        </w:rPr>
        <w:t>7.4 定标</w:t>
      </w:r>
      <w:bookmarkEnd w:id="133"/>
    </w:p>
    <w:p w14:paraId="1FBD4A7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按照投标人须知前附表的规定，招标人或招标人授权的评标委员会依法确定中标人。</w:t>
      </w:r>
    </w:p>
    <w:p w14:paraId="307BABD9">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4" w:name="bookmark65"/>
      <w:bookmarkEnd w:id="134"/>
      <w:bookmarkStart w:id="135" w:name="_Toc19033"/>
      <w:r>
        <w:rPr>
          <w:rFonts w:cs="宋体"/>
          <w:sz w:val="24"/>
          <w:highlight w:val="none"/>
        </w:rPr>
        <w:t>7.5 中标通知</w:t>
      </w:r>
      <w:bookmarkEnd w:id="135"/>
    </w:p>
    <w:p w14:paraId="7664054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36" w:name="bookmark66"/>
      <w:bookmarkEnd w:id="136"/>
      <w:r>
        <w:rPr>
          <w:sz w:val="24"/>
          <w:highlight w:val="none"/>
        </w:rPr>
        <w:t>7.5.1  在法规规定的时间内，招标人以书面形式向中标人发出中标通知书。在</w:t>
      </w:r>
      <w:r>
        <w:rPr>
          <w:rFonts w:hint="eastAsia"/>
          <w:sz w:val="24"/>
          <w:highlight w:val="none"/>
        </w:rPr>
        <w:t>广州交易集团有限公司（广州公共资源交易中心）</w:t>
      </w:r>
      <w:r>
        <w:rPr>
          <w:sz w:val="24"/>
          <w:highlight w:val="none"/>
        </w:rPr>
        <w:t>网和广东省招标投标监管网发布中标信息，视同将中标结果通知未中标的投标人。</w:t>
      </w:r>
    </w:p>
    <w:p w14:paraId="405F752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7.5.2  中标通知书发出前，中标人应未被纳入失信联合惩戒名单，否则招标人将取消其中标资格。失信联合惩戒名单以“信用广州”网站公布的“</w:t>
      </w:r>
      <w:r>
        <w:rPr>
          <w:rFonts w:hint="eastAsia"/>
          <w:sz w:val="24"/>
          <w:highlight w:val="none"/>
        </w:rPr>
        <w:t>黑名单</w:t>
      </w:r>
      <w:r>
        <w:rPr>
          <w:sz w:val="24"/>
          <w:highlight w:val="none"/>
        </w:rPr>
        <w:t>”为准。</w:t>
      </w:r>
    </w:p>
    <w:p w14:paraId="679DC4A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7" w:name="_Toc19973"/>
      <w:r>
        <w:rPr>
          <w:rFonts w:cs="宋体"/>
          <w:sz w:val="24"/>
          <w:highlight w:val="none"/>
        </w:rPr>
        <w:t>7.6  履约保证金</w:t>
      </w:r>
      <w:bookmarkEnd w:id="137"/>
    </w:p>
    <w:p w14:paraId="2F559E2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spacing w:val="-2"/>
          <w:sz w:val="24"/>
          <w:highlight w:val="none"/>
        </w:rPr>
        <w:t>主办方</w:t>
      </w:r>
      <w:r>
        <w:rPr>
          <w:sz w:val="24"/>
          <w:highlight w:val="none"/>
        </w:rPr>
        <w:t>的名义提交。</w:t>
      </w:r>
    </w:p>
    <w:p w14:paraId="1030102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7.6.2 中标人不能按本章第 7.6.1 项要求提交履约保证金的，视为放弃中标，其投标保证金不予退还，给招标人造成的损失超过投标保证金数额的，中标人还应当对超过部分予以赔偿。</w:t>
      </w:r>
    </w:p>
    <w:p w14:paraId="77819869">
      <w:pPr>
        <w:pStyle w:val="9"/>
        <w:kinsoku w:val="0"/>
        <w:overflowPunct w:val="0"/>
        <w:spacing w:before="13"/>
        <w:ind w:left="0"/>
        <w:rPr>
          <w:sz w:val="13"/>
          <w:highlight w:val="none"/>
        </w:rPr>
      </w:pPr>
    </w:p>
    <w:p w14:paraId="69FDC242">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38" w:name="bookmark67"/>
      <w:bookmarkEnd w:id="138"/>
      <w:bookmarkStart w:id="139" w:name="_Toc9958"/>
      <w:r>
        <w:rPr>
          <w:rFonts w:cs="宋体"/>
          <w:sz w:val="24"/>
          <w:highlight w:val="none"/>
        </w:rPr>
        <w:t>7.7  签订合同</w:t>
      </w:r>
      <w:bookmarkEnd w:id="139"/>
    </w:p>
    <w:p w14:paraId="4D22AE6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7.7.1 招标人和中标人应当在中标通知书发出之日起30日内，根据招标文件和中标人的投标文件订立书面合同</w:t>
      </w:r>
      <w:r>
        <w:rPr>
          <w:rFonts w:hint="eastAsia"/>
          <w:sz w:val="24"/>
          <w:highlight w:val="none"/>
        </w:rPr>
        <w:t>，并通过电子交易系统与中标人在线签订合同</w:t>
      </w:r>
      <w:r>
        <w:rPr>
          <w:sz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A9FB6D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7.7.2 发出中标通知书后，招标人无正当理由拒签合同，或者在签订合同时向中标人提出附加条件的，招标人向中标人退还投标保证金；给中标人造成损失的，还应当赔偿损失。</w:t>
      </w:r>
    </w:p>
    <w:p w14:paraId="24A9889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7.7.3 联合体中标的，联合体各方应当共同与招标人签订合同，就中标项目向招标人承担连带责任。</w:t>
      </w:r>
    </w:p>
    <w:p w14:paraId="365A2457">
      <w:pPr>
        <w:pStyle w:val="4"/>
        <w:spacing w:before="120" w:after="120"/>
        <w:rPr>
          <w:rFonts w:ascii="Microsoft JhengHei" w:hAnsi="Microsoft JhengHei" w:eastAsia="Microsoft JhengHei"/>
          <w:b w:val="0"/>
          <w:sz w:val="30"/>
          <w:highlight w:val="none"/>
        </w:rPr>
      </w:pPr>
      <w:bookmarkStart w:id="140" w:name="bookmark68"/>
      <w:bookmarkEnd w:id="140"/>
      <w:bookmarkStart w:id="141" w:name="_Toc30276"/>
      <w:r>
        <w:rPr>
          <w:rFonts w:cs="宋体"/>
          <w:highlight w:val="none"/>
        </w:rPr>
        <w:t>8.纪律和监督</w:t>
      </w:r>
      <w:bookmarkEnd w:id="141"/>
    </w:p>
    <w:p w14:paraId="4599CADB">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42" w:name="bookmark69"/>
      <w:bookmarkEnd w:id="142"/>
      <w:bookmarkStart w:id="143" w:name="_Toc10523"/>
      <w:r>
        <w:rPr>
          <w:rFonts w:cs="宋体"/>
          <w:sz w:val="24"/>
          <w:highlight w:val="none"/>
        </w:rPr>
        <w:t>8.1 对招标人的纪律要求</w:t>
      </w:r>
      <w:bookmarkEnd w:id="143"/>
    </w:p>
    <w:p w14:paraId="6179C99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招标人不得泄露招标投标活动中应当保密的情况和资料，不得与投标人串通损害国家利益、社会公共利益或者他人合法权益。</w:t>
      </w:r>
    </w:p>
    <w:p w14:paraId="70EDE7F9">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44" w:name="bookmark70"/>
      <w:bookmarkEnd w:id="144"/>
      <w:bookmarkStart w:id="145" w:name="_Toc24813"/>
      <w:r>
        <w:rPr>
          <w:rFonts w:cs="宋体"/>
          <w:sz w:val="24"/>
          <w:highlight w:val="none"/>
        </w:rPr>
        <w:t>8.2 对投标人的纪律要求</w:t>
      </w:r>
      <w:bookmarkEnd w:id="145"/>
    </w:p>
    <w:p w14:paraId="2B78B83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8082AC">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46" w:name="bookmark71"/>
      <w:bookmarkEnd w:id="146"/>
      <w:bookmarkStart w:id="147" w:name="_Toc28387"/>
      <w:r>
        <w:rPr>
          <w:rFonts w:cs="宋体"/>
          <w:sz w:val="24"/>
          <w:highlight w:val="none"/>
        </w:rPr>
        <w:t>8.3 对评标委员会成员的纪律要求</w:t>
      </w:r>
      <w:bookmarkEnd w:id="147"/>
    </w:p>
    <w:p w14:paraId="5ED538C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8D32FA3">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48" w:name="bookmark72"/>
      <w:bookmarkEnd w:id="148"/>
      <w:bookmarkStart w:id="149" w:name="_Toc29038"/>
      <w:r>
        <w:rPr>
          <w:rFonts w:cs="宋体"/>
          <w:sz w:val="24"/>
          <w:highlight w:val="none"/>
        </w:rPr>
        <w:t>8.4 对与评标活动有关的工作人员的纪律要求</w:t>
      </w:r>
      <w:bookmarkEnd w:id="149"/>
    </w:p>
    <w:p w14:paraId="13FD6BA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2095C4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50" w:name="bookmark73"/>
      <w:bookmarkEnd w:id="150"/>
      <w:bookmarkStart w:id="151" w:name="_Toc15989"/>
      <w:r>
        <w:rPr>
          <w:rFonts w:cs="宋体"/>
          <w:sz w:val="24"/>
          <w:highlight w:val="none"/>
        </w:rPr>
        <w:t>8.5 投诉</w:t>
      </w:r>
      <w:bookmarkEnd w:id="151"/>
    </w:p>
    <w:p w14:paraId="7AF75AC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1970874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18C70658">
      <w:pPr>
        <w:pStyle w:val="4"/>
        <w:spacing w:before="120" w:after="120"/>
        <w:rPr>
          <w:rFonts w:ascii="Microsoft JhengHei" w:hAnsi="Microsoft JhengHei" w:eastAsia="Microsoft JhengHei"/>
          <w:b w:val="0"/>
          <w:sz w:val="19"/>
          <w:highlight w:val="none"/>
        </w:rPr>
      </w:pPr>
      <w:bookmarkStart w:id="152" w:name="bookmark74"/>
      <w:bookmarkEnd w:id="152"/>
      <w:bookmarkStart w:id="153" w:name="_Toc2971"/>
      <w:r>
        <w:rPr>
          <w:rFonts w:cs="宋体"/>
          <w:highlight w:val="none"/>
        </w:rPr>
        <w:t>9.采用电子招标投标</w:t>
      </w:r>
      <w:bookmarkEnd w:id="153"/>
    </w:p>
    <w:p w14:paraId="72E657F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cs="宋体"/>
          <w:sz w:val="24"/>
          <w:highlight w:val="none"/>
        </w:rPr>
      </w:pPr>
      <w:r>
        <w:rPr>
          <w:rFonts w:hint="eastAsia" w:ascii="Times New Roman" w:hAnsi="Times New Roman" w:eastAsia="Times New Roman"/>
          <w:spacing w:val="-8"/>
          <w:sz w:val="24"/>
          <w:highlight w:val="none"/>
        </w:rPr>
        <w:t>本招标项目采用电子招标投标方式，按照</w:t>
      </w:r>
      <w:r>
        <w:rPr>
          <w:rFonts w:hint="eastAsia" w:ascii="Times New Roman" w:hAnsi="Times New Roman"/>
          <w:spacing w:val="-8"/>
          <w:sz w:val="24"/>
          <w:highlight w:val="none"/>
        </w:rPr>
        <w:t>广州交易集团有限公司（广州公共资源交易中心）</w:t>
      </w:r>
      <w:r>
        <w:rPr>
          <w:rFonts w:hint="eastAsia" w:ascii="Times New Roman" w:hAnsi="Times New Roman" w:eastAsia="Times New Roman"/>
          <w:spacing w:val="-8"/>
          <w:sz w:val="24"/>
          <w:highlight w:val="none"/>
        </w:rPr>
        <w:t>网站关于全流程电子化项目的相关指南进行操作</w:t>
      </w:r>
      <w:r>
        <w:rPr>
          <w:rFonts w:cs="宋体"/>
          <w:sz w:val="24"/>
          <w:highlight w:val="none"/>
        </w:rPr>
        <w:t>。</w:t>
      </w:r>
    </w:p>
    <w:p w14:paraId="739D0FA5">
      <w:pPr>
        <w:pStyle w:val="4"/>
        <w:spacing w:before="120" w:after="120"/>
        <w:rPr>
          <w:rFonts w:ascii="Microsoft JhengHei" w:hAnsi="Microsoft JhengHei" w:eastAsia="Microsoft JhengHei"/>
          <w:b w:val="0"/>
          <w:sz w:val="19"/>
          <w:highlight w:val="none"/>
        </w:rPr>
      </w:pPr>
      <w:bookmarkStart w:id="154" w:name="bookmark75"/>
      <w:bookmarkEnd w:id="154"/>
      <w:bookmarkStart w:id="155" w:name="_Toc12519"/>
      <w:r>
        <w:rPr>
          <w:rFonts w:cs="宋体"/>
          <w:highlight w:val="none"/>
        </w:rPr>
        <w:t>10.需要补充的其他内容</w:t>
      </w:r>
      <w:bookmarkEnd w:id="155"/>
    </w:p>
    <w:p w14:paraId="75923AB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sz w:val="24"/>
          <w:highlight w:val="none"/>
        </w:rPr>
      </w:pPr>
      <w:r>
        <w:rPr>
          <w:rFonts w:cs="宋体"/>
          <w:sz w:val="24"/>
          <w:highlight w:val="none"/>
        </w:rPr>
        <w:t>需要补充的其他内容：见投标人须知前附表。</w:t>
      </w:r>
    </w:p>
    <w:p w14:paraId="257C282D">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sectPr>
          <w:pgSz w:w="11905" w:h="16838"/>
          <w:pgMar w:top="1417" w:right="1417" w:bottom="1417" w:left="1417" w:header="992" w:footer="992" w:gutter="0"/>
          <w:cols w:space="720" w:num="1"/>
        </w:sectPr>
      </w:pPr>
    </w:p>
    <w:p w14:paraId="48FE77DC">
      <w:pPr>
        <w:pStyle w:val="5"/>
        <w:rPr>
          <w:highlight w:val="none"/>
        </w:rPr>
      </w:pPr>
      <w:bookmarkStart w:id="156" w:name="bookmark77"/>
      <w:bookmarkEnd w:id="156"/>
      <w:bookmarkStart w:id="157" w:name="bookmark76"/>
      <w:bookmarkEnd w:id="157"/>
      <w:bookmarkStart w:id="158" w:name="_Toc5057"/>
      <w:bookmarkStart w:id="159" w:name="_Toc24188"/>
      <w:r>
        <w:rPr>
          <w:highlight w:val="none"/>
        </w:rPr>
        <w:t>附件一：问题澄清通知</w:t>
      </w:r>
      <w:bookmarkEnd w:id="158"/>
      <w:bookmarkEnd w:id="159"/>
    </w:p>
    <w:p w14:paraId="0D7A01DA">
      <w:pPr>
        <w:pStyle w:val="9"/>
        <w:kinsoku w:val="0"/>
        <w:overflowPunct w:val="0"/>
        <w:ind w:left="0"/>
        <w:rPr>
          <w:sz w:val="20"/>
          <w:highlight w:val="none"/>
        </w:rPr>
      </w:pPr>
    </w:p>
    <w:p w14:paraId="30D04807">
      <w:pPr>
        <w:pStyle w:val="9"/>
        <w:kinsoku w:val="0"/>
        <w:overflowPunct w:val="0"/>
        <w:ind w:left="0"/>
        <w:rPr>
          <w:sz w:val="20"/>
          <w:highlight w:val="none"/>
        </w:rPr>
      </w:pPr>
    </w:p>
    <w:p w14:paraId="14C2E439">
      <w:pPr>
        <w:pStyle w:val="9"/>
        <w:kinsoku w:val="0"/>
        <w:overflowPunct w:val="0"/>
        <w:ind w:left="0"/>
        <w:rPr>
          <w:sz w:val="20"/>
          <w:highlight w:val="none"/>
        </w:rPr>
      </w:pPr>
    </w:p>
    <w:p w14:paraId="5C6C4896">
      <w:pPr>
        <w:pStyle w:val="9"/>
        <w:kinsoku w:val="0"/>
        <w:overflowPunct w:val="0"/>
        <w:spacing w:before="4"/>
        <w:ind w:left="0"/>
        <w:rPr>
          <w:sz w:val="17"/>
          <w:highlight w:val="none"/>
        </w:rPr>
      </w:pPr>
    </w:p>
    <w:p w14:paraId="00EEB5D1">
      <w:pPr>
        <w:pStyle w:val="9"/>
        <w:kinsoku w:val="0"/>
        <w:overflowPunct w:val="0"/>
        <w:spacing w:before="14"/>
        <w:ind w:left="0" w:right="13"/>
        <w:jc w:val="center"/>
        <w:rPr>
          <w:sz w:val="28"/>
          <w:highlight w:val="none"/>
        </w:rPr>
      </w:pPr>
      <w:r>
        <w:rPr>
          <w:sz w:val="28"/>
          <w:highlight w:val="none"/>
        </w:rPr>
        <w:t>问题澄清通知</w:t>
      </w:r>
    </w:p>
    <w:p w14:paraId="7C3B94E4">
      <w:pPr>
        <w:pStyle w:val="9"/>
        <w:tabs>
          <w:tab w:val="left" w:pos="2937"/>
        </w:tabs>
        <w:kinsoku w:val="0"/>
        <w:overflowPunct w:val="0"/>
        <w:spacing w:before="157"/>
        <w:ind w:left="0" w:right="20"/>
        <w:jc w:val="center"/>
        <w:rPr>
          <w:highlight w:val="none"/>
        </w:rPr>
      </w:pPr>
      <w:r>
        <w:rPr>
          <w:spacing w:val="-1"/>
          <w:highlight w:val="none"/>
        </w:rPr>
        <w:t>（编号：</w:t>
      </w:r>
      <w:r>
        <w:rPr>
          <w:rFonts w:hint="eastAsia" w:ascii="Times New Roman" w:hAnsi="Times New Roman" w:eastAsia="Times New Roman"/>
          <w:spacing w:val="-1"/>
          <w:highlight w:val="none"/>
          <w:u w:val="single"/>
        </w:rPr>
        <w:tab/>
      </w:r>
      <w:r>
        <w:rPr>
          <w:highlight w:val="none"/>
        </w:rPr>
        <w:t>）</w:t>
      </w:r>
    </w:p>
    <w:p w14:paraId="3289C008">
      <w:pPr>
        <w:pStyle w:val="9"/>
        <w:kinsoku w:val="0"/>
        <w:overflowPunct w:val="0"/>
        <w:ind w:left="0"/>
        <w:rPr>
          <w:sz w:val="20"/>
          <w:highlight w:val="none"/>
        </w:rPr>
      </w:pPr>
    </w:p>
    <w:p w14:paraId="5B998A52">
      <w:pPr>
        <w:pStyle w:val="9"/>
        <w:kinsoku w:val="0"/>
        <w:overflowPunct w:val="0"/>
        <w:spacing w:before="5"/>
        <w:ind w:left="0"/>
        <w:rPr>
          <w:sz w:val="23"/>
          <w:highlight w:val="none"/>
        </w:rPr>
      </w:pPr>
    </w:p>
    <w:p w14:paraId="5D4A2B1A">
      <w:pPr>
        <w:pStyle w:val="9"/>
        <w:tabs>
          <w:tab w:val="left" w:pos="2305"/>
        </w:tabs>
        <w:kinsoku w:val="0"/>
        <w:overflowPunct w:val="0"/>
        <w:spacing w:before="36"/>
        <w:ind w:left="100" w:right="113"/>
        <w:rPr>
          <w:spacing w:val="-15"/>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15"/>
          <w:highlight w:val="none"/>
        </w:rPr>
        <w:t>（投标人名称）：</w:t>
      </w:r>
    </w:p>
    <w:p w14:paraId="36A1E756">
      <w:pPr>
        <w:pStyle w:val="9"/>
        <w:kinsoku w:val="0"/>
        <w:overflowPunct w:val="0"/>
        <w:ind w:left="0"/>
        <w:rPr>
          <w:sz w:val="20"/>
          <w:highlight w:val="none"/>
        </w:rPr>
      </w:pPr>
    </w:p>
    <w:p w14:paraId="433FE6D2">
      <w:pPr>
        <w:pStyle w:val="9"/>
        <w:kinsoku w:val="0"/>
        <w:overflowPunct w:val="0"/>
        <w:spacing w:before="8"/>
        <w:ind w:left="0"/>
        <w:rPr>
          <w:sz w:val="23"/>
          <w:highlight w:val="none"/>
        </w:rPr>
      </w:pPr>
    </w:p>
    <w:p w14:paraId="7D4190AB">
      <w:pPr>
        <w:pStyle w:val="9"/>
        <w:kinsoku w:val="0"/>
        <w:overflowPunct w:val="0"/>
        <w:spacing w:before="36" w:line="384" w:lineRule="auto"/>
        <w:ind w:left="100" w:right="113" w:firstLine="422"/>
        <w:rPr>
          <w:highlight w:val="none"/>
        </w:rPr>
      </w:pPr>
      <w:r>
        <w:rPr>
          <w:spacing w:val="-1"/>
          <w:highlight w:val="none"/>
        </w:rPr>
        <w:t>评标委员会对你方的投标文件进行了仔细的审查，现需你方对下列问题以书面形式予以澄</w:t>
      </w:r>
      <w:r>
        <w:rPr>
          <w:highlight w:val="none"/>
        </w:rPr>
        <w:t xml:space="preserve"> 清、说明或补正：</w:t>
      </w:r>
    </w:p>
    <w:p w14:paraId="003AEF7D">
      <w:pPr>
        <w:pStyle w:val="9"/>
        <w:kinsoku w:val="0"/>
        <w:overflowPunct w:val="0"/>
        <w:ind w:left="0"/>
        <w:rPr>
          <w:sz w:val="20"/>
          <w:highlight w:val="none"/>
        </w:rPr>
      </w:pPr>
    </w:p>
    <w:p w14:paraId="5A522908">
      <w:pPr>
        <w:pStyle w:val="9"/>
        <w:kinsoku w:val="0"/>
        <w:overflowPunct w:val="0"/>
        <w:spacing w:before="6"/>
        <w:ind w:left="0"/>
        <w:rPr>
          <w:sz w:val="20"/>
          <w:highlight w:val="none"/>
        </w:rPr>
      </w:pPr>
    </w:p>
    <w:p w14:paraId="04BA9E25">
      <w:pPr>
        <w:pStyle w:val="9"/>
        <w:kinsoku w:val="0"/>
        <w:overflowPunct w:val="0"/>
        <w:ind w:left="522" w:right="113"/>
        <w:rPr>
          <w:rFonts w:ascii="Times New Roman" w:hAnsi="Times New Roman" w:eastAsia="Times New Roman"/>
          <w:highlight w:val="none"/>
        </w:rPr>
      </w:pPr>
      <w:r>
        <w:rPr>
          <w:rFonts w:hint="eastAsia" w:ascii="Times New Roman" w:hAnsi="Times New Roman" w:eastAsia="Times New Roman"/>
          <w:highlight w:val="none"/>
        </w:rPr>
        <w:t>1.</w:t>
      </w:r>
    </w:p>
    <w:p w14:paraId="43A992EC">
      <w:pPr>
        <w:pStyle w:val="9"/>
        <w:kinsoku w:val="0"/>
        <w:overflowPunct w:val="0"/>
        <w:spacing w:before="2"/>
        <w:ind w:left="0"/>
        <w:rPr>
          <w:rFonts w:ascii="Times New Roman" w:hAnsi="Times New Roman" w:eastAsia="Times New Roman"/>
          <w:sz w:val="17"/>
          <w:highlight w:val="none"/>
        </w:rPr>
      </w:pPr>
    </w:p>
    <w:p w14:paraId="3818DB67">
      <w:pPr>
        <w:pStyle w:val="9"/>
        <w:kinsoku w:val="0"/>
        <w:overflowPunct w:val="0"/>
        <w:ind w:left="522" w:right="113"/>
        <w:rPr>
          <w:rFonts w:ascii="Times New Roman" w:hAnsi="Times New Roman" w:eastAsia="Times New Roman"/>
          <w:highlight w:val="none"/>
        </w:rPr>
      </w:pPr>
      <w:r>
        <w:rPr>
          <w:rFonts w:hint="eastAsia" w:ascii="Times New Roman" w:hAnsi="Times New Roman" w:eastAsia="Times New Roman"/>
          <w:highlight w:val="none"/>
        </w:rPr>
        <w:t>2.</w:t>
      </w:r>
    </w:p>
    <w:p w14:paraId="7AA71D82">
      <w:pPr>
        <w:pStyle w:val="9"/>
        <w:kinsoku w:val="0"/>
        <w:overflowPunct w:val="0"/>
        <w:spacing w:before="5"/>
        <w:ind w:left="0"/>
        <w:rPr>
          <w:rFonts w:ascii="Times New Roman" w:hAnsi="Times New Roman" w:eastAsia="Times New Roman"/>
          <w:sz w:val="17"/>
          <w:highlight w:val="none"/>
        </w:rPr>
      </w:pPr>
    </w:p>
    <w:p w14:paraId="3C4B77B1">
      <w:pPr>
        <w:pStyle w:val="9"/>
        <w:kinsoku w:val="0"/>
        <w:overflowPunct w:val="0"/>
        <w:ind w:left="628" w:right="113"/>
        <w:rPr>
          <w:rFonts w:ascii="Times New Roman" w:hAnsi="Times New Roman" w:eastAsia="Times New Roman"/>
          <w:highlight w:val="none"/>
        </w:rPr>
      </w:pPr>
      <w:r>
        <w:rPr>
          <w:rFonts w:hint="eastAsia" w:ascii="Times New Roman" w:hAnsi="Times New Roman" w:eastAsia="Times New Roman"/>
          <w:highlight w:val="none"/>
        </w:rPr>
        <w:t>......</w:t>
      </w:r>
    </w:p>
    <w:p w14:paraId="6DEDBF6F">
      <w:pPr>
        <w:pStyle w:val="9"/>
        <w:kinsoku w:val="0"/>
        <w:overflowPunct w:val="0"/>
        <w:ind w:left="0"/>
        <w:rPr>
          <w:rFonts w:ascii="Times New Roman" w:hAnsi="Times New Roman" w:eastAsia="Times New Roman"/>
          <w:sz w:val="20"/>
          <w:highlight w:val="none"/>
        </w:rPr>
      </w:pPr>
    </w:p>
    <w:p w14:paraId="0D532E40">
      <w:pPr>
        <w:pStyle w:val="9"/>
        <w:kinsoku w:val="0"/>
        <w:overflowPunct w:val="0"/>
        <w:ind w:left="0"/>
        <w:rPr>
          <w:rFonts w:ascii="Times New Roman" w:hAnsi="Times New Roman" w:eastAsia="Times New Roman"/>
          <w:sz w:val="20"/>
          <w:highlight w:val="none"/>
        </w:rPr>
      </w:pPr>
    </w:p>
    <w:p w14:paraId="7CE7489C">
      <w:pPr>
        <w:pStyle w:val="9"/>
        <w:tabs>
          <w:tab w:val="left" w:pos="4603"/>
          <w:tab w:val="left" w:pos="5549"/>
          <w:tab w:val="left" w:pos="6494"/>
          <w:tab w:val="left" w:pos="7438"/>
        </w:tabs>
        <w:kinsoku w:val="0"/>
        <w:overflowPunct w:val="0"/>
        <w:spacing w:before="127"/>
        <w:ind w:left="505" w:right="113"/>
        <w:rPr>
          <w:spacing w:val="-2"/>
          <w:highlight w:val="none"/>
        </w:rPr>
      </w:pPr>
      <w:r>
        <w:rPr>
          <w:spacing w:val="-2"/>
          <w:highlight w:val="none"/>
        </w:rPr>
        <w:t>请将上述问题的澄清、说明或补正于</w:t>
      </w:r>
      <w:r>
        <w:rPr>
          <w:rFonts w:hint="eastAsia" w:ascii="Times New Roman" w:hAnsi="Times New Roman" w:eastAsia="Times New Roman"/>
          <w:spacing w:val="-2"/>
          <w:highlight w:val="none"/>
          <w:u w:val="single"/>
        </w:rPr>
        <w:tab/>
      </w:r>
      <w:r>
        <w:rPr>
          <w:highlight w:val="none"/>
        </w:rPr>
        <w:t>年</w:t>
      </w:r>
      <w:r>
        <w:rPr>
          <w:rFonts w:hint="eastAsia" w:ascii="Times New Roman" w:hAnsi="Times New Roman" w:eastAsia="Times New Roman"/>
          <w:highlight w:val="none"/>
          <w:u w:val="single"/>
        </w:rPr>
        <w:tab/>
      </w:r>
      <w:r>
        <w:rPr>
          <w:highlight w:val="none"/>
        </w:rPr>
        <w:t>月</w:t>
      </w:r>
      <w:r>
        <w:rPr>
          <w:rFonts w:hint="eastAsia" w:ascii="Times New Roman" w:hAnsi="Times New Roman" w:eastAsia="Times New Roman"/>
          <w:highlight w:val="none"/>
          <w:u w:val="single"/>
        </w:rPr>
        <w:tab/>
      </w:r>
      <w:r>
        <w:rPr>
          <w:spacing w:val="-3"/>
          <w:highlight w:val="none"/>
        </w:rPr>
        <w:t>日</w:t>
      </w:r>
      <w:r>
        <w:rPr>
          <w:rFonts w:hint="eastAsia" w:ascii="Times New Roman" w:hAnsi="Times New Roman" w:eastAsia="Times New Roman"/>
          <w:spacing w:val="-3"/>
          <w:highlight w:val="none"/>
          <w:u w:val="single"/>
        </w:rPr>
        <w:tab/>
      </w:r>
      <w:r>
        <w:rPr>
          <w:spacing w:val="-2"/>
          <w:highlight w:val="none"/>
        </w:rPr>
        <w:t>时前递交至</w:t>
      </w:r>
    </w:p>
    <w:p w14:paraId="27F9B962">
      <w:pPr>
        <w:pStyle w:val="9"/>
        <w:kinsoku w:val="0"/>
        <w:overflowPunct w:val="0"/>
        <w:spacing w:before="13"/>
        <w:ind w:left="0"/>
        <w:rPr>
          <w:sz w:val="9"/>
          <w:highlight w:val="none"/>
        </w:rPr>
      </w:pPr>
    </w:p>
    <w:p w14:paraId="232446F9">
      <w:pPr>
        <w:pStyle w:val="9"/>
        <w:tabs>
          <w:tab w:val="left" w:pos="3040"/>
          <w:tab w:val="left" w:pos="7296"/>
        </w:tabs>
        <w:kinsoku w:val="0"/>
        <w:overflowPunct w:val="0"/>
        <w:spacing w:before="36"/>
        <w:ind w:left="100"/>
        <w:rPr>
          <w:spacing w:val="-5"/>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5"/>
          <w:highlight w:val="none"/>
        </w:rPr>
        <w:t>（详细地址）或传真至</w:t>
      </w:r>
      <w:r>
        <w:rPr>
          <w:rFonts w:hint="eastAsia" w:ascii="Times New Roman" w:hAnsi="Times New Roman" w:eastAsia="Times New Roman"/>
          <w:spacing w:val="-5"/>
          <w:highlight w:val="none"/>
          <w:u w:val="single"/>
        </w:rPr>
        <w:tab/>
      </w:r>
      <w:r>
        <w:rPr>
          <w:spacing w:val="-5"/>
          <w:highlight w:val="none"/>
        </w:rPr>
        <w:t>（传真号码）或</w:t>
      </w:r>
    </w:p>
    <w:p w14:paraId="7530ED80">
      <w:pPr>
        <w:pStyle w:val="9"/>
        <w:kinsoku w:val="0"/>
        <w:overflowPunct w:val="0"/>
        <w:spacing w:before="10"/>
        <w:ind w:left="0"/>
        <w:rPr>
          <w:sz w:val="9"/>
          <w:highlight w:val="none"/>
        </w:rPr>
      </w:pPr>
    </w:p>
    <w:p w14:paraId="23E051D4">
      <w:pPr>
        <w:pStyle w:val="9"/>
        <w:tabs>
          <w:tab w:val="left" w:pos="7138"/>
          <w:tab w:val="left" w:pos="8084"/>
        </w:tabs>
        <w:kinsoku w:val="0"/>
        <w:overflowPunct w:val="0"/>
        <w:spacing w:before="36"/>
        <w:ind w:left="100" w:right="113"/>
        <w:rPr>
          <w:highlight w:val="none"/>
        </w:rPr>
      </w:pPr>
      <w:r>
        <w:rPr>
          <w:spacing w:val="-2"/>
          <w:highlight w:val="none"/>
        </w:rPr>
        <w:t>通过下载招标文件的电子招标交易平台上传。采用传真方式的，应在</w:t>
      </w:r>
      <w:r>
        <w:rPr>
          <w:rFonts w:hint="eastAsia" w:ascii="Times New Roman" w:hAnsi="Times New Roman" w:eastAsia="Times New Roman"/>
          <w:spacing w:val="-2"/>
          <w:highlight w:val="none"/>
          <w:u w:val="single"/>
        </w:rPr>
        <w:tab/>
      </w:r>
      <w:r>
        <w:rPr>
          <w:highlight w:val="none"/>
        </w:rPr>
        <w:t>年</w:t>
      </w:r>
      <w:r>
        <w:rPr>
          <w:rFonts w:hint="eastAsia" w:ascii="Times New Roman" w:hAnsi="Times New Roman" w:eastAsia="Times New Roman"/>
          <w:highlight w:val="none"/>
          <w:u w:val="single"/>
        </w:rPr>
        <w:tab/>
      </w:r>
      <w:r>
        <w:rPr>
          <w:highlight w:val="none"/>
        </w:rPr>
        <w:t>月</w:t>
      </w:r>
    </w:p>
    <w:p w14:paraId="00ABC859">
      <w:pPr>
        <w:pStyle w:val="9"/>
        <w:kinsoku w:val="0"/>
        <w:overflowPunct w:val="0"/>
        <w:spacing w:before="10"/>
        <w:ind w:left="0"/>
        <w:rPr>
          <w:sz w:val="9"/>
          <w:highlight w:val="none"/>
        </w:rPr>
      </w:pPr>
    </w:p>
    <w:p w14:paraId="772F6A0F">
      <w:pPr>
        <w:pStyle w:val="9"/>
        <w:tabs>
          <w:tab w:val="left" w:pos="837"/>
          <w:tab w:val="left" w:pos="1782"/>
          <w:tab w:val="left" w:pos="5669"/>
        </w:tabs>
        <w:kinsoku w:val="0"/>
        <w:overflowPunct w:val="0"/>
        <w:spacing w:before="36"/>
        <w:ind w:left="100" w:right="113"/>
        <w:rPr>
          <w:spacing w:val="-17"/>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highlight w:val="none"/>
        </w:rPr>
        <w:t>日</w:t>
      </w:r>
      <w:r>
        <w:rPr>
          <w:rFonts w:hint="eastAsia" w:ascii="Times New Roman" w:hAnsi="Times New Roman" w:eastAsia="Times New Roman"/>
          <w:highlight w:val="none"/>
          <w:u w:val="single"/>
        </w:rPr>
        <w:tab/>
      </w:r>
      <w:r>
        <w:rPr>
          <w:spacing w:val="-2"/>
          <w:highlight w:val="none"/>
        </w:rPr>
        <w:t>时前将原件递交至</w:t>
      </w:r>
      <w:r>
        <w:rPr>
          <w:rFonts w:hint="eastAsia" w:ascii="Times New Roman" w:hAnsi="Times New Roman" w:eastAsia="Times New Roman"/>
          <w:spacing w:val="-2"/>
          <w:highlight w:val="none"/>
          <w:u w:val="single"/>
        </w:rPr>
        <w:tab/>
      </w:r>
      <w:r>
        <w:rPr>
          <w:spacing w:val="-17"/>
          <w:highlight w:val="none"/>
        </w:rPr>
        <w:t>（详细地址）。</w:t>
      </w:r>
    </w:p>
    <w:p w14:paraId="30511D40">
      <w:pPr>
        <w:pStyle w:val="9"/>
        <w:kinsoku w:val="0"/>
        <w:overflowPunct w:val="0"/>
        <w:ind w:left="0"/>
        <w:rPr>
          <w:sz w:val="20"/>
          <w:highlight w:val="none"/>
        </w:rPr>
      </w:pPr>
    </w:p>
    <w:p w14:paraId="2DD15180">
      <w:pPr>
        <w:pStyle w:val="9"/>
        <w:kinsoku w:val="0"/>
        <w:overflowPunct w:val="0"/>
        <w:ind w:left="0"/>
        <w:rPr>
          <w:sz w:val="20"/>
          <w:highlight w:val="none"/>
        </w:rPr>
      </w:pPr>
    </w:p>
    <w:p w14:paraId="3927536D">
      <w:pPr>
        <w:pStyle w:val="9"/>
        <w:kinsoku w:val="0"/>
        <w:overflowPunct w:val="0"/>
        <w:ind w:left="0"/>
        <w:rPr>
          <w:sz w:val="20"/>
          <w:highlight w:val="none"/>
        </w:rPr>
      </w:pPr>
    </w:p>
    <w:p w14:paraId="5DAA9B4B">
      <w:pPr>
        <w:pStyle w:val="9"/>
        <w:kinsoku w:val="0"/>
        <w:overflowPunct w:val="0"/>
        <w:spacing w:before="2"/>
        <w:ind w:left="0"/>
        <w:rPr>
          <w:sz w:val="17"/>
          <w:highlight w:val="none"/>
        </w:rPr>
      </w:pPr>
    </w:p>
    <w:p w14:paraId="1B1EED5E">
      <w:pPr>
        <w:pStyle w:val="9"/>
        <w:tabs>
          <w:tab w:val="left" w:pos="7032"/>
        </w:tabs>
        <w:kinsoku w:val="0"/>
        <w:overflowPunct w:val="0"/>
        <w:spacing w:before="36"/>
        <w:ind w:left="2200" w:right="113"/>
        <w:rPr>
          <w:spacing w:val="-1"/>
          <w:highlight w:val="none"/>
        </w:rPr>
      </w:pPr>
      <w:r>
        <w:rPr>
          <w:spacing w:val="-2"/>
          <w:highlight w:val="none"/>
        </w:rPr>
        <w:t>评标委员会</w:t>
      </w:r>
      <w:r>
        <w:rPr>
          <w:rFonts w:hint="eastAsia"/>
          <w:spacing w:val="-2"/>
          <w:highlight w:val="none"/>
        </w:rPr>
        <w:t>签字</w:t>
      </w:r>
      <w:r>
        <w:rPr>
          <w:spacing w:val="-2"/>
          <w:highlight w:val="none"/>
        </w:rPr>
        <w:t>：</w:t>
      </w:r>
      <w:r>
        <w:rPr>
          <w:rFonts w:hint="eastAsia" w:ascii="Times New Roman" w:hAnsi="Times New Roman" w:eastAsia="Times New Roman"/>
          <w:spacing w:val="-2"/>
          <w:highlight w:val="none"/>
          <w:u w:val="single"/>
        </w:rPr>
        <w:tab/>
      </w:r>
    </w:p>
    <w:p w14:paraId="1766F7AA">
      <w:pPr>
        <w:pStyle w:val="9"/>
        <w:kinsoku w:val="0"/>
        <w:overflowPunct w:val="0"/>
        <w:ind w:left="0"/>
        <w:rPr>
          <w:sz w:val="20"/>
          <w:highlight w:val="none"/>
        </w:rPr>
      </w:pPr>
    </w:p>
    <w:p w14:paraId="4F55EEA8">
      <w:pPr>
        <w:pStyle w:val="9"/>
        <w:kinsoku w:val="0"/>
        <w:overflowPunct w:val="0"/>
        <w:spacing w:before="7"/>
        <w:ind w:left="0"/>
        <w:rPr>
          <w:sz w:val="23"/>
          <w:highlight w:val="none"/>
        </w:rPr>
      </w:pPr>
    </w:p>
    <w:p w14:paraId="6A11F01A">
      <w:pPr>
        <w:pStyle w:val="9"/>
        <w:tabs>
          <w:tab w:val="left" w:pos="5803"/>
          <w:tab w:val="left" w:pos="6746"/>
          <w:tab w:val="left" w:pos="7692"/>
        </w:tabs>
        <w:kinsoku w:val="0"/>
        <w:overflowPunct w:val="0"/>
        <w:spacing w:before="36"/>
        <w:ind w:left="4961" w:right="113"/>
        <w:rPr>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3"/>
          <w:highlight w:val="none"/>
        </w:rPr>
        <w:t>年</w:t>
      </w:r>
      <w:r>
        <w:rPr>
          <w:rFonts w:hint="eastAsia" w:ascii="Times New Roman" w:hAnsi="Times New Roman" w:eastAsia="Times New Roman"/>
          <w:spacing w:val="-3"/>
          <w:highlight w:val="none"/>
          <w:u w:val="single"/>
        </w:rPr>
        <w:tab/>
      </w:r>
      <w:r>
        <w:rPr>
          <w:highlight w:val="none"/>
        </w:rPr>
        <w:t>月</w:t>
      </w:r>
      <w:r>
        <w:rPr>
          <w:rFonts w:hint="eastAsia" w:ascii="Times New Roman" w:hAnsi="Times New Roman" w:eastAsia="Times New Roman"/>
          <w:highlight w:val="none"/>
          <w:u w:val="single"/>
        </w:rPr>
        <w:tab/>
      </w:r>
      <w:r>
        <w:rPr>
          <w:highlight w:val="none"/>
        </w:rPr>
        <w:t>日</w:t>
      </w:r>
    </w:p>
    <w:p w14:paraId="025CBE50">
      <w:pPr>
        <w:pStyle w:val="9"/>
        <w:tabs>
          <w:tab w:val="left" w:pos="5803"/>
          <w:tab w:val="left" w:pos="6746"/>
          <w:tab w:val="left" w:pos="7692"/>
        </w:tabs>
        <w:kinsoku w:val="0"/>
        <w:overflowPunct w:val="0"/>
        <w:spacing w:before="36"/>
        <w:ind w:left="4961" w:right="113"/>
        <w:rPr>
          <w:highlight w:val="none"/>
        </w:rPr>
        <w:sectPr>
          <w:pgSz w:w="11905" w:h="16838"/>
          <w:pgMar w:top="1417" w:right="1417" w:bottom="1417" w:left="1417" w:header="992" w:footer="992" w:gutter="0"/>
          <w:cols w:space="720" w:num="1"/>
        </w:sectPr>
      </w:pPr>
    </w:p>
    <w:p w14:paraId="0EE9DB35">
      <w:pPr>
        <w:pStyle w:val="5"/>
        <w:rPr>
          <w:highlight w:val="none"/>
        </w:rPr>
      </w:pPr>
      <w:bookmarkStart w:id="160" w:name="bookmark78"/>
      <w:bookmarkEnd w:id="160"/>
      <w:r>
        <w:rPr>
          <w:highlight w:val="none"/>
        </w:rPr>
        <w:t>附件二：问题的澄清</w:t>
      </w:r>
    </w:p>
    <w:p w14:paraId="1EC32291">
      <w:pPr>
        <w:pStyle w:val="9"/>
        <w:kinsoku w:val="0"/>
        <w:overflowPunct w:val="0"/>
        <w:ind w:left="0"/>
        <w:rPr>
          <w:sz w:val="20"/>
          <w:highlight w:val="none"/>
        </w:rPr>
      </w:pPr>
    </w:p>
    <w:p w14:paraId="4AFE5314">
      <w:pPr>
        <w:pStyle w:val="9"/>
        <w:kinsoku w:val="0"/>
        <w:overflowPunct w:val="0"/>
        <w:ind w:left="0"/>
        <w:rPr>
          <w:sz w:val="20"/>
          <w:highlight w:val="none"/>
        </w:rPr>
      </w:pPr>
    </w:p>
    <w:p w14:paraId="2A0948F9">
      <w:pPr>
        <w:pStyle w:val="9"/>
        <w:kinsoku w:val="0"/>
        <w:overflowPunct w:val="0"/>
        <w:ind w:left="0"/>
        <w:rPr>
          <w:sz w:val="20"/>
          <w:highlight w:val="none"/>
        </w:rPr>
      </w:pPr>
    </w:p>
    <w:p w14:paraId="1BBB0949">
      <w:pPr>
        <w:pStyle w:val="9"/>
        <w:kinsoku w:val="0"/>
        <w:overflowPunct w:val="0"/>
        <w:spacing w:before="168"/>
        <w:ind w:left="0" w:right="16"/>
        <w:jc w:val="center"/>
        <w:rPr>
          <w:sz w:val="28"/>
          <w:highlight w:val="none"/>
        </w:rPr>
      </w:pPr>
      <w:r>
        <w:rPr>
          <w:sz w:val="28"/>
          <w:highlight w:val="none"/>
        </w:rPr>
        <w:t>问题的澄清</w:t>
      </w:r>
    </w:p>
    <w:p w14:paraId="64CC2A2C">
      <w:pPr>
        <w:pStyle w:val="9"/>
        <w:tabs>
          <w:tab w:val="left" w:pos="5947"/>
        </w:tabs>
        <w:kinsoku w:val="0"/>
        <w:overflowPunct w:val="0"/>
        <w:spacing w:before="113"/>
        <w:ind w:left="3566" w:right="113"/>
        <w:rPr>
          <w:highlight w:val="none"/>
        </w:rPr>
      </w:pPr>
      <w:r>
        <w:rPr>
          <w:spacing w:val="-1"/>
          <w:highlight w:val="none"/>
        </w:rPr>
        <w:t>（编号：</w:t>
      </w:r>
      <w:r>
        <w:rPr>
          <w:rFonts w:hint="eastAsia" w:ascii="Times New Roman" w:hAnsi="Times New Roman" w:eastAsia="Times New Roman"/>
          <w:spacing w:val="-1"/>
          <w:highlight w:val="none"/>
          <w:u w:val="single"/>
        </w:rPr>
        <w:tab/>
      </w:r>
      <w:r>
        <w:rPr>
          <w:highlight w:val="none"/>
        </w:rPr>
        <w:t>）</w:t>
      </w:r>
    </w:p>
    <w:p w14:paraId="4930E43C">
      <w:pPr>
        <w:pStyle w:val="9"/>
        <w:kinsoku w:val="0"/>
        <w:overflowPunct w:val="0"/>
        <w:ind w:left="0"/>
        <w:rPr>
          <w:sz w:val="20"/>
          <w:highlight w:val="none"/>
        </w:rPr>
      </w:pPr>
    </w:p>
    <w:p w14:paraId="4BF4C354">
      <w:pPr>
        <w:pStyle w:val="9"/>
        <w:kinsoku w:val="0"/>
        <w:overflowPunct w:val="0"/>
        <w:spacing w:before="1"/>
        <w:ind w:left="0"/>
        <w:rPr>
          <w:sz w:val="20"/>
          <w:highlight w:val="none"/>
        </w:rPr>
      </w:pPr>
    </w:p>
    <w:p w14:paraId="2001DFC8">
      <w:pPr>
        <w:pStyle w:val="9"/>
        <w:kinsoku w:val="0"/>
        <w:overflowPunct w:val="0"/>
        <w:spacing w:before="36"/>
        <w:ind w:left="100" w:right="113"/>
        <w:rPr>
          <w:highlight w:val="none"/>
        </w:rPr>
      </w:pPr>
      <w:r>
        <w:rPr>
          <w:highlight w:val="none"/>
        </w:rPr>
        <w:t>评标委员会：</w:t>
      </w:r>
    </w:p>
    <w:p w14:paraId="6ECFA911">
      <w:pPr>
        <w:pStyle w:val="9"/>
        <w:kinsoku w:val="0"/>
        <w:overflowPunct w:val="0"/>
        <w:ind w:left="0"/>
        <w:rPr>
          <w:sz w:val="20"/>
          <w:highlight w:val="none"/>
        </w:rPr>
      </w:pPr>
    </w:p>
    <w:p w14:paraId="42544FD7">
      <w:pPr>
        <w:pStyle w:val="9"/>
        <w:kinsoku w:val="0"/>
        <w:overflowPunct w:val="0"/>
        <w:spacing w:before="2"/>
        <w:ind w:left="0"/>
        <w:rPr>
          <w:sz w:val="26"/>
          <w:highlight w:val="none"/>
        </w:rPr>
      </w:pPr>
    </w:p>
    <w:p w14:paraId="59415F29">
      <w:pPr>
        <w:pStyle w:val="9"/>
        <w:tabs>
          <w:tab w:val="left" w:pos="3460"/>
        </w:tabs>
        <w:kinsoku w:val="0"/>
        <w:overflowPunct w:val="0"/>
        <w:ind w:left="522" w:right="113"/>
        <w:rPr>
          <w:spacing w:val="-2"/>
          <w:highlight w:val="none"/>
        </w:rPr>
      </w:pPr>
      <w:r>
        <w:rPr>
          <w:spacing w:val="-2"/>
          <w:highlight w:val="none"/>
        </w:rPr>
        <w:t>问题澄清通知（编号：</w:t>
      </w:r>
      <w:r>
        <w:rPr>
          <w:rFonts w:hint="eastAsia" w:ascii="Times New Roman" w:hAnsi="Times New Roman" w:eastAsia="Times New Roman"/>
          <w:spacing w:val="-2"/>
          <w:highlight w:val="none"/>
          <w:u w:val="single"/>
        </w:rPr>
        <w:tab/>
      </w:r>
      <w:r>
        <w:rPr>
          <w:spacing w:val="-2"/>
          <w:highlight w:val="none"/>
        </w:rPr>
        <w:t>）已收悉，现澄清、说明或补正如下：</w:t>
      </w:r>
    </w:p>
    <w:p w14:paraId="2C63AE40">
      <w:pPr>
        <w:pStyle w:val="9"/>
        <w:kinsoku w:val="0"/>
        <w:overflowPunct w:val="0"/>
        <w:spacing w:before="11"/>
        <w:ind w:left="0"/>
        <w:rPr>
          <w:sz w:val="10"/>
          <w:highlight w:val="none"/>
        </w:rPr>
      </w:pPr>
    </w:p>
    <w:p w14:paraId="170D5D3C">
      <w:pPr>
        <w:pStyle w:val="9"/>
        <w:kinsoku w:val="0"/>
        <w:overflowPunct w:val="0"/>
        <w:spacing w:before="74"/>
        <w:ind w:left="0" w:right="7025"/>
        <w:jc w:val="center"/>
        <w:rPr>
          <w:rFonts w:ascii="Times New Roman" w:hAnsi="Times New Roman" w:eastAsia="Times New Roman"/>
          <w:highlight w:val="none"/>
        </w:rPr>
      </w:pPr>
      <w:r>
        <w:rPr>
          <w:rFonts w:hint="eastAsia" w:ascii="Times New Roman" w:hAnsi="Times New Roman" w:eastAsia="Times New Roman"/>
          <w:highlight w:val="none"/>
        </w:rPr>
        <w:t>1.</w:t>
      </w:r>
    </w:p>
    <w:p w14:paraId="61D9A7BE">
      <w:pPr>
        <w:pStyle w:val="9"/>
        <w:kinsoku w:val="0"/>
        <w:overflowPunct w:val="0"/>
        <w:spacing w:before="2"/>
        <w:ind w:left="0"/>
        <w:rPr>
          <w:rFonts w:ascii="Times New Roman" w:hAnsi="Times New Roman" w:eastAsia="Times New Roman"/>
          <w:sz w:val="17"/>
          <w:highlight w:val="none"/>
        </w:rPr>
      </w:pPr>
    </w:p>
    <w:p w14:paraId="5455F63C">
      <w:pPr>
        <w:pStyle w:val="9"/>
        <w:kinsoku w:val="0"/>
        <w:overflowPunct w:val="0"/>
        <w:ind w:left="0" w:right="7025"/>
        <w:jc w:val="center"/>
        <w:rPr>
          <w:rFonts w:ascii="Times New Roman" w:hAnsi="Times New Roman" w:eastAsia="Times New Roman"/>
          <w:highlight w:val="none"/>
        </w:rPr>
      </w:pPr>
      <w:r>
        <w:rPr>
          <w:rFonts w:hint="eastAsia" w:ascii="Times New Roman" w:hAnsi="Times New Roman" w:eastAsia="Times New Roman"/>
          <w:highlight w:val="none"/>
        </w:rPr>
        <w:t>2.</w:t>
      </w:r>
    </w:p>
    <w:p w14:paraId="3D6B72C6">
      <w:pPr>
        <w:pStyle w:val="9"/>
        <w:kinsoku w:val="0"/>
        <w:overflowPunct w:val="0"/>
        <w:spacing w:before="2"/>
        <w:ind w:left="0"/>
        <w:rPr>
          <w:rFonts w:ascii="Times New Roman" w:hAnsi="Times New Roman" w:eastAsia="Times New Roman"/>
          <w:sz w:val="17"/>
          <w:highlight w:val="none"/>
        </w:rPr>
      </w:pPr>
    </w:p>
    <w:p w14:paraId="65FA3F00">
      <w:pPr>
        <w:pStyle w:val="9"/>
        <w:kinsoku w:val="0"/>
        <w:overflowPunct w:val="0"/>
        <w:ind w:left="0" w:right="7130"/>
        <w:jc w:val="center"/>
        <w:rPr>
          <w:rFonts w:ascii="Times New Roman" w:hAnsi="Times New Roman" w:eastAsia="Times New Roman"/>
          <w:highlight w:val="none"/>
        </w:rPr>
      </w:pPr>
      <w:r>
        <w:rPr>
          <w:rFonts w:hint="eastAsia" w:ascii="Times New Roman" w:hAnsi="Times New Roman" w:eastAsia="Times New Roman"/>
          <w:highlight w:val="none"/>
        </w:rPr>
        <w:t>.....</w:t>
      </w:r>
    </w:p>
    <w:p w14:paraId="2D60031B">
      <w:pPr>
        <w:pStyle w:val="9"/>
        <w:kinsoku w:val="0"/>
        <w:overflowPunct w:val="0"/>
        <w:ind w:left="0"/>
        <w:rPr>
          <w:rFonts w:ascii="Times New Roman" w:hAnsi="Times New Roman" w:eastAsia="Times New Roman"/>
          <w:sz w:val="20"/>
          <w:highlight w:val="none"/>
        </w:rPr>
      </w:pPr>
    </w:p>
    <w:p w14:paraId="43903800">
      <w:pPr>
        <w:pStyle w:val="9"/>
        <w:kinsoku w:val="0"/>
        <w:overflowPunct w:val="0"/>
        <w:ind w:left="0"/>
        <w:rPr>
          <w:rFonts w:ascii="Times New Roman" w:hAnsi="Times New Roman" w:eastAsia="Times New Roman"/>
          <w:sz w:val="20"/>
          <w:highlight w:val="none"/>
        </w:rPr>
      </w:pPr>
    </w:p>
    <w:p w14:paraId="6754F0BD">
      <w:pPr>
        <w:pStyle w:val="9"/>
        <w:kinsoku w:val="0"/>
        <w:overflowPunct w:val="0"/>
        <w:ind w:left="0"/>
        <w:rPr>
          <w:rFonts w:ascii="Times New Roman" w:hAnsi="Times New Roman" w:eastAsia="Times New Roman"/>
          <w:sz w:val="20"/>
          <w:highlight w:val="none"/>
        </w:rPr>
      </w:pPr>
    </w:p>
    <w:p w14:paraId="44E20644">
      <w:pPr>
        <w:pStyle w:val="9"/>
        <w:kinsoku w:val="0"/>
        <w:overflowPunct w:val="0"/>
        <w:ind w:left="0"/>
        <w:rPr>
          <w:rFonts w:ascii="Times New Roman" w:hAnsi="Times New Roman" w:eastAsia="Times New Roman"/>
          <w:sz w:val="20"/>
          <w:highlight w:val="none"/>
        </w:rPr>
      </w:pPr>
    </w:p>
    <w:p w14:paraId="701D849C">
      <w:pPr>
        <w:pStyle w:val="9"/>
        <w:kinsoku w:val="0"/>
        <w:overflowPunct w:val="0"/>
        <w:ind w:left="0"/>
        <w:rPr>
          <w:rFonts w:ascii="Times New Roman" w:hAnsi="Times New Roman" w:eastAsia="Times New Roman"/>
          <w:sz w:val="20"/>
          <w:highlight w:val="none"/>
        </w:rPr>
      </w:pPr>
    </w:p>
    <w:p w14:paraId="4BC58C4A">
      <w:pPr>
        <w:pStyle w:val="9"/>
        <w:kinsoku w:val="0"/>
        <w:overflowPunct w:val="0"/>
        <w:spacing w:before="11"/>
        <w:ind w:left="0"/>
        <w:rPr>
          <w:rFonts w:ascii="Times New Roman" w:hAnsi="Times New Roman" w:eastAsia="Times New Roman"/>
          <w:sz w:val="27"/>
          <w:highlight w:val="none"/>
        </w:rPr>
      </w:pPr>
    </w:p>
    <w:p w14:paraId="03B13424">
      <w:pPr>
        <w:pStyle w:val="9"/>
        <w:kinsoku w:val="0"/>
        <w:overflowPunct w:val="0"/>
        <w:spacing w:line="384" w:lineRule="auto"/>
        <w:ind w:left="100" w:right="113" w:firstLine="419"/>
        <w:rPr>
          <w:highlight w:val="none"/>
        </w:rPr>
      </w:pPr>
      <w:r>
        <w:rPr>
          <w:spacing w:val="-1"/>
          <w:highlight w:val="none"/>
        </w:rPr>
        <w:t>上述问题澄清、说明或补正，不改变我方投标文件的实质性内容，构成我方投标文件的组</w:t>
      </w:r>
      <w:r>
        <w:rPr>
          <w:highlight w:val="none"/>
        </w:rPr>
        <w:t xml:space="preserve"> 成部分。</w:t>
      </w:r>
    </w:p>
    <w:p w14:paraId="79E4EEA0">
      <w:pPr>
        <w:pStyle w:val="9"/>
        <w:kinsoku w:val="0"/>
        <w:overflowPunct w:val="0"/>
        <w:ind w:left="0"/>
        <w:rPr>
          <w:sz w:val="20"/>
          <w:highlight w:val="none"/>
        </w:rPr>
      </w:pPr>
    </w:p>
    <w:p w14:paraId="234C2D8E">
      <w:pPr>
        <w:pStyle w:val="9"/>
        <w:kinsoku w:val="0"/>
        <w:overflowPunct w:val="0"/>
        <w:ind w:left="0"/>
        <w:rPr>
          <w:sz w:val="20"/>
          <w:highlight w:val="none"/>
        </w:rPr>
      </w:pPr>
    </w:p>
    <w:p w14:paraId="40BFE838">
      <w:pPr>
        <w:pStyle w:val="9"/>
        <w:kinsoku w:val="0"/>
        <w:overflowPunct w:val="0"/>
        <w:spacing w:before="6"/>
        <w:ind w:left="0"/>
        <w:rPr>
          <w:sz w:val="19"/>
          <w:highlight w:val="none"/>
        </w:rPr>
      </w:pPr>
    </w:p>
    <w:p w14:paraId="467EAC91">
      <w:pPr>
        <w:pStyle w:val="9"/>
        <w:tabs>
          <w:tab w:val="left" w:pos="7382"/>
        </w:tabs>
        <w:kinsoku w:val="0"/>
        <w:overflowPunct w:val="0"/>
        <w:ind w:left="3043" w:right="113"/>
        <w:rPr>
          <w:spacing w:val="-1"/>
          <w:highlight w:val="none"/>
        </w:rPr>
      </w:pPr>
      <w:r>
        <w:rPr>
          <w:spacing w:val="-1"/>
          <w:highlight w:val="none"/>
        </w:rPr>
        <w:t>投标人：</w:t>
      </w:r>
      <w:r>
        <w:rPr>
          <w:rFonts w:hint="eastAsia" w:ascii="Times New Roman" w:hAnsi="Times New Roman" w:eastAsia="Times New Roman"/>
          <w:spacing w:val="-1"/>
          <w:highlight w:val="none"/>
          <w:u w:val="single"/>
        </w:rPr>
        <w:tab/>
      </w:r>
      <w:r>
        <w:rPr>
          <w:spacing w:val="-1"/>
          <w:highlight w:val="none"/>
        </w:rPr>
        <w:t>（盖单位章）</w:t>
      </w:r>
    </w:p>
    <w:p w14:paraId="35F51245">
      <w:pPr>
        <w:pStyle w:val="9"/>
        <w:kinsoku w:val="0"/>
        <w:overflowPunct w:val="0"/>
        <w:spacing w:before="11"/>
        <w:ind w:left="0"/>
        <w:rPr>
          <w:sz w:val="17"/>
          <w:highlight w:val="none"/>
        </w:rPr>
      </w:pPr>
    </w:p>
    <w:p w14:paraId="240D5317">
      <w:pPr>
        <w:pStyle w:val="9"/>
        <w:tabs>
          <w:tab w:val="left" w:pos="6612"/>
        </w:tabs>
        <w:kinsoku w:val="0"/>
        <w:overflowPunct w:val="0"/>
        <w:spacing w:before="36"/>
        <w:ind w:left="3041" w:right="113"/>
        <w:rPr>
          <w:spacing w:val="-2"/>
          <w:highlight w:val="none"/>
        </w:rPr>
      </w:pPr>
      <w:r>
        <w:rPr>
          <w:spacing w:val="-2"/>
          <w:highlight w:val="none"/>
        </w:rPr>
        <w:t>法定代表人或其委托代理人：</w:t>
      </w:r>
      <w:r>
        <w:rPr>
          <w:rFonts w:hint="eastAsia" w:ascii="Times New Roman" w:hAnsi="Times New Roman" w:eastAsia="Times New Roman"/>
          <w:spacing w:val="-2"/>
          <w:highlight w:val="none"/>
          <w:u w:val="single"/>
        </w:rPr>
        <w:tab/>
      </w:r>
      <w:r>
        <w:rPr>
          <w:spacing w:val="-2"/>
          <w:highlight w:val="none"/>
        </w:rPr>
        <w:t>（签字）</w:t>
      </w:r>
    </w:p>
    <w:p w14:paraId="73AE6884">
      <w:pPr>
        <w:pStyle w:val="9"/>
        <w:kinsoku w:val="0"/>
        <w:overflowPunct w:val="0"/>
        <w:ind w:left="0"/>
        <w:rPr>
          <w:sz w:val="20"/>
          <w:highlight w:val="none"/>
        </w:rPr>
      </w:pPr>
    </w:p>
    <w:p w14:paraId="2C3A1025">
      <w:pPr>
        <w:pStyle w:val="9"/>
        <w:kinsoku w:val="0"/>
        <w:overflowPunct w:val="0"/>
        <w:ind w:left="0"/>
        <w:rPr>
          <w:sz w:val="20"/>
          <w:highlight w:val="none"/>
        </w:rPr>
      </w:pPr>
    </w:p>
    <w:p w14:paraId="4ECF33A1">
      <w:pPr>
        <w:pStyle w:val="9"/>
        <w:kinsoku w:val="0"/>
        <w:overflowPunct w:val="0"/>
        <w:spacing w:before="4"/>
        <w:ind w:left="0"/>
        <w:rPr>
          <w:sz w:val="22"/>
          <w:highlight w:val="none"/>
        </w:rPr>
      </w:pPr>
    </w:p>
    <w:p w14:paraId="6C420DD5">
      <w:pPr>
        <w:pStyle w:val="9"/>
        <w:tabs>
          <w:tab w:val="left" w:pos="6434"/>
          <w:tab w:val="left" w:pos="7483"/>
          <w:tab w:val="left" w:pos="8533"/>
        </w:tabs>
        <w:kinsoku w:val="0"/>
        <w:overflowPunct w:val="0"/>
        <w:spacing w:before="36"/>
        <w:ind w:left="5595"/>
        <w:rPr>
          <w:highlight w:val="none"/>
        </w:rPr>
        <w:sectPr>
          <w:pgSz w:w="11905" w:h="16838"/>
          <w:pgMar w:top="1417" w:right="1417" w:bottom="1417" w:left="1417" w:header="992" w:footer="992" w:gutter="0"/>
          <w:cols w:space="720" w:num="1"/>
        </w:sect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3"/>
          <w:highlight w:val="none"/>
        </w:rPr>
        <w:t>年</w:t>
      </w:r>
      <w:r>
        <w:rPr>
          <w:rFonts w:hint="eastAsia" w:ascii="Times New Roman" w:hAnsi="Times New Roman" w:eastAsia="Times New Roman"/>
          <w:spacing w:val="-3"/>
          <w:highlight w:val="none"/>
          <w:u w:val="single"/>
        </w:rPr>
        <w:tab/>
      </w:r>
      <w:r>
        <w:rPr>
          <w:highlight w:val="none"/>
        </w:rPr>
        <w:t>月</w:t>
      </w:r>
      <w:r>
        <w:rPr>
          <w:rFonts w:hint="eastAsia" w:ascii="Times New Roman" w:hAnsi="Times New Roman" w:eastAsia="Times New Roman"/>
          <w:highlight w:val="none"/>
          <w:u w:val="single"/>
        </w:rPr>
        <w:tab/>
      </w:r>
      <w:r>
        <w:rPr>
          <w:highlight w:val="none"/>
        </w:rPr>
        <w:t>日</w:t>
      </w:r>
    </w:p>
    <w:p w14:paraId="098D0A36">
      <w:pPr>
        <w:pStyle w:val="3"/>
        <w:rPr>
          <w:b w:val="0"/>
          <w:sz w:val="57"/>
          <w:highlight w:val="none"/>
        </w:rPr>
      </w:pPr>
      <w:bookmarkStart w:id="161" w:name="bookmark79"/>
      <w:bookmarkEnd w:id="161"/>
      <w:bookmarkStart w:id="162" w:name="bookmark82"/>
      <w:bookmarkEnd w:id="162"/>
      <w:bookmarkStart w:id="163" w:name="_Toc29250"/>
      <w:r>
        <w:rPr>
          <w:rFonts w:cs="宋体"/>
          <w:sz w:val="44"/>
          <w:highlight w:val="none"/>
        </w:rPr>
        <w:t>第三章 评标办法（综合评估法）</w:t>
      </w:r>
      <w:bookmarkEnd w:id="163"/>
    </w:p>
    <w:p w14:paraId="4C32ED33">
      <w:pPr>
        <w:pStyle w:val="4"/>
        <w:kinsoku w:val="0"/>
        <w:overflowPunct w:val="0"/>
        <w:spacing w:before="120" w:after="120"/>
        <w:ind w:left="120"/>
        <w:jc w:val="center"/>
        <w:rPr>
          <w:sz w:val="32"/>
          <w:highlight w:val="none"/>
        </w:rPr>
      </w:pPr>
      <w:bookmarkStart w:id="164" w:name="bookmark83"/>
      <w:bookmarkEnd w:id="164"/>
      <w:bookmarkStart w:id="165" w:name="_Toc17036"/>
      <w:r>
        <w:rPr>
          <w:sz w:val="32"/>
          <w:highlight w:val="none"/>
        </w:rPr>
        <w:t>评标办法前附表</w:t>
      </w:r>
      <w:bookmarkEnd w:id="165"/>
    </w:p>
    <w:tbl>
      <w:tblPr>
        <w:tblStyle w:val="18"/>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86"/>
      </w:tblGrid>
      <w:tr w14:paraId="3EC5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14296D6">
            <w:pPr>
              <w:pStyle w:val="22"/>
              <w:kinsoku w:val="0"/>
              <w:overflowPunct w:val="0"/>
              <w:spacing w:before="41"/>
              <w:jc w:val="center"/>
              <w:rPr>
                <w:rFonts w:ascii="宋体" w:hAnsi="宋体" w:cs="宋体"/>
                <w:sz w:val="21"/>
                <w:szCs w:val="21"/>
                <w:highlight w:val="none"/>
              </w:rPr>
            </w:pPr>
            <w:r>
              <w:rPr>
                <w:rFonts w:ascii="宋体" w:hAnsi="宋体" w:cs="宋体"/>
                <w:b/>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24F1C">
            <w:pPr>
              <w:pStyle w:val="22"/>
              <w:kinsoku w:val="0"/>
              <w:overflowPunct w:val="0"/>
              <w:spacing w:before="41"/>
              <w:jc w:val="center"/>
              <w:rPr>
                <w:rFonts w:ascii="宋体" w:hAnsi="宋体" w:cs="宋体"/>
                <w:sz w:val="21"/>
                <w:szCs w:val="21"/>
                <w:highlight w:val="none"/>
              </w:rPr>
            </w:pPr>
            <w:r>
              <w:rPr>
                <w:rFonts w:ascii="宋体" w:hAnsi="宋体" w:cs="宋体"/>
                <w:b/>
                <w:sz w:val="21"/>
                <w:szCs w:val="21"/>
                <w:highlight w:val="none"/>
              </w:rPr>
              <w:t>评审因素</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F66335">
            <w:pPr>
              <w:pStyle w:val="22"/>
              <w:kinsoku w:val="0"/>
              <w:overflowPunct w:val="0"/>
              <w:spacing w:before="41"/>
              <w:jc w:val="center"/>
              <w:rPr>
                <w:rFonts w:ascii="宋体" w:hAnsi="宋体" w:cs="宋体"/>
                <w:sz w:val="21"/>
                <w:szCs w:val="21"/>
                <w:highlight w:val="none"/>
              </w:rPr>
            </w:pPr>
            <w:r>
              <w:rPr>
                <w:rFonts w:ascii="宋体" w:hAnsi="宋体" w:cs="宋体"/>
                <w:b/>
                <w:sz w:val="21"/>
                <w:szCs w:val="21"/>
                <w:highlight w:val="none"/>
              </w:rPr>
              <w:t>评审标准</w:t>
            </w:r>
          </w:p>
        </w:tc>
      </w:tr>
      <w:tr w14:paraId="78C7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E6820">
            <w:pPr>
              <w:pStyle w:val="22"/>
              <w:kinsoku w:val="0"/>
              <w:overflowPunct w:val="0"/>
              <w:jc w:val="both"/>
              <w:rPr>
                <w:rFonts w:ascii="宋体" w:hAnsi="宋体" w:cs="宋体"/>
                <w:sz w:val="21"/>
                <w:szCs w:val="21"/>
                <w:highlight w:val="none"/>
              </w:rPr>
            </w:pPr>
            <w:r>
              <w:rPr>
                <w:rFonts w:ascii="宋体" w:hAnsi="宋体" w:cs="宋体"/>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63C09B">
            <w:pPr>
              <w:pStyle w:val="22"/>
              <w:kinsoku w:val="0"/>
              <w:overflowPunct w:val="0"/>
              <w:spacing w:before="141"/>
              <w:jc w:val="both"/>
              <w:rPr>
                <w:rFonts w:ascii="宋体" w:hAnsi="宋体" w:cs="宋体"/>
                <w:sz w:val="21"/>
                <w:szCs w:val="21"/>
                <w:highlight w:val="none"/>
              </w:rPr>
            </w:pPr>
            <w:r>
              <w:rPr>
                <w:rFonts w:ascii="宋体" w:hAnsi="宋体" w:cs="宋体"/>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8FF55A">
            <w:pPr>
              <w:pStyle w:val="22"/>
              <w:kinsoku w:val="0"/>
              <w:overflowPunct w:val="0"/>
              <w:spacing w:before="141"/>
              <w:jc w:val="center"/>
              <w:rPr>
                <w:rFonts w:ascii="宋体" w:hAnsi="宋体" w:cs="宋体"/>
                <w:sz w:val="21"/>
                <w:szCs w:val="21"/>
                <w:highlight w:val="none"/>
              </w:rPr>
            </w:pPr>
            <w:r>
              <w:rPr>
                <w:rFonts w:ascii="宋体" w:hAnsi="宋体" w:cs="宋体"/>
                <w:sz w:val="21"/>
                <w:szCs w:val="21"/>
                <w:highlight w:val="none"/>
              </w:rPr>
              <w:t>中标候选人排序方法</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1F1C7">
            <w:pPr>
              <w:pStyle w:val="22"/>
              <w:kinsoku w:val="0"/>
              <w:overflowPunct w:val="0"/>
              <w:spacing w:before="141"/>
              <w:rPr>
                <w:rFonts w:ascii="宋体" w:hAnsi="宋体" w:cs="宋体"/>
                <w:sz w:val="21"/>
                <w:szCs w:val="21"/>
                <w:highlight w:val="none"/>
              </w:rPr>
            </w:pPr>
            <w:r>
              <w:rPr>
                <w:rFonts w:ascii="宋体"/>
                <w:sz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监理大纲得分高的优先；如果监理大纲得分也相等，由评标委员会采用记名投票方式，以得票多的优先。</w:t>
            </w:r>
          </w:p>
        </w:tc>
      </w:tr>
      <w:tr w14:paraId="691D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43A023">
            <w:pPr>
              <w:pStyle w:val="22"/>
              <w:kinsoku w:val="0"/>
              <w:overflowPunct w:val="0"/>
              <w:jc w:val="both"/>
              <w:rPr>
                <w:rFonts w:ascii="宋体" w:hAnsi="宋体" w:cs="宋体"/>
                <w:sz w:val="21"/>
                <w:szCs w:val="21"/>
                <w:highlight w:val="none"/>
              </w:rPr>
            </w:pPr>
            <w:r>
              <w:rPr>
                <w:rFonts w:ascii="宋体" w:hAnsi="宋体" w:cs="宋体"/>
                <w:sz w:val="21"/>
                <w:szCs w:val="21"/>
                <w:highlight w:val="none"/>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963739">
            <w:pPr>
              <w:pStyle w:val="22"/>
              <w:kinsoku w:val="0"/>
              <w:overflowPunct w:val="0"/>
              <w:spacing w:line="384" w:lineRule="auto"/>
              <w:ind w:right="132"/>
              <w:jc w:val="both"/>
              <w:rPr>
                <w:rFonts w:ascii="宋体" w:hAnsi="宋体" w:cs="宋体"/>
                <w:sz w:val="21"/>
                <w:szCs w:val="21"/>
                <w:highlight w:val="none"/>
              </w:rPr>
            </w:pPr>
            <w:r>
              <w:rPr>
                <w:rFonts w:ascii="宋体" w:hAnsi="宋体" w:cs="宋体"/>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2BA4A">
            <w:pPr>
              <w:pStyle w:val="22"/>
              <w:kinsoku w:val="0"/>
              <w:overflowPunct w:val="0"/>
              <w:jc w:val="center"/>
              <w:rPr>
                <w:rFonts w:ascii="宋体" w:hAnsi="宋体" w:cs="宋体"/>
                <w:sz w:val="21"/>
                <w:szCs w:val="21"/>
                <w:highlight w:val="none"/>
              </w:rPr>
            </w:pPr>
            <w:r>
              <w:rPr>
                <w:rFonts w:ascii="宋体" w:hAnsi="宋体" w:cs="宋体"/>
                <w:sz w:val="21"/>
                <w:szCs w:val="21"/>
                <w:highlight w:val="none"/>
              </w:rPr>
              <w:t>营业执照</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64B75">
            <w:pPr>
              <w:pStyle w:val="22"/>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符合第二章“投标人须知”第 3.5.1项规定，具备有效的营业执照</w:t>
            </w:r>
          </w:p>
        </w:tc>
      </w:tr>
      <w:tr w14:paraId="2FE5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A29B7D">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EA290A">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E34B0">
            <w:pPr>
              <w:pStyle w:val="22"/>
              <w:kinsoku w:val="0"/>
              <w:overflowPunct w:val="0"/>
              <w:jc w:val="center"/>
              <w:rPr>
                <w:rFonts w:ascii="宋体" w:hAnsi="宋体" w:cs="宋体"/>
                <w:sz w:val="21"/>
                <w:szCs w:val="21"/>
                <w:highlight w:val="none"/>
              </w:rPr>
            </w:pPr>
            <w:r>
              <w:rPr>
                <w:rFonts w:ascii="宋体" w:hAnsi="宋体" w:cs="宋体"/>
                <w:sz w:val="21"/>
                <w:szCs w:val="21"/>
                <w:highlight w:val="none"/>
              </w:rPr>
              <w:t>资质要求</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9C4C8">
            <w:pPr>
              <w:pStyle w:val="22"/>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符合第二章“投标人须知”第 1.4.1项规定</w:t>
            </w:r>
          </w:p>
        </w:tc>
      </w:tr>
      <w:tr w14:paraId="68FA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74C211">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7EAE0B">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AB417">
            <w:pPr>
              <w:pStyle w:val="22"/>
              <w:kinsoku w:val="0"/>
              <w:overflowPunct w:val="0"/>
              <w:jc w:val="center"/>
              <w:rPr>
                <w:rFonts w:ascii="宋体" w:hAnsi="宋体" w:cs="宋体"/>
                <w:sz w:val="21"/>
                <w:szCs w:val="21"/>
                <w:highlight w:val="none"/>
              </w:rPr>
            </w:pPr>
            <w:r>
              <w:rPr>
                <w:rFonts w:ascii="宋体" w:hAnsi="宋体" w:cs="宋体"/>
                <w:sz w:val="21"/>
                <w:szCs w:val="21"/>
                <w:highlight w:val="none"/>
              </w:rPr>
              <w:t>总监理工程师</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AB2C9">
            <w:pPr>
              <w:pStyle w:val="22"/>
              <w:kinsoku w:val="0"/>
              <w:overflowPunct w:val="0"/>
              <w:spacing w:before="107"/>
              <w:jc w:val="both"/>
              <w:rPr>
                <w:rFonts w:ascii="宋体" w:hAnsi="宋体" w:cs="宋体"/>
                <w:sz w:val="21"/>
                <w:szCs w:val="21"/>
                <w:highlight w:val="none"/>
              </w:rPr>
            </w:pPr>
            <w:r>
              <w:rPr>
                <w:rFonts w:ascii="宋体" w:hAnsi="宋体" w:cs="宋体"/>
                <w:sz w:val="21"/>
                <w:szCs w:val="21"/>
                <w:highlight w:val="none"/>
              </w:rPr>
              <w:t>符合第二章“投标人须知”第 1.4.1项规定</w:t>
            </w:r>
          </w:p>
        </w:tc>
      </w:tr>
      <w:tr w14:paraId="5331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A1E30F">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6B36AB">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C1CFA">
            <w:pPr>
              <w:pStyle w:val="22"/>
              <w:kinsoku w:val="0"/>
              <w:overflowPunct w:val="0"/>
              <w:jc w:val="center"/>
              <w:rPr>
                <w:rFonts w:ascii="宋体" w:hAnsi="宋体" w:cs="宋体"/>
                <w:strike/>
                <w:sz w:val="21"/>
                <w:szCs w:val="21"/>
                <w:highlight w:val="none"/>
              </w:rPr>
            </w:pPr>
            <w:r>
              <w:rPr>
                <w:rFonts w:ascii="宋体" w:hAnsi="宋体" w:cs="宋体"/>
                <w:strike/>
                <w:sz w:val="21"/>
                <w:szCs w:val="21"/>
                <w:highlight w:val="none"/>
              </w:rPr>
              <w:t>业绩要求</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F5862">
            <w:pPr>
              <w:pStyle w:val="22"/>
              <w:kinsoku w:val="0"/>
              <w:overflowPunct w:val="0"/>
              <w:spacing w:before="107"/>
              <w:jc w:val="both"/>
              <w:rPr>
                <w:rFonts w:ascii="宋体" w:hAnsi="宋体" w:cs="宋体"/>
                <w:strike/>
                <w:sz w:val="21"/>
                <w:szCs w:val="21"/>
                <w:highlight w:val="none"/>
              </w:rPr>
            </w:pPr>
            <w:r>
              <w:rPr>
                <w:rFonts w:ascii="宋体" w:hAnsi="宋体" w:cs="宋体"/>
                <w:strike/>
                <w:sz w:val="21"/>
                <w:szCs w:val="21"/>
                <w:highlight w:val="none"/>
              </w:rPr>
              <w:t>符合第二章“投标人须知”第 1.4.1项规定</w:t>
            </w:r>
          </w:p>
        </w:tc>
      </w:tr>
      <w:tr w14:paraId="64D5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ADE301">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89B671">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ADF2F">
            <w:pPr>
              <w:pStyle w:val="22"/>
              <w:kinsoku w:val="0"/>
              <w:overflowPunct w:val="0"/>
              <w:jc w:val="center"/>
              <w:rPr>
                <w:rFonts w:ascii="宋体" w:hAnsi="宋体" w:cs="宋体"/>
                <w:strike/>
                <w:sz w:val="21"/>
                <w:szCs w:val="21"/>
                <w:highlight w:val="none"/>
              </w:rPr>
            </w:pPr>
            <w:r>
              <w:rPr>
                <w:rFonts w:ascii="宋体" w:hAnsi="宋体" w:cs="宋体"/>
                <w:strike/>
                <w:sz w:val="21"/>
                <w:szCs w:val="21"/>
                <w:highlight w:val="none"/>
              </w:rPr>
              <w:t>联合体投标人</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41F31">
            <w:pPr>
              <w:pStyle w:val="22"/>
              <w:kinsoku w:val="0"/>
              <w:overflowPunct w:val="0"/>
              <w:jc w:val="both"/>
              <w:rPr>
                <w:rFonts w:ascii="宋体" w:hAnsi="宋体" w:cs="宋体"/>
                <w:strike/>
                <w:sz w:val="21"/>
                <w:szCs w:val="21"/>
                <w:highlight w:val="none"/>
              </w:rPr>
            </w:pPr>
            <w:r>
              <w:rPr>
                <w:rFonts w:ascii="宋体" w:hAnsi="宋体" w:cs="宋体"/>
                <w:strike/>
                <w:sz w:val="21"/>
                <w:szCs w:val="21"/>
                <w:highlight w:val="none"/>
              </w:rPr>
              <w:t>符合第二章“投标人须知”第1.4.2项规定</w:t>
            </w:r>
          </w:p>
        </w:tc>
      </w:tr>
      <w:tr w14:paraId="0588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F27029">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DD27E3">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63BD3">
            <w:pPr>
              <w:jc w:val="center"/>
              <w:rPr>
                <w:rFonts w:ascii="宋体" w:hAnsi="Calibri"/>
                <w:snapToGrid w:val="0"/>
                <w:kern w:val="2"/>
                <w:sz w:val="21"/>
                <w:szCs w:val="21"/>
                <w:highlight w:val="none"/>
              </w:rPr>
            </w:pPr>
            <w:r>
              <w:rPr>
                <w:rFonts w:ascii="宋体" w:hAnsi="宋体" w:cs="宋体"/>
                <w:spacing w:val="-2"/>
                <w:sz w:val="21"/>
                <w:szCs w:val="21"/>
                <w:highlight w:val="none"/>
              </w:rPr>
              <w:t>未被纳入失信联合惩戒名单且被限制参与相关项目投标的</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1E084">
            <w:pPr>
              <w:rPr>
                <w:rFonts w:ascii="宋体" w:hAnsi="Calibri"/>
                <w:snapToGrid w:val="0"/>
                <w:kern w:val="2"/>
                <w:sz w:val="21"/>
                <w:szCs w:val="21"/>
                <w:highlight w:val="none"/>
              </w:rPr>
            </w:pPr>
            <w:r>
              <w:rPr>
                <w:rFonts w:ascii="宋体" w:hAnsi="宋体" w:cs="宋体"/>
                <w:spacing w:val="-4"/>
                <w:sz w:val="21"/>
                <w:szCs w:val="21"/>
                <w:highlight w:val="none"/>
              </w:rPr>
              <w:t>失信联合惩戒名单以“信用广州”网站公布的“</w:t>
            </w:r>
            <w:r>
              <w:rPr>
                <w:rFonts w:hint="eastAsia" w:ascii="宋体" w:hAnsi="宋体" w:cs="宋体"/>
                <w:spacing w:val="-4"/>
                <w:sz w:val="21"/>
                <w:szCs w:val="21"/>
                <w:highlight w:val="none"/>
              </w:rPr>
              <w:t>黑名单</w:t>
            </w:r>
            <w:r>
              <w:rPr>
                <w:rFonts w:ascii="宋体" w:hAnsi="宋体" w:cs="宋体"/>
                <w:spacing w:val="-4"/>
                <w:sz w:val="21"/>
                <w:szCs w:val="21"/>
                <w:highlight w:val="none"/>
              </w:rPr>
              <w:t>”为准。投标人可不提供资料，按项目评标当天网上查询结果进行评审。</w:t>
            </w:r>
          </w:p>
        </w:tc>
      </w:tr>
      <w:tr w14:paraId="299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84E406">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6FCA83">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29CBB">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投标人声明</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73BBC">
            <w:pPr>
              <w:pStyle w:val="22"/>
              <w:kinsoku w:val="0"/>
              <w:overflowPunct w:val="0"/>
              <w:jc w:val="both"/>
              <w:rPr>
                <w:rFonts w:ascii="宋体" w:hAnsi="宋体" w:cs="宋体"/>
                <w:sz w:val="21"/>
                <w:szCs w:val="21"/>
                <w:highlight w:val="none"/>
              </w:rPr>
            </w:pPr>
            <w:r>
              <w:rPr>
                <w:rFonts w:ascii="宋体" w:hAnsi="宋体" w:cs="宋体"/>
                <w:sz w:val="21"/>
                <w:szCs w:val="21"/>
                <w:highlight w:val="none"/>
              </w:rPr>
              <w:t>投标人已按第六章“投标文件格式”规定的内容签署盖章《投标人声明》，且总监理工程师</w:t>
            </w:r>
            <w:r>
              <w:rPr>
                <w:rFonts w:hint="eastAsia" w:ascii="宋体" w:hAnsi="宋体" w:cs="宋体"/>
                <w:sz w:val="21"/>
                <w:szCs w:val="21"/>
                <w:highlight w:val="none"/>
              </w:rPr>
              <w:t>、技术负责人</w:t>
            </w:r>
            <w:r>
              <w:rPr>
                <w:rFonts w:ascii="宋体" w:hAnsi="宋体" w:cs="宋体"/>
                <w:sz w:val="21"/>
                <w:szCs w:val="21"/>
                <w:highlight w:val="none"/>
              </w:rPr>
              <w:t>签字确认</w:t>
            </w:r>
          </w:p>
        </w:tc>
      </w:tr>
      <w:tr w14:paraId="7F62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AE206C">
            <w:pPr>
              <w:pStyle w:val="22"/>
              <w:kinsoku w:val="0"/>
              <w:overflowPunct w:val="0"/>
              <w:jc w:val="both"/>
              <w:rPr>
                <w:rFonts w:ascii="宋体" w:hAnsi="宋体"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CC2FAC">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E29EA">
            <w:pPr>
              <w:pStyle w:val="22"/>
              <w:kinsoku w:val="0"/>
              <w:overflowPunct w:val="0"/>
              <w:jc w:val="center"/>
              <w:rPr>
                <w:rFonts w:ascii="宋体" w:hAnsi="宋体" w:cs="宋体"/>
                <w:sz w:val="21"/>
                <w:szCs w:val="21"/>
                <w:highlight w:val="none"/>
              </w:rPr>
            </w:pPr>
            <w:r>
              <w:rPr>
                <w:rFonts w:ascii="宋体" w:hAnsi="宋体" w:cs="宋体"/>
                <w:sz w:val="21"/>
                <w:szCs w:val="21"/>
                <w:highlight w:val="none"/>
              </w:rPr>
              <w:t>不存在禁止投标的情形</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BC24E1">
            <w:pPr>
              <w:pStyle w:val="22"/>
              <w:kinsoku w:val="0"/>
              <w:overflowPunct w:val="0"/>
              <w:jc w:val="both"/>
              <w:rPr>
                <w:rFonts w:ascii="宋体" w:hAnsi="宋体" w:cs="宋体"/>
                <w:sz w:val="21"/>
                <w:szCs w:val="21"/>
                <w:highlight w:val="none"/>
              </w:rPr>
            </w:pPr>
            <w:r>
              <w:rPr>
                <w:rFonts w:ascii="宋体" w:hAnsi="宋体" w:cs="宋体"/>
                <w:sz w:val="21"/>
                <w:szCs w:val="21"/>
                <w:highlight w:val="none"/>
              </w:rPr>
              <w:t>不存在第二章“投标人须知”第 1.4.3项规定的任何一种情形</w:t>
            </w:r>
          </w:p>
        </w:tc>
      </w:tr>
      <w:tr w14:paraId="74F5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045D45">
            <w:pPr>
              <w:pStyle w:val="22"/>
              <w:kinsoku w:val="0"/>
              <w:overflowPunct w:val="0"/>
              <w:jc w:val="both"/>
              <w:rPr>
                <w:rFonts w:ascii="宋体" w:hAnsi="宋体" w:cs="宋体"/>
                <w:sz w:val="21"/>
                <w:szCs w:val="21"/>
                <w:highlight w:val="none"/>
              </w:rPr>
            </w:pPr>
            <w:r>
              <w:rPr>
                <w:rFonts w:ascii="宋体" w:hAnsi="宋体" w:cs="宋体"/>
                <w:sz w:val="21"/>
                <w:szCs w:val="21"/>
                <w:highlight w:val="none"/>
              </w:rPr>
              <w:t>2.1.2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996D45">
            <w:pPr>
              <w:pStyle w:val="22"/>
              <w:kinsoku w:val="0"/>
              <w:overflowPunct w:val="0"/>
              <w:spacing w:line="384" w:lineRule="auto"/>
              <w:ind w:right="132"/>
              <w:jc w:val="both"/>
              <w:rPr>
                <w:rFonts w:ascii="宋体" w:hAnsi="宋体" w:cs="宋体"/>
                <w:sz w:val="21"/>
                <w:szCs w:val="21"/>
                <w:highlight w:val="none"/>
              </w:rPr>
            </w:pPr>
            <w:r>
              <w:rPr>
                <w:rFonts w:ascii="宋体" w:hAnsi="宋体" w:cs="宋体"/>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F6ED9A">
            <w:pPr>
              <w:pStyle w:val="22"/>
              <w:kinsoku w:val="0"/>
              <w:overflowPunct w:val="0"/>
              <w:spacing w:before="110"/>
              <w:jc w:val="center"/>
              <w:rPr>
                <w:rFonts w:ascii="宋体" w:hAnsi="宋体" w:cs="宋体"/>
                <w:sz w:val="21"/>
                <w:szCs w:val="21"/>
                <w:highlight w:val="none"/>
              </w:rPr>
            </w:pPr>
            <w:r>
              <w:rPr>
                <w:rFonts w:ascii="宋体" w:hAnsi="宋体" w:cs="宋体"/>
                <w:sz w:val="21"/>
                <w:szCs w:val="21"/>
                <w:highlight w:val="none"/>
              </w:rPr>
              <w:t>投标人名称</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D3758">
            <w:pPr>
              <w:pStyle w:val="22"/>
              <w:kinsoku w:val="0"/>
              <w:overflowPunct w:val="0"/>
              <w:spacing w:before="110"/>
              <w:rPr>
                <w:rFonts w:ascii="宋体" w:hAnsi="宋体" w:cs="宋体"/>
                <w:sz w:val="21"/>
                <w:szCs w:val="21"/>
                <w:highlight w:val="none"/>
              </w:rPr>
            </w:pPr>
            <w:r>
              <w:rPr>
                <w:rFonts w:ascii="宋体" w:hAnsi="宋体" w:cs="宋体"/>
                <w:sz w:val="21"/>
                <w:szCs w:val="21"/>
                <w:highlight w:val="none"/>
              </w:rPr>
              <w:t>与营业执照、资质证书一致</w:t>
            </w:r>
          </w:p>
        </w:tc>
      </w:tr>
      <w:tr w14:paraId="760C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63" w:type="dxa"/>
            <w:vMerge w:val="continue"/>
            <w:tcBorders>
              <w:left w:val="single" w:color="auto" w:sz="4" w:space="0"/>
              <w:right w:val="single" w:color="auto" w:sz="4" w:space="0"/>
              <w:tl2br w:val="nil"/>
              <w:tr2bl w:val="nil"/>
            </w:tcBorders>
            <w:noWrap w:val="0"/>
            <w:vAlign w:val="center"/>
          </w:tcPr>
          <w:p w14:paraId="615E7787">
            <w:pPr>
              <w:pStyle w:val="22"/>
              <w:kinsoku w:val="0"/>
              <w:overflowPunct w:val="0"/>
              <w:jc w:val="both"/>
              <w:rPr>
                <w:rFonts w:ascii="宋体" w:hAnsi="宋体" w:cs="宋体"/>
                <w:sz w:val="21"/>
                <w:szCs w:val="21"/>
                <w:highlight w:val="none"/>
              </w:rPr>
            </w:pPr>
          </w:p>
        </w:tc>
        <w:tc>
          <w:tcPr>
            <w:tcW w:w="1300" w:type="dxa"/>
            <w:gridSpan w:val="2"/>
            <w:vMerge w:val="continue"/>
            <w:tcBorders>
              <w:left w:val="single" w:color="auto" w:sz="4" w:space="0"/>
              <w:right w:val="single" w:color="auto" w:sz="4" w:space="0"/>
              <w:tl2br w:val="nil"/>
              <w:tr2bl w:val="nil"/>
            </w:tcBorders>
            <w:noWrap w:val="0"/>
            <w:vAlign w:val="center"/>
          </w:tcPr>
          <w:p w14:paraId="23FF6D50">
            <w:pPr>
              <w:pStyle w:val="22"/>
              <w:kinsoku w:val="0"/>
              <w:overflowPunct w:val="0"/>
              <w:spacing w:line="384" w:lineRule="auto"/>
              <w:ind w:right="132"/>
              <w:jc w:val="both"/>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BD208">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投标人参加投标的意思表达清楚，投标人代表被授权有效</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BB1AE">
            <w:pPr>
              <w:pStyle w:val="22"/>
              <w:kinsoku w:val="0"/>
              <w:overflowPunct w:val="0"/>
              <w:rPr>
                <w:rFonts w:ascii="宋体" w:hAnsi="宋体" w:cs="宋体"/>
                <w:sz w:val="21"/>
                <w:szCs w:val="21"/>
                <w:highlight w:val="none"/>
              </w:rPr>
            </w:pPr>
            <w:r>
              <w:rPr>
                <w:rFonts w:ascii="宋体" w:hAnsi="宋体" w:cs="宋体"/>
                <w:sz w:val="21"/>
                <w:szCs w:val="21"/>
                <w:highlight w:val="none"/>
              </w:rPr>
              <w:t>投标人声明、廉洁承诺书、法定代表人证明书；委托投标的还应提供法人授权委托证明书</w:t>
            </w:r>
          </w:p>
        </w:tc>
      </w:tr>
      <w:tr w14:paraId="243C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BA0E6D">
            <w:pPr>
              <w:pStyle w:val="4"/>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76B69E">
            <w:pPr>
              <w:pStyle w:val="4"/>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0304D">
            <w:pPr>
              <w:pStyle w:val="22"/>
              <w:kinsoku w:val="0"/>
              <w:overflowPunct w:val="0"/>
              <w:ind w:right="180"/>
              <w:jc w:val="center"/>
              <w:rPr>
                <w:rFonts w:ascii="宋体" w:hAnsi="宋体" w:cs="宋体"/>
                <w:sz w:val="21"/>
                <w:szCs w:val="21"/>
                <w:highlight w:val="none"/>
              </w:rPr>
            </w:pPr>
            <w:r>
              <w:rPr>
                <w:rFonts w:ascii="宋体" w:hAnsi="宋体" w:cs="宋体"/>
                <w:spacing w:val="-2"/>
                <w:sz w:val="21"/>
                <w:szCs w:val="21"/>
                <w:highlight w:val="none"/>
              </w:rPr>
              <w:t>投标函及投标函附录签</w:t>
            </w:r>
            <w:r>
              <w:rPr>
                <w:rFonts w:ascii="宋体" w:hAnsi="宋体" w:cs="宋体"/>
                <w:spacing w:val="-84"/>
                <w:sz w:val="21"/>
                <w:szCs w:val="21"/>
                <w:highlight w:val="none"/>
              </w:rPr>
              <w:t xml:space="preserve"> </w:t>
            </w:r>
            <w:r>
              <w:rPr>
                <w:rFonts w:ascii="宋体" w:hAnsi="宋体" w:cs="宋体"/>
                <w:sz w:val="21"/>
                <w:szCs w:val="21"/>
                <w:highlight w:val="none"/>
              </w:rPr>
              <w:t>字盖章</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D1864">
            <w:pPr>
              <w:pStyle w:val="22"/>
              <w:kinsoku w:val="0"/>
              <w:overflowPunct w:val="0"/>
              <w:spacing w:before="107"/>
              <w:ind w:right="96"/>
              <w:rPr>
                <w:rFonts w:ascii="宋体" w:hAnsi="宋体" w:cs="宋体"/>
                <w:sz w:val="21"/>
                <w:szCs w:val="21"/>
                <w:highlight w:val="none"/>
              </w:rPr>
            </w:pPr>
            <w:r>
              <w:rPr>
                <w:rFonts w:ascii="宋体" w:hAnsi="宋体" w:cs="宋体"/>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r>
      <w:tr w14:paraId="2BF7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85F24A">
            <w:pPr>
              <w:pStyle w:val="4"/>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C5A7D5">
            <w:pPr>
              <w:pStyle w:val="4"/>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557B0">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投标文件格式</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804C4">
            <w:pPr>
              <w:pStyle w:val="22"/>
              <w:kinsoku w:val="0"/>
              <w:overflowPunct w:val="0"/>
              <w:spacing w:before="107"/>
              <w:rPr>
                <w:rFonts w:ascii="宋体" w:hAnsi="宋体" w:cs="宋体"/>
                <w:sz w:val="21"/>
                <w:szCs w:val="21"/>
                <w:highlight w:val="none"/>
              </w:rPr>
            </w:pPr>
            <w:r>
              <w:rPr>
                <w:rFonts w:ascii="宋体" w:hAnsi="宋体" w:cs="宋体"/>
                <w:sz w:val="21"/>
                <w:szCs w:val="21"/>
                <w:highlight w:val="none"/>
              </w:rPr>
              <w:t>符合第六章“投标文件格式”的规定</w:t>
            </w:r>
          </w:p>
        </w:tc>
      </w:tr>
      <w:tr w14:paraId="269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A75852">
            <w:pPr>
              <w:pStyle w:val="4"/>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EDF757">
            <w:pPr>
              <w:pStyle w:val="4"/>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00B1E">
            <w:pPr>
              <w:pStyle w:val="22"/>
              <w:kinsoku w:val="0"/>
              <w:overflowPunct w:val="0"/>
              <w:jc w:val="center"/>
              <w:rPr>
                <w:rFonts w:ascii="宋体" w:hAnsi="宋体" w:cs="宋体"/>
                <w:strike/>
                <w:sz w:val="21"/>
                <w:szCs w:val="21"/>
                <w:highlight w:val="none"/>
              </w:rPr>
            </w:pPr>
            <w:r>
              <w:rPr>
                <w:rFonts w:ascii="宋体" w:hAnsi="宋体" w:cs="宋体"/>
                <w:strike/>
                <w:sz w:val="21"/>
                <w:szCs w:val="21"/>
                <w:highlight w:val="none"/>
              </w:rPr>
              <w:t>联合体投标人</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BB52F">
            <w:pPr>
              <w:pStyle w:val="22"/>
              <w:kinsoku w:val="0"/>
              <w:overflowPunct w:val="0"/>
              <w:spacing w:before="107"/>
              <w:rPr>
                <w:rFonts w:ascii="宋体" w:hAnsi="宋体" w:cs="宋体"/>
                <w:strike/>
                <w:sz w:val="21"/>
                <w:szCs w:val="21"/>
                <w:highlight w:val="none"/>
              </w:rPr>
            </w:pPr>
            <w:r>
              <w:rPr>
                <w:rFonts w:ascii="宋体" w:hAnsi="宋体" w:cs="宋体"/>
                <w:strike/>
                <w:sz w:val="21"/>
                <w:szCs w:val="21"/>
                <w:highlight w:val="none"/>
              </w:rPr>
              <w:t>提交符合招标文件要求的联合体协议书，明确各方承担连带责任，并明确联合体主办方</w:t>
            </w:r>
          </w:p>
        </w:tc>
      </w:tr>
      <w:tr w14:paraId="06E4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E41056">
            <w:pPr>
              <w:pStyle w:val="4"/>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5EBE73">
            <w:pPr>
              <w:pStyle w:val="4"/>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E8F08">
            <w:pPr>
              <w:pStyle w:val="22"/>
              <w:kinsoku w:val="0"/>
              <w:overflowPunct w:val="0"/>
              <w:jc w:val="center"/>
              <w:rPr>
                <w:rFonts w:ascii="宋体" w:hAnsi="宋体" w:cs="宋体"/>
                <w:sz w:val="21"/>
                <w:szCs w:val="21"/>
                <w:highlight w:val="none"/>
              </w:rPr>
            </w:pPr>
            <w:r>
              <w:rPr>
                <w:rFonts w:ascii="宋体" w:hAnsi="宋体" w:cs="宋体"/>
                <w:sz w:val="21"/>
                <w:szCs w:val="21"/>
                <w:highlight w:val="none"/>
              </w:rPr>
              <w:t>备选投标方案</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49D46">
            <w:pPr>
              <w:pStyle w:val="22"/>
              <w:kinsoku w:val="0"/>
              <w:overflowPunct w:val="0"/>
              <w:spacing w:before="107"/>
              <w:rPr>
                <w:rFonts w:ascii="宋体" w:hAnsi="宋体" w:cs="宋体"/>
                <w:sz w:val="21"/>
                <w:szCs w:val="21"/>
                <w:highlight w:val="none"/>
              </w:rPr>
            </w:pPr>
            <w:r>
              <w:rPr>
                <w:rFonts w:ascii="宋体" w:hAnsi="宋体" w:cs="宋体"/>
                <w:sz w:val="21"/>
                <w:szCs w:val="21"/>
                <w:highlight w:val="none"/>
              </w:rPr>
              <w:t>除招标文件明确允许提交备选投标方案外，投标人不得提交备选投标方案</w:t>
            </w:r>
          </w:p>
        </w:tc>
      </w:tr>
      <w:tr w14:paraId="6F9F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C277DD">
            <w:pPr>
              <w:pStyle w:val="4"/>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023723">
            <w:pPr>
              <w:pStyle w:val="4"/>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6DEBB">
            <w:pPr>
              <w:jc w:val="center"/>
              <w:rPr>
                <w:rFonts w:ascii="宋体" w:hAnsi="宋体" w:cs="宋体"/>
                <w:sz w:val="21"/>
                <w:szCs w:val="21"/>
                <w:highlight w:val="none"/>
              </w:rPr>
            </w:pPr>
            <w:r>
              <w:rPr>
                <w:rFonts w:ascii="宋体"/>
                <w:sz w:val="21"/>
                <w:highlight w:val="none"/>
              </w:rPr>
              <w:t>投标人机器码</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76735">
            <w:pPr>
              <w:ind w:left="91" w:leftChars="38"/>
              <w:rPr>
                <w:rFonts w:ascii="宋体" w:hAnsi="宋体" w:cs="宋体"/>
                <w:sz w:val="21"/>
                <w:szCs w:val="21"/>
                <w:highlight w:val="none"/>
              </w:rPr>
            </w:pPr>
            <w:r>
              <w:rPr>
                <w:rFonts w:ascii="宋体"/>
                <w:sz w:val="21"/>
                <w:highlight w:val="none"/>
              </w:rPr>
              <w:t>投标人与本项目其他投标人加密打包投标文件电脑机器特征码不一致的(以</w:t>
            </w:r>
            <w:r>
              <w:rPr>
                <w:rFonts w:hint="eastAsia" w:ascii="宋体"/>
                <w:sz w:val="21"/>
                <w:highlight w:val="none"/>
              </w:rPr>
              <w:t>广州交易集团有限公司（广州公共资源交易中心）</w:t>
            </w:r>
            <w:r>
              <w:rPr>
                <w:rFonts w:ascii="宋体"/>
                <w:sz w:val="21"/>
                <w:highlight w:val="none"/>
              </w:rPr>
              <w:t>交易平台</w:t>
            </w:r>
            <w:r>
              <w:rPr>
                <w:rFonts w:hint="eastAsia" w:ascii="宋体"/>
                <w:sz w:val="21"/>
                <w:highlight w:val="none"/>
              </w:rPr>
              <w:t>开标</w:t>
            </w:r>
            <w:r>
              <w:rPr>
                <w:rFonts w:ascii="宋体"/>
                <w:sz w:val="21"/>
                <w:highlight w:val="none"/>
              </w:rPr>
              <w:t>系统的检索信息为准)</w:t>
            </w:r>
          </w:p>
        </w:tc>
      </w:tr>
      <w:tr w14:paraId="5DBB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4B46F4">
            <w:pPr>
              <w:pStyle w:val="4"/>
              <w:kinsoku w:val="0"/>
              <w:overflowPunct w:val="0"/>
              <w:spacing w:before="120" w:after="120"/>
              <w:jc w:val="both"/>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844DA5">
            <w:pPr>
              <w:pStyle w:val="4"/>
              <w:kinsoku w:val="0"/>
              <w:overflowPunct w:val="0"/>
              <w:spacing w:before="120" w:after="120"/>
              <w:jc w:val="both"/>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D709A">
            <w:pPr>
              <w:jc w:val="center"/>
              <w:rPr>
                <w:rFonts w:ascii="宋体" w:hAnsi="宋体" w:cs="宋体"/>
                <w:sz w:val="21"/>
                <w:szCs w:val="21"/>
                <w:highlight w:val="none"/>
              </w:rPr>
            </w:pPr>
            <w:r>
              <w:rPr>
                <w:rFonts w:hint="eastAsia" w:ascii="宋体" w:hAnsi="宋体" w:cs="宋体"/>
                <w:sz w:val="21"/>
                <w:szCs w:val="21"/>
                <w:highlight w:val="none"/>
                <w:u w:val="single"/>
              </w:rPr>
              <w:t>串通投标情形</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57D0E">
            <w:pPr>
              <w:rPr>
                <w:rFonts w:ascii="宋体" w:hAnsi="宋体" w:cs="宋体"/>
                <w:sz w:val="21"/>
                <w:szCs w:val="21"/>
                <w:highlight w:val="none"/>
              </w:rPr>
            </w:pPr>
            <w:r>
              <w:rPr>
                <w:rFonts w:hint="eastAsia" w:ascii="宋体" w:hAnsi="宋体" w:cs="宋体"/>
                <w:sz w:val="21"/>
                <w:szCs w:val="21"/>
                <w:highlight w:val="none"/>
                <w:u w:val="single"/>
              </w:rPr>
              <w:t>不存在串通投标情形，串通投标情形以《广东省实施&lt;中华人民共和国招标投标法&gt;办法》的规定为准。</w:t>
            </w:r>
          </w:p>
        </w:tc>
      </w:tr>
      <w:tr w14:paraId="619E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9E7A74">
            <w:pPr>
              <w:pStyle w:val="22"/>
              <w:kinsoku w:val="0"/>
              <w:overflowPunct w:val="0"/>
              <w:jc w:val="both"/>
              <w:rPr>
                <w:rFonts w:ascii="宋体" w:hAnsi="宋体" w:cs="宋体"/>
                <w:sz w:val="21"/>
                <w:szCs w:val="21"/>
                <w:highlight w:val="none"/>
              </w:rPr>
            </w:pPr>
            <w:r>
              <w:rPr>
                <w:rFonts w:ascii="宋体" w:hAnsi="宋体" w:cs="宋体"/>
                <w:sz w:val="21"/>
                <w:szCs w:val="21"/>
                <w:highlight w:val="none"/>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D7A871D">
            <w:pPr>
              <w:pStyle w:val="22"/>
              <w:kinsoku w:val="0"/>
              <w:overflowPunct w:val="0"/>
              <w:jc w:val="both"/>
              <w:rPr>
                <w:rFonts w:ascii="宋体" w:hAnsi="宋体" w:cs="宋体"/>
                <w:sz w:val="21"/>
                <w:szCs w:val="21"/>
                <w:highlight w:val="none"/>
              </w:rPr>
            </w:pPr>
            <w:r>
              <w:rPr>
                <w:rFonts w:ascii="宋体" w:hAnsi="宋体" w:cs="宋体"/>
                <w:sz w:val="21"/>
                <w:szCs w:val="21"/>
                <w:highlight w:val="none"/>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8149C">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投标报价</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288AC">
            <w:pPr>
              <w:pStyle w:val="22"/>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符合第二章“投标人须知”第3.2款规定</w:t>
            </w:r>
          </w:p>
        </w:tc>
      </w:tr>
      <w:tr w14:paraId="59B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15902B">
            <w:pPr>
              <w:pStyle w:val="4"/>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AC82C86">
            <w:pPr>
              <w:pStyle w:val="4"/>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62A33">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投标内容</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3ED04">
            <w:pPr>
              <w:pStyle w:val="22"/>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符合第二章“投标人须知”第1.3.1项规定</w:t>
            </w:r>
          </w:p>
        </w:tc>
      </w:tr>
      <w:tr w14:paraId="770B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2A7AF6">
            <w:pPr>
              <w:pStyle w:val="4"/>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24DCF0">
            <w:pPr>
              <w:pStyle w:val="4"/>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08F48">
            <w:pPr>
              <w:pStyle w:val="22"/>
              <w:kinsoku w:val="0"/>
              <w:overflowPunct w:val="0"/>
              <w:jc w:val="center"/>
              <w:rPr>
                <w:rFonts w:ascii="宋体" w:hAnsi="宋体" w:cs="宋体"/>
                <w:sz w:val="21"/>
                <w:szCs w:val="21"/>
                <w:highlight w:val="none"/>
              </w:rPr>
            </w:pPr>
            <w:r>
              <w:rPr>
                <w:rFonts w:ascii="宋体" w:hAnsi="宋体" w:cs="宋体"/>
                <w:sz w:val="21"/>
                <w:szCs w:val="21"/>
                <w:highlight w:val="none"/>
              </w:rPr>
              <w:t>监理服务期限</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F9CD4">
            <w:pPr>
              <w:pStyle w:val="22"/>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符合第二章“投标人须知”第1.3.2项规定</w:t>
            </w:r>
          </w:p>
        </w:tc>
      </w:tr>
      <w:tr w14:paraId="737D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327163">
            <w:pPr>
              <w:pStyle w:val="4"/>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2604F9A">
            <w:pPr>
              <w:pStyle w:val="4"/>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2486B">
            <w:pPr>
              <w:pStyle w:val="22"/>
              <w:kinsoku w:val="0"/>
              <w:overflowPunct w:val="0"/>
              <w:jc w:val="center"/>
              <w:rPr>
                <w:rFonts w:ascii="宋体" w:hAnsi="宋体" w:cs="宋体"/>
                <w:sz w:val="21"/>
                <w:szCs w:val="21"/>
                <w:highlight w:val="none"/>
              </w:rPr>
            </w:pPr>
            <w:r>
              <w:rPr>
                <w:rFonts w:ascii="宋体" w:hAnsi="宋体" w:cs="宋体"/>
                <w:sz w:val="21"/>
                <w:szCs w:val="21"/>
                <w:highlight w:val="none"/>
              </w:rPr>
              <w:t>质量标准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2C95A">
            <w:pPr>
              <w:pStyle w:val="22"/>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符合第二章“投标人须知”第1.3.3项规定</w:t>
            </w:r>
          </w:p>
        </w:tc>
      </w:tr>
      <w:tr w14:paraId="7200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65C7B6">
            <w:pPr>
              <w:pStyle w:val="4"/>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DDAF9AD">
            <w:pPr>
              <w:pStyle w:val="4"/>
              <w:kinsoku w:val="0"/>
              <w:overflowPunct w:val="0"/>
              <w:spacing w:before="120" w:after="120"/>
              <w:rPr>
                <w:rFonts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29890">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投标有效期</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E2E73">
            <w:pPr>
              <w:pStyle w:val="22"/>
              <w:kinsoku w:val="0"/>
              <w:overflowPunct w:val="0"/>
              <w:jc w:val="both"/>
              <w:rPr>
                <w:rFonts w:ascii="宋体" w:hAnsi="宋体" w:cs="宋体"/>
                <w:sz w:val="21"/>
                <w:szCs w:val="21"/>
                <w:highlight w:val="none"/>
              </w:rPr>
            </w:pPr>
            <w:r>
              <w:rPr>
                <w:rFonts w:ascii="宋体" w:hAnsi="宋体" w:cs="宋体"/>
                <w:sz w:val="21"/>
                <w:szCs w:val="21"/>
                <w:highlight w:val="none"/>
              </w:rPr>
              <w:t>符合第二章“投标人须知”第3.3.1项规定</w:t>
            </w:r>
          </w:p>
        </w:tc>
      </w:tr>
      <w:tr w14:paraId="67F4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31F6AA">
            <w:pPr>
              <w:pStyle w:val="4"/>
              <w:kinsoku w:val="0"/>
              <w:overflowPunct w:val="0"/>
              <w:spacing w:before="120" w:after="120"/>
              <w:rPr>
                <w:rFonts w:cs="宋体"/>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E532920">
            <w:pPr>
              <w:pStyle w:val="4"/>
              <w:kinsoku w:val="0"/>
              <w:overflowPunct w:val="0"/>
              <w:spacing w:before="120" w:after="120"/>
              <w:rPr>
                <w:rFonts w:cs="宋体"/>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50192067">
            <w:pPr>
              <w:pStyle w:val="22"/>
              <w:kinsoku w:val="0"/>
              <w:overflowPunct w:val="0"/>
              <w:jc w:val="center"/>
              <w:rPr>
                <w:rFonts w:ascii="宋体" w:hAnsi="宋体" w:cs="宋体"/>
                <w:strike/>
                <w:sz w:val="21"/>
                <w:szCs w:val="21"/>
                <w:highlight w:val="none"/>
              </w:rPr>
            </w:pPr>
            <w:r>
              <w:rPr>
                <w:rFonts w:ascii="宋体" w:hAnsi="宋体" w:cs="宋体"/>
                <w:strike/>
                <w:sz w:val="21"/>
                <w:szCs w:val="21"/>
                <w:highlight w:val="none"/>
              </w:rPr>
              <w:t>投标保证金</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F95E9">
            <w:pPr>
              <w:pStyle w:val="22"/>
              <w:kinsoku w:val="0"/>
              <w:overflowPunct w:val="0"/>
              <w:jc w:val="both"/>
              <w:rPr>
                <w:rFonts w:ascii="宋体" w:hAnsi="宋体" w:cs="宋体"/>
                <w:strike/>
                <w:sz w:val="21"/>
                <w:szCs w:val="21"/>
                <w:highlight w:val="none"/>
              </w:rPr>
            </w:pPr>
            <w:r>
              <w:rPr>
                <w:rFonts w:ascii="宋体" w:hAnsi="宋体" w:cs="宋体"/>
                <w:strike/>
                <w:sz w:val="21"/>
                <w:szCs w:val="21"/>
                <w:highlight w:val="none"/>
              </w:rPr>
              <w:t>符合第二章“投标人须知”第3.4.1项规定</w:t>
            </w:r>
          </w:p>
        </w:tc>
      </w:tr>
      <w:tr w14:paraId="363D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C454E74">
            <w:pPr>
              <w:pStyle w:val="22"/>
              <w:kinsoku w:val="0"/>
              <w:overflowPunct w:val="0"/>
              <w:spacing w:before="41"/>
              <w:jc w:val="center"/>
              <w:rPr>
                <w:rFonts w:ascii="宋体" w:hAnsi="宋体" w:cs="宋体"/>
                <w:b/>
                <w:sz w:val="21"/>
                <w:szCs w:val="21"/>
                <w:highlight w:val="none"/>
              </w:rPr>
            </w:pPr>
            <w:r>
              <w:rPr>
                <w:rFonts w:ascii="宋体" w:hAnsi="宋体" w:cs="宋体"/>
                <w:b/>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A1DCE">
            <w:pPr>
              <w:pStyle w:val="22"/>
              <w:kinsoku w:val="0"/>
              <w:overflowPunct w:val="0"/>
              <w:spacing w:before="41"/>
              <w:jc w:val="center"/>
              <w:rPr>
                <w:rFonts w:ascii="宋体" w:hAnsi="宋体" w:cs="宋体"/>
                <w:b/>
                <w:sz w:val="21"/>
                <w:szCs w:val="21"/>
                <w:highlight w:val="none"/>
              </w:rPr>
            </w:pPr>
            <w:r>
              <w:rPr>
                <w:rFonts w:ascii="宋体" w:hAnsi="宋体" w:cs="宋体"/>
                <w:b/>
                <w:sz w:val="21"/>
                <w:szCs w:val="21"/>
                <w:highlight w:val="none"/>
              </w:rPr>
              <w:t>条款内容</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F45812">
            <w:pPr>
              <w:pStyle w:val="22"/>
              <w:kinsoku w:val="0"/>
              <w:overflowPunct w:val="0"/>
              <w:spacing w:before="41"/>
              <w:jc w:val="center"/>
              <w:rPr>
                <w:rFonts w:ascii="宋体" w:hAnsi="宋体" w:cs="宋体"/>
                <w:b/>
                <w:sz w:val="21"/>
                <w:szCs w:val="21"/>
                <w:highlight w:val="none"/>
              </w:rPr>
            </w:pPr>
            <w:r>
              <w:rPr>
                <w:rFonts w:ascii="宋体" w:hAnsi="宋体" w:cs="宋体"/>
                <w:b/>
                <w:sz w:val="21"/>
                <w:szCs w:val="21"/>
                <w:highlight w:val="none"/>
              </w:rPr>
              <w:t>编列内容</w:t>
            </w:r>
          </w:p>
        </w:tc>
      </w:tr>
      <w:tr w14:paraId="5EBA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449251">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39258">
            <w:pPr>
              <w:pStyle w:val="22"/>
              <w:kinsoku w:val="0"/>
              <w:overflowPunct w:val="0"/>
              <w:jc w:val="center"/>
              <w:rPr>
                <w:rFonts w:ascii="宋体" w:hAnsi="宋体" w:cs="宋体"/>
                <w:sz w:val="21"/>
                <w:szCs w:val="21"/>
                <w:highlight w:val="none"/>
              </w:rPr>
            </w:pPr>
            <w:r>
              <w:rPr>
                <w:rFonts w:ascii="宋体" w:hAnsi="宋体" w:cs="宋体"/>
                <w:sz w:val="21"/>
                <w:szCs w:val="21"/>
                <w:highlight w:val="none"/>
              </w:rPr>
              <w:t>分值构成(总分100分)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F317A">
            <w:pPr>
              <w:pStyle w:val="22"/>
              <w:kinsoku w:val="0"/>
              <w:overflowPunct w:val="0"/>
              <w:jc w:val="both"/>
              <w:rPr>
                <w:rFonts w:ascii="宋体" w:hAnsi="宋体" w:cs="宋体"/>
                <w:sz w:val="21"/>
                <w:szCs w:val="21"/>
                <w:highlight w:val="none"/>
              </w:rPr>
            </w:pPr>
            <w:r>
              <w:rPr>
                <w:rFonts w:hint="eastAsia" w:ascii="宋体" w:hAnsi="宋体" w:cs="宋体"/>
                <w:sz w:val="21"/>
                <w:szCs w:val="21"/>
                <w:highlight w:val="none"/>
              </w:rPr>
              <w:t>A.</w:t>
            </w:r>
            <w:r>
              <w:rPr>
                <w:rFonts w:ascii="宋体" w:hAnsi="宋体" w:cs="宋体"/>
                <w:sz w:val="21"/>
                <w:szCs w:val="21"/>
                <w:highlight w:val="none"/>
              </w:rPr>
              <w:t>资信业绩部分：</w:t>
            </w:r>
            <w:r>
              <w:rPr>
                <w:rFonts w:hint="eastAsia" w:ascii="宋体" w:hAnsi="宋体" w:cs="宋体"/>
                <w:sz w:val="21"/>
                <w:szCs w:val="21"/>
                <w:highlight w:val="none"/>
                <w:u w:val="single"/>
              </w:rPr>
              <w:t>45</w:t>
            </w:r>
            <w:r>
              <w:rPr>
                <w:rFonts w:ascii="宋体" w:hAnsi="宋体" w:cs="宋体"/>
                <w:sz w:val="21"/>
                <w:szCs w:val="21"/>
                <w:highlight w:val="none"/>
              </w:rPr>
              <w:t>分</w:t>
            </w:r>
          </w:p>
          <w:p w14:paraId="70D1E73A">
            <w:pPr>
              <w:pStyle w:val="22"/>
              <w:kinsoku w:val="0"/>
              <w:overflowPunct w:val="0"/>
              <w:jc w:val="both"/>
              <w:rPr>
                <w:rFonts w:ascii="宋体" w:hAnsi="宋体" w:cs="宋体"/>
                <w:sz w:val="21"/>
                <w:szCs w:val="21"/>
                <w:highlight w:val="none"/>
              </w:rPr>
            </w:pPr>
            <w:r>
              <w:rPr>
                <w:rFonts w:hint="eastAsia" w:ascii="宋体" w:hAnsi="宋体" w:cs="宋体"/>
                <w:sz w:val="21"/>
                <w:szCs w:val="21"/>
                <w:highlight w:val="none"/>
              </w:rPr>
              <w:t>B.</w:t>
            </w:r>
            <w:r>
              <w:rPr>
                <w:rFonts w:ascii="宋体" w:hAnsi="宋体" w:cs="宋体"/>
                <w:sz w:val="21"/>
                <w:szCs w:val="21"/>
                <w:highlight w:val="none"/>
              </w:rPr>
              <w:t>监理大纲部分：</w:t>
            </w:r>
            <w:r>
              <w:rPr>
                <w:rFonts w:hint="eastAsia" w:ascii="宋体" w:hAnsi="宋体" w:cs="宋体"/>
                <w:sz w:val="21"/>
                <w:szCs w:val="21"/>
                <w:highlight w:val="none"/>
                <w:u w:val="single"/>
              </w:rPr>
              <w:t>40</w:t>
            </w:r>
            <w:r>
              <w:rPr>
                <w:rFonts w:ascii="宋体" w:hAnsi="宋体" w:cs="宋体"/>
                <w:sz w:val="21"/>
                <w:szCs w:val="21"/>
                <w:highlight w:val="none"/>
              </w:rPr>
              <w:t>分</w:t>
            </w:r>
          </w:p>
          <w:p w14:paraId="465E1061">
            <w:pPr>
              <w:pStyle w:val="22"/>
              <w:kinsoku w:val="0"/>
              <w:overflowPunct w:val="0"/>
              <w:jc w:val="both"/>
              <w:rPr>
                <w:rFonts w:ascii="宋体" w:hAnsi="宋体" w:cs="宋体"/>
                <w:sz w:val="21"/>
                <w:szCs w:val="21"/>
                <w:highlight w:val="none"/>
              </w:rPr>
            </w:pPr>
            <w:r>
              <w:rPr>
                <w:rFonts w:hint="eastAsia" w:ascii="宋体" w:hAnsi="宋体" w:cs="宋体"/>
                <w:sz w:val="21"/>
                <w:szCs w:val="21"/>
                <w:highlight w:val="none"/>
              </w:rPr>
              <w:t>C.</w:t>
            </w:r>
            <w:r>
              <w:rPr>
                <w:rFonts w:ascii="宋体" w:hAnsi="宋体" w:cs="宋体"/>
                <w:sz w:val="21"/>
                <w:szCs w:val="21"/>
                <w:highlight w:val="none"/>
              </w:rPr>
              <w:t>投标报价：</w:t>
            </w:r>
            <w:r>
              <w:rPr>
                <w:rFonts w:hint="eastAsia" w:ascii="宋体" w:hAnsi="宋体" w:cs="宋体"/>
                <w:sz w:val="21"/>
                <w:szCs w:val="21"/>
                <w:highlight w:val="none"/>
                <w:u w:val="single"/>
              </w:rPr>
              <w:t>10</w:t>
            </w:r>
            <w:r>
              <w:rPr>
                <w:rFonts w:ascii="宋体" w:hAnsi="宋体" w:cs="宋体"/>
                <w:sz w:val="21"/>
                <w:szCs w:val="21"/>
                <w:highlight w:val="none"/>
              </w:rPr>
              <w:t>分</w:t>
            </w:r>
          </w:p>
          <w:p w14:paraId="0BD78DBF">
            <w:pPr>
              <w:pStyle w:val="22"/>
              <w:kinsoku w:val="0"/>
              <w:overflowPunct w:val="0"/>
              <w:jc w:val="both"/>
              <w:rPr>
                <w:rFonts w:ascii="宋体" w:hAnsi="宋体" w:cs="宋体"/>
                <w:sz w:val="21"/>
                <w:szCs w:val="21"/>
                <w:highlight w:val="none"/>
              </w:rPr>
            </w:pPr>
            <w:r>
              <w:rPr>
                <w:rFonts w:hint="eastAsia" w:ascii="宋体" w:hAnsi="宋体" w:cs="宋体"/>
                <w:sz w:val="21"/>
                <w:szCs w:val="21"/>
                <w:highlight w:val="none"/>
              </w:rPr>
              <w:t>D.</w:t>
            </w:r>
            <w:r>
              <w:rPr>
                <w:rFonts w:ascii="宋体" w:hAnsi="宋体" w:cs="宋体"/>
                <w:sz w:val="21"/>
                <w:szCs w:val="21"/>
                <w:highlight w:val="none"/>
              </w:rPr>
              <w:t>诚信得分：</w:t>
            </w:r>
            <w:r>
              <w:rPr>
                <w:rFonts w:hint="eastAsia" w:ascii="宋体" w:hAnsi="宋体" w:cs="宋体"/>
                <w:sz w:val="21"/>
                <w:szCs w:val="21"/>
                <w:highlight w:val="none"/>
                <w:u w:val="single"/>
              </w:rPr>
              <w:t>5</w:t>
            </w:r>
            <w:r>
              <w:rPr>
                <w:rFonts w:ascii="宋体" w:hAnsi="宋体" w:cs="宋体"/>
                <w:sz w:val="21"/>
                <w:szCs w:val="21"/>
                <w:highlight w:val="none"/>
              </w:rPr>
              <w:t>分</w:t>
            </w:r>
          </w:p>
        </w:tc>
      </w:tr>
      <w:tr w14:paraId="4E1A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2"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CBE848">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2FC6D">
            <w:pPr>
              <w:pStyle w:val="22"/>
              <w:kinsoku w:val="0"/>
              <w:overflowPunct w:val="0"/>
              <w:jc w:val="center"/>
              <w:rPr>
                <w:rFonts w:ascii="宋体" w:hAnsi="宋体" w:cs="宋体"/>
                <w:sz w:val="21"/>
                <w:szCs w:val="21"/>
                <w:highlight w:val="none"/>
              </w:rPr>
            </w:pPr>
            <w:r>
              <w:rPr>
                <w:rFonts w:ascii="宋体" w:hAnsi="宋体" w:cs="宋体"/>
                <w:sz w:val="21"/>
                <w:szCs w:val="21"/>
                <w:highlight w:val="none"/>
              </w:rPr>
              <w:t>评标基准价计算方法</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BED36">
            <w:pPr>
              <w:pStyle w:val="22"/>
              <w:overflowPunct w:val="0"/>
              <w:rPr>
                <w:rFonts w:ascii="宋体" w:hAnsi="宋体" w:eastAsia="宋体" w:cs="宋体"/>
                <w:sz w:val="21"/>
                <w:szCs w:val="21"/>
                <w:highlight w:val="none"/>
              </w:rPr>
            </w:pPr>
            <w:r>
              <w:rPr>
                <w:rFonts w:hint="eastAsia" w:ascii="宋体" w:hAnsi="宋体" w:eastAsia="宋体" w:cs="宋体"/>
                <w:sz w:val="21"/>
                <w:szCs w:val="21"/>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0D98FB6C">
            <w:pPr>
              <w:pStyle w:val="22"/>
              <w:kinsoku w:val="0"/>
              <w:overflowPunct w:val="0"/>
              <w:rPr>
                <w:rFonts w:ascii="宋体" w:hAnsi="宋体" w:eastAsia="宋体" w:cs="宋体"/>
                <w:sz w:val="21"/>
                <w:szCs w:val="21"/>
                <w:highlight w:val="none"/>
              </w:rPr>
            </w:pPr>
            <w:r>
              <w:rPr>
                <w:rFonts w:hint="eastAsia" w:ascii="宋体" w:hAnsi="宋体" w:eastAsia="宋体" w:cs="宋体"/>
                <w:sz w:val="21"/>
                <w:szCs w:val="21"/>
                <w:highlight w:val="none"/>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11142F63">
            <w:pPr>
              <w:pStyle w:val="22"/>
              <w:kinsoku w:val="0"/>
              <w:overflowPunct w:val="0"/>
              <w:rPr>
                <w:rFonts w:ascii="宋体" w:hAnsi="宋体" w:cs="宋体"/>
                <w:sz w:val="21"/>
                <w:szCs w:val="21"/>
                <w:highlight w:val="none"/>
              </w:rPr>
            </w:pPr>
            <w:r>
              <w:rPr>
                <w:rFonts w:hint="eastAsia" w:ascii="宋体" w:hAnsi="宋体" w:eastAsia="宋体" w:cs="宋体"/>
                <w:sz w:val="21"/>
                <w:szCs w:val="21"/>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40C9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208D70B">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2.2.3</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C46AC">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投标报价的偏差率计算公式</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0D439">
            <w:pPr>
              <w:pStyle w:val="22"/>
              <w:kinsoku w:val="0"/>
              <w:overflowPunct w:val="0"/>
              <w:rPr>
                <w:rFonts w:ascii="宋体" w:hAnsi="宋体" w:cs="宋体"/>
                <w:sz w:val="21"/>
                <w:szCs w:val="21"/>
                <w:highlight w:val="none"/>
              </w:rPr>
            </w:pPr>
            <w:r>
              <w:rPr>
                <w:rFonts w:ascii="宋体" w:hAnsi="宋体" w:cs="宋体"/>
                <w:sz w:val="21"/>
                <w:szCs w:val="21"/>
                <w:highlight w:val="none"/>
              </w:rPr>
              <w:t>偏差率=100% ×|（投标人有效投标报价-评标基准价）|/评标基准价（偏差率四舍五入保留1位小数，报价偏差率不足1%的，按直线内插法计算投标报价得分）</w:t>
            </w:r>
          </w:p>
        </w:tc>
      </w:tr>
      <w:tr w14:paraId="430C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6"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0BF270">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2.2.4</w:t>
            </w:r>
          </w:p>
          <w:p w14:paraId="087BDA53">
            <w:pPr>
              <w:pStyle w:val="22"/>
              <w:kinsoku w:val="0"/>
              <w:overflowPunct w:val="0"/>
              <w:jc w:val="center"/>
              <w:rPr>
                <w:rFonts w:ascii="宋体" w:hAnsi="宋体" w:cs="宋体"/>
                <w:sz w:val="21"/>
                <w:szCs w:val="21"/>
                <w:highlight w:val="none"/>
              </w:rPr>
            </w:pPr>
            <w:r>
              <w:rPr>
                <w:rFonts w:ascii="宋体" w:hAnsi="宋体" w:cs="宋体"/>
                <w:sz w:val="21"/>
                <w:szCs w:val="21"/>
                <w:highlight w:val="none"/>
              </w:rPr>
              <w:t>（1）</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5DFED8">
            <w:pPr>
              <w:pStyle w:val="22"/>
              <w:kinsoku w:val="0"/>
              <w:overflowPunct w:val="0"/>
              <w:jc w:val="center"/>
              <w:rPr>
                <w:rFonts w:ascii="宋体" w:hAnsi="宋体" w:cs="宋体"/>
                <w:sz w:val="21"/>
                <w:szCs w:val="21"/>
                <w:highlight w:val="none"/>
              </w:rPr>
            </w:pPr>
            <w:r>
              <w:rPr>
                <w:rFonts w:ascii="宋体" w:hAnsi="宋体" w:cs="宋体"/>
                <w:sz w:val="21"/>
                <w:szCs w:val="21"/>
                <w:highlight w:val="none"/>
              </w:rPr>
              <w:t>资信业绩评分标准</w:t>
            </w:r>
            <w:r>
              <w:rPr>
                <w:rFonts w:ascii="宋体" w:hAnsi="宋体" w:cs="宋体"/>
                <w:spacing w:val="-2"/>
                <w:sz w:val="21"/>
                <w:szCs w:val="21"/>
                <w:highlight w:val="none"/>
              </w:rPr>
              <w:t>（</w:t>
            </w:r>
            <w:r>
              <w:rPr>
                <w:rFonts w:hint="eastAsia" w:ascii="宋体" w:hAnsi="宋体" w:cs="宋体"/>
                <w:spacing w:val="-2"/>
                <w:sz w:val="21"/>
                <w:szCs w:val="21"/>
                <w:highlight w:val="none"/>
              </w:rPr>
              <w:t>45分</w:t>
            </w:r>
            <w:r>
              <w:rPr>
                <w:rFonts w:ascii="宋体" w:hAnsi="宋体" w:cs="宋体"/>
                <w:spacing w:val="-2"/>
                <w:sz w:val="21"/>
                <w:szCs w:val="21"/>
                <w:highlight w:val="none"/>
              </w:rPr>
              <w:t>）</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C0F61">
            <w:pPr>
              <w:pStyle w:val="22"/>
              <w:kinsoku w:val="0"/>
              <w:overflowPunct w:val="0"/>
              <w:jc w:val="center"/>
              <w:rPr>
                <w:rFonts w:ascii="宋体" w:hAnsi="宋体" w:cs="宋体"/>
                <w:sz w:val="21"/>
                <w:szCs w:val="21"/>
                <w:highlight w:val="none"/>
              </w:rPr>
            </w:pPr>
            <w:r>
              <w:rPr>
                <w:rFonts w:ascii="宋体" w:hAnsi="宋体" w:cs="宋体"/>
                <w:sz w:val="21"/>
                <w:szCs w:val="21"/>
                <w:highlight w:val="none"/>
              </w:rPr>
              <w:t>类似项目业绩</w:t>
            </w:r>
          </w:p>
          <w:p w14:paraId="05EEFF20">
            <w:pPr>
              <w:pStyle w:val="22"/>
              <w:kinsoku w:val="0"/>
              <w:overflowPunct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144EA">
            <w:pPr>
              <w:pStyle w:val="22"/>
              <w:kinsoku w:val="0"/>
              <w:overflowPunct w:val="0"/>
              <w:rPr>
                <w:rFonts w:ascii="宋体" w:hAnsi="宋体" w:cs="宋体"/>
                <w:sz w:val="21"/>
                <w:szCs w:val="21"/>
                <w:highlight w:val="none"/>
              </w:rPr>
            </w:pPr>
            <w:r>
              <w:rPr>
                <w:rFonts w:hint="eastAsia" w:ascii="宋体" w:hAnsi="宋体" w:cs="宋体"/>
                <w:sz w:val="21"/>
                <w:szCs w:val="21"/>
                <w:highlight w:val="none"/>
              </w:rPr>
              <w:t>投标人2020年1月1日至今，完成过质量合格且总投资</w:t>
            </w:r>
            <w:r>
              <w:rPr>
                <w:rFonts w:ascii="宋体" w:hAnsi="宋体" w:cs="宋体"/>
                <w:sz w:val="21"/>
                <w:szCs w:val="21"/>
                <w:highlight w:val="none"/>
              </w:rPr>
              <w:t>10000</w:t>
            </w:r>
            <w:r>
              <w:rPr>
                <w:rFonts w:hint="eastAsia" w:ascii="宋体" w:hAnsi="宋体" w:cs="宋体"/>
                <w:sz w:val="21"/>
                <w:szCs w:val="21"/>
                <w:highlight w:val="none"/>
              </w:rPr>
              <w:t>万元或以上的类似工程监理项目，每提供一项得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分，最高得10分。</w:t>
            </w:r>
          </w:p>
          <w:p w14:paraId="30CB973F">
            <w:pPr>
              <w:pStyle w:val="22"/>
              <w:kinsoku w:val="0"/>
              <w:overflowPunct w:val="0"/>
              <w:rPr>
                <w:rFonts w:ascii="宋体" w:hAnsi="宋体" w:cs="宋体"/>
                <w:sz w:val="21"/>
                <w:szCs w:val="21"/>
                <w:highlight w:val="none"/>
              </w:rPr>
            </w:pPr>
            <w:r>
              <w:rPr>
                <w:rFonts w:hint="eastAsia" w:ascii="宋体" w:hAnsi="宋体" w:cs="宋体"/>
                <w:sz w:val="21"/>
                <w:szCs w:val="21"/>
                <w:highlight w:val="none"/>
              </w:rPr>
              <w:t>注：</w:t>
            </w:r>
            <w:r>
              <w:rPr>
                <w:rFonts w:hint="eastAsia" w:ascii="宋体" w:hAnsi="宋体" w:eastAsia="宋体" w:cs="宋体"/>
                <w:sz w:val="21"/>
                <w:szCs w:val="21"/>
                <w:highlight w:val="none"/>
              </w:rPr>
              <w:t>本项最高得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类似工程是指水利工程施工监理项目，需同时提供中标通知书（或免招标的相关证明）、监理合同关键页及验收证明材料（单位工程验收鉴定书或合同工程完工验收鉴定书或工程竣工验收鉴定书或竣工验收报告），否则不得分。时间以验收证明材料的验收日期为准。</w:t>
            </w:r>
            <w:r>
              <w:rPr>
                <w:rFonts w:hint="eastAsia" w:ascii="宋体" w:hAnsi="宋体" w:cs="宋体"/>
                <w:color w:val="000000"/>
                <w:sz w:val="21"/>
                <w:szCs w:val="21"/>
                <w:highlight w:val="none"/>
              </w:rPr>
              <w:t>总投资额以监理合同注明为准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如监理合同</w:t>
            </w:r>
            <w:r>
              <w:rPr>
                <w:rFonts w:ascii="宋体" w:hAnsi="宋体" w:eastAsia="宋体" w:cs="宋体"/>
                <w:sz w:val="21"/>
                <w:szCs w:val="21"/>
                <w:highlight w:val="none"/>
              </w:rPr>
              <w:t>未</w:t>
            </w:r>
            <w:r>
              <w:rPr>
                <w:rFonts w:hint="eastAsia" w:ascii="宋体" w:hAnsi="宋体" w:eastAsia="宋体" w:cs="宋体"/>
                <w:sz w:val="21"/>
                <w:szCs w:val="21"/>
                <w:highlight w:val="none"/>
                <w:lang w:val="en-US" w:eastAsia="zh-CN"/>
              </w:rPr>
              <w:t>能</w:t>
            </w:r>
            <w:r>
              <w:rPr>
                <w:rFonts w:hint="eastAsia" w:ascii="宋体" w:hAnsi="宋体" w:eastAsia="宋体" w:cs="宋体"/>
                <w:sz w:val="21"/>
                <w:szCs w:val="21"/>
                <w:highlight w:val="none"/>
              </w:rPr>
              <w:t>体现</w:t>
            </w:r>
            <w:r>
              <w:rPr>
                <w:rFonts w:hint="eastAsia" w:ascii="宋体" w:hAnsi="宋体" w:eastAsia="宋体" w:cs="宋体"/>
                <w:sz w:val="21"/>
                <w:szCs w:val="21"/>
                <w:highlight w:val="none"/>
                <w:lang w:val="en-US" w:eastAsia="zh-CN"/>
              </w:rPr>
              <w:t>总投资额的</w:t>
            </w:r>
            <w:r>
              <w:rPr>
                <w:rFonts w:ascii="宋体" w:hAnsi="宋体" w:eastAsia="宋体" w:cs="宋体"/>
                <w:sz w:val="21"/>
                <w:szCs w:val="21"/>
                <w:highlight w:val="none"/>
              </w:rPr>
              <w:t>，</w:t>
            </w:r>
            <w:r>
              <w:rPr>
                <w:rFonts w:hint="eastAsia" w:ascii="宋体" w:hAnsi="宋体" w:eastAsia="宋体" w:cs="宋体"/>
                <w:sz w:val="21"/>
                <w:szCs w:val="21"/>
                <w:highlight w:val="none"/>
                <w:lang w:val="en-US" w:eastAsia="zh-CN"/>
              </w:rPr>
              <w:t>还</w:t>
            </w:r>
            <w:r>
              <w:rPr>
                <w:rFonts w:ascii="宋体" w:hAnsi="宋体" w:eastAsia="宋体" w:cs="宋体"/>
                <w:sz w:val="21"/>
                <w:szCs w:val="21"/>
                <w:highlight w:val="none"/>
              </w:rPr>
              <w:t>应提供业主</w:t>
            </w:r>
            <w:r>
              <w:rPr>
                <w:rFonts w:hint="eastAsia" w:ascii="宋体" w:hAnsi="宋体" w:eastAsia="宋体" w:cs="宋体"/>
                <w:sz w:val="21"/>
                <w:szCs w:val="21"/>
                <w:highlight w:val="none"/>
              </w:rPr>
              <w:t>出具</w:t>
            </w:r>
            <w:r>
              <w:rPr>
                <w:rFonts w:ascii="宋体" w:hAnsi="宋体" w:eastAsia="宋体" w:cs="宋体"/>
                <w:sz w:val="21"/>
                <w:szCs w:val="21"/>
                <w:highlight w:val="none"/>
              </w:rPr>
              <w:t>的相关证明</w:t>
            </w:r>
            <w:r>
              <w:rPr>
                <w:rFonts w:hint="eastAsia" w:ascii="宋体" w:hAnsi="宋体" w:eastAsia="宋体" w:cs="宋体"/>
                <w:sz w:val="21"/>
                <w:szCs w:val="21"/>
                <w:highlight w:val="none"/>
              </w:rPr>
              <w:t>资料，否则不得分。</w:t>
            </w:r>
          </w:p>
        </w:tc>
      </w:tr>
      <w:tr w14:paraId="0CE8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2"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A2484D">
            <w:pPr>
              <w:pStyle w:val="22"/>
              <w:kinsoku w:val="0"/>
              <w:overflowPunct w:val="0"/>
              <w:jc w:val="center"/>
              <w:rPr>
                <w:rFonts w:ascii="宋体" w:hAnsi="宋体" w:cs="宋体"/>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C2EA2D">
            <w:pPr>
              <w:pStyle w:val="22"/>
              <w:kinsoku w:val="0"/>
              <w:overflowPunct w:val="0"/>
              <w:jc w:val="center"/>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32AD9">
            <w:pPr>
              <w:pStyle w:val="22"/>
              <w:kinsoku w:val="0"/>
              <w:overflowPunct w:val="0"/>
              <w:jc w:val="center"/>
              <w:rPr>
                <w:rFonts w:ascii="宋体" w:hAnsi="宋体" w:cs="宋体"/>
                <w:sz w:val="21"/>
                <w:szCs w:val="21"/>
                <w:highlight w:val="none"/>
              </w:rPr>
            </w:pPr>
            <w:r>
              <w:rPr>
                <w:rFonts w:ascii="宋体" w:hAnsi="宋体" w:cs="宋体"/>
                <w:sz w:val="21"/>
                <w:szCs w:val="21"/>
                <w:highlight w:val="none"/>
              </w:rPr>
              <w:t>业绩获奖</w:t>
            </w:r>
          </w:p>
          <w:p w14:paraId="0AFEB52E">
            <w:pPr>
              <w:pStyle w:val="22"/>
              <w:kinsoku w:val="0"/>
              <w:overflowPunct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14</w:t>
            </w:r>
            <w:r>
              <w:rPr>
                <w:rFonts w:hint="eastAsia" w:ascii="宋体" w:hAnsi="宋体" w:cs="宋体"/>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586E3">
            <w:pPr>
              <w:pStyle w:val="7"/>
              <w:rPr>
                <w:rFonts w:ascii="宋体" w:hAnsi="宋体" w:cs="宋体"/>
                <w:sz w:val="21"/>
                <w:szCs w:val="21"/>
                <w:highlight w:val="none"/>
              </w:rPr>
            </w:pPr>
            <w:r>
              <w:rPr>
                <w:rFonts w:hint="eastAsia" w:ascii="宋体" w:hAnsi="宋体" w:cs="宋体"/>
                <w:sz w:val="21"/>
                <w:szCs w:val="21"/>
                <w:highlight w:val="none"/>
              </w:rPr>
              <w:t>投标人2020年1月1日至今，承接过的水利工程监理项目获得国家级奖项的，每项得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分；获得省级奖项的，每项得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分；获得市级奖项的，每项得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分。本项最高得</w:t>
            </w:r>
            <w:r>
              <w:rPr>
                <w:rFonts w:hint="eastAsia" w:ascii="宋体" w:hAnsi="宋体" w:cs="宋体"/>
                <w:sz w:val="21"/>
                <w:szCs w:val="21"/>
                <w:highlight w:val="none"/>
                <w:lang w:val="en-US" w:eastAsia="zh-CN"/>
              </w:rPr>
              <w:t>14</w:t>
            </w:r>
            <w:r>
              <w:rPr>
                <w:rFonts w:hint="eastAsia" w:ascii="宋体" w:hAnsi="宋体" w:cs="宋体"/>
                <w:sz w:val="21"/>
                <w:szCs w:val="21"/>
                <w:highlight w:val="none"/>
              </w:rPr>
              <w:t>分。</w:t>
            </w:r>
          </w:p>
          <w:p w14:paraId="70B154C6">
            <w:pPr>
              <w:pStyle w:val="7"/>
              <w:rPr>
                <w:rFonts w:ascii="宋体" w:hAnsi="宋体" w:cs="宋体"/>
                <w:sz w:val="21"/>
                <w:szCs w:val="21"/>
                <w:highlight w:val="none"/>
              </w:rPr>
            </w:pPr>
            <w:r>
              <w:rPr>
                <w:rFonts w:hint="eastAsia" w:ascii="宋体" w:hAnsi="宋体" w:cs="宋体"/>
                <w:sz w:val="21"/>
                <w:szCs w:val="21"/>
                <w:highlight w:val="none"/>
              </w:rPr>
              <w:t>注：</w:t>
            </w:r>
            <w:r>
              <w:rPr>
                <w:rFonts w:hint="eastAsia" w:ascii="宋体" w:hAnsi="宋体" w:eastAsia="宋体" w:cs="宋体"/>
                <w:sz w:val="21"/>
                <w:szCs w:val="21"/>
                <w:highlight w:val="none"/>
              </w:rPr>
              <w:t>本项最高得</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分。同一项目业绩获奖的按最高奖项只计算一次，不重复计算，需提供获奖证书，日期以证书发证日期为准，否则不得分。以上获奖如为协会（或学会）颁发的，还需提供该组织在“中国社会组织政务服务平台(全国社会组织信用信息公示平台)”登记备案的查询网页截图，否则不得分。</w:t>
            </w:r>
          </w:p>
        </w:tc>
      </w:tr>
      <w:tr w14:paraId="6E02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4"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D46A4EA">
            <w:pPr>
              <w:pStyle w:val="22"/>
              <w:kinsoku w:val="0"/>
              <w:overflowPunct w:val="0"/>
              <w:jc w:val="center"/>
              <w:rPr>
                <w:rFonts w:ascii="宋体" w:hAnsi="宋体" w:cs="宋体"/>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5638C3">
            <w:pPr>
              <w:pStyle w:val="22"/>
              <w:kinsoku w:val="0"/>
              <w:overflowPunct w:val="0"/>
              <w:jc w:val="center"/>
              <w:rPr>
                <w:rFonts w:ascii="宋体" w:hAnsi="宋体" w:cs="宋体"/>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01FBA">
            <w:pPr>
              <w:pStyle w:val="22"/>
              <w:kinsoku w:val="0"/>
              <w:overflowPunct w:val="0"/>
              <w:jc w:val="center"/>
              <w:rPr>
                <w:rFonts w:ascii="宋体" w:hAnsi="宋体" w:cs="宋体"/>
                <w:sz w:val="21"/>
                <w:szCs w:val="21"/>
                <w:highlight w:val="none"/>
              </w:rPr>
            </w:pPr>
            <w:r>
              <w:rPr>
                <w:rFonts w:ascii="宋体" w:hAnsi="宋体" w:cs="宋体"/>
                <w:sz w:val="21"/>
                <w:szCs w:val="21"/>
                <w:highlight w:val="none"/>
              </w:rPr>
              <w:t>项目总监理工程师的素质</w:t>
            </w:r>
          </w:p>
          <w:p w14:paraId="1C789684">
            <w:pPr>
              <w:pStyle w:val="22"/>
              <w:kinsoku w:val="0"/>
              <w:overflowPunct w:val="0"/>
              <w:jc w:val="center"/>
              <w:rPr>
                <w:rFonts w:ascii="宋体" w:hAnsi="宋体" w:cs="宋体"/>
                <w:sz w:val="21"/>
                <w:szCs w:val="21"/>
                <w:highlight w:val="none"/>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15</w:t>
            </w:r>
            <w:r>
              <w:rPr>
                <w:rFonts w:hint="eastAsia" w:ascii="宋体" w:hAnsi="宋体" w:cs="宋体"/>
                <w:sz w:val="21"/>
                <w:szCs w:val="21"/>
                <w:highlight w:val="none"/>
                <w:lang w:val="zh-CN"/>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6F54F">
            <w:pP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（1）总监理工程师具有20年（不含本数）以上工作经验年限的得</w:t>
            </w:r>
            <w:r>
              <w:rPr>
                <w:rFonts w:ascii="宋体" w:hAnsi="宋体" w:eastAsia="宋体" w:cs="宋体"/>
                <w:color w:val="000000"/>
                <w:sz w:val="21"/>
                <w:szCs w:val="21"/>
                <w:highlight w:val="none"/>
              </w:rPr>
              <w:t>3</w:t>
            </w:r>
            <w:r>
              <w:rPr>
                <w:rFonts w:hint="eastAsia" w:ascii="宋体" w:hAnsi="宋体" w:eastAsia="宋体" w:cs="宋体"/>
                <w:color w:val="000000"/>
                <w:sz w:val="21"/>
                <w:szCs w:val="21"/>
                <w:highlight w:val="none"/>
              </w:rPr>
              <w:t>分；具有10年（不含本数）-20年（含本数）工作经验年限的得</w:t>
            </w:r>
            <w:r>
              <w:rPr>
                <w:rFonts w:ascii="宋体" w:hAnsi="宋体" w:eastAsia="宋体" w:cs="宋体"/>
                <w:color w:val="000000"/>
                <w:sz w:val="21"/>
                <w:szCs w:val="21"/>
                <w:highlight w:val="none"/>
              </w:rPr>
              <w:t>2</w:t>
            </w:r>
            <w:r>
              <w:rPr>
                <w:rFonts w:hint="eastAsia" w:ascii="宋体" w:hAnsi="宋体" w:eastAsia="宋体" w:cs="宋体"/>
                <w:color w:val="000000"/>
                <w:sz w:val="21"/>
                <w:szCs w:val="21"/>
                <w:highlight w:val="none"/>
              </w:rPr>
              <w:t>分；具有10年（含本数）以下工作经验年限的得1分，没有的不得分。</w:t>
            </w:r>
          </w:p>
          <w:p w14:paraId="12BCAF81">
            <w:pPr>
              <w:rPr>
                <w:rFonts w:ascii="宋体" w:hAnsi="宋体" w:eastAsia="宋体" w:cs="宋体"/>
                <w:sz w:val="21"/>
                <w:szCs w:val="21"/>
                <w:highlight w:val="none"/>
              </w:rPr>
            </w:pPr>
            <w:r>
              <w:rPr>
                <w:rFonts w:hint="eastAsia" w:ascii="宋体" w:hAnsi="宋体" w:eastAsia="宋体" w:cs="宋体"/>
                <w:color w:val="000000"/>
                <w:sz w:val="21"/>
                <w:szCs w:val="21"/>
                <w:highlight w:val="none"/>
              </w:rPr>
              <w:t>（2）总监理</w:t>
            </w:r>
            <w:r>
              <w:rPr>
                <w:rFonts w:ascii="宋体" w:hAnsi="宋体" w:eastAsia="宋体" w:cs="宋体"/>
                <w:color w:val="000000"/>
                <w:sz w:val="21"/>
                <w:szCs w:val="21"/>
                <w:highlight w:val="none"/>
              </w:rPr>
              <w:t>工</w:t>
            </w:r>
            <w:r>
              <w:rPr>
                <w:rFonts w:ascii="宋体" w:hAnsi="宋体" w:eastAsia="宋体" w:cs="宋体"/>
                <w:sz w:val="21"/>
                <w:szCs w:val="21"/>
                <w:highlight w:val="none"/>
              </w:rPr>
              <w:t>程师具</w:t>
            </w:r>
            <w:r>
              <w:rPr>
                <w:rFonts w:hint="eastAsia" w:ascii="宋体" w:hAnsi="宋体" w:eastAsia="宋体" w:cs="宋体"/>
                <w:sz w:val="21"/>
                <w:szCs w:val="21"/>
                <w:highlight w:val="none"/>
                <w:lang w:val="en-US" w:eastAsia="zh-CN"/>
              </w:rPr>
              <w:t>有</w:t>
            </w:r>
            <w:r>
              <w:rPr>
                <w:rFonts w:hint="eastAsia" w:ascii="宋体" w:hAnsi="宋体" w:eastAsia="宋体" w:cs="宋体"/>
                <w:sz w:val="21"/>
                <w:szCs w:val="21"/>
                <w:highlight w:val="none"/>
              </w:rPr>
              <w:t>水利类专业高级工程师（或以上）职称证书的得</w:t>
            </w:r>
            <w:r>
              <w:rPr>
                <w:rFonts w:ascii="宋体" w:hAnsi="宋体" w:eastAsia="宋体" w:cs="宋体"/>
                <w:sz w:val="21"/>
                <w:szCs w:val="21"/>
                <w:highlight w:val="none"/>
              </w:rPr>
              <w:t>4</w:t>
            </w:r>
            <w:r>
              <w:rPr>
                <w:rFonts w:hint="eastAsia" w:ascii="宋体" w:hAnsi="宋体" w:eastAsia="宋体" w:cs="宋体"/>
                <w:sz w:val="21"/>
                <w:szCs w:val="21"/>
                <w:highlight w:val="none"/>
              </w:rPr>
              <w:t>分，没有的不得分。</w:t>
            </w:r>
          </w:p>
          <w:p w14:paraId="5871217B">
            <w:pPr>
              <w:rPr>
                <w:rFonts w:ascii="宋体" w:hAnsi="宋体" w:eastAsia="宋体" w:cs="宋体"/>
                <w:color w:val="000000"/>
                <w:sz w:val="21"/>
                <w:szCs w:val="21"/>
                <w:highlight w:val="none"/>
              </w:rPr>
            </w:pPr>
            <w:r>
              <w:rPr>
                <w:rFonts w:hint="eastAsia" w:ascii="宋体" w:hAnsi="宋体" w:eastAsia="宋体" w:cs="宋体"/>
                <w:sz w:val="21"/>
                <w:szCs w:val="21"/>
                <w:highlight w:val="none"/>
              </w:rPr>
              <w:t>（</w:t>
            </w:r>
            <w:r>
              <w:rPr>
                <w:rFonts w:ascii="宋体" w:hAnsi="宋体" w:eastAsia="宋体" w:cs="宋体"/>
                <w:sz w:val="21"/>
                <w:szCs w:val="21"/>
                <w:highlight w:val="none"/>
              </w:rPr>
              <w:t>3</w:t>
            </w:r>
            <w:r>
              <w:rPr>
                <w:rFonts w:hint="eastAsia" w:ascii="宋体" w:hAnsi="宋体" w:eastAsia="宋体" w:cs="宋体"/>
                <w:sz w:val="21"/>
                <w:szCs w:val="21"/>
                <w:highlight w:val="none"/>
              </w:rPr>
              <w:t>）</w:t>
            </w:r>
            <w:r>
              <w:rPr>
                <w:rFonts w:hint="eastAsia" w:ascii="宋体" w:hAnsi="宋体"/>
                <w:spacing w:val="-3"/>
                <w:sz w:val="21"/>
                <w:szCs w:val="21"/>
                <w:highlight w:val="none"/>
              </w:rPr>
              <w:t>具有一级注册造价工程师证书（专业：水利工程及土建）的得4分，具有一级注册造价工程师证书（专业：水利工程或土建）的得2分，具有二级注册造价工程师证书（专业：水利工程及土建）的得1分，具有二级注册造价工程师证书（专业：水利工程或土建）的得0.5分，没有的不得分。</w:t>
            </w:r>
          </w:p>
          <w:p w14:paraId="1A0C19BA">
            <w:pP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ascii="宋体" w:hAnsi="宋体" w:eastAsia="宋体" w:cs="宋体"/>
                <w:color w:val="000000"/>
                <w:sz w:val="21"/>
                <w:szCs w:val="21"/>
                <w:highlight w:val="none"/>
              </w:rPr>
              <w:t>4</w:t>
            </w:r>
            <w:r>
              <w:rPr>
                <w:rFonts w:hint="eastAsia" w:ascii="宋体" w:hAnsi="宋体" w:eastAsia="宋体" w:cs="宋体"/>
                <w:color w:val="000000"/>
                <w:sz w:val="21"/>
                <w:szCs w:val="21"/>
                <w:highlight w:val="none"/>
              </w:rPr>
              <w:t>）总监理</w:t>
            </w:r>
            <w:r>
              <w:rPr>
                <w:rFonts w:ascii="宋体" w:hAnsi="宋体" w:eastAsia="宋体" w:cs="宋体"/>
                <w:color w:val="000000"/>
                <w:sz w:val="21"/>
                <w:szCs w:val="21"/>
                <w:highlight w:val="none"/>
              </w:rPr>
              <w:t>工程师自</w:t>
            </w:r>
            <w:r>
              <w:rPr>
                <w:rFonts w:hint="eastAsia" w:ascii="宋体" w:hAnsi="宋体" w:eastAsia="宋体" w:cs="宋体"/>
                <w:color w:val="000000"/>
                <w:sz w:val="21"/>
                <w:szCs w:val="21"/>
                <w:highlight w:val="none"/>
              </w:rPr>
              <w:t>2020年1月1日至今，曾以总监理工程师身份完成过总投资10000万元或以上</w:t>
            </w:r>
            <w:r>
              <w:rPr>
                <w:rFonts w:ascii="宋体" w:hAnsi="宋体" w:eastAsia="宋体" w:cs="宋体"/>
                <w:color w:val="000000"/>
                <w:sz w:val="21"/>
                <w:szCs w:val="21"/>
                <w:highlight w:val="none"/>
              </w:rPr>
              <w:t>的</w:t>
            </w:r>
            <w:r>
              <w:rPr>
                <w:rFonts w:hint="eastAsia" w:ascii="宋体" w:hAnsi="宋体" w:eastAsia="宋体" w:cs="宋体"/>
                <w:color w:val="000000"/>
                <w:sz w:val="21"/>
                <w:szCs w:val="21"/>
                <w:highlight w:val="none"/>
              </w:rPr>
              <w:t>水利工程</w:t>
            </w:r>
            <w:r>
              <w:rPr>
                <w:rFonts w:ascii="宋体" w:hAnsi="宋体" w:eastAsia="宋体" w:cs="宋体"/>
                <w:color w:val="000000"/>
                <w:sz w:val="21"/>
                <w:szCs w:val="21"/>
                <w:highlight w:val="none"/>
              </w:rPr>
              <w:t>监理</w:t>
            </w:r>
            <w:r>
              <w:rPr>
                <w:rFonts w:hint="eastAsia" w:ascii="宋体" w:hAnsi="宋体" w:eastAsia="宋体" w:cs="宋体"/>
                <w:color w:val="000000"/>
                <w:sz w:val="21"/>
                <w:szCs w:val="21"/>
                <w:highlight w:val="none"/>
              </w:rPr>
              <w:t>业绩的得2分，如该项目同时获得过省级或以上奖项的，加</w:t>
            </w:r>
            <w:r>
              <w:rPr>
                <w:rFonts w:ascii="宋体" w:hAnsi="宋体" w:eastAsia="宋体" w:cs="宋体"/>
                <w:color w:val="000000"/>
                <w:sz w:val="21"/>
                <w:szCs w:val="21"/>
                <w:highlight w:val="none"/>
              </w:rPr>
              <w:t>2</w:t>
            </w:r>
            <w:r>
              <w:rPr>
                <w:rFonts w:hint="eastAsia" w:ascii="宋体" w:hAnsi="宋体" w:eastAsia="宋体" w:cs="宋体"/>
                <w:color w:val="000000"/>
                <w:sz w:val="21"/>
                <w:szCs w:val="21"/>
                <w:highlight w:val="none"/>
              </w:rPr>
              <w:t>分，市级奖项的，加1分，本小项最高得</w:t>
            </w:r>
            <w:r>
              <w:rPr>
                <w:rFonts w:ascii="宋体" w:hAnsi="宋体" w:eastAsia="宋体" w:cs="宋体"/>
                <w:color w:val="000000"/>
                <w:sz w:val="21"/>
                <w:szCs w:val="21"/>
                <w:highlight w:val="none"/>
              </w:rPr>
              <w:t>4</w:t>
            </w:r>
            <w:r>
              <w:rPr>
                <w:rFonts w:hint="eastAsia" w:ascii="宋体" w:hAnsi="宋体" w:eastAsia="宋体" w:cs="宋体"/>
                <w:color w:val="000000"/>
                <w:sz w:val="21"/>
                <w:szCs w:val="21"/>
                <w:highlight w:val="none"/>
              </w:rPr>
              <w:t>分，没有的不得分。</w:t>
            </w:r>
          </w:p>
          <w:p w14:paraId="3D02DC2F">
            <w:pPr>
              <w:jc w:val="both"/>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注：本项最高得1</w:t>
            </w:r>
            <w:r>
              <w:rPr>
                <w:rFonts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分。需提供工作</w:t>
            </w:r>
            <w:r>
              <w:rPr>
                <w:rFonts w:ascii="宋体" w:hAnsi="宋体" w:eastAsia="宋体" w:cs="宋体"/>
                <w:color w:val="000000"/>
                <w:sz w:val="21"/>
                <w:szCs w:val="21"/>
                <w:highlight w:val="none"/>
              </w:rPr>
              <w:t>经验</w:t>
            </w:r>
            <w:r>
              <w:rPr>
                <w:rFonts w:hint="eastAsia" w:ascii="宋体" w:hAnsi="宋体" w:eastAsia="宋体" w:cs="宋体"/>
                <w:color w:val="000000"/>
                <w:sz w:val="21"/>
                <w:szCs w:val="21"/>
                <w:highlight w:val="none"/>
              </w:rPr>
              <w:t>年限有关</w:t>
            </w:r>
            <w:r>
              <w:rPr>
                <w:rFonts w:ascii="宋体" w:hAnsi="宋体" w:eastAsia="宋体" w:cs="宋体"/>
                <w:color w:val="000000"/>
                <w:sz w:val="21"/>
                <w:szCs w:val="21"/>
                <w:highlight w:val="none"/>
              </w:rPr>
              <w:t>证明</w:t>
            </w:r>
            <w:r>
              <w:rPr>
                <w:rFonts w:hint="eastAsia" w:ascii="宋体" w:hAnsi="宋体" w:eastAsia="宋体" w:cs="宋体"/>
                <w:color w:val="000000"/>
                <w:sz w:val="21"/>
                <w:szCs w:val="21"/>
                <w:highlight w:val="none"/>
              </w:rPr>
              <w:t>材料、职称证、注册证书、</w:t>
            </w:r>
            <w:r>
              <w:rPr>
                <w:rFonts w:ascii="宋体" w:hAnsi="宋体" w:cs="宋体"/>
                <w:color w:val="000000"/>
                <w:sz w:val="21"/>
                <w:szCs w:val="21"/>
                <w:highlight w:val="none"/>
              </w:rPr>
              <w:t>获奖证书</w:t>
            </w:r>
            <w:r>
              <w:rPr>
                <w:rFonts w:hint="eastAsia" w:ascii="宋体" w:hAnsi="宋体" w:eastAsia="宋体" w:cs="宋体"/>
                <w:color w:val="000000"/>
                <w:sz w:val="21"/>
                <w:szCs w:val="21"/>
                <w:highlight w:val="none"/>
              </w:rPr>
              <w:t>等相关证书及提供近一个月（202</w:t>
            </w:r>
            <w:r>
              <w:rPr>
                <w:rFonts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年</w:t>
            </w:r>
            <w:r>
              <w:rPr>
                <w:rFonts w:ascii="宋体" w:hAnsi="宋体" w:eastAsia="宋体" w:cs="宋体"/>
                <w:color w:val="000000"/>
                <w:sz w:val="21"/>
                <w:szCs w:val="21"/>
                <w:highlight w:val="none"/>
              </w:rPr>
              <w:t>8</w:t>
            </w:r>
            <w:r>
              <w:rPr>
                <w:rFonts w:hint="eastAsia" w:ascii="宋体" w:hAnsi="宋体" w:eastAsia="宋体" w:cs="宋体"/>
                <w:color w:val="000000"/>
                <w:sz w:val="21"/>
                <w:szCs w:val="21"/>
                <w:highlight w:val="none"/>
              </w:rPr>
              <w:t>月）在</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投标单位购买社保缴纳证明材料</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须加盖社保部门或税务部门印章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，否则不得分。工作经验时间以</w:t>
            </w:r>
            <w:r>
              <w:rPr>
                <w:rFonts w:hint="eastAsia" w:ascii="宋体" w:hAnsi="宋体" w:eastAsia="宋体" w:cs="宋体"/>
                <w:color w:val="000000"/>
                <w:sz w:val="21"/>
                <w:szCs w:val="21"/>
                <w:highlight w:val="none"/>
                <w:lang w:val="en-US" w:eastAsia="zh-CN"/>
              </w:rPr>
              <w:t>提供的</w:t>
            </w:r>
            <w:r>
              <w:rPr>
                <w:rFonts w:hint="eastAsia" w:ascii="宋体" w:hAnsi="宋体" w:eastAsia="宋体" w:cs="宋体"/>
                <w:color w:val="000000"/>
                <w:sz w:val="21"/>
                <w:szCs w:val="21"/>
                <w:highlight w:val="none"/>
              </w:rPr>
              <w:t>工作</w:t>
            </w:r>
            <w:r>
              <w:rPr>
                <w:rFonts w:ascii="宋体" w:hAnsi="宋体" w:eastAsia="宋体" w:cs="宋体"/>
                <w:color w:val="000000"/>
                <w:sz w:val="21"/>
                <w:szCs w:val="21"/>
                <w:highlight w:val="none"/>
              </w:rPr>
              <w:t>经验</w:t>
            </w:r>
            <w:r>
              <w:rPr>
                <w:rFonts w:hint="eastAsia" w:ascii="宋体" w:hAnsi="宋体" w:eastAsia="宋体" w:cs="宋体"/>
                <w:color w:val="000000"/>
                <w:sz w:val="21"/>
                <w:szCs w:val="21"/>
                <w:highlight w:val="none"/>
              </w:rPr>
              <w:t>年限有关</w:t>
            </w:r>
            <w:r>
              <w:rPr>
                <w:rFonts w:ascii="宋体" w:hAnsi="宋体" w:eastAsia="宋体" w:cs="宋体"/>
                <w:color w:val="000000"/>
                <w:sz w:val="21"/>
                <w:szCs w:val="21"/>
                <w:highlight w:val="none"/>
              </w:rPr>
              <w:t>证明</w:t>
            </w:r>
            <w:r>
              <w:rPr>
                <w:rFonts w:hint="eastAsia" w:ascii="宋体" w:hAnsi="宋体" w:eastAsia="宋体" w:cs="宋体"/>
                <w:color w:val="000000"/>
                <w:sz w:val="21"/>
                <w:szCs w:val="21"/>
                <w:highlight w:val="none"/>
              </w:rPr>
              <w:t>材料</w:t>
            </w:r>
            <w:r>
              <w:rPr>
                <w:rFonts w:hint="eastAsia" w:ascii="宋体" w:hAnsi="宋体" w:eastAsia="宋体" w:cs="宋体"/>
                <w:color w:val="000000"/>
                <w:sz w:val="21"/>
                <w:szCs w:val="21"/>
                <w:highlight w:val="none"/>
                <w:lang w:val="en-US" w:eastAsia="zh-CN"/>
              </w:rPr>
              <w:t>时间为准</w:t>
            </w:r>
            <w:r>
              <w:rPr>
                <w:rFonts w:hint="eastAsia" w:ascii="宋体" w:hAnsi="宋体" w:eastAsia="宋体" w:cs="宋体"/>
                <w:color w:val="000000"/>
                <w:sz w:val="21"/>
                <w:szCs w:val="21"/>
                <w:highlight w:val="none"/>
              </w:rPr>
              <w:t>。</w:t>
            </w:r>
          </w:p>
          <w:p w14:paraId="334326B9">
            <w:pPr>
              <w:jc w:val="both"/>
              <w:rPr>
                <w:rFonts w:ascii="宋体" w:hAnsi="宋体" w:eastAsia="宋体" w:cs="宋体"/>
                <w:sz w:val="21"/>
                <w:szCs w:val="21"/>
                <w:highlight w:val="none"/>
              </w:rPr>
            </w:pPr>
            <w:r>
              <w:rPr>
                <w:rFonts w:hint="eastAsia" w:ascii="宋体" w:hAnsi="宋体" w:eastAsia="宋体" w:cs="宋体"/>
                <w:color w:val="000000"/>
                <w:sz w:val="21"/>
                <w:szCs w:val="21"/>
                <w:highlight w:val="none"/>
              </w:rPr>
              <w:t>总监理</w:t>
            </w:r>
            <w:r>
              <w:rPr>
                <w:rFonts w:ascii="宋体" w:hAnsi="宋体" w:eastAsia="宋体" w:cs="宋体"/>
                <w:color w:val="000000"/>
                <w:sz w:val="21"/>
                <w:szCs w:val="21"/>
                <w:highlight w:val="none"/>
              </w:rPr>
              <w:t>工程</w:t>
            </w:r>
            <w:r>
              <w:rPr>
                <w:rFonts w:hint="eastAsia" w:ascii="宋体" w:hAnsi="宋体" w:eastAsia="宋体" w:cs="宋体"/>
                <w:color w:val="000000"/>
                <w:sz w:val="21"/>
                <w:szCs w:val="21"/>
                <w:highlight w:val="none"/>
                <w:lang w:val="en-US" w:eastAsia="zh-CN"/>
              </w:rPr>
              <w:t>师完成过的</w:t>
            </w:r>
            <w:r>
              <w:rPr>
                <w:rFonts w:hint="eastAsia" w:ascii="宋体" w:hAnsi="宋体" w:eastAsia="宋体" w:cs="宋体"/>
                <w:color w:val="000000"/>
                <w:sz w:val="21"/>
                <w:szCs w:val="21"/>
                <w:highlight w:val="none"/>
              </w:rPr>
              <w:t>水利工程</w:t>
            </w:r>
            <w:r>
              <w:rPr>
                <w:rFonts w:ascii="宋体" w:hAnsi="宋体" w:eastAsia="宋体" w:cs="宋体"/>
                <w:color w:val="000000"/>
                <w:sz w:val="21"/>
                <w:szCs w:val="21"/>
                <w:highlight w:val="none"/>
              </w:rPr>
              <w:t>监理</w:t>
            </w:r>
            <w:r>
              <w:rPr>
                <w:rFonts w:hint="eastAsia" w:ascii="宋体" w:hAnsi="宋体" w:eastAsia="宋体" w:cs="宋体"/>
                <w:color w:val="000000"/>
                <w:sz w:val="21"/>
                <w:szCs w:val="21"/>
                <w:highlight w:val="none"/>
              </w:rPr>
              <w:t>业绩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需同时提供中标通知书（或免招标的相关证明）、监理合同关键页及验收证明材料（单位工程验收鉴定书或合同工程完工验收鉴定书或工程竣工验收鉴定书或竣工验收报告）。时间以验收证明材料的验收日期为准。</w:t>
            </w:r>
            <w:r>
              <w:rPr>
                <w:rFonts w:hint="eastAsia" w:ascii="宋体" w:hAnsi="宋体" w:cs="宋体"/>
                <w:color w:val="000000"/>
                <w:sz w:val="21"/>
                <w:szCs w:val="21"/>
                <w:highlight w:val="none"/>
              </w:rPr>
              <w:t>总投资额以监理合同注明为准。</w:t>
            </w:r>
            <w:r>
              <w:rPr>
                <w:rFonts w:hint="eastAsia" w:ascii="宋体" w:hAnsi="宋体" w:eastAsia="宋体" w:cs="宋体"/>
                <w:sz w:val="21"/>
                <w:szCs w:val="21"/>
                <w:highlight w:val="none"/>
              </w:rPr>
              <w:t>若</w:t>
            </w:r>
            <w:r>
              <w:rPr>
                <w:rFonts w:ascii="宋体" w:hAnsi="宋体" w:eastAsia="宋体" w:cs="宋体"/>
                <w:sz w:val="21"/>
                <w:szCs w:val="21"/>
                <w:highlight w:val="none"/>
              </w:rPr>
              <w:t>上述材料未</w:t>
            </w:r>
            <w:r>
              <w:rPr>
                <w:rFonts w:hint="eastAsia" w:ascii="宋体" w:hAnsi="宋体" w:eastAsia="宋体" w:cs="宋体"/>
                <w:sz w:val="21"/>
                <w:szCs w:val="21"/>
                <w:highlight w:val="none"/>
              </w:rPr>
              <w:t>体现</w:t>
            </w:r>
            <w:r>
              <w:rPr>
                <w:rFonts w:ascii="宋体" w:hAnsi="宋体" w:eastAsia="宋体" w:cs="宋体"/>
                <w:sz w:val="21"/>
                <w:szCs w:val="21"/>
                <w:highlight w:val="none"/>
              </w:rPr>
              <w:t>总监</w:t>
            </w:r>
            <w:r>
              <w:rPr>
                <w:rFonts w:hint="eastAsia" w:ascii="宋体" w:hAnsi="宋体" w:eastAsia="宋体" w:cs="宋体"/>
                <w:sz w:val="21"/>
                <w:szCs w:val="21"/>
                <w:highlight w:val="none"/>
              </w:rPr>
              <w:t>姓名</w:t>
            </w:r>
            <w:r>
              <w:rPr>
                <w:rFonts w:ascii="宋体" w:hAnsi="宋体" w:eastAsia="宋体" w:cs="宋体"/>
                <w:sz w:val="21"/>
                <w:szCs w:val="21"/>
                <w:highlight w:val="none"/>
              </w:rPr>
              <w:t>，还应提供业主</w:t>
            </w:r>
            <w:r>
              <w:rPr>
                <w:rFonts w:hint="eastAsia" w:ascii="宋体" w:hAnsi="宋体" w:eastAsia="宋体" w:cs="宋体"/>
                <w:sz w:val="21"/>
                <w:szCs w:val="21"/>
                <w:highlight w:val="none"/>
              </w:rPr>
              <w:t>出具</w:t>
            </w:r>
            <w:r>
              <w:rPr>
                <w:rFonts w:ascii="宋体" w:hAnsi="宋体" w:eastAsia="宋体" w:cs="宋体"/>
                <w:sz w:val="21"/>
                <w:szCs w:val="21"/>
                <w:highlight w:val="none"/>
              </w:rPr>
              <w:t>的相关证明</w:t>
            </w:r>
            <w:r>
              <w:rPr>
                <w:rFonts w:hint="eastAsia" w:ascii="宋体" w:hAnsi="宋体" w:eastAsia="宋体" w:cs="宋体"/>
                <w:sz w:val="21"/>
                <w:szCs w:val="21"/>
                <w:highlight w:val="none"/>
              </w:rPr>
              <w:t>资料</w:t>
            </w:r>
            <w:r>
              <w:rPr>
                <w:rFonts w:ascii="宋体" w:hAnsi="宋体" w:eastAsia="宋体" w:cs="宋体"/>
                <w:sz w:val="21"/>
                <w:szCs w:val="21"/>
                <w:highlight w:val="none"/>
              </w:rPr>
              <w:t>。否则</w:t>
            </w:r>
            <w:r>
              <w:rPr>
                <w:rFonts w:hint="eastAsia" w:ascii="宋体" w:hAnsi="宋体" w:eastAsia="宋体" w:cs="宋体"/>
                <w:sz w:val="21"/>
                <w:szCs w:val="21"/>
                <w:highlight w:val="none"/>
              </w:rPr>
              <w:t>不得分</w:t>
            </w:r>
            <w:r>
              <w:rPr>
                <w:rFonts w:ascii="宋体" w:hAnsi="宋体" w:eastAsia="宋体" w:cs="宋体"/>
                <w:sz w:val="21"/>
                <w:szCs w:val="21"/>
                <w:highlight w:val="none"/>
              </w:rPr>
              <w:t>。</w:t>
            </w:r>
          </w:p>
          <w:p w14:paraId="29205704">
            <w:pPr>
              <w:jc w:val="both"/>
              <w:rPr>
                <w:rFonts w:ascii="宋体" w:hAnsi="宋体" w:cs="宋体"/>
                <w:b/>
                <w:sz w:val="21"/>
                <w:szCs w:val="21"/>
                <w:highlight w:val="none"/>
              </w:rPr>
            </w:pPr>
            <w:r>
              <w:rPr>
                <w:rFonts w:hint="eastAsia" w:ascii="宋体" w:hAnsi="宋体" w:cs="宋体"/>
                <w:color w:val="000000"/>
                <w:sz w:val="21"/>
                <w:szCs w:val="21"/>
                <w:highlight w:val="none"/>
              </w:rPr>
              <w:t>以上</w:t>
            </w:r>
            <w:r>
              <w:rPr>
                <w:rFonts w:ascii="宋体" w:hAnsi="宋体" w:cs="宋体"/>
                <w:color w:val="000000"/>
                <w:sz w:val="21"/>
                <w:szCs w:val="21"/>
                <w:highlight w:val="none"/>
              </w:rPr>
              <w:t>项目获奖</w:t>
            </w:r>
            <w:r>
              <w:rPr>
                <w:rFonts w:hint="eastAsia" w:ascii="宋体" w:hAnsi="宋体" w:cs="宋体"/>
                <w:color w:val="000000"/>
                <w:sz w:val="21"/>
                <w:szCs w:val="21"/>
                <w:highlight w:val="none"/>
              </w:rPr>
              <w:t>证书</w:t>
            </w:r>
            <w:r>
              <w:rPr>
                <w:rFonts w:ascii="宋体" w:hAnsi="宋体" w:cs="宋体"/>
                <w:color w:val="000000"/>
                <w:sz w:val="21"/>
                <w:szCs w:val="21"/>
                <w:highlight w:val="none"/>
              </w:rPr>
              <w:t>如为协会（或学会）颁发的，还需提供该组织在“中国社会组织政务服务平台(全国社会组织信用信息公示平台)”登记备案的查询网页截图，</w:t>
            </w:r>
            <w:r>
              <w:rPr>
                <w:rFonts w:hint="eastAsia" w:ascii="宋体" w:hAnsi="宋体" w:eastAsia="宋体" w:cs="宋体"/>
                <w:color w:val="000000"/>
                <w:sz w:val="21"/>
                <w:szCs w:val="21"/>
                <w:highlight w:val="none"/>
              </w:rPr>
              <w:t>否则不得分。</w:t>
            </w:r>
            <w:r>
              <w:rPr>
                <w:rFonts w:ascii="宋体" w:hAnsi="宋体" w:cs="宋体"/>
                <w:color w:val="000000"/>
                <w:sz w:val="21"/>
                <w:szCs w:val="21"/>
                <w:highlight w:val="none"/>
              </w:rPr>
              <w:t>同一项目业绩获奖的按最高奖项只计算一次，不重复计算</w:t>
            </w:r>
            <w:r>
              <w:rPr>
                <w:rFonts w:hint="eastAsia" w:ascii="宋体" w:hAnsi="宋体" w:cs="宋体"/>
                <w:color w:val="000000"/>
                <w:sz w:val="21"/>
                <w:szCs w:val="21"/>
                <w:highlight w:val="none"/>
              </w:rPr>
              <w:t>。</w:t>
            </w:r>
          </w:p>
        </w:tc>
      </w:tr>
      <w:tr w14:paraId="2303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59F8882">
            <w:pPr>
              <w:pStyle w:val="22"/>
              <w:kinsoku w:val="0"/>
              <w:overflowPunct w:val="0"/>
              <w:jc w:val="center"/>
              <w:rPr>
                <w:rFonts w:ascii="宋体" w:hAnsi="宋体" w:cs="宋体"/>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AB2F21D">
            <w:pPr>
              <w:pStyle w:val="22"/>
              <w:kinsoku w:val="0"/>
              <w:overflowPunct w:val="0"/>
              <w:jc w:val="center"/>
              <w:rPr>
                <w:rFonts w:ascii="宋体" w:hAnsi="宋体" w:cs="宋体"/>
                <w:sz w:val="21"/>
                <w:szCs w:val="21"/>
                <w:highlight w:val="none"/>
              </w:rPr>
            </w:pPr>
          </w:p>
        </w:tc>
        <w:tc>
          <w:tcPr>
            <w:tcW w:w="2013" w:type="dxa"/>
            <w:tcBorders>
              <w:top w:val="single" w:color="auto" w:sz="4" w:space="0"/>
              <w:left w:val="single" w:color="auto" w:sz="4" w:space="0"/>
              <w:right w:val="single" w:color="auto" w:sz="4" w:space="0"/>
              <w:tl2br w:val="nil"/>
              <w:tr2bl w:val="nil"/>
            </w:tcBorders>
            <w:noWrap w:val="0"/>
            <w:vAlign w:val="center"/>
          </w:tcPr>
          <w:p w14:paraId="70C93AD8">
            <w:pPr>
              <w:pStyle w:val="22"/>
              <w:kinsoku w:val="0"/>
              <w:overflowPunct w:val="0"/>
              <w:jc w:val="center"/>
              <w:rPr>
                <w:rFonts w:ascii="宋体" w:hAnsi="宋体" w:cs="宋体"/>
                <w:sz w:val="21"/>
                <w:szCs w:val="21"/>
                <w:highlight w:val="none"/>
              </w:rPr>
            </w:pPr>
            <w:r>
              <w:rPr>
                <w:rFonts w:hint="eastAsia" w:ascii="宋体" w:hAnsi="宋体" w:cs="宋体"/>
                <w:sz w:val="21"/>
                <w:szCs w:val="21"/>
                <w:highlight w:val="none"/>
              </w:rPr>
              <w:t>项目管理班子的能力</w:t>
            </w:r>
          </w:p>
          <w:p w14:paraId="537F1163">
            <w:pPr>
              <w:pStyle w:val="22"/>
              <w:kinsoku w:val="0"/>
              <w:overflowPunct w:val="0"/>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DE802">
            <w:pPr>
              <w:rPr>
                <w:rFonts w:ascii="宋体" w:hAnsi="宋体"/>
                <w:spacing w:val="-3"/>
                <w:sz w:val="21"/>
                <w:szCs w:val="21"/>
                <w:highlight w:val="none"/>
              </w:rPr>
            </w:pPr>
            <w:r>
              <w:rPr>
                <w:rFonts w:hint="eastAsia" w:ascii="宋体" w:hAnsi="宋体"/>
                <w:spacing w:val="-3"/>
                <w:sz w:val="21"/>
                <w:szCs w:val="21"/>
                <w:highlight w:val="none"/>
              </w:rPr>
              <w:t>投标人拟投入的项目监理机构其他主要人员（除总监理工程师以外）不少于8人，包括但不限于：</w:t>
            </w:r>
          </w:p>
          <w:p w14:paraId="636F5811">
            <w:pPr>
              <w:rPr>
                <w:rFonts w:ascii="宋体" w:hAnsi="宋体"/>
                <w:spacing w:val="-3"/>
                <w:sz w:val="21"/>
                <w:szCs w:val="21"/>
                <w:highlight w:val="none"/>
              </w:rPr>
            </w:pPr>
            <w:r>
              <w:rPr>
                <w:rFonts w:hint="eastAsia" w:ascii="宋体" w:hAnsi="宋体"/>
                <w:spacing w:val="-3"/>
                <w:sz w:val="21"/>
                <w:szCs w:val="21"/>
                <w:highlight w:val="none"/>
              </w:rPr>
              <w:t>（1）水利工程施工监理专业监理工程师</w:t>
            </w:r>
            <w:r>
              <w:rPr>
                <w:rFonts w:ascii="宋体" w:hAnsi="宋体"/>
                <w:spacing w:val="-3"/>
                <w:sz w:val="21"/>
                <w:szCs w:val="21"/>
                <w:highlight w:val="none"/>
              </w:rPr>
              <w:t>2</w:t>
            </w:r>
            <w:r>
              <w:rPr>
                <w:rFonts w:hint="eastAsia" w:ascii="宋体" w:hAnsi="宋体"/>
                <w:spacing w:val="-3"/>
                <w:sz w:val="21"/>
                <w:szCs w:val="21"/>
                <w:highlight w:val="none"/>
              </w:rPr>
              <w:t>名；</w:t>
            </w:r>
          </w:p>
          <w:p w14:paraId="3CC5D7EE">
            <w:pPr>
              <w:rPr>
                <w:rFonts w:ascii="宋体" w:hAnsi="宋体"/>
                <w:spacing w:val="-3"/>
                <w:sz w:val="21"/>
                <w:szCs w:val="21"/>
                <w:highlight w:val="none"/>
              </w:rPr>
            </w:pPr>
            <w:r>
              <w:rPr>
                <w:rFonts w:hint="eastAsia" w:ascii="宋体" w:hAnsi="宋体"/>
                <w:spacing w:val="-3"/>
                <w:sz w:val="21"/>
                <w:szCs w:val="21"/>
                <w:highlight w:val="none"/>
              </w:rPr>
              <w:t>（2）水土保持工程施工监理专业监理工程师1名；</w:t>
            </w:r>
          </w:p>
          <w:p w14:paraId="20422BC2">
            <w:pPr>
              <w:rPr>
                <w:rFonts w:ascii="宋体" w:hAnsi="宋体"/>
                <w:spacing w:val="-3"/>
                <w:sz w:val="21"/>
                <w:szCs w:val="21"/>
                <w:highlight w:val="none"/>
              </w:rPr>
            </w:pPr>
            <w:r>
              <w:rPr>
                <w:rFonts w:hint="eastAsia" w:ascii="宋体" w:hAnsi="宋体"/>
                <w:spacing w:val="-3"/>
                <w:sz w:val="21"/>
                <w:szCs w:val="21"/>
                <w:highlight w:val="none"/>
              </w:rPr>
              <w:t>（3）水利</w:t>
            </w:r>
            <w:r>
              <w:rPr>
                <w:rFonts w:ascii="宋体" w:hAnsi="宋体"/>
                <w:spacing w:val="-3"/>
                <w:sz w:val="21"/>
                <w:szCs w:val="21"/>
                <w:highlight w:val="none"/>
              </w:rPr>
              <w:t>工程建设环境保护监理</w:t>
            </w:r>
            <w:r>
              <w:rPr>
                <w:rFonts w:hint="eastAsia" w:ascii="宋体" w:hAnsi="宋体"/>
                <w:spacing w:val="-3"/>
                <w:sz w:val="21"/>
                <w:szCs w:val="21"/>
                <w:highlight w:val="none"/>
              </w:rPr>
              <w:t>专业</w:t>
            </w:r>
            <w:r>
              <w:rPr>
                <w:rFonts w:ascii="宋体" w:hAnsi="宋体"/>
                <w:spacing w:val="-3"/>
                <w:sz w:val="21"/>
                <w:szCs w:val="21"/>
                <w:highlight w:val="none"/>
              </w:rPr>
              <w:t>监理工程师</w:t>
            </w:r>
            <w:r>
              <w:rPr>
                <w:rFonts w:hint="eastAsia" w:ascii="宋体" w:hAnsi="宋体"/>
                <w:spacing w:val="-3"/>
                <w:sz w:val="21"/>
                <w:szCs w:val="21"/>
                <w:highlight w:val="none"/>
              </w:rPr>
              <w:t>1名</w:t>
            </w:r>
            <w:r>
              <w:rPr>
                <w:rFonts w:ascii="宋体" w:hAnsi="宋体"/>
                <w:spacing w:val="-3"/>
                <w:sz w:val="21"/>
                <w:szCs w:val="21"/>
                <w:highlight w:val="none"/>
              </w:rPr>
              <w:t>；</w:t>
            </w:r>
          </w:p>
          <w:p w14:paraId="0CADF9F8">
            <w:pPr>
              <w:rPr>
                <w:rFonts w:ascii="宋体" w:hAnsi="宋体"/>
                <w:spacing w:val="-3"/>
                <w:sz w:val="21"/>
                <w:szCs w:val="21"/>
                <w:highlight w:val="none"/>
              </w:rPr>
            </w:pPr>
            <w:r>
              <w:rPr>
                <w:rFonts w:hint="eastAsia" w:ascii="宋体" w:hAnsi="宋体"/>
                <w:spacing w:val="-3"/>
                <w:sz w:val="21"/>
                <w:szCs w:val="21"/>
                <w:highlight w:val="none"/>
              </w:rPr>
              <w:t>（4）注册造价工程师（水利工程专业）1名；</w:t>
            </w:r>
          </w:p>
          <w:p w14:paraId="5C12412B">
            <w:pPr>
              <w:rPr>
                <w:rFonts w:ascii="宋体" w:hAnsi="宋体"/>
                <w:spacing w:val="-3"/>
                <w:sz w:val="21"/>
                <w:szCs w:val="21"/>
                <w:highlight w:val="none"/>
              </w:rPr>
            </w:pPr>
            <w:r>
              <w:rPr>
                <w:rFonts w:hint="eastAsia" w:ascii="宋体" w:hAnsi="宋体"/>
                <w:spacing w:val="-3"/>
                <w:sz w:val="21"/>
                <w:szCs w:val="21"/>
                <w:highlight w:val="none"/>
              </w:rPr>
              <w:t>（5）安全员（安全员或注册安全工程师）1名；</w:t>
            </w:r>
          </w:p>
          <w:p w14:paraId="2198BB71">
            <w:pPr>
              <w:rPr>
                <w:rFonts w:ascii="宋体" w:hAnsi="宋体"/>
                <w:spacing w:val="-3"/>
                <w:sz w:val="21"/>
                <w:szCs w:val="21"/>
                <w:highlight w:val="none"/>
              </w:rPr>
            </w:pPr>
            <w:r>
              <w:rPr>
                <w:rFonts w:hint="eastAsia" w:ascii="宋体" w:hAnsi="宋体"/>
                <w:spacing w:val="-3"/>
                <w:sz w:val="21"/>
                <w:szCs w:val="21"/>
                <w:highlight w:val="none"/>
              </w:rPr>
              <w:t>（</w:t>
            </w:r>
            <w:r>
              <w:rPr>
                <w:rFonts w:ascii="宋体" w:hAnsi="宋体"/>
                <w:spacing w:val="-3"/>
                <w:sz w:val="21"/>
                <w:szCs w:val="21"/>
                <w:highlight w:val="none"/>
              </w:rPr>
              <w:t>6</w:t>
            </w:r>
            <w:r>
              <w:rPr>
                <w:rFonts w:hint="eastAsia" w:ascii="宋体" w:hAnsi="宋体"/>
                <w:spacing w:val="-3"/>
                <w:sz w:val="21"/>
                <w:szCs w:val="21"/>
                <w:highlight w:val="none"/>
              </w:rPr>
              <w:t>）监理员（监理员或</w:t>
            </w:r>
            <w:r>
              <w:rPr>
                <w:rFonts w:hint="eastAsia" w:ascii="宋体" w:hAnsi="宋体" w:cs="宋体"/>
                <w:sz w:val="21"/>
                <w:szCs w:val="21"/>
                <w:highlight w:val="none"/>
              </w:rPr>
              <w:t>水利工程施工监理</w:t>
            </w:r>
            <w:r>
              <w:rPr>
                <w:rFonts w:ascii="宋体" w:hAnsi="宋体"/>
                <w:spacing w:val="-3"/>
                <w:sz w:val="21"/>
                <w:szCs w:val="21"/>
                <w:highlight w:val="none"/>
              </w:rPr>
              <w:t>专业</w:t>
            </w:r>
            <w:r>
              <w:rPr>
                <w:rFonts w:hint="eastAsia" w:ascii="宋体" w:hAnsi="宋体"/>
                <w:spacing w:val="-3"/>
                <w:sz w:val="21"/>
                <w:szCs w:val="21"/>
                <w:highlight w:val="none"/>
              </w:rPr>
              <w:t>监理</w:t>
            </w:r>
            <w:r>
              <w:rPr>
                <w:rFonts w:ascii="宋体" w:hAnsi="宋体"/>
                <w:spacing w:val="-3"/>
                <w:sz w:val="21"/>
                <w:szCs w:val="21"/>
                <w:highlight w:val="none"/>
              </w:rPr>
              <w:t>工程师</w:t>
            </w:r>
            <w:r>
              <w:rPr>
                <w:rFonts w:hint="eastAsia" w:ascii="宋体" w:hAnsi="宋体"/>
                <w:spacing w:val="-3"/>
                <w:sz w:val="21"/>
                <w:szCs w:val="21"/>
                <w:highlight w:val="none"/>
              </w:rPr>
              <w:t>）</w:t>
            </w:r>
            <w:r>
              <w:rPr>
                <w:rFonts w:ascii="宋体" w:hAnsi="宋体"/>
                <w:spacing w:val="-3"/>
                <w:sz w:val="21"/>
                <w:szCs w:val="21"/>
                <w:highlight w:val="none"/>
              </w:rPr>
              <w:t>2</w:t>
            </w:r>
            <w:r>
              <w:rPr>
                <w:rFonts w:hint="eastAsia" w:ascii="宋体" w:hAnsi="宋体"/>
                <w:spacing w:val="-3"/>
                <w:sz w:val="21"/>
                <w:szCs w:val="21"/>
                <w:highlight w:val="none"/>
              </w:rPr>
              <w:t>名；</w:t>
            </w:r>
            <w:r>
              <w:rPr>
                <w:rFonts w:ascii="宋体" w:hAnsi="宋体"/>
                <w:spacing w:val="-3"/>
                <w:sz w:val="21"/>
                <w:szCs w:val="21"/>
                <w:highlight w:val="none"/>
              </w:rPr>
              <w:t xml:space="preserve"> </w:t>
            </w:r>
          </w:p>
          <w:p w14:paraId="711A940E">
            <w:pPr>
              <w:rPr>
                <w:rFonts w:ascii="宋体" w:hAnsi="宋体"/>
                <w:spacing w:val="-3"/>
                <w:sz w:val="21"/>
                <w:szCs w:val="21"/>
                <w:highlight w:val="none"/>
              </w:rPr>
            </w:pPr>
            <w:r>
              <w:rPr>
                <w:rFonts w:hint="eastAsia" w:ascii="宋体" w:hAnsi="宋体"/>
                <w:spacing w:val="-3"/>
                <w:sz w:val="21"/>
                <w:szCs w:val="21"/>
                <w:highlight w:val="none"/>
              </w:rPr>
              <w:t>完全符合上述要求的得</w:t>
            </w:r>
            <w:r>
              <w:rPr>
                <w:rFonts w:ascii="宋体" w:hAnsi="宋体"/>
                <w:spacing w:val="-3"/>
                <w:sz w:val="21"/>
                <w:szCs w:val="21"/>
                <w:highlight w:val="none"/>
              </w:rPr>
              <w:t>6</w:t>
            </w:r>
            <w:r>
              <w:rPr>
                <w:rFonts w:hint="eastAsia" w:ascii="宋体" w:hAnsi="宋体"/>
                <w:spacing w:val="-3"/>
                <w:sz w:val="21"/>
                <w:szCs w:val="21"/>
                <w:highlight w:val="none"/>
              </w:rPr>
              <w:t>分，一项不符合扣</w:t>
            </w:r>
            <w:r>
              <w:rPr>
                <w:rFonts w:ascii="宋体" w:hAnsi="宋体"/>
                <w:spacing w:val="-3"/>
                <w:sz w:val="21"/>
                <w:szCs w:val="21"/>
                <w:highlight w:val="none"/>
              </w:rPr>
              <w:t>1</w:t>
            </w:r>
            <w:r>
              <w:rPr>
                <w:rFonts w:hint="eastAsia" w:ascii="宋体" w:hAnsi="宋体"/>
                <w:spacing w:val="-3"/>
                <w:sz w:val="21"/>
                <w:szCs w:val="21"/>
                <w:highlight w:val="none"/>
              </w:rPr>
              <w:t>分</w:t>
            </w:r>
            <w:r>
              <w:rPr>
                <w:rFonts w:ascii="宋体" w:hAnsi="宋体"/>
                <w:spacing w:val="-3"/>
                <w:sz w:val="21"/>
                <w:szCs w:val="21"/>
                <w:highlight w:val="none"/>
              </w:rPr>
              <w:t>，扣完为止。</w:t>
            </w:r>
          </w:p>
          <w:p w14:paraId="5259A09D">
            <w:pPr>
              <w:rPr>
                <w:highlight w:val="none"/>
              </w:rPr>
            </w:pPr>
            <w:r>
              <w:rPr>
                <w:rFonts w:hint="eastAsia" w:ascii="宋体" w:hAnsi="宋体"/>
                <w:spacing w:val="-3"/>
                <w:sz w:val="21"/>
                <w:szCs w:val="21"/>
                <w:highlight w:val="none"/>
              </w:rPr>
              <w:t>注：上述岗位一人一岗，不得兼任，需提供相关资格（培训）证书或注册证书（必须在本单位注册）或职称证件，上述人员均需提供近一个月（2025年</w:t>
            </w:r>
            <w:r>
              <w:rPr>
                <w:rFonts w:ascii="宋体" w:hAnsi="宋体"/>
                <w:spacing w:val="-3"/>
                <w:sz w:val="21"/>
                <w:szCs w:val="21"/>
                <w:highlight w:val="none"/>
              </w:rPr>
              <w:t>8</w:t>
            </w:r>
            <w:r>
              <w:rPr>
                <w:rFonts w:hint="eastAsia" w:ascii="宋体" w:hAnsi="宋体"/>
                <w:spacing w:val="-3"/>
                <w:sz w:val="21"/>
                <w:szCs w:val="21"/>
                <w:highlight w:val="none"/>
              </w:rPr>
              <w:t>月）</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val="en-US" w:eastAsia="zh-CN"/>
              </w:rPr>
              <w:t>该</w:t>
            </w:r>
            <w:r>
              <w:rPr>
                <w:rFonts w:hint="eastAsia" w:ascii="宋体" w:hAnsi="宋体" w:eastAsia="宋体" w:cs="宋体"/>
                <w:color w:val="000000"/>
                <w:sz w:val="21"/>
                <w:szCs w:val="21"/>
                <w:highlight w:val="none"/>
              </w:rPr>
              <w:t>投标单位购买社保缴纳证明材料</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须加盖社保部门或税务部门印章</w:t>
            </w:r>
            <w:r>
              <w:rPr>
                <w:rFonts w:hint="eastAsia" w:ascii="宋体" w:hAnsi="宋体" w:eastAsia="宋体" w:cs="宋体"/>
                <w:color w:val="000000"/>
                <w:sz w:val="21"/>
                <w:szCs w:val="21"/>
                <w:highlight w:val="none"/>
                <w:lang w:eastAsia="zh-CN"/>
              </w:rPr>
              <w:t>）</w:t>
            </w:r>
            <w:r>
              <w:rPr>
                <w:rFonts w:hint="eastAsia" w:ascii="宋体" w:hAnsi="宋体"/>
                <w:spacing w:val="-3"/>
                <w:sz w:val="21"/>
                <w:szCs w:val="21"/>
                <w:highlight w:val="none"/>
              </w:rPr>
              <w:t>。</w:t>
            </w:r>
          </w:p>
        </w:tc>
      </w:tr>
      <w:tr w14:paraId="45AC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50D394">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2.2.4</w:t>
            </w:r>
          </w:p>
          <w:p w14:paraId="68859421">
            <w:pPr>
              <w:pStyle w:val="22"/>
              <w:kinsoku w:val="0"/>
              <w:overflowPunct w:val="0"/>
              <w:jc w:val="center"/>
              <w:rPr>
                <w:rFonts w:ascii="宋体" w:hAnsi="宋体" w:cs="宋体"/>
                <w:b/>
                <w:sz w:val="21"/>
                <w:szCs w:val="21"/>
                <w:highlight w:val="none"/>
              </w:rPr>
            </w:pPr>
            <w:r>
              <w:rPr>
                <w:rFonts w:ascii="宋体" w:hAnsi="宋体" w:cs="宋体"/>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FE9533">
            <w:pPr>
              <w:pStyle w:val="22"/>
              <w:kinsoku w:val="0"/>
              <w:overflowPunct w:val="0"/>
              <w:jc w:val="center"/>
              <w:rPr>
                <w:rFonts w:ascii="宋体" w:hAnsi="宋体" w:cs="宋体"/>
                <w:sz w:val="21"/>
                <w:szCs w:val="21"/>
                <w:highlight w:val="none"/>
              </w:rPr>
            </w:pPr>
            <w:r>
              <w:rPr>
                <w:rFonts w:ascii="宋体" w:hAnsi="宋体" w:cs="宋体"/>
                <w:sz w:val="21"/>
                <w:szCs w:val="21"/>
                <w:highlight w:val="none"/>
              </w:rPr>
              <w:t>监理大纲评分标准</w:t>
            </w:r>
            <w:r>
              <w:rPr>
                <w:rFonts w:ascii="宋体" w:hAnsi="宋体" w:cs="宋体"/>
                <w:spacing w:val="-2"/>
                <w:sz w:val="21"/>
                <w:szCs w:val="21"/>
                <w:highlight w:val="none"/>
              </w:rPr>
              <w:t>（</w:t>
            </w:r>
            <w:r>
              <w:rPr>
                <w:rFonts w:hint="eastAsia" w:ascii="宋体" w:hAnsi="宋体" w:cs="宋体"/>
                <w:spacing w:val="-2"/>
                <w:sz w:val="21"/>
                <w:szCs w:val="21"/>
                <w:highlight w:val="none"/>
              </w:rPr>
              <w:t>40分</w:t>
            </w:r>
            <w:r>
              <w:rPr>
                <w:rFonts w:ascii="宋体" w:hAnsi="宋体" w:cs="宋体"/>
                <w:spacing w:val="-2"/>
                <w:sz w:val="21"/>
                <w:szCs w:val="21"/>
                <w:highlight w:val="none"/>
              </w:rPr>
              <w:t>）</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284042">
            <w:pPr>
              <w:pStyle w:val="22"/>
              <w:kinsoku w:val="0"/>
              <w:overflowPunct w:val="0"/>
              <w:jc w:val="center"/>
              <w:rPr>
                <w:rFonts w:ascii="宋体" w:hAnsi="宋体" w:cs="宋体"/>
                <w:color w:val="000000"/>
                <w:sz w:val="21"/>
                <w:szCs w:val="21"/>
                <w:highlight w:val="none"/>
              </w:rPr>
            </w:pPr>
            <w:r>
              <w:rPr>
                <w:rFonts w:hint="eastAsia" w:ascii="宋体" w:hAnsi="宋体" w:cs="宋体"/>
                <w:color w:val="000000"/>
                <w:sz w:val="21"/>
                <w:szCs w:val="21"/>
                <w:highlight w:val="none"/>
              </w:rPr>
              <w:t>质量、进度、投资</w:t>
            </w:r>
          </w:p>
          <w:p w14:paraId="11DFA30B">
            <w:pPr>
              <w:pStyle w:val="22"/>
              <w:kinsoku w:val="0"/>
              <w:overflowPunct w:val="0"/>
              <w:jc w:val="center"/>
              <w:rPr>
                <w:rFonts w:ascii="宋体" w:hAnsi="宋体" w:cs="宋体"/>
                <w:color w:val="000000"/>
                <w:sz w:val="21"/>
                <w:szCs w:val="21"/>
                <w:highlight w:val="none"/>
              </w:rPr>
            </w:pPr>
            <w:r>
              <w:rPr>
                <w:rFonts w:hint="eastAsia" w:ascii="宋体" w:hAnsi="宋体" w:cs="宋体"/>
                <w:color w:val="000000"/>
                <w:sz w:val="21"/>
                <w:szCs w:val="21"/>
                <w:highlight w:val="none"/>
              </w:rPr>
              <w:t>控制方案</w:t>
            </w:r>
          </w:p>
          <w:p w14:paraId="407AEC22">
            <w:pPr>
              <w:pStyle w:val="22"/>
              <w:kinsoku w:val="0"/>
              <w:overflowPunct w:val="0"/>
              <w:jc w:val="center"/>
              <w:rPr>
                <w:rFonts w:ascii="宋体" w:hAnsi="宋体" w:cs="宋体"/>
                <w:sz w:val="21"/>
                <w:szCs w:val="21"/>
                <w:highlight w:val="none"/>
              </w:rPr>
            </w:pPr>
            <w:r>
              <w:rPr>
                <w:rFonts w:hint="eastAsia" w:ascii="宋体" w:hAnsi="宋体" w:cs="宋体"/>
                <w:color w:val="000000"/>
                <w:sz w:val="21"/>
                <w:szCs w:val="21"/>
                <w:highlight w:val="none"/>
              </w:rPr>
              <w:t>（</w:t>
            </w:r>
            <w:r>
              <w:rPr>
                <w:rFonts w:ascii="宋体" w:hAnsi="宋体" w:cs="宋体"/>
                <w:color w:val="000000"/>
                <w:sz w:val="21"/>
                <w:szCs w:val="21"/>
                <w:highlight w:val="none"/>
              </w:rPr>
              <w:t>10</w:t>
            </w:r>
            <w:r>
              <w:rPr>
                <w:rFonts w:hint="eastAsia" w:ascii="宋体" w:hAnsi="宋体" w:cs="宋体"/>
                <w:color w:val="000000"/>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CF40E">
            <w:pPr>
              <w:pStyle w:val="22"/>
              <w:kinsoku w:val="0"/>
              <w:overflowPunct w:val="0"/>
              <w:jc w:val="left"/>
              <w:rPr>
                <w:rFonts w:ascii="宋体" w:hAnsi="宋体" w:cs="宋体"/>
                <w:color w:val="000000"/>
                <w:sz w:val="21"/>
                <w:szCs w:val="21"/>
                <w:highlight w:val="none"/>
              </w:rPr>
            </w:pPr>
            <w:r>
              <w:rPr>
                <w:rFonts w:hint="eastAsia" w:ascii="宋体" w:hAnsi="宋体" w:cs="宋体"/>
                <w:color w:val="000000"/>
                <w:sz w:val="21"/>
                <w:szCs w:val="21"/>
                <w:highlight w:val="none"/>
              </w:rPr>
              <w:t>质量、进度、投资控制目标明确、方法、措施描述全面，措施得当、可行、可操作性强。</w:t>
            </w:r>
          </w:p>
          <w:p w14:paraId="1E648A7A">
            <w:pPr>
              <w:pStyle w:val="22"/>
              <w:kinsoku w:val="0"/>
              <w:overflowPunct w:val="0"/>
              <w:jc w:val="left"/>
              <w:rPr>
                <w:rFonts w:ascii="宋体" w:hAnsi="宋体" w:cs="宋体"/>
                <w:sz w:val="21"/>
                <w:szCs w:val="21"/>
                <w:highlight w:val="none"/>
              </w:rPr>
            </w:pPr>
            <w:r>
              <w:rPr>
                <w:rFonts w:hint="eastAsia" w:ascii="宋体" w:hAnsi="宋体" w:cs="宋体"/>
                <w:color w:val="000000"/>
                <w:sz w:val="21"/>
                <w:szCs w:val="21"/>
                <w:highlight w:val="none"/>
              </w:rPr>
              <w:t>优得</w:t>
            </w:r>
            <w:r>
              <w:rPr>
                <w:rFonts w:ascii="宋体" w:hAnsi="宋体" w:cs="宋体"/>
                <w:color w:val="000000"/>
                <w:sz w:val="21"/>
                <w:szCs w:val="21"/>
                <w:highlight w:val="none"/>
              </w:rPr>
              <w:t>10</w:t>
            </w:r>
            <w:r>
              <w:rPr>
                <w:rFonts w:hint="eastAsia" w:ascii="宋体" w:hAnsi="宋体" w:cs="宋体"/>
                <w:color w:val="000000"/>
                <w:sz w:val="21"/>
                <w:szCs w:val="21"/>
                <w:highlight w:val="none"/>
              </w:rPr>
              <w:t>分；良得</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分；一般得</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分。没有不得分。</w:t>
            </w:r>
          </w:p>
        </w:tc>
      </w:tr>
      <w:tr w14:paraId="5C70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3ACD35">
            <w:pPr>
              <w:pStyle w:val="22"/>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FBBDAD">
            <w:pPr>
              <w:pStyle w:val="22"/>
              <w:kinsoku w:val="0"/>
              <w:overflowPunct w:val="0"/>
              <w:spacing w:before="41"/>
              <w:jc w:val="center"/>
              <w:rPr>
                <w:rFonts w:ascii="宋体" w:hAnsi="宋体" w:cs="宋体"/>
                <w:b/>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456F0">
            <w:pPr>
              <w:pStyle w:val="22"/>
              <w:kinsoku w:val="0"/>
              <w:overflowPunct w:val="0"/>
              <w:jc w:val="center"/>
              <w:rPr>
                <w:rFonts w:ascii="宋体" w:hAnsi="宋体" w:cs="宋体"/>
                <w:color w:val="000000"/>
                <w:sz w:val="21"/>
                <w:szCs w:val="21"/>
                <w:highlight w:val="none"/>
              </w:rPr>
            </w:pPr>
            <w:r>
              <w:rPr>
                <w:rFonts w:hint="eastAsia" w:ascii="宋体" w:hAnsi="宋体" w:cs="宋体"/>
                <w:color w:val="000000"/>
                <w:sz w:val="21"/>
                <w:szCs w:val="21"/>
                <w:highlight w:val="none"/>
              </w:rPr>
              <w:t>组织协调方案</w:t>
            </w:r>
          </w:p>
          <w:p w14:paraId="033DDBB9">
            <w:pPr>
              <w:pStyle w:val="22"/>
              <w:kinsoku w:val="0"/>
              <w:overflowPunct w:val="0"/>
              <w:jc w:val="center"/>
              <w:rPr>
                <w:rFonts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DBB8E">
            <w:pPr>
              <w:pStyle w:val="22"/>
              <w:kinsoku w:val="0"/>
              <w:overflowPunct w:val="0"/>
              <w:jc w:val="left"/>
              <w:rPr>
                <w:rFonts w:ascii="宋体" w:hAnsi="宋体" w:cs="宋体"/>
                <w:color w:val="000000"/>
                <w:sz w:val="21"/>
                <w:szCs w:val="21"/>
                <w:highlight w:val="none"/>
              </w:rPr>
            </w:pPr>
            <w:r>
              <w:rPr>
                <w:rFonts w:hint="eastAsia" w:ascii="宋体" w:hAnsi="宋体" w:cs="宋体"/>
                <w:color w:val="000000"/>
                <w:sz w:val="21"/>
                <w:szCs w:val="21"/>
                <w:highlight w:val="none"/>
              </w:rPr>
              <w:t>组织协调内容、方法、措施描述全面，可操作性较强。</w:t>
            </w:r>
          </w:p>
          <w:p w14:paraId="1C82AF9A">
            <w:pPr>
              <w:pStyle w:val="22"/>
              <w:kinsoku w:val="0"/>
              <w:overflowPunct w:val="0"/>
              <w:jc w:val="left"/>
              <w:rPr>
                <w:rFonts w:ascii="宋体" w:hAnsi="宋体" w:cs="宋体"/>
                <w:sz w:val="21"/>
                <w:szCs w:val="21"/>
                <w:highlight w:val="none"/>
              </w:rPr>
            </w:pPr>
            <w:r>
              <w:rPr>
                <w:rFonts w:hint="eastAsia" w:ascii="宋体" w:hAnsi="宋体" w:cs="宋体"/>
                <w:color w:val="000000"/>
                <w:sz w:val="21"/>
                <w:szCs w:val="21"/>
                <w:highlight w:val="none"/>
              </w:rPr>
              <w:t>优得</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分；良得</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分；一般得</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分。没有不得分。</w:t>
            </w:r>
          </w:p>
        </w:tc>
      </w:tr>
      <w:tr w14:paraId="2CF6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00FD8">
            <w:pPr>
              <w:pStyle w:val="22"/>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FD6DDD">
            <w:pPr>
              <w:pStyle w:val="22"/>
              <w:kinsoku w:val="0"/>
              <w:overflowPunct w:val="0"/>
              <w:spacing w:before="41"/>
              <w:jc w:val="center"/>
              <w:rPr>
                <w:rFonts w:ascii="宋体" w:hAnsi="宋体" w:cs="宋体"/>
                <w:b/>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F1DEB">
            <w:pPr>
              <w:pStyle w:val="22"/>
              <w:kinsoku w:val="0"/>
              <w:overflowPunct w:val="0"/>
              <w:jc w:val="center"/>
              <w:rPr>
                <w:rFonts w:ascii="宋体" w:hAnsi="宋体" w:cs="宋体"/>
                <w:color w:val="000000"/>
                <w:sz w:val="21"/>
                <w:szCs w:val="21"/>
                <w:highlight w:val="none"/>
              </w:rPr>
            </w:pPr>
            <w:r>
              <w:rPr>
                <w:rFonts w:hint="eastAsia" w:ascii="宋体" w:hAnsi="宋体" w:cs="宋体"/>
                <w:color w:val="000000"/>
                <w:sz w:val="21"/>
                <w:szCs w:val="21"/>
                <w:highlight w:val="none"/>
              </w:rPr>
              <w:t>安全管理方案</w:t>
            </w:r>
          </w:p>
          <w:p w14:paraId="38B39034">
            <w:pPr>
              <w:pStyle w:val="22"/>
              <w:kinsoku w:val="0"/>
              <w:overflowPunct w:val="0"/>
              <w:jc w:val="center"/>
              <w:rPr>
                <w:rFonts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715F4E">
            <w:pPr>
              <w:pStyle w:val="22"/>
              <w:kinsoku w:val="0"/>
              <w:overflowPunct w:val="0"/>
              <w:jc w:val="left"/>
              <w:rPr>
                <w:rFonts w:ascii="宋体" w:hAnsi="宋体" w:cs="宋体"/>
                <w:color w:val="000000"/>
                <w:sz w:val="21"/>
                <w:szCs w:val="21"/>
                <w:highlight w:val="none"/>
              </w:rPr>
            </w:pPr>
            <w:r>
              <w:rPr>
                <w:rFonts w:hint="eastAsia" w:ascii="宋体" w:hAnsi="宋体" w:cs="宋体"/>
                <w:color w:val="000000"/>
                <w:sz w:val="21"/>
                <w:szCs w:val="21"/>
                <w:highlight w:val="none"/>
              </w:rPr>
              <w:t>安全管理内容、方法、措施描述全面，措施得当、可行、可操作性强。</w:t>
            </w:r>
          </w:p>
          <w:p w14:paraId="69AE9253">
            <w:pPr>
              <w:pStyle w:val="22"/>
              <w:kinsoku w:val="0"/>
              <w:overflowPunct w:val="0"/>
              <w:jc w:val="left"/>
              <w:rPr>
                <w:rFonts w:ascii="宋体" w:hAnsi="宋体" w:cs="宋体"/>
                <w:sz w:val="21"/>
                <w:szCs w:val="21"/>
                <w:highlight w:val="none"/>
              </w:rPr>
            </w:pPr>
            <w:r>
              <w:rPr>
                <w:rFonts w:hint="eastAsia" w:ascii="宋体" w:hAnsi="宋体" w:cs="宋体"/>
                <w:color w:val="000000"/>
                <w:sz w:val="21"/>
                <w:szCs w:val="21"/>
                <w:highlight w:val="none"/>
              </w:rPr>
              <w:t>优得</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分；良得</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分；一般得</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分。没有不得分。</w:t>
            </w:r>
          </w:p>
        </w:tc>
      </w:tr>
      <w:tr w14:paraId="39D4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F57605">
            <w:pPr>
              <w:pStyle w:val="22"/>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43156E">
            <w:pPr>
              <w:pStyle w:val="22"/>
              <w:kinsoku w:val="0"/>
              <w:overflowPunct w:val="0"/>
              <w:spacing w:before="41"/>
              <w:jc w:val="center"/>
              <w:rPr>
                <w:rFonts w:ascii="宋体" w:hAnsi="宋体" w:cs="宋体"/>
                <w:b/>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7007FA">
            <w:pPr>
              <w:pStyle w:val="22"/>
              <w:kinsoku w:val="0"/>
              <w:overflowPunct w:val="0"/>
              <w:jc w:val="center"/>
              <w:rPr>
                <w:rFonts w:ascii="宋体" w:hAnsi="宋体" w:cs="宋体"/>
                <w:color w:val="000000"/>
                <w:sz w:val="21"/>
                <w:szCs w:val="21"/>
                <w:highlight w:val="none"/>
              </w:rPr>
            </w:pPr>
            <w:r>
              <w:rPr>
                <w:rFonts w:hint="eastAsia" w:ascii="宋体" w:hAnsi="宋体" w:cs="宋体"/>
                <w:color w:val="000000"/>
                <w:sz w:val="21"/>
                <w:szCs w:val="21"/>
                <w:highlight w:val="none"/>
              </w:rPr>
              <w:t>重点难点监控措施</w:t>
            </w:r>
          </w:p>
          <w:p w14:paraId="73B55219">
            <w:pPr>
              <w:pStyle w:val="22"/>
              <w:kinsoku w:val="0"/>
              <w:overflowPunct w:val="0"/>
              <w:jc w:val="center"/>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D3915">
            <w:pPr>
              <w:pStyle w:val="22"/>
              <w:kinsoku w:val="0"/>
              <w:overflowPunct w:val="0"/>
              <w:jc w:val="left"/>
              <w:rPr>
                <w:rFonts w:hint="eastAsia" w:ascii="宋体" w:hAnsi="宋体" w:cs="宋体"/>
                <w:sz w:val="21"/>
                <w:szCs w:val="21"/>
                <w:highlight w:val="none"/>
              </w:rPr>
            </w:pPr>
            <w:r>
              <w:rPr>
                <w:rFonts w:hint="eastAsia" w:ascii="宋体" w:hAnsi="宋体" w:cs="宋体"/>
                <w:color w:val="000000"/>
                <w:sz w:val="21"/>
                <w:szCs w:val="21"/>
                <w:highlight w:val="none"/>
              </w:rPr>
              <w:t>要求针对性强、措施具体、可操作。优得</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分；良得</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分；一般得</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分。没有不得分。</w:t>
            </w:r>
          </w:p>
        </w:tc>
      </w:tr>
      <w:tr w14:paraId="5D94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975E91">
            <w:pPr>
              <w:pStyle w:val="22"/>
              <w:kinsoku w:val="0"/>
              <w:overflowPunct w:val="0"/>
              <w:spacing w:before="41"/>
              <w:jc w:val="center"/>
              <w:rPr>
                <w:rFonts w:ascii="宋体" w:hAnsi="宋体" w:cs="宋体"/>
                <w:b/>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BF56DA">
            <w:pPr>
              <w:pStyle w:val="22"/>
              <w:kinsoku w:val="0"/>
              <w:overflowPunct w:val="0"/>
              <w:spacing w:before="41"/>
              <w:jc w:val="center"/>
              <w:rPr>
                <w:rFonts w:ascii="宋体" w:hAnsi="宋体" w:cs="宋体"/>
                <w:b/>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BACE7">
            <w:pPr>
              <w:pStyle w:val="22"/>
              <w:kinsoku w:val="0"/>
              <w:overflowPunct w:val="0"/>
              <w:jc w:val="center"/>
              <w:rPr>
                <w:rFonts w:ascii="宋体" w:hAnsi="宋体" w:cs="宋体"/>
                <w:color w:val="000000"/>
                <w:sz w:val="21"/>
                <w:szCs w:val="21"/>
                <w:highlight w:val="none"/>
              </w:rPr>
            </w:pPr>
            <w:r>
              <w:rPr>
                <w:rFonts w:hint="eastAsia" w:ascii="宋体" w:hAnsi="宋体" w:cs="宋体"/>
                <w:color w:val="000000"/>
                <w:sz w:val="21"/>
                <w:szCs w:val="21"/>
                <w:highlight w:val="none"/>
              </w:rPr>
              <w:t>合同管理、信息管理方案</w:t>
            </w:r>
          </w:p>
          <w:p w14:paraId="3AE6FA4D">
            <w:pPr>
              <w:pStyle w:val="22"/>
              <w:kinsoku w:val="0"/>
              <w:overflowPunct w:val="0"/>
              <w:jc w:val="center"/>
              <w:rPr>
                <w:rFonts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DB925">
            <w:pPr>
              <w:pStyle w:val="22"/>
              <w:kinsoku w:val="0"/>
              <w:overflowPunct w:val="0"/>
              <w:jc w:val="left"/>
              <w:rPr>
                <w:rFonts w:ascii="宋体" w:hAnsi="宋体" w:cs="宋体"/>
                <w:sz w:val="21"/>
                <w:szCs w:val="21"/>
                <w:highlight w:val="none"/>
              </w:rPr>
            </w:pPr>
            <w:r>
              <w:rPr>
                <w:rFonts w:hint="eastAsia" w:ascii="宋体" w:hAnsi="宋体" w:cs="宋体"/>
                <w:color w:val="000000"/>
                <w:sz w:val="21"/>
                <w:szCs w:val="21"/>
                <w:highlight w:val="none"/>
              </w:rPr>
              <w:t>合同管理、信息管理内容、方法、措施描述全面，措施得当、可行、可操作性强。优得</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分；良得</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分；一般得</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分。没有不得分。</w:t>
            </w:r>
          </w:p>
        </w:tc>
      </w:tr>
      <w:tr w14:paraId="50DF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3E7C00">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2.2.4</w:t>
            </w:r>
          </w:p>
          <w:p w14:paraId="33973A87">
            <w:pPr>
              <w:pStyle w:val="22"/>
              <w:kinsoku w:val="0"/>
              <w:overflowPunct w:val="0"/>
              <w:jc w:val="center"/>
              <w:rPr>
                <w:rFonts w:ascii="宋体" w:hAnsi="宋体" w:cs="宋体"/>
                <w:sz w:val="21"/>
                <w:szCs w:val="21"/>
                <w:highlight w:val="none"/>
              </w:rPr>
            </w:pPr>
            <w:r>
              <w:rPr>
                <w:rFonts w:ascii="宋体" w:hAnsi="宋体" w:cs="宋体"/>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89195">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投标报价评分标准</w:t>
            </w:r>
            <w:r>
              <w:rPr>
                <w:rFonts w:hint="eastAsia" w:ascii="宋体" w:hAnsi="宋体" w:cs="宋体"/>
                <w:sz w:val="21"/>
                <w:szCs w:val="21"/>
                <w:highlight w:val="none"/>
              </w:rPr>
              <w:t>（10分）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8DF88">
            <w:pPr>
              <w:pStyle w:val="22"/>
              <w:kinsoku w:val="0"/>
              <w:overflowPunct w:val="0"/>
              <w:jc w:val="center"/>
              <w:rPr>
                <w:rFonts w:ascii="宋体" w:hAnsi="宋体" w:cs="宋体"/>
                <w:sz w:val="21"/>
                <w:szCs w:val="21"/>
                <w:highlight w:val="none"/>
              </w:rPr>
            </w:pPr>
            <w:r>
              <w:rPr>
                <w:rFonts w:ascii="宋体"/>
                <w:sz w:val="21"/>
                <w:highlight w:val="none"/>
              </w:rPr>
              <w:t>投标报价评审</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B6F34">
            <w:pPr>
              <w:pStyle w:val="22"/>
              <w:kinsoku w:val="0"/>
              <w:overflowPunct w:val="0"/>
              <w:rPr>
                <w:rFonts w:ascii="宋体" w:hAnsi="宋体" w:cs="宋体"/>
                <w:sz w:val="21"/>
                <w:szCs w:val="21"/>
                <w:highlight w:val="none"/>
              </w:rPr>
            </w:pPr>
            <w:r>
              <w:rPr>
                <w:rFonts w:hint="eastAsia" w:ascii="宋体" w:hAnsi="宋体" w:cs="宋体"/>
                <w:sz w:val="21"/>
                <w:szCs w:val="21"/>
                <w:highlight w:val="none"/>
              </w:rPr>
              <w:t>以评标基准价作为计算各有效投标价得分的基础，当有效投标报价等于评标基准价时得10分；投标报价偏差率，每上偏1%扣0.2分，下偏1%扣0.1分，最多扣10分。</w:t>
            </w:r>
          </w:p>
        </w:tc>
      </w:tr>
      <w:tr w14:paraId="6B08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7"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EDE095A">
            <w:pPr>
              <w:pStyle w:val="22"/>
              <w:kinsoku w:val="0"/>
              <w:overflowPunct w:val="0"/>
              <w:jc w:val="center"/>
              <w:rPr>
                <w:rFonts w:ascii="宋体" w:hAnsi="宋体" w:cs="宋体"/>
                <w:sz w:val="21"/>
                <w:szCs w:val="21"/>
                <w:highlight w:val="none"/>
              </w:rPr>
            </w:pPr>
            <w:r>
              <w:rPr>
                <w:rFonts w:ascii="宋体" w:hAnsi="宋体" w:cs="宋体"/>
                <w:sz w:val="21"/>
                <w:szCs w:val="21"/>
                <w:highlight w:val="none"/>
              </w:rPr>
              <w:t>2.2.4</w:t>
            </w:r>
          </w:p>
          <w:p w14:paraId="050F9628">
            <w:pPr>
              <w:pStyle w:val="22"/>
              <w:kinsoku w:val="0"/>
              <w:overflowPunct w:val="0"/>
              <w:jc w:val="center"/>
              <w:rPr>
                <w:rFonts w:ascii="宋体" w:hAnsi="宋体" w:cs="宋体"/>
                <w:sz w:val="21"/>
                <w:szCs w:val="21"/>
                <w:highlight w:val="none"/>
              </w:rPr>
            </w:pPr>
            <w:r>
              <w:rPr>
                <w:rFonts w:ascii="宋体" w:hAnsi="宋体" w:cs="宋体"/>
                <w:sz w:val="21"/>
                <w:szCs w:val="21"/>
                <w:highlight w:val="none"/>
              </w:rPr>
              <w:t>（4）</w:t>
            </w: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83E99">
            <w:pPr>
              <w:pStyle w:val="22"/>
              <w:kinsoku w:val="0"/>
              <w:overflowPunct w:val="0"/>
              <w:jc w:val="center"/>
              <w:rPr>
                <w:rFonts w:ascii="宋体" w:hAnsi="宋体" w:cs="宋体"/>
                <w:sz w:val="21"/>
                <w:szCs w:val="21"/>
                <w:highlight w:val="none"/>
              </w:rPr>
            </w:pPr>
            <w:r>
              <w:rPr>
                <w:rFonts w:ascii="宋体" w:hAnsi="宋体" w:cs="宋体"/>
                <w:sz w:val="21"/>
                <w:szCs w:val="21"/>
                <w:highlight w:val="none"/>
              </w:rPr>
              <w:t>诚信得分评分标准</w:t>
            </w:r>
            <w:r>
              <w:rPr>
                <w:rFonts w:hint="eastAsia" w:ascii="宋体" w:hAnsi="宋体" w:cs="宋体"/>
                <w:sz w:val="21"/>
                <w:szCs w:val="21"/>
                <w:highlight w:val="none"/>
              </w:rPr>
              <w:t>（5分）</w:t>
            </w:r>
          </w:p>
        </w:tc>
        <w:tc>
          <w:tcPr>
            <w:tcW w:w="20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459A40">
            <w:pPr>
              <w:pStyle w:val="22"/>
              <w:kinsoku w:val="0"/>
              <w:overflowPunct w:val="0"/>
              <w:jc w:val="center"/>
              <w:rPr>
                <w:rFonts w:ascii="宋体" w:hAnsi="宋体" w:cs="宋体"/>
                <w:sz w:val="21"/>
                <w:szCs w:val="21"/>
                <w:highlight w:val="none"/>
              </w:rPr>
            </w:pPr>
            <w:r>
              <w:rPr>
                <w:rStyle w:val="23"/>
                <w:rFonts w:ascii="宋体" w:hAnsi="宋体" w:cs="宋体"/>
                <w:sz w:val="21"/>
                <w:szCs w:val="21"/>
                <w:highlight w:val="none"/>
              </w:rPr>
              <w:t>诚信综合评价得分</w:t>
            </w:r>
          </w:p>
        </w:tc>
        <w:tc>
          <w:tcPr>
            <w:tcW w:w="5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C2552B">
            <w:pPr>
              <w:jc w:val="both"/>
              <w:rPr>
                <w:rFonts w:ascii="宋体" w:hAnsi="宋体" w:cs="宋体"/>
                <w:sz w:val="21"/>
                <w:szCs w:val="21"/>
                <w:highlight w:val="none"/>
              </w:rPr>
            </w:pPr>
            <w:r>
              <w:rPr>
                <w:rFonts w:hint="eastAsia" w:ascii="宋体" w:hAnsi="宋体" w:cs="宋体"/>
                <w:sz w:val="21"/>
                <w:szCs w:val="21"/>
                <w:highlight w:val="none"/>
              </w:rPr>
              <w:t>以招标公告发布第1天所在季度的上一季度公布的“广州市水务工程建设管理数字化监管平台”（http://112.94.68.142:8012/#/website）网站中的“企业诚信信息”&gt;&gt;“监理—水利”的“诚信综合评价”得分为准（如届时上一季度“广州市水务工程建设管理数字化监管平台”的“监理—水利”诚信综合评价分未发布，则按已发布的最新季度评价分取值计算）；未入库企业或在“广州市水务工程建设管理数字化监管平台”中尚无诚信排名“监理—水利”得分的投标人，其诚信评价总分取基准分。其中，质量安全管理评价、履约评价得分基准分取75分，市场行为评价得分基准分取100分。</w:t>
            </w:r>
          </w:p>
          <w:p w14:paraId="2EA75640">
            <w:pPr>
              <w:jc w:val="both"/>
              <w:rPr>
                <w:rFonts w:ascii="宋体" w:hAnsi="宋体" w:cs="宋体"/>
                <w:sz w:val="21"/>
                <w:szCs w:val="21"/>
                <w:highlight w:val="none"/>
              </w:rPr>
            </w:pPr>
            <w:r>
              <w:rPr>
                <w:rFonts w:hint="eastAsia" w:ascii="宋体" w:hAnsi="宋体" w:cs="宋体"/>
                <w:sz w:val="21"/>
                <w:szCs w:val="21"/>
                <w:highlight w:val="none"/>
              </w:rPr>
              <w:t>注：企业诚信评价包括市场行为评价、质量安全管理评价和履约评价，其中市场行为评价权重20%，质量安全管理评价权重50%，履约评价权重30%。</w:t>
            </w:r>
          </w:p>
          <w:p w14:paraId="5F98D84D">
            <w:pPr>
              <w:pStyle w:val="22"/>
              <w:kinsoku w:val="0"/>
              <w:overflowPunct w:val="0"/>
              <w:rPr>
                <w:rFonts w:ascii="宋体" w:hAnsi="宋体" w:cs="宋体"/>
                <w:sz w:val="21"/>
                <w:szCs w:val="21"/>
                <w:highlight w:val="none"/>
              </w:rPr>
            </w:pPr>
            <w:r>
              <w:rPr>
                <w:rFonts w:hint="eastAsia" w:ascii="宋体" w:hAnsi="宋体" w:cs="宋体"/>
                <w:sz w:val="21"/>
                <w:szCs w:val="21"/>
                <w:highlight w:val="none"/>
              </w:rPr>
              <w:t>诚信得分=诚信排名得分×5%</w:t>
            </w:r>
          </w:p>
        </w:tc>
      </w:tr>
    </w:tbl>
    <w:p w14:paraId="0449FC80">
      <w:pPr>
        <w:pStyle w:val="4"/>
        <w:kinsoku w:val="0"/>
        <w:overflowPunct w:val="0"/>
        <w:spacing w:before="120" w:after="120"/>
        <w:ind w:left="120"/>
        <w:rPr>
          <w:sz w:val="32"/>
          <w:highlight w:val="none"/>
        </w:rPr>
        <w:sectPr>
          <w:headerReference r:id="rId6" w:type="default"/>
          <w:footerReference r:id="rId7" w:type="default"/>
          <w:pgSz w:w="11905" w:h="16838"/>
          <w:pgMar w:top="1417" w:right="1417" w:bottom="1417" w:left="1417" w:header="992" w:footer="992" w:gutter="0"/>
          <w:cols w:space="720" w:num="1"/>
        </w:sectPr>
      </w:pPr>
    </w:p>
    <w:p w14:paraId="4714A5F8">
      <w:pPr>
        <w:spacing w:line="360" w:lineRule="auto"/>
        <w:ind w:firstLine="560" w:firstLineChars="200"/>
        <w:jc w:val="center"/>
        <w:rPr>
          <w:rFonts w:ascii="黑体" w:hAnsi="黑体" w:eastAsia="黑体"/>
          <w:sz w:val="28"/>
          <w:szCs w:val="27"/>
          <w:highlight w:val="none"/>
        </w:rPr>
      </w:pPr>
      <w:bookmarkStart w:id="166" w:name="bookmark84"/>
      <w:bookmarkEnd w:id="166"/>
      <w:r>
        <w:rPr>
          <w:rFonts w:hint="eastAsia" w:ascii="黑体" w:hAnsi="黑体" w:eastAsia="黑体"/>
          <w:sz w:val="28"/>
          <w:szCs w:val="27"/>
          <w:highlight w:val="none"/>
        </w:rPr>
        <w:t>评标办法修改表</w:t>
      </w:r>
    </w:p>
    <w:p w14:paraId="6C89717C">
      <w:pPr>
        <w:pStyle w:val="17"/>
        <w:spacing w:line="360" w:lineRule="auto"/>
        <w:ind w:left="0" w:firstLine="480" w:firstLineChars="200"/>
        <w:rPr>
          <w:rFonts w:hint="default" w:ascii="宋体" w:hAnsi="宋体" w:eastAsia="宋体"/>
          <w:sz w:val="24"/>
          <w:highlight w:val="none"/>
        </w:rPr>
      </w:pPr>
      <w:r>
        <w:rPr>
          <w:rFonts w:ascii="宋体" w:hAnsi="宋体" w:eastAsia="宋体"/>
          <w:sz w:val="24"/>
          <w:highlight w:val="none"/>
        </w:rPr>
        <w:t>声明：本评标办法使用</w:t>
      </w:r>
      <w:r>
        <w:rPr>
          <w:rFonts w:ascii="仿宋_GB2312" w:hAnsi="宋体" w:eastAsia="仿宋_GB2312"/>
          <w:sz w:val="24"/>
          <w:highlight w:val="none"/>
        </w:rPr>
        <w:t>SWZB2024-06</w:t>
      </w:r>
      <w:r>
        <w:rPr>
          <w:rFonts w:ascii="宋体" w:hAnsi="宋体" w:eastAsia="宋体"/>
          <w:sz w:val="24"/>
          <w:highlight w:val="none"/>
        </w:rPr>
        <w:t>招标文件范本的评标办法条款，与该条款不同之处，均在本表中列明，并以现文为准，原文不再有效。</w:t>
      </w:r>
    </w:p>
    <w:p w14:paraId="761DC1F8">
      <w:pPr>
        <w:adjustRightInd/>
        <w:spacing w:line="360" w:lineRule="auto"/>
        <w:ind w:firstLine="540" w:firstLineChars="224"/>
        <w:rPr>
          <w:rFonts w:ascii="宋体" w:hAnsi="宋体"/>
          <w:b/>
          <w:szCs w:val="21"/>
          <w:highlight w:val="none"/>
        </w:rPr>
      </w:pPr>
      <w:r>
        <w:rPr>
          <w:rFonts w:hint="eastAsia" w:ascii="宋体" w:hAnsi="宋体"/>
          <w:b/>
          <w:szCs w:val="21"/>
          <w:highlight w:val="none"/>
        </w:rPr>
        <w:t>条款号：</w:t>
      </w:r>
      <w:r>
        <w:rPr>
          <w:rFonts w:cs="宋体"/>
          <w:b/>
          <w:highlight w:val="none"/>
        </w:rPr>
        <w:t>1.评标方法</w:t>
      </w:r>
      <w:r>
        <w:rPr>
          <w:rFonts w:hint="eastAsia" w:ascii="宋体" w:hAnsi="宋体"/>
          <w:b/>
          <w:szCs w:val="21"/>
          <w:highlight w:val="none"/>
        </w:rPr>
        <w:t xml:space="preserve">             修改类型：修改</w:t>
      </w:r>
    </w:p>
    <w:p w14:paraId="1EE6E924">
      <w:pPr>
        <w:adjustRightInd/>
        <w:spacing w:line="360" w:lineRule="auto"/>
        <w:ind w:firstLine="537" w:firstLineChars="224"/>
        <w:rPr>
          <w:rFonts w:ascii="宋体" w:hAnsi="宋体"/>
          <w:szCs w:val="21"/>
          <w:highlight w:val="none"/>
        </w:rPr>
      </w:pPr>
      <w:r>
        <w:rPr>
          <w:rFonts w:hint="eastAsia" w:ascii="宋体" w:hAnsi="宋体"/>
          <w:szCs w:val="21"/>
          <w:highlight w:val="none"/>
        </w:rPr>
        <w:t>原文：</w:t>
      </w:r>
      <w:r>
        <w:rPr>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1BA5B2A2">
      <w:pPr>
        <w:pBdr>
          <w:bottom w:val="single" w:color="auto" w:sz="6" w:space="1"/>
        </w:pBdr>
        <w:adjustRightInd/>
        <w:spacing w:line="360" w:lineRule="auto"/>
        <w:ind w:firstLine="537" w:firstLineChars="224"/>
        <w:rPr>
          <w:rFonts w:ascii="宋体" w:hAnsi="宋体"/>
          <w:szCs w:val="21"/>
          <w:highlight w:val="none"/>
          <w:u w:val="single"/>
        </w:rPr>
      </w:pPr>
      <w:r>
        <w:rPr>
          <w:rFonts w:hint="eastAsia" w:ascii="宋体" w:hAnsi="宋体"/>
          <w:szCs w:val="21"/>
          <w:highlight w:val="none"/>
        </w:rPr>
        <w:t>现文：</w:t>
      </w:r>
      <w:r>
        <w:rPr>
          <w:rFonts w:hint="eastAsia" w:ascii="宋体" w:hAnsi="宋体" w:cs="宋体"/>
          <w:highlight w:val="none"/>
          <w:u w:val="singl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cs="宋体"/>
          <w:highlight w:val="none"/>
          <w:u w:val="single"/>
          <w:lang w:val="en-US" w:eastAsia="zh-CN"/>
        </w:rPr>
        <w:t>~</w:t>
      </w:r>
      <w:r>
        <w:rPr>
          <w:rFonts w:hint="eastAsia" w:ascii="宋体" w:hAnsi="宋体" w:cs="宋体"/>
          <w:highlight w:val="none"/>
          <w:u w:val="single"/>
        </w:rPr>
        <w:t>三名为第一中标候选人、第二中标候选人和第三中标候选人。总得分相等时，以投标报价低的优先；报价也相等的，以监理大纲得分高的优先；如果监理大纲得分也相等，由评标委员会采用记名投票方式，以得票多的优先。</w:t>
      </w:r>
    </w:p>
    <w:p w14:paraId="4C33B7BC">
      <w:pPr>
        <w:adjustRightInd/>
        <w:spacing w:line="360" w:lineRule="auto"/>
        <w:ind w:firstLine="482" w:firstLineChars="200"/>
        <w:rPr>
          <w:rFonts w:ascii="宋体" w:hAnsi="宋体" w:cs="宋体"/>
          <w:b/>
          <w:bCs/>
          <w:szCs w:val="21"/>
          <w:highlight w:val="none"/>
        </w:rPr>
      </w:pPr>
      <w:r>
        <w:rPr>
          <w:rFonts w:hint="eastAsia" w:ascii="宋体" w:hAnsi="宋体" w:cs="宋体"/>
          <w:b/>
          <w:bCs/>
          <w:szCs w:val="21"/>
          <w:highlight w:val="none"/>
        </w:rPr>
        <w:t>条款号：</w:t>
      </w:r>
      <w:r>
        <w:rPr>
          <w:rFonts w:hint="eastAsia" w:ascii="宋体" w:hAnsi="宋体" w:cs="宋体"/>
          <w:b/>
          <w:bCs/>
          <w:highlight w:val="none"/>
        </w:rPr>
        <w:t>3.1.1</w:t>
      </w:r>
      <w:r>
        <w:rPr>
          <w:rFonts w:hint="eastAsia" w:ascii="宋体" w:hAnsi="宋体" w:cs="宋体"/>
          <w:b/>
          <w:bCs/>
          <w:szCs w:val="21"/>
          <w:highlight w:val="none"/>
        </w:rPr>
        <w:t xml:space="preserve">             修改类型：修改</w:t>
      </w:r>
    </w:p>
    <w:p w14:paraId="040F79D0">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bCs/>
          <w:sz w:val="24"/>
          <w:szCs w:val="21"/>
          <w:highlight w:val="none"/>
        </w:rPr>
        <w:t>原文：</w:t>
      </w:r>
      <w:r>
        <w:rPr>
          <w:rFonts w:hint="eastAsia" w:cs="宋体"/>
          <w:sz w:val="24"/>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EB81982">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bCs/>
          <w:sz w:val="24"/>
          <w:szCs w:val="21"/>
          <w:highlight w:val="none"/>
        </w:rPr>
        <w:t>现文：</w:t>
      </w:r>
      <w:r>
        <w:rPr>
          <w:rFonts w:hint="eastAsia" w:cs="宋体"/>
          <w:sz w:val="24"/>
          <w:highlight w:val="none"/>
        </w:rPr>
        <w:t>3.1.1  评标委员会可以要求投标人提交第二章“投标人须知”规定的有关证明和证件的原件，以便核验。评标委员会依据本章第2.1款规定的标准对投标文件进行初步评审。</w:t>
      </w:r>
      <w:r>
        <w:rPr>
          <w:rFonts w:hint="eastAsia" w:cs="宋体"/>
          <w:sz w:val="24"/>
          <w:highlight w:val="none"/>
          <w:u w:val="single"/>
        </w:rPr>
        <w:t>如评标委员会成员的评审意见不一致时，以评标委员会过半数成员的意见作为评标委员会对该情形的认定结论，</w:t>
      </w:r>
      <w:r>
        <w:rPr>
          <w:rFonts w:hint="eastAsia" w:cs="宋体"/>
          <w:sz w:val="24"/>
          <w:highlight w:val="none"/>
        </w:rPr>
        <w:t>有一项不符合评审标准的，评标委员会应当否决其投标。</w:t>
      </w:r>
    </w:p>
    <w:p w14:paraId="3A0211A9">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b/>
          <w:bCs/>
          <w:sz w:val="24"/>
          <w:highlight w:val="none"/>
        </w:rPr>
      </w:pPr>
      <w:r>
        <w:rPr>
          <w:rFonts w:hint="eastAsia" w:cs="宋体"/>
          <w:b/>
          <w:bCs/>
          <w:sz w:val="24"/>
          <w:highlight w:val="none"/>
        </w:rPr>
        <w:t>条款号：3.1.3（3）             修改类型：新增</w:t>
      </w:r>
    </w:p>
    <w:p w14:paraId="61841720">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bCs/>
          <w:sz w:val="24"/>
          <w:highlight w:val="none"/>
        </w:rPr>
        <w:t>现文：</w:t>
      </w:r>
      <w:r>
        <w:rPr>
          <w:rFonts w:hint="eastAsia" w:cs="宋体"/>
          <w:sz w:val="24"/>
          <w:highlight w:val="none"/>
        </w:rPr>
        <w:t>（3）当本项目监理服务收费基准价*（1±投标人填报的浮动幅度值）与投标人监理报价不一致时，按监理服务收费基准价*（1±投标人填报的浮动幅度值）修正投标人监理报价。</w:t>
      </w:r>
    </w:p>
    <w:p w14:paraId="0272166B">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cs="宋体"/>
          <w:b/>
          <w:bCs/>
          <w:sz w:val="24"/>
          <w:highlight w:val="none"/>
        </w:rPr>
      </w:pPr>
      <w:r>
        <w:rPr>
          <w:rFonts w:hint="eastAsia" w:cs="宋体"/>
          <w:b/>
          <w:bCs/>
          <w:sz w:val="24"/>
          <w:highlight w:val="none"/>
        </w:rPr>
        <w:t>条款号：3.1.4             修改类型：新增</w:t>
      </w:r>
    </w:p>
    <w:p w14:paraId="5D705B02">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bCs/>
          <w:sz w:val="24"/>
          <w:highlight w:val="none"/>
        </w:rPr>
        <w:t>现文：</w:t>
      </w:r>
      <w:r>
        <w:rPr>
          <w:rFonts w:hint="eastAsia" w:cs="宋体"/>
          <w:sz w:val="24"/>
          <w:highlight w:val="none"/>
        </w:rPr>
        <w:t>3.1.4 只有通过初步评审的投标人才能进入下一阶段详细评审。当通过初步评审的有效投标人不足三名时，招标人应当依法重新组织招标。</w:t>
      </w:r>
    </w:p>
    <w:p w14:paraId="55D4C3F2">
      <w:pPr>
        <w:adjustRightInd/>
        <w:spacing w:line="360" w:lineRule="auto"/>
        <w:ind w:firstLine="482" w:firstLineChars="200"/>
        <w:rPr>
          <w:rFonts w:ascii="宋体" w:hAnsi="宋体" w:cs="宋体"/>
          <w:b/>
          <w:bCs/>
          <w:szCs w:val="21"/>
          <w:highlight w:val="none"/>
        </w:rPr>
      </w:pPr>
      <w:r>
        <w:rPr>
          <w:rFonts w:hint="eastAsia" w:ascii="宋体" w:hAnsi="宋体" w:cs="宋体"/>
          <w:b/>
          <w:bCs/>
          <w:szCs w:val="21"/>
          <w:highlight w:val="none"/>
        </w:rPr>
        <w:t>条款号：</w:t>
      </w:r>
      <w:r>
        <w:rPr>
          <w:rFonts w:hint="eastAsia" w:ascii="宋体" w:hAnsi="宋体" w:cs="宋体"/>
          <w:b/>
          <w:bCs/>
          <w:highlight w:val="none"/>
        </w:rPr>
        <w:t>3.2.1</w:t>
      </w:r>
      <w:r>
        <w:rPr>
          <w:rFonts w:hint="eastAsia" w:ascii="宋体" w:hAnsi="宋体" w:cs="宋体"/>
          <w:b/>
          <w:bCs/>
          <w:szCs w:val="21"/>
          <w:highlight w:val="none"/>
        </w:rPr>
        <w:t xml:space="preserve">             修改类型：修改</w:t>
      </w:r>
    </w:p>
    <w:p w14:paraId="7B3603C8">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bCs/>
          <w:sz w:val="24"/>
          <w:szCs w:val="21"/>
          <w:highlight w:val="none"/>
        </w:rPr>
        <w:t>原文：</w:t>
      </w:r>
      <w:r>
        <w:rPr>
          <w:rFonts w:hint="eastAsia" w:cs="宋体"/>
          <w:sz w:val="24"/>
          <w:highlight w:val="none"/>
        </w:rPr>
        <w:t>3.2.1 评标委员会按本章第 2.2 款规定的量化因素和分值进行打分，并计算出综合评估得分。</w:t>
      </w:r>
    </w:p>
    <w:p w14:paraId="33030A26">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（1）按本章第2.2.4（1）目规定的评审因素和分值对资信业绩部分计算出得分A，资信业绩部分评审得分A为各评标专家打分的算术平均值；</w:t>
      </w:r>
    </w:p>
    <w:p w14:paraId="5E6C2EAB">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（2）按本章第2.2.4（2）目规定的评审因素和分值对监理大纲部分计算出得分B，</w:t>
      </w:r>
      <w:r>
        <w:rPr>
          <w:rFonts w:hint="eastAsia" w:cs="宋体"/>
          <w:sz w:val="24"/>
          <w:highlight w:val="none"/>
        </w:rPr>
        <w:fldChar w:fldCharType="begin"/>
      </w:r>
      <w:r>
        <w:rPr>
          <w:rFonts w:hint="eastAsia" w:cs="宋体"/>
          <w:sz w:val="24"/>
          <w:highlight w:val="none"/>
        </w:rPr>
        <w:instrText xml:space="preserve"> = 1 \* GB3 \* MERGEFORMAT </w:instrText>
      </w:r>
      <w:r>
        <w:rPr>
          <w:rFonts w:hint="eastAsia" w:cs="宋体"/>
          <w:sz w:val="24"/>
          <w:highlight w:val="none"/>
        </w:rPr>
        <w:fldChar w:fldCharType="separate"/>
      </w:r>
      <w:r>
        <w:rPr>
          <w:rFonts w:hint="eastAsia" w:cs="宋体"/>
          <w:highlight w:val="none"/>
        </w:rPr>
        <w:t>①</w:t>
      </w:r>
      <w:r>
        <w:rPr>
          <w:rFonts w:hint="eastAsia" w:cs="宋体"/>
          <w:highlight w:val="none"/>
        </w:rPr>
        <w:fldChar w:fldCharType="end"/>
      </w:r>
      <w:r>
        <w:rPr>
          <w:rFonts w:hint="eastAsia" w:cs="宋体"/>
          <w:sz w:val="24"/>
          <w:highlight w:val="none"/>
        </w:rPr>
        <w:t>监理大纲部分评审得分B为从各评标专家打分中去掉一个最高分和去掉一个最低分后的剩余评标专家打分的算术平均值或</w:t>
      </w:r>
      <w:r>
        <w:rPr>
          <w:rFonts w:hint="eastAsia" w:cs="宋体"/>
          <w:sz w:val="24"/>
          <w:highlight w:val="none"/>
        </w:rPr>
        <w:fldChar w:fldCharType="begin"/>
      </w:r>
      <w:r>
        <w:rPr>
          <w:rFonts w:hint="eastAsia" w:cs="宋体"/>
          <w:sz w:val="24"/>
          <w:highlight w:val="none"/>
        </w:rPr>
        <w:instrText xml:space="preserve"> = 2 \* GB3 \* MERGEFORMAT </w:instrText>
      </w:r>
      <w:r>
        <w:rPr>
          <w:rFonts w:hint="eastAsia" w:cs="宋体"/>
          <w:sz w:val="24"/>
          <w:highlight w:val="none"/>
        </w:rPr>
        <w:fldChar w:fldCharType="separate"/>
      </w:r>
      <w:r>
        <w:rPr>
          <w:rFonts w:hint="eastAsia" w:cs="宋体"/>
          <w:highlight w:val="none"/>
        </w:rPr>
        <w:t>②</w:t>
      </w:r>
      <w:r>
        <w:rPr>
          <w:rFonts w:hint="eastAsia" w:cs="宋体"/>
          <w:highlight w:val="none"/>
        </w:rPr>
        <w:fldChar w:fldCharType="end"/>
      </w:r>
      <w:r>
        <w:rPr>
          <w:rFonts w:hint="eastAsia" w:cs="宋体"/>
          <w:sz w:val="24"/>
          <w:highlight w:val="none"/>
        </w:rPr>
        <w:t>监理大纲部分评审得分B为各评标专家打分的算术平均值</w:t>
      </w:r>
      <w:r>
        <w:rPr>
          <w:rFonts w:hint="eastAsia" w:cs="宋体"/>
          <w:i/>
          <w:iCs/>
          <w:sz w:val="24"/>
          <w:highlight w:val="none"/>
        </w:rPr>
        <w:t>（二选一，招标人自行选择）</w:t>
      </w:r>
      <w:r>
        <w:rPr>
          <w:rFonts w:hint="eastAsia" w:cs="宋体"/>
          <w:sz w:val="24"/>
          <w:highlight w:val="none"/>
        </w:rPr>
        <w:t>；</w:t>
      </w:r>
    </w:p>
    <w:p w14:paraId="372BA30A">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（3）按本章第2.2.4（3）目规定的评审因素和分值对投标报价计算出得分C；</w:t>
      </w:r>
    </w:p>
    <w:p w14:paraId="1D6461EC">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（4）按本章第2.2.4（4）目规定的评审因素和分值对诚信评价计算出得分D。</w:t>
      </w:r>
    </w:p>
    <w:p w14:paraId="07061B15">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bCs/>
          <w:sz w:val="24"/>
          <w:szCs w:val="21"/>
          <w:highlight w:val="none"/>
        </w:rPr>
        <w:t>现文：</w:t>
      </w:r>
      <w:r>
        <w:rPr>
          <w:rFonts w:hint="eastAsia" w:cs="宋体"/>
          <w:sz w:val="24"/>
          <w:highlight w:val="none"/>
        </w:rPr>
        <w:t>3.2.1 评标委员会按本章第 2.2 款规定的量化因素和分值进行打分，并计算出综合评估得分。</w:t>
      </w:r>
    </w:p>
    <w:p w14:paraId="07017BE9">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（1）按本章第2.2.4（1）目规定的评审因素和分值对资信业绩部分计算出得分A，</w:t>
      </w:r>
      <w:r>
        <w:rPr>
          <w:rFonts w:hint="eastAsia" w:cs="宋体"/>
          <w:sz w:val="24"/>
          <w:highlight w:val="none"/>
          <w:u w:val="single"/>
        </w:rPr>
        <w:t>资信业绩部分评审得分A为各评标专家打分的算术平均值</w:t>
      </w:r>
      <w:r>
        <w:rPr>
          <w:rFonts w:hint="eastAsia" w:cs="宋体"/>
          <w:sz w:val="24"/>
          <w:highlight w:val="none"/>
        </w:rPr>
        <w:t>；</w:t>
      </w:r>
    </w:p>
    <w:p w14:paraId="372CFF78">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（2）按本章第2.2.4（2）目规定的评审因素和分值对监理大纲部分计算出得分B，</w:t>
      </w:r>
      <w:r>
        <w:rPr>
          <w:rFonts w:hint="eastAsia" w:cs="宋体"/>
          <w:sz w:val="24"/>
          <w:highlight w:val="none"/>
          <w:u w:val="single"/>
        </w:rPr>
        <w:t>监理大纲部分评审得分</w:t>
      </w:r>
      <w:r>
        <w:rPr>
          <w:rFonts w:hint="eastAsia" w:cs="宋体"/>
          <w:sz w:val="24"/>
          <w:highlight w:val="none"/>
        </w:rPr>
        <w:t>B</w:t>
      </w:r>
      <w:r>
        <w:rPr>
          <w:rFonts w:hint="eastAsia" w:cs="宋体"/>
          <w:sz w:val="24"/>
          <w:highlight w:val="none"/>
          <w:u w:val="single"/>
        </w:rPr>
        <w:t>为各评标专家打分的算术平均值；</w:t>
      </w:r>
    </w:p>
    <w:p w14:paraId="3C1D1EA9">
      <w:pPr>
        <w:pStyle w:val="9"/>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（3）按本章第2.2.4（3）目规定的评审因素和分值对投标报价计算出得分C；</w:t>
      </w:r>
    </w:p>
    <w:p w14:paraId="505EC2B6">
      <w:pPr>
        <w:pStyle w:val="9"/>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cs="宋体"/>
          <w:sz w:val="24"/>
          <w:highlight w:val="none"/>
        </w:rPr>
      </w:pPr>
      <w:r>
        <w:rPr>
          <w:rFonts w:hint="eastAsia" w:cs="宋体"/>
          <w:sz w:val="24"/>
          <w:highlight w:val="none"/>
        </w:rPr>
        <w:t>（4）按本章第2.2.4（4）目规定的评审因素和分值对诚信评价计算出得分D。</w:t>
      </w:r>
    </w:p>
    <w:p w14:paraId="665FD641">
      <w:pPr>
        <w:pStyle w:val="24"/>
        <w:ind w:firstLine="0" w:firstLineChars="0"/>
        <w:rPr>
          <w:rFonts w:ascii="Microsoft JhengHei" w:hAnsi="Microsoft JhengHei" w:eastAsia="Microsoft JhengHei"/>
          <w:b w:val="0"/>
          <w:sz w:val="30"/>
          <w:highlight w:val="none"/>
        </w:rPr>
      </w:pPr>
      <w:r>
        <w:rPr>
          <w:rFonts w:ascii="宋体" w:hAnsi="宋体"/>
          <w:szCs w:val="21"/>
          <w:highlight w:val="none"/>
        </w:rPr>
        <w:br w:type="page"/>
      </w:r>
      <w:r>
        <w:rPr>
          <w:rFonts w:cs="宋体"/>
          <w:highlight w:val="none"/>
        </w:rPr>
        <w:t>1.评标方法</w:t>
      </w:r>
    </w:p>
    <w:p w14:paraId="322B0E6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5E929F8E">
      <w:pPr>
        <w:pStyle w:val="4"/>
        <w:spacing w:before="120" w:after="120"/>
        <w:rPr>
          <w:rFonts w:ascii="Microsoft JhengHei" w:hAnsi="Microsoft JhengHei" w:eastAsia="Microsoft JhengHei"/>
          <w:b w:val="0"/>
          <w:sz w:val="30"/>
          <w:highlight w:val="none"/>
        </w:rPr>
      </w:pPr>
      <w:r>
        <w:rPr>
          <w:rFonts w:cs="宋体"/>
          <w:highlight w:val="none"/>
        </w:rPr>
        <w:t>2.评审标准</w:t>
      </w:r>
    </w:p>
    <w:p w14:paraId="363CBEA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r>
        <w:rPr>
          <w:rFonts w:cs="宋体"/>
          <w:sz w:val="24"/>
          <w:highlight w:val="none"/>
        </w:rPr>
        <w:t>2.1 初步评审标准</w:t>
      </w:r>
    </w:p>
    <w:p w14:paraId="767435E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2.1.1 资格评审标准：见评标办法前附表。</w:t>
      </w:r>
    </w:p>
    <w:p w14:paraId="7178CBA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2.1.2 形式评审标准：见评标办法前附表。</w:t>
      </w:r>
    </w:p>
    <w:p w14:paraId="2ED2D99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2.1.3 响应性评审标准：见评标办法前附表。</w:t>
      </w:r>
    </w:p>
    <w:p w14:paraId="235C971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r>
        <w:rPr>
          <w:rFonts w:cs="宋体"/>
          <w:sz w:val="24"/>
          <w:highlight w:val="none"/>
        </w:rPr>
        <w:t>2.2 分值构成与评分标准</w:t>
      </w:r>
    </w:p>
    <w:p w14:paraId="241B52C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2.2.1  分值构成</w:t>
      </w:r>
    </w:p>
    <w:p w14:paraId="5B802E8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（1）资信业绩部分：见评标办法前附表；</w:t>
      </w:r>
    </w:p>
    <w:p w14:paraId="74984D9C">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（2）监理大纲部分：见评标办法前附表；</w:t>
      </w:r>
    </w:p>
    <w:p w14:paraId="3256F670">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（3）投标报价：见评标办法前附表；</w:t>
      </w:r>
    </w:p>
    <w:p w14:paraId="2907D8F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（4）诚信得分：见评标办法前附表。 </w:t>
      </w:r>
    </w:p>
    <w:p w14:paraId="6022C3C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2.2.2 评标基准价计算评标基准价计算方法：见评标办法前附表。</w:t>
      </w:r>
    </w:p>
    <w:p w14:paraId="6651DA8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2.2.3 投标报价的偏差率计算</w:t>
      </w:r>
    </w:p>
    <w:p w14:paraId="78BABA3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投标报价的偏差率计算公式：见评标办法前附表。</w:t>
      </w:r>
    </w:p>
    <w:p w14:paraId="0B2C7A6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2.2.4  评分标准</w:t>
      </w:r>
    </w:p>
    <w:p w14:paraId="5518BEB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（1）资信业绩评分标准：见评标办法前附表；</w:t>
      </w:r>
    </w:p>
    <w:p w14:paraId="7D5FA558">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（2）监理大纲评分标准：见评标办法前附表；</w:t>
      </w:r>
    </w:p>
    <w:p w14:paraId="03705EF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（3）投标报价评分标准：见评标办法前附表；</w:t>
      </w:r>
    </w:p>
    <w:p w14:paraId="5B3F9F1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（4）诚信得分评分标准：见评标办法前附表。</w:t>
      </w:r>
    </w:p>
    <w:p w14:paraId="5DAADF3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eastAsia="宋体" w:cs="Times New Roman"/>
          <w:sz w:val="24"/>
          <w:highlight w:val="none"/>
        </w:rPr>
      </w:pPr>
      <w:r>
        <w:rPr>
          <w:rFonts w:ascii="宋体" w:hAnsi="宋体" w:eastAsia="宋体" w:cs="Times New Roman"/>
          <w:sz w:val="24"/>
          <w:highlight w:val="none"/>
        </w:rPr>
        <w:t>注：投标人的诚信评价总分取自本项目招标公告发布第1天所在季度的上一季度的诚信综合评价分。</w:t>
      </w:r>
    </w:p>
    <w:p w14:paraId="67162932">
      <w:pPr>
        <w:pStyle w:val="4"/>
        <w:spacing w:before="120" w:after="120"/>
        <w:rPr>
          <w:rFonts w:cs="宋体"/>
          <w:highlight w:val="none"/>
        </w:rPr>
      </w:pPr>
      <w:r>
        <w:rPr>
          <w:rFonts w:cs="宋体"/>
          <w:highlight w:val="none"/>
        </w:rPr>
        <w:t>3.评标程序</w:t>
      </w:r>
    </w:p>
    <w:p w14:paraId="1916A3B1">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r>
        <w:rPr>
          <w:rFonts w:cs="宋体"/>
          <w:sz w:val="24"/>
          <w:highlight w:val="none"/>
        </w:rPr>
        <w:t>3.1  初步评审</w:t>
      </w:r>
    </w:p>
    <w:p w14:paraId="40CDE60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20085C2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3.1.2 投标人有以下情形之一的，评标委员会应当否决其投标：</w:t>
      </w:r>
    </w:p>
    <w:p w14:paraId="3459C9F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（1）投标文件没有对招标文件的实质性要求和条件作出响应，或者对招标文件的偏差超出招标文件规定的偏差范围或最高项数；</w:t>
      </w:r>
    </w:p>
    <w:p w14:paraId="31178EA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（2）有串通投标、弄虚作假、行贿等违法行为。</w:t>
      </w:r>
    </w:p>
    <w:p w14:paraId="45EA763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（3）两个（含两个）以上</w:t>
      </w:r>
      <w:r>
        <w:rPr>
          <w:rFonts w:hint="eastAsia" w:eastAsia="Times New Roman"/>
          <w:sz w:val="24"/>
          <w:highlight w:val="none"/>
        </w:rPr>
        <w:t>投标人加密打包投标文件</w:t>
      </w:r>
      <w:r>
        <w:rPr>
          <w:sz w:val="24"/>
          <w:highlight w:val="none"/>
        </w:rPr>
        <w:t>工程量清单编制</w:t>
      </w:r>
      <w:r>
        <w:rPr>
          <w:rFonts w:hint="eastAsia" w:eastAsia="Times New Roman"/>
          <w:sz w:val="24"/>
          <w:highlight w:val="none"/>
        </w:rPr>
        <w:t>机器</w:t>
      </w:r>
      <w:r>
        <w:rPr>
          <w:sz w:val="24"/>
          <w:highlight w:val="none"/>
        </w:rPr>
        <w:t>硬件信息</w:t>
      </w:r>
      <w:r>
        <w:rPr>
          <w:rFonts w:hint="eastAsia" w:eastAsia="Times New Roman"/>
          <w:sz w:val="24"/>
          <w:highlight w:val="none"/>
        </w:rPr>
        <w:t>一致的</w:t>
      </w:r>
      <w:r>
        <w:rPr>
          <w:sz w:val="24"/>
          <w:highlight w:val="none"/>
        </w:rPr>
        <w:t>。</w:t>
      </w:r>
    </w:p>
    <w:p w14:paraId="54AF816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3CD82E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（1）投标文件中的大写金额与小写金额不一致的，以大写金额为准；</w:t>
      </w:r>
    </w:p>
    <w:p w14:paraId="755C62F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（2）总价金额与单价金额不一致的，以单价金额为准，但单价金额小数点有明显错误的除外。</w:t>
      </w:r>
    </w:p>
    <w:p w14:paraId="04A35C0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r>
        <w:rPr>
          <w:sz w:val="24"/>
          <w:highlight w:val="none"/>
        </w:rPr>
        <w:t>3.2  详细评审</w:t>
      </w:r>
    </w:p>
    <w:p w14:paraId="72A42D3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3.2.1 评标委员会按本章第 2.2 款规定的量化因素和分值进行打分，并计算出综合评估得分。</w:t>
      </w:r>
    </w:p>
    <w:p w14:paraId="36B28751">
      <w:pPr>
        <w:pStyle w:val="9"/>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highlight w:val="none"/>
        </w:rPr>
      </w:pPr>
      <w:r>
        <w:rPr>
          <w:sz w:val="24"/>
          <w:highlight w:val="none"/>
        </w:rPr>
        <w:t>（1）按本章第2.2.4（1）目规定的评审因素和分值对资信业绩部分计算出得分A，</w:t>
      </w:r>
      <w:r>
        <w:rPr>
          <w:sz w:val="24"/>
          <w:highlight w:val="none"/>
          <w:u w:val="single"/>
        </w:rPr>
        <w:t>资信业绩部分评审得分A为各评标专家打分的算术平均值</w:t>
      </w:r>
      <w:r>
        <w:rPr>
          <w:sz w:val="24"/>
          <w:highlight w:val="none"/>
        </w:rPr>
        <w:t>；</w:t>
      </w:r>
    </w:p>
    <w:p w14:paraId="60A8B61F">
      <w:pPr>
        <w:pStyle w:val="9"/>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highlight w:val="none"/>
        </w:rPr>
      </w:pPr>
      <w:r>
        <w:rPr>
          <w:sz w:val="24"/>
          <w:highlight w:val="none"/>
        </w:rPr>
        <w:t>（2）按本章第2.2.4（2）目规定的评审因素和分值对监理大纲部分计算出得分B，</w:t>
      </w:r>
      <w:r>
        <w:rPr>
          <w:sz w:val="24"/>
          <w:highlight w:val="none"/>
          <w:u w:val="single"/>
        </w:rPr>
        <w:fldChar w:fldCharType="begin"/>
      </w:r>
      <w:r>
        <w:rPr>
          <w:sz w:val="24"/>
          <w:highlight w:val="none"/>
          <w:u w:val="single"/>
        </w:rPr>
        <w:instrText xml:space="preserve"> = 1 \* GB3 \* MERGEFORMAT </w:instrText>
      </w:r>
      <w:r>
        <w:rPr>
          <w:sz w:val="24"/>
          <w:highlight w:val="none"/>
          <w:u w:val="single"/>
        </w:rPr>
        <w:fldChar w:fldCharType="separate"/>
      </w:r>
      <w:r>
        <w:rPr>
          <w:highlight w:val="none"/>
          <w:u w:val="single"/>
        </w:rPr>
        <w:t>①</w:t>
      </w:r>
      <w:r>
        <w:rPr>
          <w:highlight w:val="none"/>
          <w:u w:val="single"/>
        </w:rPr>
        <w:fldChar w:fldCharType="end"/>
      </w:r>
      <w:r>
        <w:rPr>
          <w:sz w:val="24"/>
          <w:highlight w:val="none"/>
          <w:u w:val="single"/>
        </w:rPr>
        <w:t>监理大纲部分评审得分</w:t>
      </w:r>
      <w:r>
        <w:rPr>
          <w:sz w:val="24"/>
          <w:highlight w:val="none"/>
        </w:rPr>
        <w:t>B</w:t>
      </w:r>
      <w:r>
        <w:rPr>
          <w:sz w:val="24"/>
          <w:highlight w:val="none"/>
          <w:u w:val="single"/>
        </w:rPr>
        <w:t>为从各评标专家打分中去掉一个最高分和去掉一个最低分后的剩余评标专家打分的算术平均值或</w:t>
      </w:r>
      <w:r>
        <w:rPr>
          <w:sz w:val="24"/>
          <w:highlight w:val="none"/>
          <w:u w:val="single"/>
        </w:rPr>
        <w:fldChar w:fldCharType="begin"/>
      </w:r>
      <w:r>
        <w:rPr>
          <w:sz w:val="24"/>
          <w:highlight w:val="none"/>
          <w:u w:val="single"/>
        </w:rPr>
        <w:instrText xml:space="preserve"> = 2 \* GB3 \* MERGEFORMAT </w:instrText>
      </w:r>
      <w:r>
        <w:rPr>
          <w:sz w:val="24"/>
          <w:highlight w:val="none"/>
          <w:u w:val="single"/>
        </w:rPr>
        <w:fldChar w:fldCharType="separate"/>
      </w:r>
      <w:r>
        <w:rPr>
          <w:highlight w:val="none"/>
          <w:u w:val="single"/>
        </w:rPr>
        <w:t>②</w:t>
      </w:r>
      <w:r>
        <w:rPr>
          <w:highlight w:val="none"/>
          <w:u w:val="single"/>
        </w:rPr>
        <w:fldChar w:fldCharType="end"/>
      </w:r>
      <w:r>
        <w:rPr>
          <w:sz w:val="24"/>
          <w:highlight w:val="none"/>
          <w:u w:val="single"/>
        </w:rPr>
        <w:t>监理大纲部分评审得分</w:t>
      </w:r>
      <w:r>
        <w:rPr>
          <w:sz w:val="24"/>
          <w:highlight w:val="none"/>
        </w:rPr>
        <w:t>B</w:t>
      </w:r>
      <w:r>
        <w:rPr>
          <w:sz w:val="24"/>
          <w:highlight w:val="none"/>
          <w:u w:val="single"/>
        </w:rPr>
        <w:t>为各评标专家打分的算术平均值</w:t>
      </w:r>
      <w:r>
        <w:rPr>
          <w:i/>
          <w:iCs/>
          <w:sz w:val="24"/>
          <w:highlight w:val="none"/>
          <w:u w:val="single"/>
        </w:rPr>
        <w:t>（二选一，招标人自行选择）</w:t>
      </w:r>
      <w:r>
        <w:rPr>
          <w:sz w:val="24"/>
          <w:highlight w:val="none"/>
        </w:rPr>
        <w:t>；</w:t>
      </w:r>
    </w:p>
    <w:p w14:paraId="21B34E9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（3）按本章第2.2.4（3）目规定的评审因素和分值对投标报价计算出得分C；</w:t>
      </w:r>
    </w:p>
    <w:p w14:paraId="7E7880C7">
      <w:pPr>
        <w:pStyle w:val="9"/>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highlight w:val="none"/>
        </w:rPr>
      </w:pPr>
      <w:r>
        <w:rPr>
          <w:sz w:val="24"/>
          <w:highlight w:val="none"/>
        </w:rPr>
        <w:t>（4）按本章第2.2.4（4）目规定的评审因素和分值对诚信评价计算出得分D。</w:t>
      </w:r>
    </w:p>
    <w:p w14:paraId="76527E51">
      <w:pPr>
        <w:pStyle w:val="9"/>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highlight w:val="none"/>
        </w:rPr>
      </w:pPr>
      <w:r>
        <w:rPr>
          <w:sz w:val="24"/>
          <w:highlight w:val="none"/>
        </w:rPr>
        <w:t>3.2.2 评分分值计算保留小数点后两位，小数点后第三位“四舍五入”。</w:t>
      </w:r>
    </w:p>
    <w:p w14:paraId="0AF9C0D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3.2.3 投标人得分=A+B+C+D。</w:t>
      </w:r>
    </w:p>
    <w:p w14:paraId="0F1E6B1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EB3AB2F">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r>
        <w:rPr>
          <w:rFonts w:cs="宋体"/>
          <w:sz w:val="24"/>
          <w:highlight w:val="none"/>
        </w:rPr>
        <w:t>3.3  投标文件的澄清</w:t>
      </w:r>
    </w:p>
    <w:p w14:paraId="60C182A8">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3.3.1 在评标过程中，</w:t>
      </w:r>
      <w:r>
        <w:rPr>
          <w:rFonts w:hint="eastAsia"/>
          <w:sz w:val="24"/>
          <w:highlight w:val="none"/>
        </w:rPr>
        <w:t>经评标委员会中两人以上（含两人）以书面形式提出动议，评标委员会</w:t>
      </w:r>
      <w:r>
        <w:rPr>
          <w:rFonts w:cs="宋体"/>
          <w:sz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6AF56D4B">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3.3.2 澄清、说明或补正不得超出投标文件的范围且不得改变投标文件的实质性内容，并构成投标文件的组成部分。</w:t>
      </w:r>
    </w:p>
    <w:p w14:paraId="207D6087">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3.3.3 评标委员会对投标人提交的澄清、说明或补正有疑问的，可以要求投标人进一步澄清、 说明或补正，直至满足评标委员会的要求。</w:t>
      </w:r>
    </w:p>
    <w:p w14:paraId="10D47144">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r>
        <w:rPr>
          <w:rFonts w:cs="宋体"/>
          <w:sz w:val="24"/>
          <w:highlight w:val="none"/>
        </w:rPr>
        <w:t>3.4  评标结果</w:t>
      </w:r>
    </w:p>
    <w:p w14:paraId="0255FCE7">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3.4.1 除第二章“投标人须知”前附表授权直接确定中标人外，评标委员会按照得分由高到低 的顺序推荐中标候选人，并标明排序。</w:t>
      </w:r>
    </w:p>
    <w:p w14:paraId="4A4ECE1D">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3.4.2 评标委员会完成评标后，应当向招标人提交书面评标报告和中标候选人名单。</w:t>
      </w:r>
    </w:p>
    <w:p w14:paraId="6E081C54">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sectPr>
          <w:headerReference r:id="rId8" w:type="default"/>
          <w:pgSz w:w="11905" w:h="16838"/>
          <w:pgMar w:top="1417" w:right="1417" w:bottom="1417" w:left="1417" w:header="992" w:footer="992" w:gutter="0"/>
          <w:cols w:space="720" w:num="1"/>
        </w:sectPr>
      </w:pPr>
    </w:p>
    <w:p w14:paraId="46C4E8C1">
      <w:pPr>
        <w:pStyle w:val="4"/>
        <w:spacing w:before="120" w:after="120"/>
        <w:rPr>
          <w:rFonts w:cs="宋体"/>
          <w:highlight w:val="none"/>
        </w:rPr>
      </w:pPr>
      <w:bookmarkStart w:id="167" w:name="_Toc19273"/>
      <w:r>
        <w:rPr>
          <w:rFonts w:cs="宋体"/>
          <w:highlight w:val="none"/>
        </w:rPr>
        <w:t>1.评标方法</w:t>
      </w:r>
      <w:bookmarkEnd w:id="167"/>
    </w:p>
    <w:p w14:paraId="38658CC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01459A2">
      <w:pPr>
        <w:pStyle w:val="4"/>
        <w:spacing w:before="120" w:after="120"/>
        <w:rPr>
          <w:rFonts w:ascii="Microsoft JhengHei" w:hAnsi="Microsoft JhengHei" w:eastAsia="Microsoft JhengHei"/>
          <w:b w:val="0"/>
          <w:sz w:val="30"/>
          <w:highlight w:val="none"/>
        </w:rPr>
      </w:pPr>
      <w:bookmarkStart w:id="168" w:name="bookmark85"/>
      <w:bookmarkEnd w:id="168"/>
      <w:bookmarkStart w:id="169" w:name="_Toc12017"/>
      <w:r>
        <w:rPr>
          <w:rFonts w:cs="宋体"/>
          <w:highlight w:val="none"/>
        </w:rPr>
        <w:t>2.评审标准</w:t>
      </w:r>
      <w:bookmarkEnd w:id="169"/>
    </w:p>
    <w:p w14:paraId="0CF4827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70" w:name="bookmark86"/>
      <w:bookmarkEnd w:id="170"/>
      <w:bookmarkStart w:id="171" w:name="_Toc2636"/>
      <w:r>
        <w:rPr>
          <w:rFonts w:cs="宋体"/>
          <w:sz w:val="24"/>
          <w:highlight w:val="none"/>
        </w:rPr>
        <w:t>2.1 初步评审标准</w:t>
      </w:r>
      <w:bookmarkEnd w:id="171"/>
    </w:p>
    <w:p w14:paraId="663CE86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2.1.1 资格评审标准：见评标办法前附表。</w:t>
      </w:r>
    </w:p>
    <w:p w14:paraId="4CE80F2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2.1.2 形式评审标准：见评标办法前附表。</w:t>
      </w:r>
    </w:p>
    <w:p w14:paraId="290D85C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2.1.3 响应性评审标准：见评标办法前附表。</w:t>
      </w:r>
    </w:p>
    <w:p w14:paraId="37AFD3B0">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72" w:name="bookmark87"/>
      <w:bookmarkEnd w:id="172"/>
      <w:bookmarkStart w:id="173" w:name="_Toc9590"/>
      <w:r>
        <w:rPr>
          <w:rFonts w:cs="宋体"/>
          <w:sz w:val="24"/>
          <w:highlight w:val="none"/>
        </w:rPr>
        <w:t>2.2 分值构成与评分标准</w:t>
      </w:r>
      <w:bookmarkEnd w:id="173"/>
    </w:p>
    <w:p w14:paraId="63E2C82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2.2.1  分值构成</w:t>
      </w:r>
    </w:p>
    <w:p w14:paraId="2050105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（1）资信业绩部分：见评标办法前附表；</w:t>
      </w:r>
    </w:p>
    <w:p w14:paraId="7930E64D">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（2）监理大纲部分：见评标办法前附表；</w:t>
      </w:r>
    </w:p>
    <w:p w14:paraId="72EC637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（3）投标报价：见评标办法前附表；</w:t>
      </w:r>
    </w:p>
    <w:p w14:paraId="4D8EFD8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（4）诚信得分：见评标办法前附表。 </w:t>
      </w:r>
    </w:p>
    <w:p w14:paraId="0A6B18A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2.2.2 评标基准价计算评标基准价计算方法：见评标办法前附表。</w:t>
      </w:r>
    </w:p>
    <w:p w14:paraId="054F426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2.2.3 投标报价的偏差率计算</w:t>
      </w:r>
    </w:p>
    <w:p w14:paraId="56F0B49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投标报价的偏差率计算公式：见评标办法前附表。</w:t>
      </w:r>
    </w:p>
    <w:p w14:paraId="0DD907E9">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2.2.4  评分标准</w:t>
      </w:r>
    </w:p>
    <w:p w14:paraId="0FE2329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（1）资信业绩评分标准：见评标办法前附表；</w:t>
      </w:r>
    </w:p>
    <w:p w14:paraId="7885CD27">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（2）监理大纲评分标准：见评标办法前附表；</w:t>
      </w:r>
    </w:p>
    <w:p w14:paraId="2325D86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（3）投标报价评分标准：见评标办法前附表；</w:t>
      </w:r>
    </w:p>
    <w:p w14:paraId="3556638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（4）诚信得分评分标准：见评标办法前附表。</w:t>
      </w:r>
    </w:p>
    <w:p w14:paraId="3F00B5D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eastAsia="宋体" w:cs="Times New Roman"/>
          <w:sz w:val="24"/>
          <w:highlight w:val="none"/>
        </w:rPr>
      </w:pPr>
      <w:r>
        <w:rPr>
          <w:rFonts w:ascii="宋体" w:hAnsi="宋体" w:eastAsia="宋体" w:cs="Times New Roman"/>
          <w:sz w:val="24"/>
          <w:highlight w:val="none"/>
        </w:rPr>
        <w:t>注：投标人的诚信评价总分取自本项目招标公告发布第1天所在季度的上一季度的诚信综合评价分。</w:t>
      </w:r>
    </w:p>
    <w:p w14:paraId="1B8F756C">
      <w:pPr>
        <w:pStyle w:val="4"/>
        <w:spacing w:before="120" w:after="120"/>
        <w:rPr>
          <w:rFonts w:cs="宋体"/>
          <w:highlight w:val="none"/>
        </w:rPr>
      </w:pPr>
      <w:bookmarkStart w:id="174" w:name="bookmark88"/>
      <w:bookmarkEnd w:id="174"/>
      <w:bookmarkStart w:id="175" w:name="_Toc19388"/>
      <w:r>
        <w:rPr>
          <w:rFonts w:cs="宋体"/>
          <w:highlight w:val="none"/>
        </w:rPr>
        <w:t>3.评标程序</w:t>
      </w:r>
      <w:bookmarkEnd w:id="175"/>
    </w:p>
    <w:p w14:paraId="4DA743ED">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76" w:name="bookmark89"/>
      <w:bookmarkEnd w:id="176"/>
      <w:bookmarkStart w:id="177" w:name="_Toc13130"/>
      <w:r>
        <w:rPr>
          <w:rFonts w:cs="宋体"/>
          <w:sz w:val="24"/>
          <w:highlight w:val="none"/>
        </w:rPr>
        <w:t>3.1  初步评审</w:t>
      </w:r>
      <w:bookmarkEnd w:id="177"/>
    </w:p>
    <w:p w14:paraId="5796D43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E2B6ABE">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3.1.2 投标人有以下情形之一的，评标委员会应当否决其投标：</w:t>
      </w:r>
    </w:p>
    <w:p w14:paraId="40832A5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（1）投标文件没有对招标文件的实质性要求和条件作出响应，或者对招标文件的偏差超出招标文件规定的偏差范围或最高项数；</w:t>
      </w:r>
    </w:p>
    <w:p w14:paraId="5D043D5B">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（2）有串通投标、弄虚作假、行贿等违法行为。</w:t>
      </w:r>
    </w:p>
    <w:p w14:paraId="420AE4F1">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（3）两个（含两个）以上</w:t>
      </w:r>
      <w:r>
        <w:rPr>
          <w:rFonts w:hint="eastAsia" w:eastAsia="Times New Roman"/>
          <w:sz w:val="24"/>
          <w:highlight w:val="none"/>
        </w:rPr>
        <w:t>投标人加密打包投标文件</w:t>
      </w:r>
      <w:r>
        <w:rPr>
          <w:sz w:val="24"/>
          <w:highlight w:val="none"/>
        </w:rPr>
        <w:t>工程量清单编制</w:t>
      </w:r>
      <w:r>
        <w:rPr>
          <w:rFonts w:hint="eastAsia" w:eastAsia="Times New Roman"/>
          <w:sz w:val="24"/>
          <w:highlight w:val="none"/>
        </w:rPr>
        <w:t>机器</w:t>
      </w:r>
      <w:r>
        <w:rPr>
          <w:sz w:val="24"/>
          <w:highlight w:val="none"/>
        </w:rPr>
        <w:t>硬件信息</w:t>
      </w:r>
      <w:r>
        <w:rPr>
          <w:rFonts w:hint="eastAsia" w:eastAsia="Times New Roman"/>
          <w:sz w:val="24"/>
          <w:highlight w:val="none"/>
        </w:rPr>
        <w:t>一致的</w:t>
      </w:r>
      <w:r>
        <w:rPr>
          <w:sz w:val="24"/>
          <w:highlight w:val="none"/>
        </w:rPr>
        <w:t>。</w:t>
      </w:r>
    </w:p>
    <w:p w14:paraId="5C179A6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3.1.3 投标报价有算术错误及其他错误的，评标委员会按以下原则要求投标人对投标报价进行修正，并要求投标人书面澄清确认。投标人拒不澄清确认的，评标委员会应当否决其投标：</w:t>
      </w:r>
    </w:p>
    <w:p w14:paraId="292029D3">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（1）投标文件中的大写金额与小写金额不一致的，以大写金额为准；</w:t>
      </w:r>
    </w:p>
    <w:p w14:paraId="5965A67A">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（2）总价金额与单价金额不一致的，以单价金额为准，但单价金额小数点有明显错误的除外。</w:t>
      </w:r>
    </w:p>
    <w:p w14:paraId="63C74776">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178" w:name="bookmark90"/>
      <w:bookmarkEnd w:id="178"/>
      <w:bookmarkStart w:id="179" w:name="_Toc26732"/>
      <w:r>
        <w:rPr>
          <w:sz w:val="24"/>
          <w:highlight w:val="none"/>
        </w:rPr>
        <w:t>3.2  详细评审</w:t>
      </w:r>
      <w:bookmarkEnd w:id="179"/>
    </w:p>
    <w:p w14:paraId="49A2270F">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3.2.1 评标委员会按本章第 2.2 款规定的量化因素和分值进行打分，并计算出综合评估得分。</w:t>
      </w:r>
    </w:p>
    <w:p w14:paraId="227089B9">
      <w:pPr>
        <w:pStyle w:val="9"/>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highlight w:val="none"/>
        </w:rPr>
      </w:pPr>
      <w:r>
        <w:rPr>
          <w:sz w:val="24"/>
          <w:highlight w:val="none"/>
        </w:rPr>
        <w:t>（1）按本章第2.2.4（1）目规定的评审因素和分值对资信业绩部分计算出得分A，</w:t>
      </w:r>
      <w:r>
        <w:rPr>
          <w:sz w:val="24"/>
          <w:highlight w:val="none"/>
          <w:u w:val="single"/>
        </w:rPr>
        <w:t>资信业绩部分评审得分A为各评标专家打分的算术平均值</w:t>
      </w:r>
      <w:r>
        <w:rPr>
          <w:sz w:val="24"/>
          <w:highlight w:val="none"/>
        </w:rPr>
        <w:t>；</w:t>
      </w:r>
    </w:p>
    <w:p w14:paraId="45C6F45F">
      <w:pPr>
        <w:pStyle w:val="9"/>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sz w:val="24"/>
          <w:highlight w:val="none"/>
        </w:rPr>
      </w:pPr>
      <w:r>
        <w:rPr>
          <w:sz w:val="24"/>
          <w:highlight w:val="none"/>
        </w:rPr>
        <w:t>（2）按本章第2.2.4（2）目规定的评审因素和分值对监理大纲部分计算出得分B，</w:t>
      </w:r>
      <w:r>
        <w:rPr>
          <w:sz w:val="24"/>
          <w:highlight w:val="none"/>
          <w:u w:val="single"/>
        </w:rPr>
        <w:fldChar w:fldCharType="begin"/>
      </w:r>
      <w:r>
        <w:rPr>
          <w:sz w:val="24"/>
          <w:highlight w:val="none"/>
          <w:u w:val="single"/>
        </w:rPr>
        <w:instrText xml:space="preserve"> = 1 \* GB3 \* MERGEFORMAT </w:instrText>
      </w:r>
      <w:r>
        <w:rPr>
          <w:sz w:val="24"/>
          <w:highlight w:val="none"/>
          <w:u w:val="single"/>
        </w:rPr>
        <w:fldChar w:fldCharType="separate"/>
      </w:r>
      <w:r>
        <w:rPr>
          <w:highlight w:val="none"/>
          <w:u w:val="single"/>
        </w:rPr>
        <w:t>①</w:t>
      </w:r>
      <w:r>
        <w:rPr>
          <w:highlight w:val="none"/>
          <w:u w:val="single"/>
        </w:rPr>
        <w:fldChar w:fldCharType="end"/>
      </w:r>
      <w:r>
        <w:rPr>
          <w:sz w:val="24"/>
          <w:highlight w:val="none"/>
          <w:u w:val="single"/>
        </w:rPr>
        <w:t>监理大纲部分评审得分</w:t>
      </w:r>
      <w:r>
        <w:rPr>
          <w:sz w:val="24"/>
          <w:highlight w:val="none"/>
        </w:rPr>
        <w:t>B</w:t>
      </w:r>
      <w:r>
        <w:rPr>
          <w:sz w:val="24"/>
          <w:highlight w:val="none"/>
          <w:u w:val="single"/>
        </w:rPr>
        <w:t>为从各评标专家打分中去掉一个最高分和去掉一个最低分后的剩余评标专家打分的算术平均值或</w:t>
      </w:r>
      <w:r>
        <w:rPr>
          <w:sz w:val="24"/>
          <w:highlight w:val="none"/>
          <w:u w:val="single"/>
        </w:rPr>
        <w:fldChar w:fldCharType="begin"/>
      </w:r>
      <w:r>
        <w:rPr>
          <w:sz w:val="24"/>
          <w:highlight w:val="none"/>
          <w:u w:val="single"/>
        </w:rPr>
        <w:instrText xml:space="preserve"> = 2 \* GB3 \* MERGEFORMAT </w:instrText>
      </w:r>
      <w:r>
        <w:rPr>
          <w:sz w:val="24"/>
          <w:highlight w:val="none"/>
          <w:u w:val="single"/>
        </w:rPr>
        <w:fldChar w:fldCharType="separate"/>
      </w:r>
      <w:r>
        <w:rPr>
          <w:highlight w:val="none"/>
          <w:u w:val="single"/>
        </w:rPr>
        <w:t>②</w:t>
      </w:r>
      <w:r>
        <w:rPr>
          <w:highlight w:val="none"/>
          <w:u w:val="single"/>
        </w:rPr>
        <w:fldChar w:fldCharType="end"/>
      </w:r>
      <w:r>
        <w:rPr>
          <w:sz w:val="24"/>
          <w:highlight w:val="none"/>
          <w:u w:val="single"/>
        </w:rPr>
        <w:t>监理大纲部分评审得分</w:t>
      </w:r>
      <w:r>
        <w:rPr>
          <w:sz w:val="24"/>
          <w:highlight w:val="none"/>
        </w:rPr>
        <w:t>B</w:t>
      </w:r>
      <w:r>
        <w:rPr>
          <w:sz w:val="24"/>
          <w:highlight w:val="none"/>
          <w:u w:val="single"/>
        </w:rPr>
        <w:t>为各评标专家打分的算术平均值</w:t>
      </w:r>
      <w:r>
        <w:rPr>
          <w:i/>
          <w:iCs/>
          <w:sz w:val="24"/>
          <w:highlight w:val="none"/>
          <w:u w:val="single"/>
        </w:rPr>
        <w:t>（二选一，招标人自行选择）</w:t>
      </w:r>
      <w:r>
        <w:rPr>
          <w:sz w:val="24"/>
          <w:highlight w:val="none"/>
        </w:rPr>
        <w:t>；</w:t>
      </w:r>
    </w:p>
    <w:p w14:paraId="30F7C5A4">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（3）按本章第2.2.4（3）目规定的评审因素和分值对投标报价计算出得分C；</w:t>
      </w:r>
    </w:p>
    <w:p w14:paraId="55B57507">
      <w:pPr>
        <w:pStyle w:val="9"/>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highlight w:val="none"/>
        </w:rPr>
      </w:pPr>
      <w:r>
        <w:rPr>
          <w:sz w:val="24"/>
          <w:highlight w:val="none"/>
        </w:rPr>
        <w:t>（4）按本章第2.2.4（4）目规定的评审因素和分值对诚信评价计算出得分D。</w:t>
      </w:r>
    </w:p>
    <w:p w14:paraId="68DEAA8B">
      <w:pPr>
        <w:pStyle w:val="9"/>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z w:val="24"/>
          <w:highlight w:val="none"/>
        </w:rPr>
      </w:pPr>
      <w:r>
        <w:rPr>
          <w:sz w:val="24"/>
          <w:highlight w:val="none"/>
        </w:rPr>
        <w:t>3.2.2 评分分值计算保留小数点后两位，小数点后第三位“四舍五入”。</w:t>
      </w:r>
    </w:p>
    <w:p w14:paraId="2C8F17A2">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3.2.3 投标人得分=A+B+C+D。</w:t>
      </w:r>
    </w:p>
    <w:p w14:paraId="618DD465">
      <w:pPr>
        <w:pStyle w:val="9"/>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8EB69C7">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80" w:name="bookmark91"/>
      <w:bookmarkEnd w:id="180"/>
      <w:bookmarkStart w:id="181" w:name="_Toc21720"/>
      <w:r>
        <w:rPr>
          <w:rFonts w:cs="宋体"/>
          <w:sz w:val="24"/>
          <w:highlight w:val="none"/>
        </w:rPr>
        <w:t>3.3  投标文件的澄清</w:t>
      </w:r>
      <w:bookmarkEnd w:id="181"/>
    </w:p>
    <w:p w14:paraId="4764E94A">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3.3.1 在评标过程中，</w:t>
      </w:r>
      <w:r>
        <w:rPr>
          <w:rFonts w:hint="eastAsia"/>
          <w:sz w:val="24"/>
          <w:highlight w:val="none"/>
        </w:rPr>
        <w:t>经评标委员会中两人以上（含两人）以书面形式提出动议，评标委员会</w:t>
      </w:r>
      <w:r>
        <w:rPr>
          <w:rFonts w:cs="宋体"/>
          <w:sz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6DEE10D8">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3.3.2 澄清、说明或补正不得超出投标文件的范围且不得改变投标文件的实质性内容，并构成投标文件的组成部分。</w:t>
      </w:r>
    </w:p>
    <w:p w14:paraId="53BCA8A7">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3.3.3 评标委员会对投标人提交的澄清、说明或补正有疑问的，可以要求投标人进一步澄清、 说明或补正，直至满足评标委员会的要求。</w:t>
      </w:r>
    </w:p>
    <w:p w14:paraId="691FF7C9">
      <w:pPr>
        <w:pStyle w:val="9"/>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82" w:name="bookmark92"/>
      <w:bookmarkEnd w:id="182"/>
      <w:bookmarkStart w:id="183" w:name="_Toc16013"/>
      <w:r>
        <w:rPr>
          <w:rFonts w:cs="宋体"/>
          <w:sz w:val="24"/>
          <w:highlight w:val="none"/>
        </w:rPr>
        <w:t>3.4  评标结果</w:t>
      </w:r>
      <w:bookmarkEnd w:id="183"/>
    </w:p>
    <w:p w14:paraId="1766B566">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3.4.1 除第二章“投标人须知”前附表授权直接确定中标人外，评标委员会按照得分由高到低 的顺序推荐中标候选人，并标明排序。</w:t>
      </w:r>
    </w:p>
    <w:p w14:paraId="4587133E">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pPr>
      <w:r>
        <w:rPr>
          <w:rFonts w:cs="宋体"/>
          <w:sz w:val="24"/>
          <w:highlight w:val="none"/>
        </w:rPr>
        <w:t>3.4.2 评标委员会完成评标后，应当向招标人提交书面评标报告和中标候选人名单。</w:t>
      </w:r>
    </w:p>
    <w:p w14:paraId="18B6EF52">
      <w:pPr>
        <w:pStyle w:val="9"/>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highlight w:val="none"/>
        </w:rPr>
        <w:sectPr>
          <w:headerReference r:id="rId9" w:type="default"/>
          <w:pgSz w:w="11905" w:h="16838"/>
          <w:pgMar w:top="1417" w:right="1417" w:bottom="1417" w:left="1417" w:header="992" w:footer="992" w:gutter="0"/>
          <w:cols w:space="720" w:num="1"/>
        </w:sectPr>
      </w:pPr>
    </w:p>
    <w:p w14:paraId="2AF2A71F">
      <w:pPr>
        <w:pStyle w:val="3"/>
        <w:rPr>
          <w:rFonts w:cs="宋体"/>
          <w:sz w:val="44"/>
          <w:highlight w:val="none"/>
        </w:rPr>
      </w:pPr>
      <w:bookmarkStart w:id="184" w:name="bookmark93"/>
      <w:bookmarkEnd w:id="184"/>
      <w:bookmarkStart w:id="185" w:name="_Toc15665"/>
      <w:r>
        <w:rPr>
          <w:rFonts w:cs="宋体"/>
          <w:sz w:val="44"/>
          <w:highlight w:val="none"/>
        </w:rPr>
        <w:t>第四章 合同条款及格式</w:t>
      </w:r>
      <w:bookmarkEnd w:id="185"/>
    </w:p>
    <w:p w14:paraId="4DA2B26E">
      <w:pPr>
        <w:pStyle w:val="9"/>
        <w:kinsoku w:val="0"/>
        <w:overflowPunct w:val="0"/>
        <w:ind w:left="0"/>
        <w:rPr>
          <w:rFonts w:ascii="Microsoft JhengHei" w:hAnsi="Microsoft JhengHei" w:eastAsia="Microsoft JhengHei"/>
          <w:b/>
          <w:sz w:val="20"/>
          <w:highlight w:val="none"/>
        </w:rPr>
      </w:pPr>
    </w:p>
    <w:p w14:paraId="3C93B82D">
      <w:pPr>
        <w:pStyle w:val="24"/>
        <w:ind w:firstLine="0" w:firstLineChars="0"/>
        <w:jc w:val="center"/>
        <w:rPr>
          <w:rFonts w:hint="default" w:eastAsia="宋体"/>
          <w:highlight w:val="none"/>
        </w:rPr>
      </w:pPr>
      <w:r>
        <w:rPr>
          <w:rFonts w:hint="default" w:ascii="宋体" w:hAnsi="宋体" w:eastAsia="宋体"/>
          <w:szCs w:val="24"/>
          <w:highlight w:val="none"/>
        </w:rPr>
        <w:t>注：</w:t>
      </w:r>
      <w:r>
        <w:rPr>
          <w:rFonts w:ascii="宋体" w:hAnsi="宋体" w:eastAsia="宋体"/>
          <w:szCs w:val="24"/>
          <w:highlight w:val="none"/>
        </w:rPr>
        <w:t>另册</w:t>
      </w:r>
    </w:p>
    <w:p w14:paraId="7B5FC371">
      <w:pPr>
        <w:pStyle w:val="24"/>
        <w:ind w:firstLine="480"/>
        <w:rPr>
          <w:rFonts w:hint="default"/>
          <w:highlight w:val="none"/>
        </w:rPr>
      </w:pPr>
    </w:p>
    <w:p w14:paraId="3D4B7ADC">
      <w:pPr>
        <w:pStyle w:val="9"/>
        <w:kinsoku w:val="0"/>
        <w:overflowPunct w:val="0"/>
        <w:ind w:left="0"/>
        <w:rPr>
          <w:rFonts w:ascii="Microsoft JhengHei" w:hAnsi="Microsoft JhengHei" w:eastAsia="Microsoft JhengHei"/>
          <w:b/>
          <w:sz w:val="20"/>
          <w:highlight w:val="none"/>
        </w:rPr>
      </w:pPr>
    </w:p>
    <w:p w14:paraId="44CE7336">
      <w:pPr>
        <w:pStyle w:val="9"/>
        <w:kinsoku w:val="0"/>
        <w:overflowPunct w:val="0"/>
        <w:spacing w:before="2"/>
        <w:ind w:left="0"/>
        <w:rPr>
          <w:rFonts w:ascii="Microsoft JhengHei" w:hAnsi="Microsoft JhengHei" w:eastAsia="Microsoft JhengHei"/>
          <w:b/>
          <w:sz w:val="29"/>
          <w:highlight w:val="none"/>
        </w:rPr>
      </w:pPr>
    </w:p>
    <w:p w14:paraId="5005D24E">
      <w:pPr>
        <w:pStyle w:val="9"/>
        <w:kinsoku w:val="0"/>
        <w:overflowPunct w:val="0"/>
        <w:ind w:left="0"/>
        <w:rPr>
          <w:sz w:val="20"/>
          <w:highlight w:val="none"/>
        </w:rPr>
        <w:sectPr>
          <w:headerReference r:id="rId10" w:type="default"/>
          <w:footerReference r:id="rId11" w:type="default"/>
          <w:pgSz w:w="11905" w:h="16838"/>
          <w:pgMar w:top="1417" w:right="1417" w:bottom="1417" w:left="1417" w:header="992" w:footer="992" w:gutter="0"/>
          <w:cols w:space="720" w:num="1"/>
        </w:sectPr>
      </w:pPr>
    </w:p>
    <w:p w14:paraId="1C45D31F">
      <w:pPr>
        <w:pStyle w:val="2"/>
        <w:spacing w:before="5280" w:beforeLines="2200"/>
        <w:ind w:left="6"/>
        <w:rPr>
          <w:rFonts w:hint="default"/>
          <w:sz w:val="52"/>
          <w:szCs w:val="52"/>
          <w:highlight w:val="none"/>
        </w:rPr>
      </w:pPr>
      <w:bookmarkStart w:id="186" w:name="bookmark161"/>
      <w:bookmarkEnd w:id="186"/>
      <w:bookmarkStart w:id="187" w:name="_Toc29682"/>
      <w:r>
        <w:rPr>
          <w:sz w:val="52"/>
          <w:szCs w:val="52"/>
          <w:highlight w:val="none"/>
        </w:rPr>
        <w:t>第二卷</w:t>
      </w:r>
      <w:bookmarkEnd w:id="187"/>
    </w:p>
    <w:p w14:paraId="1561A0D3">
      <w:pPr>
        <w:pStyle w:val="2"/>
        <w:spacing w:before="5280" w:beforeLines="2200"/>
        <w:ind w:left="6"/>
        <w:rPr>
          <w:rFonts w:hint="default"/>
          <w:sz w:val="52"/>
          <w:szCs w:val="52"/>
          <w:highlight w:val="none"/>
        </w:rPr>
        <w:sectPr>
          <w:pgSz w:w="11905" w:h="16838"/>
          <w:pgMar w:top="1417" w:right="1417" w:bottom="1417" w:left="1417" w:header="992" w:footer="992" w:gutter="0"/>
          <w:cols w:space="720" w:num="1"/>
        </w:sectPr>
      </w:pPr>
    </w:p>
    <w:p w14:paraId="4B40107B">
      <w:pPr>
        <w:pStyle w:val="3"/>
        <w:spacing w:line="360" w:lineRule="auto"/>
        <w:rPr>
          <w:sz w:val="44"/>
          <w:highlight w:val="none"/>
        </w:rPr>
      </w:pPr>
      <w:bookmarkStart w:id="188" w:name="bookmark162"/>
      <w:bookmarkEnd w:id="188"/>
      <w:bookmarkStart w:id="189" w:name="_Toc17878"/>
      <w:r>
        <w:rPr>
          <w:sz w:val="44"/>
          <w:highlight w:val="none"/>
        </w:rPr>
        <w:t>第五章 委托人要求</w:t>
      </w:r>
      <w:bookmarkEnd w:id="189"/>
    </w:p>
    <w:p w14:paraId="46FE54F3">
      <w:pPr>
        <w:pStyle w:val="24"/>
        <w:ind w:firstLine="0" w:firstLineChars="0"/>
        <w:jc w:val="center"/>
        <w:rPr>
          <w:rFonts w:hint="default" w:ascii="宋体" w:hAnsi="宋体" w:eastAsia="宋体"/>
          <w:szCs w:val="24"/>
          <w:highlight w:val="none"/>
        </w:rPr>
        <w:sectPr>
          <w:pgSz w:w="11905" w:h="16838"/>
          <w:pgMar w:top="1417" w:right="1417" w:bottom="1417" w:left="1417" w:header="992" w:footer="992" w:gutter="0"/>
          <w:cols w:space="720" w:num="1"/>
        </w:sectPr>
      </w:pPr>
      <w:bookmarkStart w:id="190" w:name="_Toc805"/>
      <w:r>
        <w:rPr>
          <w:rFonts w:hint="default" w:ascii="宋体" w:hAnsi="宋体" w:eastAsia="宋体"/>
          <w:szCs w:val="24"/>
          <w:highlight w:val="none"/>
        </w:rPr>
        <w:t>（具体详见合同条款约定）</w:t>
      </w:r>
      <w:bookmarkEnd w:id="190"/>
    </w:p>
    <w:p w14:paraId="5AFEAED6">
      <w:pPr>
        <w:pStyle w:val="2"/>
        <w:spacing w:before="5280" w:beforeLines="2200"/>
        <w:ind w:left="6"/>
        <w:rPr>
          <w:rFonts w:hint="default"/>
          <w:sz w:val="52"/>
          <w:szCs w:val="52"/>
          <w:highlight w:val="none"/>
        </w:rPr>
      </w:pPr>
      <w:bookmarkStart w:id="191" w:name="bookmark173"/>
      <w:bookmarkEnd w:id="191"/>
      <w:bookmarkStart w:id="192" w:name="_Toc9855"/>
      <w:r>
        <w:rPr>
          <w:sz w:val="52"/>
          <w:szCs w:val="52"/>
          <w:highlight w:val="none"/>
        </w:rPr>
        <w:t>第三卷</w:t>
      </w:r>
      <w:bookmarkEnd w:id="192"/>
    </w:p>
    <w:p w14:paraId="54A7EAE8">
      <w:pPr>
        <w:pStyle w:val="2"/>
        <w:spacing w:before="5280" w:beforeLines="2200"/>
        <w:ind w:left="6"/>
        <w:rPr>
          <w:rFonts w:hint="default"/>
          <w:sz w:val="52"/>
          <w:szCs w:val="52"/>
          <w:highlight w:val="none"/>
        </w:rPr>
        <w:sectPr>
          <w:pgSz w:w="11905" w:h="16838"/>
          <w:pgMar w:top="1417" w:right="1417" w:bottom="1417" w:left="1417" w:header="992" w:footer="992" w:gutter="0"/>
          <w:cols w:space="720" w:num="1"/>
        </w:sectPr>
      </w:pPr>
    </w:p>
    <w:p w14:paraId="7D0954EF">
      <w:pPr>
        <w:pStyle w:val="3"/>
        <w:rPr>
          <w:sz w:val="44"/>
          <w:highlight w:val="none"/>
        </w:rPr>
      </w:pPr>
      <w:bookmarkStart w:id="193" w:name="bookmark174"/>
      <w:bookmarkEnd w:id="193"/>
      <w:bookmarkStart w:id="194" w:name="_Toc1895"/>
      <w:r>
        <w:rPr>
          <w:sz w:val="44"/>
          <w:highlight w:val="none"/>
        </w:rPr>
        <w:t>第六章 投标文件格式</w:t>
      </w:r>
      <w:bookmarkEnd w:id="194"/>
    </w:p>
    <w:p w14:paraId="488E30A9">
      <w:pPr>
        <w:pStyle w:val="3"/>
        <w:rPr>
          <w:highlight w:val="none"/>
        </w:rPr>
        <w:sectPr>
          <w:pgSz w:w="11905" w:h="16838"/>
          <w:pgMar w:top="1417" w:right="1417" w:bottom="1417" w:left="1417" w:header="992" w:footer="992" w:gutter="0"/>
          <w:cols w:space="720" w:num="1"/>
        </w:sectPr>
      </w:pPr>
    </w:p>
    <w:p w14:paraId="5E56C3E0">
      <w:pPr>
        <w:pStyle w:val="9"/>
        <w:kinsoku w:val="0"/>
        <w:overflowPunct w:val="0"/>
        <w:ind w:left="0"/>
        <w:rPr>
          <w:rFonts w:ascii="Microsoft JhengHei" w:hAnsi="Microsoft JhengHei" w:eastAsia="Microsoft JhengHei"/>
          <w:b/>
          <w:sz w:val="20"/>
          <w:highlight w:val="none"/>
        </w:rPr>
      </w:pPr>
    </w:p>
    <w:p w14:paraId="16474F64">
      <w:pPr>
        <w:pStyle w:val="9"/>
        <w:kinsoku w:val="0"/>
        <w:overflowPunct w:val="0"/>
        <w:ind w:left="0"/>
        <w:rPr>
          <w:rFonts w:ascii="Microsoft JhengHei" w:hAnsi="Microsoft JhengHei" w:eastAsia="Microsoft JhengHei"/>
          <w:b/>
          <w:sz w:val="20"/>
          <w:highlight w:val="none"/>
        </w:rPr>
      </w:pPr>
    </w:p>
    <w:p w14:paraId="1B351D6F">
      <w:pPr>
        <w:pStyle w:val="9"/>
        <w:kinsoku w:val="0"/>
        <w:overflowPunct w:val="0"/>
        <w:spacing w:before="1"/>
        <w:ind w:left="0"/>
        <w:rPr>
          <w:rFonts w:ascii="Microsoft JhengHei" w:hAnsi="Microsoft JhengHei" w:eastAsia="Microsoft JhengHei"/>
          <w:b/>
          <w:sz w:val="22"/>
          <w:highlight w:val="none"/>
        </w:rPr>
      </w:pPr>
    </w:p>
    <w:p w14:paraId="669C46BD">
      <w:pPr>
        <w:jc w:val="center"/>
        <w:rPr>
          <w:rFonts w:ascii="宋体"/>
          <w:sz w:val="36"/>
          <w:highlight w:val="none"/>
        </w:rPr>
      </w:pPr>
      <w:r>
        <w:rPr>
          <w:rFonts w:ascii="宋体"/>
          <w:sz w:val="36"/>
          <w:highlight w:val="none"/>
          <w:u w:val="single"/>
        </w:rPr>
        <w:t>（项目名称）</w:t>
      </w:r>
    </w:p>
    <w:p w14:paraId="5F1A0463">
      <w:pPr>
        <w:pStyle w:val="9"/>
        <w:kinsoku w:val="0"/>
        <w:overflowPunct w:val="0"/>
        <w:ind w:left="0"/>
        <w:rPr>
          <w:sz w:val="20"/>
          <w:highlight w:val="none"/>
        </w:rPr>
      </w:pPr>
    </w:p>
    <w:p w14:paraId="37BC4985">
      <w:pPr>
        <w:pStyle w:val="9"/>
        <w:kinsoku w:val="0"/>
        <w:overflowPunct w:val="0"/>
        <w:spacing w:before="9"/>
        <w:ind w:left="0"/>
        <w:rPr>
          <w:sz w:val="15"/>
          <w:highlight w:val="none"/>
        </w:rPr>
      </w:pPr>
    </w:p>
    <w:p w14:paraId="55F8FE97">
      <w:pPr>
        <w:pStyle w:val="9"/>
        <w:kinsoku w:val="0"/>
        <w:overflowPunct w:val="0"/>
        <w:spacing w:line="539" w:lineRule="exact"/>
        <w:ind w:left="3" w:right="1"/>
        <w:jc w:val="center"/>
        <w:rPr>
          <w:sz w:val="44"/>
          <w:highlight w:val="none"/>
        </w:rPr>
      </w:pPr>
    </w:p>
    <w:p w14:paraId="279965B6">
      <w:pPr>
        <w:pStyle w:val="9"/>
        <w:kinsoku w:val="0"/>
        <w:overflowPunct w:val="0"/>
        <w:spacing w:line="539" w:lineRule="exact"/>
        <w:ind w:left="3" w:right="1"/>
        <w:jc w:val="center"/>
        <w:rPr>
          <w:sz w:val="44"/>
          <w:highlight w:val="none"/>
        </w:rPr>
      </w:pPr>
    </w:p>
    <w:p w14:paraId="16A43BC4">
      <w:pPr>
        <w:pStyle w:val="9"/>
        <w:kinsoku w:val="0"/>
        <w:overflowPunct w:val="0"/>
        <w:ind w:left="0"/>
        <w:jc w:val="center"/>
        <w:rPr>
          <w:sz w:val="44"/>
          <w:highlight w:val="none"/>
        </w:rPr>
      </w:pPr>
      <w:r>
        <w:rPr>
          <w:rFonts w:cs="宋体"/>
          <w:sz w:val="84"/>
          <w:szCs w:val="84"/>
          <w:highlight w:val="none"/>
        </w:rPr>
        <w:t>投标文件</w:t>
      </w:r>
    </w:p>
    <w:p w14:paraId="52FA609A">
      <w:pPr>
        <w:pStyle w:val="9"/>
        <w:kinsoku w:val="0"/>
        <w:overflowPunct w:val="0"/>
        <w:ind w:left="0"/>
        <w:rPr>
          <w:sz w:val="44"/>
          <w:highlight w:val="none"/>
        </w:rPr>
      </w:pPr>
    </w:p>
    <w:p w14:paraId="595EE4B0">
      <w:pPr>
        <w:pStyle w:val="9"/>
        <w:kinsoku w:val="0"/>
        <w:overflowPunct w:val="0"/>
        <w:ind w:left="0"/>
        <w:rPr>
          <w:sz w:val="44"/>
          <w:highlight w:val="none"/>
        </w:rPr>
      </w:pPr>
    </w:p>
    <w:p w14:paraId="3D19C5F2">
      <w:pPr>
        <w:pStyle w:val="9"/>
        <w:kinsoku w:val="0"/>
        <w:overflowPunct w:val="0"/>
        <w:ind w:left="0"/>
        <w:rPr>
          <w:sz w:val="44"/>
          <w:highlight w:val="none"/>
        </w:rPr>
      </w:pPr>
    </w:p>
    <w:p w14:paraId="4FA49825">
      <w:pPr>
        <w:pStyle w:val="9"/>
        <w:kinsoku w:val="0"/>
        <w:overflowPunct w:val="0"/>
        <w:ind w:left="0"/>
        <w:rPr>
          <w:sz w:val="44"/>
          <w:highlight w:val="none"/>
        </w:rPr>
      </w:pPr>
    </w:p>
    <w:p w14:paraId="5C9457ED">
      <w:pPr>
        <w:pStyle w:val="9"/>
        <w:kinsoku w:val="0"/>
        <w:overflowPunct w:val="0"/>
        <w:ind w:left="0"/>
        <w:rPr>
          <w:sz w:val="44"/>
          <w:highlight w:val="none"/>
        </w:rPr>
      </w:pPr>
    </w:p>
    <w:p w14:paraId="7E7F4396">
      <w:pPr>
        <w:pStyle w:val="9"/>
        <w:kinsoku w:val="0"/>
        <w:overflowPunct w:val="0"/>
        <w:ind w:left="0"/>
        <w:rPr>
          <w:sz w:val="44"/>
          <w:highlight w:val="none"/>
        </w:rPr>
      </w:pPr>
    </w:p>
    <w:p w14:paraId="069CDFD4">
      <w:pPr>
        <w:pStyle w:val="9"/>
        <w:kinsoku w:val="0"/>
        <w:overflowPunct w:val="0"/>
        <w:ind w:left="0"/>
        <w:rPr>
          <w:sz w:val="44"/>
          <w:highlight w:val="none"/>
        </w:rPr>
      </w:pPr>
    </w:p>
    <w:p w14:paraId="2D8BAFAA">
      <w:pPr>
        <w:pStyle w:val="9"/>
        <w:kinsoku w:val="0"/>
        <w:overflowPunct w:val="0"/>
        <w:ind w:left="0"/>
        <w:rPr>
          <w:sz w:val="44"/>
          <w:highlight w:val="none"/>
        </w:rPr>
      </w:pPr>
    </w:p>
    <w:p w14:paraId="620A263F">
      <w:pPr>
        <w:pStyle w:val="9"/>
        <w:kinsoku w:val="0"/>
        <w:overflowPunct w:val="0"/>
        <w:ind w:left="0"/>
        <w:rPr>
          <w:sz w:val="44"/>
          <w:highlight w:val="none"/>
        </w:rPr>
      </w:pPr>
    </w:p>
    <w:p w14:paraId="363DA9DE">
      <w:pPr>
        <w:pStyle w:val="9"/>
        <w:kinsoku w:val="0"/>
        <w:overflowPunct w:val="0"/>
        <w:spacing w:before="3"/>
        <w:ind w:left="0"/>
        <w:rPr>
          <w:sz w:val="41"/>
          <w:highlight w:val="none"/>
        </w:rPr>
      </w:pPr>
    </w:p>
    <w:p w14:paraId="35C8D32F">
      <w:pPr>
        <w:pStyle w:val="9"/>
        <w:tabs>
          <w:tab w:val="left" w:pos="5577"/>
          <w:tab w:val="left" w:pos="6942"/>
        </w:tabs>
        <w:kinsoku w:val="0"/>
        <w:overflowPunct w:val="0"/>
        <w:spacing w:line="357" w:lineRule="auto"/>
        <w:ind w:left="1201" w:right="175"/>
        <w:rPr>
          <w:spacing w:val="-1"/>
          <w:sz w:val="28"/>
          <w:highlight w:val="none"/>
        </w:rPr>
      </w:pPr>
      <w:r>
        <w:rPr>
          <w:sz w:val="28"/>
          <w:highlight w:val="none"/>
        </w:rPr>
        <w:t>投标人：</w:t>
      </w:r>
      <w:r>
        <w:rPr>
          <w:rFonts w:hint="eastAsia" w:ascii="Times New Roman" w:hAnsi="Times New Roman" w:eastAsia="Times New Roman"/>
          <w:sz w:val="28"/>
          <w:highlight w:val="none"/>
          <w:u w:val="single"/>
        </w:rPr>
        <w:tab/>
      </w:r>
      <w:r>
        <w:rPr>
          <w:rFonts w:hint="eastAsia" w:ascii="Times New Roman" w:hAnsi="Times New Roman" w:eastAsia="Times New Roman"/>
          <w:sz w:val="28"/>
          <w:highlight w:val="none"/>
          <w:u w:val="single"/>
        </w:rPr>
        <w:tab/>
      </w:r>
      <w:r>
        <w:rPr>
          <w:spacing w:val="-1"/>
          <w:sz w:val="28"/>
          <w:highlight w:val="none"/>
        </w:rPr>
        <w:t>（盖单位章）</w:t>
      </w:r>
    </w:p>
    <w:p w14:paraId="01A39489">
      <w:pPr>
        <w:pStyle w:val="9"/>
        <w:tabs>
          <w:tab w:val="left" w:pos="5577"/>
          <w:tab w:val="left" w:pos="6942"/>
        </w:tabs>
        <w:kinsoku w:val="0"/>
        <w:overflowPunct w:val="0"/>
        <w:spacing w:line="357" w:lineRule="auto"/>
        <w:ind w:left="1201" w:right="175"/>
        <w:rPr>
          <w:spacing w:val="-1"/>
          <w:sz w:val="28"/>
          <w:highlight w:val="none"/>
        </w:rPr>
      </w:pPr>
      <w:r>
        <w:rPr>
          <w:spacing w:val="-136"/>
          <w:sz w:val="28"/>
          <w:highlight w:val="none"/>
        </w:rPr>
        <w:t xml:space="preserve"> </w:t>
      </w:r>
      <w:r>
        <w:rPr>
          <w:spacing w:val="-1"/>
          <w:sz w:val="28"/>
          <w:highlight w:val="none"/>
        </w:rPr>
        <w:t>法定代表人或其委托代理人：</w:t>
      </w:r>
      <w:r>
        <w:rPr>
          <w:rFonts w:hint="eastAsia" w:ascii="Times New Roman" w:hAnsi="Times New Roman" w:eastAsia="Times New Roman"/>
          <w:spacing w:val="-1"/>
          <w:sz w:val="28"/>
          <w:highlight w:val="none"/>
          <w:u w:val="single"/>
        </w:rPr>
        <w:tab/>
      </w:r>
      <w:r>
        <w:rPr>
          <w:spacing w:val="-1"/>
          <w:sz w:val="28"/>
          <w:highlight w:val="none"/>
        </w:rPr>
        <w:t>（签字）</w:t>
      </w:r>
    </w:p>
    <w:p w14:paraId="3606AF8D">
      <w:pPr>
        <w:pStyle w:val="9"/>
        <w:kinsoku w:val="0"/>
        <w:overflowPunct w:val="0"/>
        <w:spacing w:before="10"/>
        <w:ind w:left="0"/>
        <w:rPr>
          <w:sz w:val="29"/>
          <w:highlight w:val="none"/>
        </w:rPr>
      </w:pPr>
    </w:p>
    <w:p w14:paraId="7D330247">
      <w:pPr>
        <w:pStyle w:val="9"/>
        <w:tabs>
          <w:tab w:val="left" w:pos="3611"/>
          <w:tab w:val="left" w:pos="4626"/>
          <w:tab w:val="left" w:pos="5642"/>
        </w:tabs>
        <w:kinsoku w:val="0"/>
        <w:overflowPunct w:val="0"/>
        <w:spacing w:before="14"/>
        <w:ind w:left="2877" w:right="175"/>
        <w:rPr>
          <w:sz w:val="28"/>
          <w:highlight w:val="none"/>
        </w:rPr>
      </w:pPr>
      <w:r>
        <w:rPr>
          <w:rFonts w:hint="eastAsia" w:ascii="Times New Roman" w:hAnsi="Times New Roman" w:eastAsia="Times New Roman"/>
          <w:sz w:val="28"/>
          <w:highlight w:val="none"/>
          <w:u w:val="single"/>
        </w:rPr>
        <w:t xml:space="preserve"> </w:t>
      </w:r>
      <w:r>
        <w:rPr>
          <w:rFonts w:hint="eastAsia" w:ascii="Times New Roman" w:hAnsi="Times New Roman" w:eastAsia="Times New Roman"/>
          <w:sz w:val="28"/>
          <w:highlight w:val="none"/>
          <w:u w:val="single"/>
        </w:rPr>
        <w:tab/>
      </w:r>
      <w:r>
        <w:rPr>
          <w:sz w:val="28"/>
          <w:highlight w:val="none"/>
        </w:rPr>
        <w:t>年</w:t>
      </w:r>
      <w:r>
        <w:rPr>
          <w:rFonts w:hint="eastAsia" w:ascii="Times New Roman" w:hAnsi="Times New Roman" w:eastAsia="Times New Roman"/>
          <w:sz w:val="28"/>
          <w:highlight w:val="none"/>
          <w:u w:val="single"/>
        </w:rPr>
        <w:tab/>
      </w:r>
      <w:r>
        <w:rPr>
          <w:sz w:val="28"/>
          <w:highlight w:val="none"/>
        </w:rPr>
        <w:t>月</w:t>
      </w:r>
      <w:r>
        <w:rPr>
          <w:rFonts w:hint="eastAsia" w:ascii="Times New Roman" w:hAnsi="Times New Roman" w:eastAsia="Times New Roman"/>
          <w:sz w:val="28"/>
          <w:highlight w:val="none"/>
          <w:u w:val="single"/>
        </w:rPr>
        <w:tab/>
      </w:r>
      <w:r>
        <w:rPr>
          <w:sz w:val="28"/>
          <w:highlight w:val="none"/>
        </w:rPr>
        <w:t>日</w:t>
      </w:r>
    </w:p>
    <w:p w14:paraId="27FDB5C5">
      <w:pPr>
        <w:pStyle w:val="9"/>
        <w:tabs>
          <w:tab w:val="left" w:pos="3611"/>
          <w:tab w:val="left" w:pos="4626"/>
          <w:tab w:val="left" w:pos="5642"/>
        </w:tabs>
        <w:kinsoku w:val="0"/>
        <w:overflowPunct w:val="0"/>
        <w:spacing w:before="14"/>
        <w:ind w:left="2877" w:right="175"/>
        <w:rPr>
          <w:sz w:val="28"/>
          <w:highlight w:val="none"/>
        </w:rPr>
        <w:sectPr>
          <w:pgSz w:w="11905" w:h="16838"/>
          <w:pgMar w:top="1417" w:right="1417" w:bottom="1417" w:left="1417" w:header="992" w:footer="992" w:gutter="0"/>
          <w:cols w:space="720" w:num="1"/>
        </w:sectPr>
      </w:pPr>
    </w:p>
    <w:p w14:paraId="3526F67D">
      <w:pPr>
        <w:pStyle w:val="9"/>
        <w:kinsoku w:val="0"/>
        <w:overflowPunct w:val="0"/>
        <w:spacing w:line="443" w:lineRule="exact"/>
        <w:ind w:left="1244" w:right="1222"/>
        <w:jc w:val="center"/>
        <w:rPr>
          <w:rFonts w:ascii="Microsoft JhengHei" w:hAnsi="Microsoft JhengHei" w:eastAsia="Microsoft JhengHei"/>
          <w:sz w:val="32"/>
          <w:highlight w:val="none"/>
        </w:rPr>
      </w:pPr>
      <w:bookmarkStart w:id="195" w:name="bookmark175"/>
      <w:bookmarkEnd w:id="195"/>
      <w:r>
        <w:rPr>
          <w:rFonts w:hint="eastAsia" w:ascii="Microsoft JhengHei" w:hAnsi="Microsoft JhengHei" w:eastAsia="Microsoft JhengHei"/>
          <w:b/>
          <w:sz w:val="32"/>
          <w:highlight w:val="none"/>
        </w:rPr>
        <w:t>目录</w:t>
      </w:r>
    </w:p>
    <w:p w14:paraId="4C7590E8">
      <w:pPr>
        <w:pStyle w:val="9"/>
        <w:kinsoku w:val="0"/>
        <w:overflowPunct w:val="0"/>
        <w:spacing w:before="6"/>
        <w:ind w:left="0"/>
        <w:rPr>
          <w:rFonts w:ascii="Microsoft JhengHei" w:hAnsi="Microsoft JhengHei" w:eastAsia="Microsoft JhengHei"/>
          <w:b/>
          <w:sz w:val="24"/>
          <w:highlight w:val="none"/>
        </w:rPr>
      </w:pPr>
    </w:p>
    <w:p w14:paraId="7F7ACFF5">
      <w:pPr>
        <w:pStyle w:val="9"/>
        <w:kinsoku w:val="0"/>
        <w:overflowPunct w:val="0"/>
        <w:spacing w:before="36" w:line="472" w:lineRule="auto"/>
        <w:ind w:left="0" w:right="2650"/>
        <w:rPr>
          <w:sz w:val="24"/>
          <w:highlight w:val="none"/>
        </w:rPr>
      </w:pPr>
      <w:r>
        <w:rPr>
          <w:rFonts w:hint="eastAsia"/>
          <w:sz w:val="24"/>
          <w:highlight w:val="none"/>
        </w:rPr>
        <w:t>一、</w:t>
      </w:r>
      <w:r>
        <w:rPr>
          <w:sz w:val="24"/>
          <w:highlight w:val="none"/>
        </w:rPr>
        <w:t>投标函及投标函附录</w:t>
      </w:r>
    </w:p>
    <w:p w14:paraId="3AC835B7">
      <w:pPr>
        <w:pStyle w:val="9"/>
        <w:kinsoku w:val="0"/>
        <w:overflowPunct w:val="0"/>
        <w:spacing w:before="36" w:line="472" w:lineRule="auto"/>
        <w:ind w:left="0" w:right="2650"/>
        <w:rPr>
          <w:sz w:val="24"/>
          <w:highlight w:val="none"/>
        </w:rPr>
      </w:pPr>
      <w:r>
        <w:rPr>
          <w:rFonts w:hint="eastAsia"/>
          <w:sz w:val="24"/>
          <w:highlight w:val="none"/>
        </w:rPr>
        <w:t>二、</w:t>
      </w:r>
      <w:r>
        <w:rPr>
          <w:sz w:val="24"/>
          <w:highlight w:val="none"/>
        </w:rPr>
        <w:t xml:space="preserve">法定代表人身份证明、授权委托书 </w:t>
      </w:r>
    </w:p>
    <w:p w14:paraId="50A61E05">
      <w:pPr>
        <w:pStyle w:val="9"/>
        <w:kinsoku w:val="0"/>
        <w:overflowPunct w:val="0"/>
        <w:spacing w:before="36" w:line="472" w:lineRule="auto"/>
        <w:ind w:left="0" w:right="2650"/>
        <w:rPr>
          <w:sz w:val="24"/>
          <w:highlight w:val="none"/>
        </w:rPr>
      </w:pPr>
      <w:r>
        <w:rPr>
          <w:rFonts w:hint="eastAsia"/>
          <w:sz w:val="24"/>
          <w:highlight w:val="none"/>
        </w:rPr>
        <w:t>三、</w:t>
      </w:r>
      <w:r>
        <w:rPr>
          <w:sz w:val="24"/>
          <w:highlight w:val="none"/>
        </w:rPr>
        <w:t xml:space="preserve">监理报酬清单 </w:t>
      </w:r>
    </w:p>
    <w:p w14:paraId="77EEE451">
      <w:pPr>
        <w:pStyle w:val="9"/>
        <w:kinsoku w:val="0"/>
        <w:overflowPunct w:val="0"/>
        <w:spacing w:before="36" w:line="472" w:lineRule="auto"/>
        <w:ind w:left="0" w:right="2650"/>
        <w:rPr>
          <w:sz w:val="24"/>
          <w:highlight w:val="none"/>
        </w:rPr>
      </w:pPr>
      <w:r>
        <w:rPr>
          <w:rFonts w:hint="eastAsia"/>
          <w:sz w:val="24"/>
          <w:highlight w:val="none"/>
        </w:rPr>
        <w:t>四、</w:t>
      </w:r>
      <w:r>
        <w:rPr>
          <w:sz w:val="24"/>
          <w:highlight w:val="none"/>
        </w:rPr>
        <w:t xml:space="preserve">资格审查资料 </w:t>
      </w:r>
    </w:p>
    <w:p w14:paraId="0DAB69D1">
      <w:pPr>
        <w:pStyle w:val="9"/>
        <w:kinsoku w:val="0"/>
        <w:overflowPunct w:val="0"/>
        <w:spacing w:before="36" w:line="472" w:lineRule="auto"/>
        <w:ind w:left="0" w:right="2650"/>
        <w:rPr>
          <w:sz w:val="24"/>
          <w:highlight w:val="none"/>
        </w:rPr>
      </w:pPr>
      <w:r>
        <w:rPr>
          <w:rFonts w:hint="eastAsia"/>
          <w:sz w:val="24"/>
          <w:highlight w:val="none"/>
        </w:rPr>
        <w:t>五、</w:t>
      </w:r>
      <w:r>
        <w:rPr>
          <w:sz w:val="24"/>
          <w:highlight w:val="none"/>
        </w:rPr>
        <w:t xml:space="preserve">监理大纲 </w:t>
      </w:r>
    </w:p>
    <w:p w14:paraId="360B950E">
      <w:pPr>
        <w:pStyle w:val="9"/>
        <w:kinsoku w:val="0"/>
        <w:overflowPunct w:val="0"/>
        <w:spacing w:before="36" w:line="472" w:lineRule="auto"/>
        <w:ind w:left="0" w:right="2650"/>
        <w:rPr>
          <w:sz w:val="24"/>
          <w:highlight w:val="none"/>
        </w:rPr>
      </w:pPr>
      <w:r>
        <w:rPr>
          <w:rFonts w:hint="eastAsia"/>
          <w:sz w:val="24"/>
          <w:highlight w:val="none"/>
        </w:rPr>
        <w:t>六、</w:t>
      </w:r>
      <w:r>
        <w:rPr>
          <w:sz w:val="24"/>
          <w:highlight w:val="none"/>
        </w:rPr>
        <w:t>其他资料</w:t>
      </w:r>
    </w:p>
    <w:p w14:paraId="77CFA5B2">
      <w:pPr>
        <w:pStyle w:val="9"/>
        <w:kinsoku w:val="0"/>
        <w:overflowPunct w:val="0"/>
        <w:spacing w:before="36" w:line="472" w:lineRule="auto"/>
        <w:ind w:left="0" w:right="2650"/>
        <w:rPr>
          <w:sz w:val="24"/>
          <w:highlight w:val="none"/>
        </w:rPr>
      </w:pPr>
    </w:p>
    <w:p w14:paraId="1FD440EE">
      <w:pPr>
        <w:pStyle w:val="9"/>
        <w:kinsoku w:val="0"/>
        <w:overflowPunct w:val="0"/>
        <w:spacing w:before="36" w:line="472" w:lineRule="auto"/>
        <w:ind w:left="0" w:right="2650"/>
        <w:rPr>
          <w:sz w:val="24"/>
          <w:highlight w:val="none"/>
        </w:rPr>
      </w:pPr>
    </w:p>
    <w:p w14:paraId="21459EA2">
      <w:pPr>
        <w:pStyle w:val="9"/>
        <w:kinsoku w:val="0"/>
        <w:overflowPunct w:val="0"/>
        <w:spacing w:before="36" w:line="472" w:lineRule="auto"/>
        <w:ind w:left="0" w:right="2650"/>
        <w:rPr>
          <w:sz w:val="24"/>
          <w:highlight w:val="none"/>
        </w:rPr>
      </w:pPr>
    </w:p>
    <w:p w14:paraId="7795FB16">
      <w:pPr>
        <w:pStyle w:val="9"/>
        <w:kinsoku w:val="0"/>
        <w:overflowPunct w:val="0"/>
        <w:spacing w:before="36" w:line="472" w:lineRule="auto"/>
        <w:ind w:left="0" w:right="2650"/>
        <w:rPr>
          <w:sz w:val="24"/>
          <w:highlight w:val="none"/>
        </w:rPr>
      </w:pPr>
    </w:p>
    <w:p w14:paraId="41EAAD6D">
      <w:pPr>
        <w:pStyle w:val="9"/>
        <w:kinsoku w:val="0"/>
        <w:overflowPunct w:val="0"/>
        <w:spacing w:before="36" w:line="472" w:lineRule="auto"/>
        <w:ind w:left="0" w:right="2650"/>
        <w:rPr>
          <w:sz w:val="24"/>
          <w:highlight w:val="none"/>
        </w:rPr>
      </w:pPr>
    </w:p>
    <w:p w14:paraId="489AD5BF">
      <w:pPr>
        <w:pStyle w:val="9"/>
        <w:kinsoku w:val="0"/>
        <w:overflowPunct w:val="0"/>
        <w:spacing w:before="36" w:line="472" w:lineRule="auto"/>
        <w:ind w:left="0" w:right="2650"/>
        <w:rPr>
          <w:sz w:val="24"/>
          <w:highlight w:val="none"/>
        </w:rPr>
      </w:pPr>
    </w:p>
    <w:p w14:paraId="01A351EC">
      <w:pPr>
        <w:pStyle w:val="9"/>
        <w:kinsoku w:val="0"/>
        <w:overflowPunct w:val="0"/>
        <w:spacing w:before="36" w:line="472" w:lineRule="auto"/>
        <w:ind w:left="0" w:right="2650"/>
        <w:rPr>
          <w:sz w:val="24"/>
          <w:highlight w:val="none"/>
        </w:rPr>
      </w:pPr>
    </w:p>
    <w:p w14:paraId="3B1C9805">
      <w:pPr>
        <w:pStyle w:val="9"/>
        <w:kinsoku w:val="0"/>
        <w:overflowPunct w:val="0"/>
        <w:spacing w:before="36" w:line="472" w:lineRule="auto"/>
        <w:ind w:left="0" w:right="2650"/>
        <w:rPr>
          <w:sz w:val="24"/>
          <w:highlight w:val="none"/>
        </w:rPr>
      </w:pPr>
    </w:p>
    <w:p w14:paraId="7854C794">
      <w:pPr>
        <w:pStyle w:val="9"/>
        <w:kinsoku w:val="0"/>
        <w:overflowPunct w:val="0"/>
        <w:spacing w:before="36" w:line="472" w:lineRule="auto"/>
        <w:ind w:left="0" w:right="2650"/>
        <w:rPr>
          <w:sz w:val="24"/>
          <w:highlight w:val="none"/>
        </w:rPr>
      </w:pPr>
    </w:p>
    <w:p w14:paraId="7E61C976">
      <w:pPr>
        <w:pStyle w:val="9"/>
        <w:kinsoku w:val="0"/>
        <w:overflowPunct w:val="0"/>
        <w:spacing w:before="36" w:line="472" w:lineRule="auto"/>
        <w:ind w:left="0" w:right="2650"/>
        <w:rPr>
          <w:sz w:val="24"/>
          <w:highlight w:val="none"/>
        </w:rPr>
      </w:pPr>
    </w:p>
    <w:p w14:paraId="3BCFCF47">
      <w:pPr>
        <w:pStyle w:val="9"/>
        <w:kinsoku w:val="0"/>
        <w:overflowPunct w:val="0"/>
        <w:spacing w:before="36" w:line="472" w:lineRule="auto"/>
        <w:ind w:left="0" w:right="2650"/>
        <w:rPr>
          <w:sz w:val="24"/>
          <w:highlight w:val="none"/>
        </w:rPr>
      </w:pPr>
    </w:p>
    <w:p w14:paraId="7F2189D1">
      <w:pPr>
        <w:pStyle w:val="9"/>
        <w:kinsoku w:val="0"/>
        <w:overflowPunct w:val="0"/>
        <w:spacing w:before="36" w:line="472" w:lineRule="auto"/>
        <w:ind w:left="0" w:right="2650"/>
        <w:rPr>
          <w:sz w:val="24"/>
          <w:highlight w:val="none"/>
        </w:rPr>
      </w:pPr>
    </w:p>
    <w:p w14:paraId="3993CC44">
      <w:pPr>
        <w:pStyle w:val="9"/>
        <w:kinsoku w:val="0"/>
        <w:overflowPunct w:val="0"/>
        <w:spacing w:before="36" w:line="472" w:lineRule="auto"/>
        <w:ind w:left="0" w:right="2650"/>
        <w:rPr>
          <w:sz w:val="24"/>
          <w:highlight w:val="none"/>
        </w:rPr>
      </w:pPr>
    </w:p>
    <w:p w14:paraId="4BDE6379">
      <w:pPr>
        <w:pStyle w:val="9"/>
        <w:kinsoku w:val="0"/>
        <w:overflowPunct w:val="0"/>
        <w:spacing w:before="36" w:line="472" w:lineRule="auto"/>
        <w:ind w:left="0" w:right="2650"/>
        <w:rPr>
          <w:sz w:val="24"/>
          <w:highlight w:val="none"/>
        </w:rPr>
      </w:pPr>
    </w:p>
    <w:p w14:paraId="015A15A1">
      <w:pPr>
        <w:pStyle w:val="9"/>
        <w:kinsoku w:val="0"/>
        <w:overflowPunct w:val="0"/>
        <w:spacing w:before="36" w:line="472" w:lineRule="auto"/>
        <w:ind w:left="0" w:right="2650"/>
        <w:jc w:val="center"/>
        <w:rPr>
          <w:sz w:val="28"/>
          <w:highlight w:val="none"/>
        </w:rPr>
      </w:pPr>
      <w:bookmarkStart w:id="196" w:name="bookmark176"/>
      <w:bookmarkEnd w:id="196"/>
      <w:bookmarkStart w:id="197" w:name="_Toc6180"/>
      <w:r>
        <w:rPr>
          <w:rFonts w:hint="eastAsia"/>
          <w:sz w:val="28"/>
          <w:highlight w:val="none"/>
        </w:rPr>
        <w:t xml:space="preserve">              </w:t>
      </w:r>
      <w:r>
        <w:rPr>
          <w:sz w:val="28"/>
          <w:highlight w:val="none"/>
        </w:rPr>
        <w:t>一、投标函及投标函附录</w:t>
      </w:r>
      <w:bookmarkEnd w:id="197"/>
    </w:p>
    <w:p w14:paraId="7187FC13">
      <w:pPr>
        <w:pStyle w:val="5"/>
        <w:rPr>
          <w:b/>
          <w:highlight w:val="none"/>
        </w:rPr>
      </w:pPr>
      <w:bookmarkStart w:id="198" w:name="bookmark177"/>
      <w:bookmarkEnd w:id="198"/>
      <w:bookmarkStart w:id="199" w:name="_Toc13758"/>
      <w:r>
        <w:rPr>
          <w:b/>
          <w:highlight w:val="none"/>
        </w:rPr>
        <w:t>（一）投标函</w:t>
      </w:r>
      <w:bookmarkEnd w:id="199"/>
    </w:p>
    <w:p w14:paraId="054C0D08">
      <w:pPr>
        <w:pStyle w:val="9"/>
        <w:kinsoku w:val="0"/>
        <w:overflowPunct w:val="0"/>
        <w:spacing w:before="1"/>
        <w:ind w:left="0"/>
        <w:rPr>
          <w:sz w:val="23"/>
          <w:highlight w:val="none"/>
        </w:rPr>
      </w:pPr>
    </w:p>
    <w:p w14:paraId="43CE7000">
      <w:pPr>
        <w:pStyle w:val="9"/>
        <w:tabs>
          <w:tab w:val="left" w:pos="1991"/>
        </w:tabs>
        <w:kinsoku w:val="0"/>
        <w:overflowPunct w:val="0"/>
        <w:ind w:left="100" w:right="113"/>
        <w:rPr>
          <w:spacing w:val="-15"/>
          <w:highlight w:val="none"/>
        </w:rPr>
      </w:pPr>
      <w:r>
        <w:rPr>
          <w:rFonts w:hint="eastAsia" w:ascii="Times New Roman" w:hAnsi="Times New Roman" w:eastAsia="Times New Roman"/>
          <w:highlight w:val="none"/>
          <w:u w:val="single"/>
        </w:rPr>
        <w:t xml:space="preserve"> </w:t>
      </w:r>
      <w:r>
        <w:rPr>
          <w:rFonts w:hint="eastAsia" w:ascii="Times New Roman" w:hAnsi="Times New Roman" w:eastAsia="Times New Roman"/>
          <w:highlight w:val="none"/>
          <w:u w:val="single"/>
        </w:rPr>
        <w:tab/>
      </w:r>
      <w:r>
        <w:rPr>
          <w:spacing w:val="-15"/>
          <w:highlight w:val="none"/>
        </w:rPr>
        <w:t>（招标人名称）：</w:t>
      </w:r>
    </w:p>
    <w:p w14:paraId="53A73FD0">
      <w:pPr>
        <w:pStyle w:val="9"/>
        <w:kinsoku w:val="0"/>
        <w:overflowPunct w:val="0"/>
        <w:spacing w:before="13"/>
        <w:ind w:left="0"/>
        <w:rPr>
          <w:highlight w:val="none"/>
        </w:rPr>
      </w:pPr>
    </w:p>
    <w:p w14:paraId="6274A0A1">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1．我方已仔细研究了</w:t>
      </w:r>
      <w:r>
        <w:rPr>
          <w:rFonts w:ascii="宋体" w:hAnsi="宋体" w:cs="宋体"/>
          <w:kern w:val="2"/>
          <w:sz w:val="21"/>
          <w:szCs w:val="21"/>
          <w:highlight w:val="none"/>
          <w:u w:val="single"/>
        </w:rPr>
        <w:tab/>
      </w:r>
      <w:r>
        <w:rPr>
          <w:rFonts w:ascii="宋体" w:hAnsi="宋体" w:cs="宋体"/>
          <w:kern w:val="2"/>
          <w:sz w:val="21"/>
          <w:szCs w:val="21"/>
          <w:highlight w:val="none"/>
          <w:u w:val="single"/>
        </w:rPr>
        <w:tab/>
      </w:r>
      <w:r>
        <w:rPr>
          <w:rFonts w:ascii="宋体" w:hAnsi="宋体" w:cs="宋体"/>
          <w:kern w:val="2"/>
          <w:sz w:val="21"/>
          <w:szCs w:val="21"/>
          <w:highlight w:val="none"/>
          <w:u w:val="single"/>
        </w:rPr>
        <w:t xml:space="preserve">（项目名称）  </w:t>
      </w:r>
      <w:r>
        <w:rPr>
          <w:rFonts w:ascii="宋体" w:hAnsi="宋体" w:cs="宋体"/>
          <w:kern w:val="2"/>
          <w:sz w:val="21"/>
          <w:szCs w:val="21"/>
          <w:highlight w:val="none"/>
        </w:rPr>
        <w:t xml:space="preserve"> 招标项目招标文件的全部内容， 愿意以人民币（大写）</w:t>
      </w:r>
      <w:r>
        <w:rPr>
          <w:rFonts w:ascii="宋体" w:hAnsi="宋体" w:cs="宋体"/>
          <w:kern w:val="2"/>
          <w:sz w:val="21"/>
          <w:szCs w:val="21"/>
          <w:highlight w:val="none"/>
          <w:u w:val="single"/>
        </w:rPr>
        <w:tab/>
      </w:r>
      <w:r>
        <w:rPr>
          <w:rFonts w:ascii="宋体" w:hAnsi="宋体" w:cs="宋体"/>
          <w:kern w:val="2"/>
          <w:sz w:val="21"/>
          <w:szCs w:val="21"/>
          <w:highlight w:val="none"/>
          <w:u w:val="single"/>
        </w:rPr>
        <w:t xml:space="preserve">   </w:t>
      </w:r>
      <w:r>
        <w:rPr>
          <w:rFonts w:ascii="宋体" w:hAnsi="宋体" w:cs="宋体"/>
          <w:kern w:val="2"/>
          <w:sz w:val="21"/>
          <w:szCs w:val="21"/>
          <w:highlight w:val="none"/>
        </w:rPr>
        <w:t>（¥</w:t>
      </w:r>
      <w:r>
        <w:rPr>
          <w:rFonts w:ascii="宋体" w:hAnsi="宋体" w:cs="宋体"/>
          <w:kern w:val="2"/>
          <w:sz w:val="21"/>
          <w:szCs w:val="21"/>
          <w:highlight w:val="none"/>
          <w:u w:val="single"/>
        </w:rPr>
        <w:tab/>
      </w:r>
      <w:r>
        <w:rPr>
          <w:rFonts w:ascii="宋体" w:hAnsi="宋体" w:cs="宋体"/>
          <w:kern w:val="2"/>
          <w:sz w:val="21"/>
          <w:szCs w:val="21"/>
          <w:highlight w:val="none"/>
          <w:u w:val="single"/>
        </w:rPr>
        <w:tab/>
      </w:r>
      <w:r>
        <w:rPr>
          <w:rFonts w:ascii="宋体" w:hAnsi="宋体" w:cs="宋体"/>
          <w:kern w:val="2"/>
          <w:sz w:val="21"/>
          <w:szCs w:val="21"/>
          <w:highlight w:val="none"/>
        </w:rPr>
        <w:t>）的投标总报价，监理服务期限：</w:t>
      </w:r>
      <w:r>
        <w:rPr>
          <w:rFonts w:hint="eastAsia" w:ascii="宋体" w:hAnsi="宋体" w:cs="宋体"/>
          <w:kern w:val="2"/>
          <w:sz w:val="21"/>
          <w:szCs w:val="21"/>
          <w:highlight w:val="none"/>
          <w:u w:val="single"/>
        </w:rPr>
        <w:t xml:space="preserve">            </w:t>
      </w:r>
      <w:r>
        <w:rPr>
          <w:rFonts w:ascii="宋体" w:hAnsi="宋体" w:cs="宋体"/>
          <w:kern w:val="2"/>
          <w:sz w:val="21"/>
          <w:szCs w:val="21"/>
          <w:highlight w:val="none"/>
        </w:rPr>
        <w:t>，按合同约定完成监理工作。</w:t>
      </w:r>
    </w:p>
    <w:p w14:paraId="57C62997">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2. 我方的投标文件包括下列内容：</w:t>
      </w:r>
    </w:p>
    <w:p w14:paraId="068D6D24">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（1）</w:t>
      </w:r>
      <w:r>
        <w:rPr>
          <w:rFonts w:hint="eastAsia" w:ascii="宋体" w:hAnsi="宋体" w:cs="宋体"/>
          <w:kern w:val="2"/>
          <w:sz w:val="21"/>
          <w:szCs w:val="21"/>
          <w:highlight w:val="none"/>
        </w:rPr>
        <w:t>投标函及投标函</w:t>
      </w:r>
      <w:r>
        <w:rPr>
          <w:rFonts w:ascii="宋体" w:hAnsi="宋体" w:cs="宋体"/>
          <w:kern w:val="2"/>
          <w:sz w:val="21"/>
          <w:szCs w:val="21"/>
          <w:highlight w:val="none"/>
        </w:rPr>
        <w:t>附录</w:t>
      </w:r>
    </w:p>
    <w:p w14:paraId="24845296">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 xml:space="preserve">（2）法定代表人身份证明、授权委托书 </w:t>
      </w:r>
    </w:p>
    <w:p w14:paraId="2880938F">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 xml:space="preserve">（3）监理报酬清单 </w:t>
      </w:r>
    </w:p>
    <w:p w14:paraId="4B1CC439">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 xml:space="preserve">（4）资格审查资料 </w:t>
      </w:r>
    </w:p>
    <w:p w14:paraId="4393C220">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 xml:space="preserve">（5）监理大纲 </w:t>
      </w:r>
    </w:p>
    <w:p w14:paraId="4C3F29FA">
      <w:pPr>
        <w:pStyle w:val="9"/>
        <w:kinsoku w:val="0"/>
        <w:overflowPunct w:val="0"/>
        <w:spacing w:line="360" w:lineRule="auto"/>
        <w:ind w:left="522" w:right="2132" w:hanging="17"/>
        <w:rPr>
          <w:spacing w:val="-2"/>
          <w:highlight w:val="none"/>
        </w:rPr>
      </w:pPr>
      <w:r>
        <w:rPr>
          <w:rFonts w:cs="宋体"/>
          <w:kern w:val="2"/>
          <w:szCs w:val="21"/>
          <w:highlight w:val="none"/>
        </w:rPr>
        <w:t>（</w:t>
      </w:r>
      <w:r>
        <w:rPr>
          <w:rFonts w:hint="eastAsia" w:cs="宋体"/>
          <w:kern w:val="2"/>
          <w:szCs w:val="21"/>
          <w:highlight w:val="none"/>
        </w:rPr>
        <w:t>6</w:t>
      </w:r>
      <w:r>
        <w:rPr>
          <w:rFonts w:cs="宋体"/>
          <w:kern w:val="2"/>
          <w:szCs w:val="21"/>
          <w:highlight w:val="none"/>
        </w:rPr>
        <w:t>）其他资料</w:t>
      </w:r>
    </w:p>
    <w:p w14:paraId="2397D9E2">
      <w:pPr>
        <w:pStyle w:val="9"/>
        <w:kinsoku w:val="0"/>
        <w:overflowPunct w:val="0"/>
        <w:spacing w:line="360" w:lineRule="auto"/>
        <w:ind w:left="522" w:right="2132" w:hanging="17"/>
        <w:rPr>
          <w:spacing w:val="-2"/>
          <w:highlight w:val="none"/>
        </w:rPr>
      </w:pPr>
      <w:r>
        <w:rPr>
          <w:spacing w:val="-2"/>
          <w:highlight w:val="none"/>
        </w:rPr>
        <w:t>投标文件的上述组成部分如存在内容不一致的，以投标函为准。</w:t>
      </w:r>
    </w:p>
    <w:p w14:paraId="74428690">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3．我方承诺在招标文件规定的投标有效期内不撤销投标文件。</w:t>
      </w:r>
    </w:p>
    <w:p w14:paraId="71A7B610">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4．如我方中标，我方承诺：</w:t>
      </w:r>
    </w:p>
    <w:p w14:paraId="0C304953">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（1）在收到中标通知书后，在中标通知书规定的期限内与你方签订合同；</w:t>
      </w:r>
    </w:p>
    <w:p w14:paraId="2B9A8127">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（2）在签订合同时不向你方提出附加条件；</w:t>
      </w:r>
    </w:p>
    <w:p w14:paraId="13EB4B70">
      <w:pPr>
        <w:autoSpaceDE/>
        <w:autoSpaceDN/>
        <w:adjustRightInd/>
        <w:spacing w:line="360" w:lineRule="auto"/>
        <w:ind w:left="585" w:leftChars="200" w:hanging="105" w:hangingChars="50"/>
        <w:jc w:val="both"/>
        <w:rPr>
          <w:rFonts w:ascii="宋体" w:hAnsi="宋体" w:cs="宋体"/>
          <w:strike/>
          <w:kern w:val="2"/>
          <w:sz w:val="21"/>
          <w:szCs w:val="21"/>
          <w:highlight w:val="none"/>
        </w:rPr>
      </w:pPr>
      <w:r>
        <w:rPr>
          <w:rFonts w:ascii="宋体" w:hAnsi="宋体" w:cs="宋体"/>
          <w:kern w:val="2"/>
          <w:sz w:val="21"/>
          <w:szCs w:val="21"/>
          <w:highlight w:val="none"/>
        </w:rPr>
        <w:t>（</w:t>
      </w:r>
      <w:r>
        <w:rPr>
          <w:rFonts w:ascii="宋体" w:hAnsi="宋体" w:cs="宋体"/>
          <w:strike/>
          <w:kern w:val="2"/>
          <w:sz w:val="21"/>
          <w:szCs w:val="21"/>
          <w:highlight w:val="none"/>
        </w:rPr>
        <w:t>3）按照招标文件要求提交履约保证金；</w:t>
      </w:r>
    </w:p>
    <w:p w14:paraId="100E68A0">
      <w:pPr>
        <w:autoSpaceDE/>
        <w:autoSpaceDN/>
        <w:adjustRightInd/>
        <w:spacing w:line="360" w:lineRule="auto"/>
        <w:ind w:left="585" w:leftChars="200" w:hanging="105" w:hangingChars="50"/>
        <w:jc w:val="both"/>
        <w:rPr>
          <w:rFonts w:ascii="宋体" w:hAnsi="宋体" w:cs="宋体"/>
          <w:kern w:val="2"/>
          <w:sz w:val="21"/>
          <w:szCs w:val="21"/>
          <w:highlight w:val="none"/>
        </w:rPr>
      </w:pPr>
      <w:r>
        <w:rPr>
          <w:rFonts w:ascii="宋体" w:hAnsi="宋体" w:cs="宋体"/>
          <w:kern w:val="2"/>
          <w:sz w:val="21"/>
          <w:szCs w:val="21"/>
          <w:highlight w:val="none"/>
        </w:rPr>
        <w:t>（4）在合同约定的期限内完成合同规定的全部义务。</w:t>
      </w:r>
    </w:p>
    <w:p w14:paraId="1644A1B7">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5．我方在此声明，所递交的投标文件及有关资料内容完整、真实和准确，且不存在第二章 “投标人须知”第 1.4.3 项规定的任何一种情形。</w:t>
      </w:r>
    </w:p>
    <w:p w14:paraId="3B2212E5">
      <w:pPr>
        <w:autoSpaceDE/>
        <w:autoSpaceDN/>
        <w:adjustRightInd/>
        <w:spacing w:line="360"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6．</w:t>
      </w:r>
      <w:r>
        <w:rPr>
          <w:rFonts w:ascii="宋体" w:hAnsi="宋体" w:cs="宋体"/>
          <w:kern w:val="2"/>
          <w:sz w:val="21"/>
          <w:szCs w:val="21"/>
          <w:highlight w:val="none"/>
          <w:u w:val="single"/>
        </w:rPr>
        <w:tab/>
      </w:r>
      <w:r>
        <w:rPr>
          <w:rFonts w:ascii="宋体" w:hAnsi="宋体" w:cs="宋体"/>
          <w:kern w:val="2"/>
          <w:sz w:val="21"/>
          <w:szCs w:val="21"/>
          <w:highlight w:val="none"/>
        </w:rPr>
        <w:t>（其他补充说明）。</w:t>
      </w:r>
    </w:p>
    <w:p w14:paraId="2AE93325">
      <w:pPr>
        <w:pStyle w:val="9"/>
        <w:tabs>
          <w:tab w:val="left" w:pos="7241"/>
        </w:tabs>
        <w:kinsoku w:val="0"/>
        <w:overflowPunct w:val="0"/>
        <w:spacing w:before="36" w:line="360" w:lineRule="auto"/>
        <w:ind w:left="2621" w:right="113" w:firstLine="1260" w:firstLineChars="600"/>
        <w:rPr>
          <w:highlight w:val="none"/>
        </w:rPr>
      </w:pPr>
    </w:p>
    <w:p w14:paraId="03D134B4">
      <w:pPr>
        <w:pStyle w:val="9"/>
        <w:keepNext w:val="0"/>
        <w:keepLines w:val="0"/>
        <w:pageBreakBefore w:val="0"/>
        <w:tabs>
          <w:tab w:val="left" w:pos="7241"/>
        </w:tabs>
        <w:kinsoku w:val="0"/>
        <w:wordWrap/>
        <w:overflowPunct w:val="0"/>
        <w:topLinePunct w:val="0"/>
        <w:autoSpaceDE w:val="0"/>
        <w:autoSpaceDN w:val="0"/>
        <w:bidi w:val="0"/>
        <w:adjustRightInd w:val="0"/>
        <w:spacing w:before="36" w:line="264" w:lineRule="auto"/>
        <w:ind w:left="2621" w:right="113" w:firstLine="1260" w:firstLineChars="600"/>
        <w:rPr>
          <w:highlight w:val="none"/>
        </w:rPr>
      </w:pPr>
      <w:r>
        <w:rPr>
          <w:highlight w:val="none"/>
        </w:rPr>
        <w:t>投 标</w:t>
      </w:r>
      <w:r>
        <w:rPr>
          <w:spacing w:val="-1"/>
          <w:highlight w:val="none"/>
        </w:rPr>
        <w:t xml:space="preserve"> </w:t>
      </w:r>
      <w:r>
        <w:rPr>
          <w:highlight w:val="none"/>
        </w:rPr>
        <w:t>人：</w:t>
      </w:r>
      <w:r>
        <w:rPr>
          <w:highlight w:val="none"/>
          <w:u w:val="single"/>
        </w:rPr>
        <w:t xml:space="preserve">                 </w:t>
      </w:r>
      <w:r>
        <w:rPr>
          <w:rFonts w:hAnsi="Times New Roman"/>
          <w:highlight w:val="none"/>
          <w:u w:val="single"/>
        </w:rPr>
        <w:t xml:space="preserve">       </w:t>
      </w:r>
      <w:r>
        <w:rPr>
          <w:highlight w:val="none"/>
        </w:rPr>
        <w:t>（盖单位章）</w:t>
      </w:r>
    </w:p>
    <w:p w14:paraId="6F00D15B">
      <w:pPr>
        <w:keepNext w:val="0"/>
        <w:keepLines w:val="0"/>
        <w:pageBreakBefore w:val="0"/>
        <w:widowControl/>
        <w:kinsoku w:val="0"/>
        <w:wordWrap/>
        <w:topLinePunct w:val="0"/>
        <w:autoSpaceDE w:val="0"/>
        <w:autoSpaceDN w:val="0"/>
        <w:bidi w:val="0"/>
        <w:adjustRightInd w:val="0"/>
        <w:snapToGrid w:val="0"/>
        <w:spacing w:line="264" w:lineRule="auto"/>
        <w:ind w:left="3840" w:leftChars="1600" w:right="253"/>
        <w:textAlignment w:val="baseline"/>
        <w:rPr>
          <w:rFonts w:ascii="宋体" w:hAnsi="宋体" w:cs="宋体"/>
          <w:spacing w:val="-4"/>
          <w:sz w:val="21"/>
          <w:szCs w:val="21"/>
          <w:highlight w:val="none"/>
        </w:rPr>
      </w:pPr>
      <w:r>
        <w:rPr>
          <w:rFonts w:ascii="宋体" w:hAnsi="宋体" w:cs="宋体"/>
          <w:spacing w:val="-8"/>
          <w:sz w:val="21"/>
          <w:szCs w:val="21"/>
          <w:highlight w:val="none"/>
        </w:rPr>
        <w:t>法定</w:t>
      </w:r>
      <w:r>
        <w:rPr>
          <w:rFonts w:ascii="宋体" w:hAnsi="宋体" w:cs="宋体"/>
          <w:spacing w:val="-4"/>
          <w:sz w:val="21"/>
          <w:szCs w:val="21"/>
          <w:highlight w:val="none"/>
        </w:rPr>
        <w:t>代表人：</w:t>
      </w:r>
      <w:r>
        <w:rPr>
          <w:rFonts w:ascii="宋体" w:hAnsi="宋体" w:cs="宋体"/>
          <w:spacing w:val="-4"/>
          <w:sz w:val="21"/>
          <w:szCs w:val="21"/>
          <w:highlight w:val="none"/>
          <w:u w:val="single"/>
        </w:rPr>
        <w:t xml:space="preserve">            </w:t>
      </w:r>
      <w:r>
        <w:rPr>
          <w:rFonts w:ascii="宋体" w:hAnsi="宋体" w:cs="宋体"/>
          <w:spacing w:val="-4"/>
          <w:sz w:val="21"/>
          <w:szCs w:val="21"/>
          <w:highlight w:val="none"/>
        </w:rPr>
        <w:t>(签字或盖章)</w:t>
      </w:r>
    </w:p>
    <w:p w14:paraId="13D1F9F0">
      <w:pPr>
        <w:keepNext w:val="0"/>
        <w:keepLines w:val="0"/>
        <w:pageBreakBefore w:val="0"/>
        <w:widowControl/>
        <w:kinsoku w:val="0"/>
        <w:wordWrap/>
        <w:topLinePunct w:val="0"/>
        <w:autoSpaceDE w:val="0"/>
        <w:autoSpaceDN w:val="0"/>
        <w:bidi w:val="0"/>
        <w:adjustRightInd w:val="0"/>
        <w:snapToGrid w:val="0"/>
        <w:spacing w:line="264" w:lineRule="auto"/>
        <w:ind w:left="3840" w:leftChars="1600" w:right="253"/>
        <w:textAlignment w:val="baseline"/>
        <w:rPr>
          <w:rFonts w:ascii="宋体" w:hAnsi="宋体" w:cs="宋体"/>
          <w:spacing w:val="-4"/>
          <w:sz w:val="21"/>
          <w:szCs w:val="21"/>
          <w:highlight w:val="none"/>
        </w:rPr>
      </w:pPr>
      <w:r>
        <w:rPr>
          <w:rFonts w:ascii="宋体" w:hAnsi="宋体" w:cs="宋体"/>
          <w:spacing w:val="-4"/>
          <w:sz w:val="21"/>
          <w:szCs w:val="21"/>
          <w:highlight w:val="none"/>
        </w:rPr>
        <w:t>委托代理人：</w:t>
      </w:r>
      <w:r>
        <w:rPr>
          <w:rFonts w:ascii="宋体" w:hAnsi="宋体" w:cs="宋体"/>
          <w:spacing w:val="-4"/>
          <w:sz w:val="21"/>
          <w:szCs w:val="21"/>
          <w:highlight w:val="none"/>
          <w:u w:val="single"/>
        </w:rPr>
        <w:t xml:space="preserve">            </w:t>
      </w:r>
      <w:r>
        <w:rPr>
          <w:rFonts w:ascii="宋体" w:hAnsi="宋体" w:cs="宋体"/>
          <w:spacing w:val="-4"/>
          <w:sz w:val="21"/>
          <w:szCs w:val="21"/>
          <w:highlight w:val="none"/>
        </w:rPr>
        <w:t>(签字)</w:t>
      </w:r>
    </w:p>
    <w:p w14:paraId="41898419">
      <w:pPr>
        <w:pStyle w:val="26"/>
        <w:keepNext w:val="0"/>
        <w:keepLines w:val="0"/>
        <w:pageBreakBefore w:val="0"/>
        <w:widowControl/>
        <w:kinsoku w:val="0"/>
        <w:wordWrap/>
        <w:topLinePunct w:val="0"/>
        <w:autoSpaceDE w:val="0"/>
        <w:autoSpaceDN w:val="0"/>
        <w:bidi w:val="0"/>
        <w:adjustRightInd w:val="0"/>
        <w:snapToGrid w:val="0"/>
        <w:spacing w:line="264" w:lineRule="auto"/>
        <w:ind w:left="3840" w:leftChars="1600"/>
        <w:jc w:val="left"/>
        <w:textAlignment w:val="baseline"/>
        <w:rPr>
          <w:rFonts w:ascii="宋体" w:hAnsi="宋体" w:cs="宋体"/>
          <w:b w:val="0"/>
          <w:snapToGrid w:val="0"/>
          <w:spacing w:val="-4"/>
          <w:sz w:val="21"/>
          <w:szCs w:val="21"/>
          <w:highlight w:val="none"/>
        </w:rPr>
      </w:pPr>
      <w:r>
        <w:rPr>
          <w:rFonts w:ascii="宋体" w:hAnsi="宋体" w:cs="宋体"/>
          <w:b w:val="0"/>
          <w:snapToGrid w:val="0"/>
          <w:spacing w:val="-4"/>
          <w:sz w:val="21"/>
          <w:szCs w:val="21"/>
          <w:highlight w:val="none"/>
        </w:rPr>
        <w:t>项目负责人</w:t>
      </w:r>
      <w:r>
        <w:rPr>
          <w:rFonts w:hint="eastAsia" w:ascii="宋体" w:hAnsi="宋体" w:cs="宋体"/>
          <w:b w:val="0"/>
          <w:snapToGrid w:val="0"/>
          <w:spacing w:val="-4"/>
          <w:sz w:val="21"/>
          <w:szCs w:val="21"/>
          <w:highlight w:val="none"/>
        </w:rPr>
        <w:t>（总监理工程师）</w:t>
      </w:r>
      <w:r>
        <w:rPr>
          <w:rFonts w:ascii="宋体" w:hAnsi="宋体" w:cs="宋体"/>
          <w:b w:val="0"/>
          <w:snapToGrid w:val="0"/>
          <w:spacing w:val="-4"/>
          <w:sz w:val="21"/>
          <w:szCs w:val="21"/>
          <w:highlight w:val="none"/>
        </w:rPr>
        <w:t>：</w:t>
      </w:r>
      <w:r>
        <w:rPr>
          <w:rFonts w:ascii="宋体" w:hAnsi="宋体" w:cs="宋体"/>
          <w:spacing w:val="-4"/>
          <w:sz w:val="21"/>
          <w:szCs w:val="21"/>
          <w:highlight w:val="none"/>
          <w:u w:val="single"/>
        </w:rPr>
        <w:t xml:space="preserve">           </w:t>
      </w:r>
      <w:r>
        <w:rPr>
          <w:rFonts w:ascii="宋体" w:hAnsi="宋体" w:cs="宋体"/>
          <w:b w:val="0"/>
          <w:spacing w:val="-4"/>
          <w:sz w:val="21"/>
          <w:szCs w:val="21"/>
          <w:highlight w:val="none"/>
        </w:rPr>
        <w:t>(签字)</w:t>
      </w:r>
    </w:p>
    <w:p w14:paraId="4B6CD379">
      <w:pPr>
        <w:pStyle w:val="9"/>
        <w:keepNext w:val="0"/>
        <w:keepLines w:val="0"/>
        <w:pageBreakBefore w:val="0"/>
        <w:tabs>
          <w:tab w:val="left" w:pos="3232"/>
          <w:tab w:val="left" w:pos="8529"/>
        </w:tabs>
        <w:kinsoku w:val="0"/>
        <w:wordWrap/>
        <w:overflowPunct w:val="0"/>
        <w:topLinePunct w:val="0"/>
        <w:autoSpaceDE w:val="0"/>
        <w:autoSpaceDN w:val="0"/>
        <w:bidi w:val="0"/>
        <w:adjustRightInd w:val="0"/>
        <w:spacing w:before="36" w:line="264" w:lineRule="auto"/>
        <w:ind w:left="2601" w:firstLine="1260" w:firstLineChars="600"/>
        <w:rPr>
          <w:rFonts w:ascii="Times New Roman" w:hAnsi="Times New Roman" w:eastAsia="Times New Roman"/>
          <w:highlight w:val="none"/>
        </w:rPr>
      </w:pPr>
      <w:r>
        <w:rPr>
          <w:highlight w:val="none"/>
        </w:rPr>
        <w:t>地    址：</w:t>
      </w:r>
      <w:r>
        <w:rPr>
          <w:rFonts w:hint="eastAsia" w:ascii="Times New Roman" w:hAnsi="Times New Roman" w:eastAsia="Times New Roman"/>
          <w:highlight w:val="none"/>
          <w:u w:val="single"/>
        </w:rPr>
        <w:t xml:space="preserve"> </w:t>
      </w:r>
      <w:r>
        <w:rPr>
          <w:rFonts w:hAnsi="Times New Roman"/>
          <w:highlight w:val="none"/>
          <w:u w:val="single"/>
        </w:rPr>
        <w:t xml:space="preserve">                                                  </w:t>
      </w:r>
    </w:p>
    <w:p w14:paraId="7A8C1007">
      <w:pPr>
        <w:pStyle w:val="9"/>
        <w:keepNext w:val="0"/>
        <w:keepLines w:val="0"/>
        <w:pageBreakBefore w:val="0"/>
        <w:tabs>
          <w:tab w:val="left" w:pos="3232"/>
          <w:tab w:val="left" w:pos="8529"/>
        </w:tabs>
        <w:kinsoku w:val="0"/>
        <w:wordWrap/>
        <w:overflowPunct w:val="0"/>
        <w:topLinePunct w:val="0"/>
        <w:autoSpaceDE w:val="0"/>
        <w:autoSpaceDN w:val="0"/>
        <w:bidi w:val="0"/>
        <w:adjustRightInd w:val="0"/>
        <w:spacing w:before="36" w:line="264" w:lineRule="auto"/>
        <w:ind w:firstLine="3360" w:firstLineChars="1600"/>
        <w:rPr>
          <w:rFonts w:ascii="Times New Roman" w:hAnsi="Times New Roman" w:eastAsia="Times New Roman"/>
          <w:highlight w:val="none"/>
        </w:rPr>
      </w:pPr>
      <w:r>
        <w:rPr>
          <w:highlight w:val="none"/>
        </w:rPr>
        <w:t>网    址：</w:t>
      </w:r>
      <w:r>
        <w:rPr>
          <w:rFonts w:hint="eastAsia" w:ascii="Times New Roman" w:hAnsi="Times New Roman" w:eastAsia="Times New Roman"/>
          <w:highlight w:val="none"/>
          <w:u w:val="single"/>
        </w:rPr>
        <w:t xml:space="preserve"> </w:t>
      </w:r>
      <w:r>
        <w:rPr>
          <w:rFonts w:hAnsi="Times New Roman"/>
          <w:highlight w:val="none"/>
          <w:u w:val="single"/>
        </w:rPr>
        <w:t xml:space="preserve">                                                   </w:t>
      </w:r>
    </w:p>
    <w:p w14:paraId="65FFCBDB">
      <w:pPr>
        <w:pStyle w:val="9"/>
        <w:keepNext w:val="0"/>
        <w:keepLines w:val="0"/>
        <w:pageBreakBefore w:val="0"/>
        <w:tabs>
          <w:tab w:val="left" w:pos="3232"/>
          <w:tab w:val="left" w:pos="8529"/>
        </w:tabs>
        <w:kinsoku w:val="0"/>
        <w:wordWrap/>
        <w:overflowPunct w:val="0"/>
        <w:topLinePunct w:val="0"/>
        <w:autoSpaceDE w:val="0"/>
        <w:autoSpaceDN w:val="0"/>
        <w:bidi w:val="0"/>
        <w:adjustRightInd w:val="0"/>
        <w:spacing w:before="36" w:line="264" w:lineRule="auto"/>
        <w:ind w:firstLine="3360" w:firstLineChars="1600"/>
        <w:rPr>
          <w:rFonts w:ascii="Times New Roman" w:hAnsi="Times New Roman" w:eastAsia="Times New Roman"/>
          <w:highlight w:val="none"/>
          <w:u w:val="single"/>
        </w:rPr>
      </w:pPr>
      <w:r>
        <w:rPr>
          <w:highlight w:val="none"/>
        </w:rPr>
        <w:t>电    话：</w:t>
      </w:r>
      <w:r>
        <w:rPr>
          <w:highlight w:val="none"/>
          <w:u w:val="single"/>
        </w:rPr>
        <w:t xml:space="preserve">                          </w:t>
      </w:r>
    </w:p>
    <w:p w14:paraId="639B3D63">
      <w:pPr>
        <w:pStyle w:val="9"/>
        <w:keepNext w:val="0"/>
        <w:keepLines w:val="0"/>
        <w:pageBreakBefore w:val="0"/>
        <w:tabs>
          <w:tab w:val="left" w:pos="3232"/>
          <w:tab w:val="left" w:pos="8529"/>
        </w:tabs>
        <w:kinsoku w:val="0"/>
        <w:wordWrap/>
        <w:overflowPunct w:val="0"/>
        <w:topLinePunct w:val="0"/>
        <w:autoSpaceDE w:val="0"/>
        <w:autoSpaceDN w:val="0"/>
        <w:bidi w:val="0"/>
        <w:adjustRightInd w:val="0"/>
        <w:spacing w:before="36" w:line="264" w:lineRule="auto"/>
        <w:ind w:firstLine="3360" w:firstLineChars="1600"/>
        <w:rPr>
          <w:rFonts w:ascii="Times New Roman" w:hAnsi="Times New Roman" w:eastAsia="Times New Roman"/>
          <w:highlight w:val="none"/>
          <w:u w:val="single"/>
        </w:rPr>
      </w:pPr>
      <w:r>
        <w:rPr>
          <w:highlight w:val="none"/>
        </w:rPr>
        <w:t>传    真：</w:t>
      </w:r>
      <w:r>
        <w:rPr>
          <w:highlight w:val="none"/>
          <w:u w:val="single"/>
        </w:rPr>
        <w:t xml:space="preserve">                          </w:t>
      </w:r>
    </w:p>
    <w:p w14:paraId="18E4188B">
      <w:pPr>
        <w:pStyle w:val="9"/>
        <w:keepNext w:val="0"/>
        <w:keepLines w:val="0"/>
        <w:pageBreakBefore w:val="0"/>
        <w:tabs>
          <w:tab w:val="left" w:pos="8529"/>
        </w:tabs>
        <w:kinsoku w:val="0"/>
        <w:wordWrap/>
        <w:overflowPunct w:val="0"/>
        <w:topLinePunct w:val="0"/>
        <w:autoSpaceDE w:val="0"/>
        <w:autoSpaceDN w:val="0"/>
        <w:bidi w:val="0"/>
        <w:adjustRightInd w:val="0"/>
        <w:spacing w:before="36" w:line="264" w:lineRule="auto"/>
        <w:ind w:left="2601" w:firstLine="1260" w:firstLineChars="600"/>
        <w:rPr>
          <w:rFonts w:ascii="Times New Roman" w:hAnsi="Times New Roman" w:eastAsia="Times New Roman"/>
          <w:highlight w:val="none"/>
          <w:u w:val="single"/>
        </w:rPr>
      </w:pPr>
      <w:r>
        <w:rPr>
          <w:highlight w:val="none"/>
        </w:rPr>
        <w:t>邮政编码：</w:t>
      </w:r>
      <w:r>
        <w:rPr>
          <w:rFonts w:hint="eastAsia" w:ascii="Times New Roman" w:hAnsi="Times New Roman" w:eastAsia="Times New Roman"/>
          <w:highlight w:val="none"/>
          <w:u w:val="single"/>
        </w:rPr>
        <w:t xml:space="preserve"> </w:t>
      </w:r>
      <w:r>
        <w:rPr>
          <w:rFonts w:hAnsi="Times New Roman"/>
          <w:highlight w:val="none"/>
          <w:u w:val="single"/>
        </w:rPr>
        <w:t xml:space="preserve">                                                   </w:t>
      </w:r>
    </w:p>
    <w:p w14:paraId="38F5DEAF">
      <w:pPr>
        <w:pStyle w:val="9"/>
        <w:keepNext w:val="0"/>
        <w:keepLines w:val="0"/>
        <w:pageBreakBefore w:val="0"/>
        <w:tabs>
          <w:tab w:val="left" w:pos="8529"/>
        </w:tabs>
        <w:kinsoku w:val="0"/>
        <w:wordWrap/>
        <w:overflowPunct w:val="0"/>
        <w:topLinePunct w:val="0"/>
        <w:autoSpaceDE w:val="0"/>
        <w:autoSpaceDN w:val="0"/>
        <w:bidi w:val="0"/>
        <w:adjustRightInd w:val="0"/>
        <w:spacing w:before="36" w:line="264" w:lineRule="auto"/>
        <w:ind w:left="2601"/>
        <w:rPr>
          <w:rFonts w:ascii="Times New Roman" w:hAnsi="Times New Roman" w:eastAsia="Times New Roman"/>
          <w:highlight w:val="none"/>
          <w:u w:val="single"/>
        </w:rPr>
      </w:pPr>
      <w:r>
        <w:rPr>
          <w:rFonts w:hAnsi="Times New Roman"/>
          <w:highlight w:val="none"/>
        </w:rPr>
        <w:t xml:space="preserve">                  </w:t>
      </w:r>
      <w:r>
        <w:rPr>
          <w:rFonts w:hAnsi="Times New Roman"/>
          <w:highlight w:val="none"/>
          <w:u w:val="single"/>
        </w:rPr>
        <w:t xml:space="preserve">       </w:t>
      </w:r>
      <w:r>
        <w:rPr>
          <w:rFonts w:hAnsi="Times New Roman"/>
          <w:highlight w:val="none"/>
        </w:rPr>
        <w:t>年</w:t>
      </w:r>
      <w:r>
        <w:rPr>
          <w:rFonts w:hAnsi="Times New Roman"/>
          <w:highlight w:val="none"/>
          <w:u w:val="single"/>
        </w:rPr>
        <w:t xml:space="preserve">       </w:t>
      </w:r>
      <w:r>
        <w:rPr>
          <w:rFonts w:hAnsi="Times New Roman"/>
          <w:highlight w:val="none"/>
        </w:rPr>
        <w:t>月</w:t>
      </w:r>
      <w:r>
        <w:rPr>
          <w:rFonts w:hAnsi="Times New Roman"/>
          <w:highlight w:val="none"/>
          <w:u w:val="single"/>
        </w:rPr>
        <w:t xml:space="preserve">      </w:t>
      </w:r>
      <w:r>
        <w:rPr>
          <w:rFonts w:hAnsi="Times New Roman"/>
          <w:highlight w:val="none"/>
        </w:rPr>
        <w:t>日</w:t>
      </w:r>
    </w:p>
    <w:p w14:paraId="388AE127">
      <w:pPr>
        <w:pStyle w:val="9"/>
        <w:keepNext w:val="0"/>
        <w:keepLines w:val="0"/>
        <w:pageBreakBefore w:val="0"/>
        <w:tabs>
          <w:tab w:val="left" w:pos="631"/>
          <w:tab w:val="left" w:pos="1471"/>
          <w:tab w:val="left" w:pos="2311"/>
        </w:tabs>
        <w:kinsoku w:val="0"/>
        <w:wordWrap/>
        <w:overflowPunct w:val="0"/>
        <w:topLinePunct w:val="0"/>
        <w:autoSpaceDE w:val="0"/>
        <w:autoSpaceDN w:val="0"/>
        <w:bidi w:val="0"/>
        <w:adjustRightInd w:val="0"/>
        <w:spacing w:before="36" w:line="264" w:lineRule="auto"/>
        <w:ind w:left="0" w:right="117"/>
        <w:jc w:val="right"/>
        <w:rPr>
          <w:highlight w:val="none"/>
        </w:rPr>
        <w:sectPr>
          <w:footerReference r:id="rId12" w:type="default"/>
          <w:pgSz w:w="11905" w:h="16838"/>
          <w:pgMar w:top="1417" w:right="1417" w:bottom="1417" w:left="1417" w:header="992" w:footer="992" w:gutter="0"/>
          <w:cols w:space="720" w:num="1"/>
        </w:sectPr>
      </w:pPr>
    </w:p>
    <w:p w14:paraId="5D4BC9DE">
      <w:pPr>
        <w:pStyle w:val="5"/>
        <w:rPr>
          <w:b/>
          <w:highlight w:val="none"/>
        </w:rPr>
      </w:pPr>
      <w:bookmarkStart w:id="200" w:name="bookmark178"/>
      <w:bookmarkEnd w:id="200"/>
      <w:bookmarkStart w:id="201" w:name="_Toc28395"/>
      <w:r>
        <w:rPr>
          <w:b/>
          <w:highlight w:val="none"/>
        </w:rPr>
        <w:t>（二）投标函附录</w:t>
      </w:r>
      <w:bookmarkEnd w:id="201"/>
    </w:p>
    <w:p w14:paraId="2E4048BE">
      <w:pPr>
        <w:pStyle w:val="9"/>
        <w:kinsoku w:val="0"/>
        <w:overflowPunct w:val="0"/>
        <w:ind w:left="0"/>
        <w:rPr>
          <w:sz w:val="20"/>
          <w:highlight w:val="none"/>
        </w:rPr>
      </w:pPr>
    </w:p>
    <w:p w14:paraId="0D24BDD3">
      <w:pPr>
        <w:pStyle w:val="9"/>
        <w:kinsoku w:val="0"/>
        <w:overflowPunct w:val="0"/>
        <w:spacing w:before="11"/>
        <w:ind w:left="0"/>
        <w:rPr>
          <w:sz w:val="22"/>
          <w:highlight w:val="none"/>
        </w:rPr>
      </w:pPr>
    </w:p>
    <w:tbl>
      <w:tblPr>
        <w:tblStyle w:val="18"/>
        <w:tblW w:w="9033" w:type="dxa"/>
        <w:tblInd w:w="216" w:type="dxa"/>
        <w:tblLayout w:type="fixed"/>
        <w:tblCellMar>
          <w:top w:w="0" w:type="dxa"/>
          <w:left w:w="108" w:type="dxa"/>
          <w:bottom w:w="0" w:type="dxa"/>
          <w:right w:w="108" w:type="dxa"/>
        </w:tblCellMar>
      </w:tblPr>
      <w:tblGrid>
        <w:gridCol w:w="3528"/>
        <w:gridCol w:w="5505"/>
      </w:tblGrid>
      <w:tr w14:paraId="165E5684">
        <w:tblPrEx>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D595D">
            <w:pPr>
              <w:pStyle w:val="22"/>
              <w:kinsoku w:val="0"/>
              <w:overflowPunct w:val="0"/>
              <w:spacing w:before="26"/>
              <w:jc w:val="center"/>
              <w:rPr>
                <w:rFonts w:ascii="宋体" w:hAnsi="宋体" w:cs="宋体"/>
                <w:sz w:val="21"/>
                <w:highlight w:val="none"/>
              </w:rPr>
            </w:pPr>
            <w:r>
              <w:rPr>
                <w:rFonts w:ascii="宋体" w:hAnsi="宋体" w:cs="宋体"/>
                <w:sz w:val="21"/>
                <w:highlight w:val="none"/>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ACA4A">
            <w:pPr>
              <w:pStyle w:val="22"/>
              <w:kinsoku w:val="0"/>
              <w:overflowPunct w:val="0"/>
              <w:spacing w:before="26"/>
              <w:jc w:val="center"/>
              <w:rPr>
                <w:rFonts w:ascii="宋体" w:hAnsi="宋体" w:cs="宋体"/>
                <w:b/>
                <w:sz w:val="21"/>
                <w:szCs w:val="21"/>
                <w:highlight w:val="none"/>
              </w:rPr>
            </w:pPr>
          </w:p>
        </w:tc>
      </w:tr>
      <w:tr w14:paraId="5D87DB95">
        <w:tblPrEx>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3D570">
            <w:pPr>
              <w:pStyle w:val="22"/>
              <w:kinsoku w:val="0"/>
              <w:overflowPunct w:val="0"/>
              <w:spacing w:before="26"/>
              <w:jc w:val="center"/>
              <w:rPr>
                <w:rFonts w:ascii="宋体" w:hAnsi="宋体" w:cs="宋体"/>
                <w:sz w:val="21"/>
                <w:highlight w:val="none"/>
              </w:rPr>
            </w:pPr>
            <w:r>
              <w:rPr>
                <w:rFonts w:ascii="宋体" w:hAnsi="宋体" w:cs="宋体"/>
                <w:sz w:val="21"/>
                <w:highlight w:val="none"/>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AE3F8">
            <w:pPr>
              <w:pStyle w:val="22"/>
              <w:kinsoku w:val="0"/>
              <w:overflowPunct w:val="0"/>
              <w:spacing w:before="26"/>
              <w:jc w:val="center"/>
              <w:rPr>
                <w:rFonts w:ascii="宋体" w:hAnsi="宋体" w:cs="宋体"/>
                <w:b/>
                <w:sz w:val="21"/>
                <w:szCs w:val="21"/>
                <w:highlight w:val="none"/>
              </w:rPr>
            </w:pPr>
          </w:p>
        </w:tc>
      </w:tr>
      <w:tr w14:paraId="3D40EE97">
        <w:tblPrEx>
          <w:tblCellMar>
            <w:top w:w="0" w:type="dxa"/>
            <w:left w:w="108" w:type="dxa"/>
            <w:bottom w:w="0" w:type="dxa"/>
            <w:right w:w="108" w:type="dxa"/>
          </w:tblCellMar>
        </w:tblPrEx>
        <w:trPr>
          <w:trHeight w:val="643"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D7A1A">
            <w:pPr>
              <w:pStyle w:val="22"/>
              <w:kinsoku w:val="0"/>
              <w:overflowPunct w:val="0"/>
              <w:spacing w:before="26"/>
              <w:jc w:val="center"/>
              <w:rPr>
                <w:rFonts w:ascii="宋体" w:hAnsi="宋体" w:cs="宋体"/>
                <w:sz w:val="21"/>
                <w:highlight w:val="none"/>
              </w:rPr>
            </w:pPr>
            <w:r>
              <w:rPr>
                <w:rFonts w:ascii="宋体" w:hAnsi="宋体" w:cs="宋体"/>
                <w:sz w:val="21"/>
                <w:highlight w:val="none"/>
              </w:rPr>
              <w:t>投标报价下浮率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CB721">
            <w:pPr>
              <w:pStyle w:val="22"/>
              <w:kinsoku w:val="0"/>
              <w:overflowPunct w:val="0"/>
              <w:spacing w:before="26"/>
              <w:jc w:val="center"/>
              <w:rPr>
                <w:rFonts w:ascii="宋体" w:hAnsi="宋体" w:cs="宋体"/>
                <w:sz w:val="21"/>
                <w:szCs w:val="21"/>
                <w:highlight w:val="none"/>
              </w:rPr>
            </w:pPr>
            <w:r>
              <w:rPr>
                <w:rFonts w:ascii="宋体" w:hAnsi="宋体" w:cs="宋体"/>
                <w:b/>
                <w:sz w:val="21"/>
                <w:szCs w:val="21"/>
                <w:highlight w:val="none"/>
              </w:rPr>
              <w:t>%</w:t>
            </w:r>
          </w:p>
        </w:tc>
      </w:tr>
      <w:tr w14:paraId="6E58FAF3">
        <w:tblPrEx>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FF8D3">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总监理工程师</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EC65A">
            <w:pPr>
              <w:spacing w:line="360" w:lineRule="auto"/>
              <w:jc w:val="both"/>
              <w:rPr>
                <w:rFonts w:ascii="宋体" w:hAnsi="宋体" w:cs="宋体"/>
                <w:sz w:val="21"/>
                <w:szCs w:val="21"/>
                <w:highlight w:val="none"/>
              </w:rPr>
            </w:pPr>
            <w:r>
              <w:rPr>
                <w:rFonts w:ascii="宋体" w:hAnsi="宋体" w:cs="宋体"/>
                <w:sz w:val="21"/>
                <w:szCs w:val="21"/>
                <w:highlight w:val="none"/>
              </w:rPr>
              <w:t>姓名：</w:t>
            </w:r>
            <w:r>
              <w:rPr>
                <w:rFonts w:ascii="宋体" w:hAnsi="宋体" w:cs="宋体"/>
                <w:sz w:val="21"/>
                <w:szCs w:val="21"/>
                <w:highlight w:val="none"/>
                <w:u w:val="single"/>
              </w:rPr>
              <w:t xml:space="preserve">                       </w:t>
            </w:r>
          </w:p>
          <w:p w14:paraId="627DAFF7">
            <w:pPr>
              <w:spacing w:line="360" w:lineRule="auto"/>
              <w:jc w:val="both"/>
              <w:rPr>
                <w:rFonts w:ascii="宋体" w:hAnsi="宋体" w:cs="宋体"/>
                <w:sz w:val="21"/>
                <w:szCs w:val="21"/>
                <w:highlight w:val="none"/>
              </w:rPr>
            </w:pPr>
            <w:r>
              <w:rPr>
                <w:rFonts w:ascii="宋体" w:hAnsi="宋体" w:cs="宋体"/>
                <w:sz w:val="21"/>
                <w:szCs w:val="21"/>
                <w:highlight w:val="none"/>
              </w:rPr>
              <w:t>技术职称：</w:t>
            </w:r>
            <w:r>
              <w:rPr>
                <w:rFonts w:ascii="宋体" w:hAnsi="宋体" w:cs="宋体"/>
                <w:sz w:val="21"/>
                <w:szCs w:val="21"/>
                <w:highlight w:val="none"/>
                <w:u w:val="single"/>
              </w:rPr>
              <w:t xml:space="preserve">                    </w:t>
            </w:r>
          </w:p>
          <w:p w14:paraId="77ACB8B4">
            <w:pPr>
              <w:pStyle w:val="22"/>
              <w:kinsoku w:val="0"/>
              <w:overflowPunct w:val="0"/>
              <w:spacing w:before="95" w:line="360" w:lineRule="auto"/>
              <w:jc w:val="both"/>
              <w:rPr>
                <w:rFonts w:ascii="宋体" w:hAnsi="宋体" w:cs="宋体"/>
                <w:sz w:val="21"/>
                <w:szCs w:val="21"/>
                <w:highlight w:val="none"/>
                <w:u w:val="single"/>
              </w:rPr>
            </w:pPr>
            <w:r>
              <w:rPr>
                <w:rFonts w:ascii="宋体" w:hAnsi="宋体" w:cs="宋体"/>
                <w:sz w:val="21"/>
                <w:szCs w:val="21"/>
                <w:highlight w:val="none"/>
              </w:rPr>
              <w:t>注册证号：</w:t>
            </w:r>
            <w:r>
              <w:rPr>
                <w:rFonts w:ascii="宋体" w:hAnsi="宋体" w:cs="宋体"/>
                <w:sz w:val="21"/>
                <w:szCs w:val="21"/>
                <w:highlight w:val="none"/>
                <w:u w:val="single"/>
              </w:rPr>
              <w:t xml:space="preserve">                    </w:t>
            </w:r>
          </w:p>
        </w:tc>
      </w:tr>
      <w:tr w14:paraId="3E1D5205">
        <w:tblPrEx>
          <w:tblCellMar>
            <w:top w:w="0" w:type="dxa"/>
            <w:left w:w="108" w:type="dxa"/>
            <w:bottom w:w="0" w:type="dxa"/>
            <w:right w:w="108" w:type="dxa"/>
          </w:tblCellMar>
        </w:tblPrEx>
        <w:trPr>
          <w:trHeight w:val="1009"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B6D3E">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监理服务期限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74523">
            <w:pPr>
              <w:pStyle w:val="22"/>
              <w:tabs>
                <w:tab w:val="left" w:pos="734"/>
              </w:tabs>
              <w:kinsoku w:val="0"/>
              <w:overflowPunct w:val="0"/>
              <w:spacing w:before="93"/>
              <w:ind w:left="103"/>
              <w:jc w:val="both"/>
              <w:rPr>
                <w:rFonts w:ascii="宋体" w:hAnsi="宋体" w:cs="宋体"/>
                <w:sz w:val="21"/>
                <w:szCs w:val="21"/>
                <w:highlight w:val="none"/>
              </w:rPr>
            </w:pPr>
            <w:r>
              <w:rPr>
                <w:rFonts w:ascii="宋体" w:hAnsi="宋体" w:cs="宋体"/>
                <w:sz w:val="21"/>
                <w:szCs w:val="21"/>
                <w:highlight w:val="none"/>
              </w:rPr>
              <w:t>按招标文件的要求</w:t>
            </w:r>
          </w:p>
        </w:tc>
      </w:tr>
      <w:tr w14:paraId="7DEE9EB2">
        <w:tblPrEx>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21F44">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0E548">
            <w:pPr>
              <w:pStyle w:val="22"/>
              <w:kinsoku w:val="0"/>
              <w:overflowPunct w:val="0"/>
              <w:spacing w:before="107"/>
              <w:jc w:val="both"/>
              <w:rPr>
                <w:rFonts w:ascii="宋体" w:hAnsi="宋体" w:cs="宋体"/>
                <w:sz w:val="21"/>
                <w:szCs w:val="21"/>
                <w:highlight w:val="none"/>
              </w:rPr>
            </w:pPr>
            <w:r>
              <w:rPr>
                <w:rFonts w:ascii="宋体" w:hAnsi="宋体" w:cs="宋体"/>
                <w:sz w:val="21"/>
                <w:szCs w:val="21"/>
                <w:highlight w:val="none"/>
              </w:rPr>
              <w:t>按招标文件的要求</w:t>
            </w:r>
          </w:p>
        </w:tc>
      </w:tr>
      <w:tr w14:paraId="6D5FBA1A">
        <w:tblPrEx>
          <w:tblCellMar>
            <w:top w:w="0" w:type="dxa"/>
            <w:left w:w="108" w:type="dxa"/>
            <w:bottom w:w="0" w:type="dxa"/>
            <w:right w:w="108" w:type="dxa"/>
          </w:tblCellMar>
        </w:tblPrEx>
        <w:trPr>
          <w:trHeight w:val="594"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B8EF8">
            <w:pPr>
              <w:jc w:val="center"/>
              <w:rPr>
                <w:rFonts w:ascii="宋体" w:hAnsi="宋体" w:cs="宋体"/>
                <w:sz w:val="21"/>
                <w:szCs w:val="21"/>
                <w:highlight w:val="none"/>
              </w:rPr>
            </w:pPr>
            <w:r>
              <w:rPr>
                <w:rFonts w:ascii="宋体" w:hAnsi="宋体" w:cs="宋体"/>
                <w:sz w:val="21"/>
                <w:szCs w:val="21"/>
                <w:highlight w:val="none"/>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6FEB1">
            <w:pPr>
              <w:rPr>
                <w:rFonts w:ascii="宋体" w:hAnsi="宋体" w:cs="宋体"/>
                <w:sz w:val="21"/>
                <w:szCs w:val="21"/>
                <w:highlight w:val="none"/>
              </w:rPr>
            </w:pPr>
            <w:r>
              <w:rPr>
                <w:rFonts w:ascii="宋体" w:hAnsi="宋体" w:cs="宋体"/>
                <w:sz w:val="21"/>
                <w:szCs w:val="21"/>
                <w:highlight w:val="none"/>
              </w:rPr>
              <w:t xml:space="preserve"> </w:t>
            </w:r>
            <w:r>
              <w:rPr>
                <w:rFonts w:ascii="宋体" w:hAnsi="宋体" w:cs="宋体"/>
                <w:sz w:val="21"/>
                <w:szCs w:val="21"/>
                <w:highlight w:val="none"/>
                <w:u w:val="single"/>
              </w:rPr>
              <w:t xml:space="preserve">     </w:t>
            </w:r>
            <w:r>
              <w:rPr>
                <w:rFonts w:ascii="宋体" w:hAnsi="宋体" w:cs="宋体"/>
                <w:sz w:val="21"/>
                <w:szCs w:val="21"/>
                <w:highlight w:val="none"/>
              </w:rPr>
              <w:t>日历天</w:t>
            </w:r>
          </w:p>
          <w:p w14:paraId="4DB286DC">
            <w:pPr>
              <w:rPr>
                <w:rFonts w:ascii="宋体" w:hAnsi="宋体" w:cs="宋体"/>
                <w:sz w:val="21"/>
                <w:szCs w:val="21"/>
                <w:highlight w:val="none"/>
              </w:rPr>
            </w:pPr>
            <w:r>
              <w:rPr>
                <w:rFonts w:ascii="宋体" w:hAnsi="宋体" w:cs="宋体"/>
                <w:sz w:val="21"/>
                <w:szCs w:val="21"/>
                <w:highlight w:val="none"/>
              </w:rPr>
              <w:t>（从投标截止之日算起）</w:t>
            </w:r>
          </w:p>
        </w:tc>
      </w:tr>
    </w:tbl>
    <w:p w14:paraId="2FA686EF">
      <w:pPr>
        <w:pStyle w:val="9"/>
        <w:kinsoku w:val="0"/>
        <w:overflowPunct w:val="0"/>
        <w:ind w:left="0"/>
        <w:rPr>
          <w:sz w:val="20"/>
          <w:highlight w:val="none"/>
        </w:rPr>
      </w:pPr>
    </w:p>
    <w:p w14:paraId="0A52625E">
      <w:pPr>
        <w:pStyle w:val="9"/>
        <w:kinsoku w:val="0"/>
        <w:overflowPunct w:val="0"/>
        <w:ind w:left="0"/>
        <w:rPr>
          <w:sz w:val="19"/>
          <w:highlight w:val="none"/>
        </w:rPr>
      </w:pPr>
    </w:p>
    <w:p w14:paraId="2B105DE7">
      <w:pPr>
        <w:pStyle w:val="9"/>
        <w:kinsoku w:val="0"/>
        <w:overflowPunct w:val="0"/>
        <w:spacing w:before="10"/>
        <w:ind w:left="0"/>
        <w:rPr>
          <w:sz w:val="24"/>
          <w:highlight w:val="none"/>
        </w:rPr>
      </w:pPr>
    </w:p>
    <w:p w14:paraId="56BAD462">
      <w:pPr>
        <w:pStyle w:val="9"/>
        <w:tabs>
          <w:tab w:val="left" w:pos="631"/>
          <w:tab w:val="left" w:pos="1471"/>
          <w:tab w:val="left" w:pos="2311"/>
        </w:tabs>
        <w:kinsoku w:val="0"/>
        <w:overflowPunct w:val="0"/>
        <w:spacing w:before="36"/>
        <w:ind w:left="0" w:right="177"/>
        <w:jc w:val="right"/>
        <w:rPr>
          <w:highlight w:val="none"/>
        </w:rPr>
      </w:pPr>
      <w:r>
        <w:rPr>
          <w:rFonts w:hint="eastAsia" w:ascii="Times New Roman" w:hAnsi="Times New Roman" w:eastAsia="Times New Roman"/>
          <w:sz w:val="24"/>
          <w:highlight w:val="none"/>
          <w:u w:val="single"/>
        </w:rPr>
        <w:t xml:space="preserve"> </w:t>
      </w:r>
    </w:p>
    <w:p w14:paraId="4C80DD2A">
      <w:pPr>
        <w:pStyle w:val="9"/>
        <w:tabs>
          <w:tab w:val="left" w:pos="631"/>
          <w:tab w:val="left" w:pos="1471"/>
          <w:tab w:val="left" w:pos="2311"/>
        </w:tabs>
        <w:kinsoku w:val="0"/>
        <w:overflowPunct w:val="0"/>
        <w:spacing w:before="36"/>
        <w:ind w:left="0" w:right="177"/>
        <w:jc w:val="right"/>
        <w:rPr>
          <w:highlight w:val="none"/>
        </w:rPr>
        <w:sectPr>
          <w:pgSz w:w="11905" w:h="16838"/>
          <w:pgMar w:top="1417" w:right="1417" w:bottom="1417" w:left="1417" w:header="992" w:footer="992" w:gutter="0"/>
          <w:cols w:space="720" w:num="1"/>
        </w:sectPr>
      </w:pPr>
    </w:p>
    <w:p w14:paraId="0D18516C">
      <w:pPr>
        <w:pStyle w:val="4"/>
        <w:spacing w:before="120" w:after="120"/>
        <w:jc w:val="center"/>
        <w:rPr>
          <w:sz w:val="28"/>
          <w:highlight w:val="none"/>
        </w:rPr>
      </w:pPr>
      <w:bookmarkStart w:id="202" w:name="bookmark179"/>
      <w:bookmarkEnd w:id="202"/>
      <w:bookmarkStart w:id="203" w:name="_Toc18723"/>
      <w:r>
        <w:rPr>
          <w:sz w:val="28"/>
          <w:highlight w:val="none"/>
        </w:rPr>
        <w:t>二、法定代表人身份证明</w:t>
      </w:r>
      <w:bookmarkEnd w:id="203"/>
    </w:p>
    <w:p w14:paraId="3EDDB324">
      <w:pPr>
        <w:pStyle w:val="9"/>
        <w:kinsoku w:val="0"/>
        <w:overflowPunct w:val="0"/>
        <w:ind w:left="0"/>
        <w:rPr>
          <w:rFonts w:ascii="Microsoft JhengHei" w:hAnsi="Microsoft JhengHei" w:eastAsia="Microsoft JhengHei"/>
          <w:b/>
          <w:sz w:val="32"/>
          <w:highlight w:val="none"/>
        </w:rPr>
      </w:pPr>
    </w:p>
    <w:p w14:paraId="1DF2A499">
      <w:pPr>
        <w:pStyle w:val="9"/>
        <w:kinsoku w:val="0"/>
        <w:overflowPunct w:val="0"/>
        <w:ind w:left="0"/>
        <w:rPr>
          <w:rFonts w:ascii="Microsoft JhengHei" w:hAnsi="Microsoft JhengHei" w:eastAsia="Microsoft JhengHei"/>
          <w:b/>
          <w:sz w:val="32"/>
          <w:highlight w:val="none"/>
        </w:rPr>
      </w:pPr>
    </w:p>
    <w:p w14:paraId="1DBB248E">
      <w:pPr>
        <w:pStyle w:val="9"/>
        <w:kinsoku w:val="0"/>
        <w:overflowPunct w:val="0"/>
        <w:spacing w:before="8"/>
        <w:ind w:left="0"/>
        <w:rPr>
          <w:rFonts w:ascii="Microsoft JhengHei" w:hAnsi="Microsoft JhengHei" w:eastAsia="Microsoft JhengHei"/>
          <w:b/>
          <w:sz w:val="25"/>
          <w:highlight w:val="none"/>
        </w:rPr>
      </w:pPr>
    </w:p>
    <w:p w14:paraId="07E30DCC">
      <w:pPr>
        <w:pStyle w:val="9"/>
        <w:tabs>
          <w:tab w:val="left" w:pos="3928"/>
        </w:tabs>
        <w:kinsoku w:val="0"/>
        <w:overflowPunct w:val="0"/>
        <w:ind w:left="100"/>
        <w:rPr>
          <w:rFonts w:ascii="Times New Roman" w:hAnsi="Times New Roman" w:eastAsia="Times New Roman"/>
          <w:sz w:val="24"/>
          <w:highlight w:val="none"/>
        </w:rPr>
      </w:pPr>
      <w:r>
        <w:rPr>
          <w:sz w:val="24"/>
          <w:highlight w:val="none"/>
        </w:rPr>
        <w:t>投标人名称：</w:t>
      </w:r>
      <w:r>
        <w:rPr>
          <w:rFonts w:hint="eastAsia" w:ascii="Times New Roman" w:hAnsi="Times New Roman" w:eastAsia="Times New Roman"/>
          <w:sz w:val="24"/>
          <w:highlight w:val="none"/>
          <w:u w:val="single"/>
        </w:rPr>
        <w:t xml:space="preserve"> </w:t>
      </w:r>
      <w:r>
        <w:rPr>
          <w:rFonts w:hint="eastAsia" w:ascii="Times New Roman" w:hAnsi="Times New Roman" w:eastAsia="Times New Roman"/>
          <w:sz w:val="24"/>
          <w:highlight w:val="none"/>
          <w:u w:val="single"/>
        </w:rPr>
        <w:tab/>
      </w:r>
    </w:p>
    <w:p w14:paraId="46CF34C0">
      <w:pPr>
        <w:pStyle w:val="9"/>
        <w:kinsoku w:val="0"/>
        <w:overflowPunct w:val="0"/>
        <w:spacing w:before="2"/>
        <w:ind w:left="0"/>
        <w:rPr>
          <w:rFonts w:ascii="Times New Roman" w:hAnsi="Times New Roman" w:eastAsia="Times New Roman"/>
          <w:sz w:val="24"/>
          <w:highlight w:val="none"/>
        </w:rPr>
      </w:pPr>
    </w:p>
    <w:p w14:paraId="3272DB93">
      <w:pPr>
        <w:pStyle w:val="9"/>
        <w:tabs>
          <w:tab w:val="left" w:pos="2412"/>
          <w:tab w:val="left" w:pos="3883"/>
          <w:tab w:val="left" w:pos="5352"/>
          <w:tab w:val="left" w:pos="6869"/>
        </w:tabs>
        <w:kinsoku w:val="0"/>
        <w:overflowPunct w:val="0"/>
        <w:spacing w:before="36"/>
        <w:ind w:left="100"/>
        <w:rPr>
          <w:rFonts w:ascii="Times New Roman" w:hAnsi="Times New Roman" w:eastAsia="Times New Roman"/>
          <w:sz w:val="24"/>
          <w:highlight w:val="none"/>
        </w:rPr>
      </w:pPr>
      <w:r>
        <w:rPr>
          <w:spacing w:val="-1"/>
          <w:sz w:val="24"/>
          <w:highlight w:val="none"/>
        </w:rPr>
        <w:t>姓名：</w:t>
      </w:r>
      <w:r>
        <w:rPr>
          <w:rFonts w:hint="eastAsia" w:ascii="Times New Roman" w:hAnsi="Times New Roman" w:eastAsia="Times New Roman"/>
          <w:spacing w:val="-1"/>
          <w:sz w:val="24"/>
          <w:highlight w:val="none"/>
          <w:u w:val="single"/>
        </w:rPr>
        <w:tab/>
      </w:r>
      <w:r>
        <w:rPr>
          <w:spacing w:val="-1"/>
          <w:sz w:val="24"/>
          <w:highlight w:val="none"/>
        </w:rPr>
        <w:t>性别：</w:t>
      </w:r>
      <w:r>
        <w:rPr>
          <w:rFonts w:hint="eastAsia" w:ascii="Times New Roman" w:hAnsi="Times New Roman" w:eastAsia="Times New Roman"/>
          <w:spacing w:val="-1"/>
          <w:sz w:val="24"/>
          <w:highlight w:val="none"/>
          <w:u w:val="single"/>
        </w:rPr>
        <w:tab/>
      </w:r>
      <w:r>
        <w:rPr>
          <w:spacing w:val="-2"/>
          <w:sz w:val="24"/>
          <w:highlight w:val="none"/>
        </w:rPr>
        <w:t>年龄：</w:t>
      </w:r>
      <w:r>
        <w:rPr>
          <w:rFonts w:hint="eastAsia" w:ascii="Times New Roman" w:hAnsi="Times New Roman" w:eastAsia="Times New Roman"/>
          <w:spacing w:val="-2"/>
          <w:sz w:val="24"/>
          <w:highlight w:val="none"/>
          <w:u w:val="single"/>
        </w:rPr>
        <w:tab/>
      </w:r>
      <w:r>
        <w:rPr>
          <w:spacing w:val="-2"/>
          <w:sz w:val="24"/>
          <w:highlight w:val="none"/>
        </w:rPr>
        <w:t>职务：</w:t>
      </w:r>
      <w:r>
        <w:rPr>
          <w:rFonts w:hint="eastAsia" w:ascii="Times New Roman" w:hAnsi="Times New Roman" w:eastAsia="Times New Roman"/>
          <w:sz w:val="24"/>
          <w:highlight w:val="none"/>
          <w:u w:val="single"/>
        </w:rPr>
        <w:t xml:space="preserve"> </w:t>
      </w:r>
      <w:r>
        <w:rPr>
          <w:rFonts w:hint="eastAsia" w:ascii="Times New Roman" w:hAnsi="Times New Roman" w:eastAsia="Times New Roman"/>
          <w:sz w:val="24"/>
          <w:highlight w:val="none"/>
          <w:u w:val="single"/>
        </w:rPr>
        <w:tab/>
      </w:r>
    </w:p>
    <w:p w14:paraId="1CC970AD">
      <w:pPr>
        <w:pStyle w:val="9"/>
        <w:kinsoku w:val="0"/>
        <w:overflowPunct w:val="0"/>
        <w:spacing w:before="5"/>
        <w:ind w:left="0"/>
        <w:rPr>
          <w:rFonts w:ascii="Times New Roman" w:hAnsi="Times New Roman" w:eastAsia="Times New Roman"/>
          <w:sz w:val="24"/>
          <w:highlight w:val="none"/>
        </w:rPr>
      </w:pPr>
    </w:p>
    <w:p w14:paraId="378F9C95">
      <w:pPr>
        <w:pStyle w:val="9"/>
        <w:tabs>
          <w:tab w:val="left" w:pos="2832"/>
        </w:tabs>
        <w:kinsoku w:val="0"/>
        <w:overflowPunct w:val="0"/>
        <w:spacing w:before="36"/>
        <w:ind w:left="100"/>
        <w:rPr>
          <w:spacing w:val="-2"/>
          <w:sz w:val="24"/>
          <w:highlight w:val="none"/>
        </w:rPr>
      </w:pPr>
      <w:r>
        <w:rPr>
          <w:spacing w:val="-1"/>
          <w:sz w:val="24"/>
          <w:highlight w:val="none"/>
        </w:rPr>
        <w:t>系</w:t>
      </w:r>
      <w:r>
        <w:rPr>
          <w:rFonts w:hint="eastAsia" w:ascii="Times New Roman" w:hAnsi="Times New Roman" w:eastAsia="Times New Roman"/>
          <w:spacing w:val="-1"/>
          <w:sz w:val="24"/>
          <w:highlight w:val="none"/>
          <w:u w:val="single"/>
        </w:rPr>
        <w:tab/>
      </w:r>
      <w:r>
        <w:rPr>
          <w:spacing w:val="-2"/>
          <w:sz w:val="24"/>
          <w:highlight w:val="none"/>
        </w:rPr>
        <w:t>（投标人名称）的法定代表人。</w:t>
      </w:r>
    </w:p>
    <w:p w14:paraId="7C18E3C1">
      <w:pPr>
        <w:pStyle w:val="9"/>
        <w:kinsoku w:val="0"/>
        <w:overflowPunct w:val="0"/>
        <w:spacing w:before="10"/>
        <w:ind w:left="0"/>
        <w:rPr>
          <w:sz w:val="24"/>
          <w:highlight w:val="none"/>
        </w:rPr>
      </w:pPr>
    </w:p>
    <w:p w14:paraId="48FD7358">
      <w:pPr>
        <w:pStyle w:val="9"/>
        <w:kinsoku w:val="0"/>
        <w:overflowPunct w:val="0"/>
        <w:spacing w:before="36"/>
        <w:ind w:left="100" w:firstLine="419"/>
        <w:rPr>
          <w:sz w:val="24"/>
          <w:highlight w:val="none"/>
        </w:rPr>
      </w:pPr>
      <w:r>
        <w:rPr>
          <w:sz w:val="24"/>
          <w:highlight w:val="none"/>
        </w:rPr>
        <w:t>特此证明。</w:t>
      </w:r>
    </w:p>
    <w:p w14:paraId="05AB98BC">
      <w:pPr>
        <w:pStyle w:val="9"/>
        <w:kinsoku w:val="0"/>
        <w:overflowPunct w:val="0"/>
        <w:ind w:left="0"/>
        <w:rPr>
          <w:sz w:val="24"/>
          <w:highlight w:val="none"/>
        </w:rPr>
      </w:pPr>
    </w:p>
    <w:p w14:paraId="111CBAAE">
      <w:pPr>
        <w:pStyle w:val="9"/>
        <w:kinsoku w:val="0"/>
        <w:overflowPunct w:val="0"/>
        <w:spacing w:before="4"/>
        <w:ind w:left="0"/>
        <w:rPr>
          <w:sz w:val="24"/>
          <w:highlight w:val="none"/>
        </w:rPr>
      </w:pPr>
    </w:p>
    <w:p w14:paraId="63957549">
      <w:pPr>
        <w:pStyle w:val="9"/>
        <w:kinsoku w:val="0"/>
        <w:overflowPunct w:val="0"/>
        <w:ind w:left="100"/>
        <w:rPr>
          <w:sz w:val="24"/>
          <w:highlight w:val="none"/>
        </w:rPr>
      </w:pPr>
      <w:r>
        <w:rPr>
          <w:sz w:val="24"/>
          <w:highlight w:val="none"/>
        </w:rPr>
        <w:t>附：法定代表人身份证正反面扫描件。</w:t>
      </w:r>
    </w:p>
    <w:p w14:paraId="03DAEA10">
      <w:pPr>
        <w:pStyle w:val="9"/>
        <w:kinsoku w:val="0"/>
        <w:overflowPunct w:val="0"/>
        <w:ind w:left="0"/>
        <w:rPr>
          <w:sz w:val="24"/>
          <w:highlight w:val="none"/>
        </w:rPr>
      </w:pPr>
    </w:p>
    <w:p w14:paraId="6B424173">
      <w:pPr>
        <w:pStyle w:val="9"/>
        <w:kinsoku w:val="0"/>
        <w:overflowPunct w:val="0"/>
        <w:spacing w:before="2"/>
        <w:ind w:left="0"/>
        <w:rPr>
          <w:sz w:val="24"/>
          <w:highlight w:val="none"/>
        </w:rPr>
      </w:pPr>
    </w:p>
    <w:p w14:paraId="18ED462C">
      <w:pPr>
        <w:pStyle w:val="9"/>
        <w:kinsoku w:val="0"/>
        <w:overflowPunct w:val="0"/>
        <w:ind w:left="0"/>
        <w:rPr>
          <w:sz w:val="24"/>
          <w:highlight w:val="none"/>
        </w:rPr>
      </w:pPr>
    </w:p>
    <w:p w14:paraId="376A00A7">
      <w:pPr>
        <w:pStyle w:val="9"/>
        <w:kinsoku w:val="0"/>
        <w:overflowPunct w:val="0"/>
        <w:ind w:left="0"/>
        <w:rPr>
          <w:sz w:val="24"/>
          <w:highlight w:val="none"/>
        </w:rPr>
      </w:pPr>
    </w:p>
    <w:p w14:paraId="736A9BAA">
      <w:pPr>
        <w:pStyle w:val="9"/>
        <w:kinsoku w:val="0"/>
        <w:overflowPunct w:val="0"/>
        <w:ind w:left="0"/>
        <w:rPr>
          <w:sz w:val="24"/>
          <w:highlight w:val="none"/>
        </w:rPr>
      </w:pPr>
    </w:p>
    <w:p w14:paraId="4CD54226">
      <w:pPr>
        <w:pStyle w:val="9"/>
        <w:kinsoku w:val="0"/>
        <w:overflowPunct w:val="0"/>
        <w:spacing w:before="2"/>
        <w:ind w:left="0"/>
        <w:rPr>
          <w:sz w:val="24"/>
          <w:highlight w:val="none"/>
        </w:rPr>
      </w:pPr>
    </w:p>
    <w:p w14:paraId="6B5C18E2">
      <w:pPr>
        <w:pStyle w:val="9"/>
        <w:tabs>
          <w:tab w:val="left" w:pos="6521"/>
        </w:tabs>
        <w:kinsoku w:val="0"/>
        <w:overflowPunct w:val="0"/>
        <w:spacing w:before="36"/>
        <w:ind w:left="4212"/>
        <w:rPr>
          <w:spacing w:val="-1"/>
          <w:sz w:val="24"/>
          <w:highlight w:val="none"/>
        </w:rPr>
      </w:pPr>
      <w:r>
        <w:rPr>
          <w:spacing w:val="-2"/>
          <w:sz w:val="24"/>
          <w:highlight w:val="none"/>
        </w:rPr>
        <w:t>投标人：</w:t>
      </w:r>
      <w:r>
        <w:rPr>
          <w:rFonts w:hint="eastAsia" w:ascii="Times New Roman" w:hAnsi="Times New Roman" w:eastAsia="Times New Roman"/>
          <w:spacing w:val="-2"/>
          <w:sz w:val="24"/>
          <w:highlight w:val="none"/>
          <w:u w:val="single"/>
        </w:rPr>
        <w:tab/>
      </w:r>
      <w:r>
        <w:rPr>
          <w:spacing w:val="-1"/>
          <w:sz w:val="24"/>
          <w:highlight w:val="none"/>
        </w:rPr>
        <w:t>（盖单位章）</w:t>
      </w:r>
    </w:p>
    <w:p w14:paraId="420A62BA">
      <w:pPr>
        <w:pStyle w:val="9"/>
        <w:kinsoku w:val="0"/>
        <w:overflowPunct w:val="0"/>
        <w:ind w:left="0"/>
        <w:rPr>
          <w:sz w:val="24"/>
          <w:highlight w:val="none"/>
        </w:rPr>
      </w:pPr>
    </w:p>
    <w:p w14:paraId="0522AC45">
      <w:pPr>
        <w:pStyle w:val="9"/>
        <w:kinsoku w:val="0"/>
        <w:overflowPunct w:val="0"/>
        <w:spacing w:before="7"/>
        <w:ind w:left="0"/>
        <w:rPr>
          <w:sz w:val="24"/>
          <w:highlight w:val="none"/>
        </w:rPr>
      </w:pPr>
    </w:p>
    <w:p w14:paraId="16C51783">
      <w:pPr>
        <w:pStyle w:val="9"/>
        <w:tabs>
          <w:tab w:val="left" w:pos="5352"/>
          <w:tab w:val="left" w:pos="6192"/>
          <w:tab w:val="left" w:pos="7032"/>
        </w:tabs>
        <w:kinsoku w:val="0"/>
        <w:overflowPunct w:val="0"/>
        <w:spacing w:before="36"/>
        <w:ind w:left="4721"/>
        <w:rPr>
          <w:sz w:val="24"/>
          <w:highlight w:val="none"/>
        </w:rPr>
      </w:pPr>
      <w:r>
        <w:rPr>
          <w:rFonts w:hint="eastAsia" w:ascii="Times New Roman" w:hAnsi="Times New Roman" w:eastAsia="Times New Roman"/>
          <w:sz w:val="24"/>
          <w:highlight w:val="none"/>
          <w:u w:val="single"/>
        </w:rPr>
        <w:t xml:space="preserve"> </w:t>
      </w:r>
      <w:r>
        <w:rPr>
          <w:rFonts w:hint="eastAsia" w:ascii="Times New Roman" w:hAnsi="Times New Roman" w:eastAsia="Times New Roman"/>
          <w:sz w:val="24"/>
          <w:highlight w:val="none"/>
          <w:u w:val="single"/>
        </w:rPr>
        <w:tab/>
      </w:r>
      <w:r>
        <w:rPr>
          <w:sz w:val="24"/>
          <w:highlight w:val="none"/>
        </w:rPr>
        <w:t>年</w:t>
      </w:r>
      <w:r>
        <w:rPr>
          <w:rFonts w:hint="eastAsia" w:ascii="Times New Roman" w:hAnsi="Times New Roman" w:eastAsia="Times New Roman"/>
          <w:sz w:val="24"/>
          <w:highlight w:val="none"/>
          <w:u w:val="single"/>
        </w:rPr>
        <w:tab/>
      </w:r>
      <w:r>
        <w:rPr>
          <w:sz w:val="24"/>
          <w:highlight w:val="none"/>
        </w:rPr>
        <w:t>月</w:t>
      </w:r>
      <w:r>
        <w:rPr>
          <w:rFonts w:hint="eastAsia" w:ascii="Times New Roman" w:hAnsi="Times New Roman" w:eastAsia="Times New Roman"/>
          <w:sz w:val="24"/>
          <w:highlight w:val="none"/>
          <w:u w:val="single"/>
        </w:rPr>
        <w:tab/>
      </w:r>
      <w:r>
        <w:rPr>
          <w:sz w:val="24"/>
          <w:highlight w:val="none"/>
        </w:rPr>
        <w:t>日</w:t>
      </w:r>
    </w:p>
    <w:p w14:paraId="69C7F7D8">
      <w:pPr>
        <w:pStyle w:val="9"/>
        <w:tabs>
          <w:tab w:val="left" w:pos="5352"/>
          <w:tab w:val="left" w:pos="6192"/>
          <w:tab w:val="left" w:pos="7032"/>
        </w:tabs>
        <w:kinsoku w:val="0"/>
        <w:overflowPunct w:val="0"/>
        <w:spacing w:before="36"/>
        <w:ind w:left="4721"/>
        <w:rPr>
          <w:sz w:val="24"/>
          <w:highlight w:val="none"/>
        </w:rPr>
        <w:sectPr>
          <w:pgSz w:w="11905" w:h="16838"/>
          <w:pgMar w:top="1417" w:right="1417" w:bottom="1417" w:left="1417" w:header="992" w:footer="992" w:gutter="0"/>
          <w:cols w:space="720" w:num="1"/>
        </w:sectPr>
      </w:pPr>
    </w:p>
    <w:p w14:paraId="0A2FB04F">
      <w:pPr>
        <w:pStyle w:val="4"/>
        <w:spacing w:before="120" w:after="120"/>
        <w:jc w:val="center"/>
        <w:rPr>
          <w:sz w:val="28"/>
          <w:highlight w:val="none"/>
        </w:rPr>
      </w:pPr>
      <w:bookmarkStart w:id="204" w:name="bookmark180"/>
      <w:bookmarkEnd w:id="204"/>
      <w:bookmarkStart w:id="205" w:name="_Toc13873"/>
      <w:r>
        <w:rPr>
          <w:sz w:val="28"/>
          <w:highlight w:val="none"/>
        </w:rPr>
        <w:t>二、授权委托书</w:t>
      </w:r>
      <w:bookmarkEnd w:id="205"/>
    </w:p>
    <w:p w14:paraId="50008F8B">
      <w:pPr>
        <w:pStyle w:val="9"/>
        <w:kinsoku w:val="0"/>
        <w:overflowPunct w:val="0"/>
        <w:ind w:left="0"/>
        <w:rPr>
          <w:rFonts w:ascii="Microsoft JhengHei" w:hAnsi="Microsoft JhengHei" w:eastAsia="Microsoft JhengHei"/>
          <w:b/>
          <w:sz w:val="32"/>
          <w:highlight w:val="none"/>
        </w:rPr>
      </w:pPr>
    </w:p>
    <w:p w14:paraId="2B89B596">
      <w:pPr>
        <w:pStyle w:val="9"/>
        <w:kinsoku w:val="0"/>
        <w:overflowPunct w:val="0"/>
        <w:spacing w:before="4"/>
        <w:ind w:left="0"/>
        <w:rPr>
          <w:rFonts w:ascii="Microsoft JhengHei" w:hAnsi="Microsoft JhengHei" w:eastAsia="Microsoft JhengHei"/>
          <w:b/>
          <w:sz w:val="32"/>
          <w:highlight w:val="none"/>
        </w:rPr>
      </w:pPr>
    </w:p>
    <w:p w14:paraId="624E627F">
      <w:pPr>
        <w:pStyle w:val="9"/>
        <w:tabs>
          <w:tab w:val="left" w:pos="3928"/>
        </w:tabs>
        <w:kinsoku w:val="0"/>
        <w:overflowPunct w:val="0"/>
        <w:spacing w:line="360" w:lineRule="auto"/>
        <w:ind w:left="0" w:firstLine="480" w:firstLineChars="200"/>
        <w:rPr>
          <w:sz w:val="24"/>
          <w:highlight w:val="none"/>
        </w:rPr>
      </w:pPr>
      <w:r>
        <w:rPr>
          <w:sz w:val="24"/>
          <w:highlight w:val="none"/>
        </w:rPr>
        <w:t>本人</w:t>
      </w:r>
      <w:r>
        <w:rPr>
          <w:sz w:val="24"/>
          <w:highlight w:val="none"/>
          <w:u w:val="single"/>
        </w:rPr>
        <w:t xml:space="preserve">   </w:t>
      </w:r>
      <w:r>
        <w:rPr>
          <w:sz w:val="24"/>
          <w:highlight w:val="none"/>
        </w:rPr>
        <w:t xml:space="preserve">（姓名）系 </w:t>
      </w:r>
      <w:r>
        <w:rPr>
          <w:sz w:val="24"/>
          <w:highlight w:val="none"/>
          <w:u w:val="single"/>
        </w:rPr>
        <w:t xml:space="preserve">    </w:t>
      </w:r>
      <w:r>
        <w:rPr>
          <w:sz w:val="24"/>
          <w:highlight w:val="none"/>
        </w:rPr>
        <w:t>（投标人名称）的法定代表人，现委托</w:t>
      </w:r>
      <w:r>
        <w:rPr>
          <w:sz w:val="24"/>
          <w:highlight w:val="none"/>
          <w:u w:val="single"/>
        </w:rPr>
        <w:tab/>
      </w:r>
      <w:r>
        <w:rPr>
          <w:sz w:val="24"/>
          <w:highlight w:val="none"/>
          <w:u w:val="single"/>
        </w:rPr>
        <w:t xml:space="preserve"> </w:t>
      </w:r>
      <w:r>
        <w:rPr>
          <w:sz w:val="24"/>
          <w:highlight w:val="none"/>
        </w:rPr>
        <w:t xml:space="preserve">（姓名）为我方代理人。代理人根据授权，以我方名义签署、澄清确认、递交、撤回、修改监理招标项目投标文件、签订合同和处理有关事宜，其法律后果由我方承担。 </w:t>
      </w:r>
    </w:p>
    <w:p w14:paraId="271E2770">
      <w:pPr>
        <w:pStyle w:val="9"/>
        <w:tabs>
          <w:tab w:val="left" w:pos="3928"/>
        </w:tabs>
        <w:kinsoku w:val="0"/>
        <w:overflowPunct w:val="0"/>
        <w:spacing w:line="360" w:lineRule="auto"/>
        <w:ind w:left="0"/>
        <w:rPr>
          <w:sz w:val="24"/>
          <w:highlight w:val="none"/>
        </w:rPr>
      </w:pPr>
      <w:r>
        <w:rPr>
          <w:sz w:val="24"/>
          <w:highlight w:val="none"/>
        </w:rPr>
        <w:t>委托期限：</w:t>
      </w:r>
      <w:r>
        <w:rPr>
          <w:sz w:val="24"/>
          <w:highlight w:val="none"/>
          <w:u w:val="single"/>
        </w:rPr>
        <w:tab/>
      </w:r>
      <w:r>
        <w:rPr>
          <w:sz w:val="24"/>
          <w:highlight w:val="none"/>
        </w:rPr>
        <w:t>。</w:t>
      </w:r>
    </w:p>
    <w:p w14:paraId="7B847D38">
      <w:pPr>
        <w:pStyle w:val="9"/>
        <w:tabs>
          <w:tab w:val="left" w:pos="3928"/>
        </w:tabs>
        <w:kinsoku w:val="0"/>
        <w:overflowPunct w:val="0"/>
        <w:spacing w:line="360" w:lineRule="auto"/>
        <w:ind w:left="0" w:firstLine="480" w:firstLineChars="200"/>
        <w:rPr>
          <w:sz w:val="24"/>
          <w:highlight w:val="none"/>
        </w:rPr>
      </w:pPr>
      <w:r>
        <w:rPr>
          <w:sz w:val="24"/>
          <w:highlight w:val="none"/>
        </w:rPr>
        <w:t>代理人无转委托权。代理人为投标人正式职工</w:t>
      </w:r>
      <w:r>
        <w:rPr>
          <w:rFonts w:hint="eastAsia"/>
          <w:sz w:val="24"/>
          <w:highlight w:val="none"/>
        </w:rPr>
        <w:t>，必须具有离投标截止时间最近的至少1个月在本单位缴纳的社保证明文件。</w:t>
      </w:r>
    </w:p>
    <w:p w14:paraId="61EB5B6C">
      <w:pPr>
        <w:pStyle w:val="9"/>
        <w:tabs>
          <w:tab w:val="left" w:pos="3928"/>
        </w:tabs>
        <w:kinsoku w:val="0"/>
        <w:overflowPunct w:val="0"/>
        <w:spacing w:line="360" w:lineRule="auto"/>
        <w:ind w:left="100"/>
        <w:rPr>
          <w:sz w:val="24"/>
          <w:highlight w:val="none"/>
        </w:rPr>
      </w:pPr>
    </w:p>
    <w:p w14:paraId="26B41516">
      <w:pPr>
        <w:pStyle w:val="9"/>
        <w:kinsoku w:val="0"/>
        <w:overflowPunct w:val="0"/>
        <w:spacing w:before="4"/>
        <w:ind w:left="0"/>
        <w:rPr>
          <w:sz w:val="24"/>
          <w:highlight w:val="none"/>
        </w:rPr>
      </w:pPr>
    </w:p>
    <w:p w14:paraId="171B7206">
      <w:pPr>
        <w:pStyle w:val="9"/>
        <w:kinsoku w:val="0"/>
        <w:overflowPunct w:val="0"/>
        <w:ind w:left="100" w:right="113"/>
        <w:rPr>
          <w:sz w:val="24"/>
          <w:highlight w:val="none"/>
        </w:rPr>
      </w:pPr>
      <w:r>
        <w:rPr>
          <w:sz w:val="24"/>
          <w:highlight w:val="none"/>
        </w:rPr>
        <w:t>附：委托代理人身份证正反面和社保证明扫描件。</w:t>
      </w:r>
    </w:p>
    <w:p w14:paraId="46B48890">
      <w:pPr>
        <w:pStyle w:val="9"/>
        <w:kinsoku w:val="0"/>
        <w:overflowPunct w:val="0"/>
        <w:ind w:left="0"/>
        <w:rPr>
          <w:sz w:val="24"/>
          <w:highlight w:val="none"/>
        </w:rPr>
      </w:pPr>
    </w:p>
    <w:p w14:paraId="057C5405">
      <w:pPr>
        <w:pStyle w:val="9"/>
        <w:kinsoku w:val="0"/>
        <w:overflowPunct w:val="0"/>
        <w:spacing w:before="2"/>
        <w:ind w:left="0"/>
        <w:rPr>
          <w:sz w:val="24"/>
          <w:highlight w:val="none"/>
        </w:rPr>
      </w:pPr>
    </w:p>
    <w:p w14:paraId="6F62E32B">
      <w:pPr>
        <w:pStyle w:val="9"/>
        <w:kinsoku w:val="0"/>
        <w:overflowPunct w:val="0"/>
        <w:ind w:left="0"/>
        <w:rPr>
          <w:sz w:val="24"/>
          <w:highlight w:val="none"/>
        </w:rPr>
      </w:pPr>
    </w:p>
    <w:p w14:paraId="19B294D3">
      <w:pPr>
        <w:pStyle w:val="9"/>
        <w:kinsoku w:val="0"/>
        <w:overflowPunct w:val="0"/>
        <w:spacing w:before="4"/>
        <w:ind w:left="0"/>
        <w:rPr>
          <w:sz w:val="24"/>
          <w:highlight w:val="none"/>
        </w:rPr>
      </w:pPr>
    </w:p>
    <w:p w14:paraId="7492F795">
      <w:pPr>
        <w:pStyle w:val="9"/>
        <w:tabs>
          <w:tab w:val="left" w:pos="3216"/>
          <w:tab w:val="left" w:pos="3636"/>
          <w:tab w:val="left" w:pos="7241"/>
        </w:tabs>
        <w:kinsoku w:val="0"/>
        <w:overflowPunct w:val="0"/>
        <w:ind w:left="2793" w:right="113"/>
        <w:rPr>
          <w:sz w:val="24"/>
          <w:highlight w:val="none"/>
        </w:rPr>
      </w:pPr>
      <w:r>
        <w:rPr>
          <w:sz w:val="24"/>
          <w:highlight w:val="none"/>
        </w:rPr>
        <w:t>投</w:t>
      </w:r>
      <w:r>
        <w:rPr>
          <w:sz w:val="24"/>
          <w:highlight w:val="none"/>
        </w:rPr>
        <w:tab/>
      </w:r>
      <w:r>
        <w:rPr>
          <w:sz w:val="24"/>
          <w:highlight w:val="none"/>
        </w:rPr>
        <w:t>标</w:t>
      </w:r>
      <w:r>
        <w:rPr>
          <w:sz w:val="24"/>
          <w:highlight w:val="none"/>
        </w:rPr>
        <w:tab/>
      </w:r>
      <w:r>
        <w:rPr>
          <w:spacing w:val="-3"/>
          <w:sz w:val="24"/>
          <w:highlight w:val="none"/>
        </w:rPr>
        <w:t>人：</w:t>
      </w:r>
      <w:r>
        <w:rPr>
          <w:rFonts w:hAnsi="Times New Roman"/>
          <w:spacing w:val="-3"/>
          <w:sz w:val="24"/>
          <w:highlight w:val="none"/>
          <w:u w:val="single"/>
        </w:rPr>
        <w:t xml:space="preserve">                       </w:t>
      </w:r>
      <w:r>
        <w:rPr>
          <w:sz w:val="24"/>
          <w:highlight w:val="none"/>
        </w:rPr>
        <w:t>（盖单位章）</w:t>
      </w:r>
    </w:p>
    <w:p w14:paraId="647A216B">
      <w:pPr>
        <w:pStyle w:val="9"/>
        <w:kinsoku w:val="0"/>
        <w:overflowPunct w:val="0"/>
        <w:ind w:left="0"/>
        <w:rPr>
          <w:sz w:val="24"/>
          <w:highlight w:val="none"/>
        </w:rPr>
      </w:pPr>
    </w:p>
    <w:p w14:paraId="10833A31">
      <w:pPr>
        <w:pStyle w:val="9"/>
        <w:tabs>
          <w:tab w:val="left" w:pos="6401"/>
        </w:tabs>
        <w:kinsoku w:val="0"/>
        <w:overflowPunct w:val="0"/>
        <w:spacing w:before="36"/>
        <w:ind w:left="2791" w:right="113"/>
        <w:rPr>
          <w:spacing w:val="-1"/>
          <w:sz w:val="24"/>
          <w:highlight w:val="none"/>
        </w:rPr>
      </w:pPr>
      <w:r>
        <w:rPr>
          <w:spacing w:val="-2"/>
          <w:sz w:val="24"/>
          <w:highlight w:val="none"/>
        </w:rPr>
        <w:t>法定代表人：</w:t>
      </w:r>
      <w:r>
        <w:rPr>
          <w:rFonts w:hint="eastAsia" w:ascii="Times New Roman" w:hAnsi="Times New Roman" w:eastAsia="Times New Roman"/>
          <w:spacing w:val="-2"/>
          <w:sz w:val="24"/>
          <w:highlight w:val="none"/>
          <w:u w:val="single"/>
        </w:rPr>
        <w:tab/>
      </w:r>
      <w:r>
        <w:rPr>
          <w:rFonts w:hAnsi="Times New Roman"/>
          <w:spacing w:val="-2"/>
          <w:sz w:val="24"/>
          <w:highlight w:val="none"/>
          <w:u w:val="single"/>
        </w:rPr>
        <w:t xml:space="preserve">    </w:t>
      </w:r>
      <w:r>
        <w:rPr>
          <w:spacing w:val="-1"/>
          <w:sz w:val="24"/>
          <w:highlight w:val="none"/>
        </w:rPr>
        <w:t>（签字）</w:t>
      </w:r>
    </w:p>
    <w:p w14:paraId="7C17EEFD">
      <w:pPr>
        <w:pStyle w:val="9"/>
        <w:kinsoku w:val="0"/>
        <w:overflowPunct w:val="0"/>
        <w:ind w:left="0"/>
        <w:rPr>
          <w:sz w:val="24"/>
          <w:highlight w:val="none"/>
        </w:rPr>
      </w:pPr>
    </w:p>
    <w:p w14:paraId="69823BA0">
      <w:pPr>
        <w:pStyle w:val="9"/>
        <w:tabs>
          <w:tab w:val="left" w:pos="8549"/>
        </w:tabs>
        <w:kinsoku w:val="0"/>
        <w:overflowPunct w:val="0"/>
        <w:spacing w:before="36"/>
        <w:ind w:left="2793" w:right="113"/>
        <w:rPr>
          <w:rFonts w:ascii="Times New Roman" w:hAnsi="Times New Roman" w:eastAsia="Times New Roman"/>
          <w:sz w:val="24"/>
          <w:highlight w:val="none"/>
        </w:rPr>
      </w:pPr>
      <w:r>
        <w:rPr>
          <w:sz w:val="24"/>
          <w:highlight w:val="none"/>
        </w:rPr>
        <w:t>身份证号码：</w:t>
      </w:r>
      <w:r>
        <w:rPr>
          <w:rFonts w:hint="eastAsia" w:ascii="Times New Roman" w:hAnsi="Times New Roman" w:eastAsia="Times New Roman"/>
          <w:sz w:val="24"/>
          <w:highlight w:val="none"/>
          <w:u w:val="single"/>
        </w:rPr>
        <w:t xml:space="preserve"> </w:t>
      </w:r>
      <w:r>
        <w:rPr>
          <w:rFonts w:hAnsi="Times New Roman"/>
          <w:sz w:val="24"/>
          <w:highlight w:val="none"/>
          <w:u w:val="single"/>
        </w:rPr>
        <w:t xml:space="preserve">                        </w:t>
      </w:r>
      <w:r>
        <w:rPr>
          <w:rFonts w:hAnsi="Times New Roman"/>
          <w:sz w:val="24"/>
          <w:highlight w:val="none"/>
        </w:rPr>
        <w:t xml:space="preserve">               </w:t>
      </w:r>
    </w:p>
    <w:p w14:paraId="7834D512">
      <w:pPr>
        <w:pStyle w:val="9"/>
        <w:kinsoku w:val="0"/>
        <w:overflowPunct w:val="0"/>
        <w:ind w:left="0"/>
        <w:rPr>
          <w:rFonts w:ascii="Times New Roman" w:hAnsi="Times New Roman" w:eastAsia="Times New Roman"/>
          <w:sz w:val="24"/>
          <w:highlight w:val="none"/>
        </w:rPr>
      </w:pPr>
    </w:p>
    <w:p w14:paraId="1CEC654C">
      <w:pPr>
        <w:pStyle w:val="9"/>
        <w:tabs>
          <w:tab w:val="left" w:pos="7661"/>
        </w:tabs>
        <w:kinsoku w:val="0"/>
        <w:overflowPunct w:val="0"/>
        <w:spacing w:before="36"/>
        <w:ind w:left="2793" w:right="113"/>
        <w:rPr>
          <w:spacing w:val="-1"/>
          <w:sz w:val="24"/>
          <w:highlight w:val="none"/>
        </w:rPr>
      </w:pPr>
      <w:r>
        <w:rPr>
          <w:spacing w:val="-2"/>
          <w:sz w:val="24"/>
          <w:highlight w:val="none"/>
        </w:rPr>
        <w:t>委托代理人：</w:t>
      </w:r>
      <w:r>
        <w:rPr>
          <w:spacing w:val="-2"/>
          <w:sz w:val="24"/>
          <w:highlight w:val="none"/>
          <w:u w:val="single"/>
        </w:rPr>
        <w:t xml:space="preserve">                         </w:t>
      </w:r>
      <w:r>
        <w:rPr>
          <w:spacing w:val="-1"/>
          <w:sz w:val="24"/>
          <w:highlight w:val="none"/>
        </w:rPr>
        <w:t>（签字）</w:t>
      </w:r>
    </w:p>
    <w:p w14:paraId="7A438A0A">
      <w:pPr>
        <w:pStyle w:val="9"/>
        <w:kinsoku w:val="0"/>
        <w:overflowPunct w:val="0"/>
        <w:ind w:left="0"/>
        <w:rPr>
          <w:sz w:val="24"/>
          <w:highlight w:val="none"/>
        </w:rPr>
      </w:pPr>
    </w:p>
    <w:p w14:paraId="2620BCA0">
      <w:pPr>
        <w:pStyle w:val="9"/>
        <w:tabs>
          <w:tab w:val="left" w:pos="8549"/>
        </w:tabs>
        <w:kinsoku w:val="0"/>
        <w:overflowPunct w:val="0"/>
        <w:spacing w:before="36"/>
        <w:ind w:left="2793" w:right="113"/>
        <w:rPr>
          <w:rFonts w:ascii="Times New Roman" w:hAnsi="Times New Roman" w:eastAsia="Times New Roman"/>
          <w:sz w:val="24"/>
          <w:highlight w:val="none"/>
          <w:u w:val="single"/>
        </w:rPr>
      </w:pPr>
      <w:r>
        <w:rPr>
          <w:sz w:val="24"/>
          <w:highlight w:val="none"/>
        </w:rPr>
        <w:t>身份证号码：</w:t>
      </w:r>
      <w:r>
        <w:rPr>
          <w:rFonts w:hint="eastAsia" w:ascii="Times New Roman" w:hAnsi="Times New Roman" w:eastAsia="Times New Roman"/>
          <w:sz w:val="24"/>
          <w:highlight w:val="none"/>
          <w:u w:val="single"/>
        </w:rPr>
        <w:t xml:space="preserve"> </w:t>
      </w:r>
      <w:r>
        <w:rPr>
          <w:rFonts w:hAnsi="Times New Roman"/>
          <w:sz w:val="24"/>
          <w:highlight w:val="none"/>
          <w:u w:val="single"/>
        </w:rPr>
        <w:t xml:space="preserve">                        </w:t>
      </w:r>
      <w:r>
        <w:rPr>
          <w:rFonts w:hAnsi="Times New Roman"/>
          <w:sz w:val="24"/>
          <w:highlight w:val="none"/>
        </w:rPr>
        <w:t xml:space="preserve">               </w:t>
      </w:r>
    </w:p>
    <w:p w14:paraId="23910E18">
      <w:pPr>
        <w:pStyle w:val="9"/>
        <w:kinsoku w:val="0"/>
        <w:overflowPunct w:val="0"/>
        <w:spacing w:before="9"/>
        <w:ind w:left="0"/>
        <w:rPr>
          <w:rFonts w:ascii="Times New Roman" w:hAnsi="Times New Roman" w:eastAsia="Times New Roman"/>
          <w:sz w:val="24"/>
          <w:highlight w:val="none"/>
        </w:rPr>
      </w:pPr>
    </w:p>
    <w:p w14:paraId="761A3C30">
      <w:pPr>
        <w:pStyle w:val="9"/>
        <w:tabs>
          <w:tab w:val="left" w:pos="736"/>
          <w:tab w:val="left" w:pos="1682"/>
          <w:tab w:val="left" w:pos="2626"/>
        </w:tabs>
        <w:kinsoku w:val="0"/>
        <w:overflowPunct w:val="0"/>
        <w:spacing w:before="36"/>
        <w:ind w:left="0" w:right="113"/>
        <w:jc w:val="both"/>
        <w:rPr>
          <w:sz w:val="24"/>
          <w:highlight w:val="none"/>
          <w:u w:val="singl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500EB112">
      <w:pPr>
        <w:pStyle w:val="9"/>
        <w:tabs>
          <w:tab w:val="left" w:pos="736"/>
          <w:tab w:val="left" w:pos="1682"/>
          <w:tab w:val="left" w:pos="2626"/>
        </w:tabs>
        <w:kinsoku w:val="0"/>
        <w:overflowPunct w:val="0"/>
        <w:spacing w:before="36"/>
        <w:ind w:left="0"/>
        <w:jc w:val="right"/>
        <w:rPr>
          <w:sz w:val="24"/>
          <w:highlight w:val="none"/>
        </w:rPr>
        <w:sectPr>
          <w:pgSz w:w="11905" w:h="16838"/>
          <w:pgMar w:top="1417" w:right="1417" w:bottom="1417" w:left="1417" w:header="992" w:footer="992" w:gutter="0"/>
          <w:cols w:space="720" w:num="1"/>
        </w:sectPr>
      </w:pPr>
    </w:p>
    <w:p w14:paraId="760602D8">
      <w:pPr>
        <w:pStyle w:val="4"/>
        <w:spacing w:before="120" w:after="120"/>
        <w:jc w:val="center"/>
        <w:rPr>
          <w:sz w:val="28"/>
          <w:highlight w:val="none"/>
        </w:rPr>
      </w:pPr>
      <w:bookmarkStart w:id="206" w:name="bookmark181"/>
      <w:bookmarkEnd w:id="206"/>
      <w:bookmarkStart w:id="207" w:name="_Toc10111"/>
      <w:r>
        <w:rPr>
          <w:rFonts w:hint="eastAsia"/>
          <w:sz w:val="28"/>
          <w:highlight w:val="none"/>
        </w:rPr>
        <w:t>三</w:t>
      </w:r>
      <w:r>
        <w:rPr>
          <w:sz w:val="28"/>
          <w:highlight w:val="none"/>
        </w:rPr>
        <w:t>、监理报酬清单</w:t>
      </w:r>
      <w:bookmarkEnd w:id="207"/>
    </w:p>
    <w:p w14:paraId="0300B9E6">
      <w:pPr>
        <w:pStyle w:val="9"/>
        <w:kinsoku w:val="0"/>
        <w:overflowPunct w:val="0"/>
        <w:ind w:left="0"/>
        <w:rPr>
          <w:sz w:val="20"/>
          <w:highlight w:val="none"/>
        </w:rPr>
      </w:pPr>
    </w:p>
    <w:p w14:paraId="68403696">
      <w:pPr>
        <w:spacing w:line="440" w:lineRule="exact"/>
        <w:rPr>
          <w:rFonts w:ascii="宋体" w:hAnsi="宋体" w:cs="宋体"/>
          <w:sz w:val="21"/>
          <w:szCs w:val="21"/>
          <w:highlight w:val="none"/>
        </w:rPr>
      </w:pPr>
      <w:r>
        <w:rPr>
          <w:rFonts w:ascii="宋体" w:hAnsi="宋体" w:cs="宋体"/>
          <w:sz w:val="21"/>
          <w:szCs w:val="21"/>
          <w:highlight w:val="none"/>
        </w:rPr>
        <w:t>项目名称：</w:t>
      </w:r>
      <w:r>
        <w:rPr>
          <w:rFonts w:ascii="宋体" w:hAnsi="宋体" w:cs="宋体"/>
          <w:sz w:val="21"/>
          <w:szCs w:val="21"/>
          <w:highlight w:val="none"/>
          <w:u w:val="single"/>
        </w:rPr>
        <w:t xml:space="preserve">                 </w:t>
      </w:r>
      <w:r>
        <w:rPr>
          <w:rFonts w:ascii="宋体" w:hAnsi="宋体" w:cs="宋体"/>
          <w:sz w:val="21"/>
          <w:szCs w:val="21"/>
          <w:highlight w:val="none"/>
        </w:rPr>
        <w:t xml:space="preserve"> </w:t>
      </w:r>
    </w:p>
    <w:tbl>
      <w:tblPr>
        <w:tblStyle w:val="1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1B25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365F5">
            <w:pPr>
              <w:jc w:val="center"/>
              <w:rPr>
                <w:rFonts w:ascii="宋体" w:hAnsi="宋体" w:cs="宋体"/>
                <w:b/>
                <w:sz w:val="21"/>
                <w:szCs w:val="21"/>
                <w:highlight w:val="none"/>
              </w:rPr>
            </w:pPr>
            <w:r>
              <w:rPr>
                <w:rFonts w:ascii="宋体" w:hAnsi="宋体" w:cs="宋体"/>
                <w:b/>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C60C4">
            <w:pPr>
              <w:jc w:val="center"/>
              <w:rPr>
                <w:rFonts w:ascii="宋体" w:hAnsi="宋体" w:cs="宋体"/>
                <w:sz w:val="21"/>
                <w:szCs w:val="21"/>
                <w:highlight w:val="none"/>
              </w:rPr>
            </w:pPr>
            <w:r>
              <w:rPr>
                <w:rFonts w:ascii="宋体" w:hAnsi="宋体" w:cs="宋体"/>
                <w:b/>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715A9">
            <w:pPr>
              <w:jc w:val="center"/>
              <w:rPr>
                <w:rFonts w:ascii="宋体" w:hAnsi="宋体" w:cs="宋体"/>
                <w:b/>
                <w:sz w:val="21"/>
                <w:szCs w:val="21"/>
                <w:highlight w:val="none"/>
              </w:rPr>
            </w:pPr>
            <w:r>
              <w:rPr>
                <w:rFonts w:ascii="宋体" w:hAnsi="宋体" w:cs="宋体"/>
                <w:b/>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75E8D">
            <w:pPr>
              <w:jc w:val="center"/>
              <w:rPr>
                <w:rFonts w:ascii="宋体" w:hAnsi="宋体" w:cs="宋体"/>
                <w:b/>
                <w:sz w:val="21"/>
                <w:szCs w:val="21"/>
                <w:highlight w:val="none"/>
              </w:rPr>
            </w:pPr>
            <w:r>
              <w:rPr>
                <w:rFonts w:ascii="宋体" w:hAnsi="宋体" w:cs="宋体"/>
                <w:b/>
                <w:sz w:val="21"/>
                <w:szCs w:val="21"/>
                <w:highlight w:val="none"/>
              </w:rPr>
              <w:t>投标报价（元）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8406B">
            <w:pPr>
              <w:jc w:val="center"/>
              <w:rPr>
                <w:rFonts w:ascii="宋体" w:hAnsi="宋体" w:cs="宋体"/>
                <w:b/>
                <w:sz w:val="21"/>
                <w:szCs w:val="21"/>
                <w:highlight w:val="none"/>
              </w:rPr>
            </w:pPr>
            <w:r>
              <w:rPr>
                <w:rFonts w:ascii="宋体" w:hAnsi="宋体" w:cs="宋体"/>
                <w:b/>
                <w:sz w:val="21"/>
                <w:szCs w:val="21"/>
                <w:highlight w:val="none"/>
              </w:rPr>
              <w:t>备注</w:t>
            </w:r>
          </w:p>
        </w:tc>
      </w:tr>
      <w:tr w14:paraId="3ADC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D4012">
            <w:pPr>
              <w:spacing w:line="360" w:lineRule="auto"/>
              <w:jc w:val="center"/>
              <w:rPr>
                <w:rFonts w:ascii="宋体" w:hAnsi="宋体" w:cs="宋体"/>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31ED0">
            <w:pPr>
              <w:rPr>
                <w:rFonts w:ascii="宋体" w:hAnsi="宋体" w:cs="宋体"/>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4CC22E">
            <w:pPr>
              <w:spacing w:line="360" w:lineRule="auto"/>
              <w:jc w:val="center"/>
              <w:rPr>
                <w:rFonts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EACFD">
            <w:pPr>
              <w:spacing w:line="360" w:lineRule="auto"/>
              <w:jc w:val="center"/>
              <w:rPr>
                <w:rFonts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D8940">
            <w:pPr>
              <w:spacing w:line="360" w:lineRule="auto"/>
              <w:jc w:val="center"/>
              <w:rPr>
                <w:rFonts w:ascii="宋体" w:hAnsi="宋体" w:cs="宋体"/>
                <w:sz w:val="21"/>
                <w:szCs w:val="21"/>
                <w:highlight w:val="none"/>
              </w:rPr>
            </w:pPr>
          </w:p>
        </w:tc>
      </w:tr>
      <w:tr w14:paraId="4CB0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98F6E">
            <w:pPr>
              <w:spacing w:line="360" w:lineRule="auto"/>
              <w:jc w:val="center"/>
              <w:rPr>
                <w:rFonts w:ascii="宋体" w:hAnsi="宋体" w:cs="宋体"/>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E2DE0">
            <w:pPr>
              <w:rPr>
                <w:rFonts w:ascii="宋体" w:hAnsi="宋体" w:cs="宋体"/>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6EF15E">
            <w:pPr>
              <w:spacing w:line="360" w:lineRule="auto"/>
              <w:jc w:val="center"/>
              <w:rPr>
                <w:rFonts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BC12C">
            <w:pPr>
              <w:spacing w:line="360" w:lineRule="auto"/>
              <w:jc w:val="center"/>
              <w:rPr>
                <w:rFonts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A7FD0">
            <w:pPr>
              <w:spacing w:line="360" w:lineRule="auto"/>
              <w:jc w:val="center"/>
              <w:rPr>
                <w:rFonts w:ascii="宋体" w:hAnsi="宋体" w:cs="宋体"/>
                <w:sz w:val="21"/>
                <w:szCs w:val="21"/>
                <w:highlight w:val="none"/>
              </w:rPr>
            </w:pPr>
          </w:p>
        </w:tc>
      </w:tr>
      <w:tr w14:paraId="5465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77B4D8">
            <w:pPr>
              <w:jc w:val="center"/>
              <w:rPr>
                <w:rFonts w:ascii="宋体" w:hAnsi="宋体" w:cs="宋体"/>
                <w:b/>
                <w:sz w:val="21"/>
                <w:szCs w:val="21"/>
                <w:highlight w:val="none"/>
              </w:rPr>
            </w:pPr>
            <w:r>
              <w:rPr>
                <w:rFonts w:ascii="宋体" w:hAnsi="宋体" w:cs="宋体"/>
                <w:b/>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8D1B2">
            <w:pPr>
              <w:spacing w:line="360" w:lineRule="auto"/>
              <w:jc w:val="center"/>
              <w:rPr>
                <w:rFonts w:ascii="宋体" w:hAnsi="宋体" w:cs="宋体"/>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2DFD6">
            <w:pPr>
              <w:spacing w:line="360" w:lineRule="auto"/>
              <w:jc w:val="center"/>
              <w:rPr>
                <w:rFonts w:ascii="宋体" w:hAnsi="宋体" w:cs="宋体"/>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548A4">
            <w:pPr>
              <w:spacing w:line="360" w:lineRule="auto"/>
              <w:jc w:val="center"/>
              <w:rPr>
                <w:rFonts w:ascii="宋体" w:hAnsi="宋体" w:cs="宋体"/>
                <w:sz w:val="21"/>
                <w:szCs w:val="21"/>
                <w:highlight w:val="none"/>
              </w:rPr>
            </w:pPr>
          </w:p>
        </w:tc>
      </w:tr>
    </w:tbl>
    <w:p w14:paraId="398C41A4">
      <w:pPr>
        <w:pStyle w:val="27"/>
        <w:spacing w:line="240" w:lineRule="auto"/>
        <w:ind w:firstLine="0" w:firstLineChars="0"/>
        <w:rPr>
          <w:rFonts w:ascii="宋体" w:hAnsi="宋体" w:cs="宋体"/>
          <w:sz w:val="21"/>
          <w:szCs w:val="21"/>
          <w:highlight w:val="none"/>
        </w:rPr>
      </w:pPr>
    </w:p>
    <w:p w14:paraId="1CB1F414">
      <w:pPr>
        <w:pStyle w:val="27"/>
        <w:spacing w:line="240" w:lineRule="auto"/>
        <w:ind w:firstLine="0" w:firstLineChars="0"/>
        <w:rPr>
          <w:rFonts w:ascii="宋体" w:hAnsi="宋体" w:cs="宋体"/>
          <w:sz w:val="21"/>
          <w:szCs w:val="21"/>
          <w:highlight w:val="none"/>
        </w:rPr>
      </w:pPr>
      <w:r>
        <w:rPr>
          <w:rFonts w:ascii="宋体" w:hAnsi="宋体" w:cs="宋体"/>
          <w:sz w:val="21"/>
          <w:szCs w:val="21"/>
          <w:highlight w:val="none"/>
        </w:rPr>
        <w:t>注：</w:t>
      </w:r>
    </w:p>
    <w:p w14:paraId="1CB3BF5D">
      <w:pPr>
        <w:pStyle w:val="27"/>
        <w:ind w:firstLine="428"/>
        <w:rPr>
          <w:rFonts w:ascii="宋体" w:hAnsi="宋体" w:cs="宋体"/>
          <w:sz w:val="21"/>
          <w:szCs w:val="21"/>
          <w:highlight w:val="none"/>
        </w:rPr>
      </w:pPr>
      <w:r>
        <w:rPr>
          <w:rFonts w:ascii="宋体" w:hAnsi="宋体" w:cs="宋体"/>
          <w:sz w:val="21"/>
          <w:szCs w:val="21"/>
          <w:highlight w:val="none"/>
        </w:rPr>
        <w:t>1、</w:t>
      </w:r>
      <w:r>
        <w:rPr>
          <w:rFonts w:ascii="宋体" w:hAnsi="宋体" w:cs="宋体"/>
          <w:sz w:val="21"/>
          <w:szCs w:val="21"/>
          <w:highlight w:val="none"/>
          <w:lang w:val="zh-CN"/>
        </w:rPr>
        <w:t>投标下浮率以百分比为单位，保留到小数点后</w:t>
      </w:r>
      <w:r>
        <w:rPr>
          <w:rFonts w:hint="eastAsia" w:ascii="宋体" w:hAnsi="宋体" w:cs="宋体"/>
          <w:sz w:val="21"/>
          <w:szCs w:val="21"/>
          <w:highlight w:val="none"/>
          <w:u w:val="single"/>
        </w:rPr>
        <w:t>2</w:t>
      </w:r>
      <w:r>
        <w:rPr>
          <w:rFonts w:ascii="宋体" w:hAnsi="宋体" w:cs="宋体"/>
          <w:sz w:val="21"/>
          <w:szCs w:val="21"/>
          <w:highlight w:val="none"/>
          <w:lang w:val="zh-CN"/>
        </w:rPr>
        <w:t>位</w:t>
      </w:r>
      <w:r>
        <w:rPr>
          <w:rFonts w:ascii="宋体" w:hAnsi="宋体" w:cs="宋体"/>
          <w:sz w:val="21"/>
          <w:szCs w:val="21"/>
          <w:highlight w:val="none"/>
        </w:rPr>
        <w:t>，投标报价填报保留小数点后</w:t>
      </w:r>
      <w:r>
        <w:rPr>
          <w:rFonts w:hint="eastAsia" w:ascii="宋体" w:hAnsi="宋体" w:cs="宋体"/>
          <w:sz w:val="21"/>
          <w:szCs w:val="21"/>
          <w:highlight w:val="none"/>
          <w:u w:val="single"/>
        </w:rPr>
        <w:t>2</w:t>
      </w:r>
      <w:r>
        <w:rPr>
          <w:rFonts w:ascii="宋体" w:hAnsi="宋体" w:cs="宋体"/>
          <w:sz w:val="21"/>
          <w:szCs w:val="21"/>
          <w:highlight w:val="none"/>
        </w:rPr>
        <w:t>位。</w:t>
      </w:r>
    </w:p>
    <w:p w14:paraId="33921C2A">
      <w:pPr>
        <w:pStyle w:val="27"/>
        <w:ind w:firstLine="428"/>
        <w:rPr>
          <w:rFonts w:ascii="宋体" w:hAnsi="宋体" w:cs="宋体"/>
          <w:sz w:val="21"/>
          <w:szCs w:val="21"/>
          <w:highlight w:val="none"/>
        </w:rPr>
      </w:pPr>
      <w:r>
        <w:rPr>
          <w:rFonts w:ascii="宋体" w:hAnsi="宋体" w:cs="宋体"/>
          <w:sz w:val="21"/>
          <w:szCs w:val="21"/>
          <w:highlight w:val="none"/>
        </w:rPr>
        <w:t>2、监理费投标下浮率=（监理费最高投标限价-监理费投标报价）/监理费最高投标限价*100%。</w:t>
      </w:r>
    </w:p>
    <w:p w14:paraId="3AB97773">
      <w:pPr>
        <w:pStyle w:val="27"/>
        <w:ind w:firstLine="428"/>
        <w:outlineLvl w:val="2"/>
        <w:rPr>
          <w:rFonts w:ascii="宋体" w:hAnsi="宋体" w:cs="宋体"/>
          <w:sz w:val="21"/>
          <w:szCs w:val="21"/>
          <w:highlight w:val="none"/>
        </w:rPr>
      </w:pPr>
      <w:bookmarkStart w:id="208" w:name="_Toc4060"/>
      <w:bookmarkStart w:id="209" w:name="_Toc6894"/>
      <w:r>
        <w:rPr>
          <w:rFonts w:ascii="宋体" w:hAnsi="宋体" w:cs="宋体"/>
          <w:sz w:val="21"/>
          <w:szCs w:val="21"/>
          <w:highlight w:val="none"/>
        </w:rPr>
        <w:t>3、投标报价与投标下浮率不符时，以投标下浮率为准修正总价。</w:t>
      </w:r>
      <w:bookmarkEnd w:id="208"/>
      <w:bookmarkEnd w:id="209"/>
    </w:p>
    <w:p w14:paraId="13E97E44">
      <w:pPr>
        <w:rPr>
          <w:highlight w:val="none"/>
        </w:rPr>
        <w:sectPr>
          <w:pgSz w:w="11905" w:h="16838"/>
          <w:pgMar w:top="1417" w:right="1417" w:bottom="1417" w:left="1417" w:header="992" w:footer="992" w:gutter="0"/>
          <w:cols w:space="720" w:num="1"/>
        </w:sectPr>
      </w:pPr>
    </w:p>
    <w:p w14:paraId="646762E3">
      <w:pPr>
        <w:pStyle w:val="4"/>
        <w:kinsoku w:val="0"/>
        <w:overflowPunct w:val="0"/>
        <w:spacing w:before="120" w:after="120" w:line="456" w:lineRule="exact"/>
        <w:ind w:right="1"/>
        <w:jc w:val="center"/>
        <w:rPr>
          <w:b w:val="0"/>
          <w:sz w:val="28"/>
          <w:highlight w:val="none"/>
        </w:rPr>
      </w:pPr>
      <w:bookmarkStart w:id="210" w:name="bookmark184"/>
      <w:bookmarkEnd w:id="210"/>
      <w:bookmarkStart w:id="211" w:name="_Toc26761"/>
      <w:r>
        <w:rPr>
          <w:rFonts w:hint="eastAsia"/>
          <w:sz w:val="28"/>
          <w:highlight w:val="none"/>
        </w:rPr>
        <w:t>四</w:t>
      </w:r>
      <w:r>
        <w:rPr>
          <w:sz w:val="28"/>
          <w:highlight w:val="none"/>
        </w:rPr>
        <w:t>、资格审查资料</w:t>
      </w:r>
      <w:bookmarkEnd w:id="211"/>
    </w:p>
    <w:p w14:paraId="278C72DA">
      <w:pPr>
        <w:pStyle w:val="9"/>
        <w:kinsoku w:val="0"/>
        <w:overflowPunct w:val="0"/>
        <w:spacing w:before="10"/>
        <w:ind w:left="0"/>
        <w:rPr>
          <w:rFonts w:ascii="Microsoft JhengHei" w:hAnsi="Microsoft JhengHei" w:eastAsia="Microsoft JhengHei"/>
          <w:b/>
          <w:sz w:val="15"/>
          <w:highlight w:val="none"/>
        </w:rPr>
      </w:pPr>
    </w:p>
    <w:p w14:paraId="2E77EB5B">
      <w:pPr>
        <w:pStyle w:val="5"/>
        <w:rPr>
          <w:b/>
          <w:sz w:val="24"/>
          <w:highlight w:val="none"/>
        </w:rPr>
      </w:pPr>
      <w:bookmarkStart w:id="212" w:name="bookmark185"/>
      <w:bookmarkEnd w:id="212"/>
      <w:bookmarkStart w:id="213" w:name="_Toc25320"/>
      <w:r>
        <w:rPr>
          <w:b/>
          <w:sz w:val="24"/>
          <w:highlight w:val="none"/>
        </w:rPr>
        <w:t>（一）基本情况表</w:t>
      </w:r>
      <w:bookmarkEnd w:id="213"/>
    </w:p>
    <w:p w14:paraId="2E1BC610">
      <w:pPr>
        <w:pStyle w:val="9"/>
        <w:kinsoku w:val="0"/>
        <w:overflowPunct w:val="0"/>
        <w:ind w:left="0"/>
        <w:rPr>
          <w:sz w:val="23"/>
          <w:highlight w:val="none"/>
        </w:rPr>
      </w:pPr>
    </w:p>
    <w:tbl>
      <w:tblPr>
        <w:tblStyle w:val="18"/>
        <w:tblW w:w="9212" w:type="dxa"/>
        <w:tblInd w:w="-104" w:type="dxa"/>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2B514FD8">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0DBCD">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6CDCE9F">
            <w:pPr>
              <w:rPr>
                <w:rFonts w:ascii="宋体" w:hAnsi="宋体" w:cs="宋体"/>
                <w:sz w:val="21"/>
                <w:szCs w:val="21"/>
                <w:highlight w:val="none"/>
              </w:rPr>
            </w:pPr>
          </w:p>
        </w:tc>
      </w:tr>
      <w:tr w14:paraId="33A5347C">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AE1EE">
            <w:pPr>
              <w:pStyle w:val="22"/>
              <w:kinsoku w:val="0"/>
              <w:overflowPunct w:val="0"/>
              <w:jc w:val="center"/>
              <w:rPr>
                <w:rFonts w:ascii="宋体" w:hAnsi="宋体" w:cs="宋体"/>
                <w:sz w:val="21"/>
                <w:szCs w:val="21"/>
                <w:highlight w:val="none"/>
              </w:rPr>
            </w:pPr>
            <w:r>
              <w:rPr>
                <w:rFonts w:ascii="宋体" w:hAnsi="宋体" w:cs="宋体"/>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666CDC8">
            <w:pPr>
              <w:rPr>
                <w:rFonts w:ascii="宋体" w:hAnsi="宋体" w:cs="宋体"/>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463B554">
            <w:pPr>
              <w:pStyle w:val="22"/>
              <w:kinsoku w:val="0"/>
              <w:overflowPunct w:val="0"/>
              <w:spacing w:before="107"/>
              <w:ind w:left="218"/>
              <w:rPr>
                <w:rFonts w:ascii="宋体" w:hAnsi="宋体" w:cs="宋体"/>
                <w:sz w:val="21"/>
                <w:szCs w:val="21"/>
                <w:highlight w:val="none"/>
              </w:rPr>
            </w:pPr>
            <w:r>
              <w:rPr>
                <w:rFonts w:ascii="宋体" w:hAnsi="宋体" w:cs="宋体"/>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8DE5B8C">
            <w:pPr>
              <w:rPr>
                <w:rFonts w:ascii="宋体" w:hAnsi="宋体" w:cs="宋体"/>
                <w:sz w:val="21"/>
                <w:szCs w:val="21"/>
                <w:highlight w:val="none"/>
              </w:rPr>
            </w:pPr>
          </w:p>
        </w:tc>
      </w:tr>
      <w:tr w14:paraId="05E58541">
        <w:tblPrEx>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D92C3">
            <w:pPr>
              <w:pStyle w:val="22"/>
              <w:kinsoku w:val="0"/>
              <w:overflowPunct w:val="0"/>
              <w:jc w:val="center"/>
              <w:rPr>
                <w:rFonts w:ascii="宋体" w:hAnsi="宋体" w:cs="宋体"/>
                <w:sz w:val="21"/>
                <w:szCs w:val="21"/>
                <w:highlight w:val="none"/>
              </w:rPr>
            </w:pPr>
          </w:p>
          <w:p w14:paraId="3E0B555E">
            <w:pPr>
              <w:pStyle w:val="22"/>
              <w:kinsoku w:val="0"/>
              <w:overflowPunct w:val="0"/>
              <w:jc w:val="center"/>
              <w:rPr>
                <w:rFonts w:ascii="宋体" w:hAnsi="宋体" w:cs="宋体"/>
                <w:sz w:val="21"/>
                <w:szCs w:val="21"/>
                <w:highlight w:val="none"/>
              </w:rPr>
            </w:pPr>
            <w:r>
              <w:rPr>
                <w:rFonts w:ascii="宋体" w:hAnsi="宋体" w:cs="宋体"/>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CD186">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BE451E">
            <w:pPr>
              <w:rPr>
                <w:rFonts w:ascii="宋体" w:hAnsi="宋体" w:cs="宋体"/>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228D4BA">
            <w:pPr>
              <w:pStyle w:val="22"/>
              <w:kinsoku w:val="0"/>
              <w:overflowPunct w:val="0"/>
              <w:spacing w:before="107"/>
              <w:ind w:left="374"/>
              <w:rPr>
                <w:rFonts w:ascii="宋体" w:hAnsi="宋体" w:cs="宋体"/>
                <w:sz w:val="21"/>
                <w:szCs w:val="21"/>
                <w:highlight w:val="none"/>
              </w:rPr>
            </w:pPr>
            <w:r>
              <w:rPr>
                <w:rFonts w:ascii="宋体" w:hAnsi="宋体" w:cs="宋体"/>
                <w:sz w:val="21"/>
                <w:szCs w:val="21"/>
                <w:highlight w:val="none"/>
              </w:rPr>
              <w:t>电</w:t>
            </w:r>
            <w:r>
              <w:rPr>
                <w:rFonts w:ascii="宋体" w:hAnsi="宋体" w:cs="宋体"/>
                <w:spacing w:val="2"/>
                <w:sz w:val="21"/>
                <w:szCs w:val="21"/>
                <w:highlight w:val="none"/>
              </w:rPr>
              <w:t xml:space="preserve"> </w:t>
            </w:r>
            <w:r>
              <w:rPr>
                <w:rFonts w:ascii="宋体" w:hAnsi="宋体" w:cs="宋体"/>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FBA7778">
            <w:pPr>
              <w:rPr>
                <w:rFonts w:ascii="宋体" w:hAnsi="宋体" w:cs="宋体"/>
                <w:sz w:val="21"/>
                <w:szCs w:val="21"/>
                <w:highlight w:val="none"/>
              </w:rPr>
            </w:pPr>
          </w:p>
        </w:tc>
      </w:tr>
      <w:tr w14:paraId="21EA3250">
        <w:tblPrEx>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3CC8E">
            <w:pPr>
              <w:jc w:val="center"/>
              <w:rPr>
                <w:rFonts w:ascii="宋体" w:hAnsi="宋体" w:cs="宋体"/>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E1B48B">
            <w:pPr>
              <w:pStyle w:val="22"/>
              <w:tabs>
                <w:tab w:val="left" w:pos="550"/>
              </w:tabs>
              <w:kinsoku w:val="0"/>
              <w:overflowPunct w:val="0"/>
              <w:spacing w:before="108"/>
              <w:jc w:val="center"/>
              <w:rPr>
                <w:rFonts w:ascii="宋体" w:hAnsi="宋体" w:cs="宋体"/>
                <w:sz w:val="21"/>
                <w:szCs w:val="21"/>
                <w:highlight w:val="none"/>
              </w:rPr>
            </w:pPr>
            <w:r>
              <w:rPr>
                <w:rFonts w:ascii="宋体" w:hAnsi="宋体" w:cs="宋体"/>
                <w:sz w:val="21"/>
                <w:szCs w:val="21"/>
                <w:highlight w:val="none"/>
              </w:rPr>
              <w:t>传真</w:t>
            </w:r>
            <w:r>
              <w:rPr>
                <w:rFonts w:ascii="宋体" w:hAnsi="宋体" w:cs="宋体"/>
                <w:sz w:val="21"/>
                <w:szCs w:val="21"/>
                <w:highlight w:val="none"/>
              </w:rPr>
              <w:tab/>
            </w:r>
            <w:r>
              <w:rPr>
                <w:rFonts w:ascii="宋体" w:hAnsi="宋体" w:cs="宋体"/>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D7B0A83">
            <w:pPr>
              <w:rPr>
                <w:rFonts w:ascii="宋体" w:hAnsi="宋体" w:cs="宋体"/>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FBB63EC">
            <w:pPr>
              <w:pStyle w:val="22"/>
              <w:kinsoku w:val="0"/>
              <w:overflowPunct w:val="0"/>
              <w:spacing w:before="108"/>
              <w:ind w:left="374"/>
              <w:rPr>
                <w:rFonts w:ascii="宋体" w:hAnsi="宋体" w:cs="宋体"/>
                <w:sz w:val="21"/>
                <w:szCs w:val="21"/>
                <w:highlight w:val="none"/>
              </w:rPr>
            </w:pPr>
            <w:r>
              <w:rPr>
                <w:rFonts w:ascii="宋体" w:hAnsi="宋体" w:cs="宋体"/>
                <w:sz w:val="21"/>
                <w:szCs w:val="21"/>
                <w:highlight w:val="none"/>
              </w:rPr>
              <w:t>网</w:t>
            </w:r>
            <w:r>
              <w:rPr>
                <w:rFonts w:ascii="宋体" w:hAnsi="宋体" w:cs="宋体"/>
                <w:spacing w:val="2"/>
                <w:sz w:val="21"/>
                <w:szCs w:val="21"/>
                <w:highlight w:val="none"/>
              </w:rPr>
              <w:t xml:space="preserve"> </w:t>
            </w:r>
            <w:r>
              <w:rPr>
                <w:rFonts w:ascii="宋体" w:hAnsi="宋体" w:cs="宋体"/>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C024465">
            <w:pPr>
              <w:rPr>
                <w:rFonts w:ascii="宋体" w:hAnsi="宋体" w:cs="宋体"/>
                <w:sz w:val="21"/>
                <w:szCs w:val="21"/>
                <w:highlight w:val="none"/>
              </w:rPr>
            </w:pPr>
          </w:p>
        </w:tc>
      </w:tr>
      <w:tr w14:paraId="4BF78720">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76D4F">
            <w:pPr>
              <w:pStyle w:val="22"/>
              <w:kinsoku w:val="0"/>
              <w:overflowPunct w:val="0"/>
              <w:jc w:val="center"/>
              <w:rPr>
                <w:rFonts w:ascii="宋体" w:hAnsi="宋体" w:cs="宋体"/>
                <w:sz w:val="21"/>
                <w:szCs w:val="21"/>
                <w:highlight w:val="none"/>
              </w:rPr>
            </w:pPr>
            <w:r>
              <w:rPr>
                <w:rFonts w:ascii="宋体" w:hAnsi="宋体" w:cs="宋体"/>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89BE8D">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97811">
            <w:pPr>
              <w:rPr>
                <w:rFonts w:ascii="宋体" w:hAnsi="宋体" w:cs="宋体"/>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80C3D2">
            <w:pPr>
              <w:pStyle w:val="22"/>
              <w:kinsoku w:val="0"/>
              <w:overflowPunct w:val="0"/>
              <w:spacing w:before="107"/>
              <w:rPr>
                <w:rFonts w:ascii="宋体" w:hAnsi="宋体" w:cs="宋体"/>
                <w:sz w:val="21"/>
                <w:szCs w:val="21"/>
                <w:highlight w:val="none"/>
              </w:rPr>
            </w:pPr>
            <w:r>
              <w:rPr>
                <w:rFonts w:ascii="宋体" w:hAnsi="宋体" w:cs="宋体"/>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D340171">
            <w:pPr>
              <w:rPr>
                <w:rFonts w:ascii="宋体" w:hAnsi="宋体" w:cs="宋体"/>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EA1CF6D">
            <w:pPr>
              <w:pStyle w:val="22"/>
              <w:kinsoku w:val="0"/>
              <w:overflowPunct w:val="0"/>
              <w:spacing w:before="107"/>
              <w:rPr>
                <w:rFonts w:ascii="宋体" w:hAnsi="宋体" w:cs="宋体"/>
                <w:sz w:val="21"/>
                <w:szCs w:val="21"/>
                <w:highlight w:val="none"/>
              </w:rPr>
            </w:pPr>
            <w:r>
              <w:rPr>
                <w:rFonts w:ascii="宋体" w:hAnsi="宋体" w:cs="宋体"/>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56563">
            <w:pPr>
              <w:rPr>
                <w:rFonts w:ascii="宋体" w:hAnsi="宋体" w:cs="宋体"/>
                <w:sz w:val="21"/>
                <w:szCs w:val="21"/>
                <w:highlight w:val="none"/>
              </w:rPr>
            </w:pPr>
          </w:p>
        </w:tc>
      </w:tr>
      <w:tr w14:paraId="7CAC16C3">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F496D">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93BAAA">
            <w:pPr>
              <w:pStyle w:val="22"/>
              <w:kinsoku w:val="0"/>
              <w:overflowPunct w:val="0"/>
              <w:spacing w:before="107"/>
              <w:jc w:val="center"/>
              <w:rPr>
                <w:rFonts w:ascii="宋体" w:hAnsi="宋体" w:cs="宋体"/>
                <w:sz w:val="21"/>
                <w:szCs w:val="21"/>
                <w:highlight w:val="none"/>
              </w:rPr>
            </w:pPr>
            <w:r>
              <w:rPr>
                <w:rFonts w:ascii="宋体" w:hAnsi="宋体" w:cs="宋体"/>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C68576">
            <w:pPr>
              <w:rPr>
                <w:rFonts w:ascii="宋体" w:hAnsi="宋体" w:cs="宋体"/>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96ECC">
            <w:pPr>
              <w:pStyle w:val="22"/>
              <w:kinsoku w:val="0"/>
              <w:overflowPunct w:val="0"/>
              <w:spacing w:before="107"/>
              <w:rPr>
                <w:rFonts w:ascii="宋体" w:hAnsi="宋体" w:cs="宋体"/>
                <w:sz w:val="21"/>
                <w:szCs w:val="21"/>
                <w:highlight w:val="none"/>
              </w:rPr>
            </w:pPr>
            <w:r>
              <w:rPr>
                <w:rFonts w:ascii="宋体" w:hAnsi="宋体" w:cs="宋体"/>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29C61D">
            <w:pPr>
              <w:rPr>
                <w:rFonts w:ascii="宋体" w:hAnsi="宋体" w:cs="宋体"/>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8A7ACB3">
            <w:pPr>
              <w:pStyle w:val="22"/>
              <w:kinsoku w:val="0"/>
              <w:overflowPunct w:val="0"/>
              <w:spacing w:before="107"/>
              <w:rPr>
                <w:rFonts w:ascii="宋体" w:hAnsi="宋体" w:cs="宋体"/>
                <w:sz w:val="21"/>
                <w:szCs w:val="21"/>
                <w:highlight w:val="none"/>
              </w:rPr>
            </w:pPr>
            <w:r>
              <w:rPr>
                <w:rFonts w:ascii="宋体" w:hAnsi="宋体" w:cs="宋体"/>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289CDB">
            <w:pPr>
              <w:rPr>
                <w:rFonts w:ascii="宋体" w:hAnsi="宋体" w:cs="宋体"/>
                <w:sz w:val="21"/>
                <w:szCs w:val="21"/>
                <w:highlight w:val="none"/>
              </w:rPr>
            </w:pPr>
          </w:p>
        </w:tc>
      </w:tr>
      <w:tr w14:paraId="51170D72">
        <w:tblPrEx>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9882C">
            <w:pPr>
              <w:pStyle w:val="22"/>
              <w:kinsoku w:val="0"/>
              <w:overflowPunct w:val="0"/>
              <w:jc w:val="center"/>
              <w:rPr>
                <w:rFonts w:ascii="宋体" w:hAnsi="宋体" w:cs="宋体"/>
                <w:sz w:val="21"/>
                <w:szCs w:val="21"/>
                <w:highlight w:val="none"/>
              </w:rPr>
            </w:pPr>
            <w:r>
              <w:rPr>
                <w:rFonts w:ascii="宋体" w:hAnsi="宋体" w:cs="宋体"/>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763B7E5">
            <w:pPr>
              <w:pStyle w:val="22"/>
              <w:tabs>
                <w:tab w:val="left" w:pos="3785"/>
                <w:tab w:val="left" w:pos="5045"/>
              </w:tabs>
              <w:kinsoku w:val="0"/>
              <w:overflowPunct w:val="0"/>
              <w:spacing w:before="107"/>
              <w:ind w:left="1054"/>
              <w:rPr>
                <w:rFonts w:ascii="宋体" w:hAnsi="宋体" w:cs="宋体"/>
                <w:sz w:val="21"/>
                <w:szCs w:val="21"/>
                <w:highlight w:val="none"/>
              </w:rPr>
            </w:pPr>
            <w:r>
              <w:rPr>
                <w:rFonts w:ascii="宋体" w:hAnsi="宋体" w:cs="宋体"/>
                <w:sz w:val="21"/>
                <w:szCs w:val="21"/>
                <w:highlight w:val="none"/>
              </w:rPr>
              <w:t>类型：</w:t>
            </w:r>
            <w:r>
              <w:rPr>
                <w:rFonts w:ascii="宋体" w:hAnsi="宋体" w:cs="宋体"/>
                <w:sz w:val="21"/>
                <w:szCs w:val="21"/>
                <w:highlight w:val="none"/>
              </w:rPr>
              <w:tab/>
            </w:r>
            <w:r>
              <w:rPr>
                <w:rFonts w:ascii="宋体" w:hAnsi="宋体" w:cs="宋体"/>
                <w:spacing w:val="-1"/>
                <w:sz w:val="21"/>
                <w:szCs w:val="21"/>
                <w:highlight w:val="none"/>
              </w:rPr>
              <w:t>等级：</w:t>
            </w:r>
            <w:r>
              <w:rPr>
                <w:rFonts w:ascii="宋体" w:hAnsi="宋体" w:cs="宋体"/>
                <w:spacing w:val="-1"/>
                <w:sz w:val="21"/>
                <w:szCs w:val="21"/>
                <w:highlight w:val="none"/>
              </w:rPr>
              <w:tab/>
            </w:r>
            <w:r>
              <w:rPr>
                <w:rFonts w:ascii="宋体" w:hAnsi="宋体" w:cs="宋体"/>
                <w:spacing w:val="-2"/>
                <w:sz w:val="21"/>
                <w:szCs w:val="21"/>
                <w:highlight w:val="none"/>
              </w:rPr>
              <w:t>证书号：</w:t>
            </w:r>
          </w:p>
        </w:tc>
      </w:tr>
      <w:tr w14:paraId="4C3B78D9">
        <w:tblPrEx>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BC77F">
            <w:pPr>
              <w:pStyle w:val="22"/>
              <w:kinsoku w:val="0"/>
              <w:overflowPunct w:val="0"/>
              <w:jc w:val="center"/>
              <w:rPr>
                <w:rFonts w:ascii="宋体" w:hAnsi="宋体" w:cs="宋体"/>
                <w:sz w:val="21"/>
                <w:szCs w:val="21"/>
                <w:highlight w:val="none"/>
              </w:rPr>
            </w:pPr>
            <w:r>
              <w:rPr>
                <w:rFonts w:ascii="宋体" w:hAnsi="宋体" w:cs="宋体"/>
                <w:sz w:val="21"/>
                <w:szCs w:val="21"/>
                <w:highlight w:val="none"/>
              </w:rPr>
              <w:t>质量管理体系证书</w:t>
            </w:r>
          </w:p>
          <w:p w14:paraId="48E27EE7">
            <w:pPr>
              <w:pStyle w:val="22"/>
              <w:kinsoku w:val="0"/>
              <w:overflowPunct w:val="0"/>
              <w:ind w:right="101"/>
              <w:jc w:val="center"/>
              <w:rPr>
                <w:rFonts w:ascii="宋体" w:hAnsi="宋体" w:cs="宋体"/>
                <w:sz w:val="21"/>
                <w:szCs w:val="21"/>
                <w:highlight w:val="none"/>
              </w:rPr>
            </w:pPr>
            <w:r>
              <w:rPr>
                <w:rFonts w:ascii="宋体" w:hAnsi="宋体" w:cs="宋体"/>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7538D96">
            <w:pPr>
              <w:pStyle w:val="22"/>
              <w:kinsoku w:val="0"/>
              <w:overflowPunct w:val="0"/>
              <w:spacing w:before="1"/>
              <w:rPr>
                <w:rFonts w:ascii="宋体" w:hAnsi="宋体" w:cs="宋体"/>
                <w:sz w:val="21"/>
                <w:szCs w:val="21"/>
                <w:highlight w:val="none"/>
              </w:rPr>
            </w:pPr>
          </w:p>
          <w:p w14:paraId="0B30A5C6">
            <w:pPr>
              <w:pStyle w:val="22"/>
              <w:tabs>
                <w:tab w:val="left" w:pos="3785"/>
                <w:tab w:val="left" w:pos="5045"/>
              </w:tabs>
              <w:kinsoku w:val="0"/>
              <w:overflowPunct w:val="0"/>
              <w:ind w:left="1054"/>
              <w:rPr>
                <w:rFonts w:ascii="宋体" w:hAnsi="宋体" w:cs="宋体"/>
                <w:sz w:val="21"/>
                <w:szCs w:val="21"/>
                <w:highlight w:val="none"/>
              </w:rPr>
            </w:pPr>
            <w:r>
              <w:rPr>
                <w:rFonts w:ascii="宋体" w:hAnsi="宋体" w:cs="宋体"/>
                <w:sz w:val="21"/>
                <w:szCs w:val="21"/>
                <w:highlight w:val="none"/>
              </w:rPr>
              <w:t>类型：</w:t>
            </w:r>
            <w:r>
              <w:rPr>
                <w:rFonts w:ascii="宋体" w:hAnsi="宋体" w:cs="宋体"/>
                <w:sz w:val="21"/>
                <w:szCs w:val="21"/>
                <w:highlight w:val="none"/>
              </w:rPr>
              <w:tab/>
            </w:r>
            <w:r>
              <w:rPr>
                <w:rFonts w:ascii="宋体" w:hAnsi="宋体" w:cs="宋体"/>
                <w:spacing w:val="-1"/>
                <w:sz w:val="21"/>
                <w:szCs w:val="21"/>
                <w:highlight w:val="none"/>
              </w:rPr>
              <w:t>等级：</w:t>
            </w:r>
            <w:r>
              <w:rPr>
                <w:rFonts w:ascii="宋体" w:hAnsi="宋体" w:cs="宋体"/>
                <w:spacing w:val="-1"/>
                <w:sz w:val="21"/>
                <w:szCs w:val="21"/>
                <w:highlight w:val="none"/>
              </w:rPr>
              <w:tab/>
            </w:r>
            <w:r>
              <w:rPr>
                <w:rFonts w:ascii="宋体" w:hAnsi="宋体" w:cs="宋体"/>
                <w:spacing w:val="-2"/>
                <w:sz w:val="21"/>
                <w:szCs w:val="21"/>
                <w:highlight w:val="none"/>
              </w:rPr>
              <w:t>证书号：</w:t>
            </w:r>
          </w:p>
        </w:tc>
      </w:tr>
      <w:tr w14:paraId="1FA9D516">
        <w:tblPrEx>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EB93E">
            <w:pPr>
              <w:pStyle w:val="22"/>
              <w:kinsoku w:val="0"/>
              <w:overflowPunct w:val="0"/>
              <w:jc w:val="center"/>
              <w:rPr>
                <w:rFonts w:ascii="宋体" w:hAnsi="宋体" w:cs="宋体"/>
                <w:sz w:val="21"/>
                <w:szCs w:val="21"/>
                <w:highlight w:val="none"/>
              </w:rPr>
            </w:pPr>
            <w:r>
              <w:rPr>
                <w:rFonts w:ascii="宋体" w:hAnsi="宋体" w:cs="宋体"/>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FBEFDD3">
            <w:pPr>
              <w:rPr>
                <w:rFonts w:ascii="宋体" w:hAnsi="宋体" w:cs="宋体"/>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3CB2A901">
            <w:pPr>
              <w:pStyle w:val="22"/>
              <w:kinsoku w:val="0"/>
              <w:overflowPunct w:val="0"/>
              <w:spacing w:before="107"/>
              <w:ind w:left="1178"/>
              <w:rPr>
                <w:rFonts w:ascii="宋体" w:hAnsi="宋体" w:cs="宋体"/>
                <w:sz w:val="21"/>
                <w:szCs w:val="21"/>
                <w:highlight w:val="none"/>
              </w:rPr>
            </w:pPr>
            <w:r>
              <w:rPr>
                <w:rFonts w:ascii="宋体" w:hAnsi="宋体" w:cs="宋体"/>
                <w:sz w:val="21"/>
                <w:szCs w:val="21"/>
                <w:highlight w:val="none"/>
              </w:rPr>
              <w:t>员工总人数：</w:t>
            </w:r>
          </w:p>
        </w:tc>
      </w:tr>
      <w:tr w14:paraId="28EEC9B8">
        <w:tblPrEx>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D30F6">
            <w:pPr>
              <w:pStyle w:val="22"/>
              <w:kinsoku w:val="0"/>
              <w:overflowPunct w:val="0"/>
              <w:jc w:val="center"/>
              <w:rPr>
                <w:rFonts w:ascii="宋体" w:hAnsi="宋体" w:cs="宋体"/>
                <w:sz w:val="21"/>
                <w:szCs w:val="21"/>
                <w:highlight w:val="none"/>
              </w:rPr>
            </w:pPr>
            <w:r>
              <w:rPr>
                <w:rFonts w:ascii="宋体" w:hAnsi="宋体" w:cs="宋体"/>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F09C27A">
            <w:pPr>
              <w:rPr>
                <w:rFonts w:ascii="宋体" w:hAnsi="宋体" w:cs="宋体"/>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7541C">
            <w:pPr>
              <w:pStyle w:val="22"/>
              <w:kinsoku w:val="0"/>
              <w:overflowPunct w:val="0"/>
              <w:spacing w:line="384" w:lineRule="auto"/>
              <w:ind w:right="89"/>
              <w:jc w:val="center"/>
              <w:rPr>
                <w:rFonts w:ascii="宋体" w:hAnsi="宋体" w:cs="宋体"/>
                <w:sz w:val="21"/>
                <w:szCs w:val="21"/>
                <w:highlight w:val="none"/>
              </w:rPr>
            </w:pPr>
            <w:r>
              <w:rPr>
                <w:rFonts w:ascii="宋体" w:hAnsi="宋体" w:cs="宋体"/>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B2B25">
            <w:pPr>
              <w:pStyle w:val="22"/>
              <w:kinsoku w:val="0"/>
              <w:overflowPunct w:val="0"/>
              <w:jc w:val="center"/>
              <w:rPr>
                <w:rFonts w:ascii="宋体" w:hAnsi="宋体" w:cs="宋体"/>
                <w:sz w:val="21"/>
                <w:szCs w:val="21"/>
                <w:highlight w:val="none"/>
              </w:rPr>
            </w:pPr>
            <w:r>
              <w:rPr>
                <w:rFonts w:ascii="宋体" w:hAnsi="宋体" w:cs="宋体"/>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86A22AE">
            <w:pPr>
              <w:rPr>
                <w:rFonts w:ascii="宋体" w:hAnsi="宋体" w:cs="宋体"/>
                <w:sz w:val="21"/>
                <w:szCs w:val="21"/>
                <w:highlight w:val="none"/>
              </w:rPr>
            </w:pPr>
          </w:p>
        </w:tc>
      </w:tr>
      <w:tr w14:paraId="28545860">
        <w:tblPrEx>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E6E84">
            <w:pPr>
              <w:pStyle w:val="22"/>
              <w:kinsoku w:val="0"/>
              <w:overflowPunct w:val="0"/>
              <w:jc w:val="center"/>
              <w:rPr>
                <w:rFonts w:ascii="宋体" w:hAnsi="宋体" w:cs="宋体"/>
                <w:sz w:val="21"/>
                <w:szCs w:val="21"/>
                <w:highlight w:val="none"/>
              </w:rPr>
            </w:pPr>
            <w:r>
              <w:rPr>
                <w:rFonts w:ascii="宋体" w:hAnsi="宋体" w:cs="宋体"/>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118CF6A">
            <w:pPr>
              <w:rPr>
                <w:rFonts w:ascii="宋体" w:hAnsi="宋体" w:cs="宋体"/>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A2BC2A0">
            <w:pPr>
              <w:rPr>
                <w:rFonts w:ascii="宋体" w:hAnsi="宋体" w:cs="宋体"/>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07CC3">
            <w:pPr>
              <w:pStyle w:val="22"/>
              <w:kinsoku w:val="0"/>
              <w:overflowPunct w:val="0"/>
              <w:jc w:val="center"/>
              <w:rPr>
                <w:rFonts w:ascii="宋体" w:hAnsi="宋体" w:cs="宋体"/>
                <w:sz w:val="21"/>
                <w:szCs w:val="21"/>
                <w:highlight w:val="none"/>
              </w:rPr>
            </w:pPr>
            <w:r>
              <w:rPr>
                <w:rFonts w:ascii="宋体" w:hAnsi="宋体" w:cs="宋体"/>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19E0756">
            <w:pPr>
              <w:rPr>
                <w:rFonts w:ascii="宋体" w:hAnsi="宋体" w:cs="宋体"/>
                <w:sz w:val="21"/>
                <w:szCs w:val="21"/>
                <w:highlight w:val="none"/>
              </w:rPr>
            </w:pPr>
          </w:p>
        </w:tc>
      </w:tr>
      <w:tr w14:paraId="4A13F875">
        <w:tblPrEx>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FC5D5">
            <w:pPr>
              <w:pStyle w:val="22"/>
              <w:kinsoku w:val="0"/>
              <w:overflowPunct w:val="0"/>
              <w:jc w:val="center"/>
              <w:rPr>
                <w:rFonts w:ascii="宋体" w:hAnsi="宋体" w:cs="宋体"/>
                <w:sz w:val="21"/>
                <w:szCs w:val="21"/>
                <w:highlight w:val="none"/>
              </w:rPr>
            </w:pPr>
            <w:r>
              <w:rPr>
                <w:rFonts w:ascii="宋体" w:hAnsi="宋体" w:cs="宋体"/>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C98C53B">
            <w:pPr>
              <w:rPr>
                <w:rFonts w:ascii="宋体" w:hAnsi="宋体" w:cs="宋体"/>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1F54AF1">
            <w:pPr>
              <w:rPr>
                <w:rFonts w:ascii="宋体" w:hAnsi="宋体" w:cs="宋体"/>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F83F5">
            <w:pPr>
              <w:pStyle w:val="22"/>
              <w:kinsoku w:val="0"/>
              <w:overflowPunct w:val="0"/>
              <w:jc w:val="center"/>
              <w:rPr>
                <w:rFonts w:ascii="宋体" w:hAnsi="宋体" w:cs="宋体"/>
                <w:sz w:val="21"/>
                <w:szCs w:val="21"/>
                <w:highlight w:val="none"/>
              </w:rPr>
            </w:pPr>
            <w:r>
              <w:rPr>
                <w:rFonts w:ascii="宋体" w:hAnsi="宋体" w:cs="宋体"/>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ED5CBB7">
            <w:pPr>
              <w:rPr>
                <w:rFonts w:ascii="宋体" w:hAnsi="宋体" w:cs="宋体"/>
                <w:sz w:val="21"/>
                <w:szCs w:val="21"/>
                <w:highlight w:val="none"/>
              </w:rPr>
            </w:pPr>
          </w:p>
        </w:tc>
      </w:tr>
      <w:tr w14:paraId="53CA185E">
        <w:tblPrEx>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D98D4">
            <w:pPr>
              <w:pStyle w:val="22"/>
              <w:kinsoku w:val="0"/>
              <w:overflowPunct w:val="0"/>
              <w:jc w:val="center"/>
              <w:rPr>
                <w:rFonts w:ascii="宋体" w:hAnsi="宋体" w:cs="宋体"/>
                <w:sz w:val="21"/>
                <w:szCs w:val="21"/>
                <w:highlight w:val="none"/>
              </w:rPr>
            </w:pPr>
            <w:r>
              <w:rPr>
                <w:rFonts w:ascii="宋体" w:hAnsi="宋体" w:cs="宋体"/>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A308D4A">
            <w:pPr>
              <w:rPr>
                <w:rFonts w:ascii="宋体" w:hAnsi="宋体" w:cs="宋体"/>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8552AC8">
            <w:pPr>
              <w:rPr>
                <w:rFonts w:ascii="宋体" w:hAnsi="宋体" w:cs="宋体"/>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BB96C">
            <w:pPr>
              <w:pStyle w:val="22"/>
              <w:kinsoku w:val="0"/>
              <w:overflowPunct w:val="0"/>
              <w:jc w:val="center"/>
              <w:rPr>
                <w:rFonts w:ascii="宋体" w:hAnsi="宋体" w:cs="宋体"/>
                <w:sz w:val="21"/>
                <w:szCs w:val="21"/>
                <w:highlight w:val="none"/>
              </w:rPr>
            </w:pPr>
            <w:r>
              <w:rPr>
                <w:rFonts w:ascii="宋体" w:hAnsi="宋体" w:cs="宋体"/>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34218F">
            <w:pPr>
              <w:rPr>
                <w:rFonts w:ascii="宋体" w:hAnsi="宋体" w:cs="宋体"/>
                <w:sz w:val="21"/>
                <w:szCs w:val="21"/>
                <w:highlight w:val="none"/>
              </w:rPr>
            </w:pPr>
          </w:p>
        </w:tc>
      </w:tr>
      <w:tr w14:paraId="3EE1AEB8">
        <w:tblPrEx>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8F1DD">
            <w:pPr>
              <w:pStyle w:val="22"/>
              <w:kinsoku w:val="0"/>
              <w:overflowPunct w:val="0"/>
              <w:jc w:val="center"/>
              <w:rPr>
                <w:rFonts w:ascii="宋体" w:hAnsi="宋体" w:cs="宋体"/>
                <w:sz w:val="21"/>
                <w:szCs w:val="21"/>
                <w:highlight w:val="none"/>
              </w:rPr>
            </w:pPr>
            <w:r>
              <w:rPr>
                <w:rFonts w:ascii="宋体" w:hAnsi="宋体" w:cs="宋体"/>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79B49C1">
            <w:pPr>
              <w:rPr>
                <w:rFonts w:ascii="宋体" w:hAnsi="宋体" w:cs="宋体"/>
                <w:sz w:val="21"/>
                <w:szCs w:val="21"/>
                <w:highlight w:val="none"/>
              </w:rPr>
            </w:pPr>
          </w:p>
        </w:tc>
      </w:tr>
      <w:tr w14:paraId="612F2473">
        <w:tblPrEx>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B4698">
            <w:pPr>
              <w:pStyle w:val="22"/>
              <w:kinsoku w:val="0"/>
              <w:overflowPunct w:val="0"/>
              <w:ind w:right="96"/>
              <w:jc w:val="center"/>
              <w:rPr>
                <w:rFonts w:ascii="宋体" w:hAnsi="宋体" w:cs="宋体"/>
                <w:sz w:val="21"/>
                <w:szCs w:val="21"/>
                <w:highlight w:val="none"/>
              </w:rPr>
            </w:pPr>
            <w:r>
              <w:rPr>
                <w:rFonts w:ascii="宋体" w:hAnsi="宋体" w:cs="宋体"/>
                <w:sz w:val="21"/>
                <w:szCs w:val="21"/>
                <w:highlight w:val="none"/>
              </w:rPr>
              <w:t>投标人关联企业情</w:t>
            </w:r>
            <w:r>
              <w:rPr>
                <w:rFonts w:ascii="宋体" w:hAnsi="宋体" w:cs="宋体"/>
                <w:spacing w:val="-8"/>
                <w:sz w:val="21"/>
                <w:szCs w:val="21"/>
                <w:highlight w:val="none"/>
              </w:rPr>
              <w:t>况（包括但不限于与</w:t>
            </w:r>
            <w:r>
              <w:rPr>
                <w:rFonts w:ascii="宋体" w:hAnsi="宋体" w:cs="宋体"/>
                <w:spacing w:val="-102"/>
                <w:sz w:val="21"/>
                <w:szCs w:val="21"/>
                <w:highlight w:val="none"/>
              </w:rPr>
              <w:t xml:space="preserve"> </w:t>
            </w:r>
            <w:r>
              <w:rPr>
                <w:rFonts w:ascii="宋体" w:hAnsi="宋体" w:cs="宋体"/>
                <w:sz w:val="21"/>
                <w:szCs w:val="21"/>
                <w:highlight w:val="none"/>
              </w:rPr>
              <w:t>投标人法定代表人为同一人或者存在</w:t>
            </w:r>
            <w:r>
              <w:rPr>
                <w:rFonts w:ascii="宋体" w:hAnsi="宋体" w:cs="宋体"/>
                <w:spacing w:val="-8"/>
                <w:sz w:val="21"/>
                <w:szCs w:val="21"/>
                <w:highlight w:val="none"/>
              </w:rPr>
              <w:t>控股、管理关系的不</w:t>
            </w:r>
            <w:r>
              <w:rPr>
                <w:rFonts w:ascii="宋体" w:hAnsi="宋体" w:cs="宋体"/>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47CC1A3">
            <w:pPr>
              <w:rPr>
                <w:rFonts w:ascii="宋体" w:hAnsi="宋体" w:cs="宋体"/>
                <w:sz w:val="21"/>
                <w:szCs w:val="21"/>
                <w:highlight w:val="none"/>
              </w:rPr>
            </w:pPr>
          </w:p>
        </w:tc>
      </w:tr>
      <w:tr w14:paraId="2F227987">
        <w:tblPrEx>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02710">
            <w:pPr>
              <w:pStyle w:val="22"/>
              <w:kinsoku w:val="0"/>
              <w:overflowPunct w:val="0"/>
              <w:jc w:val="center"/>
              <w:rPr>
                <w:rFonts w:ascii="宋体" w:hAnsi="宋体" w:cs="宋体"/>
                <w:sz w:val="21"/>
                <w:szCs w:val="21"/>
                <w:highlight w:val="none"/>
              </w:rPr>
            </w:pPr>
            <w:r>
              <w:rPr>
                <w:rFonts w:ascii="宋体" w:hAnsi="宋体" w:cs="宋体"/>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7741354">
            <w:pPr>
              <w:rPr>
                <w:rFonts w:ascii="宋体" w:hAnsi="宋体" w:cs="宋体"/>
                <w:sz w:val="21"/>
                <w:szCs w:val="21"/>
                <w:highlight w:val="none"/>
              </w:rPr>
            </w:pPr>
          </w:p>
        </w:tc>
      </w:tr>
    </w:tbl>
    <w:p w14:paraId="7C6F8659">
      <w:pPr>
        <w:pStyle w:val="9"/>
        <w:kinsoku w:val="0"/>
        <w:overflowPunct w:val="0"/>
        <w:spacing w:before="74" w:line="331" w:lineRule="auto"/>
        <w:ind w:left="240"/>
        <w:rPr>
          <w:rFonts w:cs="宋体"/>
          <w:szCs w:val="21"/>
          <w:highlight w:val="none"/>
        </w:rPr>
      </w:pPr>
      <w:r>
        <w:rPr>
          <w:rFonts w:cs="宋体"/>
          <w:spacing w:val="-5"/>
          <w:szCs w:val="21"/>
          <w:highlight w:val="none"/>
        </w:rPr>
        <w:t>注：</w:t>
      </w:r>
      <w:r>
        <w:rPr>
          <w:rFonts w:cs="宋体"/>
          <w:highlight w:val="none"/>
        </w:rPr>
        <w:t>投标人应附营业执照、资质证书等相关证明材料。</w:t>
      </w:r>
    </w:p>
    <w:p w14:paraId="448FF0E3">
      <w:pPr>
        <w:pStyle w:val="9"/>
        <w:kinsoku w:val="0"/>
        <w:overflowPunct w:val="0"/>
        <w:spacing w:before="74" w:line="331" w:lineRule="auto"/>
        <w:ind w:left="240"/>
        <w:rPr>
          <w:highlight w:val="none"/>
        </w:rPr>
        <w:sectPr>
          <w:footerReference r:id="rId13" w:type="default"/>
          <w:pgSz w:w="11905" w:h="16838"/>
          <w:pgMar w:top="1417" w:right="1417" w:bottom="1417" w:left="1417" w:header="992" w:footer="992" w:gutter="0"/>
          <w:cols w:space="720" w:num="1"/>
        </w:sectPr>
      </w:pPr>
    </w:p>
    <w:p w14:paraId="685015E7">
      <w:pPr>
        <w:pStyle w:val="5"/>
        <w:rPr>
          <w:b/>
          <w:sz w:val="24"/>
          <w:highlight w:val="none"/>
        </w:rPr>
      </w:pPr>
      <w:bookmarkStart w:id="214" w:name="bookmark186"/>
      <w:bookmarkEnd w:id="214"/>
      <w:bookmarkStart w:id="215" w:name="bookmark187"/>
      <w:bookmarkEnd w:id="215"/>
      <w:bookmarkStart w:id="216" w:name="_Toc31107"/>
      <w:r>
        <w:rPr>
          <w:b/>
          <w:sz w:val="24"/>
          <w:highlight w:val="none"/>
        </w:rPr>
        <w:t>（二）近年完成的类似项目情况表</w:t>
      </w:r>
      <w:bookmarkEnd w:id="216"/>
    </w:p>
    <w:p w14:paraId="72295C4D">
      <w:pPr>
        <w:pStyle w:val="9"/>
        <w:kinsoku w:val="0"/>
        <w:overflowPunct w:val="0"/>
        <w:ind w:left="0"/>
        <w:rPr>
          <w:sz w:val="20"/>
          <w:highlight w:val="none"/>
        </w:rPr>
      </w:pPr>
    </w:p>
    <w:p w14:paraId="2F72698C">
      <w:pPr>
        <w:pStyle w:val="9"/>
        <w:kinsoku w:val="0"/>
        <w:overflowPunct w:val="0"/>
        <w:spacing w:before="11"/>
        <w:ind w:left="0"/>
        <w:rPr>
          <w:sz w:val="22"/>
          <w:highlight w:val="none"/>
        </w:rPr>
      </w:pPr>
    </w:p>
    <w:tbl>
      <w:tblPr>
        <w:tblStyle w:val="18"/>
        <w:tblW w:w="8521" w:type="dxa"/>
        <w:tblInd w:w="264" w:type="dxa"/>
        <w:tblLayout w:type="fixed"/>
        <w:tblCellMar>
          <w:top w:w="0" w:type="dxa"/>
          <w:left w:w="108" w:type="dxa"/>
          <w:bottom w:w="0" w:type="dxa"/>
          <w:right w:w="108" w:type="dxa"/>
        </w:tblCellMar>
      </w:tblPr>
      <w:tblGrid>
        <w:gridCol w:w="2268"/>
        <w:gridCol w:w="6253"/>
      </w:tblGrid>
      <w:tr w14:paraId="4F0DB623">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F7ECD">
            <w:pPr>
              <w:pStyle w:val="22"/>
              <w:kinsoku w:val="0"/>
              <w:overflowPunct w:val="0"/>
              <w:jc w:val="center"/>
              <w:rPr>
                <w:sz w:val="21"/>
                <w:highlight w:val="none"/>
              </w:rPr>
            </w:pPr>
            <w:r>
              <w:rPr>
                <w:rFonts w:ascii="宋体" w:hAnsi="宋体"/>
                <w:sz w:val="21"/>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96CA33">
            <w:pPr>
              <w:rPr>
                <w:sz w:val="21"/>
                <w:highlight w:val="none"/>
              </w:rPr>
            </w:pPr>
          </w:p>
        </w:tc>
      </w:tr>
      <w:tr w14:paraId="780036A6">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AA08B">
            <w:pPr>
              <w:pStyle w:val="22"/>
              <w:kinsoku w:val="0"/>
              <w:overflowPunct w:val="0"/>
              <w:jc w:val="center"/>
              <w:rPr>
                <w:sz w:val="21"/>
                <w:highlight w:val="none"/>
              </w:rPr>
            </w:pPr>
            <w:r>
              <w:rPr>
                <w:rFonts w:ascii="宋体" w:hAnsi="宋体"/>
                <w:sz w:val="21"/>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AFCD6">
            <w:pPr>
              <w:rPr>
                <w:sz w:val="21"/>
                <w:highlight w:val="none"/>
              </w:rPr>
            </w:pPr>
          </w:p>
        </w:tc>
      </w:tr>
      <w:tr w14:paraId="0EE01FAA">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D24A5">
            <w:pPr>
              <w:pStyle w:val="22"/>
              <w:kinsoku w:val="0"/>
              <w:overflowPunct w:val="0"/>
              <w:jc w:val="center"/>
              <w:rPr>
                <w:sz w:val="21"/>
                <w:highlight w:val="none"/>
              </w:rPr>
            </w:pPr>
            <w:r>
              <w:rPr>
                <w:rFonts w:ascii="宋体" w:hAnsi="宋体"/>
                <w:sz w:val="21"/>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8EF12A">
            <w:pPr>
              <w:rPr>
                <w:sz w:val="21"/>
                <w:highlight w:val="none"/>
              </w:rPr>
            </w:pPr>
          </w:p>
        </w:tc>
      </w:tr>
      <w:tr w14:paraId="2BC74E6B">
        <w:tblPrEx>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8A03F">
            <w:pPr>
              <w:pStyle w:val="22"/>
              <w:tabs>
                <w:tab w:val="left" w:pos="668"/>
                <w:tab w:val="center" w:pos="1387"/>
              </w:tabs>
              <w:kinsoku w:val="0"/>
              <w:overflowPunct w:val="0"/>
              <w:jc w:val="center"/>
              <w:rPr>
                <w:sz w:val="21"/>
                <w:highlight w:val="none"/>
              </w:rPr>
            </w:pPr>
            <w:r>
              <w:rPr>
                <w:rFonts w:ascii="宋体" w:hAnsi="宋体"/>
                <w:sz w:val="21"/>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ABACD1">
            <w:pPr>
              <w:rPr>
                <w:sz w:val="21"/>
                <w:highlight w:val="none"/>
              </w:rPr>
            </w:pPr>
          </w:p>
        </w:tc>
      </w:tr>
      <w:tr w14:paraId="01B9C9FD">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F430B">
            <w:pPr>
              <w:pStyle w:val="22"/>
              <w:kinsoku w:val="0"/>
              <w:overflowPunct w:val="0"/>
              <w:jc w:val="center"/>
              <w:rPr>
                <w:sz w:val="21"/>
                <w:highlight w:val="none"/>
              </w:rPr>
            </w:pPr>
            <w:r>
              <w:rPr>
                <w:rFonts w:ascii="宋体" w:hAnsi="宋体"/>
                <w:sz w:val="21"/>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CF4E97">
            <w:pPr>
              <w:rPr>
                <w:sz w:val="21"/>
                <w:highlight w:val="none"/>
              </w:rPr>
            </w:pPr>
          </w:p>
        </w:tc>
      </w:tr>
      <w:tr w14:paraId="2DB8FE48">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57047">
            <w:pPr>
              <w:pStyle w:val="22"/>
              <w:kinsoku w:val="0"/>
              <w:overflowPunct w:val="0"/>
              <w:jc w:val="center"/>
              <w:rPr>
                <w:sz w:val="21"/>
                <w:highlight w:val="none"/>
              </w:rPr>
            </w:pPr>
            <w:r>
              <w:rPr>
                <w:rFonts w:ascii="宋体" w:hAnsi="宋体"/>
                <w:sz w:val="21"/>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880BA0">
            <w:pPr>
              <w:rPr>
                <w:sz w:val="21"/>
                <w:highlight w:val="none"/>
              </w:rPr>
            </w:pPr>
          </w:p>
        </w:tc>
      </w:tr>
      <w:tr w14:paraId="071F4CB4">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48EA8">
            <w:pPr>
              <w:pStyle w:val="22"/>
              <w:kinsoku w:val="0"/>
              <w:overflowPunct w:val="0"/>
              <w:jc w:val="center"/>
              <w:rPr>
                <w:sz w:val="21"/>
                <w:highlight w:val="none"/>
              </w:rPr>
            </w:pPr>
            <w:r>
              <w:rPr>
                <w:rFonts w:ascii="宋体" w:hAnsi="宋体"/>
                <w:sz w:val="21"/>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3B551">
            <w:pPr>
              <w:rPr>
                <w:sz w:val="21"/>
                <w:highlight w:val="none"/>
              </w:rPr>
            </w:pPr>
          </w:p>
        </w:tc>
      </w:tr>
      <w:tr w14:paraId="10DEA68E">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10D19">
            <w:pPr>
              <w:pStyle w:val="22"/>
              <w:kinsoku w:val="0"/>
              <w:overflowPunct w:val="0"/>
              <w:jc w:val="center"/>
              <w:rPr>
                <w:sz w:val="21"/>
                <w:highlight w:val="none"/>
              </w:rPr>
            </w:pPr>
            <w:r>
              <w:rPr>
                <w:rFonts w:ascii="宋体" w:hAnsi="宋体"/>
                <w:sz w:val="21"/>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60049">
            <w:pPr>
              <w:rPr>
                <w:sz w:val="21"/>
                <w:highlight w:val="none"/>
              </w:rPr>
            </w:pPr>
          </w:p>
        </w:tc>
      </w:tr>
      <w:tr w14:paraId="09756A42">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9E804">
            <w:pPr>
              <w:pStyle w:val="22"/>
              <w:kinsoku w:val="0"/>
              <w:overflowPunct w:val="0"/>
              <w:jc w:val="center"/>
              <w:rPr>
                <w:sz w:val="21"/>
                <w:highlight w:val="none"/>
              </w:rPr>
            </w:pPr>
            <w:r>
              <w:rPr>
                <w:rFonts w:ascii="宋体" w:hAnsi="宋体"/>
                <w:sz w:val="21"/>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1F8FEF">
            <w:pPr>
              <w:rPr>
                <w:sz w:val="21"/>
                <w:highlight w:val="none"/>
              </w:rPr>
            </w:pPr>
          </w:p>
        </w:tc>
      </w:tr>
      <w:tr w14:paraId="29FDD25C">
        <w:tblPrEx>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45B24">
            <w:pPr>
              <w:pStyle w:val="22"/>
              <w:kinsoku w:val="0"/>
              <w:overflowPunct w:val="0"/>
              <w:jc w:val="center"/>
              <w:rPr>
                <w:sz w:val="21"/>
                <w:highlight w:val="none"/>
              </w:rPr>
            </w:pPr>
            <w:r>
              <w:rPr>
                <w:rFonts w:ascii="宋体" w:hAnsi="宋体"/>
                <w:sz w:val="21"/>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5B43DB">
            <w:pPr>
              <w:rPr>
                <w:sz w:val="21"/>
                <w:highlight w:val="none"/>
              </w:rPr>
            </w:pPr>
          </w:p>
        </w:tc>
      </w:tr>
      <w:tr w14:paraId="7CB2AB12">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5E515">
            <w:pPr>
              <w:pStyle w:val="22"/>
              <w:kinsoku w:val="0"/>
              <w:overflowPunct w:val="0"/>
              <w:jc w:val="center"/>
              <w:rPr>
                <w:sz w:val="21"/>
                <w:highlight w:val="none"/>
              </w:rPr>
            </w:pPr>
            <w:r>
              <w:rPr>
                <w:rFonts w:ascii="宋体" w:hAnsi="宋体"/>
                <w:sz w:val="21"/>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722D8E">
            <w:pPr>
              <w:rPr>
                <w:sz w:val="21"/>
                <w:highlight w:val="none"/>
              </w:rPr>
            </w:pPr>
          </w:p>
        </w:tc>
      </w:tr>
    </w:tbl>
    <w:p w14:paraId="549FBB17">
      <w:pPr>
        <w:pStyle w:val="9"/>
        <w:kinsoku w:val="0"/>
        <w:overflowPunct w:val="0"/>
        <w:spacing w:before="6"/>
        <w:ind w:left="0"/>
        <w:rPr>
          <w:sz w:val="24"/>
          <w:highlight w:val="none"/>
        </w:rPr>
      </w:pPr>
    </w:p>
    <w:p w14:paraId="588F48E8">
      <w:pPr>
        <w:pStyle w:val="9"/>
        <w:kinsoku w:val="0"/>
        <w:overflowPunct w:val="0"/>
        <w:spacing w:before="36"/>
        <w:ind w:left="100"/>
        <w:rPr>
          <w:sz w:val="24"/>
          <w:highlight w:val="none"/>
        </w:rPr>
      </w:pPr>
    </w:p>
    <w:p w14:paraId="27664CAE">
      <w:pPr>
        <w:pStyle w:val="9"/>
        <w:kinsoku w:val="0"/>
        <w:overflowPunct w:val="0"/>
        <w:spacing w:before="36"/>
        <w:ind w:left="100"/>
        <w:rPr>
          <w:highlight w:val="none"/>
        </w:rPr>
        <w:sectPr>
          <w:headerReference r:id="rId14" w:type="default"/>
          <w:footerReference r:id="rId15" w:type="default"/>
          <w:pgSz w:w="11905" w:h="16838"/>
          <w:pgMar w:top="1417" w:right="1417" w:bottom="1417" w:left="1417" w:header="992" w:footer="992" w:gutter="0"/>
          <w:cols w:space="720" w:num="1"/>
        </w:sectPr>
      </w:pPr>
    </w:p>
    <w:p w14:paraId="7AFAB3AC">
      <w:pPr>
        <w:pStyle w:val="5"/>
        <w:rPr>
          <w:b/>
          <w:sz w:val="24"/>
          <w:highlight w:val="none"/>
        </w:rPr>
      </w:pPr>
      <w:bookmarkStart w:id="217" w:name="bookmark189"/>
      <w:bookmarkEnd w:id="217"/>
      <w:bookmarkStart w:id="218" w:name="bookmark190"/>
      <w:bookmarkEnd w:id="218"/>
      <w:bookmarkStart w:id="219" w:name="bookmark188"/>
      <w:bookmarkEnd w:id="219"/>
      <w:bookmarkStart w:id="220" w:name="_Toc11195"/>
      <w:r>
        <w:rPr>
          <w:b/>
          <w:sz w:val="24"/>
          <w:highlight w:val="none"/>
        </w:rPr>
        <w:t>（三）拟委任的主要人员汇总表</w:t>
      </w:r>
      <w:bookmarkEnd w:id="220"/>
    </w:p>
    <w:p w14:paraId="538A8E82">
      <w:pPr>
        <w:pStyle w:val="9"/>
        <w:kinsoku w:val="0"/>
        <w:overflowPunct w:val="0"/>
        <w:ind w:left="0"/>
        <w:rPr>
          <w:sz w:val="20"/>
          <w:highlight w:val="none"/>
        </w:rPr>
      </w:pPr>
    </w:p>
    <w:p w14:paraId="62B25937">
      <w:pPr>
        <w:pStyle w:val="9"/>
        <w:kinsoku w:val="0"/>
        <w:overflowPunct w:val="0"/>
        <w:spacing w:before="11"/>
        <w:ind w:left="0"/>
        <w:rPr>
          <w:sz w:val="22"/>
          <w:highlight w:val="none"/>
        </w:rPr>
      </w:pPr>
    </w:p>
    <w:tbl>
      <w:tblPr>
        <w:tblStyle w:val="18"/>
        <w:tblW w:w="8777" w:type="dxa"/>
        <w:jc w:val="center"/>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0A529F0D">
        <w:tblPrEx>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46242">
            <w:pPr>
              <w:pStyle w:val="22"/>
              <w:kinsoku w:val="0"/>
              <w:overflowPunct w:val="0"/>
              <w:spacing w:line="240" w:lineRule="atLeast"/>
              <w:jc w:val="center"/>
              <w:rPr>
                <w:sz w:val="21"/>
                <w:highlight w:val="none"/>
              </w:rPr>
            </w:pPr>
            <w:r>
              <w:rPr>
                <w:rFonts w:ascii="宋体" w:hAnsi="宋体"/>
                <w:sz w:val="21"/>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AA8E8">
            <w:pPr>
              <w:pStyle w:val="22"/>
              <w:kinsoku w:val="0"/>
              <w:overflowPunct w:val="0"/>
              <w:spacing w:line="240" w:lineRule="atLeast"/>
              <w:jc w:val="center"/>
              <w:rPr>
                <w:sz w:val="21"/>
                <w:highlight w:val="none"/>
              </w:rPr>
            </w:pPr>
            <w:r>
              <w:rPr>
                <w:rFonts w:ascii="宋体" w:hAnsi="宋体"/>
                <w:sz w:val="21"/>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74243">
            <w:pPr>
              <w:pStyle w:val="22"/>
              <w:kinsoku w:val="0"/>
              <w:overflowPunct w:val="0"/>
              <w:spacing w:line="240" w:lineRule="atLeast"/>
              <w:jc w:val="center"/>
              <w:rPr>
                <w:sz w:val="21"/>
                <w:highlight w:val="none"/>
              </w:rPr>
            </w:pPr>
            <w:r>
              <w:rPr>
                <w:rFonts w:ascii="宋体" w:hAnsi="宋体"/>
                <w:sz w:val="21"/>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1C589">
            <w:pPr>
              <w:pStyle w:val="22"/>
              <w:kinsoku w:val="0"/>
              <w:overflowPunct w:val="0"/>
              <w:spacing w:line="240" w:lineRule="atLeast"/>
              <w:jc w:val="center"/>
              <w:rPr>
                <w:sz w:val="21"/>
                <w:highlight w:val="none"/>
              </w:rPr>
            </w:pPr>
            <w:r>
              <w:rPr>
                <w:rFonts w:ascii="宋体" w:hAnsi="宋体"/>
                <w:sz w:val="21"/>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E1C2A">
            <w:pPr>
              <w:pStyle w:val="22"/>
              <w:kinsoku w:val="0"/>
              <w:overflowPunct w:val="0"/>
              <w:spacing w:line="240" w:lineRule="atLeast"/>
              <w:jc w:val="center"/>
              <w:rPr>
                <w:sz w:val="21"/>
                <w:highlight w:val="none"/>
              </w:rPr>
            </w:pPr>
            <w:r>
              <w:rPr>
                <w:rFonts w:ascii="宋体" w:hAnsi="宋体"/>
                <w:sz w:val="21"/>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A25AF">
            <w:pPr>
              <w:pStyle w:val="22"/>
              <w:kinsoku w:val="0"/>
              <w:overflowPunct w:val="0"/>
              <w:spacing w:line="240" w:lineRule="atLeast"/>
              <w:jc w:val="center"/>
              <w:rPr>
                <w:sz w:val="21"/>
                <w:highlight w:val="none"/>
              </w:rPr>
            </w:pPr>
            <w:r>
              <w:rPr>
                <w:rFonts w:ascii="宋体" w:hAnsi="宋体"/>
                <w:sz w:val="21"/>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7F427">
            <w:pPr>
              <w:pStyle w:val="22"/>
              <w:kinsoku w:val="0"/>
              <w:overflowPunct w:val="0"/>
              <w:spacing w:line="240" w:lineRule="atLeast"/>
              <w:jc w:val="center"/>
              <w:rPr>
                <w:sz w:val="21"/>
                <w:highlight w:val="none"/>
              </w:rPr>
            </w:pPr>
            <w:r>
              <w:rPr>
                <w:rFonts w:ascii="宋体" w:hAnsi="宋体"/>
                <w:sz w:val="21"/>
                <w:highlight w:val="none"/>
              </w:rPr>
              <w:t>备注</w:t>
            </w:r>
          </w:p>
        </w:tc>
      </w:tr>
      <w:tr w14:paraId="46E162C6">
        <w:tblPrEx>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C543E">
            <w:pPr>
              <w:pStyle w:val="22"/>
              <w:kinsoku w:val="0"/>
              <w:overflowPunct w:val="0"/>
              <w:spacing w:line="240" w:lineRule="atLeast"/>
              <w:jc w:val="center"/>
              <w:rPr>
                <w:sz w:val="21"/>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DDA08">
            <w:pPr>
              <w:pStyle w:val="22"/>
              <w:kinsoku w:val="0"/>
              <w:overflowPunct w:val="0"/>
              <w:spacing w:line="240" w:lineRule="atLeast"/>
              <w:jc w:val="center"/>
              <w:rPr>
                <w:sz w:val="21"/>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C0593">
            <w:pPr>
              <w:pStyle w:val="22"/>
              <w:kinsoku w:val="0"/>
              <w:overflowPunct w:val="0"/>
              <w:spacing w:line="240" w:lineRule="atLeast"/>
              <w:jc w:val="center"/>
              <w:rPr>
                <w:sz w:val="21"/>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64D94">
            <w:pPr>
              <w:pStyle w:val="22"/>
              <w:kinsoku w:val="0"/>
              <w:overflowPunct w:val="0"/>
              <w:spacing w:line="240" w:lineRule="atLeast"/>
              <w:jc w:val="center"/>
              <w:rPr>
                <w:sz w:val="21"/>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A07AD">
            <w:pPr>
              <w:pStyle w:val="22"/>
              <w:kinsoku w:val="0"/>
              <w:overflowPunct w:val="0"/>
              <w:spacing w:line="240" w:lineRule="atLeast"/>
              <w:jc w:val="center"/>
              <w:rPr>
                <w:sz w:val="21"/>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3DBA2">
            <w:pPr>
              <w:pStyle w:val="22"/>
              <w:kinsoku w:val="0"/>
              <w:overflowPunct w:val="0"/>
              <w:spacing w:line="240" w:lineRule="atLeast"/>
              <w:jc w:val="center"/>
              <w:rPr>
                <w:sz w:val="21"/>
                <w:highlight w:val="none"/>
              </w:rPr>
            </w:pPr>
            <w:r>
              <w:rPr>
                <w:rFonts w:ascii="宋体" w:hAnsi="宋体"/>
                <w:sz w:val="21"/>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EBC2C">
            <w:pPr>
              <w:pStyle w:val="22"/>
              <w:kinsoku w:val="0"/>
              <w:overflowPunct w:val="0"/>
              <w:spacing w:line="240" w:lineRule="atLeast"/>
              <w:jc w:val="center"/>
              <w:rPr>
                <w:sz w:val="21"/>
                <w:highlight w:val="none"/>
              </w:rPr>
            </w:pPr>
            <w:r>
              <w:rPr>
                <w:rFonts w:ascii="宋体" w:hAnsi="宋体"/>
                <w:sz w:val="21"/>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C7CB9">
            <w:pPr>
              <w:pStyle w:val="22"/>
              <w:kinsoku w:val="0"/>
              <w:overflowPunct w:val="0"/>
              <w:spacing w:line="240" w:lineRule="atLeast"/>
              <w:jc w:val="center"/>
              <w:rPr>
                <w:sz w:val="21"/>
                <w:highlight w:val="none"/>
              </w:rPr>
            </w:pPr>
            <w:r>
              <w:rPr>
                <w:rFonts w:ascii="宋体" w:hAnsi="宋体"/>
                <w:sz w:val="21"/>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AB3A4">
            <w:pPr>
              <w:spacing w:line="240" w:lineRule="atLeast"/>
              <w:jc w:val="center"/>
              <w:rPr>
                <w:sz w:val="21"/>
                <w:highlight w:val="none"/>
              </w:rPr>
            </w:pPr>
          </w:p>
        </w:tc>
      </w:tr>
      <w:tr w14:paraId="6CAEF3B7">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9B2EDC">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5DA4E3">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3B39F">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CED921">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40A77B">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26E2ED">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ACBD37">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51263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2D561C">
            <w:pPr>
              <w:rPr>
                <w:highlight w:val="none"/>
              </w:rPr>
            </w:pPr>
          </w:p>
        </w:tc>
      </w:tr>
      <w:tr w14:paraId="35E716E5">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AAAE9E">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7BCC32">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A1561">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559DAB">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FB9182">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873833">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E27536">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A3E8D1">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39CA74">
            <w:pPr>
              <w:rPr>
                <w:highlight w:val="none"/>
              </w:rPr>
            </w:pPr>
          </w:p>
        </w:tc>
      </w:tr>
      <w:tr w14:paraId="55F4C904">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6662A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A41F7F">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D2615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88D16">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EE5A4">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D80ED7">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584B02">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9D2D23">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D5BE09">
            <w:pPr>
              <w:rPr>
                <w:highlight w:val="none"/>
              </w:rPr>
            </w:pPr>
          </w:p>
        </w:tc>
      </w:tr>
      <w:tr w14:paraId="31CA9EB6">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13A7AB">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E5B8B">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C4BEAC">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B35725">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670315">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954FE">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1661A">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39677">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3DC5F">
            <w:pPr>
              <w:rPr>
                <w:highlight w:val="none"/>
              </w:rPr>
            </w:pPr>
          </w:p>
        </w:tc>
      </w:tr>
      <w:tr w14:paraId="4C5E7F1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FF0F06">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3922F">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48272">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120128">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2E96D9">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3CEEF">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84CFD9">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858EA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592F44">
            <w:pPr>
              <w:rPr>
                <w:highlight w:val="none"/>
              </w:rPr>
            </w:pPr>
          </w:p>
        </w:tc>
      </w:tr>
      <w:tr w14:paraId="38CFA06A">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41AEBC">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8E5556">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7E5C09">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8101B8">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3595D">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B69D7F">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9ABCC">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D51E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E5FF8">
            <w:pPr>
              <w:rPr>
                <w:highlight w:val="none"/>
              </w:rPr>
            </w:pPr>
          </w:p>
        </w:tc>
      </w:tr>
      <w:tr w14:paraId="144A8635">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77D6A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19C5CD">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5787C">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B2DC0D">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AA4BAC">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4A203">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F422D6">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5633CD">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98A62A">
            <w:pPr>
              <w:rPr>
                <w:highlight w:val="none"/>
              </w:rPr>
            </w:pPr>
          </w:p>
        </w:tc>
      </w:tr>
      <w:tr w14:paraId="4601B63E">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B2CF44">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414B5">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191265">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8F497">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D8090">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12C183">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5A85DD">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F1004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3770B">
            <w:pPr>
              <w:rPr>
                <w:highlight w:val="none"/>
              </w:rPr>
            </w:pPr>
          </w:p>
        </w:tc>
      </w:tr>
      <w:tr w14:paraId="34EE4918">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89174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F4EB2">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214FE">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5F2B29">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944967">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50657">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39A08D">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F13E5">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0631A">
            <w:pPr>
              <w:rPr>
                <w:highlight w:val="none"/>
              </w:rPr>
            </w:pPr>
          </w:p>
        </w:tc>
      </w:tr>
      <w:tr w14:paraId="7E61A953">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51995">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0C0EE6">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2028B9">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A4C2D2">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94367">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3154A">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ACFFC7">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42B9F5">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D402B3">
            <w:pPr>
              <w:rPr>
                <w:highlight w:val="none"/>
              </w:rPr>
            </w:pPr>
          </w:p>
        </w:tc>
      </w:tr>
      <w:tr w14:paraId="7570C2A9">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AC77D3">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B28205">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85DDE">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6F6218">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D22D3C">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DFFB5">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6C1357">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B619A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BB7D72">
            <w:pPr>
              <w:rPr>
                <w:highlight w:val="none"/>
              </w:rPr>
            </w:pPr>
          </w:p>
        </w:tc>
      </w:tr>
      <w:tr w14:paraId="0D953CC7">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BC5EE2">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B35E85">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91BFD">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4D136">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34ED11">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70C32E">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FF3890">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25BCD0">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3EB57">
            <w:pPr>
              <w:rPr>
                <w:highlight w:val="none"/>
              </w:rPr>
            </w:pPr>
          </w:p>
        </w:tc>
      </w:tr>
      <w:tr w14:paraId="6B8D2A0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F5AAC4">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B57B6">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D64BE">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BF60B1">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0E1A3">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CB306D">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F210FF">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A36FF2">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A243FD">
            <w:pPr>
              <w:rPr>
                <w:highlight w:val="none"/>
              </w:rPr>
            </w:pPr>
          </w:p>
        </w:tc>
      </w:tr>
      <w:tr w14:paraId="1159CD56">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10119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C9008E">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91FC6B">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2F5DF4">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ED1A6B">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B8444">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DD39AD">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F46A0C">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887ED1">
            <w:pPr>
              <w:rPr>
                <w:highlight w:val="none"/>
              </w:rPr>
            </w:pPr>
          </w:p>
        </w:tc>
      </w:tr>
      <w:tr w14:paraId="7A4D680B">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3BB1A5">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33B960">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CE9F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01F3D">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BB41C5">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0F0AB">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EF7A90">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E5AF9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63BB07">
            <w:pPr>
              <w:rPr>
                <w:highlight w:val="none"/>
              </w:rPr>
            </w:pPr>
          </w:p>
        </w:tc>
      </w:tr>
      <w:tr w14:paraId="4F273D40">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2EBB0">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DEB5C9">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200D63">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5AFA50">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B53145">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44088E">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30BF7D">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B51187">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DF71CF">
            <w:pPr>
              <w:rPr>
                <w:highlight w:val="none"/>
              </w:rPr>
            </w:pPr>
          </w:p>
        </w:tc>
      </w:tr>
      <w:tr w14:paraId="181545D6">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389825">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FA24A">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67428">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CF8EC8">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ECBBBD">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72BE08">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B2240D">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FA93C">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49D5D6">
            <w:pPr>
              <w:rPr>
                <w:highlight w:val="none"/>
              </w:rPr>
            </w:pPr>
          </w:p>
        </w:tc>
      </w:tr>
      <w:tr w14:paraId="4D39FDEC">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4D658">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2A40CC">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9CA666">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52B2A9">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7C8F8">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6E472">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81B5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2A5C51">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F8E3BB">
            <w:pPr>
              <w:rPr>
                <w:highlight w:val="none"/>
              </w:rPr>
            </w:pPr>
          </w:p>
        </w:tc>
      </w:tr>
      <w:tr w14:paraId="57C644E4">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2ED00">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F2944">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30BFBA">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CE9A5B">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F6F97">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C4028">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35DE4">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A42E5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1F4270">
            <w:pPr>
              <w:rPr>
                <w:highlight w:val="none"/>
              </w:rPr>
            </w:pPr>
          </w:p>
        </w:tc>
      </w:tr>
      <w:tr w14:paraId="2AA904F2">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C9CFF1">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A5A26">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2DDBF">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DAA1C0">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C6645B">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DB706">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E1319A">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3D4F9">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F2A2F">
            <w:pPr>
              <w:rPr>
                <w:highlight w:val="none"/>
              </w:rPr>
            </w:pPr>
          </w:p>
        </w:tc>
      </w:tr>
      <w:tr w14:paraId="5AAC82A2">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CE530A">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AA144">
            <w:pPr>
              <w:rPr>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3EA811">
            <w:pPr>
              <w:rPr>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BB1533">
            <w:pPr>
              <w:rPr>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65E27F">
            <w:pPr>
              <w:rPr>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E4D851">
            <w:pPr>
              <w:rPr>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731CF">
            <w:pPr>
              <w:rPr>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621E0">
            <w:pPr>
              <w:rPr>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DA34D">
            <w:pPr>
              <w:rPr>
                <w:highlight w:val="none"/>
              </w:rPr>
            </w:pPr>
          </w:p>
        </w:tc>
      </w:tr>
    </w:tbl>
    <w:p w14:paraId="49C9A39B">
      <w:pPr>
        <w:rPr>
          <w:highlight w:val="none"/>
        </w:rPr>
        <w:sectPr>
          <w:headerReference r:id="rId16" w:type="default"/>
          <w:footerReference r:id="rId17" w:type="default"/>
          <w:pgSz w:w="11905" w:h="16838"/>
          <w:pgMar w:top="1417" w:right="1417" w:bottom="1417" w:left="1417" w:header="992" w:footer="992" w:gutter="0"/>
          <w:cols w:space="720" w:num="1"/>
        </w:sectPr>
      </w:pPr>
    </w:p>
    <w:p w14:paraId="52A39193">
      <w:pPr>
        <w:pStyle w:val="5"/>
        <w:rPr>
          <w:b/>
          <w:sz w:val="24"/>
          <w:highlight w:val="none"/>
        </w:rPr>
      </w:pPr>
      <w:bookmarkStart w:id="221" w:name="bookmark191"/>
      <w:bookmarkEnd w:id="221"/>
      <w:bookmarkStart w:id="222" w:name="_Toc23916"/>
      <w:r>
        <w:rPr>
          <w:b/>
          <w:sz w:val="24"/>
          <w:highlight w:val="none"/>
        </w:rPr>
        <w:t>（四）主要人员简历表</w:t>
      </w:r>
      <w:bookmarkEnd w:id="222"/>
    </w:p>
    <w:p w14:paraId="486AD840">
      <w:pPr>
        <w:pStyle w:val="9"/>
        <w:kinsoku w:val="0"/>
        <w:overflowPunct w:val="0"/>
        <w:ind w:left="0"/>
        <w:rPr>
          <w:b/>
          <w:sz w:val="24"/>
          <w:highlight w:val="none"/>
        </w:rPr>
      </w:pPr>
    </w:p>
    <w:p w14:paraId="2B9366A1">
      <w:pPr>
        <w:pStyle w:val="9"/>
        <w:kinsoku w:val="0"/>
        <w:overflowPunct w:val="0"/>
        <w:spacing w:before="5"/>
        <w:ind w:left="0"/>
        <w:rPr>
          <w:sz w:val="16"/>
          <w:highlight w:val="none"/>
        </w:rPr>
      </w:pPr>
    </w:p>
    <w:tbl>
      <w:tblPr>
        <w:tblStyle w:val="18"/>
        <w:tblW w:w="8521" w:type="dxa"/>
        <w:tblInd w:w="264" w:type="dxa"/>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346DE57A">
        <w:tblPrEx>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179C4">
            <w:pPr>
              <w:pStyle w:val="22"/>
              <w:tabs>
                <w:tab w:val="left" w:pos="695"/>
              </w:tabs>
              <w:kinsoku w:val="0"/>
              <w:overflowPunct w:val="0"/>
              <w:jc w:val="center"/>
              <w:rPr>
                <w:rFonts w:ascii="宋体" w:hAnsi="宋体" w:cs="宋体"/>
                <w:sz w:val="21"/>
                <w:szCs w:val="21"/>
                <w:highlight w:val="none"/>
              </w:rPr>
            </w:pPr>
            <w:r>
              <w:rPr>
                <w:rFonts w:ascii="宋体" w:hAnsi="宋体" w:cs="宋体"/>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A6B0EFD">
            <w:pPr>
              <w:rPr>
                <w:rFonts w:ascii="宋体" w:hAnsi="宋体" w:cs="宋体"/>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53D4D">
            <w:pPr>
              <w:pStyle w:val="22"/>
              <w:kinsoku w:val="0"/>
              <w:overflowPunct w:val="0"/>
              <w:jc w:val="center"/>
              <w:rPr>
                <w:rFonts w:ascii="宋体" w:hAnsi="宋体" w:cs="宋体"/>
                <w:sz w:val="21"/>
                <w:szCs w:val="21"/>
                <w:highlight w:val="none"/>
              </w:rPr>
            </w:pPr>
            <w:r>
              <w:rPr>
                <w:rFonts w:ascii="宋体" w:hAnsi="宋体" w:cs="宋体"/>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3B1A7">
            <w:pPr>
              <w:rPr>
                <w:rFonts w:ascii="宋体" w:hAnsi="宋体" w:cs="宋体"/>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BA4B4">
            <w:pPr>
              <w:pStyle w:val="22"/>
              <w:kinsoku w:val="0"/>
              <w:overflowPunct w:val="0"/>
              <w:spacing w:before="3" w:line="440" w:lineRule="exact"/>
              <w:ind w:right="122"/>
              <w:jc w:val="center"/>
              <w:rPr>
                <w:rFonts w:ascii="宋体" w:hAnsi="宋体" w:cs="宋体"/>
                <w:sz w:val="21"/>
                <w:szCs w:val="21"/>
                <w:highlight w:val="none"/>
              </w:rPr>
            </w:pPr>
            <w:r>
              <w:rPr>
                <w:rFonts w:ascii="宋体" w:hAnsi="宋体" w:cs="宋体"/>
                <w:spacing w:val="-2"/>
                <w:sz w:val="21"/>
                <w:szCs w:val="21"/>
                <w:highlight w:val="none"/>
              </w:rPr>
              <w:t>执业资格证书（或上岗</w:t>
            </w:r>
            <w:r>
              <w:rPr>
                <w:rFonts w:ascii="宋体" w:hAnsi="宋体" w:cs="宋体"/>
                <w:spacing w:val="-85"/>
                <w:sz w:val="21"/>
                <w:szCs w:val="21"/>
                <w:highlight w:val="none"/>
              </w:rPr>
              <w:t xml:space="preserve"> </w:t>
            </w:r>
            <w:r>
              <w:rPr>
                <w:rFonts w:ascii="宋体" w:hAnsi="宋体" w:cs="宋体"/>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AEF80">
            <w:pPr>
              <w:rPr>
                <w:rFonts w:ascii="宋体" w:hAnsi="宋体" w:cs="宋体"/>
                <w:sz w:val="21"/>
                <w:szCs w:val="21"/>
                <w:highlight w:val="none"/>
              </w:rPr>
            </w:pPr>
          </w:p>
        </w:tc>
      </w:tr>
      <w:tr w14:paraId="028F02B2">
        <w:tblPrEx>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F58C6">
            <w:pPr>
              <w:pStyle w:val="22"/>
              <w:tabs>
                <w:tab w:val="left" w:pos="695"/>
              </w:tabs>
              <w:kinsoku w:val="0"/>
              <w:overflowPunct w:val="0"/>
              <w:jc w:val="center"/>
              <w:rPr>
                <w:rFonts w:ascii="宋体" w:hAnsi="宋体" w:cs="宋体"/>
                <w:sz w:val="21"/>
                <w:szCs w:val="21"/>
                <w:highlight w:val="none"/>
              </w:rPr>
            </w:pPr>
            <w:r>
              <w:rPr>
                <w:rFonts w:ascii="宋体" w:hAnsi="宋体" w:cs="宋体"/>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C810F90">
            <w:pPr>
              <w:rPr>
                <w:rFonts w:ascii="宋体" w:hAnsi="宋体" w:cs="宋体"/>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25BE6">
            <w:pPr>
              <w:pStyle w:val="22"/>
              <w:kinsoku w:val="0"/>
              <w:overflowPunct w:val="0"/>
              <w:jc w:val="center"/>
              <w:rPr>
                <w:rFonts w:ascii="宋体" w:hAnsi="宋体" w:cs="宋体"/>
                <w:sz w:val="21"/>
                <w:szCs w:val="21"/>
                <w:highlight w:val="none"/>
              </w:rPr>
            </w:pPr>
            <w:r>
              <w:rPr>
                <w:rFonts w:ascii="宋体" w:hAnsi="宋体" w:cs="宋体"/>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DF227A">
            <w:pPr>
              <w:rPr>
                <w:rFonts w:ascii="宋体" w:hAnsi="宋体" w:cs="宋体"/>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23171">
            <w:pPr>
              <w:pStyle w:val="22"/>
              <w:kinsoku w:val="0"/>
              <w:overflowPunct w:val="0"/>
              <w:jc w:val="center"/>
              <w:rPr>
                <w:rFonts w:ascii="宋体" w:hAnsi="宋体" w:cs="宋体"/>
                <w:sz w:val="21"/>
                <w:szCs w:val="21"/>
                <w:highlight w:val="none"/>
              </w:rPr>
            </w:pPr>
            <w:r>
              <w:rPr>
                <w:rFonts w:ascii="宋体" w:hAnsi="宋体" w:cs="宋体"/>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02962">
            <w:pPr>
              <w:rPr>
                <w:rFonts w:ascii="宋体" w:hAnsi="宋体" w:cs="宋体"/>
                <w:sz w:val="21"/>
                <w:szCs w:val="21"/>
                <w:highlight w:val="none"/>
              </w:rPr>
            </w:pPr>
          </w:p>
        </w:tc>
      </w:tr>
      <w:tr w14:paraId="54CBBBDA">
        <w:tblPrEx>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80EE5">
            <w:pPr>
              <w:pStyle w:val="22"/>
              <w:kinsoku w:val="0"/>
              <w:overflowPunct w:val="0"/>
              <w:jc w:val="center"/>
              <w:rPr>
                <w:rFonts w:ascii="宋体" w:hAnsi="宋体" w:cs="宋体"/>
                <w:sz w:val="21"/>
                <w:szCs w:val="21"/>
                <w:highlight w:val="none"/>
              </w:rPr>
            </w:pPr>
            <w:r>
              <w:rPr>
                <w:rFonts w:ascii="宋体" w:hAnsi="宋体" w:cs="宋体"/>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20B1A1FB">
            <w:pPr>
              <w:rPr>
                <w:rFonts w:ascii="宋体" w:hAnsi="宋体" w:cs="宋体"/>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D5F02">
            <w:pPr>
              <w:pStyle w:val="22"/>
              <w:kinsoku w:val="0"/>
              <w:overflowPunct w:val="0"/>
              <w:jc w:val="center"/>
              <w:rPr>
                <w:rFonts w:ascii="宋体" w:hAnsi="宋体" w:cs="宋体"/>
                <w:sz w:val="21"/>
                <w:szCs w:val="21"/>
                <w:highlight w:val="none"/>
              </w:rPr>
            </w:pPr>
            <w:r>
              <w:rPr>
                <w:rFonts w:ascii="宋体" w:hAnsi="宋体" w:cs="宋体"/>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2ECF9D">
            <w:pPr>
              <w:rPr>
                <w:rFonts w:ascii="宋体" w:hAnsi="宋体" w:cs="宋体"/>
                <w:sz w:val="21"/>
                <w:szCs w:val="21"/>
                <w:highlight w:val="none"/>
              </w:rPr>
            </w:pPr>
          </w:p>
        </w:tc>
      </w:tr>
      <w:tr w14:paraId="5E36A0D8">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A73FD">
            <w:pPr>
              <w:pStyle w:val="22"/>
              <w:kinsoku w:val="0"/>
              <w:overflowPunct w:val="0"/>
              <w:jc w:val="both"/>
              <w:rPr>
                <w:rFonts w:ascii="宋体" w:hAnsi="宋体" w:cs="宋体"/>
                <w:sz w:val="21"/>
                <w:szCs w:val="21"/>
                <w:highlight w:val="none"/>
              </w:rPr>
            </w:pPr>
            <w:r>
              <w:rPr>
                <w:rFonts w:ascii="宋体" w:hAnsi="宋体" w:cs="宋体"/>
                <w:sz w:val="21"/>
                <w:szCs w:val="21"/>
                <w:highlight w:val="none"/>
              </w:rPr>
              <w:t>主要工作经历</w:t>
            </w:r>
          </w:p>
        </w:tc>
      </w:tr>
      <w:tr w14:paraId="260D57BE">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64272">
            <w:pPr>
              <w:pStyle w:val="22"/>
              <w:tabs>
                <w:tab w:val="left" w:pos="873"/>
              </w:tabs>
              <w:kinsoku w:val="0"/>
              <w:overflowPunct w:val="0"/>
              <w:jc w:val="center"/>
              <w:rPr>
                <w:rFonts w:ascii="宋体" w:hAnsi="宋体" w:cs="宋体"/>
                <w:sz w:val="21"/>
                <w:szCs w:val="21"/>
                <w:highlight w:val="none"/>
              </w:rPr>
            </w:pPr>
            <w:r>
              <w:rPr>
                <w:rFonts w:ascii="宋体" w:hAnsi="宋体" w:cs="宋体"/>
                <w:sz w:val="21"/>
                <w:szCs w:val="21"/>
                <w:highlight w:val="none"/>
              </w:rPr>
              <w:t>时</w:t>
            </w:r>
            <w:r>
              <w:rPr>
                <w:rFonts w:ascii="宋体" w:hAnsi="宋体" w:cs="宋体"/>
                <w:sz w:val="21"/>
                <w:szCs w:val="21"/>
                <w:highlight w:val="none"/>
              </w:rPr>
              <w:tab/>
            </w:r>
            <w:r>
              <w:rPr>
                <w:rFonts w:ascii="宋体" w:hAnsi="宋体" w:cs="宋体"/>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CC582">
            <w:pPr>
              <w:pStyle w:val="22"/>
              <w:kinsoku w:val="0"/>
              <w:overflowPunct w:val="0"/>
              <w:jc w:val="center"/>
              <w:rPr>
                <w:rFonts w:ascii="宋体" w:hAnsi="宋体" w:cs="宋体"/>
                <w:sz w:val="21"/>
                <w:szCs w:val="21"/>
                <w:highlight w:val="none"/>
              </w:rPr>
            </w:pPr>
            <w:r>
              <w:rPr>
                <w:rFonts w:ascii="宋体" w:hAnsi="宋体" w:cs="宋体"/>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1F757">
            <w:pPr>
              <w:pStyle w:val="22"/>
              <w:kinsoku w:val="0"/>
              <w:overflowPunct w:val="0"/>
              <w:jc w:val="center"/>
              <w:rPr>
                <w:rFonts w:ascii="宋体" w:hAnsi="宋体" w:cs="宋体"/>
                <w:sz w:val="21"/>
                <w:szCs w:val="21"/>
                <w:highlight w:val="none"/>
              </w:rPr>
            </w:pPr>
            <w:r>
              <w:rPr>
                <w:rFonts w:ascii="宋体" w:hAnsi="宋体" w:cs="宋体"/>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F5C82">
            <w:pPr>
              <w:pStyle w:val="22"/>
              <w:kinsoku w:val="0"/>
              <w:overflowPunct w:val="0"/>
              <w:jc w:val="center"/>
              <w:rPr>
                <w:rFonts w:ascii="宋体" w:hAnsi="宋体" w:cs="宋体"/>
                <w:sz w:val="21"/>
                <w:szCs w:val="21"/>
                <w:highlight w:val="none"/>
              </w:rPr>
            </w:pPr>
            <w:r>
              <w:rPr>
                <w:rFonts w:ascii="宋体" w:hAnsi="宋体" w:cs="宋体"/>
                <w:sz w:val="21"/>
                <w:szCs w:val="21"/>
                <w:highlight w:val="none"/>
              </w:rPr>
              <w:t>委托人及联系电话</w:t>
            </w:r>
          </w:p>
        </w:tc>
      </w:tr>
      <w:tr w14:paraId="36489525">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4E11D">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E67A8">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404D6">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55E40">
            <w:pPr>
              <w:jc w:val="center"/>
              <w:rPr>
                <w:rFonts w:ascii="宋体" w:hAnsi="宋体" w:cs="宋体"/>
                <w:sz w:val="21"/>
                <w:szCs w:val="21"/>
                <w:highlight w:val="none"/>
              </w:rPr>
            </w:pPr>
          </w:p>
        </w:tc>
      </w:tr>
      <w:tr w14:paraId="2AC62E54">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FB9B8">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09FD2">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E4F9C">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609E8">
            <w:pPr>
              <w:jc w:val="center"/>
              <w:rPr>
                <w:rFonts w:ascii="宋体" w:hAnsi="宋体" w:cs="宋体"/>
                <w:sz w:val="21"/>
                <w:szCs w:val="21"/>
                <w:highlight w:val="none"/>
              </w:rPr>
            </w:pPr>
          </w:p>
        </w:tc>
      </w:tr>
      <w:tr w14:paraId="1F02954F">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58CF5">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3F563">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11D62">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809D3">
            <w:pPr>
              <w:jc w:val="center"/>
              <w:rPr>
                <w:rFonts w:ascii="宋体" w:hAnsi="宋体" w:cs="宋体"/>
                <w:sz w:val="21"/>
                <w:szCs w:val="21"/>
                <w:highlight w:val="none"/>
              </w:rPr>
            </w:pPr>
          </w:p>
        </w:tc>
      </w:tr>
      <w:tr w14:paraId="35BCF10F">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0175D">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CF39C">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AB5FB">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1456B">
            <w:pPr>
              <w:jc w:val="center"/>
              <w:rPr>
                <w:rFonts w:ascii="宋体" w:hAnsi="宋体" w:cs="宋体"/>
                <w:sz w:val="21"/>
                <w:szCs w:val="21"/>
                <w:highlight w:val="none"/>
              </w:rPr>
            </w:pPr>
          </w:p>
        </w:tc>
      </w:tr>
      <w:tr w14:paraId="001C7B52">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E4EAE">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4F87A">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82499">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2EF66">
            <w:pPr>
              <w:jc w:val="center"/>
              <w:rPr>
                <w:rFonts w:ascii="宋体" w:hAnsi="宋体" w:cs="宋体"/>
                <w:sz w:val="21"/>
                <w:szCs w:val="21"/>
                <w:highlight w:val="none"/>
              </w:rPr>
            </w:pPr>
          </w:p>
        </w:tc>
      </w:tr>
      <w:tr w14:paraId="785D48A1">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0E45E">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CD7C0">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78E9B">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0D25D">
            <w:pPr>
              <w:jc w:val="center"/>
              <w:rPr>
                <w:rFonts w:ascii="宋体" w:hAnsi="宋体" w:cs="宋体"/>
                <w:sz w:val="21"/>
                <w:szCs w:val="21"/>
                <w:highlight w:val="none"/>
              </w:rPr>
            </w:pPr>
          </w:p>
        </w:tc>
      </w:tr>
      <w:tr w14:paraId="14F25545">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0DE12">
            <w:pPr>
              <w:jc w:val="center"/>
              <w:rPr>
                <w:rFonts w:ascii="宋体" w:hAnsi="宋体" w:cs="宋体"/>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4EFA7">
            <w:pPr>
              <w:jc w:val="center"/>
              <w:rPr>
                <w:rFonts w:ascii="宋体" w:hAnsi="宋体" w:cs="宋体"/>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AADFB">
            <w:pPr>
              <w:jc w:val="center"/>
              <w:rPr>
                <w:rFonts w:ascii="宋体" w:hAnsi="宋体" w:cs="宋体"/>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D6D0A">
            <w:pPr>
              <w:jc w:val="center"/>
              <w:rPr>
                <w:rFonts w:ascii="宋体" w:hAnsi="宋体" w:cs="宋体"/>
                <w:sz w:val="21"/>
                <w:szCs w:val="21"/>
                <w:highlight w:val="none"/>
              </w:rPr>
            </w:pPr>
          </w:p>
        </w:tc>
      </w:tr>
    </w:tbl>
    <w:p w14:paraId="193F1A4F">
      <w:pPr>
        <w:pStyle w:val="9"/>
        <w:kinsoku w:val="0"/>
        <w:overflowPunct w:val="0"/>
        <w:spacing w:before="6"/>
        <w:ind w:left="0"/>
        <w:rPr>
          <w:rFonts w:cs="宋体"/>
          <w:sz w:val="24"/>
          <w:highlight w:val="none"/>
        </w:rPr>
      </w:pPr>
    </w:p>
    <w:p w14:paraId="6C0593F6">
      <w:pPr>
        <w:pStyle w:val="9"/>
        <w:kinsoku w:val="0"/>
        <w:overflowPunct w:val="0"/>
        <w:spacing w:before="36"/>
        <w:ind w:left="100"/>
        <w:rPr>
          <w:rFonts w:cs="宋体"/>
          <w:sz w:val="24"/>
          <w:highlight w:val="none"/>
        </w:rPr>
      </w:pPr>
    </w:p>
    <w:p w14:paraId="04E161EF">
      <w:pPr>
        <w:pStyle w:val="9"/>
        <w:kinsoku w:val="0"/>
        <w:overflowPunct w:val="0"/>
        <w:spacing w:before="36"/>
        <w:ind w:left="100"/>
        <w:rPr>
          <w:sz w:val="24"/>
          <w:highlight w:val="none"/>
        </w:rPr>
        <w:sectPr>
          <w:headerReference r:id="rId18" w:type="default"/>
          <w:footerReference r:id="rId19" w:type="default"/>
          <w:pgSz w:w="11905" w:h="16838"/>
          <w:pgMar w:top="1417" w:right="1417" w:bottom="1417" w:left="1417" w:header="992" w:footer="992" w:gutter="0"/>
          <w:cols w:space="720" w:num="1"/>
        </w:sectPr>
      </w:pPr>
    </w:p>
    <w:p w14:paraId="794C65C0">
      <w:pPr>
        <w:pStyle w:val="5"/>
        <w:rPr>
          <w:b/>
          <w:sz w:val="24"/>
          <w:highlight w:val="none"/>
        </w:rPr>
      </w:pPr>
      <w:bookmarkStart w:id="223" w:name="bookmark192"/>
      <w:bookmarkEnd w:id="223"/>
      <w:bookmarkStart w:id="224" w:name="_Toc12286"/>
      <w:r>
        <w:rPr>
          <w:b/>
          <w:sz w:val="24"/>
          <w:highlight w:val="none"/>
        </w:rPr>
        <w:t>（五）拟投入本项目的主要试验检测仪器设备表</w:t>
      </w:r>
      <w:bookmarkEnd w:id="224"/>
    </w:p>
    <w:p w14:paraId="18FE5A06">
      <w:pPr>
        <w:pStyle w:val="9"/>
        <w:kinsoku w:val="0"/>
        <w:overflowPunct w:val="0"/>
        <w:ind w:left="0"/>
        <w:rPr>
          <w:sz w:val="20"/>
          <w:highlight w:val="none"/>
        </w:rPr>
      </w:pPr>
    </w:p>
    <w:p w14:paraId="390C8880">
      <w:pPr>
        <w:pStyle w:val="9"/>
        <w:kinsoku w:val="0"/>
        <w:overflowPunct w:val="0"/>
        <w:spacing w:before="11"/>
        <w:ind w:left="0"/>
        <w:rPr>
          <w:sz w:val="22"/>
          <w:highlight w:val="none"/>
        </w:rPr>
      </w:pPr>
    </w:p>
    <w:tbl>
      <w:tblPr>
        <w:tblStyle w:val="18"/>
        <w:tblW w:w="8594" w:type="dxa"/>
        <w:tblInd w:w="448" w:type="dxa"/>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0AB0FF93">
        <w:tblPrEx>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C6609">
            <w:pPr>
              <w:pStyle w:val="22"/>
              <w:kinsoku w:val="0"/>
              <w:overflowPunct w:val="0"/>
              <w:spacing w:line="240" w:lineRule="atLeast"/>
              <w:jc w:val="center"/>
              <w:rPr>
                <w:sz w:val="21"/>
                <w:highlight w:val="none"/>
              </w:rPr>
            </w:pPr>
            <w:r>
              <w:rPr>
                <w:rFonts w:ascii="宋体" w:hAnsi="宋体"/>
                <w:sz w:val="21"/>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FDE37">
            <w:pPr>
              <w:pStyle w:val="22"/>
              <w:kinsoku w:val="0"/>
              <w:overflowPunct w:val="0"/>
              <w:spacing w:line="240" w:lineRule="atLeast"/>
              <w:jc w:val="center"/>
              <w:rPr>
                <w:sz w:val="21"/>
                <w:highlight w:val="none"/>
              </w:rPr>
            </w:pPr>
            <w:r>
              <w:rPr>
                <w:rFonts w:ascii="宋体" w:hAnsi="宋体"/>
                <w:sz w:val="21"/>
                <w:highlight w:val="none"/>
              </w:rPr>
              <w:t>仪器设备名称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239AF">
            <w:pPr>
              <w:pStyle w:val="22"/>
              <w:kinsoku w:val="0"/>
              <w:overflowPunct w:val="0"/>
              <w:spacing w:line="240" w:lineRule="atLeast"/>
              <w:jc w:val="center"/>
              <w:rPr>
                <w:sz w:val="21"/>
                <w:highlight w:val="none"/>
              </w:rPr>
            </w:pPr>
            <w:r>
              <w:rPr>
                <w:rFonts w:ascii="宋体" w:hAnsi="宋体"/>
                <w:sz w:val="21"/>
                <w:highlight w:val="none"/>
              </w:rPr>
              <w:t>型号</w:t>
            </w:r>
            <w:r>
              <w:rPr>
                <w:rFonts w:ascii="宋体" w:hAnsi="宋体"/>
                <w:spacing w:val="-103"/>
                <w:sz w:val="21"/>
                <w:highlight w:val="none"/>
              </w:rPr>
              <w:t xml:space="preserve"> </w:t>
            </w:r>
            <w:r>
              <w:rPr>
                <w:rFonts w:ascii="宋体" w:hAnsi="宋体"/>
                <w:sz w:val="21"/>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603AD">
            <w:pPr>
              <w:pStyle w:val="22"/>
              <w:kinsoku w:val="0"/>
              <w:overflowPunct w:val="0"/>
              <w:spacing w:line="240" w:lineRule="atLeast"/>
              <w:jc w:val="center"/>
              <w:rPr>
                <w:sz w:val="21"/>
                <w:highlight w:val="none"/>
              </w:rPr>
            </w:pPr>
            <w:r>
              <w:rPr>
                <w:rFonts w:ascii="宋体" w:hAnsi="宋体"/>
                <w:sz w:val="21"/>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FFBEF">
            <w:pPr>
              <w:pStyle w:val="22"/>
              <w:kinsoku w:val="0"/>
              <w:overflowPunct w:val="0"/>
              <w:spacing w:line="240" w:lineRule="atLeast"/>
              <w:jc w:val="center"/>
              <w:rPr>
                <w:sz w:val="21"/>
                <w:highlight w:val="none"/>
              </w:rPr>
            </w:pPr>
            <w:r>
              <w:rPr>
                <w:rFonts w:ascii="宋体" w:hAnsi="宋体"/>
                <w:sz w:val="21"/>
                <w:highlight w:val="none"/>
              </w:rPr>
              <w:t>国别</w:t>
            </w:r>
            <w:r>
              <w:rPr>
                <w:rFonts w:ascii="宋体" w:hAnsi="宋体"/>
                <w:spacing w:val="-103"/>
                <w:sz w:val="21"/>
                <w:highlight w:val="none"/>
              </w:rPr>
              <w:t xml:space="preserve"> </w:t>
            </w:r>
            <w:r>
              <w:rPr>
                <w:rFonts w:ascii="宋体" w:hAnsi="宋体"/>
                <w:sz w:val="21"/>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93621">
            <w:pPr>
              <w:pStyle w:val="22"/>
              <w:kinsoku w:val="0"/>
              <w:overflowPunct w:val="0"/>
              <w:spacing w:line="240" w:lineRule="atLeast"/>
              <w:jc w:val="center"/>
              <w:rPr>
                <w:sz w:val="21"/>
                <w:highlight w:val="none"/>
              </w:rPr>
            </w:pPr>
            <w:r>
              <w:rPr>
                <w:rFonts w:ascii="宋体" w:hAnsi="宋体"/>
                <w:sz w:val="21"/>
                <w:highlight w:val="none"/>
              </w:rPr>
              <w:t>制造</w:t>
            </w:r>
            <w:r>
              <w:rPr>
                <w:rFonts w:ascii="宋体" w:hAnsi="宋体"/>
                <w:spacing w:val="-103"/>
                <w:sz w:val="21"/>
                <w:highlight w:val="none"/>
              </w:rPr>
              <w:t xml:space="preserve"> </w:t>
            </w:r>
            <w:r>
              <w:rPr>
                <w:rFonts w:ascii="宋体" w:hAnsi="宋体"/>
                <w:sz w:val="21"/>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3294D">
            <w:pPr>
              <w:pStyle w:val="22"/>
              <w:kinsoku w:val="0"/>
              <w:overflowPunct w:val="0"/>
              <w:spacing w:line="240" w:lineRule="atLeast"/>
              <w:jc w:val="center"/>
              <w:rPr>
                <w:sz w:val="21"/>
                <w:highlight w:val="none"/>
              </w:rPr>
            </w:pPr>
            <w:r>
              <w:rPr>
                <w:rFonts w:ascii="宋体" w:hAnsi="宋体"/>
                <w:sz w:val="21"/>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457AB">
            <w:pPr>
              <w:pStyle w:val="22"/>
              <w:kinsoku w:val="0"/>
              <w:overflowPunct w:val="0"/>
              <w:spacing w:line="240" w:lineRule="atLeast"/>
              <w:jc w:val="center"/>
              <w:rPr>
                <w:sz w:val="21"/>
                <w:highlight w:val="none"/>
              </w:rPr>
            </w:pPr>
            <w:r>
              <w:rPr>
                <w:rFonts w:ascii="宋体" w:hAnsi="宋体"/>
                <w:sz w:val="21"/>
                <w:highlight w:val="none"/>
              </w:rPr>
              <w:t>备注</w:t>
            </w:r>
          </w:p>
        </w:tc>
      </w:tr>
      <w:tr w14:paraId="3B979FA3">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1A3B77">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914A28">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C6029">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4BA453">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AF0619">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2AB0A8">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A9DF8">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B8DE89">
            <w:pPr>
              <w:rPr>
                <w:highlight w:val="none"/>
              </w:rPr>
            </w:pPr>
          </w:p>
        </w:tc>
      </w:tr>
      <w:tr w14:paraId="476371A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64B8BA">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41C78E">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BA6CA0">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85C1AB">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1FE908">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5AD76">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1E124">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942CB2">
            <w:pPr>
              <w:rPr>
                <w:highlight w:val="none"/>
              </w:rPr>
            </w:pPr>
          </w:p>
        </w:tc>
      </w:tr>
      <w:tr w14:paraId="56D2A449">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AC454">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FE4E0A">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07D97">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53666C">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D78C10">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3E731">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CC4E5">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706BA3">
            <w:pPr>
              <w:rPr>
                <w:highlight w:val="none"/>
              </w:rPr>
            </w:pPr>
          </w:p>
        </w:tc>
      </w:tr>
      <w:tr w14:paraId="0FD2A77D">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AB5CA4">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A854C">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3F9145">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DECD1B">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EE3186">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0C1CA1">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9932AF">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FD74CA">
            <w:pPr>
              <w:rPr>
                <w:highlight w:val="none"/>
              </w:rPr>
            </w:pPr>
          </w:p>
        </w:tc>
      </w:tr>
      <w:tr w14:paraId="0C9ED1A5">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5C015">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3A4E7">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BEAC38">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FCFFA2">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0190E8">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8642A1">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466E7C">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E0C555">
            <w:pPr>
              <w:rPr>
                <w:highlight w:val="none"/>
              </w:rPr>
            </w:pPr>
          </w:p>
        </w:tc>
      </w:tr>
      <w:tr w14:paraId="2E234ADE">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858587">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60FCF">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9C285">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4C8F38">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078F96">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D41839">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921D6B">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1FF089">
            <w:pPr>
              <w:rPr>
                <w:highlight w:val="none"/>
              </w:rPr>
            </w:pPr>
          </w:p>
        </w:tc>
      </w:tr>
      <w:tr w14:paraId="634CF278">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EE7D72">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9055A6">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8679F">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CCD39C">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00F4C">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94177B">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97C74">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1FD3A6">
            <w:pPr>
              <w:rPr>
                <w:highlight w:val="none"/>
              </w:rPr>
            </w:pPr>
          </w:p>
        </w:tc>
      </w:tr>
      <w:tr w14:paraId="52F95D91">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A37CC4">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E98277">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79F7D">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9F4DA">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C8A6D">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EED565">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80642C">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0663BE">
            <w:pPr>
              <w:rPr>
                <w:highlight w:val="none"/>
              </w:rPr>
            </w:pPr>
          </w:p>
        </w:tc>
      </w:tr>
      <w:tr w14:paraId="7761A32D">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E9F7EF">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A6F286">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8F6B94">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B9983">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D7A46">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CBDD6B">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3E7662">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7F4B4B">
            <w:pPr>
              <w:rPr>
                <w:highlight w:val="none"/>
              </w:rPr>
            </w:pPr>
          </w:p>
        </w:tc>
      </w:tr>
      <w:tr w14:paraId="67D105F3">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A888F">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216B90">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6FD32">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9B1CBD">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A1F978">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723AEF">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4655A0">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C7F40">
            <w:pPr>
              <w:rPr>
                <w:highlight w:val="none"/>
              </w:rPr>
            </w:pPr>
          </w:p>
        </w:tc>
      </w:tr>
      <w:tr w14:paraId="233C0AD3">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E8D9C5">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9DCFB6">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F32CD1">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31903">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07F27">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28882">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9AC801">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38CE1">
            <w:pPr>
              <w:rPr>
                <w:highlight w:val="none"/>
              </w:rPr>
            </w:pPr>
          </w:p>
        </w:tc>
      </w:tr>
      <w:tr w14:paraId="39987E12">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BCD5B2">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8923B1">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1EF45D">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9D7C19">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2C666E">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272957">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16BBBB">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B93BD1">
            <w:pPr>
              <w:rPr>
                <w:highlight w:val="none"/>
              </w:rPr>
            </w:pPr>
          </w:p>
        </w:tc>
      </w:tr>
      <w:tr w14:paraId="45CD3096">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CFAF97">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52BA10">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B6A835">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C1F73C">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5D6437">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3255E1">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6DFEB">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5CCC47">
            <w:pPr>
              <w:rPr>
                <w:highlight w:val="none"/>
              </w:rPr>
            </w:pPr>
          </w:p>
        </w:tc>
      </w:tr>
      <w:tr w14:paraId="1B0C47A0">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627430">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319BC3">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EE8341">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97F208">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47FD3C">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2914CC">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17FE54">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DA3E74">
            <w:pPr>
              <w:rPr>
                <w:highlight w:val="none"/>
              </w:rPr>
            </w:pPr>
          </w:p>
        </w:tc>
      </w:tr>
      <w:tr w14:paraId="5BABEFD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1ABFD1">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0EA51E">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48628">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CD95B8">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9FF614">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D507AD">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62EB3">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1F153B">
            <w:pPr>
              <w:rPr>
                <w:highlight w:val="none"/>
              </w:rPr>
            </w:pPr>
          </w:p>
        </w:tc>
      </w:tr>
      <w:tr w14:paraId="49BD233A">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9A672D">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926C79">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E47EB8">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6576F1">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59C731">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46DE11">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F8444">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48F52C">
            <w:pPr>
              <w:rPr>
                <w:highlight w:val="none"/>
              </w:rPr>
            </w:pPr>
          </w:p>
        </w:tc>
      </w:tr>
      <w:tr w14:paraId="2F82BE1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FF8F9">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220D94">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CB4BEE">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2C2581">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00900">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22A20A">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B56591">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4C1403">
            <w:pPr>
              <w:rPr>
                <w:highlight w:val="none"/>
              </w:rPr>
            </w:pPr>
          </w:p>
        </w:tc>
      </w:tr>
      <w:tr w14:paraId="00DE7226">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88876">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A3F9DA">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FB7786">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291C06">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D1825">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1C85F">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39042C">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C4634">
            <w:pPr>
              <w:rPr>
                <w:highlight w:val="none"/>
              </w:rPr>
            </w:pPr>
          </w:p>
        </w:tc>
      </w:tr>
      <w:tr w14:paraId="563D0906">
        <w:tblPrEx>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ED9E2E">
            <w:pPr>
              <w:rPr>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E0A775">
            <w:pPr>
              <w:rPr>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040B75">
            <w:pPr>
              <w:rPr>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3F1026">
            <w:pPr>
              <w:rPr>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14434C">
            <w:pPr>
              <w:rPr>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5190D2">
            <w:pPr>
              <w:rPr>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1A9550">
            <w:pPr>
              <w:rPr>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58E516">
            <w:pPr>
              <w:rPr>
                <w:highlight w:val="none"/>
              </w:rPr>
            </w:pPr>
          </w:p>
        </w:tc>
      </w:tr>
    </w:tbl>
    <w:p w14:paraId="4C3C4762">
      <w:pPr>
        <w:rPr>
          <w:highlight w:val="none"/>
        </w:rPr>
        <w:sectPr>
          <w:headerReference r:id="rId20" w:type="default"/>
          <w:footerReference r:id="rId21" w:type="default"/>
          <w:pgSz w:w="11905" w:h="16838"/>
          <w:pgMar w:top="1417" w:right="1417" w:bottom="1417" w:left="1417" w:header="992" w:footer="992" w:gutter="0"/>
          <w:cols w:space="720" w:num="1"/>
        </w:sectPr>
      </w:pPr>
    </w:p>
    <w:p w14:paraId="672DA349">
      <w:pPr>
        <w:pStyle w:val="5"/>
        <w:rPr>
          <w:b/>
          <w:sz w:val="24"/>
          <w:highlight w:val="none"/>
        </w:rPr>
      </w:pPr>
      <w:bookmarkStart w:id="225" w:name="_Toc32582"/>
      <w:r>
        <w:rPr>
          <w:b/>
          <w:sz w:val="24"/>
          <w:highlight w:val="none"/>
        </w:rPr>
        <w:t>（六）投标人声明格式</w:t>
      </w:r>
      <w:bookmarkEnd w:id="225"/>
    </w:p>
    <w:p w14:paraId="66261F52">
      <w:pPr>
        <w:pStyle w:val="16"/>
        <w:spacing w:before="120" w:beforeLines="50" w:after="120" w:afterLines="50"/>
        <w:jc w:val="center"/>
        <w:rPr>
          <w:rFonts w:hint="default" w:ascii="宋体" w:hAnsi="宋体" w:eastAsia="宋体"/>
          <w:highlight w:val="none"/>
        </w:rPr>
      </w:pPr>
      <w:bookmarkStart w:id="226" w:name="_Toc681"/>
      <w:bookmarkStart w:id="227" w:name="_Toc7353"/>
      <w:r>
        <w:rPr>
          <w:rFonts w:hint="default" w:ascii="宋体" w:hAnsi="宋体" w:eastAsia="宋体" w:cs="宋体"/>
          <w:b/>
          <w:sz w:val="32"/>
          <w:szCs w:val="32"/>
          <w:highlight w:val="none"/>
        </w:rPr>
        <w:t>投标人声明</w:t>
      </w:r>
      <w:bookmarkEnd w:id="226"/>
      <w:bookmarkEnd w:id="227"/>
    </w:p>
    <w:p w14:paraId="27D87B09">
      <w:pPr>
        <w:snapToGrid w:val="0"/>
        <w:spacing w:line="360" w:lineRule="auto"/>
        <w:rPr>
          <w:rFonts w:ascii="宋体" w:hAnsi="宋体" w:cs="宋体"/>
          <w:sz w:val="21"/>
          <w:szCs w:val="21"/>
          <w:highlight w:val="none"/>
        </w:rPr>
      </w:pPr>
    </w:p>
    <w:p w14:paraId="26688881">
      <w:pPr>
        <w:snapToGrid w:val="0"/>
        <w:spacing w:line="360" w:lineRule="auto"/>
        <w:rPr>
          <w:rFonts w:ascii="宋体" w:hAnsi="宋体" w:cs="宋体"/>
          <w:sz w:val="21"/>
          <w:szCs w:val="21"/>
          <w:highlight w:val="none"/>
        </w:rPr>
      </w:pPr>
      <w:r>
        <w:rPr>
          <w:rFonts w:ascii="宋体" w:hAnsi="宋体" w:cs="宋体"/>
          <w:sz w:val="21"/>
          <w:szCs w:val="21"/>
          <w:highlight w:val="none"/>
        </w:rPr>
        <w:t>本招标项目招标人及招标监管机构：</w:t>
      </w:r>
    </w:p>
    <w:p w14:paraId="6C51F563">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本公司就参加</w:t>
      </w:r>
      <w:r>
        <w:rPr>
          <w:rFonts w:ascii="宋体" w:hAnsi="宋体" w:cs="宋体"/>
          <w:sz w:val="21"/>
          <w:szCs w:val="21"/>
          <w:highlight w:val="none"/>
          <w:u w:val="single"/>
        </w:rPr>
        <w:t>    （项目名称）    </w:t>
      </w:r>
      <w:r>
        <w:rPr>
          <w:rFonts w:ascii="宋体" w:hAnsi="宋体" w:cs="宋体"/>
          <w:sz w:val="21"/>
          <w:szCs w:val="21"/>
          <w:highlight w:val="none"/>
        </w:rPr>
        <w:t>项目投标工作，作出郑重声明：</w:t>
      </w:r>
    </w:p>
    <w:p w14:paraId="0B2707C0">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272F8225">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二、本公司保证不与其他单位围标、串标，不出让投标资格，不向招标人或评标委员会成员行贿。</w:t>
      </w:r>
    </w:p>
    <w:p w14:paraId="1A6D029B">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三、本公司不存在招标文件第二章投标人须知第1.4.3项所规定的任何一种情形。</w:t>
      </w:r>
    </w:p>
    <w:p w14:paraId="26C6BFC5">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四、本公司及其有隶属关系的机构，没有参加本项目招标文件的编写工作；本公司与本次招标的招标代理机构没有隶属关系或其他利害关系。</w:t>
      </w:r>
    </w:p>
    <w:p w14:paraId="30563E81">
      <w:pPr>
        <w:snapToGrid w:val="0"/>
        <w:spacing w:line="360" w:lineRule="auto"/>
        <w:ind w:firstLine="420" w:firstLineChars="200"/>
        <w:rPr>
          <w:rFonts w:ascii="宋体" w:hAnsi="宋体" w:cs="宋体"/>
          <w:sz w:val="21"/>
          <w:szCs w:val="21"/>
          <w:highlight w:val="none"/>
        </w:rPr>
      </w:pPr>
      <w:bookmarkStart w:id="228" w:name="_Toc14569"/>
      <w:r>
        <w:rPr>
          <w:rFonts w:hint="eastAsia" w:ascii="宋体" w:hAnsi="宋体" w:cs="宋体"/>
          <w:sz w:val="21"/>
          <w:szCs w:val="21"/>
          <w:highlight w:val="none"/>
        </w:rPr>
        <w:t>五、本公司具有履行合同的能力，包括专业、技术资格和能力，资金、设备和其他物质设施能力，管理能力，类似工程经验、信誉状况等。</w:t>
      </w:r>
    </w:p>
    <w:p w14:paraId="2E973643">
      <w:pPr>
        <w:snapToGrid w:val="0"/>
        <w:spacing w:line="360" w:lineRule="auto"/>
        <w:ind w:firstLine="420" w:firstLineChars="200"/>
        <w:rPr>
          <w:rFonts w:ascii="宋体" w:hAnsi="宋体" w:cs="宋体"/>
          <w:sz w:val="21"/>
          <w:szCs w:val="21"/>
          <w:highlight w:val="none"/>
        </w:rPr>
      </w:pPr>
      <w:bookmarkStart w:id="229" w:name="_Toc4666"/>
      <w:r>
        <w:rPr>
          <w:rFonts w:hint="eastAsia" w:ascii="宋体" w:hAnsi="宋体" w:cs="宋体"/>
          <w:sz w:val="21"/>
          <w:szCs w:val="21"/>
          <w:highlight w:val="none"/>
        </w:rPr>
        <w:t>六</w:t>
      </w:r>
      <w:r>
        <w:rPr>
          <w:rFonts w:ascii="宋体" w:hAnsi="宋体" w:cs="宋体"/>
          <w:sz w:val="21"/>
          <w:szCs w:val="21"/>
          <w:highlight w:val="none"/>
        </w:rPr>
        <w:t>、本公司承诺，中标后严格执行安全生产相关管理规定。</w:t>
      </w:r>
      <w:bookmarkEnd w:id="228"/>
      <w:bookmarkEnd w:id="229"/>
    </w:p>
    <w:p w14:paraId="730ECEAD">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七、本公司积极响应广州市关于投身“百千万工程”的号召，主动参与政府投资类建设工程施工项目的建筑业结对帮扶等活动（市属国有企业投资项目参照执行）。</w:t>
      </w:r>
    </w:p>
    <w:p w14:paraId="511754A2">
      <w:pPr>
        <w:snapToGrid w:val="0"/>
        <w:spacing w:line="360" w:lineRule="auto"/>
        <w:ind w:firstLine="420" w:firstLineChars="200"/>
        <w:rPr>
          <w:rFonts w:ascii="宋体" w:hAnsi="宋体" w:cs="宋体"/>
          <w:sz w:val="21"/>
          <w:szCs w:val="21"/>
          <w:highlight w:val="none"/>
        </w:rPr>
      </w:pPr>
      <w:r>
        <w:rPr>
          <w:rFonts w:ascii="宋体" w:hAnsi="宋体" w:cs="宋体"/>
          <w:sz w:val="21"/>
          <w:szCs w:val="21"/>
          <w:highlight w:val="none"/>
        </w:rPr>
        <w:t>本公司违反上述保证，或本声明陈述与事实不符，经查实，本公司愿意接受公开通报，承担由此带来的法律后果。</w:t>
      </w:r>
    </w:p>
    <w:p w14:paraId="0F885BB3">
      <w:pPr>
        <w:widowControl/>
        <w:shd w:val="clear" w:color="auto" w:fill="FFFFFF"/>
        <w:spacing w:line="360" w:lineRule="auto"/>
        <w:ind w:firstLine="420" w:firstLineChars="200"/>
        <w:rPr>
          <w:rFonts w:ascii="宋体" w:hAnsi="宋体" w:cs="宋体"/>
          <w:sz w:val="21"/>
          <w:szCs w:val="21"/>
          <w:highlight w:val="none"/>
        </w:rPr>
      </w:pPr>
      <w:r>
        <w:rPr>
          <w:rFonts w:ascii="宋体" w:hAnsi="宋体" w:cs="宋体"/>
          <w:sz w:val="21"/>
          <w:szCs w:val="21"/>
          <w:highlight w:val="none"/>
        </w:rPr>
        <w:t>特此声明。</w:t>
      </w:r>
    </w:p>
    <w:p w14:paraId="0C1150F4">
      <w:pPr>
        <w:pStyle w:val="28"/>
        <w:ind w:right="1449" w:firstLine="420" w:firstLineChars="200"/>
        <w:rPr>
          <w:rFonts w:hint="default" w:ascii="宋体" w:eastAsia="宋体" w:cs="宋体"/>
          <w:sz w:val="21"/>
          <w:szCs w:val="21"/>
          <w:highlight w:val="none"/>
        </w:rPr>
      </w:pPr>
    </w:p>
    <w:p w14:paraId="4A5C085B">
      <w:pPr>
        <w:pStyle w:val="28"/>
        <w:spacing w:line="600" w:lineRule="exact"/>
        <w:ind w:left="629" w:right="1449" w:firstLine="420" w:firstLineChars="200"/>
        <w:rPr>
          <w:rFonts w:hint="default" w:ascii="宋体" w:eastAsia="宋体" w:cs="宋体"/>
          <w:sz w:val="21"/>
          <w:szCs w:val="21"/>
          <w:highlight w:val="none"/>
        </w:rPr>
      </w:pPr>
      <w:r>
        <w:rPr>
          <w:rFonts w:hint="default" w:ascii="宋体" w:eastAsia="宋体" w:cs="宋体"/>
          <w:sz w:val="21"/>
          <w:szCs w:val="21"/>
          <w:highlight w:val="none"/>
        </w:rPr>
        <w:t xml:space="preserve">                                           声明企业：</w:t>
      </w:r>
    </w:p>
    <w:p w14:paraId="13EF3A63">
      <w:pPr>
        <w:pStyle w:val="29"/>
        <w:spacing w:line="600" w:lineRule="exact"/>
        <w:ind w:right="1779" w:firstLine="473"/>
        <w:jc w:val="right"/>
        <w:rPr>
          <w:rFonts w:hint="default" w:ascii="宋体" w:eastAsia="宋体" w:cs="宋体"/>
          <w:sz w:val="21"/>
          <w:szCs w:val="21"/>
          <w:highlight w:val="none"/>
        </w:rPr>
      </w:pPr>
      <w:r>
        <w:rPr>
          <w:rFonts w:hint="default" w:ascii="宋体" w:eastAsia="宋体" w:cs="宋体"/>
          <w:sz w:val="21"/>
          <w:szCs w:val="21"/>
          <w:highlight w:val="none"/>
        </w:rPr>
        <w:t>法定代表人（签字）：</w:t>
      </w:r>
    </w:p>
    <w:p w14:paraId="2E8CD75B">
      <w:pPr>
        <w:pStyle w:val="29"/>
        <w:spacing w:line="600" w:lineRule="exact"/>
        <w:ind w:right="1779" w:firstLine="473"/>
        <w:jc w:val="right"/>
        <w:rPr>
          <w:rFonts w:hint="default" w:ascii="宋体" w:eastAsia="宋体" w:cs="宋体"/>
          <w:sz w:val="21"/>
          <w:szCs w:val="21"/>
          <w:highlight w:val="none"/>
        </w:rPr>
      </w:pPr>
      <w:r>
        <w:rPr>
          <w:rFonts w:hint="default" w:ascii="宋体" w:eastAsia="宋体" w:cs="宋体"/>
          <w:sz w:val="21"/>
          <w:szCs w:val="21"/>
          <w:highlight w:val="none"/>
        </w:rPr>
        <w:t>总监理工程师（签字）：</w:t>
      </w:r>
    </w:p>
    <w:p w14:paraId="1B1C3F00">
      <w:pPr>
        <w:pStyle w:val="29"/>
        <w:spacing w:line="600" w:lineRule="exact"/>
        <w:ind w:right="1779" w:firstLine="473"/>
        <w:jc w:val="right"/>
        <w:rPr>
          <w:rFonts w:hint="default" w:ascii="宋体" w:eastAsia="宋体" w:cs="宋体"/>
          <w:sz w:val="21"/>
          <w:szCs w:val="21"/>
          <w:highlight w:val="none"/>
        </w:rPr>
      </w:pPr>
      <w:r>
        <w:rPr>
          <w:rFonts w:ascii="宋体" w:eastAsia="宋体" w:cs="宋体"/>
          <w:sz w:val="21"/>
          <w:szCs w:val="21"/>
          <w:highlight w:val="none"/>
        </w:rPr>
        <w:t>技术负责人（签字）：</w:t>
      </w:r>
    </w:p>
    <w:p w14:paraId="34C6CBA7">
      <w:pPr>
        <w:pStyle w:val="29"/>
        <w:spacing w:line="600" w:lineRule="exact"/>
        <w:ind w:right="879" w:firstLine="420" w:firstLineChars="200"/>
        <w:jc w:val="right"/>
        <w:rPr>
          <w:rFonts w:hint="default" w:ascii="宋体" w:eastAsia="宋体" w:cs="宋体"/>
          <w:sz w:val="21"/>
          <w:szCs w:val="21"/>
          <w:highlight w:val="none"/>
        </w:rPr>
      </w:pPr>
      <w:r>
        <w:rPr>
          <w:rFonts w:hint="default" w:ascii="宋体" w:eastAsia="宋体" w:cs="宋体"/>
          <w:sz w:val="21"/>
          <w:szCs w:val="21"/>
          <w:highlight w:val="none"/>
        </w:rPr>
        <w:t>（企业公章）</w:t>
      </w:r>
    </w:p>
    <w:p w14:paraId="24C1EB75">
      <w:pPr>
        <w:pStyle w:val="29"/>
        <w:ind w:right="879" w:firstLine="420" w:firstLineChars="200"/>
        <w:jc w:val="right"/>
        <w:rPr>
          <w:rFonts w:hint="default" w:ascii="宋体" w:eastAsia="宋体" w:cs="宋体"/>
          <w:sz w:val="21"/>
          <w:szCs w:val="21"/>
          <w:highlight w:val="none"/>
        </w:rPr>
      </w:pPr>
      <w:r>
        <w:rPr>
          <w:rFonts w:hint="default" w:ascii="宋体" w:eastAsia="宋体" w:cs="宋体"/>
          <w:sz w:val="21"/>
          <w:szCs w:val="21"/>
          <w:highlight w:val="none"/>
        </w:rPr>
        <w:t>年  月  日</w:t>
      </w:r>
    </w:p>
    <w:p w14:paraId="67628CB4">
      <w:pPr>
        <w:pStyle w:val="24"/>
        <w:ind w:firstLine="0" w:firstLineChars="0"/>
        <w:rPr>
          <w:rFonts w:hint="default"/>
          <w:szCs w:val="24"/>
          <w:highlight w:val="none"/>
        </w:rPr>
        <w:sectPr>
          <w:pgSz w:w="11905" w:h="16838"/>
          <w:pgMar w:top="1417" w:right="1417" w:bottom="1417" w:left="1417" w:header="992" w:footer="992" w:gutter="0"/>
          <w:cols w:space="720" w:num="1"/>
        </w:sectPr>
      </w:pPr>
    </w:p>
    <w:p w14:paraId="5BF17F15">
      <w:pPr>
        <w:pStyle w:val="5"/>
        <w:pageBreakBefore/>
        <w:rPr>
          <w:b/>
          <w:sz w:val="24"/>
          <w:highlight w:val="none"/>
        </w:rPr>
      </w:pPr>
      <w:r>
        <w:rPr>
          <w:rFonts w:hint="eastAsia"/>
          <w:b/>
          <w:bCs/>
          <w:sz w:val="24"/>
          <w:highlight w:val="none"/>
        </w:rPr>
        <w:t>（七）</w:t>
      </w:r>
      <w:r>
        <w:rPr>
          <w:rFonts w:hint="eastAsia"/>
          <w:b/>
          <w:sz w:val="24"/>
          <w:highlight w:val="none"/>
        </w:rPr>
        <w:t>投标人廉洁承诺书（格式）</w:t>
      </w:r>
    </w:p>
    <w:p w14:paraId="111D5D67">
      <w:pPr>
        <w:pStyle w:val="16"/>
        <w:spacing w:before="120" w:beforeLines="50" w:beforeAutospacing="0" w:after="120" w:afterLines="50" w:afterAutospacing="0" w:line="360" w:lineRule="auto"/>
        <w:jc w:val="center"/>
        <w:rPr>
          <w:rFonts w:hint="default" w:ascii="宋体" w:hAnsi="宋体" w:cs="宋体"/>
          <w:b/>
          <w:bCs/>
          <w:sz w:val="32"/>
          <w:szCs w:val="32"/>
          <w:highlight w:val="none"/>
        </w:rPr>
      </w:pPr>
      <w:r>
        <w:rPr>
          <w:rFonts w:ascii="宋体" w:hAnsi="宋体" w:eastAsia="宋体" w:cs="宋体"/>
          <w:b/>
          <w:bCs/>
          <w:sz w:val="32"/>
          <w:szCs w:val="32"/>
          <w:highlight w:val="none"/>
        </w:rPr>
        <w:t>投标人廉洁承诺书</w:t>
      </w:r>
    </w:p>
    <w:p w14:paraId="29D4AD8A">
      <w:pPr>
        <w:pStyle w:val="16"/>
        <w:shd w:val="clear" w:color="auto" w:fill="FFFFFF"/>
        <w:spacing w:before="0" w:beforeAutospacing="0" w:after="0" w:afterAutospacing="0" w:line="360" w:lineRule="auto"/>
        <w:rPr>
          <w:rFonts w:hint="default" w:ascii="宋体" w:hAnsi="宋体" w:cs="宋体"/>
          <w:highlight w:val="none"/>
        </w:rPr>
      </w:pPr>
      <w:r>
        <w:rPr>
          <w:rFonts w:ascii="宋体" w:hAnsi="宋体" w:eastAsia="宋体" w:cs="宋体"/>
          <w:highlight w:val="none"/>
        </w:rPr>
        <w:t>广州市天河区水务局、本招标项目招标人及招标监管机构：</w:t>
      </w:r>
    </w:p>
    <w:p w14:paraId="5C449586">
      <w:pPr>
        <w:pStyle w:val="10"/>
        <w:spacing w:line="360" w:lineRule="auto"/>
        <w:ind w:right="420" w:firstLine="480" w:firstLineChars="200"/>
        <w:jc w:val="both"/>
        <w:rPr>
          <w:rFonts w:hAnsi="宋体" w:cs="宋体"/>
          <w:highlight w:val="none"/>
        </w:rPr>
      </w:pPr>
      <w:r>
        <w:rPr>
          <w:rFonts w:hint="eastAsia" w:hAnsi="宋体" w:cs="宋体"/>
          <w:highlight w:val="none"/>
        </w:rPr>
        <w:t>本公司参加了</w:t>
      </w:r>
      <w:r>
        <w:rPr>
          <w:rFonts w:hint="eastAsia" w:hAnsi="宋体" w:cs="宋体"/>
          <w:highlight w:val="none"/>
          <w:u w:val="single"/>
        </w:rPr>
        <w:t xml:space="preserve">   （项目名称/标段名称）    </w:t>
      </w:r>
      <w:r>
        <w:rPr>
          <w:rFonts w:hint="eastAsia" w:hAnsi="宋体" w:cs="宋体"/>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076155DB">
      <w:pPr>
        <w:pStyle w:val="10"/>
        <w:spacing w:line="360" w:lineRule="auto"/>
        <w:ind w:right="420" w:firstLine="480" w:firstLineChars="200"/>
        <w:rPr>
          <w:rFonts w:hAnsi="宋体" w:cs="宋体"/>
          <w:highlight w:val="none"/>
        </w:rPr>
      </w:pPr>
      <w:r>
        <w:rPr>
          <w:rFonts w:hint="eastAsia" w:hAnsi="宋体" w:cs="宋体"/>
          <w:highlight w:val="none"/>
        </w:rPr>
        <w:t>一、自觉遵守国家有关法律法规及廉洁规定。</w:t>
      </w:r>
    </w:p>
    <w:p w14:paraId="67283E93">
      <w:pPr>
        <w:pStyle w:val="10"/>
        <w:spacing w:line="360" w:lineRule="auto"/>
        <w:ind w:right="420" w:firstLine="480" w:firstLineChars="200"/>
        <w:jc w:val="both"/>
        <w:rPr>
          <w:rFonts w:hAnsi="宋体" w:cs="宋体"/>
          <w:highlight w:val="none"/>
        </w:rPr>
      </w:pPr>
      <w:r>
        <w:rPr>
          <w:rFonts w:hint="eastAsia" w:hAnsi="宋体" w:cs="宋体"/>
          <w:highlight w:val="none"/>
        </w:rPr>
        <w:t>二、不与招标单位工作人员串通投标，损害国家利益、企业利益以及他人的合法利益；</w:t>
      </w:r>
    </w:p>
    <w:p w14:paraId="7ABAD8DC">
      <w:pPr>
        <w:pStyle w:val="10"/>
        <w:spacing w:line="360" w:lineRule="auto"/>
        <w:ind w:right="420" w:firstLine="480" w:firstLineChars="200"/>
        <w:jc w:val="both"/>
        <w:rPr>
          <w:rFonts w:hAnsi="宋体" w:cs="宋体"/>
          <w:highlight w:val="none"/>
        </w:rPr>
      </w:pPr>
      <w:r>
        <w:rPr>
          <w:rFonts w:hint="eastAsia" w:hAnsi="宋体" w:cs="宋体"/>
          <w:highlight w:val="none"/>
        </w:rPr>
        <w:t>三、不与其他单位围标、串标，不出让投标资格，不向招标人或评标委员会成员行贿。</w:t>
      </w:r>
    </w:p>
    <w:p w14:paraId="5CE9B5DC">
      <w:pPr>
        <w:pStyle w:val="10"/>
        <w:spacing w:line="360" w:lineRule="auto"/>
        <w:ind w:right="420" w:firstLine="480" w:firstLineChars="200"/>
        <w:jc w:val="both"/>
        <w:rPr>
          <w:rFonts w:hAnsi="宋体" w:cs="宋体"/>
          <w:highlight w:val="none"/>
        </w:rPr>
      </w:pPr>
      <w:r>
        <w:rPr>
          <w:rFonts w:hint="eastAsia" w:hAnsi="宋体" w:cs="宋体"/>
          <w:highlight w:val="none"/>
        </w:rPr>
        <w:t xml:space="preserve">四、不以任何名义向参与招标、评标工作的有关人员提供高消费宴请及娱乐活动和赠送回扣、红包、礼金、购物卡、有价证券、贵重物品和好处费、感谢费等； </w:t>
      </w:r>
    </w:p>
    <w:p w14:paraId="5A10164D">
      <w:pPr>
        <w:pStyle w:val="10"/>
        <w:spacing w:line="360" w:lineRule="auto"/>
        <w:ind w:right="420" w:firstLine="480" w:firstLineChars="200"/>
        <w:jc w:val="both"/>
        <w:rPr>
          <w:rFonts w:hAnsi="宋体" w:cs="宋体"/>
          <w:highlight w:val="none"/>
        </w:rPr>
      </w:pPr>
      <w:r>
        <w:rPr>
          <w:rFonts w:hint="eastAsia" w:hAnsi="宋体" w:cs="宋体"/>
          <w:highlight w:val="none"/>
        </w:rPr>
        <w:t>五、不以任何名义为参与招标、评标工作的有关人员装修住房、婚丧嫁取、配偶子女的工作安排以及境内外旅游等提供方便；</w:t>
      </w:r>
    </w:p>
    <w:p w14:paraId="0507F8D2">
      <w:pPr>
        <w:pStyle w:val="10"/>
        <w:spacing w:line="360" w:lineRule="auto"/>
        <w:ind w:right="420" w:firstLine="480" w:firstLineChars="200"/>
        <w:rPr>
          <w:rFonts w:hAnsi="宋体" w:cs="宋体"/>
          <w:highlight w:val="none"/>
        </w:rPr>
      </w:pPr>
      <w:r>
        <w:rPr>
          <w:rFonts w:hint="eastAsia" w:hAnsi="宋体" w:cs="宋体"/>
          <w:highlight w:val="none"/>
        </w:rPr>
        <w:t>六、不以谋取非正当利益为目的，擅自与参与招标、评标工作的有关人员就业务问题进行私下商谈或者达成利益默契。</w:t>
      </w:r>
    </w:p>
    <w:p w14:paraId="1D5B4F57">
      <w:pPr>
        <w:pStyle w:val="16"/>
        <w:shd w:val="clear" w:color="auto" w:fill="FFFFFF"/>
        <w:spacing w:before="0" w:beforeAutospacing="0" w:after="0" w:afterAutospacing="0" w:line="360" w:lineRule="auto"/>
        <w:ind w:firstLine="480" w:firstLineChars="200"/>
        <w:rPr>
          <w:rFonts w:hint="default" w:ascii="宋体" w:hAnsi="宋体" w:cs="宋体"/>
          <w:highlight w:val="none"/>
        </w:rPr>
      </w:pPr>
      <w:r>
        <w:rPr>
          <w:rFonts w:ascii="宋体" w:hAnsi="宋体" w:eastAsia="宋体" w:cs="宋体"/>
          <w:highlight w:val="none"/>
        </w:rPr>
        <w:t>本公司违反上述承诺，或本承诺陈述与事实不符，经查实，本公司愿意接受公开通报，承担由此带来的法律后果。</w:t>
      </w:r>
    </w:p>
    <w:p w14:paraId="51971C26">
      <w:pPr>
        <w:pStyle w:val="16"/>
        <w:shd w:val="clear" w:color="auto" w:fill="FFFFFF"/>
        <w:spacing w:before="0" w:beforeAutospacing="0" w:after="0" w:afterAutospacing="0" w:line="360" w:lineRule="auto"/>
        <w:ind w:firstLine="480" w:firstLineChars="200"/>
        <w:rPr>
          <w:rFonts w:hint="default" w:ascii="宋体" w:hAnsi="宋体" w:eastAsia="宋体" w:cs="宋体"/>
          <w:highlight w:val="none"/>
        </w:rPr>
      </w:pPr>
      <w:r>
        <w:rPr>
          <w:rFonts w:ascii="宋体" w:hAnsi="宋体" w:eastAsia="宋体" w:cs="宋体"/>
          <w:highlight w:val="none"/>
        </w:rPr>
        <w:t>特此承诺。</w:t>
      </w:r>
    </w:p>
    <w:p w14:paraId="4323C7DA">
      <w:pPr>
        <w:pStyle w:val="16"/>
        <w:shd w:val="clear" w:color="auto" w:fill="FFFFFF"/>
        <w:spacing w:before="0" w:beforeAutospacing="0" w:after="0" w:afterAutospacing="0" w:line="360" w:lineRule="auto"/>
        <w:ind w:right="1455" w:firstLine="2880"/>
        <w:jc w:val="right"/>
        <w:rPr>
          <w:rFonts w:hint="default" w:ascii="宋体" w:hAnsi="宋体" w:cs="宋体"/>
          <w:highlight w:val="none"/>
        </w:rPr>
      </w:pPr>
      <w:r>
        <w:rPr>
          <w:rFonts w:ascii="宋体" w:hAnsi="宋体" w:eastAsia="宋体" w:cs="宋体"/>
          <w:highlight w:val="none"/>
        </w:rPr>
        <w:t>承诺企业（</w:t>
      </w:r>
      <w:r>
        <w:rPr>
          <w:rFonts w:ascii="宋体" w:hAnsi="宋体" w:cs="宋体"/>
          <w:highlight w:val="none"/>
        </w:rPr>
        <w:t>盖</w:t>
      </w:r>
      <w:r>
        <w:rPr>
          <w:rFonts w:ascii="宋体" w:hAnsi="宋体" w:eastAsia="宋体" w:cs="宋体"/>
          <w:highlight w:val="none"/>
        </w:rPr>
        <w:t>单位章）：      </w:t>
      </w:r>
    </w:p>
    <w:p w14:paraId="438E1CB1">
      <w:pPr>
        <w:pStyle w:val="16"/>
        <w:shd w:val="clear" w:color="auto" w:fill="FFFFFF"/>
        <w:spacing w:before="0" w:beforeAutospacing="0" w:after="0" w:afterAutospacing="0" w:line="360" w:lineRule="auto"/>
        <w:ind w:firstLine="480"/>
        <w:jc w:val="right"/>
        <w:rPr>
          <w:rFonts w:hint="default" w:ascii="宋体" w:hAnsi="宋体" w:cs="宋体"/>
          <w:highlight w:val="none"/>
        </w:rPr>
      </w:pPr>
      <w:r>
        <w:rPr>
          <w:rFonts w:ascii="宋体" w:hAnsi="宋体" w:eastAsia="宋体" w:cs="宋体"/>
          <w:highlight w:val="none"/>
        </w:rPr>
        <w:t>法定代表人签字：</w:t>
      </w:r>
      <w:r>
        <w:rPr>
          <w:rFonts w:ascii="宋体" w:hAnsi="宋体" w:cs="宋体"/>
          <w:highlight w:val="none"/>
        </w:rPr>
        <w:t xml:space="preserve">           </w:t>
      </w:r>
    </w:p>
    <w:p w14:paraId="3D5A6D5C">
      <w:pPr>
        <w:pStyle w:val="24"/>
        <w:ind w:firstLine="0" w:firstLineChars="0"/>
        <w:jc w:val="right"/>
        <w:rPr>
          <w:rFonts w:hint="default"/>
          <w:szCs w:val="24"/>
          <w:highlight w:val="none"/>
        </w:rPr>
        <w:sectPr>
          <w:pgSz w:w="11905" w:h="16838"/>
          <w:pgMar w:top="1417" w:right="1417" w:bottom="1417" w:left="1417" w:header="992" w:footer="992" w:gutter="0"/>
          <w:cols w:space="720" w:num="1"/>
        </w:sectPr>
      </w:pPr>
      <w:r>
        <w:rPr>
          <w:rFonts w:ascii="宋体" w:hAnsi="宋体" w:eastAsia="宋体" w:cs="宋体"/>
          <w:szCs w:val="24"/>
          <w:highlight w:val="none"/>
        </w:rPr>
        <w:t>年   月   日</w:t>
      </w:r>
    </w:p>
    <w:p w14:paraId="1EC133CD">
      <w:pPr>
        <w:pStyle w:val="4"/>
        <w:spacing w:before="120" w:after="120"/>
        <w:jc w:val="center"/>
        <w:rPr>
          <w:sz w:val="28"/>
          <w:highlight w:val="none"/>
        </w:rPr>
      </w:pPr>
      <w:bookmarkStart w:id="230" w:name="bookmark193"/>
      <w:bookmarkEnd w:id="230"/>
      <w:bookmarkStart w:id="231" w:name="_Toc3592"/>
      <w:r>
        <w:rPr>
          <w:rFonts w:hint="eastAsia"/>
          <w:sz w:val="28"/>
          <w:highlight w:val="none"/>
        </w:rPr>
        <w:t>五</w:t>
      </w:r>
      <w:r>
        <w:rPr>
          <w:sz w:val="28"/>
          <w:highlight w:val="none"/>
        </w:rPr>
        <w:t>、监理大纲</w:t>
      </w:r>
      <w:bookmarkEnd w:id="231"/>
    </w:p>
    <w:p w14:paraId="44C5FE1D">
      <w:pPr>
        <w:pStyle w:val="9"/>
        <w:kinsoku w:val="0"/>
        <w:overflowPunct w:val="0"/>
        <w:spacing w:before="240" w:beforeLines="100" w:line="360" w:lineRule="auto"/>
        <w:ind w:left="0" w:firstLine="480" w:firstLineChars="200"/>
        <w:jc w:val="center"/>
        <w:rPr>
          <w:sz w:val="24"/>
          <w:highlight w:val="none"/>
        </w:rPr>
      </w:pPr>
      <w:r>
        <w:rPr>
          <w:rFonts w:hint="eastAsia"/>
          <w:sz w:val="24"/>
          <w:highlight w:val="none"/>
        </w:rPr>
        <w:t>投标人按照评分办法自拟。</w:t>
      </w:r>
    </w:p>
    <w:p w14:paraId="502026FF">
      <w:pPr>
        <w:pStyle w:val="9"/>
        <w:kinsoku w:val="0"/>
        <w:overflowPunct w:val="0"/>
        <w:spacing w:line="360" w:lineRule="auto"/>
        <w:ind w:left="480"/>
        <w:rPr>
          <w:sz w:val="24"/>
          <w:highlight w:val="none"/>
        </w:rPr>
        <w:sectPr>
          <w:pgSz w:w="11905" w:h="16838"/>
          <w:pgMar w:top="1417" w:right="1417" w:bottom="1417" w:left="1417" w:header="992" w:footer="992" w:gutter="0"/>
          <w:cols w:space="720" w:num="1"/>
        </w:sectPr>
      </w:pPr>
    </w:p>
    <w:p w14:paraId="7EF62B54">
      <w:pPr>
        <w:pStyle w:val="4"/>
        <w:spacing w:before="120" w:after="120"/>
        <w:jc w:val="center"/>
        <w:rPr>
          <w:sz w:val="28"/>
          <w:highlight w:val="none"/>
        </w:rPr>
      </w:pPr>
      <w:bookmarkStart w:id="232" w:name="bookmark194"/>
      <w:bookmarkEnd w:id="232"/>
      <w:bookmarkStart w:id="233" w:name="_Toc29707"/>
      <w:r>
        <w:rPr>
          <w:rFonts w:hint="eastAsia"/>
          <w:sz w:val="28"/>
          <w:highlight w:val="none"/>
        </w:rPr>
        <w:t>六</w:t>
      </w:r>
      <w:r>
        <w:rPr>
          <w:sz w:val="28"/>
          <w:highlight w:val="none"/>
        </w:rPr>
        <w:t>、其他资料</w:t>
      </w:r>
      <w:bookmarkEnd w:id="233"/>
    </w:p>
    <w:p w14:paraId="14A87AF0">
      <w:pPr>
        <w:rPr>
          <w:highlight w:val="none"/>
        </w:rPr>
      </w:pPr>
    </w:p>
    <w:p w14:paraId="442C3A7E">
      <w:pPr>
        <w:rPr>
          <w:highlight w:val="none"/>
        </w:rPr>
      </w:pPr>
    </w:p>
    <w:p w14:paraId="6A592341">
      <w:pPr>
        <w:pStyle w:val="12"/>
        <w:rPr>
          <w:rFonts w:ascii="宋体" w:hAnsi="宋体" w:cs="宋体"/>
          <w:highlight w:val="none"/>
          <w:lang w:bidi="ar"/>
        </w:rPr>
      </w:pPr>
    </w:p>
    <w:p w14:paraId="0A241E5F">
      <w:pPr>
        <w:pStyle w:val="12"/>
        <w:rPr>
          <w:rFonts w:ascii="宋体" w:hAnsi="宋体" w:cs="宋体"/>
          <w:highlight w:val="none"/>
          <w:lang w:bidi="ar"/>
        </w:rPr>
      </w:pPr>
    </w:p>
    <w:p w14:paraId="12094C6E">
      <w:pPr>
        <w:pStyle w:val="12"/>
        <w:rPr>
          <w:rFonts w:ascii="宋体" w:hAnsi="宋体" w:cs="宋体"/>
          <w:highlight w:val="none"/>
          <w:lang w:bidi="ar"/>
        </w:rPr>
      </w:pPr>
    </w:p>
    <w:p w14:paraId="4A816188">
      <w:pPr>
        <w:pStyle w:val="12"/>
        <w:rPr>
          <w:rFonts w:ascii="宋体" w:hAnsi="宋体" w:cs="宋体"/>
          <w:highlight w:val="none"/>
          <w:lang w:bidi="ar"/>
        </w:rPr>
      </w:pPr>
    </w:p>
    <w:p w14:paraId="64AEDD5C">
      <w:pPr>
        <w:rPr>
          <w:sz w:val="44"/>
          <w:szCs w:val="44"/>
          <w:highlight w:val="none"/>
        </w:rPr>
      </w:pPr>
      <w:bookmarkStart w:id="234" w:name="_Toc27375"/>
      <w:r>
        <w:rPr>
          <w:sz w:val="44"/>
          <w:szCs w:val="44"/>
          <w:highlight w:val="none"/>
        </w:rPr>
        <w:br w:type="page"/>
      </w:r>
    </w:p>
    <w:p w14:paraId="3773FEDE">
      <w:pPr>
        <w:pStyle w:val="3"/>
        <w:rPr>
          <w:sz w:val="44"/>
          <w:szCs w:val="44"/>
          <w:highlight w:val="none"/>
        </w:rPr>
      </w:pPr>
      <w:r>
        <w:rPr>
          <w:sz w:val="44"/>
          <w:szCs w:val="44"/>
          <w:highlight w:val="none"/>
        </w:rPr>
        <w:t>第七章 投标人须知前附表规定的其他资料。</w:t>
      </w:r>
      <w:bookmarkEnd w:id="234"/>
    </w:p>
    <w:p w14:paraId="7078FFB1">
      <w:pPr>
        <w:rPr>
          <w:highlight w:val="none"/>
        </w:rPr>
      </w:pPr>
    </w:p>
    <w:p w14:paraId="7E6792D0">
      <w:pPr>
        <w:pStyle w:val="4"/>
        <w:spacing w:before="120" w:after="120"/>
        <w:jc w:val="center"/>
        <w:rPr>
          <w:sz w:val="30"/>
          <w:highlight w:val="none"/>
        </w:rPr>
      </w:pPr>
      <w:bookmarkStart w:id="235" w:name="_Toc11244"/>
      <w:r>
        <w:rPr>
          <w:sz w:val="30"/>
          <w:highlight w:val="none"/>
        </w:rPr>
        <w:t>否决性条款汇总</w:t>
      </w:r>
      <w:bookmarkEnd w:id="235"/>
    </w:p>
    <w:p w14:paraId="4056945F">
      <w:pPr>
        <w:widowControl/>
        <w:ind w:firstLine="482"/>
        <w:jc w:val="center"/>
        <w:rPr>
          <w:rFonts w:ascii="宋体" w:hAnsi="宋体" w:cs="宋体"/>
          <w:highlight w:val="none"/>
        </w:rPr>
      </w:pPr>
      <w:r>
        <w:rPr>
          <w:rFonts w:hint="eastAsia" w:ascii="宋体" w:hAnsi="宋体" w:cs="宋体"/>
          <w:b/>
          <w:bCs/>
          <w:highlight w:val="none"/>
        </w:rPr>
        <w:t>否决性条款单列参考格式</w:t>
      </w:r>
    </w:p>
    <w:p w14:paraId="14F34373">
      <w:pPr>
        <w:widowControl/>
        <w:spacing w:after="135" w:line="585" w:lineRule="atLeast"/>
        <w:ind w:firstLine="480"/>
        <w:jc w:val="center"/>
        <w:rPr>
          <w:rFonts w:ascii="宋体" w:hAnsi="宋体" w:cs="宋体"/>
          <w:highlight w:val="none"/>
        </w:rPr>
      </w:pPr>
      <w:r>
        <w:rPr>
          <w:rFonts w:hint="eastAsia" w:ascii="宋体" w:hAnsi="宋体" w:cs="宋体"/>
          <w:b/>
          <w:bCs/>
          <w:highlight w:val="none"/>
        </w:rPr>
        <w:t>（*格式仅供参考，条款的实际内容应与招标文件条款相对应）</w:t>
      </w:r>
    </w:p>
    <w:p w14:paraId="2BB285C8">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43BF400F">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24362F03">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9FE4DF0">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一、开标时，出现下列情形之一的，不参与资格审查和评标</w:t>
      </w:r>
    </w:p>
    <w:p w14:paraId="5857B786">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1.未成功递交投标文件的；</w:t>
      </w:r>
    </w:p>
    <w:p w14:paraId="08CB9BC7">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2.因投标人原因造成投标文件未解密的；</w:t>
      </w:r>
    </w:p>
    <w:p w14:paraId="67086619">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3.两个（含两个）以上的投标人加密打包投标文件电脑机器特征码一致的；</w:t>
      </w:r>
    </w:p>
    <w:p w14:paraId="474A7028">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二、作无效投标的情形</w:t>
      </w:r>
    </w:p>
    <w:p w14:paraId="7A95598F">
      <w:pPr>
        <w:widowControl/>
        <w:autoSpaceDE/>
        <w:autoSpaceDN/>
        <w:adjustRightInd/>
        <w:spacing w:after="135" w:line="360" w:lineRule="auto"/>
        <w:ind w:firstLine="480" w:firstLineChars="200"/>
        <w:rPr>
          <w:rFonts w:ascii="宋体" w:hAnsi="宋体" w:cs="宋体"/>
          <w:highlight w:val="none"/>
        </w:rPr>
      </w:pPr>
      <w:r>
        <w:rPr>
          <w:rFonts w:hint="eastAsia" w:ascii="宋体" w:hAnsi="宋体" w:cs="宋体"/>
          <w:highlight w:val="none"/>
        </w:rPr>
        <w:t>1. 投标文件不符合招标文件评标办法中形式评审标准、资格评审标准、响应性评审标准的要求。</w:t>
      </w:r>
    </w:p>
    <w:p w14:paraId="6EC05B54">
      <w:pPr>
        <w:widowControl/>
        <w:autoSpaceDE/>
        <w:autoSpaceDN/>
        <w:adjustRightInd/>
        <w:spacing w:after="135" w:line="360" w:lineRule="auto"/>
        <w:ind w:firstLine="480" w:firstLineChars="200"/>
        <w:rPr>
          <w:rFonts w:ascii="宋体" w:hAnsi="宋体" w:cs="宋体"/>
          <w:kern w:val="21"/>
          <w:highlight w:val="none"/>
        </w:rPr>
      </w:pPr>
      <w:r>
        <w:rPr>
          <w:rFonts w:hint="eastAsia" w:ascii="宋体" w:hAnsi="宋体" w:cs="宋体"/>
          <w:highlight w:val="none"/>
        </w:rPr>
        <w:t>注:如出现招标文件的其他条款与本章单列的否决性条款不一致的,以本章条款为准。</w:t>
      </w:r>
    </w:p>
    <w:p w14:paraId="3904DB83">
      <w:bookmarkStart w:id="236" w:name="_GoBack"/>
      <w:bookmarkEnd w:id="236"/>
    </w:p>
    <w:sectPr>
      <w:headerReference r:id="rId22" w:type="default"/>
      <w:footerReference r:id="rId23" w:type="default"/>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3DF3">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C168D4">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WDSrOIBAADMAwAADgAA&#10;AAAAAAABACAAAAAeAQAAZHJzL2Uyb0RvYy54bWxQSwUGAAAAAAYABgBZAQAAcgUAAAAA&#10;">
              <v:path/>
              <v:fill on="f" focussize="0,0"/>
              <v:stroke on="f"/>
              <v:imagedata o:title=""/>
              <o:lock v:ext="edit" aspectratio="f"/>
              <v:textbox inset="0mm,0mm,0mm,0mm" style="mso-fit-shape-to-text:t;">
                <w:txbxContent>
                  <w:p w14:paraId="05C168D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EFB1">
    <w:pPr>
      <w:pStyle w:val="9"/>
      <w:kinsoku w:val="0"/>
      <w:overflowPunct w:val="0"/>
      <w:spacing w:line="14" w:lineRule="auto"/>
      <w:ind w:left="0"/>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44A30FE7">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68</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bJP2jTAAAAAwEAAA8AAAAAAAAAAQAgAAAAIgAAAGRycy9kb3ducmV2Lnht&#10;bFBLAQIUABQAAAAIAIdO4kB3j1/FxQEAAI8DAAAOAAAAAAAAAAEAIAAAACIBAABkcnMvZTJvRG9j&#10;LnhtbFBLBQYAAAAABgAGAFkBAABZBQAAAAA=&#10;">
              <v:path/>
              <v:fill on="f" focussize="0,0"/>
              <v:stroke on="f"/>
              <v:imagedata o:title=""/>
              <o:lock v:ext="edit" aspectratio="f"/>
              <v:textbox inset="0mm,0mm,0mm,0mm">
                <w:txbxContent>
                  <w:p w14:paraId="44A30FE7">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68</w:t>
                    </w:r>
                    <w:r>
                      <w:rPr>
                        <w:rFonts w:ascii="Calibri" w:hAnsi="Calibri" w:eastAsia="Calibri"/>
                        <w:w w:val="99"/>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20EC">
    <w:pPr>
      <w:pStyle w:val="9"/>
      <w:kinsoku w:val="0"/>
      <w:overflowPunct w:val="0"/>
      <w:spacing w:line="14" w:lineRule="auto"/>
      <w:ind w:left="0"/>
      <w:rPr>
        <w:sz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18283465">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72</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bJP2jTAAAAAwEAAA8AAAAAAAAAAQAgAAAAIgAAAGRycy9kb3ducmV2Lnht&#10;bFBLAQIUABQAAAAIAIdO4kCsoSq7xQEAAI8DAAAOAAAAAAAAAAEAIAAAACIBAABkcnMvZTJvRG9j&#10;LnhtbFBLBQYAAAAABgAGAFkBAABZBQAAAAA=&#10;">
              <v:path/>
              <v:fill on="f" focussize="0,0"/>
              <v:stroke on="f"/>
              <v:imagedata o:title=""/>
              <o:lock v:ext="edit" aspectratio="f"/>
              <v:textbox inset="0mm,0mm,0mm,0mm">
                <w:txbxContent>
                  <w:p w14:paraId="18283465">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72</w:t>
                    </w:r>
                    <w:r>
                      <w:rPr>
                        <w:rFonts w:ascii="Calibri" w:hAnsi="Calibri" w:eastAsia="Calibri"/>
                        <w:w w:val="99"/>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4A62">
    <w:pPr>
      <w:pStyle w:val="9"/>
      <w:kinsoku w:val="0"/>
      <w:overflowPunct w:val="0"/>
      <w:spacing w:line="14" w:lineRule="auto"/>
      <w:ind w:left="0"/>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6ABFD92A">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74</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bJP2jTAAAAAwEAAA8AAAAAAAAAAQAgAAAAIgAAAGRycy9kb3ducmV2Lnht&#10;bFBLAQIUABQAAAAIAIdO4kBqsUtAxQEAAI0DAAAOAAAAAAAAAAEAIAAAACIBAABkcnMvZTJvRG9j&#10;LnhtbFBLBQYAAAAABgAGAFkBAABZBQAAAAA=&#10;">
              <v:path/>
              <v:fill on="f" focussize="0,0"/>
              <v:stroke on="f"/>
              <v:imagedata o:title=""/>
              <o:lock v:ext="edit" aspectratio="f"/>
              <v:textbox inset="0mm,0mm,0mm,0mm">
                <w:txbxContent>
                  <w:p w14:paraId="6ABFD92A">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74</w:t>
                    </w:r>
                    <w:r>
                      <w:rPr>
                        <w:rFonts w:ascii="Calibri" w:hAnsi="Calibri" w:eastAsia="Calibri"/>
                        <w:w w:val="99"/>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B1CEF">
    <w:pPr>
      <w:pStyle w:val="9"/>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a:effectLst/>
                    </wps:spPr>
                    <wps:txbx>
                      <w:txbxContent>
                        <w:p w14:paraId="7A8E9CA6">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60288;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RA6i0wAAAAMBAAAPAAAAAAAAAAEA&#10;IAAAACIAAABkcnMvZG93bnJldi54bWxQSwECFAAUAAAACACHTuJASTKybdsBAACyAwAADgAAAAAA&#10;AAABACAAAAAiAQAAZHJzL2Uyb0RvYy54bWxQSwUGAAAAAAYABgBZAQAAbwUAAAAA&#10;">
              <v:path/>
              <v:fill on="f" focussize="0,0"/>
              <v:stroke on="f"/>
              <v:imagedata o:title=""/>
              <o:lock v:ext="edit" aspectratio="f"/>
              <v:textbox inset="0mm,0mm,0mm,0mm">
                <w:txbxContent>
                  <w:p w14:paraId="7A8E9CA6">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6FAE">
    <w:pPr>
      <w:pStyle w:val="9"/>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7C518EC1">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sk/aNMAAAADAQAADwAAAAAAAAAB&#10;ACAAAAAiAAAAZHJzL2Rvd25yZXYueG1sUEsBAhQAFAAAAAgAh07iQI7nXKDcAQAAsgMAAA4AAAAA&#10;AAAAAQAgAAAAIgEAAGRycy9lMm9Eb2MueG1sUEsFBgAAAAAGAAYAWQEAAHAFAAAAAA==&#10;">
              <v:path/>
              <v:fill on="f" focussize="0,0"/>
              <v:stroke on="f"/>
              <v:imagedata o:title=""/>
              <o:lock v:ext="edit" aspectratio="f"/>
              <v:textbox inset="0mm,0mm,0mm,0mm">
                <w:txbxContent>
                  <w:p w14:paraId="7C518EC1">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38</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A0D6">
    <w:pPr>
      <w:pStyle w:val="9"/>
      <w:kinsoku w:val="0"/>
      <w:overflowPunct w:val="0"/>
      <w:spacing w:line="14" w:lineRule="auto"/>
      <w:ind w:left="0"/>
      <w:rPr>
        <w:sz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35C5EE3F">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51</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bJP2jTAAAAAwEAAA8AAAAAAAAAAQAgAAAAIgAAAGRycy9kb3ducmV2Lnht&#10;bFBLAQIUABQAAAAIAIdO4kDV7MR4xQEAAI0DAAAOAAAAAAAAAAEAIAAAACIBAABkcnMvZTJvRG9j&#10;LnhtbFBLBQYAAAAABgAGAFkBAABZBQAAAAA=&#10;">
              <v:path/>
              <v:fill on="f" focussize="0,0"/>
              <v:stroke on="f"/>
              <v:imagedata o:title=""/>
              <o:lock v:ext="edit" aspectratio="f"/>
              <v:textbox inset="0mm,0mm,0mm,0mm">
                <w:txbxContent>
                  <w:p w14:paraId="35C5EE3F">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51</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6844">
    <w:pPr>
      <w:pStyle w:val="9"/>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692DB864">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57</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sk/aNMAAAADAQAADwAAAAAAAAAB&#10;ACAAAAAiAAAAZHJzL2Rvd25yZXYueG1sUEsBAhQAFAAAAAgAh07iQDG0XgzcAQAAsgMAAA4AAAAA&#10;AAAAAQAgAAAAIgEAAGRycy9lMm9Eb2MueG1sUEsFBgAAAAAGAAYAWQEAAHAFAAAAAA==&#10;">
              <v:path/>
              <v:fill on="f" focussize="0,0"/>
              <v:stroke on="f"/>
              <v:imagedata o:title=""/>
              <o:lock v:ext="edit" aspectratio="f"/>
              <v:textbox inset="0mm,0mm,0mm,0mm">
                <w:txbxContent>
                  <w:p w14:paraId="692DB864">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57</w:t>
                    </w:r>
                    <w:r>
                      <w:rPr>
                        <w:rFonts w:ascii="Calibri" w:hAnsi="Calibri" w:eastAsia="Calibri"/>
                        <w:w w:val="99"/>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DE8C">
    <w:pPr>
      <w:pStyle w:val="9"/>
      <w:kinsoku w:val="0"/>
      <w:overflowPunct w:val="0"/>
      <w:spacing w:line="14" w:lineRule="auto"/>
      <w:ind w:left="0"/>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66F25C17">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64</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sk/aNMAAAADAQAADwAAAAAAAAAB&#10;ACAAAAAiAAAAZHJzL2Rvd25yZXYueG1sUEsBAhQAFAAAAAgAh07iQI4Cs/7cAQAAsgMAAA4AAAAA&#10;AAAAAQAgAAAAIgEAAGRycy9lMm9Eb2MueG1sUEsFBgAAAAAGAAYAWQEAAHAFAAAAAA==&#10;">
              <v:path/>
              <v:fill on="f" focussize="0,0"/>
              <v:stroke on="f"/>
              <v:imagedata o:title=""/>
              <o:lock v:ext="edit" aspectratio="f"/>
              <v:textbox inset="0mm,0mm,0mm,0mm">
                <w:txbxContent>
                  <w:p w14:paraId="66F25C17">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64</w:t>
                    </w:r>
                    <w:r>
                      <w:rPr>
                        <w:rFonts w:ascii="Calibri" w:hAnsi="Calibri" w:eastAsia="Calibri"/>
                        <w:w w:val="99"/>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C035">
    <w:pPr>
      <w:pStyle w:val="9"/>
      <w:kinsoku w:val="0"/>
      <w:overflowPunct w:val="0"/>
      <w:spacing w:line="14" w:lineRule="auto"/>
      <w:ind w:left="0"/>
      <w:rPr>
        <w:sz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1178B765">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65</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7155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yT9o0wAAAAMBAAAPAAAAAAAAAAEAIAAAACIAAABkcnMvZG93bnJldi54&#10;bWxQSwECFAAUAAAACACHTuJAGvzAR8YBAACPAwAADgAAAAAAAAABACAAAAAiAQAAZHJzL2Uyb0Rv&#10;Yy54bWxQSwUGAAAAAAYABgBZAQAAWgUAAAAA&#10;">
              <v:path/>
              <v:fill on="f" focussize="0,0"/>
              <v:stroke on="f"/>
              <v:imagedata o:title=""/>
              <o:lock v:ext="edit" aspectratio="f"/>
              <v:textbox inset="0mm,0mm,0mm,0mm">
                <w:txbxContent>
                  <w:p w14:paraId="1178B765">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65</w:t>
                    </w:r>
                    <w:r>
                      <w:rPr>
                        <w:rFonts w:ascii="Calibri" w:hAnsi="Calibri" w:eastAsia="Calibri"/>
                        <w:w w:val="99"/>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A6EF">
    <w:pPr>
      <w:pStyle w:val="9"/>
      <w:kinsoku w:val="0"/>
      <w:overflowPunct w:val="0"/>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179110">
                          <w:pPr>
                            <w:pStyle w:val="12"/>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Dw8CUOIBAADMAwAADgAA&#10;AAAAAAABACAAAAAeAQAAZHJzL2Uyb0RvYy54bWxQSwUGAAAAAAYABgBZAQAAcgUAAAAA&#10;">
              <v:path/>
              <v:fill on="f" focussize="0,0"/>
              <v:stroke on="f"/>
              <v:imagedata o:title=""/>
              <o:lock v:ext="edit" aspectratio="f"/>
              <v:textbox inset="0mm,0mm,0mm,0mm" style="mso-fit-shape-to-text:t;">
                <w:txbxContent>
                  <w:p w14:paraId="26179110">
                    <w:pPr>
                      <w:pStyle w:val="12"/>
                    </w:pPr>
                    <w:r>
                      <w:fldChar w:fldCharType="begin"/>
                    </w:r>
                    <w:r>
                      <w:instrText xml:space="preserve"> PAGE  \* MERGEFORMAT </w:instrText>
                    </w:r>
                    <w:r>
                      <w:fldChar w:fldCharType="separate"/>
                    </w:r>
                    <w:r>
                      <w:t>66</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a:effectLst/>
                    </wps:spPr>
                    <wps:txbx>
                      <w:txbxContent>
                        <w:p w14:paraId="672D9DF1">
                          <w:pPr>
                            <w:pStyle w:val="9"/>
                            <w:kinsoku w:val="0"/>
                            <w:overflowPunct w:val="0"/>
                            <w:spacing w:line="203" w:lineRule="exact"/>
                            <w:ind w:left="20"/>
                            <w:rPr>
                              <w:rFonts w:ascii="Calibri" w:hAnsi="Calibri" w:eastAsia="Calibri"/>
                              <w:sz w:val="18"/>
                            </w:rPr>
                          </w:pPr>
                          <w:r>
                            <w:rPr>
                              <w:rFonts w:ascii="Calibri" w:hAnsi="Calibri" w:eastAsia="Calibri"/>
                              <w:spacing w:val="-1"/>
                              <w:w w:val="99"/>
                              <w:sz w:val="18"/>
                            </w:rPr>
                            <w:t>80</w:t>
                          </w:r>
                        </w:p>
                      </w:txbxContent>
                    </wps:txbx>
                    <wps:bodyPr vert="horz" wrap="square" lIns="0" tIns="0" rIns="0" bIns="0" upright="1"/>
                  </wps:wsp>
                </a:graphicData>
              </a:graphic>
            </wp:anchor>
          </w:drawing>
        </mc:Choice>
        <mc:Fallback>
          <w:pict>
            <v:shape id="_x0000_s1026" o:spid="_x0000_s1026" o:spt="202" type="#_x0000_t202" style="position:absolute;left:0pt;margin-left:300.5pt;margin-top:734.95pt;height:11pt;width:11.15pt;mso-position-horizontal-relative:page;mso-position-vertical-relative:page;z-index:-251657216;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2yQofaAAAADQEAAA8AAAAAAAAAAQAgAAAA&#10;IgAAAGRycy9kb3ducmV2LnhtbFBLAQIUABQAAAAIAIdO4kCGOQ2V0AEAAJkDAAAOAAAAAAAAAAEA&#10;IAAAACkBAABkcnMvZTJvRG9jLnhtbFBLBQYAAAAABgAGAFkBAABrBQAAAAA=&#10;">
              <v:path/>
              <v:fill on="f" focussize="0,0"/>
              <v:stroke on="f"/>
              <v:imagedata o:title=""/>
              <o:lock v:ext="edit" aspectratio="f"/>
              <v:textbox inset="0mm,0mm,0mm,0mm">
                <w:txbxContent>
                  <w:p w14:paraId="672D9DF1">
                    <w:pPr>
                      <w:pStyle w:val="9"/>
                      <w:kinsoku w:val="0"/>
                      <w:overflowPunct w:val="0"/>
                      <w:spacing w:line="203" w:lineRule="exact"/>
                      <w:ind w:left="20"/>
                      <w:rPr>
                        <w:rFonts w:ascii="Calibri" w:hAnsi="Calibri" w:eastAsia="Calibri"/>
                        <w:sz w:val="18"/>
                      </w:rPr>
                    </w:pPr>
                    <w:r>
                      <w:rPr>
                        <w:rFonts w:ascii="Calibri" w:hAnsi="Calibri" w:eastAsia="Calibri"/>
                        <w:spacing w:val="-1"/>
                        <w:w w:val="99"/>
                        <w:sz w:val="18"/>
                      </w:rPr>
                      <w:t>80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30B2">
    <w:pPr>
      <w:pStyle w:val="9"/>
      <w:kinsoku w:val="0"/>
      <w:overflowPunct w:val="0"/>
      <w:spacing w:line="14" w:lineRule="auto"/>
      <w:ind w:left="0"/>
      <w:rPr>
        <w:sz w:val="20"/>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14:paraId="174811DA">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67</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_x0000_s1026" o:spid="_x0000_s1026" o:spt="202" type="#_x0000_t202" style="position:absolute;left:0pt;margin-top:0pt;height:11pt;width:13.15pt;mso-position-horizontal:center;mso-position-horizontal-relative:margin;z-index:25167052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bJP2jTAAAAAwEAAA8AAAAAAAAAAQAgAAAAIgAAAGRycy9kb3ducmV2Lnht&#10;bFBLAQIUABQAAAAIAIdO4kDB0rU5xQEAAI8DAAAOAAAAAAAAAAEAIAAAACIBAABkcnMvZTJvRG9j&#10;LnhtbFBLBQYAAAAABgAGAFkBAABZBQAAAAA=&#10;">
              <v:path/>
              <v:fill on="f" focussize="0,0"/>
              <v:stroke on="f"/>
              <v:imagedata o:title=""/>
              <o:lock v:ext="edit" aspectratio="f"/>
              <v:textbox inset="0mm,0mm,0mm,0mm">
                <w:txbxContent>
                  <w:p w14:paraId="174811DA">
                    <w:pPr>
                      <w:pStyle w:val="9"/>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67</w:t>
                    </w:r>
                    <w:r>
                      <w:rPr>
                        <w:rFonts w:ascii="Calibri" w:hAnsi="Calibri" w:eastAsia="Calibri"/>
                        <w:w w:val="99"/>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621E">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99E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916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D552">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E19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6EE5D">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C359">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D049">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1D0F">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5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rPr>
  </w:style>
  <w:style w:type="paragraph" w:styleId="3">
    <w:name w:val="heading 2"/>
    <w:basedOn w:val="2"/>
    <w:next w:val="1"/>
    <w:unhideWhenUsed/>
    <w:qFormat/>
    <w:uiPriority w:val="1"/>
    <w:pPr>
      <w:outlineLvl w:val="1"/>
    </w:pPr>
    <w:rPr>
      <w:rFonts w:hint="default" w:ascii="宋体" w:hAnsi="宋体" w:eastAsia="宋体"/>
      <w:sz w:val="30"/>
    </w:rPr>
  </w:style>
  <w:style w:type="paragraph" w:styleId="4">
    <w:name w:val="heading 3"/>
    <w:basedOn w:val="1"/>
    <w:next w:val="1"/>
    <w:unhideWhenUsed/>
    <w:qFormat/>
    <w:uiPriority w:val="1"/>
    <w:pPr>
      <w:spacing w:before="50" w:beforeLines="50" w:after="50" w:afterLines="50" w:line="360" w:lineRule="auto"/>
      <w:outlineLvl w:val="2"/>
    </w:pPr>
    <w:rPr>
      <w:rFonts w:ascii="宋体" w:hAnsi="宋体"/>
      <w:b/>
    </w:rPr>
  </w:style>
  <w:style w:type="paragraph" w:styleId="5">
    <w:name w:val="heading 4"/>
    <w:basedOn w:val="1"/>
    <w:next w:val="1"/>
    <w:unhideWhenUsed/>
    <w:qFormat/>
    <w:uiPriority w:val="1"/>
    <w:pPr>
      <w:outlineLvl w:val="3"/>
    </w:pPr>
    <w:rPr>
      <w:rFonts w:ascii="宋体" w:hAnsi="宋体"/>
      <w:sz w:val="28"/>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unhideWhenUsed/>
    <w:qFormat/>
    <w:uiPriority w:val="99"/>
  </w:style>
  <w:style w:type="paragraph" w:styleId="8">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9">
    <w:name w:val="Body Text"/>
    <w:basedOn w:val="1"/>
    <w:unhideWhenUsed/>
    <w:qFormat/>
    <w:uiPriority w:val="1"/>
    <w:pPr>
      <w:ind w:left="520"/>
    </w:pPr>
    <w:rPr>
      <w:rFonts w:ascii="宋体" w:hAnsi="宋体"/>
      <w:sz w:val="21"/>
    </w:rPr>
  </w:style>
  <w:style w:type="paragraph" w:styleId="10">
    <w:name w:val="Plain Text"/>
    <w:basedOn w:val="1"/>
    <w:next w:val="11"/>
    <w:unhideWhenUsed/>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footer"/>
    <w:basedOn w:val="1"/>
    <w:unhideWhenUsed/>
    <w:qFormat/>
    <w:uiPriority w:val="99"/>
    <w:pPr>
      <w:tabs>
        <w:tab w:val="center" w:pos="4153"/>
        <w:tab w:val="right" w:pos="8306"/>
      </w:tabs>
      <w:snapToGrid w:val="0"/>
    </w:pPr>
    <w:rPr>
      <w:sz w:val="18"/>
    </w:rPr>
  </w:style>
  <w:style w:type="paragraph" w:styleId="13">
    <w:name w:val="header"/>
    <w:basedOn w:val="1"/>
    <w:unhideWhenUsed/>
    <w:qFormat/>
    <w:uiPriority w:val="99"/>
    <w:pPr>
      <w:tabs>
        <w:tab w:val="center" w:pos="4153"/>
        <w:tab w:val="right" w:pos="8306"/>
      </w:tabs>
      <w:snapToGrid w:val="0"/>
      <w:jc w:val="both"/>
    </w:pPr>
    <w:rPr>
      <w:sz w:val="18"/>
    </w:rPr>
  </w:style>
  <w:style w:type="paragraph" w:styleId="14">
    <w:name w:val="toc 1"/>
    <w:basedOn w:val="1"/>
    <w:next w:val="1"/>
    <w:qFormat/>
    <w:uiPriority w:val="99"/>
  </w:style>
  <w:style w:type="paragraph" w:styleId="15">
    <w:name w:val="toc 2"/>
    <w:basedOn w:val="1"/>
    <w:next w:val="1"/>
    <w:qFormat/>
    <w:uiPriority w:val="99"/>
    <w:pPr>
      <w:ind w:left="420" w:leftChars="200"/>
    </w:pPr>
  </w:style>
  <w:style w:type="paragraph" w:styleId="16">
    <w:name w:val="Normal (Web)"/>
    <w:basedOn w:val="1"/>
    <w:unhideWhenUsed/>
    <w:qFormat/>
    <w:uiPriority w:val="99"/>
    <w:pPr>
      <w:widowControl/>
      <w:spacing w:before="100" w:beforeAutospacing="1" w:after="100" w:afterAutospacing="1"/>
    </w:pPr>
    <w:rPr>
      <w:rFonts w:hint="eastAsia" w:eastAsia="Times New Roman"/>
    </w:rPr>
  </w:style>
  <w:style w:type="paragraph" w:styleId="17">
    <w:name w:val="Body Text First Indent"/>
    <w:basedOn w:val="9"/>
    <w:unhideWhenUsed/>
    <w:qFormat/>
    <w:uiPriority w:val="0"/>
    <w:pPr>
      <w:ind w:firstLine="420"/>
    </w:pPr>
    <w:rPr>
      <w:rFonts w:hint="eastAsia" w:ascii="Times New Roman" w:hAnsi="Times New Roman" w:eastAsia="楷体_GB2312"/>
      <w:sz w:val="20"/>
    </w:rPr>
  </w:style>
  <w:style w:type="paragraph" w:customStyle="1" w:styleId="2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1">
    <w:name w:val="p0"/>
    <w:basedOn w:val="1"/>
    <w:unhideWhenUsed/>
    <w:qFormat/>
    <w:uiPriority w:val="0"/>
    <w:pPr>
      <w:widowControl/>
      <w:spacing w:before="75" w:after="75"/>
    </w:pPr>
    <w:rPr>
      <w:rFonts w:ascii="宋体" w:hAnsi="宋体" w:cs="宋体"/>
    </w:rPr>
  </w:style>
  <w:style w:type="paragraph" w:customStyle="1" w:styleId="22">
    <w:name w:val="Table Paragraph"/>
    <w:basedOn w:val="1"/>
    <w:unhideWhenUsed/>
    <w:qFormat/>
    <w:uiPriority w:val="1"/>
  </w:style>
  <w:style w:type="character" w:customStyle="1" w:styleId="23">
    <w:name w:val="NormalCharacter"/>
    <w:unhideWhenUsed/>
    <w:qFormat/>
    <w:uiPriority w:val="0"/>
    <w:rPr>
      <w:rFonts w:hint="default"/>
      <w:sz w:val="24"/>
      <w:szCs w:val="24"/>
    </w:rPr>
  </w:style>
  <w:style w:type="paragraph" w:customStyle="1" w:styleId="24">
    <w:name w:val="正文缩进1"/>
    <w:basedOn w:val="25"/>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25">
    <w:name w:val="正文1"/>
    <w:basedOn w:val="1"/>
    <w:unhideWhenUsed/>
    <w:qFormat/>
    <w:uiPriority w:val="0"/>
    <w:pPr>
      <w:spacing w:line="240" w:lineRule="atLeast"/>
      <w:jc w:val="center"/>
      <w:textAlignment w:val="baseline"/>
    </w:pPr>
    <w:rPr>
      <w:rFonts w:ascii="Tahoma" w:hAnsi="Tahoma"/>
    </w:rPr>
  </w:style>
  <w:style w:type="paragraph" w:customStyle="1" w:styleId="26">
    <w:name w:val="样式 宋体 行距: 1.5 倍行距"/>
    <w:basedOn w:val="1"/>
    <w:unhideWhenUsed/>
    <w:qFormat/>
    <w:uiPriority w:val="0"/>
    <w:pPr>
      <w:jc w:val="center"/>
    </w:pPr>
    <w:rPr>
      <w:b/>
    </w:rPr>
  </w:style>
  <w:style w:type="paragraph" w:customStyle="1" w:styleId="27">
    <w:name w:val="文一"/>
    <w:basedOn w:val="1"/>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28">
    <w:name w:val="发文落款"/>
    <w:basedOn w:val="29"/>
    <w:unhideWhenUsed/>
    <w:qFormat/>
    <w:uiPriority w:val="99"/>
    <w:pPr>
      <w:tabs>
        <w:tab w:val="left" w:pos="1260"/>
        <w:tab w:val="left" w:pos="6030"/>
        <w:tab w:val="left" w:pos="6720"/>
      </w:tabs>
      <w:ind w:left="4094" w:right="607" w:firstLine="0"/>
      <w:jc w:val="center"/>
    </w:pPr>
    <w:rPr>
      <w:rFonts w:cs="仿宋_GB2312"/>
      <w:szCs w:val="32"/>
    </w:rPr>
  </w:style>
  <w:style w:type="paragraph" w:customStyle="1" w:styleId="29">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2025-09-15T01:30:21Z</dcterms:created>
  <dc:creator>thinkpad</dc:creator>
  <cp:lastModifiedBy>阿生</cp:lastModifiedBy>
  <dcterms:modified xsi:type="dcterms:W3CDTF">2025-09-15T01:31:05Z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eyJoZGlkIjoiYjVhOWQ0OWM5YzNjZmE0ZmY2MDEyZTQ0ZmZiZmMxM2EiLCJ1c2VySWQiOiI3NTM3MTIxNjIifQ==</vt:lpwstr>
  </property>
  <property fmtid="{D5CDD505-2E9C-101B-9397-08002B2CF9AE}" pid="4" name="ICV">
    <vt:lpwstr>F7AB9DD04094475DA155B9BCF0DF4511_12</vt:lpwstr>
  </property>
</Properties>
</file>