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jc w:val="center"/>
        <w:outlineLvl w:val="1"/>
        <w:rPr>
          <w:rFonts w:ascii="宋体" w:hAnsi="宋体" w:eastAsia="宋体" w:cs="宋体"/>
          <w:color w:val="auto"/>
          <w:sz w:val="32"/>
          <w:szCs w:val="32"/>
          <w:highlight w:val="none"/>
          <w:lang w:eastAsia="zh-CN"/>
        </w:rPr>
      </w:pPr>
      <w:bookmarkStart w:id="1" w:name="_GoBack"/>
      <w:r>
        <w:rPr>
          <w:rFonts w:ascii="宋体" w:hAnsi="宋体" w:eastAsia="宋体" w:cs="宋体"/>
          <w:b/>
          <w:color w:val="auto"/>
          <w:sz w:val="32"/>
          <w:szCs w:val="32"/>
          <w:highlight w:val="none"/>
        </w:rPr>
        <w:t>第</w:t>
      </w:r>
      <w:r>
        <w:rPr>
          <w:rFonts w:ascii="宋体" w:hAnsi="宋体" w:eastAsia="宋体" w:cs="宋体"/>
          <w:b/>
          <w:color w:val="auto"/>
          <w:sz w:val="32"/>
          <w:szCs w:val="32"/>
          <w:highlight w:val="none"/>
          <w:lang w:eastAsia="zh-CN"/>
        </w:rPr>
        <w:t>五</w:t>
      </w:r>
      <w:r>
        <w:rPr>
          <w:rFonts w:ascii="宋体" w:hAnsi="宋体" w:eastAsia="宋体" w:cs="宋体"/>
          <w:b/>
          <w:color w:val="auto"/>
          <w:sz w:val="32"/>
          <w:szCs w:val="32"/>
          <w:highlight w:val="none"/>
        </w:rPr>
        <w:t xml:space="preserve">章 </w:t>
      </w:r>
      <w:r>
        <w:rPr>
          <w:rFonts w:ascii="宋体" w:hAnsi="宋体" w:eastAsia="宋体" w:cs="宋体"/>
          <w:b/>
          <w:color w:val="auto"/>
          <w:sz w:val="32"/>
          <w:szCs w:val="32"/>
          <w:highlight w:val="none"/>
          <w:lang w:eastAsia="zh-CN"/>
        </w:rPr>
        <w:t>用户</w:t>
      </w:r>
      <w:r>
        <w:rPr>
          <w:rFonts w:ascii="宋体" w:hAnsi="宋体" w:eastAsia="宋体" w:cs="宋体"/>
          <w:b/>
          <w:color w:val="auto"/>
          <w:sz w:val="32"/>
          <w:szCs w:val="32"/>
          <w:highlight w:val="none"/>
        </w:rPr>
        <w:t>需求</w:t>
      </w:r>
      <w:r>
        <w:rPr>
          <w:rFonts w:ascii="宋体" w:hAnsi="宋体" w:eastAsia="宋体" w:cs="宋体"/>
          <w:b/>
          <w:color w:val="auto"/>
          <w:sz w:val="32"/>
          <w:szCs w:val="32"/>
          <w:highlight w:val="none"/>
          <w:lang w:eastAsia="zh-CN"/>
        </w:rPr>
        <w:t>书</w:t>
      </w:r>
    </w:p>
    <w:p>
      <w:pPr>
        <w:pStyle w:val="13"/>
        <w:spacing w:line="360" w:lineRule="auto"/>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一、项目概况：</w:t>
      </w:r>
    </w:p>
    <w:p>
      <w:pPr>
        <w:pStyle w:val="13"/>
        <w:spacing w:before="105" w:line="360" w:lineRule="auto"/>
        <w:jc w:val="both"/>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（一）</w:t>
      </w:r>
      <w:r>
        <w:rPr>
          <w:rFonts w:ascii="宋体" w:hAnsi="宋体" w:eastAsia="宋体" w:cs="宋体"/>
          <w:b/>
          <w:color w:val="auto"/>
          <w:sz w:val="24"/>
          <w:szCs w:val="24"/>
          <w:highlight w:val="none"/>
        </w:rPr>
        <w:t>项目名称：罗定市公共智慧停车项目</w:t>
      </w:r>
      <w:r>
        <w:rPr>
          <w:rFonts w:ascii="宋体" w:hAnsi="宋体" w:eastAsia="宋体" w:cs="宋体"/>
          <w:b/>
          <w:color w:val="auto"/>
          <w:sz w:val="24"/>
          <w:szCs w:val="24"/>
          <w:highlight w:val="none"/>
          <w:lang w:eastAsia="zh-CN"/>
        </w:rPr>
        <w:t>设备</w:t>
      </w:r>
    </w:p>
    <w:p>
      <w:pPr>
        <w:pStyle w:val="13"/>
        <w:spacing w:line="360" w:lineRule="auto"/>
        <w:rPr>
          <w:rFonts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（二）</w:t>
      </w:r>
      <w:r>
        <w:rPr>
          <w:rFonts w:ascii="宋体" w:hAnsi="宋体" w:eastAsia="宋体" w:cs="宋体"/>
          <w:b/>
          <w:color w:val="auto"/>
          <w:sz w:val="24"/>
          <w:szCs w:val="24"/>
          <w:highlight w:val="none"/>
        </w:rPr>
        <w:t>项目背景</w:t>
      </w:r>
    </w:p>
    <w:p>
      <w:pPr>
        <w:pStyle w:val="13"/>
        <w:spacing w:line="360" w:lineRule="auto"/>
        <w:ind w:firstLine="482"/>
        <w:jc w:val="both"/>
        <w:rPr>
          <w:rFonts w:ascii="宋体" w:hAnsi="宋体" w:eastAsia="宋体" w:cs="宋体"/>
          <w:b/>
          <w:color w:val="auto"/>
          <w:sz w:val="24"/>
          <w:szCs w:val="24"/>
          <w:highlight w:val="none"/>
        </w:rPr>
      </w:pPr>
      <w:r>
        <w:rPr>
          <w:rFonts w:ascii="宋体" w:hAnsi="宋体" w:eastAsia="宋体" w:cs="宋体"/>
          <w:bCs/>
          <w:color w:val="auto"/>
          <w:sz w:val="24"/>
          <w:szCs w:val="24"/>
          <w:highlight w:val="none"/>
        </w:rPr>
        <w:t>随着罗定市经济的快速发展，城市建设的突飞猛进及机动车保有量和交通出行量的急剧增加，使得罗定市的交通现状矛盾日益突出。有些重要路段、路口出现了不同程度的交通拥堵，交通供需矛盾日益突出，市民反映强烈。由于停车设施规划建设和停车信息化技术等滞后，停车管理难度大，城区“停车难、停车乱”的问题开始显露，极大地影响罗定市城市交通和城区建设的可持续发展。提升罗定市智慧停车管理水平，进一步加强机动车与非机动车的停车管理，缓解交通拥堵，营造整洁有序的市容环境，日益成为亟需解决的问题。在罗定市城区投资建设和实施智慧停车项目，建成一个技术领先、收费规范、便民惠民、便快捷、低碳环保、资源共享、高效创新的城市智慧停车系统，缓解停车难、乱停车的现状。实现停车位信息的充分共享、实时监控、动静态管理，达到停车供需矛盾平衡、停车秩序良好、道路交通顺畅，提高公共停车服务的社会效益和经济效益。</w:t>
      </w:r>
    </w:p>
    <w:p>
      <w:pPr>
        <w:pStyle w:val="13"/>
        <w:spacing w:line="360" w:lineRule="auto"/>
        <w:jc w:val="both"/>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（三）</w:t>
      </w:r>
      <w:r>
        <w:rPr>
          <w:rFonts w:ascii="宋体" w:hAnsi="宋体" w:eastAsia="宋体" w:cs="宋体"/>
          <w:b/>
          <w:color w:val="auto"/>
          <w:sz w:val="24"/>
          <w:szCs w:val="24"/>
          <w:highlight w:val="none"/>
        </w:rPr>
        <w:t>项目</w:t>
      </w:r>
      <w:r>
        <w:rPr>
          <w:rFonts w:ascii="宋体" w:hAnsi="宋体" w:eastAsia="宋体" w:cs="宋体"/>
          <w:b/>
          <w:color w:val="auto"/>
          <w:sz w:val="24"/>
          <w:szCs w:val="24"/>
          <w:highlight w:val="none"/>
          <w:lang w:eastAsia="zh-CN"/>
        </w:rPr>
        <w:t>概况</w:t>
      </w:r>
    </w:p>
    <w:p>
      <w:pPr>
        <w:spacing w:line="360" w:lineRule="auto"/>
        <w:rPr>
          <w:rFonts w:hint="eastAsia" w:ascii="宋体" w:hAnsi="宋体" w:cs="宋体"/>
          <w:b/>
          <w:bCs/>
          <w:color w:val="auto"/>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bCs/>
          <w:color w:val="auto"/>
          <w:sz w:val="24"/>
          <w:szCs w:val="24"/>
          <w:highlight w:val="none"/>
        </w:rPr>
        <w:t>建设目标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了缓解市民车位难找及停车难问题，拟定在罗定市进行智能化改造，包含路侧车位、零散车位、公共停车场车位。本项目设计搭建完善的后台管理控制平台，对泊位、停车场、定价策略、停车缴费、信息服务实行统一管理。以泊位全面共享为业务应用核心，通过互联网把碎片化的泊位资源连接起来，打破信息孤岛；解决泊位总量缺口大，泊位空置率高的矛盾。通过实时监控和数据分析合理地安排引导停车，提高停车设施泊位利用率，促使停车设施利用均衡化，减少违规停车现象，减少排队等待，减少驾驶员寻找停车泊位的时间，缓解因停车导致交通阻塞，实现交通信息化管理。</w:t>
      </w:r>
    </w:p>
    <w:p>
      <w:pPr>
        <w:spacing w:line="360" w:lineRule="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2.建设内容</w:t>
      </w:r>
    </w:p>
    <w:p>
      <w:pPr>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本项目的停车位参考以下清单表，具体实施点位以罗定市颁布的停车专项规划文件为准，并结合项目现场实际情况进行建设。</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b/>
          <w:color w:val="auto"/>
          <w:kern w:val="0"/>
          <w:sz w:val="24"/>
          <w:szCs w:val="24"/>
          <w:highlight w:val="none"/>
        </w:rPr>
        <w:t>2.1</w:t>
      </w:r>
      <w:r>
        <w:rPr>
          <w:rFonts w:hint="eastAsia" w:ascii="宋体" w:hAnsi="宋体" w:cs="宋体"/>
          <w:color w:val="auto"/>
          <w:sz w:val="24"/>
          <w:szCs w:val="24"/>
          <w:highlight w:val="none"/>
        </w:rPr>
        <w:t>本项目建设内容如下：</w:t>
      </w:r>
    </w:p>
    <w:tbl>
      <w:tblPr>
        <w:tblStyle w:val="9"/>
        <w:tblW w:w="4998" w:type="pct"/>
        <w:tblInd w:w="0" w:type="dxa"/>
        <w:tblLayout w:type="autofit"/>
        <w:tblCellMar>
          <w:top w:w="0" w:type="dxa"/>
          <w:left w:w="108" w:type="dxa"/>
          <w:bottom w:w="0" w:type="dxa"/>
          <w:right w:w="108" w:type="dxa"/>
        </w:tblCellMar>
      </w:tblPr>
      <w:tblGrid>
        <w:gridCol w:w="1082"/>
        <w:gridCol w:w="1639"/>
        <w:gridCol w:w="1513"/>
        <w:gridCol w:w="5616"/>
      </w:tblGrid>
      <w:tr>
        <w:trPr>
          <w:trHeight w:val="703" w:hRule="atLeast"/>
          <w:tblHeader/>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序号</w:t>
            </w:r>
          </w:p>
        </w:tc>
        <w:tc>
          <w:tcPr>
            <w:tcW w:w="83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系统名称</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功能模块</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功能说明</w:t>
            </w:r>
          </w:p>
        </w:tc>
      </w:tr>
      <w:tr>
        <w:tblPrEx>
          <w:tblCellMar>
            <w:top w:w="0" w:type="dxa"/>
            <w:left w:w="108" w:type="dxa"/>
            <w:bottom w:w="0" w:type="dxa"/>
            <w:right w:w="108" w:type="dxa"/>
          </w:tblCellMar>
        </w:tblPrEx>
        <w:trPr>
          <w:trHeight w:val="336"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832"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智慧停车管理系统</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前端智慧停车系统</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泊位规划：在罗定市各街镇所属路段的建设停车泊位7108个及其配套泊位标志、标线、标牌、停车收费标识牌等。</w:t>
            </w:r>
          </w:p>
        </w:tc>
      </w:tr>
      <w:tr>
        <w:tblPrEx>
          <w:tblCellMar>
            <w:top w:w="0" w:type="dxa"/>
            <w:left w:w="108" w:type="dxa"/>
            <w:bottom w:w="0" w:type="dxa"/>
            <w:right w:w="108" w:type="dxa"/>
          </w:tblCellMar>
        </w:tblPrEx>
        <w:trPr>
          <w:trHeight w:val="287"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83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hint="eastAsia" w:ascii="宋体" w:hAnsi="宋体" w:cs="宋体"/>
                <w:b/>
                <w:bCs/>
                <w:color w:val="auto"/>
                <w:sz w:val="24"/>
                <w:szCs w:val="24"/>
                <w:highlight w:val="none"/>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城市级智慧停车云平台</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rPr>
              <w:tab/>
            </w:r>
            <w:r>
              <w:rPr>
                <w:rFonts w:hint="eastAsia" w:ascii="宋体" w:hAnsi="宋体" w:cs="宋体"/>
                <w:color w:val="auto"/>
                <w:sz w:val="24"/>
                <w:szCs w:val="24"/>
                <w:highlight w:val="none"/>
              </w:rPr>
              <w:t>城市级智慧停车综合管理系统</w:t>
            </w:r>
          </w:p>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rPr>
              <w:tab/>
            </w:r>
            <w:r>
              <w:rPr>
                <w:rFonts w:hint="eastAsia" w:ascii="宋体" w:hAnsi="宋体" w:cs="宋体"/>
                <w:color w:val="auto"/>
                <w:sz w:val="24"/>
                <w:szCs w:val="24"/>
                <w:highlight w:val="none"/>
              </w:rPr>
              <w:t>城市级智慧停车巡检端软件</w:t>
            </w:r>
          </w:p>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tab/>
            </w:r>
            <w:r>
              <w:rPr>
                <w:rFonts w:hint="eastAsia" w:ascii="宋体" w:hAnsi="宋体" w:cs="宋体"/>
                <w:color w:val="auto"/>
                <w:sz w:val="24"/>
                <w:szCs w:val="24"/>
                <w:highlight w:val="none"/>
              </w:rPr>
              <w:t>城市级智慧停车指挥调度系统</w:t>
            </w:r>
          </w:p>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rPr>
              <w:tab/>
            </w:r>
            <w:r>
              <w:rPr>
                <w:rFonts w:hint="eastAsia" w:ascii="宋体" w:hAnsi="宋体" w:cs="宋体"/>
                <w:color w:val="auto"/>
                <w:sz w:val="24"/>
                <w:szCs w:val="24"/>
                <w:highlight w:val="none"/>
              </w:rPr>
              <w:t>车主端应用软件</w:t>
            </w:r>
          </w:p>
        </w:tc>
      </w:tr>
      <w:tr>
        <w:tblPrEx>
          <w:tblCellMar>
            <w:top w:w="0" w:type="dxa"/>
            <w:left w:w="108" w:type="dxa"/>
            <w:bottom w:w="0" w:type="dxa"/>
            <w:right w:w="108" w:type="dxa"/>
          </w:tblCellMar>
        </w:tblPrEx>
        <w:trPr>
          <w:trHeight w:val="1160"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832"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智慧停车视频监控系统</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前端系统</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在罗定市的道路借用立杆建设114个视频监控点。前端设备包括104个400万全彩定焦枪型网络摄像机、10个400万合智能柔光网络球机以及设备箱、4口交换机、漏电重合闸、借杆支架、线材、取电等相关配套设备及安装服务。</w:t>
            </w:r>
          </w:p>
        </w:tc>
      </w:tr>
      <w:tr>
        <w:tblPrEx>
          <w:tblCellMar>
            <w:top w:w="0" w:type="dxa"/>
            <w:left w:w="108" w:type="dxa"/>
            <w:bottom w:w="0" w:type="dxa"/>
            <w:right w:w="108" w:type="dxa"/>
          </w:tblCellMar>
        </w:tblPrEx>
        <w:trPr>
          <w:trHeight w:val="600"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83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hint="eastAsia" w:ascii="宋体" w:hAnsi="宋体" w:cs="宋体"/>
                <w:b/>
                <w:bCs/>
                <w:color w:val="auto"/>
                <w:sz w:val="24"/>
                <w:szCs w:val="24"/>
                <w:highlight w:val="none"/>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传输系统</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114条传输线路，将前端数据进行回传。</w:t>
            </w:r>
          </w:p>
        </w:tc>
      </w:tr>
      <w:tr>
        <w:tblPrEx>
          <w:tblCellMar>
            <w:top w:w="0" w:type="dxa"/>
            <w:left w:w="108" w:type="dxa"/>
            <w:bottom w:w="0" w:type="dxa"/>
            <w:right w:w="108" w:type="dxa"/>
          </w:tblCellMar>
        </w:tblPrEx>
        <w:trPr>
          <w:trHeight w:val="1160"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83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hint="eastAsia" w:ascii="宋体" w:hAnsi="宋体" w:cs="宋体"/>
                <w:b/>
                <w:bCs/>
                <w:color w:val="auto"/>
                <w:sz w:val="24"/>
                <w:szCs w:val="24"/>
                <w:highlight w:val="none"/>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后端系统</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配套综合安防管理平台及相关硬件设备，实现视频数据存储不少于30天，出现状况时能够通过录像追溯，为停车逃费的追缴提供有力保障。</w:t>
            </w:r>
          </w:p>
        </w:tc>
      </w:tr>
    </w:tbl>
    <w:p>
      <w:pPr>
        <w:spacing w:line="360" w:lineRule="auto"/>
        <w:rPr>
          <w:rFonts w:hint="eastAsia" w:ascii="宋体" w:hAnsi="宋体" w:cs="宋体"/>
          <w:color w:val="auto"/>
          <w:sz w:val="24"/>
          <w:szCs w:val="24"/>
          <w:highlight w:val="none"/>
        </w:rPr>
      </w:pPr>
      <w:r>
        <w:rPr>
          <w:rFonts w:hint="eastAsia" w:ascii="宋体" w:hAnsi="宋体" w:cs="宋体"/>
          <w:b/>
          <w:color w:val="auto"/>
          <w:kern w:val="0"/>
          <w:sz w:val="24"/>
          <w:szCs w:val="24"/>
          <w:highlight w:val="none"/>
        </w:rPr>
        <w:t>2.2</w:t>
      </w:r>
      <w:r>
        <w:rPr>
          <w:rFonts w:hint="eastAsia" w:ascii="宋体" w:hAnsi="宋体" w:cs="宋体"/>
          <w:color w:val="auto"/>
          <w:sz w:val="24"/>
          <w:szCs w:val="24"/>
          <w:highlight w:val="none"/>
        </w:rPr>
        <w:t>项目建设车位清单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439"/>
        <w:gridCol w:w="2631"/>
        <w:gridCol w:w="305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shd w:val="clear" w:color="000000" w:fill="FFFFFF"/>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罗定市公共停车位清单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730" w:type="pct"/>
            <w:shd w:val="clear" w:color="000000" w:fill="FFFFFF"/>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镇街</w:t>
            </w:r>
          </w:p>
        </w:tc>
        <w:tc>
          <w:tcPr>
            <w:tcW w:w="1335" w:type="pct"/>
            <w:shd w:val="clear" w:color="000000" w:fill="FFFFFF"/>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道路名称</w:t>
            </w:r>
          </w:p>
        </w:tc>
        <w:tc>
          <w:tcPr>
            <w:tcW w:w="1548" w:type="pct"/>
            <w:shd w:val="clear" w:color="000000" w:fill="FFFFFF"/>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可设置停车位地址</w:t>
            </w:r>
          </w:p>
        </w:tc>
        <w:tc>
          <w:tcPr>
            <w:tcW w:w="924" w:type="pct"/>
            <w:shd w:val="clear" w:color="000000" w:fill="FFFFFF"/>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设置数量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罗镜镇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S369省道及新城内街</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(路外辅道靠外侧)</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S369省道及新城内街</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(路外辅道靠外侧)</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西城路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西城路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东山园前路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东山园前路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大平镇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府前路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府前路(中小至镇水厂)</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城东大道</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一桥头至镇雕</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分界镇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二十四米街</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罗定市分界镇分界居委</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罗平镇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大东路、人民路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沿线商铺外停车位</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船步镇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开阳西路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甘步村开阳西路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朗塘镇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人民路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人民路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苹塘镇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苹塘圩街</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苹塘圩街</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金鸡镇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奔康路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金鸡镇居委奔康路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9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围底镇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彩虹大道</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围底圩正街</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沿江路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围底圩正街旁</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华石镇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二十米大街</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二十米大街</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华发西路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华发西路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华发东路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华发东路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华荔路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华荔路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11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替滨镇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迎宾路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替滨镇教办至退役军人</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事务办</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12 </w:t>
            </w:r>
          </w:p>
        </w:tc>
        <w:tc>
          <w:tcPr>
            <w:tcW w:w="730"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生江镇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生江圩</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S294旁</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13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黎少镇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广海西路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广海西路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广海东路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广海东路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14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连州镇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北街</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北街</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小西线</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小西线</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河堤路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河堤路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15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泗纶镇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广海中路、广海中路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S352泗纶圩镇段</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路营滨水公园周边道路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路营滨水公园周边道路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16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加益镇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人民广场周边道路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人民广场周边道路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双益桥至双益村委路段</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双益桥至双益村委路段</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17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龙湾镇</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广海北路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广海南路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广海南路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前进路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前进路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素龙街道</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龙信中路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龙信中路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龙信南路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龙信南路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朝阳路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朝阳路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龙信北路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龙信北路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聚龙大道</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聚龙大道</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国道324线</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(路外辅道靠外侧)</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迎宾路大花坛至素龙机</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场路口(路外辅道靠外</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侧 )</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素龙桥头红绿灯至原素</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龙碧桂园</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素龙桥头红绿灯至原素</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龙碧桂园</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富泰路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泰德广场边至环市南路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素龙街道平南、潭井村</w:t>
            </w:r>
          </w:p>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周边</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素龙街道平南、潭井村</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培献中学周边道路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培献中学周边道路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兴业二路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泷州中学至锦绣江南</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实验中学周边道路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实验中学周边道路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19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双东街道</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站前北路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站前北路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工业四路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工业四路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城东北路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城东北路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彭屋路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(服务中心门前)</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罗城街道</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环城西路、南路、东路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环城西路、南路、东路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龙华东路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泷州中学至万汇广场</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21 </w:t>
            </w:r>
          </w:p>
        </w:tc>
        <w:tc>
          <w:tcPr>
            <w:tcW w:w="730" w:type="pct"/>
            <w:vMerge w:val="restar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附城街道</w:t>
            </w: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光明路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光明路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渔湾小广场周边道路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渔湾小广场周边道路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一方御湾门前</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一方御湾门前</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兴盛路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兴盛路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良眉大街</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良眉大街</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三小门前道路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三小门前道路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迎宾路高峰段</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迎宾路高峰段</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3"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730" w:type="pct"/>
            <w:vMerge w:val="continue"/>
            <w:vAlign w:val="center"/>
          </w:tcPr>
          <w:p>
            <w:pPr>
              <w:widowControl/>
              <w:spacing w:line="360" w:lineRule="auto"/>
              <w:jc w:val="left"/>
              <w:rPr>
                <w:rFonts w:hint="eastAsia" w:ascii="宋体" w:hAnsi="宋体" w:cs="宋体"/>
                <w:color w:val="auto"/>
                <w:kern w:val="0"/>
                <w:sz w:val="24"/>
                <w:szCs w:val="24"/>
                <w:highlight w:val="none"/>
              </w:rPr>
            </w:pPr>
          </w:p>
        </w:tc>
        <w:tc>
          <w:tcPr>
            <w:tcW w:w="1335"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创新路</w:t>
            </w:r>
          </w:p>
        </w:tc>
        <w:tc>
          <w:tcPr>
            <w:tcW w:w="1548"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创新路</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6" w:type="pct"/>
            <w:gridSpan w:val="4"/>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924" w:type="pct"/>
            <w:shd w:val="clear" w:color="000000" w:fill="FFFFFF"/>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7108 </w:t>
            </w:r>
          </w:p>
        </w:tc>
      </w:tr>
    </w:tbl>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本项目罗定市范围内适合改造停车位7108个，分36个月建设，具体位置可按根据现场实际情况进行调整并逐步安装设备，首批安装运营2000 个停车泊位。</w:t>
      </w:r>
    </w:p>
    <w:p>
      <w:pPr>
        <w:pStyle w:val="13"/>
        <w:spacing w:line="360" w:lineRule="auto"/>
        <w:jc w:val="both"/>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（四）设备清单及技术要求</w:t>
      </w:r>
    </w:p>
    <w:tbl>
      <w:tblPr>
        <w:tblStyle w:val="9"/>
        <w:tblpPr w:leftFromText="180" w:rightFromText="180" w:vertAnchor="text" w:horzAnchor="page" w:tblpX="1108" w:tblpY="457"/>
        <w:tblOverlap w:val="never"/>
        <w:tblW w:w="9895" w:type="dxa"/>
        <w:tblInd w:w="0" w:type="dxa"/>
        <w:tblLayout w:type="fixed"/>
        <w:tblCellMar>
          <w:top w:w="0" w:type="dxa"/>
          <w:left w:w="108" w:type="dxa"/>
          <w:bottom w:w="0" w:type="dxa"/>
          <w:right w:w="108" w:type="dxa"/>
        </w:tblCellMar>
      </w:tblPr>
      <w:tblGrid>
        <w:gridCol w:w="689"/>
        <w:gridCol w:w="1368"/>
        <w:gridCol w:w="6057"/>
        <w:gridCol w:w="862"/>
        <w:gridCol w:w="919"/>
      </w:tblGrid>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序号</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产品名称</w:t>
            </w:r>
          </w:p>
        </w:tc>
        <w:tc>
          <w:tcPr>
            <w:tcW w:w="60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性能参数要求</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数量</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单位</w:t>
            </w: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嵌入式智能泊位管理器</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1、供电方式：同时支持：太阳能蓄能+锂电池功能。</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7108</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2、产品驱动方式：电机驱动。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3、电机触发方式：地磁、超声波、激光感应一种或多种组合方式触发，一体化终端设备（内置车辆监测模块），具备监测车位状态（有车、无车）并上报信息的能力。</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4、安装方式：嵌入式安装，不破坏路基，无车时于路面齐平，不影响通行。</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▲5、高精度计时：零误差高精度计时。</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6、电池及容量：锂电池，不低于15AH/12V。</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7、通讯模式：支持NB-IoT/4G/5G/蓝牙通信。</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8、挡板上升、下降时间&lt;7S。</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▲9、挡板升板高度：自适应车辆底盘高度，根据底盘高度不同，自动调节高度靠近底盘。车辆停放超过免费时段，终端可升起翻板（升起高度不低于285mm），对车辆起到限行作用。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10、防水等级：IP68。</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11、车辆检测器 &gt;99.9%。</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12、防止踩板逃费：在升板过程中，挡板位置小于30%时踩板，会触发多次升板。</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▲13、电池欠压保护：用电池供电时，当电源电压≤设定的最低阙值，电流为0。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14、承载重量：机箱承载重量不低于16吨。挡板下降状态承载重量不低于16吨。挡板升起状态承载重量不低于3吨。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15、设备安全设计：锁体和机箱螺丝内嵌，可以防止倒车时刮伤轮胎。</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城市级智慧停车综合管理系统</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平台系统应包括但不限于以下功能：</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7108</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color w:val="auto"/>
                <w:highlight w:val="none"/>
              </w:rPr>
              <w:t>套</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1、停车管理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（1）停车场管理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创建停车场/停车路段，提供路内停车基础信息的管理，包括片区管理、路段管理、车位管理和收费配置管理等功能模块。</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（2）巡检管理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提供对巡检员的管理和巡检业务工作的管理等功能，包括巡检概况、巡检轨迹查询、巡检员管理、巡检排班管理和巡检考勤日志等功能模块。</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（3）设备管理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提供对路内停车相关设备的管理，并列表展示设备是否在线、固件版本号等功能。</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（4）设备运维监控</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提供对城市路内停车的运维监控的管理，对停车场和泊位的停车空位信息的准确性监控和维护。</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（5）停车订单查询</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提供路内停车关于停车记录和缴费记录的查询管理。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（6）数据报表</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提供路内停车运营相关的报表，包括地图态势分析、停车综合报表、停车信息统计、停车流量情况分析、停车收费情况分析和停车时长情况分析等功能分析。</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2、权限系统管理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（1）车场团队管理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对某个指定团队进行编辑，角色管理，对角色权限进行增改，添加员工，对员工进行角色分配。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（2）总平台工作人员团队管理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对内部工作人员角色权限进行增改，添加员工，对员工进行角色分配，权限配置。</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（3）权限操作日志列表</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可查看系统内成员对系统的操作记录，包含操作ID、操作事件和操作时间，也可查看、导出某个账户的操作记录。</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3、财务管理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（1）发票申请列表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财务对用户申请发票订单进行审核开票。发票领用、发票盘点、发票核销。</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（2）对账支付明细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停车明细可列表查询订单ID、账单编号、订单号、实际到账金额、订单原价、停车场结算金额、停车场优惠金额、平台优惠、支付方式、订单类型、车牌号、订单生产时间、支付时间、停车场；可通过订单信息查询和账单信息查询两种方式查询。</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（3）清分结算模块</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结算规则设置、对账管理、结算管理、纠错功能、清分结算表。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（4）退款明细查询</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可按时间段查询各业务线停车订单退款明细，包含退款单号、收款单号、退款时间、退款金额、退款类型（保证金、停车费）、支付方式，前支付车场名称。</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（5）提现管理</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手动提现，选择车场、提现时长，一键提交平台审核；提现结果查询，通过报表查询总收入、总支出、已提现、提现中数据报表。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4、优惠券管理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（1）打折卡管理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打折卡模板：创建打折卡模板，包含有效期、打折数、售价、是否上架、折扣卡描述、使用范围、使用车场以及销售记录。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打折卡：列表展示打折卡名称、状态（使用中、已过期）、购买用户、售价、剩余额度、优惠折数、过期时间、使用日志、操作退款和续期。</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打折卡明细：列表展示打折卡名称、购买用户、车牌号、售价、支付单号、支付时间、过期时间、使用地区。</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（2）优惠券管理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创建优惠券池：配置优惠券名称、卡券数量、发放方式（线上发放、打印纸券）、抵扣方式（现金抵扣、按比例抵扣、时长抵扣、免费）、生效时长、使用条件、领取限制、券池归属。</w:t>
            </w:r>
          </w:p>
          <w:p>
            <w:pPr>
              <w:widowControl/>
              <w:jc w:val="left"/>
              <w:textAlignment w:val="center"/>
              <w:rPr>
                <w:rFonts w:hint="eastAsia" w:ascii="宋体" w:hAnsi="宋体" w:cs="宋体"/>
                <w:b/>
                <w:bCs/>
                <w:color w:val="auto"/>
                <w:szCs w:val="21"/>
                <w:highlight w:val="none"/>
              </w:rPr>
            </w:pPr>
            <w:r>
              <w:rPr>
                <w:rFonts w:hint="eastAsia" w:ascii="宋体" w:hAnsi="宋体" w:cs="宋体"/>
                <w:color w:val="auto"/>
                <w:kern w:val="0"/>
                <w:sz w:val="22"/>
                <w:highlight w:val="none"/>
                <w:lang w:bidi="ar"/>
              </w:rPr>
              <w:t>优惠券发放：可选择车主扫描二维码自助领取发放，也可券方通过车牌号发放，可查看优惠券发放明细。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5、月租管理</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查找月租车场，车场管理方同意并支付后成为月租车。</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城市级智慧停车巡检端软件</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平台系统应包括但不限于以下功能：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1、个人中心</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（1）登录及退出</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点击登录或退出。</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（2）团队管理</w:t>
            </w:r>
          </w:p>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负责团队个数、车场个数、车位数量。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2、运营报表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（1）每日统计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总单数、应收金额、逃费单数、违停单数、退款单数、收单数、实收金额、逃费金额、违停金额、退款金额、收单率、收费率、逃单率、违停率、退单率、月租计费、月租单数、月租占比。</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（2）锁均统计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团队下汇总和各路段营业额、单数、锁数量、锁均收入。</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（3）收费统计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团队下汇总和各路段应收金额、营业额、单数、收费率。</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（4）逃费统计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团队下汇总和各路段逃费单数、逃费金额、以及逃费明细。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（5）违停统计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团队下汇总和各路段违停单数、违停金额、以及违停明细。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（6）升板统计</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团队下汇总和各路段已升板数、自动升板数、手动升板数、手动升板率。</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3、违停上报</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（1）违停车辆录入</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录入停车照片、车牌号、路段、驶入时间、附件照片、收费标准类型。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（2）待收费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车场名称、车牌号、开始时间、结束时间、订单收费、收款码。</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（3）已收费</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列表展示车场名称、车牌号、开始时间、结束时间、订单价格、实际收费、支付时间、打印小票。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4、车辆逃费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（1）待确认</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列表展示车场名字、车位号、车牌号、逃费时间、停车开始时间、订单金额，真逃费及假逃费。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（2）待收费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列表展示车场名字、车位号、车牌号、逃费时间、停车开始时间、订单金额、订单关闭、收款码。</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（3）已收费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列表展示车场名称、车牌号、开始时间、结束时间、订单价格、实际收费、支付时间。</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（4）已关闭</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列表展示车场名称、车牌号、开始时间、结束时间、订单价格、实际收费、支付时间、关闭状态。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5、未收统计</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团队下车场选择，列表显示车场名称、车位号、最后收费时间、未收时长、固件版本及电池电压。</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6、维保管理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（1）开始维保</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上报故障锁号、故障原因、故障描述。</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（2）维保状态</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选择车场、锁号、现象描述、是否已解决。</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（3）维保记录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车场名称、智能泊位管理器编号、车位号、更换部件、更换人员、更换时间。</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（4）配件统计</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统计各路段配件数，总部件数、探头数量、电池数量、二位码数量、喇叭数量、电机数量、按钮数量、涡轮数量、升降板页数量、拉杆数量、胶条数量、钢丝绳数量。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7、任务工单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（1）工单管理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对于系统预警智能生成、用户举报投诉、现场运维人员上报等方式提供了一个统一工单管理功能，能够根据时间、工单类别等进行快速筛选查看定位问题所在。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（2）工单类目管理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能够自主设定工单上报的类目，有效地进行问题筛选和排查。</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（3）我的工单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运维人员能够快速查看指派给自己的工单任务，保障能够及时处理。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（4）工单处理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针对指派的工单进行回复处理或者协同其他工作人员处理的实现。</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（5）工单协同模型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针对不同级别的工单类型进行流转时限的配置，确保工单的有效执行。</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（6）提交工单</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通过自动化工单管理系统，多种方式创建工单，自动将工单指派给相关人员。</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8、运维调度</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主要针对设备运维情况进行统筹展示,包含设备实时状态的地图点位展示,以及设备编码位置、所属车场以及设备类型的明细展示。</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9、车位管理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（1）车位基础信息采集</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车位号、是否有车、升降锁方式（自升还是手升）、电池电压、停车时长、固件版本、电池使用时长等。</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（2）录车牌</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拍照自动识别录入车牌号，车辆类型、车场、车位号。</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（3）有车立即起板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操作设备立即起板计费。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（4）远程落板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远程操作落锁。</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（5）远程升板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远程操作升板。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（6）二次升板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板页升板较低，巡检操作再次升板。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（7）远程复位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远程操作复位。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（8）禁用车辆检测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关闭探头检测。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（9）开启车辆检测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打开探头检测。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（10）探头数据</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监控探头检测数据，现场核对检测是否有误。</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（11）最近付费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付款时间、金额及手机号、支付方式。</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（12）最近追缴</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付款时间、付款金额、车牌号。</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（13）事件上报</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展示事件发生时间及具体事件。</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城市级智慧停车指挥调度系统</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平台系统应包括但不限于以下功能：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1、车场运营</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（1）车场分布</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显示在停车位数、空闲车位数、车位使用率、各路段的车位数、在停车辆、停车率。</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(2）整体车位监控</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今日停车数、今日周转率免费临停数、计费停车数、停车时长分布、车场空闲分布图。</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（3）车位监控-泊位有车</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可查看某车位当天周转次数、收费金额、停车总时长、每单均价、车辆照片、录牌人员及时间、开始停车时间、升板计费时间、设备在线状态和设备运行事件。</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（4）车位监控-泊位有车无牌</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可查看某车位当天周转次数、收费金额、停车总时长、每单均价、开始停车时间、升板计费时间、设备在线状态和设备运行事件，并提示该车位应录车牌但未录入。</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（5）车位监控-泊位空闲</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系统利用AI大数据分析设备收费运营状况，从区到片再到点进行不同颗粒度的分析，从整体到局部掌握全城车场经营状况，为管理者、巡检员提供数据，便于精准施策、到点管理，提示该车位超时未收费，警示巡检人员过去确认情况、排查问题。</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（6）营收分析</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今日应收实时看板、本月营收看板、今日营收统计（金额）、今日各时段收费统计、线上支付方分析、车场营收统计分析（月度）。</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（7）营收监控</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对各路段进行营收监控，发现某路段收费金额有大涨、大落，系统自动预警。</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（8）停车分析</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停车时长占比分布、停车费占比分布、今日停车单数统计、今日进出车流量分析、停车周转率统计排行。</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（9）车流量监控</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对各路段进行营收监控，预警路段车流量出现尖峰时刻，安排人员及时应对。</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2、车场巡检</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（1）巡检地图</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巡检定位：对巡检员进行实时定位。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（2）巡检轨迹</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在地图上画出巡检员的运动轨迹，并显示是否超区域运动。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（3）巡检分析</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对巡检员的工作进行分析并量化，生产数据，与考核指标对比。</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3、停车用户</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（1）用户分析</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总结单用户、临停付费用户、月租付费用户、微信支付、支付宝支付占比、各时段用户停车时长分布、各时段用户停车出行数据分析。</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（2）车辆分析</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本地车辆、外地车辆、特殊车辆统计、车牌类型分析、黑名单、违法车辆布控。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车主端应用软件</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平台系统应包括但不限于以下功能：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1、微信小程序/支付宝</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（1）用户登录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手机号+验证码，用户通过手机号进行验证登录。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（2）特牌优免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特牌优免认证，通过小程序上传车辆行驶证、车辆车牌照片。</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（3）折扣卡查看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折扣卡列表：列表展示折扣卡金额、折扣、有效期、所属地区、适用车场、注意事项、选择对应车牌。</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我的折扣卡：列表展示自己已购买折扣卡。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（4）附近车场</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地图定位：地图插点显示附近停车场（位）信息、距离、空闲车位。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地图车位空闲2D展示：显示附近或搜索点路段（停车场）空闲、繁忙车位动态，支持一键导航到车位。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（5）欠费补缴</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逃费：通过车牌号搜索展示该车牌号逃费相关信息及补缴费用。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违停：通过车牌号搜索展示该车牌号违停相关信息及补缴费用。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（6）应急呼叫</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信息呼叫：车主可通过编辑信息，发送给对应巡检员（适用于非紧急问题）。</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电话呼叫：车主可通过拨打巡检员电话进行报修或紧急故障处理（适用于紧急问题）。</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（7）缴费记录</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支付记录：列表展示车主用户支付订单详情，包含：车场名称、支付金额、付款方式、支付单号、订单详情。</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违停逃费记录：列表展示车主用户支付订单详情，包含：车场名称、支付金额、付款方式、支付单号、订单详情。</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（8）我的钱包</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账户余额、明细记录、保证金（含充值）、优惠券、月租（含充值）、支付记录及城市定制金额卡。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（9）我的发票</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停车场景选择：车位锁停车、共享停车等。</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开票助手：开票历史、发票抬头管理、新增删除发票抬头。</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（10）电子/无感支付</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整合电子支付方式，打通与支付宝的无感支付，提供无感支付开通授权，同步支付宝用户数据和车辆驶入驶出数据，实现支付宝代扣，同时也提供查询缴费、信用停车等功能。</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（11）车牌绑定</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绑定车牌号：绑定自己车辆车牌号及列表显示已绑定车牌信息。</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（12）开锁失败帮助</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图文展示开锁失败帮助，按紧急按钮或拨打客服电话。</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（13）登录及退出</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点击登录或退出。</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2、公众号</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（1）停车门户</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通知告示：给用户在线发送的消息通知，包含车场运营状况、系统更新优化等。</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动态快讯：发布停车或汽车后市场的资讯。</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欠费公示：将经常逃费和多次追缴仍不缴纳停车费的车主车牌号（部分马赛克）公示到平台，并可配置公示起止时间。</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（2）车主专享</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停车指南：附近车位、车场余位等信息，方便车主找车位。</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车场分布：展示附近车位信息。</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收费标准公示：展示车场收费标准，可手动输入、拖动地图查看。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（3）停车服务</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客服电话：对外客服电话。</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意见反馈：车主的停车运营相关的意见反馈。</w:t>
            </w:r>
          </w:p>
          <w:p>
            <w:pPr>
              <w:widowControl/>
              <w:jc w:val="left"/>
              <w:textAlignment w:val="center"/>
              <w:rPr>
                <w:rFonts w:hint="eastAsia" w:ascii="宋体" w:hAnsi="宋体" w:cs="宋体"/>
                <w:b/>
                <w:bCs/>
                <w:color w:val="auto"/>
                <w:sz w:val="22"/>
                <w:highlight w:val="none"/>
              </w:rPr>
            </w:pPr>
            <w:r>
              <w:rPr>
                <w:rFonts w:hint="eastAsia" w:ascii="宋体" w:hAnsi="宋体" w:cs="宋体"/>
                <w:color w:val="auto"/>
                <w:kern w:val="0"/>
                <w:sz w:val="22"/>
                <w:highlight w:val="none"/>
                <w:lang w:bidi="ar"/>
              </w:rPr>
              <w:t>问题申诉：车主的停车运营、订单相关的问题申诉。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施工服务</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安装、调试、安装工人、划线、美化等。</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7108</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r>
        <w:tblPrEx>
          <w:tblCellMar>
            <w:top w:w="0" w:type="dxa"/>
            <w:left w:w="108" w:type="dxa"/>
            <w:bottom w:w="0" w:type="dxa"/>
            <w:right w:w="108" w:type="dxa"/>
          </w:tblCellMar>
        </w:tblPrEx>
        <w:trPr>
          <w:trHeight w:val="424" w:hRule="atLeast"/>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color w:val="auto"/>
                <w:sz w:val="22"/>
                <w:szCs w:val="24"/>
                <w:highlight w:val="none"/>
              </w:rPr>
              <w:t>网络及调测维护服务</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网络通信(含36个月物联网卡费用，每张物联网卡每月流量≥</w:t>
            </w:r>
            <w:r>
              <w:rPr>
                <w:rFonts w:ascii="宋体" w:hAnsi="宋体" w:cs="宋体"/>
                <w:color w:val="auto"/>
                <w:kern w:val="0"/>
                <w:sz w:val="22"/>
                <w:highlight w:val="none"/>
                <w:lang w:bidi="ar"/>
              </w:rPr>
              <w:t>50M</w:t>
            </w:r>
            <w:r>
              <w:rPr>
                <w:rFonts w:hint="eastAsia" w:ascii="宋体" w:hAnsi="宋体" w:cs="宋体"/>
                <w:color w:val="auto"/>
                <w:kern w:val="0"/>
                <w:sz w:val="22"/>
                <w:highlight w:val="none"/>
                <w:lang w:bidi="ar"/>
              </w:rPr>
              <w:t>）及调测维护服务。</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7108</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400万全彩定焦枪型网络摄像机</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1、采用AIISP技术，支持周界防范（绊线入侵，区域入侵）、SMDPlus(人形/车形检测)。</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2、采用超星光级超低照度400万像素1/1.8英寸CMOS图像传感器，低照度效果好，图像清晰度高。</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3、默认可输出400万(2560×1440)@25fps，最大可输出400万(2688×1520)@20fps。</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4、支持H.265编码，压缩比高，实现超低码流传输。</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5、内置高效暖光补光灯，最大监控距离40米。</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6、支持走廊模式，宽动态，3D降噪，强光抑制，背光补偿，数字水印，适用不同监控环境。</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7、支持ROI，SMARTH.264/H.265，灵活编码，适用不同带宽和存储环境。</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8、内置麦克风。</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9、支持DC12V/PoE供电方式。</w:t>
            </w:r>
          </w:p>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10、支持IP67防护等级。</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普通设备箱</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1、采用优质冷轧钢材质，厚度≥1.0mm （沿海区域需要特殊定制 可调节层板。</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2、设备可灵活安放； 防护等级 IP54 ，有效防水防尘 产品尺寸：±400mm(宽）×±300mm(深）×±500mm(高)， 设备可灵活安放，内部可置物空间： ±316mm(宽）× ±230mm(深）×±190mm(高)。 </w:t>
            </w:r>
          </w:p>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3、配置：1个双路电源防雷器，电源空开模块（1个双路10A）， 1个3芯插座。</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400万合智能柔光网络球机</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 全景细节像素均不小于400万,CMOS靶面尺寸均不小于1/1.8英寸。</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 内置GPU芯片,支持深度学习算法,有效提升检测准确率。</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 细节相机支持不小于25倍光学变倍。</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 全景相机内置不小于30米白光灯补光,采用暖色调和柔化处理,有效降低炫目程度；细节相机内置不小于150米柔光补光,采用倍率与补光灯功率匹配算法,补光效果更均匀。</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 设备可输出全景画面和细节画面,所有摄像机可通过IE浏览器设置云台转动位置。</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6、全景摄像机：水平：0°~360°,连续旋转,垂直角度：0°~30°；细节摄像机水平角度：0°~340°,垂直角度：-10°~180°,旋转过程中无水平翻转。</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 支持快速智能切换,当更换当前智能模式时设备不需重启,新智能使能后即可生效。</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 多场景分别配置不同智能后,可进行多场景智能巡航,进行不同智能功能的分时复用。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▲9、细节镜头内置GMR磁场传感器，当镜头群组收到外力作用发生偏移时可自动复位。</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10、细节镜头从最小倍变倍聚焦至样机100m处人脸目标时间不大于0.3s，抓拍图片中人脸目标像素不低于70×70；从最小倍变倍聚焦至样机100m处车牌目标时间不大于0.3s，抓拍图片中车牌目标像素不低于150×50。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 支持手动或自动启动雨刷功能。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 全景摄像机具有4个暖光灯,细节摄像机具备6个混光灯,每个补光灯均包含红外补光模块和白光补光模块,设备支持混合补光,可单独开启红外灯和白光灯。</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 10mm到50mm变焦过程中镜头光圈保持不变（F1.2±0.1）。</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 具有螺纹和卡扣安装接口，支持螺纹安装或支架安装方式。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 内置2路报警输入和1路报警输出,支持报警联动功能。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 支持IP67防护等级,8000V防雷、防浪涌和防突波保护。</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 支持支持DC36V±25%宽电压输入。</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智能设备箱</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1、箱体材质采用镀锌钢板，厚度≥1.2mm、设备箱尺寸：±530mmx±400mmx±220mm（含帽檐）。</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设备箱应采用智能化集成一体化设备箱，由空气开关、AC220V电源防雷器、自动重合闸、电源管理模块、网络传输模块和智能控制模块组成，箱内有LED照明灯、光纤熔接盒、温控风扇及防雷接地装置等；箱内所有功能单元均模块化设计，摄像机补光灯等外接设备网络接口和电源接口均采用正面接线方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3、单相自动重合闸：额定电压 AC 220V，额定电流 1-16A可远程WEB配置，额定频率 50HZ，雷击能力 10KA，动作时间 ≤0.05S，可远程WEB配置过压值、欠压值、漏电值、过流值； 具备过流保护、欠压/过压保护、漏电保护、故障记忆合闸前检测以及远程控制功能。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4、具有可控电源输出接口：4组AC220V、2组DC12V，支持每组独立控制，具备独立的状态指示灯,支持运维管理平台及单机WEB端独立控制（打开、关闭），可设定电源口定时开关机；</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5、电源输出两极采用中心间距不小于9.5mm的输出端子，满足接线线径4.0mm²。</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6、支持对网络故障或供电故障引起的设备掉线进行区分并实时上报，能区分的供电故障类型包括市电掉电、漏电分闸等。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7、具有DC12V和DC5V延时输出接口各1组，具备独立的状态指示灯；支持运维管理平台及单机WEB端独立控制；在无内置电池时，支持市电断电后延时工作，延时时长不小于10S。</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8、网络传输模块：支持4个10/100/1000Base-Tx RJ45网口，1个100/1000M自适应 SFP光口（含20km光模块)，网口防雷：ITU-TK21：10/700μs 6KV(40Ω)，支持802.1x认证。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▲9、支持网络端口启动和禁用，支持端口速率设置，支持端口流量统计、支持VLAN及端口MAC地址绑定设置；支持实时监测SFP光模块的波长、速率、发射功率、接收功率、温度、电压及电流。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智能设备箱具有实时显示和查询设备状态:包含在线/离线、温度、湿度、电压、电流、电能、漏电流、网络、光纤(发射功率接收功率等)、风扇状态及转速、箱门状态、光照、防雷器状态及电源输出状态等参数。</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网络传输模块、智能控制模块、电源管理模块采用同一IP地址,同一MAC管理；支持通过智能设备箱同一IP地址的Web端访问智能控制模块、电源管理模块以及网络传输模块，并进行所有数据查看、参数配置以及远程固件升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▲12、可通过扫描箱内二维码查看设备箱信息、设备安装说明、电气连接图等。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支持系统管理功能：系统管理、设备管理、告警设置、统计报表设置、上级平台管理等，可对系统logo、系统名称进行设置；支持管理和设置项目信息和区域信息，包括项目名称、项目管理员、用户单位信息、设计单位信息、维护单位信息、项目地址、智能箱数据 、摄像机数据、网络运营商等。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numPr>
                <w:ilvl w:val="0"/>
                <w:numId w:val="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支持可对接入的摄像机视频图像质量进行分析诊断，并进行故障告警。包括雪花、条纹、遮挡、偏色、亮度、卡顿等故障分析诊断。</w:t>
            </w:r>
          </w:p>
          <w:p>
            <w:pPr>
              <w:widowControl/>
              <w:numPr>
                <w:ilvl w:val="0"/>
                <w:numId w:val="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箱体防护等级：IP55，机械碰撞防护等级:IK08。</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16、工作温度：-40℃-85℃。</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4口交换机</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二层非管理全千兆PoE交换机（65W），4个10/100/1000Mbps PoE电口，1个10/100/1000Mbps电口，1个1000Mbps 光口。</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漏电重合闸</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16A,通过实时监测供电线路的电压、电流、漏电等运行情况对用电设备和线路进行分闸保护。</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借杆支架</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悬臂长度为1米，热镀锌杆，含安装。</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w:t>
            </w: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辅材</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RVV3*1.5电源线、32PVC管、挂空取电，紧固件、五金件、接插件等配套附件。</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r>
        <w:tblPrEx>
          <w:tblCellMar>
            <w:top w:w="0" w:type="dxa"/>
            <w:left w:w="108" w:type="dxa"/>
            <w:bottom w:w="0" w:type="dxa"/>
            <w:right w:w="108" w:type="dxa"/>
          </w:tblCellMar>
        </w:tblPrEx>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传输线路</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前端监控箱至后端机房传输线路，每条带宽≥10M。</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114</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条</w:t>
            </w: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综合安防管理平台</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一、系统管理</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1、基础资源管理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（1）支持组织基础信息的增删改查、导入、导出等功能；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（2）提供设备的统一接入及管理，包含：视频设备、门禁设备、出入口设备、对讲设备、报警设备、卡口设备、动环设备、物模型设备等；支持设备的增删改查、导入、导出、自动搜索等功能；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（4）支持角色基础信息的增删改查；角色关联权限，可配置角色的应用菜单、部门、逻辑组织以及系统资源操作权限；支持角色的复制能力；</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（5）支持部门基础信息的增删改查、导入、导出等功能；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（6）支持人员基础信息的增删改查、导入、导出、移动等功能；支持人员信息的采集，包含：人脸、指纹、卡片等，人脸照片支持图片质量检测；</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（7）支持卡片基础信息的增删改查、导入、导出等功能；支持人员开卡、挂失、解挂、退卡、补卡、回收等功能；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（8）支持车辆基础信息的增删改查、导入、导出等功能；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（9）提供地图管理配置能力，地图类型包含；二维、光栅、三维地图，支持厂家包含：百度、谷歌、高德、天地图、 Arcgis；</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（10）支持平台资源绑定，包含：设备、通道等，绑定的资源可供各业务系统调阅使用；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提供门户首页内容自定义能力，支持自定义快捷入口、自定义菜单内容、自定义页面元素设置；支持门户展示元素自定义，包括页面logo图标、修改网站标题、设置并添加网站外部链接、界面微件自定义布局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（12）提供级联管理能力，包含：实现上下级基础资源数据汇聚，视频预览、回放、对讲、反控制，门禁、卡口的抓拍记录汇聚等。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2、平台运维</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（1）支持平台运维，提供服务部署维护功能、支持模块化升级部署、系统资源使用情况监控等运维相关功能；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（2）支持级联、分布式、集群，实现系统扩展及稳定性要求；</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（3）支持双机热备，提升系统灾备能力，保障系统的可靠性；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（4）支持mysql数据库、云数据库切换配置，满足图片、视频、结构化数据的按需求存储；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（5）支持标准开放平台，提供rest ful 等多维度接口实现第三方系统对接；</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（6）提供NTP校时服务能力，支持对服务间、服务器和设备间的统一校时；</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（7）集成可信计算能力，支持程序包可信安装升级完整性校验，以及监控可执行文件可信执行功能，阻止未经授信的可疑程序（如防勒索病毒、挖矿程序）对系统造成破坏。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二、软件功能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1、视频管理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（1）支持实时视频、录像回放、录像下载、电视墙、雷球联动，热成像；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（2）支持与车载单兵等移动设备的对接，提供车载单兵设备GPS信息接收服务；</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（3）支持手机移动客户端进行实时视频监控，音频播放，本地截图，本地录像，云台控制，远程视频回放；</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（4）录像支持1/2、1/4、1/8、1/16、1/32、1/64、2、4、8、16、32、64倍速快/慢放；</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2、设备运维</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（1）资源监控模块：支持对前端点位、物联设备、动环主机、服务器、服务进行统一纳管监控运，绘制服务拓扑；</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（2）报警管理模块：支持对所纳管资源配置报警策略，并将产生的报警消息进行统一汇聚和展示，支持对报警进行确认处理，联动工单，推送报警消息、短信及邮件；</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（3）自动化巡检模块：支持对前端视频点位的视频质量及录像巡检、服务器及服务的资源占用巡检、网络环境巡检；</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（4）可视化报表模块：支持故障工单统计和报警统计；</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（5）系统内置前端设备、软硬件等资产类型，并可新增自定义资产类型；支持资产类型建模功能，支持新增属性类别及属性。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3、园区工作台</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（1）园区工作台包含B/S端、C/S端，用户的业务微件可按用户场景需要自由搭配、编排，核心业务数据可一屏呈现；</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（2）业务办理：提供全局找人 、找车、新员工入职、权限续期、员工离职融合检索等综合办理业务；</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（3）员工入/离职：提供新员工快速入职/离职通道，一键完成全流程信息录入，相关人员权限自动开通/回收；</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（4）业务微件：支持员工统计、门禁授权/进出统计、车辆泊位/车流量统计、停车营收统计、考勤统计、今日访客信息、来访统计等业务微件配置；</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（5）工作台引擎：内嵌工作台引擎，支持微件管理、我的微件、界面编排、支持管理员和用户自由编排形成业务工作台，同时一个用户可拥有多个工作台，同时支持主工作台切换。</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4、加密数据库</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（1）原生加密：支持采用多层级密钥保护体系，对数据做全链路加密；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（2）极致安全: 支持安全网络传输来防护网络拦截造成的信息泄露。支持一机一密的数据密态存储，让数据可用不可读；</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（3）无感对接：支持非加密数据一键导入到平台，实现数据切换；</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可视化运维：提供数据库的运行监控大盘，包括CPU、内存及存储空间实时使用情况，慢sql统计分析。同时支持数据的备份还原，及时主机损坏也能通过备份数据快速恢复到新平台上，保护数据不丢失，业务稳定运行。</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三、性能规格</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1、支持管理视频通道点位不少于100万路。</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2、支持管理用户数量不少于100万个，支持同时用户在线数量不少于5000个。</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四、系统兼容与开放</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1、国产化服务器兼容：支持在市面上主流的国产化服务器部署平台。</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2、用户终端兼容：支持提供WEB端、CS端（客户端）、APP、公众号、小程序等。</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3、国产化操作系统兼容：支持适配市面上主流的国产化操作系统。</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4、平台配套的APP支持适配市面上主流的国产化操作系统。</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5、平台开放兼容，支持提供API接口满足三方系统对接需求。</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6、支持提供容器系统，满足可视化应用开发规范和可插拔式业务加载，满足不同业态应用融合，统一呈现。</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7、支持TLS安全连接数据库，通过安全传输层协议（TLS）可加密保护网络传输过程中的数据。</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▲8、支持多方安全计算，采用根密钥分片（秘密共享）方式进行根密钥管理。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9、支持全数据加密存储，数据库文件只能在本机读取。</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10、支持对导入、导出平台 excel 业务数据进行密码加密。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11、发生灾难情况下，可使用分片密钥对硬盘的加密数据进行恢复。</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12、终端用户可拥有多个工作台，可对用户工作台进行二次编排，终端用户编排的工作台仅对自身生效。</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综合安防管理平台服务器</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1、尺寸：2U机架式服务器机箱。</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rPr>
          <w:trHeight w:val="90" w:hRule="atLeast"/>
        </w:trPr>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2、处理器：1颗国产化ARM架构 CPU≥24核 主频≥2.5GHz。</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3、内存：≥64G内存。</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4、硬盘≥2块4T 3.5吋 SATA 热插拔机械硬盘。</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5、电源≥2个900W交流电源模块，支持1+1冗余。</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6、风扇≥4个热拔插风扇，支持N+1冗余。</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7、RAID卡：SAS3408无缓存，支持RAID 0,1,10。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8、认证：CCC、节能。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19</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中心存储服务器</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1、设备规格：高度≤4U，硬盘槽位≥85盘位；考虑机柜规格尺寸，要求设备深度≤950mm。</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2、采用国产操作系统，1个64位多核处理器，标配16GB内存，可扩展至128GB。配置1+1冗余电源，支持双路市电；标配≥5个千兆以太网接口，≥2个USB3.0接口，≥1个eSATA接口，≥2个PCI-E X8接口。</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3、支持同个存储服务器和不同存储服务器间的磁盘漫游，保证磁盘中的数据不丢失。</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▲4、可接入硬盘≥85块，支持SATA、SAS、SSD、NVME硬盘混插。</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5、支持1TB、2TB、3TB、4TB、6TB、8TB、10TB、12TB、14TB、16TB、18TB硬盘，支持SATA盘和SAS盘支持SSD支持2.5英寸和3.5英寸硬盘。</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6、支持JBOD、RAID 0/1/5/6/10/50/60、SRAID、JRAID，支持全局热备和局部热备。</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7、支持视音频、图片直存，无须流媒体服务器和图片服务器的参与。</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8、支持同时进行 4096Mbps 视（音）频码流存储、 4096Mbps 视（音） 频码流转发、 1200Mbps 视（音） 频码流回放。</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9、支持将多台分别设置为主服务器和备用服务器，当其中的主服务器出现死机或者磁盘损坏等情况，可自动切换至备用服务器进行工作。</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10、支持ONVIF、GB28181、主动注册等协议接入。</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11、支持断网续传，支持将前端断网时间段内SD卡中的录像回传到设备中。</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12、支持鱼眼摄像机、双目客流摄像机、八目枪球联动一体机等相机，支持以多画面分割方式显示，支持自定义布局。</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13、支持通过升级软件对多个设备同步升级，具有一键升级功能，对局域网内接入的设备进行同步升级。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14、设备同时支持视频、图片、智能流和文件直写存储。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▲15、可在Normal 和 Rescue 两个系统之间进行切换，当Normal系统无法正常启动时，可通过 Rescue 系统将Normal 系统修复。</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16、设备可接入双音轨，可同时或分别播放左右音轨。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17、支持扩展 MiniSAS HD 接口， 支持通过电口 SAS 线或光口 SAS 线进行互联， 能够通过 SAS 线进行上行和下行的数据通信。</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18、支持任意 N 台设备（N≥2） 通过 SAS数据线组成环状结构集群， 设备集群之间数据能够通过环状结构进行传递和通信， 其中任意 1 台设备都可以访问其下游设备中的数据。</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19、支持多台设备组成 SAS 数据环集群，当环状结构上的任意 1 个节点出现故障（包括主控盒硬件故障、 软件故障或者网络故障等）， 该节点设备上的硬盘通过 SAS 链路被上游设备接管， 该节点设备的上业务也会迁移到上游设备继续执行， 从而实现业务不中断、录像不丢失， 同时该故障设备的硬盘中数据可以被上游设备读取。</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16TB服务器硬盘</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1、单盘容量：16TB。</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60</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2、缓存：512MB。</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3、转速：7200RPM。</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4、硬盘接口：SATA。</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21</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数视融合一体机</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1、设备支持1个SATA硬盘接口，单盘最大支持20T。</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2、最大32路网络视频接入，网络性能384Mbps接入、384Mbps储存、384Mbps转发。</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3、支持宽温-40℃～+70℃。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4、宽压DC12-53V输入。</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▲5、采用鸿蒙操作系统。</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▲6、IOT数据采集与转发业务和视频监控业务采用双板双控系统。IOT板出现硬件损坏或系统故障不会对视频监控板业务产生直接影响，而视频监控板硬件损坏或系统故障也不会对IOT板业务产生直接影响。</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7、支持自定义控制数据叠加效果，包括显示、隐藏、一键展开、一键折叠。</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▲8、支持在任一预览窗口叠加传感器数据或接收前端IPC传输的带数据叠加的视频，叠加后的画面会在预览和回放中显示。</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▲9、可采集的数据包括：传感器数据、现场视频数据，数据采集频率可达到秒级。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▲10、支持通过PC客户端创建和导入数采工程，样机可设置不少于1000种驱动协议，支持不同厂家或型号的IOT设备接入或转发。</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▲11、支持根据报警类型设置不同的报警阈值，包括低低限、低限、高限、高高限。当超过对应阈值时触发报警。</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▲12、最大可设置20个modbus TCP站点，40个 modbus RTU站点。站点下可创建256个 IOT设备，最大可设置15360个IOT设备。</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13、监控板与IOT板的业务数据和控制数据分开独立传输，其中业务数据通过以太网传输，控制数据通过串口传输。视频监控板与IOT板分别具有1颗独立的加密芯片，可对对业务数据、控制数据进行加解密。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支持同时接入16路非智能网络摄像机，可对指定时间段内不同区域的人数进行统计，并分别形成日报表和月报表、年报表进行显示，可同时选择多个带有客流统计功能的网络摄像机，并将多个通道的客流统计数据求和，并形成日报表、月报表和年报表进行显示；同时支持以CSV格式导出多个通道的组合统计报表。</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机柜</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 规格：600（W）*1200（D）*2000（H）mm；内部空间42U。</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 含柜体侧板、顶板、底板；前门单开，后门双开，前后门设置机械锁。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3、机柜非承重部件板厚在≥1.0mm，承重部件板厚在≥1.5mm。</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4、1对L型轻载滑道、2块固定托盘、1对垂直理线板、1个1U水平理线架、20块1U盲板。</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23</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核心交换机</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高性能多业务模块化交换机，整机包含主控引擎及交换网板插槽位，业务插槽位，电源槽位，硬盘槽位。业务插槽位≥8个（业务槽位可以支持交换线卡；路由线卡；无线AC线卡，无线AC线卡最大AP管理数不小于512个，可与无线控制器实现备份冗余接入管理本次安装的无线AP；业务槽位非SFP接口）。采用采用正交交换架构，交换网板与线卡成垂直90°正交连接且与主控引擎和业务板硬件分离，业务板槽位采用竖插槽方式设计。设计设备交换容量min最小值≥38.4Tbps， 转发性能min最小值≥7200Mpps。设备交货交付使用前配置参数可应要求进行现场验证。</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配置要求：本次满配主控引擎及交换网板；配置不低于万兆光口≥4个，支持整机万兆光接口数可配数量要求不小于16个；配置不低于8个千兆光口的业务板≥2张，配置不低于8个千兆电口的业务板≥1张；配置可拔插双模块化电源，单电源最大功率650W，实现1+1冗余，支持热插拔，不同型号电源可混插。</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高性能多业务模块化交换机，为提高汇聚层设备内部空间利用率，设计采用高密度端口设计，同时符合业界主流机柜的尺寸规范要求，设备高度≤2U，设备深度≤400mm，设备交货交付使用前配置参数可应要求进行现场验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4、设备支持多业务安全路由板板卡，并且安全路由器业务板卡异常不影响交换内网，支持双安全路由业板卡的主备机制和负载均衡模式应对单点故障。</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5、具备OSPFv3、IS-IS、IS-Isv6、BGP、BGP4+、策略路由等路由功能；具备终端识别（具有终端识别模型，用户管理、提供WEB、MAB、PPPOE、802.1X等多种认证方式）； 支持SSLVPN、日志审计、URL过滤、应用识别（P2P应用、流媒体软件、聊天软件、常用的游戏软件）功能。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6、绿色节能：符合IEEE 802.3az（EEE）节能标准。</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配置SDN配套管理平台，可对配置批量复用下发、复制配置、备份配置、配置回退、配置查看、删除配置等配置模板功能，可对出厂预置管理软件和业务模板进行免安装极速部署；除了可以实现对网络的业务规划，还可以对接入的交设备即插即用、零配置上线、智能零替换以及光链路故障监测预警功能。</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8、支持在服务器上创建不同的业务模板，并支持图形化界面提前规划各端口业务；支持端口绑定设备区域位置（如楼栋、楼层）。</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主机电路安全保护系统</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设备结构为多功能软硬件一体机，非多个设备组合，机架式≤1.5U，内置显示屏，标配通讯接口包含RJ45、4G、WIFI，标配网络防雷接口≥2路、接地通路接口≥2路、RS485接口≥2路、漏电监测接口≥2路、开关量接口≥2路、USB接口≥2路、HDMI接口≥1路、电源输出接口≥2路国标五孔插座。</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▲2、自带管理平台，支持监测指标实时查询、数据分析、GIS地图展示、视频监控、设备管理、告警阈值管理、触发器管理、工单管理、多级用户权限管理，支持远程监控、管理、运维。</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▲3、支持监测诊断电流、电压、功率、市电断电，支持防雷击、防浪涌和主板保护功能，标称放电电流In(8/20μs)≥20kA，最大放电电流Imax(8/20μs)≥40kA，电压保护水平Up≤1.7kV。</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▲4、内置显示屏≥2.8寸，可查看监测信息和告警信息，维护方式可通过手机扫描设备屏显的电子二维码进行关注、注册，管理平台端和手机微信公众号端均可查询、故障报修、管理派发工单。</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▲5、内置告警扬声器≥1个，具有系统、网络、入网、RS485状态指示灯，告警方式支持本机扬声器告警、手机微信和短信告警、管理平台告警。</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▲6、支持监测所连接设备是否漏电，设备漏电流≤25mA时就可触发报警。</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7、发生市电停电或断电时，即使无后备电源供电，设备也可发出断电报警。</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8、开放API接口，支持与第三方系统对接。</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9、设备电源AC220V，额定电流≥10A，额定功率≥2500W。</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25</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解码器</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1、画面分割：单屏支持1/4/6/8/9/16/25/36固定分割；支持M×N自定义分割，M×N≤36。</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2、视频压缩标准：H.265；H.264；MJPEG；MPEG4；SVAC；MPEG2。</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3、解码能力：最大支持2路32MP@25fps/7路12MP@25fps/10路8MP@25fps/14路6MP@25fps/18路5MP@25fps/28路3MP@25fps/36路1080p@30fps/144路D1@30fps同时解码。</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4、视频输出路数：4路HDMI。</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90" w:hRule="atLeast"/>
        </w:trPr>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26</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拼接屏</w:t>
            </w: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1、LCD液晶显示单元。</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2、尺寸:55英寸；拼缝：3.5mm。</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3、背光类型 LED。</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4、分辨率 1920×1080。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5、亮度 500cd/m2。</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6、静态对比度 1400:1。</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7、尺寸(mm) 1078*685mm。</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8、重量 23kg。</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9、双边拼缝 3.5。</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10、安装方式 一体式。</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11、控制方式 按键控制，RS232串口控制，红外遥控。</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12、电压 AC90~264V(±5%),50/60Hz。</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13、典型功耗 120W。</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14、待机功耗 ≤1W。</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15、工作温度 0℃~50℃。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16、湿度 20%~90%。</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nil"/>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17、输入 VGA*1、CVBS*1、DVI-D*1、HDMI*1、RS232(RJ45)*1、USB（升级和多媒体）、IR*1。</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18、输出 RS232(RJ45)*1。</w:t>
            </w: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528" w:hRule="atLeast"/>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电视墙套件</w:t>
            </w:r>
          </w:p>
        </w:tc>
        <w:tc>
          <w:tcPr>
            <w:tcW w:w="6057" w:type="dxa"/>
            <w:tcBorders>
              <w:top w:val="nil"/>
              <w:left w:val="nil"/>
              <w:bottom w:val="single" w:color="000000" w:sz="4" w:space="0"/>
              <w:right w:val="nil"/>
            </w:tcBorders>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机柜式有维护支架，HDMI线，电源线。</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r>
    </w:tbl>
    <w:p>
      <w:pPr>
        <w:pStyle w:val="13"/>
        <w:spacing w:line="360" w:lineRule="auto"/>
        <w:rPr>
          <w:rFonts w:ascii="宋体" w:hAnsi="宋体" w:eastAsia="宋体" w:cs="宋体"/>
          <w:color w:val="auto"/>
          <w:sz w:val="24"/>
          <w:szCs w:val="24"/>
          <w:highlight w:val="none"/>
          <w:lang w:eastAsia="zh-CN"/>
        </w:rPr>
      </w:pPr>
    </w:p>
    <w:p>
      <w:pPr>
        <w:pStyle w:val="13"/>
        <w:spacing w:line="360" w:lineRule="auto"/>
        <w:jc w:val="both"/>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（五）商务要求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9"/>
        <w:gridCol w:w="77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标的提供的时间</w:t>
            </w:r>
          </w:p>
        </w:tc>
        <w:tc>
          <w:tcPr>
            <w:tcW w:w="7779" w:type="dxa"/>
          </w:tcPr>
          <w:p>
            <w:pPr>
              <w:pStyle w:val="13"/>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自合同签订生效起72个月为该项目服务周期，其中前36个月为项目建设期，建设期内完成软件、设备安装及调试，竣工验收合格。（若分批次建设的，则相应服务周期以具体开展时间确定）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标的提供的地点</w:t>
            </w:r>
          </w:p>
        </w:tc>
        <w:tc>
          <w:tcPr>
            <w:tcW w:w="7779"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付款方式</w:t>
            </w:r>
          </w:p>
        </w:tc>
        <w:tc>
          <w:tcPr>
            <w:tcW w:w="7779" w:type="dxa"/>
          </w:tcPr>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1、付款计划</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本合同建设费用</w:t>
            </w:r>
            <w:r>
              <w:rPr>
                <w:rFonts w:hint="eastAsia" w:ascii="宋体" w:hAnsi="宋体" w:cs="宋体"/>
                <w:b/>
                <w:bCs/>
                <w:color w:val="auto"/>
                <w:sz w:val="24"/>
                <w:szCs w:val="24"/>
                <w:highlight w:val="none"/>
              </w:rPr>
              <w:t>计划按【3】批次</w:t>
            </w:r>
            <w:r>
              <w:rPr>
                <w:rFonts w:hint="eastAsia" w:ascii="宋体" w:hAnsi="宋体" w:cs="宋体"/>
                <w:color w:val="auto"/>
                <w:sz w:val="24"/>
                <w:szCs w:val="24"/>
                <w:highlight w:val="none"/>
              </w:rPr>
              <w:t>支付。</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每批次的付款独立进行，互不影响。中标人就某一批次履行该批次设备的交付和验收并正常使用义务后，方有权获得该批次对应的设备款。</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招标人收到中标人开具的相应期对应合同金额等额的增值税专用发票且收款方、合同中标人均须与中标人名称一致，招标人在收到中标人付款申请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个工作日内完成支付。</w:t>
            </w:r>
          </w:p>
          <w:p>
            <w:pPr>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第一批次：2000个泊位及</w:t>
            </w:r>
            <w:r>
              <w:rPr>
                <w:rFonts w:hint="eastAsia" w:ascii="宋体" w:hAnsi="宋体" w:cs="宋体"/>
                <w:b/>
                <w:bCs/>
                <w:color w:val="auto"/>
                <w:kern w:val="0"/>
                <w:sz w:val="24"/>
                <w:szCs w:val="24"/>
                <w:highlight w:val="none"/>
                <w:lang w:bidi="ar"/>
              </w:rPr>
              <w:t>智慧停车视频监控系统</w:t>
            </w:r>
            <w:r>
              <w:rPr>
                <w:rFonts w:hint="eastAsia" w:ascii="宋体" w:hAnsi="宋体" w:cs="宋体"/>
                <w:b/>
                <w:bCs/>
                <w:color w:val="auto"/>
                <w:sz w:val="24"/>
                <w:szCs w:val="24"/>
                <w:highlight w:val="none"/>
              </w:rPr>
              <w:t>合同建设价</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第1期（验收款）：该批次设备已运输至招标人指定地点，完成开箱检验，确认外观及相关产品合格证书、数量无误、并完成安装及经项目监理单位确认正常交付使用后，招标人支付该批次设备采购价款的50%；</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第2期（尾款）：该批次设备自验收交付使用运营满365个自然日后，由项目监理单位确认设备正常使用后，根据项目合同采购金额，招标人支付该批次设备采购价款的50%。</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第二批次：3000个泊位合同建设价</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第1期（验收款）：该批次设备已运输至招标人指定地点，完成开箱检验，确认外观及相关产品合格证书、数量无误、并完成安装及经项目监理单位确认正常交付使用后，招标人支付该批次设备采购价款的50%；</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第2期（尾款）：该批次设备自验收交付使用运营满365个自然日后，由项目监理单位确认设备正常使用后，根据项目合同采购金额，招标人支付该批次设备采购价款的50%。</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第三批次：2108个泊位合同建设价</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第1期（验收款）：该批次设备已运输至招标人指定地点，完成开箱检验，确认外观及相关产品合格证书、数量无误、并完成安装及经项目监理单位确认正常交付使用后，招标人支付该批次设备采购价款的50%；</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第2期（尾款）：该批次设备自验收交付使用运营满365个自然日后，由项目监理单位确认设备正常使用后，根据项目合同采购金额，招标人支付该批次设备采购价款的50%。</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注：以上建设数量为初步计划，每批次结算金额应以实际建设数量为准，具体由招标人确定。</w:t>
            </w:r>
          </w:p>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（1）付款方式：银行转账支付。（2）逾期付款的违约责任：如</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逾期支付资金的，从逾期之日起每日按逾期的该期支付金额的</w:t>
            </w:r>
            <w:r>
              <w:rPr>
                <w:rFonts w:ascii="宋体" w:hAnsi="宋体" w:eastAsia="宋体" w:cs="宋体"/>
                <w:color w:val="auto"/>
                <w:sz w:val="24"/>
                <w:szCs w:val="24"/>
                <w:highlight w:val="none"/>
                <w:lang w:eastAsia="zh-CN"/>
              </w:rPr>
              <w:t>万分之一</w:t>
            </w:r>
            <w:r>
              <w:rPr>
                <w:rFonts w:ascii="宋体" w:hAnsi="宋体" w:eastAsia="宋体" w:cs="宋体"/>
                <w:color w:val="auto"/>
                <w:sz w:val="24"/>
                <w:szCs w:val="24"/>
                <w:highlight w:val="none"/>
              </w:rPr>
              <w:t>支付给中标</w:t>
            </w:r>
            <w:r>
              <w:rPr>
                <w:rFonts w:ascii="宋体" w:hAnsi="宋体" w:eastAsia="宋体" w:cs="宋体"/>
                <w:color w:val="auto"/>
                <w:sz w:val="24"/>
                <w:szCs w:val="24"/>
                <w:highlight w:val="none"/>
                <w:lang w:eastAsia="zh-CN"/>
              </w:rPr>
              <w:t>人</w:t>
            </w:r>
            <w:r>
              <w:rPr>
                <w:rFonts w:ascii="宋体" w:hAnsi="宋体" w:eastAsia="宋体" w:cs="宋体"/>
                <w:color w:val="auto"/>
                <w:sz w:val="24"/>
                <w:szCs w:val="24"/>
                <w:highlight w:val="none"/>
              </w:rPr>
              <w:t>作为逾期付款的违约金。</w:t>
            </w:r>
          </w:p>
          <w:p>
            <w:pPr>
              <w:pStyle w:val="13"/>
              <w:spacing w:line="360" w:lineRule="auto"/>
              <w:rPr>
                <w:rFonts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验收要求</w:t>
            </w:r>
          </w:p>
        </w:tc>
        <w:tc>
          <w:tcPr>
            <w:tcW w:w="7779"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1期：1.交付验收标准依次序对照适用标准为：①符合中华人民共和国国家安全质量标准、环保标准或行业标准；②符合招标文件和响应承诺中</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认可的合理最佳配置、参数及各项要求；③货物来源国</w:t>
            </w:r>
            <w:r>
              <w:rPr>
                <w:rFonts w:ascii="宋体" w:hAnsi="宋体" w:eastAsia="宋体" w:cs="宋体"/>
                <w:color w:val="auto"/>
                <w:sz w:val="24"/>
                <w:szCs w:val="24"/>
                <w:highlight w:val="none"/>
                <w:lang w:eastAsia="zh-CN"/>
              </w:rPr>
              <w:t>家</w:t>
            </w:r>
            <w:r>
              <w:rPr>
                <w:rFonts w:ascii="宋体" w:hAnsi="宋体" w:eastAsia="宋体" w:cs="宋体"/>
                <w:color w:val="auto"/>
                <w:sz w:val="24"/>
                <w:szCs w:val="24"/>
                <w:highlight w:val="none"/>
              </w:rPr>
              <w:t>官方标准。 2.进口产品必须具备原产地证明和商检局的检验证明及合法进货渠道证明。 3.货物为原厂商未启封全新包装，具出厂合格证，序列号、包装箱号与出厂批号一致，并可追索查阅。所有随设备的附件必须齐全。 4.</w:t>
            </w:r>
            <w:r>
              <w:rPr>
                <w:rFonts w:ascii="宋体" w:hAnsi="宋体" w:eastAsia="宋体" w:cs="宋体"/>
                <w:color w:val="auto"/>
                <w:sz w:val="24"/>
                <w:szCs w:val="24"/>
                <w:highlight w:val="none"/>
                <w:lang w:eastAsia="zh-CN"/>
              </w:rPr>
              <w:t>中标人</w:t>
            </w:r>
            <w:r>
              <w:rPr>
                <w:rFonts w:ascii="宋体" w:hAnsi="宋体" w:eastAsia="宋体" w:cs="宋体"/>
                <w:color w:val="auto"/>
                <w:sz w:val="24"/>
                <w:szCs w:val="24"/>
                <w:highlight w:val="none"/>
              </w:rPr>
              <w:t>应将关键主机设备的用户手册、保修手册、有关单证资料及配备件、随机工具等交付给</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，使用操作及安全须知等重要资料应附有中文说明。 5.</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组成验收小组按国家有关规定、规范进行验收，必要时邀请</w:t>
            </w:r>
            <w:r>
              <w:rPr>
                <w:rFonts w:ascii="宋体" w:hAnsi="宋体" w:eastAsia="宋体" w:cs="宋体"/>
                <w:color w:val="auto"/>
                <w:sz w:val="24"/>
                <w:szCs w:val="24"/>
                <w:highlight w:val="none"/>
                <w:lang w:eastAsia="zh-CN"/>
              </w:rPr>
              <w:t>与项目主管部门及</w:t>
            </w:r>
            <w:r>
              <w:rPr>
                <w:rFonts w:ascii="宋体" w:hAnsi="宋体" w:eastAsia="宋体" w:cs="宋体"/>
                <w:color w:val="auto"/>
                <w:sz w:val="24"/>
                <w:szCs w:val="24"/>
                <w:highlight w:val="none"/>
              </w:rPr>
              <w:t>相关的专业人员或机构参与验收。因货物质量问题发生争议时，由本地质量技术监督部门鉴定。货物符合质量技术标准的，鉴定费由</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承担；否则鉴定费由</w:t>
            </w:r>
            <w:r>
              <w:rPr>
                <w:rFonts w:ascii="宋体" w:hAnsi="宋体" w:eastAsia="宋体" w:cs="宋体"/>
                <w:color w:val="auto"/>
                <w:sz w:val="24"/>
                <w:szCs w:val="24"/>
                <w:highlight w:val="none"/>
                <w:lang w:eastAsia="zh-CN"/>
              </w:rPr>
              <w:t>中标人</w:t>
            </w:r>
            <w:r>
              <w:rPr>
                <w:rFonts w:ascii="宋体" w:hAnsi="宋体" w:eastAsia="宋体" w:cs="宋体"/>
                <w:color w:val="auto"/>
                <w:sz w:val="24"/>
                <w:szCs w:val="24"/>
                <w:highlight w:val="none"/>
              </w:rPr>
              <w:t>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0" w:hRule="atLeast"/>
        </w:trPr>
        <w:tc>
          <w:tcPr>
            <w:tcW w:w="1859" w:type="dxa"/>
            <w:vAlign w:val="center"/>
          </w:tcPr>
          <w:p>
            <w:pPr>
              <w:pStyle w:val="13"/>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履约保证金</w:t>
            </w:r>
          </w:p>
        </w:tc>
        <w:tc>
          <w:tcPr>
            <w:tcW w:w="7779" w:type="dxa"/>
            <w:vAlign w:val="center"/>
          </w:tcPr>
          <w:p>
            <w:pPr>
              <w:pStyle w:val="13"/>
              <w:spacing w:line="360" w:lineRule="auto"/>
              <w:jc w:val="both"/>
              <w:rPr>
                <w:rFonts w:ascii="宋体" w:hAnsi="宋体" w:cs="宋体"/>
                <w:color w:val="auto"/>
                <w:sz w:val="24"/>
                <w:szCs w:val="24"/>
                <w:highlight w:val="none"/>
                <w:lang w:eastAsia="zh-CN"/>
              </w:rPr>
            </w:pPr>
            <w:r>
              <w:rPr>
                <w:rFonts w:ascii="宋体" w:hAnsi="宋体" w:eastAsia="宋体" w:cs="宋体"/>
                <w:color w:val="auto"/>
                <w:sz w:val="24"/>
                <w:szCs w:val="24"/>
                <w:highlight w:val="none"/>
              </w:rPr>
              <w:t>履约担保：本合同签订后</w:t>
            </w:r>
            <w:r>
              <w:rPr>
                <w:rFonts w:ascii="宋体" w:hAnsi="宋体" w:eastAsia="宋体" w:cs="宋体"/>
                <w:color w:val="auto"/>
                <w:sz w:val="24"/>
                <w:szCs w:val="24"/>
                <w:highlight w:val="none"/>
                <w:lang w:eastAsia="zh-CN"/>
              </w:rPr>
              <w:t>以双方合同约定的</w:t>
            </w:r>
            <w:r>
              <w:rPr>
                <w:rFonts w:hint="eastAsia" w:ascii="宋体" w:hAnsi="宋体" w:eastAsia="宋体" w:cs="宋体"/>
                <w:color w:val="auto"/>
                <w:sz w:val="24"/>
                <w:szCs w:val="24"/>
                <w:highlight w:val="none"/>
                <w:lang w:val="en-US" w:eastAsia="zh-CN"/>
              </w:rPr>
              <w:t>合同暂定</w:t>
            </w:r>
            <w:r>
              <w:rPr>
                <w:rFonts w:ascii="宋体" w:hAnsi="宋体" w:eastAsia="宋体" w:cs="宋体"/>
                <w:color w:val="auto"/>
                <w:sz w:val="24"/>
                <w:szCs w:val="24"/>
                <w:highlight w:val="none"/>
                <w:lang w:eastAsia="zh-CN"/>
              </w:rPr>
              <w:t>总</w:t>
            </w:r>
            <w:r>
              <w:rPr>
                <w:rFonts w:ascii="宋体" w:hAnsi="宋体" w:eastAsia="宋体" w:cs="宋体"/>
                <w:color w:val="auto"/>
                <w:sz w:val="24"/>
                <w:szCs w:val="24"/>
                <w:highlight w:val="none"/>
              </w:rPr>
              <w:t>价的</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作为履约保证金</w:t>
            </w:r>
            <w:r>
              <w:rPr>
                <w:rFonts w:ascii="宋体" w:hAnsi="宋体" w:eastAsia="宋体" w:cs="宋体"/>
                <w:color w:val="auto"/>
                <w:sz w:val="24"/>
                <w:szCs w:val="24"/>
                <w:highlight w:val="none"/>
                <w:lang w:eastAsia="zh-CN"/>
              </w:rPr>
              <w:t>，中标人需在30个自然日内支付履约保证金。</w:t>
            </w:r>
          </w:p>
          <w:p>
            <w:pPr>
              <w:pStyle w:val="13"/>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（1）履约担保按以下形式提供：</w:t>
            </w:r>
          </w:p>
          <w:p>
            <w:pPr>
              <w:spacing w:beforeLines="0" w:afterLines="0" w:line="360" w:lineRule="auto"/>
              <w:ind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①银行担保；②工程保证保险、工程担保（担保公司需经金融工作局批准，保险公司、担保公司应在云浮市住房和城乡建设局进行登记）；③现金担保（转账或电汇至招标人指定专设账户）。</w:t>
            </w:r>
          </w:p>
          <w:p>
            <w:pPr>
              <w:pStyle w:val="13"/>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）履约担保的担保期限和返还</w:t>
            </w:r>
          </w:p>
          <w:p>
            <w:pPr>
              <w:spacing w:beforeLines="0" w:afterLines="0" w:line="360" w:lineRule="auto"/>
              <w:ind w:firstLine="420" w:firstLineChars="200"/>
              <w:jc w:val="left"/>
              <w:outlineLvl w:val="0"/>
              <w:rPr>
                <w:rFonts w:ascii="宋体" w:hAnsi="宋体" w:cs="宋体"/>
                <w:color w:val="auto"/>
                <w:sz w:val="24"/>
                <w:highlight w:val="none"/>
              </w:rPr>
            </w:pPr>
            <w:r>
              <w:rPr>
                <w:rFonts w:hint="eastAsia"/>
                <w:color w:val="auto"/>
                <w:highlight w:val="none"/>
              </w:rPr>
              <w:t>①</w:t>
            </w:r>
            <w:r>
              <w:rPr>
                <w:rFonts w:hint="eastAsia" w:ascii="宋体" w:hAnsi="宋体" w:cs="宋体"/>
                <w:color w:val="auto"/>
                <w:sz w:val="24"/>
                <w:highlight w:val="none"/>
              </w:rPr>
              <w:t>履约银行保函（或现金履约保证金）的担保期限：从提供履约担保（或转账成功）之日起至合同履行完成。</w:t>
            </w:r>
          </w:p>
          <w:p>
            <w:pPr>
              <w:spacing w:beforeLines="0" w:afterLines="0" w:line="360" w:lineRule="auto"/>
              <w:ind w:firstLine="420" w:firstLineChars="200"/>
              <w:jc w:val="left"/>
              <w:rPr>
                <w:rFonts w:ascii="宋体" w:hAnsi="宋体" w:cs="宋体"/>
                <w:color w:val="auto"/>
                <w:sz w:val="24"/>
                <w:highlight w:val="none"/>
              </w:rPr>
            </w:pPr>
            <w:r>
              <w:rPr>
                <w:rFonts w:hint="eastAsia"/>
                <w:color w:val="auto"/>
                <w:highlight w:val="none"/>
              </w:rPr>
              <w:t>②</w:t>
            </w:r>
            <w:r>
              <w:rPr>
                <w:rFonts w:hint="eastAsia" w:ascii="宋体" w:hAnsi="宋体" w:cs="宋体"/>
                <w:color w:val="auto"/>
                <w:sz w:val="24"/>
                <w:highlight w:val="none"/>
              </w:rPr>
              <w:t>履约银行保函在合同履行完成后，由乙方提出申请，甲方在28日内返还，不支付利息：</w:t>
            </w:r>
          </w:p>
          <w:p>
            <w:pPr>
              <w:spacing w:beforeLines="0" w:afterLines="0" w:line="360" w:lineRule="auto"/>
              <w:ind w:firstLine="420" w:firstLineChars="200"/>
              <w:jc w:val="left"/>
              <w:outlineLvl w:val="0"/>
              <w:rPr>
                <w:rFonts w:hint="eastAsia" w:ascii="宋体" w:hAnsi="宋体" w:eastAsia="宋体" w:cs="宋体"/>
                <w:color w:val="auto"/>
                <w:sz w:val="24"/>
                <w:highlight w:val="none"/>
                <w:lang w:eastAsia="zh-CN"/>
              </w:rPr>
            </w:pPr>
            <w:r>
              <w:rPr>
                <w:rFonts w:hint="eastAsia"/>
                <w:color w:val="auto"/>
                <w:highlight w:val="none"/>
              </w:rPr>
              <w:t>③</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r>
              <w:rPr>
                <w:rFonts w:hint="eastAsia" w:ascii="宋体" w:hAnsi="宋体" w:cs="宋体"/>
                <w:color w:val="auto"/>
                <w:sz w:val="24"/>
                <w:highlight w:val="none"/>
                <w:lang w:eastAsia="zh-CN"/>
              </w:rPr>
              <w:t>。</w:t>
            </w:r>
          </w:p>
          <w:p>
            <w:pPr>
              <w:spacing w:beforeLines="0" w:afterLines="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）甲方按本合同规定提取履约担保金额后，乙方应在收到甲方通知后</w:t>
            </w: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pStyle w:val="13"/>
              <w:spacing w:line="360" w:lineRule="auto"/>
              <w:jc w:val="both"/>
              <w:rPr>
                <w:rFonts w:ascii="宋体" w:hAnsi="宋体" w:eastAsia="宋体" w:cs="宋体"/>
                <w:color w:val="auto"/>
                <w:sz w:val="24"/>
                <w:szCs w:val="24"/>
                <w:highlight w:val="none"/>
              </w:rPr>
            </w:pPr>
          </w:p>
        </w:tc>
      </w:tr>
    </w:tbl>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其他商务需求</w:t>
      </w:r>
    </w:p>
    <w:tbl>
      <w:tblPr>
        <w:tblStyle w:val="9"/>
        <w:tblW w:w="96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4"/>
        <w:gridCol w:w="750"/>
        <w:gridCol w:w="1901"/>
        <w:gridCol w:w="57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pStyle w:val="13"/>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参数性质</w:t>
            </w:r>
          </w:p>
        </w:tc>
        <w:tc>
          <w:tcPr>
            <w:tcW w:w="750" w:type="dxa"/>
          </w:tcPr>
          <w:p>
            <w:pPr>
              <w:pStyle w:val="13"/>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编号</w:t>
            </w:r>
          </w:p>
        </w:tc>
        <w:tc>
          <w:tcPr>
            <w:tcW w:w="1901" w:type="dxa"/>
          </w:tcPr>
          <w:p>
            <w:pPr>
              <w:pStyle w:val="13"/>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内容明细</w:t>
            </w:r>
          </w:p>
        </w:tc>
        <w:tc>
          <w:tcPr>
            <w:tcW w:w="5756" w:type="dxa"/>
          </w:tcPr>
          <w:p>
            <w:pPr>
              <w:pStyle w:val="13"/>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spacing w:line="360" w:lineRule="auto"/>
              <w:rPr>
                <w:rFonts w:hint="eastAsia" w:ascii="宋体" w:hAnsi="宋体" w:cs="宋体"/>
                <w:color w:val="auto"/>
                <w:sz w:val="24"/>
                <w:szCs w:val="24"/>
                <w:highlight w:val="none"/>
              </w:rPr>
            </w:pPr>
          </w:p>
        </w:tc>
        <w:tc>
          <w:tcPr>
            <w:tcW w:w="750" w:type="dxa"/>
          </w:tcPr>
          <w:p>
            <w:pPr>
              <w:pStyle w:val="13"/>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p>
        </w:tc>
        <w:tc>
          <w:tcPr>
            <w:tcW w:w="1901" w:type="dxa"/>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项目需求描述</w:t>
            </w:r>
          </w:p>
        </w:tc>
        <w:tc>
          <w:tcPr>
            <w:tcW w:w="5756" w:type="dxa"/>
          </w:tcPr>
          <w:p>
            <w:pPr>
              <w:pStyle w:val="14"/>
              <w:numPr>
                <w:ilvl w:val="0"/>
                <w:numId w:val="3"/>
              </w:numPr>
              <w:adjustRightInd w:val="0"/>
              <w:snapToGrid w:val="0"/>
              <w:ind w:firstLine="0" w:firstLineChars="0"/>
              <w:rPr>
                <w:rFonts w:hint="eastAsia" w:ascii="宋体" w:hAnsi="宋体" w:cs="宋体"/>
                <w:color w:val="auto"/>
                <w:szCs w:val="24"/>
                <w:highlight w:val="none"/>
                <w:lang w:val="zh-CN"/>
              </w:rPr>
            </w:pPr>
            <w:r>
              <w:rPr>
                <w:rFonts w:hint="eastAsia" w:ascii="宋体" w:hAnsi="宋体" w:cs="宋体"/>
                <w:color w:val="auto"/>
                <w:szCs w:val="24"/>
                <w:highlight w:val="none"/>
                <w:lang w:val="zh-CN"/>
              </w:rPr>
              <w:t>投标人须对本项目的所有设备进行整体投标，不允许只对其中部分内容进行投标，否则作无效投标处理。</w:t>
            </w:r>
          </w:p>
          <w:p>
            <w:pPr>
              <w:pStyle w:val="14"/>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lang w:val="zh-CN"/>
              </w:rPr>
              <w:t>本招标文件中如果有出现工艺、材料、设备或参照的品牌仅为方便描述而没有限制性，供应商可以在其提供的文件资料中选用替代标准，但这些替代标准应优于或相当于本招标文件中的标准。</w:t>
            </w:r>
          </w:p>
          <w:p>
            <w:pPr>
              <w:pStyle w:val="13"/>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投标人应充分了解本项目实际情况（包括但不限于本招标文件技术指标要求、现场环境安装条件等），中标单位须完成项目实施点位勘察及完成相关设计工作、并出具施工图及编制预算及结算报告，同时项目设备进场前提供项目设备安装方案及计划，以保证项目顺利推进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spacing w:line="360" w:lineRule="auto"/>
              <w:rPr>
                <w:rFonts w:hint="eastAsia" w:ascii="宋体" w:hAnsi="宋体" w:cs="宋体"/>
                <w:color w:val="auto"/>
                <w:sz w:val="24"/>
                <w:szCs w:val="24"/>
                <w:highlight w:val="none"/>
              </w:rPr>
            </w:pPr>
          </w:p>
        </w:tc>
        <w:tc>
          <w:tcPr>
            <w:tcW w:w="750" w:type="dxa"/>
          </w:tcPr>
          <w:p>
            <w:pPr>
              <w:pStyle w:val="13"/>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1901"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设备要求</w:t>
            </w:r>
          </w:p>
        </w:tc>
        <w:tc>
          <w:tcPr>
            <w:tcW w:w="5756" w:type="dxa"/>
          </w:tcPr>
          <w:p>
            <w:pPr>
              <w:pStyle w:val="13"/>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w:t>货物为原制造商制造的全新产品，整机无污染，无侵权行为、表面无划损、无任何缺陷隐患，在中国境内可依常规安全合法使用。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spacing w:line="360" w:lineRule="auto"/>
              <w:rPr>
                <w:rFonts w:hint="eastAsia" w:ascii="宋体" w:hAnsi="宋体" w:cs="宋体"/>
                <w:color w:val="auto"/>
                <w:sz w:val="24"/>
                <w:szCs w:val="24"/>
                <w:highlight w:val="none"/>
              </w:rPr>
            </w:pPr>
          </w:p>
        </w:tc>
        <w:tc>
          <w:tcPr>
            <w:tcW w:w="750" w:type="dxa"/>
          </w:tcPr>
          <w:p>
            <w:pPr>
              <w:pStyle w:val="13"/>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1901"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包装运输</w:t>
            </w:r>
          </w:p>
        </w:tc>
        <w:tc>
          <w:tcPr>
            <w:tcW w:w="5756"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要求使用国际通用的标准包装，适合于长途运输。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spacing w:line="360" w:lineRule="auto"/>
              <w:rPr>
                <w:rFonts w:hint="eastAsia" w:ascii="宋体" w:hAnsi="宋体" w:cs="宋体"/>
                <w:color w:val="auto"/>
                <w:sz w:val="24"/>
                <w:szCs w:val="24"/>
                <w:highlight w:val="none"/>
              </w:rPr>
            </w:pPr>
          </w:p>
        </w:tc>
        <w:tc>
          <w:tcPr>
            <w:tcW w:w="750" w:type="dxa"/>
          </w:tcPr>
          <w:p>
            <w:pPr>
              <w:pStyle w:val="13"/>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1901"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交货期、交货方式及交货地点</w:t>
            </w:r>
          </w:p>
        </w:tc>
        <w:tc>
          <w:tcPr>
            <w:tcW w:w="5756"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1.合同签订</w:t>
            </w:r>
            <w:r>
              <w:rPr>
                <w:rFonts w:ascii="宋体" w:hAnsi="宋体" w:eastAsia="宋体" w:cs="宋体"/>
                <w:color w:val="auto"/>
                <w:sz w:val="24"/>
                <w:szCs w:val="24"/>
                <w:highlight w:val="none"/>
                <w:lang w:eastAsia="zh-CN"/>
              </w:rPr>
              <w:t>后36个月</w:t>
            </w:r>
            <w:r>
              <w:rPr>
                <w:rFonts w:ascii="宋体" w:hAnsi="宋体" w:eastAsia="宋体" w:cs="宋体"/>
                <w:color w:val="auto"/>
                <w:sz w:val="24"/>
                <w:szCs w:val="24"/>
                <w:highlight w:val="none"/>
              </w:rPr>
              <w:t>内项目中标人严格按照项目计划进度予以实施，完成项目实施任务并通过用户验收。 2.交货方式：</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指定的方式。 3.交货地点：</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spacing w:line="360" w:lineRule="auto"/>
              <w:rPr>
                <w:rFonts w:hint="eastAsia" w:ascii="宋体" w:hAnsi="宋体" w:cs="宋体"/>
                <w:color w:val="auto"/>
                <w:sz w:val="24"/>
                <w:szCs w:val="24"/>
                <w:highlight w:val="none"/>
              </w:rPr>
            </w:pPr>
          </w:p>
        </w:tc>
        <w:tc>
          <w:tcPr>
            <w:tcW w:w="750" w:type="dxa"/>
          </w:tcPr>
          <w:p>
            <w:pPr>
              <w:pStyle w:val="13"/>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1901"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质保期限及驻场</w:t>
            </w:r>
            <w:r>
              <w:rPr>
                <w:rFonts w:ascii="宋体" w:hAnsi="宋体" w:eastAsia="宋体" w:cs="宋体"/>
                <w:color w:val="auto"/>
                <w:sz w:val="24"/>
                <w:szCs w:val="24"/>
                <w:highlight w:val="none"/>
                <w:lang w:eastAsia="zh-CN"/>
              </w:rPr>
              <w:t>售后</w:t>
            </w:r>
            <w:r>
              <w:rPr>
                <w:rFonts w:ascii="宋体" w:hAnsi="宋体" w:eastAsia="宋体" w:cs="宋体"/>
                <w:color w:val="auto"/>
                <w:sz w:val="24"/>
                <w:szCs w:val="24"/>
                <w:highlight w:val="none"/>
              </w:rPr>
              <w:t>服务</w:t>
            </w:r>
          </w:p>
        </w:tc>
        <w:tc>
          <w:tcPr>
            <w:tcW w:w="5756"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质保期</w:t>
            </w:r>
            <w:r>
              <w:rPr>
                <w:rFonts w:ascii="宋体" w:hAnsi="宋体" w:eastAsia="宋体" w:cs="宋体"/>
                <w:color w:val="auto"/>
                <w:sz w:val="24"/>
                <w:szCs w:val="24"/>
                <w:highlight w:val="none"/>
                <w:lang w:eastAsia="zh-CN"/>
              </w:rPr>
              <w:t>（质保</w:t>
            </w:r>
            <w:bookmarkStart w:id="0" w:name="OLE_LINK1"/>
            <w:r>
              <w:rPr>
                <w:rFonts w:ascii="宋体" w:hAnsi="宋体" w:eastAsia="宋体" w:cs="宋体"/>
                <w:color w:val="auto"/>
                <w:sz w:val="24"/>
                <w:szCs w:val="24"/>
                <w:highlight w:val="none"/>
                <w:lang w:eastAsia="zh-CN"/>
              </w:rPr>
              <w:t>费用包含在投标报价中</w:t>
            </w:r>
            <w:bookmarkEnd w:id="0"/>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：从每批次设备验收合格之日起</w:t>
            </w:r>
            <w:r>
              <w:rPr>
                <w:rFonts w:ascii="宋体" w:hAnsi="宋体" w:eastAsia="宋体" w:cs="宋体"/>
                <w:color w:val="auto"/>
                <w:sz w:val="24"/>
                <w:szCs w:val="24"/>
                <w:highlight w:val="none"/>
                <w:lang w:eastAsia="zh-CN"/>
              </w:rPr>
              <w:t>72个月</w:t>
            </w:r>
            <w:r>
              <w:rPr>
                <w:rFonts w:ascii="宋体" w:hAnsi="宋体" w:eastAsia="宋体" w:cs="宋体"/>
                <w:color w:val="auto"/>
                <w:sz w:val="24"/>
                <w:szCs w:val="24"/>
                <w:highlight w:val="none"/>
              </w:rPr>
              <w:t>，质保期内</w:t>
            </w:r>
            <w:r>
              <w:rPr>
                <w:rFonts w:ascii="宋体" w:hAnsi="宋体" w:eastAsia="宋体" w:cs="宋体"/>
                <w:color w:val="auto"/>
                <w:sz w:val="24"/>
                <w:szCs w:val="24"/>
                <w:highlight w:val="none"/>
                <w:lang w:eastAsia="zh-CN"/>
              </w:rPr>
              <w:t>中标人</w:t>
            </w:r>
            <w:r>
              <w:rPr>
                <w:rFonts w:ascii="宋体" w:hAnsi="宋体" w:eastAsia="宋体" w:cs="宋体"/>
                <w:color w:val="auto"/>
                <w:sz w:val="24"/>
                <w:szCs w:val="24"/>
                <w:highlight w:val="none"/>
              </w:rPr>
              <w:t xml:space="preserve">对所供货物（设备及硬件）实行包修、包换、包退及合同约定的其它事项。 </w:t>
            </w:r>
          </w:p>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2.质保期内，如设备或零部件因质量原因出现故障而造成短期停用时，则质保期相应顺延。如停用时间累计超过60天则质保期重新计算。 </w:t>
            </w:r>
          </w:p>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3.驻场服务要求：从</w:t>
            </w:r>
            <w:r>
              <w:rPr>
                <w:rFonts w:ascii="宋体" w:hAnsi="宋体" w:eastAsia="宋体" w:cs="宋体"/>
                <w:color w:val="auto"/>
                <w:sz w:val="24"/>
                <w:szCs w:val="24"/>
                <w:highlight w:val="none"/>
                <w:lang w:eastAsia="zh-CN"/>
              </w:rPr>
              <w:t>所有</w:t>
            </w:r>
            <w:r>
              <w:rPr>
                <w:rFonts w:ascii="宋体" w:hAnsi="宋体" w:eastAsia="宋体" w:cs="宋体"/>
                <w:color w:val="auto"/>
                <w:sz w:val="24"/>
                <w:szCs w:val="24"/>
                <w:highlight w:val="none"/>
              </w:rPr>
              <w:t>设备验收合格</w:t>
            </w:r>
            <w:r>
              <w:rPr>
                <w:rFonts w:ascii="宋体" w:hAnsi="宋体" w:eastAsia="宋体" w:cs="宋体"/>
                <w:color w:val="auto"/>
                <w:sz w:val="24"/>
                <w:szCs w:val="24"/>
                <w:highlight w:val="none"/>
                <w:lang w:eastAsia="zh-CN"/>
              </w:rPr>
              <w:t>并正常投入使用</w:t>
            </w:r>
            <w:r>
              <w:rPr>
                <w:rFonts w:ascii="宋体" w:hAnsi="宋体" w:eastAsia="宋体" w:cs="宋体"/>
                <w:color w:val="auto"/>
                <w:sz w:val="24"/>
                <w:szCs w:val="24"/>
                <w:highlight w:val="none"/>
              </w:rPr>
              <w:t>之日起</w:t>
            </w:r>
            <w:r>
              <w:rPr>
                <w:rFonts w:ascii="宋体" w:hAnsi="宋体" w:eastAsia="宋体" w:cs="宋体"/>
                <w:color w:val="auto"/>
                <w:sz w:val="24"/>
                <w:szCs w:val="24"/>
                <w:highlight w:val="none"/>
                <w:lang w:eastAsia="zh-CN"/>
              </w:rPr>
              <w:t>72个月</w:t>
            </w:r>
            <w:r>
              <w:rPr>
                <w:rFonts w:ascii="宋体" w:hAnsi="宋体" w:eastAsia="宋体" w:cs="宋体"/>
                <w:color w:val="auto"/>
                <w:sz w:val="24"/>
                <w:szCs w:val="24"/>
                <w:highlight w:val="none"/>
              </w:rPr>
              <w:t>，要求中标人提供不低于1名驻场工程师进行驻点工作（</w:t>
            </w:r>
            <w:r>
              <w:rPr>
                <w:rFonts w:ascii="宋体" w:hAnsi="宋体" w:eastAsia="宋体" w:cs="宋体"/>
                <w:color w:val="auto"/>
                <w:sz w:val="24"/>
                <w:szCs w:val="24"/>
                <w:highlight w:val="none"/>
                <w:lang w:eastAsia="zh-CN"/>
              </w:rPr>
              <w:t>每周：</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天×8小时），节假日及非工作时间有严重故障或任务保障，驻场工程师需</w:t>
            </w:r>
            <w:r>
              <w:rPr>
                <w:rFonts w:ascii="宋体" w:hAnsi="宋体" w:eastAsia="宋体" w:cs="宋体"/>
                <w:color w:val="auto"/>
                <w:sz w:val="24"/>
                <w:szCs w:val="24"/>
                <w:highlight w:val="none"/>
                <w:lang w:eastAsia="zh-CN"/>
              </w:rPr>
              <w:t>在2小时内</w:t>
            </w:r>
            <w:r>
              <w:rPr>
                <w:rFonts w:ascii="宋体" w:hAnsi="宋体" w:eastAsia="宋体" w:cs="宋体"/>
                <w:color w:val="auto"/>
                <w:sz w:val="24"/>
                <w:szCs w:val="24"/>
                <w:highlight w:val="none"/>
              </w:rPr>
              <w:t>迅速到场提供支持。</w:t>
            </w:r>
          </w:p>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对</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的服务通知，</w:t>
            </w:r>
            <w:r>
              <w:rPr>
                <w:rFonts w:ascii="宋体" w:hAnsi="宋体" w:eastAsia="宋体" w:cs="宋体"/>
                <w:color w:val="auto"/>
                <w:sz w:val="24"/>
                <w:szCs w:val="24"/>
                <w:highlight w:val="none"/>
                <w:lang w:eastAsia="zh-CN"/>
              </w:rPr>
              <w:t>中标人</w:t>
            </w:r>
            <w:r>
              <w:rPr>
                <w:rFonts w:ascii="宋体" w:hAnsi="宋体" w:eastAsia="宋体" w:cs="宋体"/>
                <w:color w:val="auto"/>
                <w:sz w:val="24"/>
                <w:szCs w:val="24"/>
                <w:highlight w:val="none"/>
              </w:rPr>
              <w:t>在接报后30分钟内响应，技术工程师在每天8:00～18:00期间</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小时到达现场，其余期间</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小时到达现场。到达现场后</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小时内排除设备故障（遇到自然灾害等不可抗拒事故除外）。若在48小时内仍未能有效解决，</w:t>
            </w:r>
            <w:r>
              <w:rPr>
                <w:rFonts w:ascii="宋体" w:hAnsi="宋体" w:eastAsia="宋体" w:cs="宋体"/>
                <w:color w:val="auto"/>
                <w:sz w:val="24"/>
                <w:szCs w:val="24"/>
                <w:highlight w:val="none"/>
                <w:lang w:eastAsia="zh-CN"/>
              </w:rPr>
              <w:t>中标人</w:t>
            </w:r>
            <w:r>
              <w:rPr>
                <w:rFonts w:ascii="宋体" w:hAnsi="宋体" w:eastAsia="宋体" w:cs="宋体"/>
                <w:color w:val="auto"/>
                <w:sz w:val="24"/>
                <w:szCs w:val="24"/>
                <w:highlight w:val="none"/>
              </w:rPr>
              <w:t>须提供同规格的设备予</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临时使用</w:t>
            </w:r>
            <w:r>
              <w:rPr>
                <w:rFonts w:ascii="宋体" w:hAnsi="宋体" w:eastAsia="宋体" w:cs="宋体"/>
                <w:color w:val="auto"/>
                <w:sz w:val="24"/>
                <w:szCs w:val="24"/>
                <w:highlight w:val="none"/>
                <w:lang w:eastAsia="zh-CN"/>
              </w:rPr>
              <w:t>（费用包含在投标报价中）</w:t>
            </w:r>
            <w:r>
              <w:rPr>
                <w:rFonts w:ascii="宋体" w:hAnsi="宋体" w:eastAsia="宋体" w:cs="宋体"/>
                <w:color w:val="auto"/>
                <w:sz w:val="24"/>
                <w:szCs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4" w:type="dxa"/>
          </w:tcPr>
          <w:p>
            <w:pPr>
              <w:spacing w:line="360" w:lineRule="auto"/>
              <w:rPr>
                <w:rFonts w:hint="eastAsia" w:ascii="宋体" w:hAnsi="宋体" w:cs="宋体"/>
                <w:color w:val="auto"/>
                <w:sz w:val="24"/>
                <w:szCs w:val="24"/>
                <w:highlight w:val="none"/>
              </w:rPr>
            </w:pPr>
          </w:p>
        </w:tc>
        <w:tc>
          <w:tcPr>
            <w:tcW w:w="750" w:type="dxa"/>
          </w:tcPr>
          <w:p>
            <w:pPr>
              <w:pStyle w:val="13"/>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1901"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安装与调试</w:t>
            </w:r>
          </w:p>
        </w:tc>
        <w:tc>
          <w:tcPr>
            <w:tcW w:w="5756" w:type="dxa"/>
          </w:tcPr>
          <w:p>
            <w:pPr>
              <w:pStyle w:val="13"/>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以符合</w:t>
            </w:r>
            <w:r>
              <w:rPr>
                <w:rFonts w:ascii="宋体" w:hAnsi="宋体" w:eastAsia="宋体" w:cs="宋体"/>
                <w:color w:val="auto"/>
                <w:sz w:val="24"/>
                <w:szCs w:val="24"/>
                <w:highlight w:val="none"/>
                <w:lang w:eastAsia="zh-CN"/>
              </w:rPr>
              <w:t>招标文件</w:t>
            </w:r>
            <w:r>
              <w:rPr>
                <w:rFonts w:ascii="宋体" w:hAnsi="宋体" w:eastAsia="宋体" w:cs="宋体"/>
                <w:color w:val="auto"/>
                <w:sz w:val="24"/>
                <w:szCs w:val="24"/>
                <w:highlight w:val="none"/>
              </w:rPr>
              <w:t>要求和响应承诺的前提下，中标人将设备（系统）安装并调试至正常运行的最佳状态且验收合格达到运营要求。 1.货物的到货验收包括：型号、规格、数量、外观质量及货物包装完整无破损，在货物抵达交货目的地后，</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和中标人就货物外观质量、规格和型号进行初步检验。货物须为原厂商未启封全新包装，具有出厂合格证，序列号、包装箱号与出厂批号一致，并可追索查阅。所有随货物的附件必须齐全。如果发现到货的外观质量、规格和型号与合同不符，</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有权拒收货物，并可向中标人索赔。 2.除非</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另有通知，中标人应按照合同的要求以及合同执行计划的时间安排，派出足够的人员进行现场土建施工、设备安装和负责调试工作，并应设项目负责人，负责施工、安装协调管理</w:t>
            </w:r>
            <w:r>
              <w:rPr>
                <w:rFonts w:ascii="宋体" w:hAnsi="宋体" w:eastAsia="宋体" w:cs="宋体"/>
                <w:color w:val="auto"/>
                <w:sz w:val="24"/>
                <w:szCs w:val="24"/>
                <w:highlight w:val="none"/>
                <w:lang w:eastAsia="zh-CN"/>
              </w:rPr>
              <w:t>及</w:t>
            </w:r>
            <w:r>
              <w:rPr>
                <w:rFonts w:ascii="宋体" w:hAnsi="宋体" w:eastAsia="宋体" w:cs="宋体"/>
                <w:color w:val="auto"/>
                <w:sz w:val="24"/>
                <w:szCs w:val="24"/>
                <w:highlight w:val="none"/>
              </w:rPr>
              <w:t>落实安全生产工作。中标人应为其派出现场服务人员购买人身意外保险</w:t>
            </w:r>
            <w:r>
              <w:rPr>
                <w:rFonts w:ascii="宋体" w:hAnsi="宋体" w:eastAsia="宋体" w:cs="宋体"/>
                <w:color w:val="auto"/>
                <w:sz w:val="24"/>
                <w:szCs w:val="24"/>
                <w:highlight w:val="none"/>
                <w:lang w:eastAsia="zh-CN"/>
              </w:rPr>
              <w:t>等相关保险</w:t>
            </w:r>
            <w:r>
              <w:rPr>
                <w:rFonts w:ascii="宋体" w:hAnsi="宋体" w:eastAsia="宋体" w:cs="宋体"/>
                <w:color w:val="auto"/>
                <w:sz w:val="24"/>
                <w:szCs w:val="24"/>
                <w:highlight w:val="none"/>
              </w:rPr>
              <w:t>，在合同执行期发生的任何意外，与</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无关。 3.系统测试：按照</w:t>
            </w:r>
            <w:r>
              <w:rPr>
                <w:rFonts w:ascii="宋体" w:hAnsi="宋体" w:eastAsia="宋体" w:cs="宋体"/>
                <w:color w:val="auto"/>
                <w:sz w:val="24"/>
                <w:szCs w:val="24"/>
                <w:highlight w:val="none"/>
                <w:lang w:eastAsia="zh-CN"/>
              </w:rPr>
              <w:t>招标文件</w:t>
            </w:r>
            <w:r>
              <w:rPr>
                <w:rFonts w:ascii="宋体" w:hAnsi="宋体" w:eastAsia="宋体" w:cs="宋体"/>
                <w:color w:val="auto"/>
                <w:sz w:val="24"/>
                <w:szCs w:val="24"/>
                <w:highlight w:val="none"/>
              </w:rPr>
              <w:t>中的相关系统要求及双方确认的标准、规范，对平台系统功能逐一测试。产品安装完成并通电自检正常后，联网对接系统平台进行测试。如</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在商检或系统测试中发现设备或系统性能指标或功能上不符合合同规定，</w:t>
            </w:r>
            <w:r>
              <w:rPr>
                <w:rFonts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有权拒收，并可向中标人索赔。 4.中标人必须依照招标文件的要求和投标文件的承诺，将货物、系统安装并调试至正常运行的最佳状态。 5.施工、安装工具：安装所需工具设施物料由中标人自备、自费运到现场，完工后自费搬走。</w:t>
            </w:r>
          </w:p>
        </w:tc>
      </w:tr>
    </w:tbl>
    <w:p>
      <w:pPr>
        <w:numPr>
          <w:ilvl w:val="255"/>
          <w:numId w:val="0"/>
        </w:numPr>
        <w:tabs>
          <w:tab w:val="left" w:pos="2020"/>
        </w:tabs>
        <w:spacing w:line="240" w:lineRule="auto"/>
        <w:jc w:val="left"/>
        <w:rPr>
          <w:rFonts w:hint="eastAsia" w:ascii="宋体" w:hAnsi="宋体" w:cs="宋体"/>
          <w:color w:val="auto"/>
          <w:kern w:val="0"/>
          <w:sz w:val="22"/>
          <w:highlight w:val="none"/>
          <w:lang w:bidi="ar"/>
        </w:rPr>
      </w:pPr>
    </w:p>
    <w:p>
      <w:pPr>
        <w:tabs>
          <w:tab w:val="left" w:pos="1542"/>
        </w:tabs>
        <w:spacing w:line="240" w:lineRule="auto"/>
        <w:jc w:val="left"/>
        <w:rPr>
          <w:rFonts w:hint="eastAsia" w:ascii="宋体" w:hAnsi="宋体" w:cs="宋体"/>
          <w:color w:val="auto"/>
          <w:kern w:val="0"/>
          <w:sz w:val="22"/>
          <w:highlight w:val="none"/>
          <w:lang w:bidi="ar"/>
        </w:rPr>
      </w:pPr>
    </w:p>
    <w:bookmarkEnd w:id="1"/>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83974"/>
    <w:multiLevelType w:val="singleLevel"/>
    <w:tmpl w:val="93C83974"/>
    <w:lvl w:ilvl="0" w:tentative="0">
      <w:start w:val="14"/>
      <w:numFmt w:val="decimal"/>
      <w:suff w:val="nothing"/>
      <w:lvlText w:val="%1、"/>
      <w:lvlJc w:val="left"/>
    </w:lvl>
  </w:abstractNum>
  <w:abstractNum w:abstractNumId="1">
    <w:nsid w:val="A24EE736"/>
    <w:multiLevelType w:val="singleLevel"/>
    <w:tmpl w:val="A24EE736"/>
    <w:lvl w:ilvl="0" w:tentative="0">
      <w:start w:val="1"/>
      <w:numFmt w:val="decimal"/>
      <w:lvlText w:val="%1."/>
      <w:lvlJc w:val="left"/>
      <w:pPr>
        <w:tabs>
          <w:tab w:val="left" w:pos="312"/>
        </w:tabs>
      </w:pPr>
    </w:lvl>
  </w:abstractNum>
  <w:abstractNum w:abstractNumId="2">
    <w:nsid w:val="32B5C2AF"/>
    <w:multiLevelType w:val="multilevel"/>
    <w:tmpl w:val="32B5C2AF"/>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jODhiZTcyMDIwZmUwOWIwYTQ4ZTJhOTVjMzQzMzgifQ=="/>
  </w:docVars>
  <w:rsids>
    <w:rsidRoot w:val="00696919"/>
    <w:rsid w:val="00016E7F"/>
    <w:rsid w:val="000C0E6D"/>
    <w:rsid w:val="000E2896"/>
    <w:rsid w:val="001379C6"/>
    <w:rsid w:val="00242F3F"/>
    <w:rsid w:val="0024517F"/>
    <w:rsid w:val="00461019"/>
    <w:rsid w:val="004B553D"/>
    <w:rsid w:val="004C62E8"/>
    <w:rsid w:val="00607475"/>
    <w:rsid w:val="00621C95"/>
    <w:rsid w:val="006576A6"/>
    <w:rsid w:val="00696919"/>
    <w:rsid w:val="00734C58"/>
    <w:rsid w:val="007B374E"/>
    <w:rsid w:val="007C009A"/>
    <w:rsid w:val="007E014D"/>
    <w:rsid w:val="0084004B"/>
    <w:rsid w:val="008B0EC1"/>
    <w:rsid w:val="00940944"/>
    <w:rsid w:val="009B4C4F"/>
    <w:rsid w:val="009C2A39"/>
    <w:rsid w:val="009F4ACB"/>
    <w:rsid w:val="009F5624"/>
    <w:rsid w:val="009F571E"/>
    <w:rsid w:val="00A04CA3"/>
    <w:rsid w:val="00B246DB"/>
    <w:rsid w:val="00BA4F4B"/>
    <w:rsid w:val="00BD4D85"/>
    <w:rsid w:val="00C73FBE"/>
    <w:rsid w:val="00CC5091"/>
    <w:rsid w:val="00D95F39"/>
    <w:rsid w:val="00DC21F4"/>
    <w:rsid w:val="00E10F57"/>
    <w:rsid w:val="00F65F6E"/>
    <w:rsid w:val="00F832E1"/>
    <w:rsid w:val="01171717"/>
    <w:rsid w:val="034D095E"/>
    <w:rsid w:val="03B40EF0"/>
    <w:rsid w:val="03BA13F1"/>
    <w:rsid w:val="05E8478B"/>
    <w:rsid w:val="06F20FC3"/>
    <w:rsid w:val="0A4A3E4A"/>
    <w:rsid w:val="0B3C19E4"/>
    <w:rsid w:val="0B3E4029"/>
    <w:rsid w:val="0B8B7213"/>
    <w:rsid w:val="0D181FDD"/>
    <w:rsid w:val="0FB56353"/>
    <w:rsid w:val="0FE94BAA"/>
    <w:rsid w:val="108D50B6"/>
    <w:rsid w:val="11541B15"/>
    <w:rsid w:val="11FC4AB4"/>
    <w:rsid w:val="12771554"/>
    <w:rsid w:val="12FD1005"/>
    <w:rsid w:val="135D4BEE"/>
    <w:rsid w:val="13DF07A6"/>
    <w:rsid w:val="13E9022F"/>
    <w:rsid w:val="14952165"/>
    <w:rsid w:val="155E67E8"/>
    <w:rsid w:val="1772228D"/>
    <w:rsid w:val="17A665FC"/>
    <w:rsid w:val="18090EA0"/>
    <w:rsid w:val="181061A1"/>
    <w:rsid w:val="194B14D8"/>
    <w:rsid w:val="19596DE0"/>
    <w:rsid w:val="1A660899"/>
    <w:rsid w:val="1C0E7EC3"/>
    <w:rsid w:val="20772A8D"/>
    <w:rsid w:val="21464F13"/>
    <w:rsid w:val="23035109"/>
    <w:rsid w:val="23843AD1"/>
    <w:rsid w:val="24534DF9"/>
    <w:rsid w:val="27DF0BA6"/>
    <w:rsid w:val="281A06CA"/>
    <w:rsid w:val="28232F3B"/>
    <w:rsid w:val="28702875"/>
    <w:rsid w:val="2883486C"/>
    <w:rsid w:val="28BD7465"/>
    <w:rsid w:val="29BC15E4"/>
    <w:rsid w:val="2AAE22F6"/>
    <w:rsid w:val="2B593407"/>
    <w:rsid w:val="2C01198A"/>
    <w:rsid w:val="2CDD2426"/>
    <w:rsid w:val="2D214FC0"/>
    <w:rsid w:val="2EC942D6"/>
    <w:rsid w:val="2F6076F8"/>
    <w:rsid w:val="2FAF0127"/>
    <w:rsid w:val="30D84EA0"/>
    <w:rsid w:val="399D5C99"/>
    <w:rsid w:val="3B7F12F6"/>
    <w:rsid w:val="3C2D6FA3"/>
    <w:rsid w:val="3C8C292D"/>
    <w:rsid w:val="3CDB1C8B"/>
    <w:rsid w:val="3D254C96"/>
    <w:rsid w:val="3D734E8A"/>
    <w:rsid w:val="3ED76D29"/>
    <w:rsid w:val="3F401A22"/>
    <w:rsid w:val="40107B72"/>
    <w:rsid w:val="43171E14"/>
    <w:rsid w:val="46E75DC0"/>
    <w:rsid w:val="47FA5F02"/>
    <w:rsid w:val="4AEE566B"/>
    <w:rsid w:val="4B201A81"/>
    <w:rsid w:val="4BCB40E3"/>
    <w:rsid w:val="4C72455F"/>
    <w:rsid w:val="4DD23E09"/>
    <w:rsid w:val="4E1E1297"/>
    <w:rsid w:val="4FB1039B"/>
    <w:rsid w:val="503E30D6"/>
    <w:rsid w:val="51933BB1"/>
    <w:rsid w:val="521108B0"/>
    <w:rsid w:val="525F7333"/>
    <w:rsid w:val="54E165CA"/>
    <w:rsid w:val="5501496A"/>
    <w:rsid w:val="555B2034"/>
    <w:rsid w:val="561839D4"/>
    <w:rsid w:val="566D64C3"/>
    <w:rsid w:val="5743776C"/>
    <w:rsid w:val="58456811"/>
    <w:rsid w:val="599134D0"/>
    <w:rsid w:val="5A9B0E80"/>
    <w:rsid w:val="5BF87140"/>
    <w:rsid w:val="5C403D31"/>
    <w:rsid w:val="5CCC5F1B"/>
    <w:rsid w:val="5CED2C6D"/>
    <w:rsid w:val="5D402309"/>
    <w:rsid w:val="5DB0029B"/>
    <w:rsid w:val="5EBD7BF5"/>
    <w:rsid w:val="5FBA3DFB"/>
    <w:rsid w:val="60236407"/>
    <w:rsid w:val="61353DF6"/>
    <w:rsid w:val="61C13ECF"/>
    <w:rsid w:val="62B941D0"/>
    <w:rsid w:val="64215BE7"/>
    <w:rsid w:val="646B7484"/>
    <w:rsid w:val="65841289"/>
    <w:rsid w:val="66174CEF"/>
    <w:rsid w:val="675013F3"/>
    <w:rsid w:val="67551F41"/>
    <w:rsid w:val="67AA29A7"/>
    <w:rsid w:val="67DE33AD"/>
    <w:rsid w:val="68591C15"/>
    <w:rsid w:val="6AB35B33"/>
    <w:rsid w:val="6B4979BD"/>
    <w:rsid w:val="6B527828"/>
    <w:rsid w:val="6BE90529"/>
    <w:rsid w:val="6CD23BD3"/>
    <w:rsid w:val="6E1345AF"/>
    <w:rsid w:val="6EFE7C1F"/>
    <w:rsid w:val="6F253543"/>
    <w:rsid w:val="70110B79"/>
    <w:rsid w:val="7055769B"/>
    <w:rsid w:val="706F6B8D"/>
    <w:rsid w:val="71D46F9E"/>
    <w:rsid w:val="72E90827"/>
    <w:rsid w:val="73075151"/>
    <w:rsid w:val="731A1FE2"/>
    <w:rsid w:val="73601E83"/>
    <w:rsid w:val="7375030D"/>
    <w:rsid w:val="73B07597"/>
    <w:rsid w:val="73E73938"/>
    <w:rsid w:val="73FF1C70"/>
    <w:rsid w:val="753C7334"/>
    <w:rsid w:val="759926FC"/>
    <w:rsid w:val="75E550A2"/>
    <w:rsid w:val="77440722"/>
    <w:rsid w:val="782B3690"/>
    <w:rsid w:val="79297BCF"/>
    <w:rsid w:val="79D17DC2"/>
    <w:rsid w:val="7C1D7794"/>
    <w:rsid w:val="7C3963C4"/>
    <w:rsid w:val="7CE81B50"/>
    <w:rsid w:val="7DA9254D"/>
    <w:rsid w:val="7E3C65F7"/>
    <w:rsid w:val="7EDD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2"/>
    <w:basedOn w:val="1"/>
    <w:next w:val="1"/>
    <w:unhideWhenUsed/>
    <w:qFormat/>
    <w:uiPriority w:val="0"/>
    <w:pPr>
      <w:keepNext/>
      <w:keepLines/>
      <w:numPr>
        <w:ilvl w:val="1"/>
        <w:numId w:val="1"/>
      </w:numPr>
      <w:adjustRightInd w:val="0"/>
      <w:snapToGrid w:val="0"/>
      <w:spacing w:before="140" w:after="140" w:line="413" w:lineRule="auto"/>
      <w:ind w:left="0" w:firstLine="0"/>
      <w:outlineLvl w:val="1"/>
    </w:pPr>
    <w:rPr>
      <w:rFonts w:ascii="Arial" w:hAnsi="Arial" w:eastAsia="黑体"/>
      <w:b/>
      <w:sz w:val="32"/>
    </w:rPr>
  </w:style>
  <w:style w:type="paragraph" w:styleId="3">
    <w:name w:val="heading 3"/>
    <w:basedOn w:val="2"/>
    <w:next w:val="1"/>
    <w:unhideWhenUsed/>
    <w:qFormat/>
    <w:uiPriority w:val="0"/>
    <w:pPr>
      <w:numPr>
        <w:ilvl w:val="2"/>
      </w:numPr>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footer"/>
    <w:basedOn w:val="1"/>
    <w:link w:val="28"/>
    <w:qFormat/>
    <w:uiPriority w:val="0"/>
    <w:pPr>
      <w:tabs>
        <w:tab w:val="center" w:pos="4153"/>
        <w:tab w:val="right" w:pos="8306"/>
      </w:tabs>
      <w:snapToGrid w:val="0"/>
      <w:jc w:val="left"/>
    </w:pPr>
    <w:rPr>
      <w:sz w:val="18"/>
      <w:szCs w:val="18"/>
    </w:rPr>
  </w:style>
  <w:style w:type="paragraph" w:styleId="6">
    <w:name w:val="header"/>
    <w:basedOn w:val="1"/>
    <w:link w:val="27"/>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4"/>
    <w:next w:val="4"/>
    <w:link w:val="32"/>
    <w:qFormat/>
    <w:uiPriority w:val="0"/>
    <w:rPr>
      <w:b/>
      <w:bCs/>
    </w:rPr>
  </w:style>
  <w:style w:type="character" w:styleId="11">
    <w:name w:val="Strong"/>
    <w:qFormat/>
    <w:uiPriority w:val="22"/>
    <w:rPr>
      <w:b/>
    </w:rPr>
  </w:style>
  <w:style w:type="character" w:styleId="12">
    <w:name w:val="annotation reference"/>
    <w:basedOn w:val="10"/>
    <w:qFormat/>
    <w:uiPriority w:val="0"/>
    <w:rPr>
      <w:sz w:val="21"/>
      <w:szCs w:val="21"/>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customStyle="1" w:styleId="14">
    <w:name w:val="需求正文"/>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character" w:customStyle="1" w:styleId="15">
    <w:name w:val="font51"/>
    <w:basedOn w:val="10"/>
    <w:qFormat/>
    <w:uiPriority w:val="0"/>
    <w:rPr>
      <w:rFonts w:hint="eastAsia" w:ascii="宋体" w:hAnsi="宋体" w:eastAsia="宋体" w:cs="宋体"/>
      <w:color w:val="FF0000"/>
      <w:sz w:val="22"/>
      <w:szCs w:val="22"/>
      <w:u w:val="none"/>
    </w:rPr>
  </w:style>
  <w:style w:type="character" w:customStyle="1" w:styleId="16">
    <w:name w:val="font71"/>
    <w:basedOn w:val="10"/>
    <w:qFormat/>
    <w:uiPriority w:val="0"/>
    <w:rPr>
      <w:rFonts w:hint="eastAsia" w:ascii="宋体" w:hAnsi="宋体" w:eastAsia="宋体" w:cs="宋体"/>
      <w:color w:val="EE822F"/>
      <w:sz w:val="22"/>
      <w:szCs w:val="22"/>
      <w:u w:val="none"/>
    </w:rPr>
  </w:style>
  <w:style w:type="character" w:customStyle="1" w:styleId="17">
    <w:name w:val="font61"/>
    <w:basedOn w:val="10"/>
    <w:qFormat/>
    <w:uiPriority w:val="0"/>
    <w:rPr>
      <w:rFonts w:hint="eastAsia" w:ascii="宋体" w:hAnsi="宋体" w:eastAsia="宋体" w:cs="宋体"/>
      <w:color w:val="000000"/>
      <w:sz w:val="22"/>
      <w:szCs w:val="22"/>
      <w:u w:val="none"/>
    </w:rPr>
  </w:style>
  <w:style w:type="character" w:customStyle="1" w:styleId="18">
    <w:name w:val="font31"/>
    <w:basedOn w:val="10"/>
    <w:qFormat/>
    <w:uiPriority w:val="0"/>
    <w:rPr>
      <w:rFonts w:hint="eastAsia" w:ascii="宋体" w:hAnsi="宋体" w:eastAsia="宋体" w:cs="宋体"/>
      <w:color w:val="000000"/>
      <w:sz w:val="22"/>
      <w:szCs w:val="22"/>
      <w:u w:val="none"/>
    </w:rPr>
  </w:style>
  <w:style w:type="character" w:customStyle="1" w:styleId="19">
    <w:name w:val="font81"/>
    <w:basedOn w:val="10"/>
    <w:qFormat/>
    <w:uiPriority w:val="0"/>
    <w:rPr>
      <w:rFonts w:ascii="微软雅黑" w:hAnsi="微软雅黑" w:eastAsia="微软雅黑" w:cs="微软雅黑"/>
      <w:color w:val="000000"/>
      <w:sz w:val="22"/>
      <w:szCs w:val="22"/>
      <w:u w:val="none"/>
    </w:rPr>
  </w:style>
  <w:style w:type="character" w:customStyle="1" w:styleId="20">
    <w:name w:val="font91"/>
    <w:basedOn w:val="10"/>
    <w:qFormat/>
    <w:uiPriority w:val="0"/>
    <w:rPr>
      <w:rFonts w:ascii="Arial" w:hAnsi="Arial" w:cs="Arial"/>
      <w:color w:val="000000"/>
      <w:sz w:val="22"/>
      <w:szCs w:val="22"/>
      <w:u w:val="none"/>
    </w:rPr>
  </w:style>
  <w:style w:type="character" w:customStyle="1" w:styleId="21">
    <w:name w:val="font41"/>
    <w:basedOn w:val="10"/>
    <w:qFormat/>
    <w:uiPriority w:val="0"/>
    <w:rPr>
      <w:rFonts w:hint="eastAsia" w:ascii="宋体" w:hAnsi="宋体" w:eastAsia="宋体" w:cs="宋体"/>
      <w:color w:val="FF0000"/>
      <w:sz w:val="22"/>
      <w:szCs w:val="22"/>
      <w:u w:val="none"/>
    </w:rPr>
  </w:style>
  <w:style w:type="character" w:customStyle="1" w:styleId="22">
    <w:name w:val="font101"/>
    <w:basedOn w:val="10"/>
    <w:qFormat/>
    <w:uiPriority w:val="0"/>
    <w:rPr>
      <w:rFonts w:hint="eastAsia" w:ascii="宋体" w:hAnsi="宋体" w:eastAsia="宋体" w:cs="宋体"/>
      <w:color w:val="7030A0"/>
      <w:sz w:val="22"/>
      <w:szCs w:val="22"/>
      <w:u w:val="none"/>
    </w:rPr>
  </w:style>
  <w:style w:type="character" w:customStyle="1" w:styleId="23">
    <w:name w:val="font01"/>
    <w:basedOn w:val="10"/>
    <w:qFormat/>
    <w:uiPriority w:val="0"/>
    <w:rPr>
      <w:rFonts w:hint="eastAsia" w:ascii="宋体" w:hAnsi="宋体" w:eastAsia="宋体" w:cs="宋体"/>
      <w:color w:val="000000"/>
      <w:sz w:val="22"/>
      <w:szCs w:val="22"/>
      <w:u w:val="none"/>
    </w:rPr>
  </w:style>
  <w:style w:type="character" w:customStyle="1" w:styleId="24">
    <w:name w:val="font111"/>
    <w:basedOn w:val="10"/>
    <w:qFormat/>
    <w:uiPriority w:val="0"/>
    <w:rPr>
      <w:rFonts w:ascii="Arial" w:hAnsi="Arial" w:cs="Arial"/>
      <w:color w:val="000000"/>
      <w:sz w:val="22"/>
      <w:szCs w:val="22"/>
      <w:u w:val="none"/>
    </w:rPr>
  </w:style>
  <w:style w:type="character" w:customStyle="1" w:styleId="25">
    <w:name w:val="font121"/>
    <w:basedOn w:val="10"/>
    <w:qFormat/>
    <w:uiPriority w:val="0"/>
    <w:rPr>
      <w:rFonts w:hint="eastAsia" w:ascii="宋体" w:hAnsi="宋体" w:eastAsia="宋体" w:cs="宋体"/>
      <w:color w:val="7030A0"/>
      <w:sz w:val="22"/>
      <w:szCs w:val="22"/>
      <w:u w:val="none"/>
    </w:rPr>
  </w:style>
  <w:style w:type="character" w:customStyle="1" w:styleId="26">
    <w:name w:val="font112"/>
    <w:basedOn w:val="10"/>
    <w:qFormat/>
    <w:uiPriority w:val="0"/>
    <w:rPr>
      <w:rFonts w:ascii="Arial" w:hAnsi="Arial" w:cs="Arial"/>
      <w:color w:val="000000"/>
      <w:sz w:val="22"/>
      <w:szCs w:val="22"/>
      <w:u w:val="none"/>
    </w:rPr>
  </w:style>
  <w:style w:type="character" w:customStyle="1" w:styleId="27">
    <w:name w:val="页眉 字符"/>
    <w:basedOn w:val="10"/>
    <w:link w:val="6"/>
    <w:qFormat/>
    <w:uiPriority w:val="0"/>
    <w:rPr>
      <w:rFonts w:asciiTheme="minorHAnsi" w:hAnsiTheme="minorHAnsi" w:cstheme="minorBidi"/>
      <w:kern w:val="2"/>
      <w:sz w:val="18"/>
      <w:szCs w:val="18"/>
    </w:rPr>
  </w:style>
  <w:style w:type="character" w:customStyle="1" w:styleId="28">
    <w:name w:val="页脚 字符"/>
    <w:basedOn w:val="10"/>
    <w:link w:val="5"/>
    <w:qFormat/>
    <w:uiPriority w:val="0"/>
    <w:rPr>
      <w:rFonts w:asciiTheme="minorHAnsi" w:hAnsiTheme="minorHAnsi" w:cstheme="minorBidi"/>
      <w:kern w:val="2"/>
      <w:sz w:val="18"/>
      <w:szCs w:val="18"/>
    </w:rPr>
  </w:style>
  <w:style w:type="character" w:customStyle="1" w:styleId="29">
    <w:name w:val="font21"/>
    <w:basedOn w:val="10"/>
    <w:qFormat/>
    <w:uiPriority w:val="0"/>
    <w:rPr>
      <w:rFonts w:hint="eastAsia" w:ascii="宋体" w:hAnsi="宋体" w:eastAsia="宋体" w:cs="宋体"/>
      <w:color w:val="FF0000"/>
      <w:sz w:val="22"/>
      <w:szCs w:val="22"/>
      <w:u w:val="none"/>
    </w:rPr>
  </w:style>
  <w:style w:type="paragraph" w:customStyle="1" w:styleId="30">
    <w:name w:val="修订1"/>
    <w:hidden/>
    <w:semiHidden/>
    <w:qFormat/>
    <w:uiPriority w:val="99"/>
    <w:rPr>
      <w:rFonts w:eastAsia="宋体" w:asciiTheme="minorHAnsi" w:hAnsiTheme="minorHAnsi" w:cstheme="minorBidi"/>
      <w:kern w:val="2"/>
      <w:sz w:val="21"/>
      <w:szCs w:val="22"/>
      <w:lang w:val="en-US" w:eastAsia="zh-CN" w:bidi="ar-SA"/>
    </w:rPr>
  </w:style>
  <w:style w:type="character" w:customStyle="1" w:styleId="31">
    <w:name w:val="批注文字 字符"/>
    <w:basedOn w:val="10"/>
    <w:link w:val="4"/>
    <w:qFormat/>
    <w:uiPriority w:val="0"/>
    <w:rPr>
      <w:rFonts w:asciiTheme="minorHAnsi" w:hAnsiTheme="minorHAnsi" w:cstheme="minorBidi"/>
      <w:kern w:val="2"/>
      <w:sz w:val="21"/>
      <w:szCs w:val="22"/>
    </w:rPr>
  </w:style>
  <w:style w:type="character" w:customStyle="1" w:styleId="32">
    <w:name w:val="批注主题 字符"/>
    <w:basedOn w:val="31"/>
    <w:link w:val="8"/>
    <w:qFormat/>
    <w:uiPriority w:val="0"/>
    <w:rPr>
      <w:rFonts w:asciiTheme="minorHAnsi" w:hAnsiTheme="minorHAnsi" w:cstheme="minorBidi"/>
      <w:b/>
      <w:bCs/>
      <w:kern w:val="2"/>
      <w:sz w:val="21"/>
      <w:szCs w:val="22"/>
    </w:rPr>
  </w:style>
  <w:style w:type="paragraph" w:customStyle="1" w:styleId="33">
    <w:name w:val="修订2"/>
    <w:hidden/>
    <w:unhideWhenUsed/>
    <w:qFormat/>
    <w:uiPriority w:val="99"/>
    <w:rPr>
      <w:rFonts w:eastAsia="宋体" w:asciiTheme="minorHAnsi" w:hAnsiTheme="minorHAnsi" w:cstheme="minorBidi"/>
      <w:kern w:val="2"/>
      <w:sz w:val="21"/>
      <w:szCs w:val="22"/>
      <w:lang w:val="en-US" w:eastAsia="zh-CN" w:bidi="ar-SA"/>
    </w:rPr>
  </w:style>
  <w:style w:type="paragraph" w:customStyle="1" w:styleId="34">
    <w:name w:val="Revision"/>
    <w:hidden/>
    <w:unhideWhenUsed/>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19064</Words>
  <Characters>20702</Characters>
  <Lines>461</Lines>
  <Paragraphs>928</Paragraphs>
  <TotalTime>2</TotalTime>
  <ScaleCrop>false</ScaleCrop>
  <LinksUpToDate>false</LinksUpToDate>
  <CharactersWithSpaces>20926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2025-08-28T07:22:00Z</dcterms:created>
  <dc:creator>Administrator</dc:creator>
  <cp:lastModifiedBy>hhm</cp:lastModifiedBy>
  <cp:lastPrinted>2025-09-04T09:47:00Z</cp:lastPrinted>
  <dcterms:modified xsi:type="dcterms:W3CDTF">2025-09-12T07:01:06Z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TemplateDocerSaveRecord">
    <vt:lpwstr>eyJoZGlkIjoiMjU5ZDFiMmIyMDFkZmRiMWQyNTRiZjI5NDFjYmNkZmQiLCJ1c2VySWQiOiI0NDcyMjM4MjkifQ==</vt:lpwstr>
  </property>
  <property fmtid="{D5CDD505-2E9C-101B-9397-08002B2CF9AE}" pid="4" name="ICV">
    <vt:lpwstr>C719847A4CBF4E4D9BF7BF928502D2DD_13</vt:lpwstr>
  </property>
</Properties>
</file>