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58A8A6">
      <w:pPr>
        <w:pStyle w:val="13"/>
        <w:kinsoku w:val="0"/>
        <w:overflowPunct w:val="0"/>
        <w:ind w:left="0"/>
        <w:rPr>
          <w:rFonts w:hint="eastAsia" w:ascii="宋体" w:hAnsi="宋体" w:eastAsia="宋体" w:cs="宋体"/>
          <w:color w:val="auto"/>
          <w:sz w:val="20"/>
          <w:szCs w:val="24"/>
          <w:highlight w:val="none"/>
        </w:rPr>
      </w:pPr>
    </w:p>
    <w:p w14:paraId="0F2EFA07">
      <w:pPr>
        <w:pStyle w:val="13"/>
        <w:kinsoku w:val="0"/>
        <w:overflowPunct w:val="0"/>
        <w:ind w:left="0"/>
        <w:rPr>
          <w:rFonts w:hint="eastAsia" w:ascii="宋体" w:hAnsi="宋体" w:eastAsia="宋体" w:cs="宋体"/>
          <w:color w:val="auto"/>
          <w:sz w:val="20"/>
          <w:szCs w:val="24"/>
          <w:highlight w:val="none"/>
        </w:rPr>
      </w:pPr>
    </w:p>
    <w:p w14:paraId="201FC395">
      <w:pPr>
        <w:jc w:val="center"/>
        <w:rPr>
          <w:rFonts w:hint="eastAsia" w:ascii="宋体" w:hAnsi="宋体" w:eastAsia="宋体" w:cs="宋体"/>
          <w:color w:val="auto"/>
          <w:sz w:val="36"/>
          <w:szCs w:val="36"/>
          <w:highlight w:val="none"/>
          <w:u w:val="single"/>
        </w:rPr>
      </w:pPr>
      <w:bookmarkStart w:id="0" w:name="_Toc6405"/>
    </w:p>
    <w:p w14:paraId="63B00550">
      <w:pPr>
        <w:pStyle w:val="13"/>
        <w:kinsoku w:val="0"/>
        <w:overflowPunct w:val="0"/>
        <w:spacing w:before="2"/>
        <w:ind w:left="0"/>
        <w:jc w:val="center"/>
        <w:rPr>
          <w:rFonts w:hint="eastAsia" w:ascii="宋体" w:hAnsi="宋体" w:eastAsia="宋体" w:cs="宋体"/>
          <w:color w:val="auto"/>
          <w:sz w:val="23"/>
          <w:szCs w:val="24"/>
          <w:highlight w:val="none"/>
        </w:rPr>
      </w:pPr>
      <w:r>
        <w:rPr>
          <w:rFonts w:hint="eastAsia" w:ascii="宋体" w:hAnsi="宋体" w:eastAsia="宋体" w:cs="宋体"/>
          <w:color w:val="auto"/>
          <w:sz w:val="44"/>
          <w:szCs w:val="44"/>
          <w:highlight w:val="none"/>
          <w:u w:val="single"/>
        </w:rPr>
        <w:t>天河区居民用户老旧共用用水设施改造工程（片区二）监理</w:t>
      </w:r>
      <w:bookmarkEnd w:id="0"/>
    </w:p>
    <w:p w14:paraId="2A23E86E">
      <w:pPr>
        <w:pStyle w:val="13"/>
        <w:kinsoku w:val="0"/>
        <w:overflowPunct w:val="0"/>
        <w:ind w:left="0"/>
        <w:rPr>
          <w:rFonts w:hint="eastAsia" w:ascii="宋体" w:hAnsi="宋体" w:eastAsia="宋体" w:cs="宋体"/>
          <w:color w:val="auto"/>
          <w:sz w:val="20"/>
          <w:szCs w:val="24"/>
          <w:highlight w:val="none"/>
        </w:rPr>
      </w:pPr>
    </w:p>
    <w:p w14:paraId="6F36759C">
      <w:pPr>
        <w:pStyle w:val="13"/>
        <w:kinsoku w:val="0"/>
        <w:overflowPunct w:val="0"/>
        <w:ind w:left="0"/>
        <w:rPr>
          <w:rFonts w:hint="eastAsia" w:ascii="宋体" w:hAnsi="宋体" w:eastAsia="宋体" w:cs="宋体"/>
          <w:color w:val="auto"/>
          <w:sz w:val="20"/>
          <w:szCs w:val="24"/>
          <w:highlight w:val="none"/>
        </w:rPr>
      </w:pPr>
    </w:p>
    <w:p w14:paraId="0E8D072F">
      <w:pPr>
        <w:pStyle w:val="13"/>
        <w:kinsoku w:val="0"/>
        <w:overflowPunct w:val="0"/>
        <w:ind w:left="0"/>
        <w:rPr>
          <w:rFonts w:hint="eastAsia" w:ascii="宋体" w:hAnsi="宋体" w:eastAsia="宋体" w:cs="宋体"/>
          <w:color w:val="auto"/>
          <w:sz w:val="20"/>
          <w:szCs w:val="24"/>
          <w:highlight w:val="none"/>
        </w:rPr>
      </w:pPr>
    </w:p>
    <w:p w14:paraId="787E03F4">
      <w:pPr>
        <w:pStyle w:val="13"/>
        <w:kinsoku w:val="0"/>
        <w:overflowPunct w:val="0"/>
        <w:ind w:left="0"/>
        <w:rPr>
          <w:rFonts w:hint="eastAsia" w:ascii="宋体" w:hAnsi="宋体" w:eastAsia="宋体" w:cs="宋体"/>
          <w:color w:val="auto"/>
          <w:sz w:val="20"/>
          <w:szCs w:val="24"/>
          <w:highlight w:val="none"/>
        </w:rPr>
      </w:pPr>
    </w:p>
    <w:p w14:paraId="7E68AFD2">
      <w:pPr>
        <w:pStyle w:val="13"/>
        <w:kinsoku w:val="0"/>
        <w:overflowPunct w:val="0"/>
        <w:ind w:left="0"/>
        <w:rPr>
          <w:rFonts w:hint="eastAsia" w:ascii="宋体" w:hAnsi="宋体" w:eastAsia="宋体" w:cs="宋体"/>
          <w:color w:val="auto"/>
          <w:sz w:val="20"/>
          <w:szCs w:val="24"/>
          <w:highlight w:val="none"/>
        </w:rPr>
      </w:pPr>
    </w:p>
    <w:p w14:paraId="5423AE51">
      <w:pPr>
        <w:pStyle w:val="13"/>
        <w:kinsoku w:val="0"/>
        <w:overflowPunct w:val="0"/>
        <w:spacing w:before="106"/>
        <w:ind w:left="3" w:right="4"/>
        <w:jc w:val="center"/>
        <w:rPr>
          <w:rFonts w:hint="eastAsia" w:ascii="宋体" w:hAnsi="宋体" w:eastAsia="宋体" w:cs="宋体"/>
          <w:color w:val="auto"/>
          <w:sz w:val="84"/>
          <w:szCs w:val="24"/>
          <w:highlight w:val="none"/>
        </w:rPr>
      </w:pPr>
    </w:p>
    <w:p w14:paraId="2BF8A589">
      <w:pPr>
        <w:pStyle w:val="13"/>
        <w:kinsoku w:val="0"/>
        <w:overflowPunct w:val="0"/>
        <w:spacing w:before="106"/>
        <w:ind w:left="3" w:right="4"/>
        <w:jc w:val="center"/>
        <w:rPr>
          <w:rFonts w:hint="eastAsia" w:ascii="宋体" w:hAnsi="宋体" w:eastAsia="宋体" w:cs="宋体"/>
          <w:color w:val="auto"/>
          <w:sz w:val="44"/>
          <w:szCs w:val="24"/>
          <w:highlight w:val="none"/>
        </w:rPr>
      </w:pPr>
      <w:r>
        <w:rPr>
          <w:rFonts w:hint="eastAsia" w:ascii="宋体" w:hAnsi="宋体" w:eastAsia="宋体" w:cs="宋体"/>
          <w:color w:val="auto"/>
          <w:sz w:val="84"/>
          <w:szCs w:val="24"/>
          <w:highlight w:val="none"/>
        </w:rPr>
        <w:t>招标</w:t>
      </w:r>
      <w:bookmarkStart w:id="164" w:name="_GoBack"/>
      <w:bookmarkEnd w:id="164"/>
      <w:r>
        <w:rPr>
          <w:rFonts w:hint="eastAsia" w:ascii="宋体" w:hAnsi="宋体" w:eastAsia="宋体" w:cs="宋体"/>
          <w:color w:val="auto"/>
          <w:sz w:val="84"/>
          <w:szCs w:val="24"/>
          <w:highlight w:val="none"/>
        </w:rPr>
        <w:t>文件</w:t>
      </w:r>
    </w:p>
    <w:p w14:paraId="40DED8AE">
      <w:pPr>
        <w:pStyle w:val="13"/>
        <w:kinsoku w:val="0"/>
        <w:overflowPunct w:val="0"/>
        <w:ind w:left="0"/>
        <w:rPr>
          <w:rFonts w:hint="eastAsia" w:ascii="宋体" w:hAnsi="宋体" w:eastAsia="宋体" w:cs="宋体"/>
          <w:color w:val="auto"/>
          <w:sz w:val="44"/>
          <w:szCs w:val="24"/>
          <w:highlight w:val="none"/>
        </w:rPr>
      </w:pPr>
    </w:p>
    <w:p w14:paraId="264A4775">
      <w:pPr>
        <w:pStyle w:val="13"/>
        <w:kinsoku w:val="0"/>
        <w:overflowPunct w:val="0"/>
        <w:ind w:left="0"/>
        <w:rPr>
          <w:rFonts w:hint="eastAsia" w:ascii="宋体" w:hAnsi="宋体" w:eastAsia="宋体" w:cs="宋体"/>
          <w:color w:val="auto"/>
          <w:sz w:val="44"/>
          <w:szCs w:val="24"/>
          <w:highlight w:val="none"/>
        </w:rPr>
      </w:pPr>
    </w:p>
    <w:p w14:paraId="1DF33960">
      <w:pPr>
        <w:pStyle w:val="13"/>
        <w:kinsoku w:val="0"/>
        <w:overflowPunct w:val="0"/>
        <w:ind w:left="0"/>
        <w:rPr>
          <w:rFonts w:hint="eastAsia" w:ascii="宋体" w:hAnsi="宋体" w:eastAsia="宋体" w:cs="宋体"/>
          <w:color w:val="auto"/>
          <w:sz w:val="44"/>
          <w:szCs w:val="24"/>
          <w:highlight w:val="none"/>
        </w:rPr>
      </w:pPr>
    </w:p>
    <w:p w14:paraId="36BC8E0D">
      <w:pPr>
        <w:pStyle w:val="13"/>
        <w:kinsoku w:val="0"/>
        <w:overflowPunct w:val="0"/>
        <w:ind w:left="0"/>
        <w:rPr>
          <w:rFonts w:hint="eastAsia" w:ascii="宋体" w:hAnsi="宋体" w:eastAsia="宋体" w:cs="宋体"/>
          <w:color w:val="auto"/>
          <w:sz w:val="44"/>
          <w:szCs w:val="24"/>
          <w:highlight w:val="none"/>
        </w:rPr>
      </w:pPr>
    </w:p>
    <w:p w14:paraId="3AD4E197">
      <w:pPr>
        <w:pStyle w:val="13"/>
        <w:kinsoku w:val="0"/>
        <w:overflowPunct w:val="0"/>
        <w:ind w:left="0"/>
        <w:rPr>
          <w:rFonts w:hint="eastAsia" w:ascii="宋体" w:hAnsi="宋体" w:eastAsia="宋体" w:cs="宋体"/>
          <w:color w:val="auto"/>
          <w:sz w:val="44"/>
          <w:szCs w:val="24"/>
          <w:highlight w:val="none"/>
        </w:rPr>
      </w:pPr>
    </w:p>
    <w:p w14:paraId="70AA59D4">
      <w:pPr>
        <w:pStyle w:val="13"/>
        <w:kinsoku w:val="0"/>
        <w:overflowPunct w:val="0"/>
        <w:ind w:left="0"/>
        <w:rPr>
          <w:rFonts w:hint="eastAsia" w:ascii="宋体" w:hAnsi="宋体" w:eastAsia="宋体" w:cs="宋体"/>
          <w:color w:val="auto"/>
          <w:sz w:val="44"/>
          <w:szCs w:val="24"/>
          <w:highlight w:val="none"/>
        </w:rPr>
      </w:pPr>
    </w:p>
    <w:p w14:paraId="3847FC49">
      <w:pPr>
        <w:pStyle w:val="13"/>
        <w:kinsoku w:val="0"/>
        <w:overflowPunct w:val="0"/>
        <w:ind w:left="0"/>
        <w:rPr>
          <w:rFonts w:hint="eastAsia" w:ascii="宋体" w:hAnsi="宋体" w:eastAsia="宋体" w:cs="宋体"/>
          <w:color w:val="auto"/>
          <w:sz w:val="44"/>
          <w:szCs w:val="24"/>
          <w:highlight w:val="none"/>
        </w:rPr>
      </w:pPr>
    </w:p>
    <w:p w14:paraId="79AED200">
      <w:pPr>
        <w:pStyle w:val="13"/>
        <w:kinsoku w:val="0"/>
        <w:overflowPunct w:val="0"/>
        <w:ind w:left="0"/>
        <w:rPr>
          <w:rFonts w:hint="eastAsia" w:ascii="宋体" w:hAnsi="宋体" w:eastAsia="宋体" w:cs="宋体"/>
          <w:color w:val="auto"/>
          <w:sz w:val="44"/>
          <w:szCs w:val="24"/>
          <w:highlight w:val="none"/>
        </w:rPr>
      </w:pPr>
    </w:p>
    <w:p w14:paraId="7EF359CD">
      <w:pPr>
        <w:pStyle w:val="13"/>
        <w:kinsoku w:val="0"/>
        <w:overflowPunct w:val="0"/>
        <w:ind w:left="0"/>
        <w:rPr>
          <w:rFonts w:hint="eastAsia" w:ascii="宋体" w:hAnsi="宋体" w:eastAsia="宋体" w:cs="宋体"/>
          <w:color w:val="auto"/>
          <w:sz w:val="44"/>
          <w:szCs w:val="24"/>
          <w:highlight w:val="none"/>
        </w:rPr>
      </w:pPr>
    </w:p>
    <w:p w14:paraId="3DC4BED5">
      <w:pPr>
        <w:pStyle w:val="13"/>
        <w:kinsoku w:val="0"/>
        <w:overflowPunct w:val="0"/>
        <w:spacing w:before="8"/>
        <w:ind w:left="0"/>
        <w:rPr>
          <w:rFonts w:hint="eastAsia" w:ascii="宋体" w:hAnsi="宋体" w:eastAsia="宋体" w:cs="宋体"/>
          <w:color w:val="auto"/>
          <w:sz w:val="33"/>
          <w:szCs w:val="24"/>
          <w:highlight w:val="none"/>
        </w:rPr>
      </w:pPr>
    </w:p>
    <w:p w14:paraId="368F303C">
      <w:pPr>
        <w:spacing w:before="88" w:line="468" w:lineRule="auto"/>
        <w:ind w:left="0"/>
        <w:jc w:val="center"/>
        <w:rPr>
          <w:rFonts w:hint="eastAsia" w:ascii="宋体" w:hAnsi="宋体" w:eastAsia="宋体" w:cs="宋体"/>
          <w:color w:val="auto"/>
          <w:spacing w:val="-4"/>
          <w:sz w:val="27"/>
          <w:szCs w:val="27"/>
          <w:highlight w:val="none"/>
        </w:rPr>
      </w:pPr>
      <w:r>
        <w:rPr>
          <w:rFonts w:hint="eastAsia" w:ascii="宋体" w:hAnsi="宋体" w:eastAsia="宋体" w:cs="宋体"/>
          <w:color w:val="auto"/>
          <w:spacing w:val="-4"/>
          <w:sz w:val="27"/>
          <w:szCs w:val="27"/>
          <w:highlight w:val="none"/>
        </w:rPr>
        <w:t>招标人：</w:t>
      </w:r>
      <w:r>
        <w:rPr>
          <w:rFonts w:hint="eastAsia" w:ascii="宋体" w:hAnsi="宋体" w:cs="宋体"/>
          <w:color w:val="auto"/>
          <w:spacing w:val="-4"/>
          <w:sz w:val="27"/>
          <w:szCs w:val="27"/>
          <w:highlight w:val="none"/>
          <w:u w:val="single" w:color="auto"/>
          <w:lang w:eastAsia="zh-CN"/>
        </w:rPr>
        <w:t>广州市天河区水务设施建设中心</w:t>
      </w:r>
      <w:r>
        <w:rPr>
          <w:rFonts w:hint="eastAsia" w:ascii="宋体" w:hAnsi="宋体" w:eastAsia="宋体" w:cs="宋体"/>
          <w:color w:val="auto"/>
          <w:spacing w:val="-4"/>
          <w:sz w:val="27"/>
          <w:szCs w:val="27"/>
          <w:highlight w:val="none"/>
        </w:rPr>
        <w:t>(盖单位章)</w:t>
      </w:r>
    </w:p>
    <w:p w14:paraId="07E59CC3">
      <w:pPr>
        <w:spacing w:before="88" w:line="468" w:lineRule="auto"/>
        <w:ind w:left="0" w:firstLine="1834" w:firstLineChars="700"/>
        <w:jc w:val="both"/>
        <w:rPr>
          <w:rFonts w:hint="eastAsia" w:ascii="宋体" w:hAnsi="宋体" w:eastAsia="宋体" w:cs="宋体"/>
          <w:color w:val="auto"/>
          <w:spacing w:val="-4"/>
          <w:sz w:val="27"/>
          <w:szCs w:val="27"/>
          <w:highlight w:val="none"/>
        </w:rPr>
      </w:pPr>
      <w:r>
        <w:rPr>
          <w:rFonts w:hint="eastAsia" w:ascii="宋体" w:hAnsi="宋体" w:eastAsia="宋体" w:cs="宋体"/>
          <w:color w:val="auto"/>
          <w:spacing w:val="-4"/>
          <w:sz w:val="27"/>
          <w:szCs w:val="27"/>
          <w:highlight w:val="none"/>
        </w:rPr>
        <w:t>招标代理：</w:t>
      </w:r>
      <w:r>
        <w:rPr>
          <w:rFonts w:hint="eastAsia" w:ascii="宋体" w:hAnsi="宋体" w:cs="宋体"/>
          <w:color w:val="auto"/>
          <w:spacing w:val="-4"/>
          <w:sz w:val="27"/>
          <w:szCs w:val="27"/>
          <w:highlight w:val="none"/>
          <w:u w:val="single"/>
          <w:lang w:eastAsia="zh-CN"/>
        </w:rPr>
        <w:t>广东炫诚工程管理有限公司</w:t>
      </w:r>
      <w:r>
        <w:rPr>
          <w:rFonts w:hint="eastAsia" w:ascii="宋体" w:hAnsi="宋体" w:eastAsia="宋体" w:cs="宋体"/>
          <w:color w:val="auto"/>
          <w:spacing w:val="-4"/>
          <w:sz w:val="27"/>
          <w:szCs w:val="27"/>
          <w:highlight w:val="none"/>
        </w:rPr>
        <w:t>(盖单位章)</w:t>
      </w:r>
    </w:p>
    <w:p w14:paraId="09213B13">
      <w:pPr>
        <w:pStyle w:val="13"/>
        <w:tabs>
          <w:tab w:val="left" w:pos="3611"/>
          <w:tab w:val="left" w:pos="4626"/>
          <w:tab w:val="left" w:pos="5642"/>
        </w:tabs>
        <w:kinsoku w:val="0"/>
        <w:overflowPunct w:val="0"/>
        <w:spacing w:before="14"/>
        <w:ind w:left="0" w:right="175"/>
        <w:jc w:val="center"/>
        <w:rPr>
          <w:rFonts w:hint="eastAsia" w:ascii="宋体" w:hAnsi="宋体" w:eastAsia="宋体" w:cs="宋体"/>
          <w:color w:val="auto"/>
          <w:sz w:val="28"/>
          <w:szCs w:val="24"/>
          <w:highlight w:val="none"/>
        </w:rPr>
        <w:sectPr>
          <w:footerReference r:id="rId3" w:type="default"/>
          <w:pgSz w:w="11905" w:h="16838"/>
          <w:pgMar w:top="1417" w:right="1417" w:bottom="1417" w:left="1417" w:header="720" w:footer="720" w:gutter="0"/>
          <w:lnNumType w:countBy="0" w:distance="360"/>
          <w:pgNumType w:fmt="decimal"/>
          <w:cols w:space="720" w:num="1"/>
        </w:sectPr>
      </w:pPr>
      <w:r>
        <w:rPr>
          <w:rFonts w:hint="eastAsia" w:ascii="宋体" w:hAnsi="宋体" w:eastAsia="宋体" w:cs="宋体"/>
          <w:color w:val="auto"/>
          <w:sz w:val="27"/>
          <w:szCs w:val="27"/>
          <w:highlight w:val="none"/>
          <w:u w:val="single" w:color="auto"/>
          <w:lang w:val="en-US" w:eastAsia="zh-CN"/>
        </w:rPr>
        <w:t>202</w:t>
      </w:r>
      <w:r>
        <w:rPr>
          <w:rFonts w:hint="eastAsia" w:cs="宋体"/>
          <w:color w:val="auto"/>
          <w:sz w:val="27"/>
          <w:szCs w:val="27"/>
          <w:highlight w:val="none"/>
          <w:u w:val="single" w:color="auto"/>
          <w:lang w:val="en-US" w:eastAsia="zh-CN"/>
        </w:rPr>
        <w:t>5</w:t>
      </w:r>
      <w:r>
        <w:rPr>
          <w:rFonts w:hint="eastAsia" w:ascii="宋体" w:hAnsi="宋体" w:eastAsia="宋体" w:cs="宋体"/>
          <w:color w:val="auto"/>
          <w:spacing w:val="6"/>
          <w:sz w:val="27"/>
          <w:szCs w:val="27"/>
          <w:highlight w:val="none"/>
        </w:rPr>
        <w:t>年</w:t>
      </w:r>
      <w:r>
        <w:rPr>
          <w:rFonts w:hint="eastAsia" w:cs="宋体"/>
          <w:color w:val="auto"/>
          <w:spacing w:val="6"/>
          <w:sz w:val="27"/>
          <w:szCs w:val="27"/>
          <w:highlight w:val="none"/>
          <w:u w:val="single" w:color="auto"/>
          <w:lang w:val="en-US" w:eastAsia="zh-CN"/>
        </w:rPr>
        <w:t xml:space="preserve"> 9 </w:t>
      </w:r>
      <w:r>
        <w:rPr>
          <w:rFonts w:hint="eastAsia" w:ascii="宋体" w:hAnsi="宋体" w:eastAsia="宋体" w:cs="宋体"/>
          <w:color w:val="auto"/>
          <w:spacing w:val="3"/>
          <w:sz w:val="27"/>
          <w:szCs w:val="27"/>
          <w:highlight w:val="none"/>
        </w:rPr>
        <w:t>月</w:t>
      </w:r>
    </w:p>
    <w:p w14:paraId="33EAC7A4">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3A1B0594">
      <w:pPr>
        <w:pStyle w:val="20"/>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_Toc1556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第一卷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_Toc1556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3279FD0B">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_Toc29772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4994D726">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_Toc15097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7E2A1C01">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_Toc23003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评标办法（综合评估法）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_Toc23003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3D98F802">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_Toc14321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_Toc14321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3CC71ABB">
      <w:pPr>
        <w:pStyle w:val="20"/>
        <w:tabs>
          <w:tab w:val="right" w:leader="dot" w:pos="9071"/>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_Toc2872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第二卷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_Toc2872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4E1D9318">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_Toc23118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476FE1E7">
      <w:pPr>
        <w:pStyle w:val="20"/>
        <w:tabs>
          <w:tab w:val="right" w:leader="dot" w:pos="9071"/>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_Toc12210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第三卷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_Toc12210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745F4709">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_Toc26661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4B176742">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_Toc17258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val="en-US" w:eastAsia="zh-CN"/>
        </w:rPr>
        <w:t xml:space="preserve">第七章 </w:t>
      </w:r>
      <w:r>
        <w:rPr>
          <w:rFonts w:hint="eastAsia" w:ascii="宋体" w:hAnsi="宋体" w:eastAsia="宋体" w:cs="宋体"/>
          <w:color w:val="auto"/>
          <w:sz w:val="24"/>
          <w:szCs w:val="24"/>
          <w:highlight w:val="none"/>
        </w:rPr>
        <w:t>投标人须知前附表规定的其他资料。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221DF66B">
      <w:pPr>
        <w:pStyle w:val="15"/>
        <w:tabs>
          <w:tab w:val="right" w:leader="dot" w:pos="9071"/>
        </w:tabs>
        <w:spacing w:line="360" w:lineRule="auto"/>
        <w:ind w:left="0" w:leftChars="0" w:firstLine="0" w:firstLineChars="0"/>
        <w:rPr>
          <w:rFonts w:hint="eastAsia" w:ascii="宋体" w:hAnsi="宋体" w:eastAsia="宋体" w:cs="宋体"/>
          <w:color w:val="auto"/>
          <w:sz w:val="24"/>
          <w:szCs w:val="24"/>
          <w:highlight w:val="none"/>
        </w:rPr>
      </w:pPr>
    </w:p>
    <w:p w14:paraId="0EBD58CB">
      <w:pPr>
        <w:pStyle w:val="13"/>
        <w:tabs>
          <w:tab w:val="right" w:leader="dot" w:pos="8714"/>
        </w:tabs>
        <w:kinsoku w:val="0"/>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p w14:paraId="5534A3E3">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ind w:left="720" w:leftChars="300"/>
        <w:textAlignment w:val="auto"/>
        <w:rPr>
          <w:rFonts w:hint="eastAsia" w:ascii="宋体" w:hAnsi="宋体" w:eastAsia="宋体" w:cs="宋体"/>
          <w:color w:val="auto"/>
          <w:sz w:val="24"/>
          <w:szCs w:val="24"/>
          <w:highlight w:val="none"/>
          <w:lang w:eastAsia="zh-CN"/>
        </w:rPr>
      </w:pPr>
    </w:p>
    <w:p w14:paraId="35B6C3F9">
      <w:pPr>
        <w:pStyle w:val="13"/>
        <w:tabs>
          <w:tab w:val="right" w:leader="dot" w:pos="8714"/>
        </w:tabs>
        <w:kinsoku w:val="0"/>
        <w:overflowPunct w:val="0"/>
        <w:spacing w:line="288" w:lineRule="exact"/>
        <w:ind w:left="0"/>
        <w:jc w:val="center"/>
        <w:rPr>
          <w:rFonts w:hint="eastAsia" w:ascii="宋体" w:hAnsi="宋体" w:eastAsia="宋体" w:cs="宋体"/>
          <w:color w:val="auto"/>
          <w:sz w:val="21"/>
          <w:szCs w:val="24"/>
          <w:highlight w:val="none"/>
          <w:lang w:eastAsia="zh-CN"/>
        </w:rPr>
        <w:sectPr>
          <w:footerReference r:id="rId4" w:type="default"/>
          <w:pgSz w:w="11905" w:h="16838"/>
          <w:pgMar w:top="1417" w:right="1417" w:bottom="1417" w:left="1417" w:header="720" w:footer="720" w:gutter="0"/>
          <w:lnNumType w:countBy="0" w:distance="360"/>
          <w:pgNumType w:fmt="decimal" w:start="1"/>
          <w:cols w:space="720" w:num="1"/>
        </w:sectPr>
      </w:pPr>
    </w:p>
    <w:p w14:paraId="6D237E85">
      <w:pPr>
        <w:pStyle w:val="13"/>
        <w:kinsoku w:val="0"/>
        <w:overflowPunct w:val="0"/>
        <w:ind w:left="0"/>
        <w:rPr>
          <w:rFonts w:hint="eastAsia" w:ascii="宋体" w:hAnsi="宋体" w:eastAsia="宋体" w:cs="宋体"/>
          <w:color w:val="auto"/>
          <w:sz w:val="44"/>
          <w:szCs w:val="24"/>
          <w:highlight w:val="none"/>
        </w:rPr>
      </w:pPr>
    </w:p>
    <w:p w14:paraId="10D25C60">
      <w:pPr>
        <w:pStyle w:val="4"/>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 w:name="bookmark0"/>
      <w:bookmarkEnd w:id="1"/>
      <w:bookmarkStart w:id="2" w:name="_Toc1556"/>
      <w:r>
        <w:rPr>
          <w:rFonts w:hint="eastAsia" w:ascii="宋体" w:hAnsi="宋体" w:eastAsia="宋体" w:cs="宋体"/>
          <w:color w:val="auto"/>
          <w:sz w:val="52"/>
          <w:szCs w:val="52"/>
          <w:highlight w:val="none"/>
        </w:rPr>
        <w:t>第一卷</w:t>
      </w:r>
      <w:bookmarkEnd w:id="2"/>
    </w:p>
    <w:p w14:paraId="0A32C585">
      <w:pPr>
        <w:pStyle w:val="13"/>
        <w:kinsoku w:val="0"/>
        <w:overflowPunct w:val="0"/>
        <w:ind w:left="0"/>
        <w:rPr>
          <w:rFonts w:hint="eastAsia" w:ascii="宋体" w:hAnsi="宋体" w:eastAsia="宋体" w:cs="宋体"/>
          <w:b w:val="0"/>
          <w:color w:val="auto"/>
          <w:sz w:val="44"/>
          <w:szCs w:val="24"/>
          <w:highlight w:val="none"/>
        </w:rPr>
        <w:sectPr>
          <w:footerReference r:id="rId5" w:type="default"/>
          <w:pgSz w:w="11905" w:h="16838"/>
          <w:pgMar w:top="1417" w:right="1417" w:bottom="1417" w:left="1417" w:header="720" w:footer="720" w:gutter="0"/>
          <w:lnNumType w:countBy="0" w:distance="360"/>
          <w:pgNumType w:fmt="decimal"/>
          <w:cols w:space="720" w:num="1"/>
        </w:sectPr>
      </w:pPr>
    </w:p>
    <w:p w14:paraId="19B1777A">
      <w:pPr>
        <w:pStyle w:val="5"/>
        <w:outlineLvl w:val="0"/>
        <w:rPr>
          <w:rFonts w:hint="eastAsia" w:ascii="宋体" w:hAnsi="宋体" w:eastAsia="宋体" w:cs="宋体"/>
          <w:color w:val="auto"/>
          <w:sz w:val="44"/>
          <w:szCs w:val="24"/>
          <w:highlight w:val="none"/>
        </w:rPr>
      </w:pPr>
      <w:bookmarkStart w:id="3" w:name="bookmark1"/>
      <w:bookmarkEnd w:id="3"/>
      <w:bookmarkStart w:id="4" w:name="_Toc29772"/>
      <w:r>
        <w:rPr>
          <w:rFonts w:hint="eastAsia" w:ascii="宋体" w:hAnsi="宋体" w:eastAsia="宋体" w:cs="宋体"/>
          <w:color w:val="auto"/>
          <w:sz w:val="44"/>
          <w:szCs w:val="24"/>
          <w:highlight w:val="none"/>
        </w:rPr>
        <w:t>第一章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招标公告</w:t>
      </w:r>
      <w:bookmarkEnd w:id="4"/>
    </w:p>
    <w:p w14:paraId="4D7B318F">
      <w:pPr>
        <w:jc w:val="center"/>
        <w:rPr>
          <w:rFonts w:hint="eastAsia" w:ascii="宋体" w:hAnsi="宋体" w:cs="宋体"/>
          <w:color w:val="auto"/>
          <w:sz w:val="44"/>
          <w:szCs w:val="24"/>
          <w:highlight w:val="none"/>
          <w:lang w:val="en-US" w:eastAsia="zh-CN"/>
        </w:rPr>
      </w:pPr>
      <w:bookmarkStart w:id="5" w:name="bookmark9"/>
      <w:bookmarkEnd w:id="5"/>
      <w:bookmarkStart w:id="6" w:name="bookmark18"/>
      <w:bookmarkEnd w:id="6"/>
      <w:bookmarkStart w:id="7" w:name="_Toc15097"/>
    </w:p>
    <w:p w14:paraId="511A7800">
      <w:pPr>
        <w:jc w:val="center"/>
        <w:rPr>
          <w:rFonts w:hint="eastAsia" w:ascii="宋体" w:hAnsi="宋体" w:cs="宋体"/>
          <w:color w:val="auto"/>
          <w:sz w:val="44"/>
          <w:szCs w:val="24"/>
          <w:highlight w:val="none"/>
          <w:lang w:val="en-US" w:eastAsia="zh-CN"/>
        </w:rPr>
      </w:pPr>
    </w:p>
    <w:p w14:paraId="3FC6E2C0">
      <w:pPr>
        <w:jc w:val="center"/>
        <w:rPr>
          <w:rFonts w:hint="eastAsia" w:ascii="宋体" w:hAnsi="宋体" w:eastAsia="宋体" w:cs="宋体"/>
          <w:color w:val="auto"/>
          <w:sz w:val="44"/>
          <w:szCs w:val="24"/>
          <w:highlight w:val="none"/>
          <w:lang w:val="en-US" w:eastAsia="zh-CN"/>
        </w:rPr>
      </w:pPr>
      <w:r>
        <w:rPr>
          <w:rFonts w:hint="eastAsia" w:ascii="宋体" w:hAnsi="宋体" w:cs="宋体"/>
          <w:color w:val="auto"/>
          <w:sz w:val="44"/>
          <w:szCs w:val="24"/>
          <w:highlight w:val="none"/>
          <w:lang w:val="en-US" w:eastAsia="zh-CN"/>
        </w:rPr>
        <w:t>另册</w:t>
      </w:r>
    </w:p>
    <w:p w14:paraId="4CAD6648">
      <w:pPr>
        <w:rPr>
          <w:rFonts w:hint="eastAsia" w:ascii="宋体" w:hAnsi="宋体" w:eastAsia="宋体" w:cs="宋体"/>
          <w:color w:val="auto"/>
          <w:sz w:val="44"/>
          <w:szCs w:val="24"/>
          <w:highlight w:val="none"/>
        </w:rPr>
      </w:pPr>
      <w:r>
        <w:rPr>
          <w:rFonts w:hint="eastAsia" w:ascii="宋体" w:hAnsi="宋体" w:eastAsia="宋体" w:cs="宋体"/>
          <w:color w:val="auto"/>
          <w:sz w:val="44"/>
          <w:szCs w:val="24"/>
          <w:highlight w:val="none"/>
        </w:rPr>
        <w:br w:type="page"/>
      </w:r>
    </w:p>
    <w:p w14:paraId="2C29B2E3">
      <w:pPr>
        <w:pStyle w:val="5"/>
        <w:outlineLvl w:val="0"/>
        <w:rPr>
          <w:rFonts w:hint="eastAsia" w:ascii="宋体" w:hAnsi="宋体" w:eastAsia="宋体" w:cs="宋体"/>
          <w:b w:val="0"/>
          <w:color w:val="auto"/>
          <w:sz w:val="57"/>
          <w:szCs w:val="24"/>
          <w:highlight w:val="none"/>
        </w:rPr>
      </w:pPr>
      <w:r>
        <w:rPr>
          <w:rFonts w:hint="eastAsia" w:ascii="宋体" w:hAnsi="宋体" w:eastAsia="宋体" w:cs="宋体"/>
          <w:color w:val="auto"/>
          <w:sz w:val="44"/>
          <w:szCs w:val="24"/>
          <w:highlight w:val="none"/>
        </w:rPr>
        <w:t>第二章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投标人须知</w:t>
      </w:r>
      <w:bookmarkEnd w:id="7"/>
    </w:p>
    <w:p w14:paraId="378D3FA3">
      <w:pPr>
        <w:pStyle w:val="6"/>
        <w:kinsoku w:val="0"/>
        <w:overflowPunct w:val="0"/>
        <w:ind w:left="220"/>
        <w:jc w:val="center"/>
        <w:outlineLvl w:val="1"/>
        <w:rPr>
          <w:rFonts w:hint="eastAsia" w:ascii="宋体" w:hAnsi="宋体" w:eastAsia="宋体" w:cs="宋体"/>
          <w:b w:val="0"/>
          <w:color w:val="auto"/>
          <w:sz w:val="20"/>
          <w:szCs w:val="24"/>
          <w:highlight w:val="none"/>
        </w:rPr>
      </w:pPr>
      <w:bookmarkStart w:id="8" w:name="bookmark19"/>
      <w:bookmarkEnd w:id="8"/>
      <w:bookmarkStart w:id="9" w:name="_Toc6280"/>
      <w:r>
        <w:rPr>
          <w:rFonts w:hint="eastAsia" w:ascii="宋体" w:hAnsi="宋体" w:eastAsia="宋体" w:cs="宋体"/>
          <w:color w:val="auto"/>
          <w:sz w:val="32"/>
          <w:szCs w:val="24"/>
          <w:highlight w:val="none"/>
        </w:rPr>
        <w:t>投标人须知前附表</w:t>
      </w:r>
      <w:bookmarkEnd w:id="9"/>
    </w:p>
    <w:tbl>
      <w:tblPr>
        <w:tblStyle w:val="2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051C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C6FA7">
            <w:pPr>
              <w:pStyle w:val="33"/>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0922B">
            <w:pPr>
              <w:pStyle w:val="33"/>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495A1">
            <w:pPr>
              <w:pStyle w:val="33"/>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编列内容</w:t>
            </w:r>
          </w:p>
        </w:tc>
      </w:tr>
      <w:tr w14:paraId="033D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E6EE3">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D78CC">
            <w:pPr>
              <w:pStyle w:val="33"/>
              <w:kinsoku w:val="0"/>
              <w:overflowPunct w:val="0"/>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F6870">
            <w:pPr>
              <w:pStyle w:val="33"/>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招标人：广州市天河区水务设施建设中心</w:t>
            </w:r>
          </w:p>
          <w:p w14:paraId="173579A3">
            <w:pPr>
              <w:pStyle w:val="33"/>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址：广州市天河区黄埔大道中168号</w:t>
            </w:r>
          </w:p>
          <w:p w14:paraId="6D8A2293">
            <w:pPr>
              <w:pStyle w:val="33"/>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联系人：赵工</w:t>
            </w:r>
          </w:p>
          <w:p w14:paraId="6D4142F7">
            <w:pPr>
              <w:pStyle w:val="33"/>
              <w:kinsoku w:val="0"/>
              <w:overflowPunct w:val="0"/>
              <w:adjustRightInd/>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lang w:val="en-US" w:eastAsia="zh-CN"/>
              </w:rPr>
              <w:t>电  话：020-87594749</w:t>
            </w:r>
          </w:p>
        </w:tc>
      </w:tr>
      <w:tr w14:paraId="0F87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1EFC8">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9CCDE">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2DE34">
            <w:pPr>
              <w:pStyle w:val="33"/>
              <w:kinsoku w:val="0"/>
              <w:overflowPunct w:val="0"/>
              <w:adjustRightInd/>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招标代理机构：广东炫诚工程管理有限公司</w:t>
            </w:r>
          </w:p>
          <w:p w14:paraId="2E044E92">
            <w:pPr>
              <w:pStyle w:val="33"/>
              <w:kinsoku w:val="0"/>
              <w:overflowPunct w:val="0"/>
              <w:adjustRightInd/>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地  址：广州市天河区棠下荷光路5号之一205号</w:t>
            </w:r>
          </w:p>
          <w:p w14:paraId="6D6628EC">
            <w:pPr>
              <w:pStyle w:val="33"/>
              <w:kinsoku w:val="0"/>
              <w:overflowPunct w:val="0"/>
              <w:adjustRightInd/>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联系人：王工</w:t>
            </w:r>
          </w:p>
          <w:p w14:paraId="745F7EC2">
            <w:pPr>
              <w:pStyle w:val="33"/>
              <w:kinsoku w:val="0"/>
              <w:overflowPunct w:val="0"/>
              <w:spacing w:line="360" w:lineRule="auto"/>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电 话：020-38663869</w:t>
            </w:r>
          </w:p>
        </w:tc>
      </w:tr>
      <w:tr w14:paraId="1212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603DC">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9C70E">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8E076F">
            <w:pPr>
              <w:jc w:val="both"/>
              <w:rPr>
                <w:rFonts w:hint="eastAsia" w:ascii="宋体" w:hAnsi="宋体" w:eastAsia="宋体" w:cs="宋体"/>
                <w:color w:val="auto"/>
                <w:sz w:val="21"/>
                <w:szCs w:val="24"/>
                <w:highlight w:val="none"/>
                <w:lang w:val="en-US" w:eastAsia="zh-CN"/>
              </w:rPr>
            </w:pPr>
            <w:r>
              <w:rPr>
                <w:rFonts w:hint="eastAsia" w:ascii="宋体" w:hAnsi="宋体" w:cs="宋体"/>
                <w:color w:val="auto"/>
                <w:sz w:val="21"/>
                <w:szCs w:val="21"/>
                <w:highlight w:val="none"/>
                <w:lang w:eastAsia="zh-CN"/>
              </w:rPr>
              <w:t>天河区居民用户老旧共用用水设施改造工程（片区二）监理</w:t>
            </w:r>
          </w:p>
        </w:tc>
      </w:tr>
      <w:tr w14:paraId="023E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83FC3">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2C404">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4257">
            <w:p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14:paraId="23B2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0829EC">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8B255">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3442E">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14:paraId="7B0F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6DA18">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2DE70">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5B1E9">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14:paraId="6B3E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5066E">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2B445">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82E7FD">
            <w:pPr>
              <w:jc w:val="left"/>
              <w:rPr>
                <w:rFonts w:hint="eastAsia" w:ascii="宋体" w:hAnsi="宋体" w:eastAsia="宋体" w:cs="宋体"/>
                <w:color w:val="auto"/>
                <w:sz w:val="21"/>
                <w:szCs w:val="24"/>
                <w:highlight w:val="none"/>
              </w:rPr>
            </w:pPr>
            <w:r>
              <w:rPr>
                <w:rFonts w:hint="eastAsia" w:ascii="宋体" w:hAnsi="宋体" w:eastAsia="宋体" w:cs="宋体"/>
                <w:color w:val="auto"/>
                <w:sz w:val="21"/>
                <w:highlight w:val="none"/>
                <w:lang w:val="en-US" w:eastAsia="zh-CN"/>
              </w:rPr>
              <w:t>概算总投资为8995.856719万元，其 中 工 程 费7425.174932万元。</w:t>
            </w:r>
          </w:p>
        </w:tc>
      </w:tr>
      <w:tr w14:paraId="5CA0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CB790">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F8432">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2BB49">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14:paraId="71C1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7BEA5">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E68F1">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87A8ED">
            <w:p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已落实</w:t>
            </w:r>
          </w:p>
        </w:tc>
      </w:tr>
      <w:tr w14:paraId="6CC2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5B70B">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FA0F9">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A5D20">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14:paraId="7F7B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2ABC12">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E9BF9">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FED4E">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14:paraId="23CD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21872">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232E8">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D1D19">
            <w:pPr>
              <w:jc w:val="both"/>
              <w:rPr>
                <w:rFonts w:hint="eastAsia" w:ascii="宋体" w:hAnsi="宋体" w:eastAsia="宋体" w:cs="宋体"/>
                <w:color w:val="auto"/>
                <w:sz w:val="21"/>
                <w:szCs w:val="24"/>
                <w:highlight w:val="none"/>
              </w:rPr>
            </w:pPr>
            <w:r>
              <w:rPr>
                <w:rFonts w:hint="eastAsia" w:ascii="宋体" w:hAnsi="宋体" w:eastAsia="宋体" w:cs="宋体"/>
                <w:color w:val="auto"/>
                <w:sz w:val="21"/>
                <w:highlight w:val="none"/>
              </w:rPr>
              <w:t>工程质量达到国家或行业质量检验评定的合格标准。</w:t>
            </w:r>
          </w:p>
        </w:tc>
      </w:tr>
      <w:tr w14:paraId="4C57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E917F">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17547">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E4941">
            <w:pPr>
              <w:pStyle w:val="33"/>
              <w:kinsoku w:val="0"/>
              <w:overflowPunct w:val="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详见本项目招标公告</w:t>
            </w:r>
          </w:p>
        </w:tc>
      </w:tr>
      <w:tr w14:paraId="6DC6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1C158">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D20F57">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BFC49">
            <w:pPr>
              <w:pStyle w:val="33"/>
              <w:kinsoku w:val="0"/>
              <w:overflowPunct w:val="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本次招标不接受联合体投标</w:t>
            </w:r>
            <w:r>
              <w:rPr>
                <w:rFonts w:hint="eastAsia" w:ascii="宋体" w:hAnsi="宋体" w:cs="宋体"/>
                <w:color w:val="auto"/>
                <w:sz w:val="21"/>
                <w:szCs w:val="24"/>
                <w:highlight w:val="none"/>
                <w:lang w:eastAsia="zh-CN"/>
              </w:rPr>
              <w:t>。</w:t>
            </w:r>
          </w:p>
        </w:tc>
      </w:tr>
      <w:tr w14:paraId="36D0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EFB35">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43F73">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F346D">
            <w:pPr>
              <w:jc w:val="both"/>
              <w:rPr>
                <w:rFonts w:hint="eastAsia" w:ascii="宋体" w:hAnsi="宋体" w:eastAsia="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r>
      <w:tr w14:paraId="441F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8392B">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0E1C5">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B7286">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招标人不集中组织，由投标人自行踏勘；</w:t>
            </w:r>
          </w:p>
          <w:p w14:paraId="77E10D14">
            <w:pPr>
              <w:pStyle w:val="13"/>
              <w:keepNext w:val="0"/>
              <w:keepLines w:val="0"/>
              <w:pageBreakBefore w:val="0"/>
              <w:widowControl w:val="0"/>
              <w:kinsoku/>
              <w:wordWrap/>
              <w:overflowPunct/>
              <w:topLinePunct w:val="0"/>
              <w:autoSpaceDE/>
              <w:autoSpaceDN/>
              <w:bidi w:val="0"/>
              <w:adjustRightInd/>
              <w:snapToGrid/>
              <w:spacing w:after="0" w:afterLines="0" w:line="360" w:lineRule="exact"/>
              <w:ind w:left="0"/>
              <w:textAlignment w:val="auto"/>
              <w:rPr>
                <w:rFonts w:hint="eastAsia" w:eastAsia="宋体" w:cs="宋体"/>
                <w:color w:val="auto"/>
                <w:highlight w:val="none"/>
                <w:u w:val="single"/>
                <w:lang w:eastAsia="zh-CN"/>
              </w:rPr>
            </w:pPr>
            <w:r>
              <w:rPr>
                <w:rFonts w:hint="eastAsia" w:cs="宋体"/>
                <w:color w:val="auto"/>
                <w:highlight w:val="none"/>
              </w:rPr>
              <w:t>本项目可能影响项目实施的的现场环境因素有</w:t>
            </w:r>
            <w:r>
              <w:rPr>
                <w:rFonts w:hint="eastAsia" w:cs="宋体"/>
                <w:color w:val="auto"/>
                <w:highlight w:val="none"/>
                <w:lang w:eastAsia="zh-CN"/>
              </w:rPr>
              <w:t>：</w:t>
            </w:r>
            <w:r>
              <w:rPr>
                <w:rFonts w:hint="eastAsia" w:cs="宋体"/>
                <w:color w:val="auto"/>
                <w:highlight w:val="none"/>
                <w:u w:val="single"/>
              </w:rPr>
              <w:t>项目地址是否具备客观实施改造条件，如是否有位置新建泵房、外立管铺设是否有空间搭设脚手架、外墙是否有铺设管道的空间等</w:t>
            </w:r>
            <w:r>
              <w:rPr>
                <w:rFonts w:hint="eastAsia" w:cs="宋体"/>
                <w:color w:val="auto"/>
                <w:highlight w:val="none"/>
                <w:u w:val="single"/>
                <w:lang w:eastAsia="zh-CN"/>
              </w:rPr>
              <w:t>；</w:t>
            </w:r>
          </w:p>
          <w:p w14:paraId="54D9B269">
            <w:pPr>
              <w:pStyle w:val="13"/>
              <w:keepNext w:val="0"/>
              <w:keepLines w:val="0"/>
              <w:pageBreakBefore w:val="0"/>
              <w:widowControl w:val="0"/>
              <w:kinsoku/>
              <w:wordWrap/>
              <w:overflowPunct/>
              <w:topLinePunct w:val="0"/>
              <w:autoSpaceDE/>
              <w:autoSpaceDN/>
              <w:bidi w:val="0"/>
              <w:adjustRightInd/>
              <w:snapToGrid/>
              <w:spacing w:after="0" w:afterLines="0" w:line="360" w:lineRule="exact"/>
              <w:ind w:left="0" w:hanging="16" w:hangingChars="8"/>
              <w:jc w:val="both"/>
              <w:textAlignment w:val="auto"/>
              <w:rPr>
                <w:rFonts w:hint="eastAsia" w:eastAsia="宋体" w:cs="宋体"/>
                <w:color w:val="auto"/>
                <w:highlight w:val="none"/>
                <w:u w:val="single"/>
                <w:lang w:eastAsia="zh-CN"/>
              </w:rPr>
            </w:pPr>
            <w:r>
              <w:rPr>
                <w:rFonts w:hint="eastAsia" w:cs="宋体"/>
                <w:color w:val="auto"/>
                <w:highlight w:val="none"/>
              </w:rPr>
              <w:t>上述现场环境因素可能对投标报价的影响有</w:t>
            </w:r>
            <w:r>
              <w:rPr>
                <w:rFonts w:hint="eastAsia" w:cs="宋体"/>
                <w:color w:val="auto"/>
                <w:highlight w:val="none"/>
                <w:lang w:eastAsia="zh-CN"/>
              </w:rPr>
              <w:t>：</w:t>
            </w:r>
            <w:r>
              <w:rPr>
                <w:rFonts w:hint="eastAsia" w:cs="宋体"/>
                <w:color w:val="auto"/>
                <w:highlight w:val="none"/>
                <w:u w:val="single"/>
              </w:rPr>
              <w:t>改造地址管网敷设如需避让现有建、构筑物(化粪池、雨棚、防盗网,居民自建物等)及避让既有管线(燃气管、电缆管、雨水管、污水管等)从而增加工程量;原泵房如不具备修缮改造条件，需要新建泵房;改造楼栋出现“一户两表”情况，工程量将成倍增加。以上情形均可能增加工程造价</w:t>
            </w:r>
            <w:r>
              <w:rPr>
                <w:rFonts w:hint="eastAsia" w:cs="宋体"/>
                <w:color w:val="auto"/>
                <w:highlight w:val="none"/>
                <w:u w:val="single"/>
                <w:lang w:eastAsia="zh-CN"/>
              </w:rPr>
              <w:t>；最终结算价不得超过概算价。</w:t>
            </w:r>
          </w:p>
          <w:p w14:paraId="24E25450">
            <w:pPr>
              <w:pStyle w:val="13"/>
              <w:keepNext w:val="0"/>
              <w:keepLines w:val="0"/>
              <w:pageBreakBefore w:val="0"/>
              <w:widowControl w:val="0"/>
              <w:kinsoku/>
              <w:wordWrap/>
              <w:overflowPunct/>
              <w:topLinePunct w:val="0"/>
              <w:autoSpaceDE/>
              <w:autoSpaceDN/>
              <w:bidi w:val="0"/>
              <w:adjustRightInd/>
              <w:snapToGrid/>
              <w:spacing w:after="0" w:afterLines="0" w:line="360" w:lineRule="exact"/>
              <w:ind w:left="0" w:hanging="16" w:hangingChars="8"/>
              <w:jc w:val="both"/>
              <w:textAlignment w:val="auto"/>
              <w:rPr>
                <w:rFonts w:hint="eastAsia" w:eastAsia="宋体" w:cs="宋体"/>
                <w:color w:val="auto"/>
                <w:highlight w:val="none"/>
                <w:lang w:eastAsia="zh-CN"/>
              </w:rPr>
            </w:pPr>
            <w:r>
              <w:rPr>
                <w:rFonts w:hint="eastAsia" w:cs="宋体"/>
                <w:color w:val="auto"/>
                <w:highlight w:val="none"/>
              </w:rPr>
              <w:t>投标人投标前应实地踏勘现场，充分了解对项目建设有影响的各项因素，综合评估各因素对项目建设的影响程度，合理编制</w:t>
            </w:r>
            <w:r>
              <w:rPr>
                <w:rFonts w:hint="eastAsia" w:cs="宋体"/>
                <w:color w:val="auto"/>
                <w:highlight w:val="none"/>
                <w:lang w:eastAsia="zh-CN"/>
              </w:rPr>
              <w:t>监理大纲</w:t>
            </w:r>
            <w:r>
              <w:rPr>
                <w:rFonts w:hint="eastAsia" w:cs="宋体"/>
                <w:color w:val="auto"/>
                <w:highlight w:val="none"/>
              </w:rPr>
              <w:t>和投标报价</w:t>
            </w:r>
            <w:r>
              <w:rPr>
                <w:rFonts w:hint="eastAsia" w:cs="宋体"/>
                <w:color w:val="auto"/>
                <w:highlight w:val="none"/>
                <w:lang w:eastAsia="zh-CN"/>
              </w:rPr>
              <w:t>；</w:t>
            </w:r>
          </w:p>
          <w:p w14:paraId="0FB87025">
            <w:pPr>
              <w:spacing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时间：自</w:t>
            </w:r>
            <w:r>
              <w:rPr>
                <w:rFonts w:hint="eastAsia" w:ascii="宋体" w:hAnsi="宋体" w:eastAsia="宋体" w:cs="宋体"/>
                <w:color w:val="auto"/>
                <w:sz w:val="21"/>
                <w:szCs w:val="24"/>
                <w:highlight w:val="none"/>
                <w:lang w:val="en-US" w:eastAsia="zh-CN"/>
              </w:rPr>
              <w:t>招标公告发布之日</w:t>
            </w:r>
            <w:r>
              <w:rPr>
                <w:rFonts w:hint="eastAsia" w:ascii="宋体" w:hAnsi="宋体" w:eastAsia="宋体" w:cs="宋体"/>
                <w:color w:val="auto"/>
                <w:sz w:val="21"/>
                <w:szCs w:val="24"/>
                <w:highlight w:val="none"/>
              </w:rPr>
              <w:t>起具备现场踏勘条件；</w:t>
            </w:r>
          </w:p>
          <w:p w14:paraId="6FB9DDF9">
            <w:pPr>
              <w:pStyle w:val="33"/>
              <w:kinsoku w:val="0"/>
              <w:overflowPunct w:val="0"/>
              <w:spacing w:afterLines="0" w:line="360" w:lineRule="exact"/>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现场详细地点：</w:t>
            </w:r>
            <w:r>
              <w:rPr>
                <w:rFonts w:hint="eastAsia" w:ascii="宋体" w:hAnsi="宋体" w:eastAsia="宋体" w:cs="宋体"/>
                <w:color w:val="auto"/>
                <w:sz w:val="21"/>
                <w:highlight w:val="none"/>
              </w:rPr>
              <w:t>详见本项目招标公告</w:t>
            </w:r>
            <w:r>
              <w:rPr>
                <w:rFonts w:hint="eastAsia" w:ascii="宋体" w:hAnsi="宋体" w:eastAsia="宋体" w:cs="宋体"/>
                <w:color w:val="auto"/>
                <w:sz w:val="21"/>
                <w:szCs w:val="24"/>
                <w:highlight w:val="none"/>
              </w:rPr>
              <w:t>；</w:t>
            </w:r>
          </w:p>
        </w:tc>
      </w:tr>
      <w:tr w14:paraId="3864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1C030F1F">
            <w:pPr>
              <w:spacing w:line="283" w:lineRule="auto"/>
              <w:rPr>
                <w:rFonts w:hint="eastAsia" w:ascii="宋体" w:hAnsi="宋体" w:eastAsia="宋体" w:cs="宋体"/>
                <w:color w:val="auto"/>
                <w:sz w:val="21"/>
                <w:szCs w:val="24"/>
                <w:highlight w:val="none"/>
              </w:rPr>
            </w:pPr>
          </w:p>
          <w:p w14:paraId="11243E9A">
            <w:pPr>
              <w:spacing w:line="284" w:lineRule="auto"/>
              <w:rPr>
                <w:rFonts w:hint="eastAsia" w:ascii="宋体" w:hAnsi="宋体" w:eastAsia="宋体" w:cs="宋体"/>
                <w:color w:val="auto"/>
                <w:sz w:val="21"/>
                <w:szCs w:val="24"/>
                <w:highlight w:val="none"/>
              </w:rPr>
            </w:pPr>
          </w:p>
          <w:p w14:paraId="2DD7890B">
            <w:pPr>
              <w:spacing w:before="60" w:line="18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3D4062C9">
            <w:pPr>
              <w:spacing w:line="260" w:lineRule="auto"/>
              <w:rPr>
                <w:rFonts w:hint="eastAsia" w:ascii="宋体" w:hAnsi="宋体" w:eastAsia="宋体" w:cs="宋体"/>
                <w:color w:val="auto"/>
                <w:sz w:val="21"/>
                <w:szCs w:val="24"/>
                <w:highlight w:val="none"/>
              </w:rPr>
            </w:pPr>
          </w:p>
          <w:p w14:paraId="1D6A50A1">
            <w:pPr>
              <w:spacing w:before="68" w:line="217"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17E12886">
            <w:pPr>
              <w:pStyle w:val="12"/>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78CDBF03">
            <w:pPr>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召开，召开时间：</w:t>
            </w:r>
          </w:p>
          <w:p w14:paraId="07B454A8">
            <w:pPr>
              <w:spacing w:before="173"/>
              <w:ind w:right="50" w:firstLine="840" w:firstLineChars="4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召开地点：</w:t>
            </w:r>
          </w:p>
        </w:tc>
      </w:tr>
      <w:tr w14:paraId="68CF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D797CD">
            <w:pPr>
              <w:spacing w:before="60" w:line="186"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C88ACB0">
            <w:pPr>
              <w:spacing w:before="68" w:line="217"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F4A8C5">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p>
        </w:tc>
      </w:tr>
      <w:tr w14:paraId="5D30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B205B0">
            <w:pPr>
              <w:pStyle w:val="33"/>
              <w:kinsoku w:val="0"/>
              <w:overflowPunct w:val="0"/>
              <w:jc w:val="center"/>
              <w:rPr>
                <w:rFonts w:hint="eastAsia" w:ascii="宋体" w:hAnsi="宋体" w:eastAsia="宋体" w:cs="宋体"/>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C78944">
            <w:pPr>
              <w:pStyle w:val="33"/>
              <w:kinsoku w:val="0"/>
              <w:overflowPunct w:val="0"/>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3C6FD">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 xml:space="preserve"> /</w:t>
            </w:r>
          </w:p>
        </w:tc>
      </w:tr>
      <w:tr w14:paraId="1FE7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3AD82">
            <w:pPr>
              <w:spacing w:before="62" w:beforeLines="20" w:after="62" w:afterLines="20"/>
              <w:ind w:left="48" w:leftChars="20" w:right="48" w:rightChars="2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C0D01">
            <w:pPr>
              <w:spacing w:before="62" w:beforeLines="20" w:after="62" w:afterLines="20"/>
              <w:ind w:left="48" w:leftChars="20" w:right="48" w:rightChars="2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9ED24">
            <w:pPr>
              <w:autoSpaceDE/>
              <w:autoSpaceDN/>
              <w:adjustRightInd/>
              <w:spacing w:before="63" w:beforeLines="20" w:after="63" w:afterLines="20"/>
              <w:ind w:left="0" w:leftChars="0" w:right="48" w:rightChars="2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r>
      <w:tr w14:paraId="4682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FDDB7">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6567F">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F41DB">
            <w:pPr>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w:t>
            </w:r>
          </w:p>
        </w:tc>
      </w:tr>
      <w:tr w14:paraId="0B65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124AF">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B557B">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0716F7">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74B429CC">
            <w:pPr>
              <w:pStyle w:val="33"/>
              <w:kinsoku w:val="0"/>
              <w:overflowPunct w:val="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允许，偏差范围：</w:t>
            </w:r>
            <w:r>
              <w:rPr>
                <w:rFonts w:hint="eastAsia" w:ascii="宋体" w:hAnsi="宋体" w:eastAsia="宋体" w:cs="宋体"/>
                <w:color w:val="auto"/>
                <w:sz w:val="21"/>
                <w:szCs w:val="24"/>
                <w:highlight w:val="none"/>
                <w:lang w:val="en-US" w:eastAsia="zh-CN"/>
              </w:rPr>
              <w:t>/</w:t>
            </w:r>
          </w:p>
          <w:p w14:paraId="2EFB94DA">
            <w:pPr>
              <w:pStyle w:val="33"/>
              <w:kinsoku w:val="0"/>
              <w:overflowPunct w:val="0"/>
              <w:jc w:val="both"/>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4"/>
                <w:highlight w:val="none"/>
              </w:rPr>
              <w:t>偏差幅度：</w:t>
            </w:r>
            <w:r>
              <w:rPr>
                <w:rFonts w:hint="eastAsia" w:ascii="宋体" w:hAnsi="宋体" w:eastAsia="宋体" w:cs="宋体"/>
                <w:color w:val="auto"/>
                <w:sz w:val="21"/>
                <w:szCs w:val="24"/>
                <w:highlight w:val="none"/>
                <w:lang w:val="en-US" w:eastAsia="zh-CN"/>
              </w:rPr>
              <w:t>/</w:t>
            </w:r>
          </w:p>
        </w:tc>
      </w:tr>
      <w:tr w14:paraId="2564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154A1">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D9F62">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4A627">
            <w:pPr>
              <w:jc w:val="both"/>
              <w:rPr>
                <w:rFonts w:hint="eastAsia" w:ascii="宋体" w:hAnsi="宋体" w:eastAsia="宋体" w:cs="宋体"/>
                <w:b/>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46CD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850AC">
            <w:pPr>
              <w:spacing w:before="60"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BDE075">
            <w:pPr>
              <w:spacing w:line="272" w:lineRule="auto"/>
              <w:jc w:val="center"/>
              <w:rPr>
                <w:rFonts w:hint="eastAsia" w:ascii="宋体" w:hAnsi="宋体" w:eastAsia="宋体" w:cs="宋体"/>
                <w:color w:val="auto"/>
                <w:sz w:val="21"/>
                <w:szCs w:val="24"/>
                <w:highlight w:val="none"/>
              </w:rPr>
            </w:pPr>
          </w:p>
          <w:p w14:paraId="75106176">
            <w:pPr>
              <w:spacing w:before="69" w:line="220" w:lineRule="auto"/>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招标答疑</w:t>
            </w:r>
          </w:p>
          <w:p w14:paraId="4FC597CF">
            <w:pPr>
              <w:jc w:val="center"/>
              <w:rPr>
                <w:rFonts w:hint="eastAsia" w:ascii="宋体" w:hAnsi="宋体" w:eastAsia="宋体" w:cs="宋体"/>
                <w:color w:val="auto"/>
                <w:sz w:val="21"/>
                <w:szCs w:val="24"/>
                <w:highlight w:val="none"/>
                <w:lang w:eastAsia="zh-CN"/>
              </w:rPr>
            </w:pPr>
          </w:p>
          <w:p w14:paraId="4C95F308">
            <w:pPr>
              <w:tabs>
                <w:tab w:val="left" w:pos="1103"/>
              </w:tabs>
              <w:jc w:val="center"/>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20916A53">
            <w:pPr>
              <w:spacing w:before="156" w:beforeLines="50"/>
              <w:ind w:left="113" w:leftChars="4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疑问提交时间：</w:t>
            </w:r>
            <w:r>
              <w:rPr>
                <w:rFonts w:hint="eastAsia" w:ascii="宋体" w:hAnsi="宋体" w:cs="宋体"/>
                <w:color w:val="auto"/>
                <w:sz w:val="21"/>
                <w:szCs w:val="21"/>
                <w:highlight w:val="none"/>
                <w:u w:val="single"/>
              </w:rPr>
              <w:t>在投标截止日期18天</w:t>
            </w:r>
            <w:r>
              <w:rPr>
                <w:rFonts w:hint="eastAsia" w:ascii="宋体" w:hAnsi="宋体" w:eastAsia="宋体" w:cs="宋体"/>
                <w:color w:val="auto"/>
                <w:sz w:val="21"/>
                <w:szCs w:val="21"/>
                <w:highlight w:val="none"/>
              </w:rPr>
              <w:t>前；</w:t>
            </w:r>
          </w:p>
          <w:p w14:paraId="1F521609">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w:t>
            </w:r>
            <w:r>
              <w:rPr>
                <w:rFonts w:hint="eastAsia" w:ascii="宋体" w:hAnsi="宋体" w:eastAsia="宋体" w:cs="宋体"/>
                <w:color w:val="auto"/>
                <w:sz w:val="21"/>
                <w:szCs w:val="21"/>
                <w:highlight w:val="none"/>
                <w:lang w:eastAsia="zh-CN"/>
              </w:rPr>
              <w:t>广州交易集团有限公司（广州公共资源交易中心）网站</w:t>
            </w:r>
            <w:r>
              <w:rPr>
                <w:rFonts w:hint="eastAsia" w:ascii="宋体" w:hAnsi="宋体" w:eastAsia="宋体" w:cs="宋体"/>
                <w:color w:val="auto"/>
                <w:sz w:val="21"/>
                <w:szCs w:val="21"/>
                <w:highlight w:val="none"/>
              </w:rPr>
              <w:t>提交。</w:t>
            </w:r>
          </w:p>
          <w:p w14:paraId="2545BF28">
            <w:pPr>
              <w:spacing w:before="156" w:beforeLines="50"/>
              <w:ind w:left="113" w:leftChars="4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具体要求：按照</w:t>
            </w:r>
            <w:r>
              <w:rPr>
                <w:rFonts w:hint="eastAsia" w:ascii="宋体" w:hAnsi="宋体" w:eastAsia="宋体" w:cs="宋体"/>
                <w:color w:val="auto"/>
                <w:sz w:val="21"/>
                <w:szCs w:val="21"/>
                <w:highlight w:val="none"/>
                <w:lang w:eastAsia="zh-CN"/>
              </w:rPr>
              <w:t>广州交易集团有限公司（广州公共资源交易中心）网站</w:t>
            </w:r>
            <w:r>
              <w:rPr>
                <w:rFonts w:hint="eastAsia" w:ascii="宋体" w:hAnsi="宋体" w:eastAsia="宋体" w:cs="宋体"/>
                <w:color w:val="auto"/>
                <w:sz w:val="21"/>
                <w:szCs w:val="21"/>
                <w:highlight w:val="none"/>
              </w:rPr>
              <w:t>关于全流程电子化项目的相关指南进行操作，提问一律不得署名。</w:t>
            </w:r>
          </w:p>
        </w:tc>
      </w:tr>
      <w:tr w14:paraId="360F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D5830">
            <w:pPr>
              <w:spacing w:before="209"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B228F">
            <w:pPr>
              <w:spacing w:before="170" w:line="220" w:lineRule="auto"/>
              <w:jc w:val="left"/>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hint="eastAsia"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C7949">
            <w:pPr>
              <w:ind w:left="91" w:leftChars="38"/>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招标文件的修改期限：在投标截止时间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15</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天前</w:t>
            </w:r>
            <w:r>
              <w:rPr>
                <w:rFonts w:hint="eastAsia" w:ascii="宋体" w:hAnsi="宋体" w:cs="宋体"/>
                <w:color w:val="auto"/>
                <w:sz w:val="21"/>
                <w:szCs w:val="24"/>
                <w:highlight w:val="none"/>
                <w:lang w:eastAsia="zh-CN"/>
              </w:rPr>
              <w:t>；</w:t>
            </w:r>
          </w:p>
          <w:p w14:paraId="27B10C1D">
            <w:pPr>
              <w:ind w:left="91" w:leftChars="38"/>
              <w:jc w:val="left"/>
              <w:rPr>
                <w:rFonts w:hint="eastAsia" w:ascii="宋体" w:hAnsi="宋体" w:eastAsia="宋体" w:cs="宋体"/>
                <w:b/>
                <w:color w:val="auto"/>
                <w:sz w:val="21"/>
                <w:szCs w:val="21"/>
                <w:highlight w:val="none"/>
              </w:rPr>
            </w:pPr>
            <w:r>
              <w:rPr>
                <w:rFonts w:hint="eastAsia" w:ascii="宋体" w:hAnsi="宋体" w:cs="宋体"/>
                <w:color w:val="auto"/>
                <w:sz w:val="21"/>
                <w:highlight w:val="none"/>
              </w:rPr>
              <w:t>招标文件的澄清均以广州交易集团有限公司（广州公共资源交易中心）网站发布的内容为准。当招标文件的澄清、修改在同一内容的表述不一致时，以广州交易集团有限公司（广州公共资源交易中心）网站最后发布的内容为准。</w:t>
            </w:r>
          </w:p>
        </w:tc>
      </w:tr>
      <w:tr w14:paraId="4E8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CFD68">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6C11E">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3B1B5">
            <w:pPr>
              <w:jc w:val="both"/>
              <w:rPr>
                <w:rFonts w:hint="eastAsia" w:ascii="宋体" w:hAnsi="宋体" w:eastAsia="宋体" w:cs="宋体"/>
                <w:b/>
                <w:color w:val="auto"/>
                <w:sz w:val="21"/>
                <w:szCs w:val="21"/>
                <w:highlight w:val="none"/>
              </w:rPr>
            </w:pPr>
            <w:r>
              <w:rPr>
                <w:rFonts w:hint="eastAsia" w:ascii="宋体" w:hAnsi="宋体" w:eastAsia="宋体" w:cs="宋体"/>
                <w:color w:val="auto"/>
                <w:spacing w:val="-1"/>
                <w:sz w:val="21"/>
                <w:szCs w:val="21"/>
                <w:highlight w:val="none"/>
                <w:lang w:val="en-US" w:eastAsia="zh-CN"/>
              </w:rPr>
              <w:t>满足本项目评审要求的其他资料。</w:t>
            </w:r>
          </w:p>
        </w:tc>
      </w:tr>
      <w:tr w14:paraId="16D1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DFAB7">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369D9">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0081EC">
            <w:pPr>
              <w:jc w:val="both"/>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按一般计税方法计算。</w:t>
            </w:r>
          </w:p>
        </w:tc>
      </w:tr>
      <w:tr w14:paraId="55A9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7794A">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4E9B7">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0F3C9">
            <w:pPr>
              <w:jc w:val="both"/>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参考《建设工程监理与相关服务收费管理规定》（发改价格【2007】670号）及《国家发展改革委关于进一步放开建设项目专业服务价格的通知》（发改价格【2015】299号），由投标单位根据自身条件填写投标下浮率，并根据投标报价表的计算方式计算投标报价，投标报价不得超过最高投标限价。监理费投标下浮率作为进度款支付及结算依据，结算时不予调整</w:t>
            </w:r>
          </w:p>
        </w:tc>
      </w:tr>
      <w:tr w14:paraId="43A4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4D728">
            <w:pPr>
              <w:pStyle w:val="33"/>
              <w:kinsoku w:val="0"/>
              <w:overflowPunct w:val="0"/>
              <w:jc w:val="center"/>
              <w:rPr>
                <w:rFonts w:hint="eastAsia" w:ascii="宋体" w:hAnsi="宋体" w:eastAsia="宋体" w:cs="宋体"/>
                <w:color w:val="auto"/>
                <w:sz w:val="21"/>
                <w:szCs w:val="24"/>
                <w:highlight w:val="none"/>
              </w:rPr>
            </w:pPr>
          </w:p>
          <w:p w14:paraId="43F2C8A3">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3ED39">
            <w:pPr>
              <w:pStyle w:val="33"/>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CACF7">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无</w:t>
            </w:r>
          </w:p>
          <w:p w14:paraId="7660401F">
            <w:pPr>
              <w:pStyle w:val="33"/>
              <w:kinsoku w:val="0"/>
              <w:overflowPunct w:val="0"/>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有，最高投标限价：</w:t>
            </w:r>
            <w:r>
              <w:rPr>
                <w:rFonts w:hint="eastAsia" w:ascii="宋体" w:hAnsi="宋体" w:eastAsia="宋体" w:cs="宋体"/>
                <w:color w:val="auto"/>
                <w:sz w:val="21"/>
                <w:highlight w:val="none"/>
              </w:rPr>
              <w:t>最高投标限价：</w:t>
            </w:r>
            <w:r>
              <w:rPr>
                <w:rFonts w:hint="eastAsia" w:ascii="宋体" w:hAnsi="宋体" w:cs="宋体"/>
                <w:color w:val="auto"/>
                <w:sz w:val="21"/>
                <w:highlight w:val="none"/>
                <w:lang w:val="en-US" w:eastAsia="zh-CN"/>
              </w:rPr>
              <w:t>1440454.00元</w:t>
            </w:r>
          </w:p>
        </w:tc>
      </w:tr>
      <w:tr w14:paraId="7A33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51717">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72B8C">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80F6B">
            <w:pPr>
              <w:pStyle w:val="33"/>
              <w:kinsoku w:val="0"/>
              <w:overflowPunct w:val="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w:t>
            </w:r>
          </w:p>
        </w:tc>
      </w:tr>
      <w:tr w14:paraId="3EBB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FAEF7">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21A951">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A7E66">
            <w:pPr>
              <w:jc w:val="both"/>
              <w:rPr>
                <w:rFonts w:hint="eastAsia" w:ascii="宋体" w:hAnsi="宋体" w:eastAsia="宋体" w:cs="宋体"/>
                <w:color w:val="auto"/>
                <w:sz w:val="21"/>
                <w:szCs w:val="24"/>
                <w:highlight w:val="none"/>
              </w:rPr>
            </w:pPr>
            <w:r>
              <w:rPr>
                <w:rFonts w:hint="eastAsia" w:ascii="宋体" w:hAnsi="宋体" w:cs="宋体"/>
                <w:color w:val="auto"/>
                <w:sz w:val="21"/>
                <w:szCs w:val="24"/>
                <w:highlight w:val="none"/>
                <w:u w:val="none"/>
                <w:lang w:val="en-US" w:eastAsia="zh-CN"/>
              </w:rPr>
              <w:t>90</w:t>
            </w:r>
            <w:r>
              <w:rPr>
                <w:rFonts w:hint="eastAsia" w:ascii="宋体" w:hAnsi="宋体" w:eastAsia="宋体" w:cs="宋体"/>
                <w:color w:val="auto"/>
                <w:sz w:val="21"/>
                <w:szCs w:val="24"/>
                <w:highlight w:val="none"/>
              </w:rPr>
              <w:t>日历天（从投标截止之日计起）</w:t>
            </w:r>
          </w:p>
        </w:tc>
      </w:tr>
      <w:tr w14:paraId="6B3E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2292E">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E4C94">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DC23F">
            <w:pPr>
              <w:pStyle w:val="2"/>
              <w:autoSpaceDE/>
              <w:autoSpaceDN/>
              <w:adjustRightInd/>
              <w:spacing w:before="0" w:beforeLines="0" w:afterLines="0" w:line="240" w:lineRule="auto"/>
              <w:ind w:left="0" w:firstLine="198" w:firstLineChars="1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14:paraId="2CCFB1D4">
            <w:pPr>
              <w:pStyle w:val="2"/>
              <w:kinsoku w:val="0"/>
              <w:overflowPunct w:val="0"/>
              <w:autoSpaceDE/>
              <w:autoSpaceDN/>
              <w:adjustRightInd/>
              <w:spacing w:beforeLines="0" w:afterLines="0" w:line="240" w:lineRule="auto"/>
              <w:ind w:firstLine="198" w:firstLineChars="10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3"/>
                <w:sz w:val="21"/>
                <w:szCs w:val="21"/>
                <w:highlight w:val="none"/>
              </w:rPr>
              <w:t>不要求</w:t>
            </w:r>
          </w:p>
          <w:p w14:paraId="4A9C8F2D">
            <w:pPr>
              <w:pStyle w:val="2"/>
              <w:kinsoku w:val="0"/>
              <w:overflowPunct w:val="0"/>
              <w:autoSpaceDE/>
              <w:autoSpaceDN/>
              <w:adjustRightInd/>
              <w:spacing w:beforeLines="0" w:afterLines="0" w:line="240" w:lineRule="auto"/>
              <w:ind w:firstLine="196" w:firstLineChars="100"/>
              <w:jc w:val="both"/>
              <w:rPr>
                <w:rFonts w:hint="eastAsia" w:ascii="宋体" w:hAnsi="宋体" w:eastAsia="宋体" w:cs="宋体"/>
                <w:color w:val="auto"/>
                <w:sz w:val="21"/>
                <w:szCs w:val="24"/>
                <w:highlight w:val="none"/>
              </w:rPr>
            </w:pPr>
            <w:r>
              <w:rPr>
                <w:rFonts w:hint="eastAsia" w:ascii="宋体" w:hAnsi="宋体" w:eastAsia="宋体" w:cs="宋体"/>
                <w:color w:val="auto"/>
                <w:spacing w:val="-7"/>
                <w:sz w:val="21"/>
                <w:szCs w:val="21"/>
                <w:highlight w:val="none"/>
              </w:rPr>
              <w:sym w:font="Wingdings 2" w:char="00A3"/>
            </w:r>
            <w:r>
              <w:rPr>
                <w:rFonts w:hint="eastAsia" w:ascii="宋体" w:hAnsi="宋体" w:eastAsia="宋体" w:cs="宋体"/>
                <w:color w:val="auto"/>
                <w:spacing w:val="-5"/>
                <w:sz w:val="21"/>
                <w:szCs w:val="21"/>
                <w:highlight w:val="none"/>
              </w:rPr>
              <w:t>要求，投标保证金的形式：</w:t>
            </w:r>
            <w:r>
              <w:rPr>
                <w:rFonts w:hint="eastAsia" w:hAnsi="宋体" w:cs="宋体"/>
                <w:color w:val="auto"/>
                <w:spacing w:val="-5"/>
                <w:sz w:val="21"/>
                <w:szCs w:val="21"/>
                <w:highlight w:val="none"/>
                <w:lang w:val="en-US" w:eastAsia="zh-CN"/>
              </w:rPr>
              <w:t>/</w:t>
            </w:r>
          </w:p>
        </w:tc>
      </w:tr>
      <w:tr w14:paraId="4CC4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6135E">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9BA3B">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21085">
            <w:pPr>
              <w:pStyle w:val="33"/>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无</w:t>
            </w:r>
          </w:p>
          <w:p w14:paraId="2C2A8B43">
            <w:pPr>
              <w:pStyle w:val="33"/>
              <w:kinsoku w:val="0"/>
              <w:overflowPunct w:val="0"/>
              <w:spacing w:beforeLines="0" w:afterLine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有，具体要求：</w:t>
            </w:r>
            <w:r>
              <w:rPr>
                <w:rFonts w:hint="eastAsia" w:ascii="宋体" w:hAnsi="宋体" w:eastAsia="宋体" w:cs="宋体"/>
                <w:color w:val="auto"/>
                <w:sz w:val="21"/>
                <w:szCs w:val="24"/>
                <w:highlight w:val="none"/>
                <w:lang w:val="en-US" w:eastAsia="zh-CN"/>
              </w:rPr>
              <w:t>/</w:t>
            </w:r>
          </w:p>
        </w:tc>
      </w:tr>
      <w:tr w14:paraId="5805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FB91D">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7C5E6F">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D6FA3">
            <w:pPr>
              <w:pStyle w:val="33"/>
              <w:tabs>
                <w:tab w:val="left" w:pos="799"/>
                <w:tab w:val="left" w:pos="1569"/>
                <w:tab w:val="left" w:pos="2340"/>
              </w:tabs>
              <w:kinsoku w:val="0"/>
              <w:overflowPunct w:val="0"/>
              <w:spacing w:beforeLines="0" w:afterLines="0"/>
              <w:jc w:val="both"/>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u w:val="single"/>
                <w:lang w:val="en-US" w:eastAsia="zh-CN"/>
              </w:rPr>
              <w:t>/</w:t>
            </w:r>
          </w:p>
        </w:tc>
      </w:tr>
      <w:tr w14:paraId="7FF6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450EA">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84CAEF">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41685">
            <w:pPr>
              <w:pStyle w:val="33"/>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4CF8D551">
            <w:pPr>
              <w:pStyle w:val="33"/>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w:t>
            </w:r>
          </w:p>
        </w:tc>
      </w:tr>
      <w:tr w14:paraId="63C8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98FD3">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B3B51">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F13DF">
            <w:pPr>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投标文件格式规定需个人签字的，应签字或签章后扫描上传</w:t>
            </w:r>
            <w:r>
              <w:rPr>
                <w:rFonts w:hint="eastAsia" w:ascii="宋体" w:hAnsi="宋体" w:eastAsia="宋体" w:cs="宋体"/>
                <w:color w:val="auto"/>
                <w:kern w:val="2"/>
                <w:sz w:val="21"/>
                <w:szCs w:val="24"/>
                <w:highlight w:val="none"/>
                <w:lang w:val="en-US" w:eastAsia="zh-CN"/>
              </w:rPr>
              <w:t>（</w:t>
            </w:r>
            <w:r>
              <w:rPr>
                <w:rFonts w:hint="eastAsia" w:ascii="宋体" w:hAnsi="宋体" w:eastAsia="宋体" w:cs="宋体"/>
                <w:color w:val="auto"/>
                <w:kern w:val="2"/>
                <w:sz w:val="21"/>
                <w:szCs w:val="24"/>
                <w:highlight w:val="none"/>
                <w:lang w:val="en-US" w:eastAsia="zh-CN" w:bidi="ar-SA"/>
              </w:rPr>
              <w:t>可靠的电子签名与手写签名或者盖章具有同等的法律效力</w:t>
            </w:r>
            <w:r>
              <w:rPr>
                <w:rFonts w:hint="eastAsia" w:ascii="宋体" w:hAnsi="宋体" w:eastAsia="宋体" w:cs="宋体"/>
                <w:color w:val="auto"/>
                <w:kern w:val="2"/>
                <w:sz w:val="21"/>
                <w:szCs w:val="24"/>
                <w:highlight w:val="none"/>
                <w:lang w:val="en-US" w:eastAsia="zh-CN"/>
              </w:rPr>
              <w:t>）</w:t>
            </w:r>
            <w:r>
              <w:rPr>
                <w:rFonts w:hint="eastAsia" w:ascii="宋体" w:hAnsi="宋体" w:eastAsia="宋体" w:cs="宋体"/>
                <w:color w:val="auto"/>
                <w:sz w:val="21"/>
                <w:szCs w:val="24"/>
                <w:highlight w:val="none"/>
              </w:rPr>
              <w:t>。投标文件格式规定盖单位公章的页面必须盖单位公章（公章与电子公章具有相同法律效力）</w:t>
            </w:r>
          </w:p>
        </w:tc>
      </w:tr>
      <w:tr w14:paraId="555F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91F5D">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95724">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1C546">
            <w:pPr>
              <w:spacing w:before="0" w:beforeLines="0" w:after="0" w:afterLines="0"/>
              <w:ind w:left="48" w:leftChars="20" w:right="48" w:rightChars="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投标截止时间：</w:t>
            </w:r>
            <w:r>
              <w:rPr>
                <w:rFonts w:hint="eastAsia" w:ascii="宋体" w:hAnsi="宋体" w:eastAsia="宋体" w:cs="宋体"/>
                <w:color w:val="auto"/>
                <w:sz w:val="21"/>
                <w:szCs w:val="24"/>
                <w:highlight w:val="none"/>
                <w:u w:val="single"/>
                <w:lang w:val="en-US" w:eastAsia="zh-CN"/>
              </w:rPr>
              <w:t>202</w:t>
            </w:r>
            <w:r>
              <w:rPr>
                <w:rFonts w:hint="eastAsia" w:ascii="宋体" w:hAnsi="宋体" w:cs="宋体"/>
                <w:color w:val="auto"/>
                <w:sz w:val="21"/>
                <w:szCs w:val="24"/>
                <w:highlight w:val="none"/>
                <w:u w:val="single"/>
                <w:lang w:val="en-US" w:eastAsia="zh-CN"/>
              </w:rPr>
              <w:t>5</w:t>
            </w:r>
            <w:r>
              <w:rPr>
                <w:rFonts w:hint="eastAsia" w:ascii="宋体" w:hAnsi="宋体" w:eastAsia="宋体" w:cs="宋体"/>
                <w:color w:val="auto"/>
                <w:sz w:val="21"/>
                <w:szCs w:val="24"/>
                <w:highlight w:val="none"/>
                <w:u w:val="single"/>
                <w:lang w:eastAsia="zh-CN"/>
              </w:rPr>
              <w:t>年</w:t>
            </w:r>
            <w:r>
              <w:rPr>
                <w:rFonts w:hint="eastAsia" w:ascii="宋体" w:hAnsi="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日</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时</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分</w:t>
            </w:r>
            <w:r>
              <w:rPr>
                <w:rFonts w:hint="eastAsia" w:ascii="宋体" w:hAnsi="宋体" w:eastAsia="宋体" w:cs="宋体"/>
                <w:color w:val="auto"/>
                <w:sz w:val="21"/>
                <w:szCs w:val="24"/>
                <w:highlight w:val="none"/>
                <w:lang w:eastAsia="zh-CN"/>
              </w:rPr>
              <w:t>（北京时间）</w:t>
            </w:r>
          </w:p>
        </w:tc>
      </w:tr>
      <w:tr w14:paraId="1D01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31681">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C0D56">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8B27B">
            <w:pPr>
              <w:autoSpaceDE/>
              <w:autoSpaceDN/>
              <w:spacing w:before="0" w:beforeLines="0" w:afterLines="0" w:line="240" w:lineRule="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1、开标时间</w:t>
            </w:r>
            <w:r>
              <w:rPr>
                <w:rFonts w:hint="eastAsia" w:ascii="宋体" w:hAnsi="宋体" w:eastAsia="宋体" w:cs="宋体"/>
                <w:color w:val="auto"/>
                <w:sz w:val="21"/>
                <w:szCs w:val="21"/>
                <w:highlight w:val="none"/>
              </w:rPr>
              <w:t>：同投标截止时间</w:t>
            </w:r>
          </w:p>
          <w:p w14:paraId="682A8594">
            <w:pPr>
              <w:autoSpaceDE/>
              <w:autoSpaceDN/>
              <w:spacing w:before="0" w:beforeLines="0" w:afterLines="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开标室</w:t>
            </w:r>
          </w:p>
          <w:p w14:paraId="402F547A">
            <w:pPr>
              <w:autoSpaceDE/>
              <w:autoSpaceDN/>
              <w:spacing w:before="0" w:beforeLines="0" w:afterLines="0" w:line="240" w:lineRule="auto"/>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rPr>
              <w:t>开标时，投标人代表有权参加现场开标或在线开标，也可以自主决定不参加开标</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sz w:val="21"/>
                <w:szCs w:val="21"/>
                <w:highlight w:val="none"/>
                <w:lang w:eastAsia="zh-CN"/>
              </w:rPr>
              <w:t>投标人选择参加在线开标的，具体按照交易平台相关指南进行操作。</w:t>
            </w:r>
          </w:p>
          <w:p w14:paraId="57A1A486">
            <w:pPr>
              <w:autoSpaceDE/>
              <w:autoSpaceDN/>
              <w:spacing w:before="0" w:beforeLines="0" w:afterLines="0" w:line="240" w:lineRule="auto"/>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、上述时间及地点是否有改变，请密切留意</w:t>
            </w:r>
            <w:r>
              <w:rPr>
                <w:rFonts w:hint="eastAsia" w:ascii="宋体" w:hAnsi="宋体" w:eastAsia="宋体" w:cs="宋体"/>
                <w:color w:val="auto"/>
                <w:sz w:val="21"/>
                <w:szCs w:val="21"/>
                <w:highlight w:val="none"/>
                <w:lang w:eastAsia="zh-CN"/>
              </w:rPr>
              <w:t>补充公告或</w:t>
            </w:r>
            <w:r>
              <w:rPr>
                <w:rFonts w:hint="eastAsia" w:ascii="宋体" w:hAnsi="宋体" w:eastAsia="宋体" w:cs="宋体"/>
                <w:color w:val="auto"/>
                <w:sz w:val="21"/>
                <w:szCs w:val="21"/>
                <w:highlight w:val="none"/>
              </w:rPr>
              <w:t>招标答疑纪要的相关信息。</w:t>
            </w:r>
          </w:p>
        </w:tc>
      </w:tr>
      <w:tr w14:paraId="113F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DD66D5">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D620E">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A231E">
            <w:pPr>
              <w:pStyle w:val="33"/>
              <w:tabs>
                <w:tab w:val="left" w:pos="2309"/>
                <w:tab w:val="left" w:pos="3826"/>
              </w:tabs>
              <w:kinsoku w:val="0"/>
              <w:overflowPunct w:val="0"/>
              <w:spacing w:beforeLines="0" w:afterLines="0" w:line="240" w:lineRule="auto"/>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1"/>
                <w:highlight w:val="none"/>
              </w:rPr>
              <w:t xml:space="preserve">由招标人依法组建。  </w:t>
            </w:r>
          </w:p>
        </w:tc>
      </w:tr>
      <w:tr w14:paraId="314B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A8BBB">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252E6">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4EF9A">
            <w:pPr>
              <w:spacing w:beforeLines="0" w:afterLine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highlight w:val="none"/>
                <w:lang w:val="en-US" w:eastAsia="zh-CN"/>
              </w:rPr>
              <w:t>3人</w:t>
            </w:r>
          </w:p>
        </w:tc>
      </w:tr>
      <w:tr w14:paraId="2026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843650">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5937F6">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A8956">
            <w:pPr>
              <w:spacing w:before="0" w:beforeLines="0" w:afterLines="0"/>
              <w:ind w:left="4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w:t>
            </w:r>
            <w:r>
              <w:rPr>
                <w:rFonts w:hint="eastAsia" w:ascii="宋体" w:hAnsi="宋体" w:eastAsia="宋体" w:cs="宋体"/>
                <w:color w:val="auto"/>
                <w:sz w:val="21"/>
                <w:szCs w:val="21"/>
                <w:highlight w:val="none"/>
                <w:lang w:val="zh-CN"/>
              </w:rPr>
              <w:t>广州交易集团有限公司（广州公共资源交易中心）网</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广东省招标投标监管网</w:t>
            </w:r>
            <w:r>
              <w:rPr>
                <w:rFonts w:hint="eastAsia" w:ascii="宋体" w:hAnsi="宋体" w:eastAsia="宋体" w:cs="宋体"/>
                <w:color w:val="auto"/>
                <w:kern w:val="0"/>
                <w:sz w:val="21"/>
                <w:szCs w:val="21"/>
                <w:highlight w:val="none"/>
                <w:lang w:val="zh-CN"/>
              </w:rPr>
              <w:t>、中国招标投标公共服务平台</w:t>
            </w:r>
          </w:p>
          <w:p w14:paraId="62AA5738">
            <w:pPr>
              <w:pStyle w:val="33"/>
              <w:tabs>
                <w:tab w:val="left" w:pos="2100"/>
              </w:tabs>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lang w:eastAsia="zh-CN"/>
              </w:rPr>
              <w:t>不少于</w:t>
            </w:r>
            <w:r>
              <w:rPr>
                <w:rFonts w:hint="eastAsia" w:ascii="宋体" w:hAnsi="宋体" w:eastAsia="宋体" w:cs="宋体"/>
                <w:color w:val="auto"/>
                <w:spacing w:val="-4"/>
                <w:sz w:val="21"/>
                <w:szCs w:val="21"/>
                <w:highlight w:val="none"/>
                <w:u w:val="single" w:color="auto"/>
                <w:lang w:val="en-US" w:eastAsia="zh-CN"/>
              </w:rPr>
              <w:t>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最后一天应为工作日</w:t>
            </w:r>
            <w:r>
              <w:rPr>
                <w:rFonts w:hint="eastAsia" w:ascii="宋体" w:hAnsi="宋体" w:eastAsia="宋体" w:cs="宋体"/>
                <w:color w:val="auto"/>
                <w:spacing w:val="-5"/>
                <w:sz w:val="21"/>
                <w:szCs w:val="21"/>
                <w:highlight w:val="none"/>
                <w:lang w:eastAsia="zh-CN"/>
              </w:rPr>
              <w:t>）</w:t>
            </w:r>
          </w:p>
        </w:tc>
      </w:tr>
      <w:tr w14:paraId="15AF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5D09E">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9D115">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C1FCD">
            <w:pPr>
              <w:pStyle w:val="33"/>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是</w:t>
            </w:r>
          </w:p>
          <w:p w14:paraId="1BB54CCA">
            <w:pPr>
              <w:pStyle w:val="33"/>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否</w:t>
            </w:r>
          </w:p>
        </w:tc>
      </w:tr>
      <w:tr w14:paraId="07B6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D41B2">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F1066">
            <w:pPr>
              <w:pStyle w:val="33"/>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10CD0">
            <w:pPr>
              <w:pStyle w:val="33"/>
              <w:kinsoku w:val="0"/>
              <w:overflowPunct w:val="0"/>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是否要求中标人提交履约保证金：</w:t>
            </w:r>
          </w:p>
          <w:p w14:paraId="47840308">
            <w:pPr>
              <w:pStyle w:val="33"/>
              <w:kinsoku w:val="0"/>
              <w:overflowPunct w:val="0"/>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不要求</w:t>
            </w:r>
          </w:p>
          <w:p w14:paraId="5C279758">
            <w:pPr>
              <w:pStyle w:val="33"/>
              <w:kinsoku w:val="0"/>
              <w:overflowPunct w:val="0"/>
              <w:spacing w:beforeLines="0" w:afterLines="0" w:line="240" w:lineRule="auto"/>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要求，履约保证金的形式：</w:t>
            </w:r>
            <w:r>
              <w:rPr>
                <w:rFonts w:hint="eastAsia" w:ascii="宋体" w:hAnsi="宋体" w:eastAsia="宋体" w:cs="宋体"/>
                <w:color w:val="auto"/>
                <w:sz w:val="21"/>
                <w:highlight w:val="none"/>
              </w:rPr>
              <w:t>银行保函、保证保险、担保保函</w:t>
            </w:r>
            <w:r>
              <w:rPr>
                <w:rFonts w:hint="eastAsia" w:ascii="宋体" w:hAnsi="宋体" w:eastAsia="宋体" w:cs="宋体"/>
                <w:color w:val="auto"/>
                <w:sz w:val="21"/>
                <w:highlight w:val="none"/>
                <w:lang w:eastAsia="zh-CN"/>
              </w:rPr>
              <w:t>。</w:t>
            </w:r>
          </w:p>
          <w:p w14:paraId="0159F6E7">
            <w:pPr>
              <w:pStyle w:val="33"/>
              <w:kinsoku w:val="0"/>
              <w:overflowPunct w:val="0"/>
              <w:spacing w:beforeLines="0" w:afterLines="0" w:line="240" w:lineRule="auto"/>
              <w:ind w:firstLine="840" w:firstLineChars="40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履约保证金的金额：</w:t>
            </w:r>
            <w:r>
              <w:rPr>
                <w:rFonts w:hint="eastAsia" w:ascii="宋体" w:hAnsi="宋体" w:eastAsia="宋体" w:cs="宋体"/>
                <w:color w:val="auto"/>
                <w:sz w:val="21"/>
                <w:highlight w:val="none"/>
              </w:rPr>
              <w:t>中标价款的5%</w:t>
            </w:r>
            <w:r>
              <w:rPr>
                <w:rFonts w:hint="eastAsia" w:ascii="宋体" w:hAnsi="宋体" w:eastAsia="宋体" w:cs="宋体"/>
                <w:color w:val="auto"/>
                <w:sz w:val="21"/>
                <w:highlight w:val="none"/>
                <w:lang w:eastAsia="zh-CN"/>
              </w:rPr>
              <w:t>。</w:t>
            </w:r>
          </w:p>
          <w:p w14:paraId="01D18B29">
            <w:pPr>
              <w:pStyle w:val="33"/>
              <w:kinsoku w:val="0"/>
              <w:overflowPunct w:val="0"/>
              <w:spacing w:beforeLines="0" w:afterLines="0"/>
              <w:jc w:val="both"/>
              <w:rPr>
                <w:rFonts w:hint="eastAsia" w:ascii="宋体" w:hAnsi="宋体" w:eastAsia="宋体" w:cs="宋体"/>
                <w:color w:val="auto"/>
                <w:sz w:val="21"/>
                <w:szCs w:val="24"/>
                <w:highlight w:val="none"/>
              </w:rPr>
            </w:pPr>
          </w:p>
        </w:tc>
      </w:tr>
      <w:tr w14:paraId="017F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88010">
            <w:pPr>
              <w:pStyle w:val="33"/>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DC785">
            <w:pPr>
              <w:pStyle w:val="33"/>
              <w:kinsoku w:val="0"/>
              <w:overflowPunct w:val="0"/>
              <w:jc w:val="both"/>
              <w:rPr>
                <w:rFonts w:hint="eastAsia" w:ascii="宋体" w:hAnsi="宋体" w:eastAsia="宋体" w:cs="宋体"/>
                <w:color w:val="auto"/>
                <w:sz w:val="21"/>
                <w:szCs w:val="24"/>
                <w:highlight w:val="none"/>
              </w:rPr>
            </w:pPr>
            <w:r>
              <w:rPr>
                <w:rFonts w:hint="eastAsia" w:ascii="宋体" w:hAnsi="宋体" w:cs="宋体"/>
                <w:color w:val="auto"/>
                <w:sz w:val="21"/>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427AB">
            <w:pPr>
              <w:jc w:val="both"/>
              <w:rPr>
                <w:rFonts w:hint="eastAsia" w:ascii="宋体" w:hAnsi="宋体" w:eastAsia="宋体" w:cs="宋体"/>
                <w:color w:val="auto"/>
                <w:sz w:val="21"/>
                <w:szCs w:val="24"/>
                <w:highlight w:val="none"/>
              </w:rPr>
            </w:pPr>
            <w:r>
              <w:rPr>
                <w:rFonts w:hint="eastAsia" w:ascii="宋体" w:hAnsi="宋体" w:cs="宋体"/>
                <w:color w:val="auto"/>
                <w:sz w:val="21"/>
                <w:szCs w:val="21"/>
                <w:highlight w:val="none"/>
              </w:rPr>
              <w:t>/</w:t>
            </w:r>
          </w:p>
        </w:tc>
      </w:tr>
      <w:tr w14:paraId="03A3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6B087">
            <w:pPr>
              <w:spacing w:line="360" w:lineRule="auto"/>
              <w:jc w:val="center"/>
              <w:rPr>
                <w:rFonts w:hint="eastAsia" w:ascii="宋体" w:hAnsi="宋体" w:eastAsia="宋体" w:cs="宋体"/>
                <w:color w:val="auto"/>
                <w:sz w:val="21"/>
                <w:szCs w:val="24"/>
                <w:highlight w:val="none"/>
              </w:rPr>
            </w:pPr>
            <w:r>
              <w:rPr>
                <w:rFonts w:hint="eastAsia" w:ascii="宋体" w:hAnsi="宋体" w:cs="宋体"/>
                <w:color w:val="auto"/>
                <w:sz w:val="21"/>
                <w:szCs w:val="18"/>
                <w:highlight w:val="none"/>
                <w:u w:val="singl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E95E4">
            <w:pPr>
              <w:spacing w:line="360" w:lineRule="auto"/>
              <w:jc w:val="center"/>
              <w:rPr>
                <w:rFonts w:hint="eastAsia" w:ascii="宋体" w:hAnsi="宋体" w:eastAsia="宋体" w:cs="宋体"/>
                <w:color w:val="auto"/>
                <w:sz w:val="21"/>
                <w:szCs w:val="24"/>
                <w:highlight w:val="none"/>
              </w:rPr>
            </w:pPr>
            <w:r>
              <w:rPr>
                <w:rFonts w:hint="eastAsia" w:ascii="宋体" w:hAnsi="宋体" w:cs="宋体"/>
                <w:color w:val="auto"/>
                <w:sz w:val="21"/>
                <w:szCs w:val="18"/>
                <w:highlight w:val="none"/>
                <w:u w:val="single"/>
              </w:rPr>
              <w:t>招标失败的情形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2464F">
            <w:pPr>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rPr>
              <w:t>本项目采用资格后审，投标登记或满足资格审查合格条件的投标人不足3名、或经评审有效的投标单位不足3名时为该标段招标失败。招标人分析招标失败原因，修正招标方案后，重新组织招标。</w:t>
            </w:r>
          </w:p>
        </w:tc>
      </w:tr>
      <w:tr w14:paraId="3B10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251AC8">
            <w:pPr>
              <w:spacing w:line="360" w:lineRule="auto"/>
              <w:jc w:val="center"/>
              <w:rPr>
                <w:rFonts w:hint="eastAsia" w:ascii="宋体" w:hAnsi="宋体" w:eastAsia="宋体" w:cs="宋体"/>
                <w:color w:val="auto"/>
                <w:sz w:val="21"/>
                <w:szCs w:val="24"/>
                <w:highlight w:val="none"/>
              </w:rPr>
            </w:pPr>
            <w:r>
              <w:rPr>
                <w:rFonts w:hint="eastAsia" w:ascii="宋体" w:hAnsi="宋体" w:cs="宋体"/>
                <w:color w:val="auto"/>
                <w:sz w:val="21"/>
                <w:szCs w:val="18"/>
                <w:highlight w:val="none"/>
                <w:u w:val="single"/>
              </w:rPr>
              <w:t>10.2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0C1A5">
            <w:pPr>
              <w:spacing w:line="360" w:lineRule="auto"/>
              <w:jc w:val="center"/>
              <w:rPr>
                <w:rFonts w:hint="eastAsia" w:ascii="宋体" w:hAnsi="宋体" w:eastAsia="宋体" w:cs="宋体"/>
                <w:color w:val="auto"/>
                <w:sz w:val="21"/>
                <w:szCs w:val="24"/>
                <w:highlight w:val="none"/>
              </w:rPr>
            </w:pPr>
            <w:r>
              <w:rPr>
                <w:rFonts w:hint="eastAsia" w:ascii="宋体" w:hAnsi="宋体" w:cs="宋体"/>
                <w:color w:val="auto"/>
                <w:sz w:val="21"/>
                <w:szCs w:val="18"/>
                <w:highlight w:val="none"/>
                <w:u w:val="single"/>
              </w:rPr>
              <w:t>交易服务费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FCC3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根据《广州交易集团有限公司（广州公共资源交易中心）关于建设工程项目公共资源交易服务收费有关事宜的通知》的规定，本项目交易服务费由</w:t>
            </w:r>
            <w:r>
              <w:rPr>
                <w:rFonts w:hint="eastAsia" w:ascii="宋体" w:hAnsi="宋体" w:cs="宋体"/>
                <w:color w:val="auto"/>
                <w:sz w:val="21"/>
                <w:highlight w:val="none"/>
                <w:lang w:val="en-US" w:eastAsia="zh-CN"/>
              </w:rPr>
              <w:t>中标</w:t>
            </w:r>
            <w:r>
              <w:rPr>
                <w:rFonts w:hint="eastAsia" w:ascii="宋体" w:hAnsi="宋体" w:eastAsia="宋体" w:cs="宋体"/>
                <w:color w:val="auto"/>
                <w:sz w:val="21"/>
                <w:highlight w:val="none"/>
              </w:rPr>
              <w:t>人缴纳。</w:t>
            </w:r>
          </w:p>
        </w:tc>
      </w:tr>
      <w:tr w14:paraId="05EA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C389A">
            <w:pPr>
              <w:spacing w:line="360" w:lineRule="auto"/>
              <w:jc w:val="center"/>
              <w:rPr>
                <w:rFonts w:hint="eastAsia" w:ascii="宋体" w:hAnsi="宋体" w:eastAsia="宋体" w:cs="宋体"/>
                <w:color w:val="auto"/>
                <w:sz w:val="21"/>
                <w:szCs w:val="18"/>
                <w:highlight w:val="none"/>
                <w:u w:val="single"/>
                <w:lang w:eastAsia="zh-CN"/>
              </w:rPr>
            </w:pPr>
            <w:r>
              <w:rPr>
                <w:rFonts w:hint="eastAsia" w:ascii="宋体" w:hAnsi="宋体" w:cs="宋体"/>
                <w:color w:val="auto"/>
                <w:sz w:val="21"/>
                <w:szCs w:val="18"/>
                <w:highlight w:val="none"/>
                <w:u w:val="single"/>
              </w:rPr>
              <w:t>10.</w:t>
            </w:r>
            <w:r>
              <w:rPr>
                <w:rFonts w:hint="eastAsia" w:ascii="宋体" w:hAnsi="宋体" w:cs="宋体"/>
                <w:color w:val="auto"/>
                <w:sz w:val="21"/>
                <w:szCs w:val="18"/>
                <w:highlight w:val="none"/>
                <w:u w:val="single"/>
                <w:lang w:val="en-US" w:eastAsia="zh-CN"/>
              </w:rPr>
              <w:t>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609D6">
            <w:pPr>
              <w:spacing w:line="360" w:lineRule="auto"/>
              <w:jc w:val="center"/>
              <w:rPr>
                <w:rFonts w:hint="eastAsia" w:ascii="宋体" w:hAnsi="宋体" w:eastAsia="宋体" w:cs="宋体"/>
                <w:color w:val="auto"/>
                <w:sz w:val="21"/>
                <w:szCs w:val="24"/>
                <w:highlight w:val="none"/>
              </w:rPr>
            </w:pPr>
            <w:r>
              <w:rPr>
                <w:rFonts w:hint="eastAsia" w:ascii="宋体" w:hAnsi="宋体" w:cs="宋体"/>
                <w:color w:val="auto"/>
                <w:sz w:val="21"/>
                <w:szCs w:val="18"/>
                <w:highlight w:val="none"/>
                <w:u w:val="single"/>
              </w:rPr>
              <w:t>投标文件公开</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FBF52">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rPr>
              <w:t>在产生中标候选人后，招标人将中标候选人的投标文件商务部分的电子版（方案等涉及商业秘密的内容除外）在广州交易集团有限公司（广州公共资源交易中心）、广东省招标投标监管网网站公开。</w:t>
            </w:r>
          </w:p>
        </w:tc>
      </w:tr>
      <w:tr w14:paraId="6B15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F257E">
            <w:pPr>
              <w:spacing w:line="360" w:lineRule="auto"/>
              <w:jc w:val="center"/>
              <w:rPr>
                <w:rFonts w:hint="eastAsia" w:ascii="宋体" w:hAnsi="宋体" w:eastAsia="宋体" w:cs="宋体"/>
                <w:color w:val="auto"/>
                <w:sz w:val="21"/>
                <w:szCs w:val="18"/>
                <w:highlight w:val="none"/>
                <w:u w:val="single"/>
                <w:lang w:eastAsia="zh-CN"/>
              </w:rPr>
            </w:pPr>
            <w:r>
              <w:rPr>
                <w:rFonts w:hint="eastAsia" w:ascii="宋体" w:hAnsi="宋体" w:cs="宋体"/>
                <w:color w:val="auto"/>
                <w:sz w:val="21"/>
                <w:szCs w:val="18"/>
                <w:highlight w:val="none"/>
                <w:u w:val="single"/>
              </w:rPr>
              <w:t>10.</w:t>
            </w:r>
            <w:r>
              <w:rPr>
                <w:rFonts w:hint="eastAsia" w:ascii="宋体" w:hAnsi="宋体" w:cs="宋体"/>
                <w:color w:val="auto"/>
                <w:sz w:val="21"/>
                <w:szCs w:val="18"/>
                <w:highlight w:val="none"/>
                <w:u w:val="single"/>
                <w:lang w:val="en-US" w:eastAsia="zh-CN"/>
              </w:rPr>
              <w:t>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45F1B">
            <w:pPr>
              <w:spacing w:line="360" w:lineRule="auto"/>
              <w:jc w:val="center"/>
              <w:rPr>
                <w:rFonts w:hint="eastAsia" w:ascii="宋体" w:hAnsi="宋体" w:eastAsia="宋体" w:cs="宋体"/>
                <w:color w:val="auto"/>
                <w:sz w:val="21"/>
                <w:szCs w:val="24"/>
                <w:highlight w:val="none"/>
              </w:rPr>
            </w:pPr>
            <w:r>
              <w:rPr>
                <w:rFonts w:hint="eastAsia" w:ascii="宋体" w:hAnsi="宋体" w:cs="宋体"/>
                <w:color w:val="auto"/>
                <w:sz w:val="21"/>
                <w:szCs w:val="18"/>
                <w:highlight w:val="none"/>
                <w:u w:val="single"/>
              </w:rPr>
              <w:t>补交纸质投标文件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C9C2E">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rPr>
              <w:t>中标单位领取中标通知书时，补送</w:t>
            </w:r>
            <w:r>
              <w:rPr>
                <w:rFonts w:hint="eastAsia" w:ascii="宋体" w:hAnsi="宋体" w:cs="宋体"/>
                <w:b/>
                <w:color w:val="auto"/>
                <w:sz w:val="21"/>
                <w:szCs w:val="21"/>
                <w:highlight w:val="none"/>
                <w:u w:val="single"/>
              </w:rPr>
              <w:t>一正三副</w:t>
            </w:r>
            <w:r>
              <w:rPr>
                <w:rFonts w:hint="eastAsia" w:ascii="宋体" w:hAnsi="宋体" w:cs="宋体"/>
                <w:color w:val="auto"/>
                <w:sz w:val="21"/>
                <w:szCs w:val="21"/>
                <w:highlight w:val="none"/>
                <w:u w:val="single"/>
              </w:rPr>
              <w:t>与交易平台网上递交的电子投标文件一致的</w:t>
            </w:r>
            <w:r>
              <w:rPr>
                <w:rFonts w:hint="eastAsia" w:ascii="宋体" w:hAnsi="宋体" w:cs="宋体"/>
                <w:b/>
                <w:color w:val="auto"/>
                <w:sz w:val="21"/>
                <w:szCs w:val="21"/>
                <w:highlight w:val="none"/>
                <w:u w:val="single"/>
              </w:rPr>
              <w:t>书面投标文件（加盖公章）</w:t>
            </w:r>
            <w:r>
              <w:rPr>
                <w:rFonts w:hint="eastAsia" w:ascii="宋体" w:hAnsi="宋体" w:cs="宋体"/>
                <w:color w:val="auto"/>
                <w:sz w:val="21"/>
                <w:szCs w:val="21"/>
                <w:highlight w:val="none"/>
                <w:u w:val="single"/>
              </w:rPr>
              <w:t>及一份与书面投标文件一致的用“Microsoft Word ”或“PDF”格式制作的电子文件（</w:t>
            </w:r>
            <w:r>
              <w:rPr>
                <w:rFonts w:hint="eastAsia" w:ascii="宋体" w:hAnsi="宋体" w:cs="宋体"/>
                <w:color w:val="auto"/>
                <w:sz w:val="21"/>
                <w:szCs w:val="21"/>
                <w:highlight w:val="none"/>
                <w:u w:val="single"/>
                <w:lang w:val="en-US" w:eastAsia="zh-CN"/>
              </w:rPr>
              <w:t>U盘</w:t>
            </w:r>
            <w:r>
              <w:rPr>
                <w:rFonts w:hint="eastAsia" w:ascii="宋体" w:hAnsi="宋体" w:cs="宋体"/>
                <w:color w:val="auto"/>
                <w:sz w:val="21"/>
                <w:szCs w:val="21"/>
                <w:highlight w:val="none"/>
                <w:u w:val="single"/>
              </w:rPr>
              <w:t>）给招标人，相关费用由投标人支付。</w:t>
            </w:r>
          </w:p>
        </w:tc>
      </w:tr>
      <w:tr w14:paraId="469E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A1B3D7A">
            <w:pPr>
              <w:spacing w:line="360" w:lineRule="auto"/>
              <w:jc w:val="both"/>
              <w:rPr>
                <w:rFonts w:hint="eastAsia" w:ascii="宋体" w:hAnsi="宋体" w:eastAsia="宋体" w:cs="宋体"/>
                <w:sz w:val="21"/>
                <w:szCs w:val="24"/>
                <w:lang w:val="en-US" w:eastAsia="zh-CN"/>
              </w:rPr>
            </w:pPr>
            <w:r>
              <w:rPr>
                <w:rFonts w:hint="eastAsia" w:ascii="宋体" w:hAnsi="宋体" w:eastAsia="宋体" w:cs="宋体"/>
                <w:sz w:val="21"/>
                <w:lang w:val="en-US" w:eastAsia="zh-CN"/>
              </w:rPr>
              <w:t>10.5</w:t>
            </w:r>
          </w:p>
        </w:tc>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1376C60">
            <w:pPr>
              <w:spacing w:line="360" w:lineRule="auto"/>
              <w:jc w:val="both"/>
              <w:rPr>
                <w:rFonts w:hint="eastAsia" w:ascii="宋体" w:hAnsi="宋体" w:eastAsia="宋体" w:cs="宋体"/>
                <w:sz w:val="21"/>
                <w:szCs w:val="24"/>
              </w:rPr>
            </w:pPr>
            <w:r>
              <w:rPr>
                <w:rFonts w:hint="eastAsia" w:ascii="宋体" w:hAnsi="宋体" w:eastAsia="宋体" w:cs="宋体"/>
                <w:sz w:val="21"/>
              </w:rPr>
              <w:t>项目监理部人员配置要求</w:t>
            </w:r>
          </w:p>
        </w:tc>
        <w:tc>
          <w:tcPr>
            <w:tcW w:w="546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8C2E03C">
            <w:pPr>
              <w:spacing w:line="360" w:lineRule="auto"/>
              <w:jc w:val="both"/>
              <w:rPr>
                <w:rFonts w:hint="eastAsia" w:ascii="宋体" w:hAnsi="宋体" w:cs="宋体"/>
                <w:sz w:val="21"/>
                <w:vertAlign w:val="baseline"/>
              </w:rPr>
            </w:pPr>
            <w:r>
              <w:rPr>
                <w:rFonts w:hint="eastAsia" w:ascii="宋体" w:hAnsi="宋体" w:cs="宋体"/>
                <w:sz w:val="21"/>
              </w:rPr>
              <w:t>要求投标人根据本项目特点，结合本企业的实力和资源情况，项目监理部人员配置要求详见下表:</w:t>
            </w:r>
          </w:p>
          <w:tbl>
            <w:tblPr>
              <w:tblStyle w:val="27"/>
              <w:tblW w:w="5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93"/>
              <w:gridCol w:w="3346"/>
            </w:tblGrid>
            <w:tr w14:paraId="38DD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center"/>
                </w:tcPr>
                <w:p w14:paraId="1EF24672">
                  <w:pPr>
                    <w:spacing w:line="360" w:lineRule="auto"/>
                    <w:jc w:val="cente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岗位</w:t>
                  </w:r>
                </w:p>
              </w:tc>
              <w:tc>
                <w:tcPr>
                  <w:tcW w:w="793" w:type="dxa"/>
                  <w:noWrap w:val="0"/>
                  <w:vAlign w:val="center"/>
                </w:tcPr>
                <w:p w14:paraId="21B859E0">
                  <w:pPr>
                    <w:spacing w:line="360" w:lineRule="auto"/>
                    <w:jc w:val="cente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人员要求</w:t>
                  </w:r>
                </w:p>
              </w:tc>
              <w:tc>
                <w:tcPr>
                  <w:tcW w:w="3346" w:type="dxa"/>
                  <w:noWrap w:val="0"/>
                  <w:vAlign w:val="center"/>
                </w:tcPr>
                <w:p w14:paraId="0B7BA19D">
                  <w:pPr>
                    <w:spacing w:line="360" w:lineRule="auto"/>
                    <w:jc w:val="cente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资格要求</w:t>
                  </w:r>
                </w:p>
              </w:tc>
            </w:tr>
            <w:tr w14:paraId="67C1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center"/>
                </w:tcPr>
                <w:p w14:paraId="6B7D7F25">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总监理工程师</w:t>
                  </w:r>
                </w:p>
              </w:tc>
              <w:tc>
                <w:tcPr>
                  <w:tcW w:w="793" w:type="dxa"/>
                  <w:noWrap w:val="0"/>
                  <w:vAlign w:val="center"/>
                </w:tcPr>
                <w:p w14:paraId="759C4C2C">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1名</w:t>
                  </w:r>
                </w:p>
              </w:tc>
              <w:tc>
                <w:tcPr>
                  <w:tcW w:w="3346" w:type="dxa"/>
                  <w:noWrap w:val="0"/>
                  <w:vAlign w:val="center"/>
                </w:tcPr>
                <w:p w14:paraId="3828C6F9">
                  <w:pPr>
                    <w:spacing w:line="360" w:lineRule="auto"/>
                    <w:jc w:val="both"/>
                    <w:rPr>
                      <w:rFonts w:hint="eastAsia" w:ascii="宋体" w:hAnsi="宋体" w:eastAsia="宋体" w:cs="宋体"/>
                      <w:sz w:val="21"/>
                      <w:vertAlign w:val="baseline"/>
                    </w:rPr>
                  </w:pPr>
                  <w:r>
                    <w:rPr>
                      <w:rFonts w:hint="eastAsia" w:ascii="宋体" w:hAnsi="宋体" w:eastAsia="宋体" w:cs="宋体"/>
                      <w:sz w:val="21"/>
                      <w:vertAlign w:val="baseline"/>
                    </w:rPr>
                    <w:t>与招标公告要求一致。</w:t>
                  </w:r>
                </w:p>
              </w:tc>
            </w:tr>
            <w:tr w14:paraId="056D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center"/>
                </w:tcPr>
                <w:p w14:paraId="2F427681">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专业监理工程师</w:t>
                  </w:r>
                </w:p>
              </w:tc>
              <w:tc>
                <w:tcPr>
                  <w:tcW w:w="793" w:type="dxa"/>
                  <w:noWrap w:val="0"/>
                  <w:vAlign w:val="center"/>
                </w:tcPr>
                <w:p w14:paraId="4A824E24">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4名</w:t>
                  </w:r>
                </w:p>
              </w:tc>
              <w:tc>
                <w:tcPr>
                  <w:tcW w:w="3346" w:type="dxa"/>
                  <w:noWrap w:val="0"/>
                  <w:vAlign w:val="center"/>
                </w:tcPr>
                <w:p w14:paraId="79AFBDC3">
                  <w:pPr>
                    <w:spacing w:line="360" w:lineRule="auto"/>
                    <w:jc w:val="both"/>
                    <w:rPr>
                      <w:rFonts w:hint="eastAsia" w:ascii="宋体" w:hAnsi="宋体" w:eastAsia="宋体" w:cs="宋体"/>
                      <w:sz w:val="21"/>
                      <w:vertAlign w:val="baseline"/>
                    </w:rPr>
                  </w:pPr>
                  <w:r>
                    <w:rPr>
                      <w:rFonts w:hint="eastAsia" w:ascii="宋体" w:hAnsi="宋体" w:eastAsia="宋体" w:cs="宋体"/>
                      <w:sz w:val="21"/>
                      <w:vertAlign w:val="baseline"/>
                    </w:rPr>
                    <w:t>市政、给排水、道路、</w:t>
                  </w:r>
                  <w:r>
                    <w:rPr>
                      <w:rFonts w:hint="eastAsia" w:ascii="宋体" w:hAnsi="宋体" w:eastAsia="宋体" w:cs="宋体"/>
                      <w:sz w:val="21"/>
                      <w:szCs w:val="24"/>
                      <w:lang w:val="en-US" w:eastAsia="zh-CN"/>
                    </w:rPr>
                    <w:t>机电安装</w:t>
                  </w:r>
                  <w:r>
                    <w:rPr>
                      <w:rFonts w:hint="eastAsia" w:ascii="宋体" w:hAnsi="宋体" w:eastAsia="宋体" w:cs="宋体"/>
                      <w:sz w:val="21"/>
                      <w:vertAlign w:val="baseline"/>
                    </w:rPr>
                    <w:t>专业工程师各1</w:t>
                  </w:r>
                  <w:r>
                    <w:rPr>
                      <w:rFonts w:hint="eastAsia" w:ascii="宋体" w:hAnsi="宋体" w:eastAsia="宋体" w:cs="宋体"/>
                      <w:sz w:val="21"/>
                      <w:vertAlign w:val="baseline"/>
                      <w:lang w:val="en-US" w:eastAsia="zh-CN"/>
                    </w:rPr>
                    <w:t>名</w:t>
                  </w:r>
                  <w:r>
                    <w:rPr>
                      <w:rFonts w:hint="eastAsia" w:ascii="宋体" w:hAnsi="宋体" w:eastAsia="宋体" w:cs="宋体"/>
                      <w:sz w:val="21"/>
                      <w:vertAlign w:val="baseline"/>
                    </w:rPr>
                    <w:t>，以职称证书或执业证书或岗位证书上注明的相关专业为准</w:t>
                  </w:r>
                </w:p>
              </w:tc>
            </w:tr>
            <w:tr w14:paraId="4BC2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center"/>
                </w:tcPr>
                <w:p w14:paraId="02FA1C4D">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安全监理员</w:t>
                  </w:r>
                </w:p>
              </w:tc>
              <w:tc>
                <w:tcPr>
                  <w:tcW w:w="793" w:type="dxa"/>
                  <w:noWrap w:val="0"/>
                  <w:vAlign w:val="center"/>
                </w:tcPr>
                <w:p w14:paraId="33285A53">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1名</w:t>
                  </w:r>
                </w:p>
              </w:tc>
              <w:tc>
                <w:tcPr>
                  <w:tcW w:w="3346" w:type="dxa"/>
                  <w:noWrap w:val="0"/>
                  <w:vAlign w:val="center"/>
                </w:tcPr>
                <w:p w14:paraId="3E9B305E">
                  <w:pPr>
                    <w:spacing w:line="360" w:lineRule="auto"/>
                    <w:jc w:val="both"/>
                    <w:rPr>
                      <w:rFonts w:hint="default" w:ascii="宋体" w:hAnsi="宋体" w:eastAsia="宋体" w:cs="宋体"/>
                      <w:sz w:val="21"/>
                      <w:vertAlign w:val="baseline"/>
                      <w:lang w:val="en-US"/>
                    </w:rPr>
                  </w:pPr>
                  <w:r>
                    <w:rPr>
                      <w:rFonts w:hint="eastAsia" w:ascii="宋体" w:hAnsi="宋体" w:eastAsia="宋体" w:cs="宋体"/>
                      <w:sz w:val="21"/>
                      <w:vertAlign w:val="baseline"/>
                      <w:lang w:val="en-US" w:eastAsia="zh-CN"/>
                    </w:rPr>
                    <w:t>具备安全监理员证书</w:t>
                  </w:r>
                </w:p>
              </w:tc>
            </w:tr>
            <w:tr w14:paraId="66DF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center"/>
                </w:tcPr>
                <w:p w14:paraId="4954FEB6">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造价工程师</w:t>
                  </w:r>
                </w:p>
              </w:tc>
              <w:tc>
                <w:tcPr>
                  <w:tcW w:w="793" w:type="dxa"/>
                  <w:noWrap w:val="0"/>
                  <w:vAlign w:val="center"/>
                </w:tcPr>
                <w:p w14:paraId="10E533DF">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1名</w:t>
                  </w:r>
                </w:p>
              </w:tc>
              <w:tc>
                <w:tcPr>
                  <w:tcW w:w="3346" w:type="dxa"/>
                  <w:noWrap w:val="0"/>
                  <w:vAlign w:val="center"/>
                </w:tcPr>
                <w:p w14:paraId="33C72D4A">
                  <w:pPr>
                    <w:spacing w:line="360" w:lineRule="auto"/>
                    <w:jc w:val="both"/>
                    <w:rPr>
                      <w:rFonts w:hint="default" w:ascii="宋体" w:hAnsi="宋体" w:eastAsia="宋体" w:cs="宋体"/>
                      <w:sz w:val="21"/>
                      <w:vertAlign w:val="baseline"/>
                      <w:lang w:val="en-US"/>
                    </w:rPr>
                  </w:pPr>
                  <w:r>
                    <w:rPr>
                      <w:rFonts w:hint="eastAsia" w:ascii="宋体" w:hAnsi="宋体" w:eastAsia="宋体" w:cs="宋体"/>
                      <w:sz w:val="21"/>
                      <w:vertAlign w:val="baseline"/>
                      <w:lang w:val="en-US" w:eastAsia="zh-CN"/>
                    </w:rPr>
                    <w:t>具备注册造价工程师资格证书</w:t>
                  </w:r>
                </w:p>
              </w:tc>
            </w:tr>
            <w:tr w14:paraId="3ECD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center"/>
                </w:tcPr>
                <w:p w14:paraId="415214D1">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监理员</w:t>
                  </w:r>
                </w:p>
              </w:tc>
              <w:tc>
                <w:tcPr>
                  <w:tcW w:w="793" w:type="dxa"/>
                  <w:noWrap w:val="0"/>
                  <w:vAlign w:val="center"/>
                </w:tcPr>
                <w:p w14:paraId="26D08AAD">
                  <w:pPr>
                    <w:spacing w:line="360" w:lineRule="auto"/>
                    <w:jc w:val="center"/>
                    <w:rPr>
                      <w:rFonts w:hint="eastAsia" w:ascii="宋体" w:hAnsi="宋体" w:eastAsia="宋体" w:cs="宋体"/>
                      <w:sz w:val="21"/>
                      <w:vertAlign w:val="baseline"/>
                    </w:rPr>
                  </w:pPr>
                  <w:r>
                    <w:rPr>
                      <w:rFonts w:hint="eastAsia" w:ascii="宋体" w:hAnsi="宋体" w:eastAsia="宋体" w:cs="宋体"/>
                      <w:sz w:val="21"/>
                      <w:vertAlign w:val="baseline"/>
                      <w:lang w:val="en-US" w:eastAsia="zh-CN"/>
                    </w:rPr>
                    <w:t>2名</w:t>
                  </w:r>
                </w:p>
              </w:tc>
              <w:tc>
                <w:tcPr>
                  <w:tcW w:w="3346" w:type="dxa"/>
                  <w:noWrap w:val="0"/>
                  <w:vAlign w:val="center"/>
                </w:tcPr>
                <w:p w14:paraId="75CB5F19">
                  <w:pPr>
                    <w:spacing w:line="360" w:lineRule="auto"/>
                    <w:jc w:val="both"/>
                    <w:rPr>
                      <w:rFonts w:hint="eastAsia" w:ascii="宋体" w:hAnsi="宋体" w:eastAsia="宋体" w:cs="宋体"/>
                      <w:sz w:val="21"/>
                      <w:vertAlign w:val="baseline"/>
                    </w:rPr>
                  </w:pPr>
                  <w:r>
                    <w:rPr>
                      <w:rFonts w:hint="eastAsia" w:ascii="宋体" w:hAnsi="宋体" w:eastAsia="宋体" w:cs="宋体"/>
                      <w:sz w:val="21"/>
                      <w:vertAlign w:val="baseline"/>
                      <w:lang w:val="en-US" w:eastAsia="zh-CN"/>
                    </w:rPr>
                    <w:t>具备监理员岗位证书</w:t>
                  </w:r>
                </w:p>
              </w:tc>
            </w:tr>
            <w:tr w14:paraId="00A2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3" w:type="dxa"/>
                  <w:gridSpan w:val="3"/>
                  <w:noWrap w:val="0"/>
                  <w:vAlign w:val="center"/>
                </w:tcPr>
                <w:p w14:paraId="6FDD86B5">
                  <w:pPr>
                    <w:spacing w:line="360" w:lineRule="auto"/>
                    <w:jc w:val="both"/>
                    <w:rPr>
                      <w:rFonts w:hint="eastAsia" w:ascii="宋体" w:hAnsi="宋体" w:cs="宋体"/>
                      <w:color w:val="auto"/>
                      <w:kern w:val="44"/>
                      <w:sz w:val="21"/>
                      <w:szCs w:val="21"/>
                      <w:highlight w:val="none"/>
                    </w:rPr>
                  </w:pPr>
                  <w:r>
                    <w:rPr>
                      <w:rFonts w:hint="eastAsia" w:ascii="宋体" w:hAnsi="宋体" w:cs="宋体"/>
                      <w:color w:val="auto"/>
                      <w:kern w:val="44"/>
                      <w:sz w:val="21"/>
                      <w:szCs w:val="21"/>
                      <w:highlight w:val="none"/>
                    </w:rPr>
                    <w:t>注：</w:t>
                  </w:r>
                </w:p>
                <w:p w14:paraId="4F852264">
                  <w:pPr>
                    <w:spacing w:line="360" w:lineRule="auto"/>
                    <w:jc w:val="both"/>
                    <w:rPr>
                      <w:rFonts w:hint="eastAsia" w:ascii="宋体" w:hAnsi="宋体" w:cs="宋体"/>
                      <w:color w:val="auto"/>
                      <w:kern w:val="44"/>
                      <w:sz w:val="21"/>
                      <w:szCs w:val="21"/>
                      <w:highlight w:val="none"/>
                    </w:rPr>
                  </w:pPr>
                  <w:r>
                    <w:rPr>
                      <w:rFonts w:hint="eastAsia" w:ascii="宋体" w:hAnsi="宋体" w:cs="宋体"/>
                      <w:color w:val="auto"/>
                      <w:kern w:val="44"/>
                      <w:sz w:val="21"/>
                      <w:szCs w:val="21"/>
                      <w:highlight w:val="none"/>
                    </w:rPr>
                    <w:t>（1）本表只作为综合评分表中</w:t>
                  </w:r>
                  <w:r>
                    <w:rPr>
                      <w:rFonts w:hint="eastAsia" w:ascii="宋体" w:hAnsi="宋体" w:eastAsia="宋体" w:cs="宋体"/>
                      <w:color w:val="auto"/>
                      <w:sz w:val="21"/>
                      <w:szCs w:val="21"/>
                      <w:highlight w:val="none"/>
                      <w:lang w:val="en-US" w:eastAsia="zh-CN"/>
                    </w:rPr>
                    <w:t>项目管理班子的能力</w:t>
                  </w:r>
                  <w:r>
                    <w:rPr>
                      <w:rFonts w:hint="eastAsia" w:ascii="宋体" w:hAnsi="宋体" w:cs="宋体"/>
                      <w:color w:val="auto"/>
                      <w:kern w:val="44"/>
                      <w:sz w:val="21"/>
                      <w:szCs w:val="21"/>
                      <w:highlight w:val="none"/>
                    </w:rPr>
                    <w:t>评审参考。</w:t>
                  </w:r>
                </w:p>
                <w:p w14:paraId="3D97E0C3">
                  <w:pPr>
                    <w:numPr>
                      <w:ilvl w:val="0"/>
                      <w:numId w:val="0"/>
                    </w:numPr>
                    <w:spacing w:line="360" w:lineRule="auto"/>
                    <w:ind w:left="0" w:firstLine="0" w:firstLineChars="0"/>
                    <w:jc w:val="both"/>
                    <w:rPr>
                      <w:rFonts w:hint="eastAsia" w:ascii="宋体" w:hAnsi="宋体" w:cs="宋体"/>
                      <w:color w:val="auto"/>
                      <w:sz w:val="21"/>
                      <w:szCs w:val="21"/>
                      <w:highlight w:val="none"/>
                    </w:rPr>
                  </w:pPr>
                  <w:r>
                    <w:rPr>
                      <w:rFonts w:hint="eastAsia" w:ascii="宋体" w:hAnsi="宋体" w:eastAsia="宋体" w:cs="宋体"/>
                      <w:color w:val="auto"/>
                      <w:sz w:val="21"/>
                      <w:szCs w:val="21"/>
                    </w:rPr>
                    <w:t>（2）</w:t>
                  </w:r>
                  <w:r>
                    <w:rPr>
                      <w:rFonts w:hint="eastAsia" w:ascii="宋体" w:hAnsi="宋体" w:cs="宋体"/>
                      <w:color w:val="auto"/>
                      <w:sz w:val="21"/>
                      <w:szCs w:val="21"/>
                      <w:highlight w:val="none"/>
                    </w:rPr>
                    <w:t>上述人员（除</w:t>
                  </w:r>
                  <w:r>
                    <w:rPr>
                      <w:rFonts w:hint="eastAsia" w:ascii="宋体" w:hAnsi="宋体" w:cs="宋体"/>
                      <w:color w:val="auto"/>
                      <w:kern w:val="44"/>
                      <w:sz w:val="21"/>
                      <w:szCs w:val="21"/>
                      <w:highlight w:val="none"/>
                    </w:rPr>
                    <w:t>项目总监理工程师）</w:t>
                  </w:r>
                  <w:r>
                    <w:rPr>
                      <w:rFonts w:hint="eastAsia" w:ascii="宋体" w:hAnsi="宋体" w:cs="宋体"/>
                      <w:color w:val="auto"/>
                      <w:sz w:val="21"/>
                      <w:szCs w:val="21"/>
                      <w:highlight w:val="none"/>
                    </w:rPr>
                    <w:t>要求不作为形式评审、资格评审、响应性评审的审查依据，只作为综合评分表中的评审依据。</w:t>
                  </w:r>
                </w:p>
                <w:p w14:paraId="7D31A544">
                  <w:pPr>
                    <w:spacing w:line="360" w:lineRule="auto"/>
                    <w:jc w:val="both"/>
                    <w:rPr>
                      <w:rFonts w:hint="eastAsia" w:ascii="宋体" w:hAnsi="宋体" w:eastAsia="宋体" w:cs="宋体"/>
                      <w:sz w:val="21"/>
                      <w:vertAlign w:val="baseline"/>
                      <w:lang w:val="en-US" w:eastAsia="zh-CN"/>
                    </w:rPr>
                  </w:pPr>
                  <w:r>
                    <w:rPr>
                      <w:rFonts w:hint="eastAsia" w:ascii="宋体" w:hAnsi="宋体" w:eastAsia="宋体" w:cs="宋体"/>
                      <w:color w:val="auto"/>
                      <w:kern w:val="44"/>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建规范〔2020〕1号）确定。</w:t>
                  </w:r>
                </w:p>
              </w:tc>
            </w:tr>
          </w:tbl>
          <w:p w14:paraId="1E611AE5">
            <w:pPr>
              <w:spacing w:line="360" w:lineRule="auto"/>
              <w:jc w:val="both"/>
              <w:rPr>
                <w:rFonts w:hint="eastAsia" w:ascii="宋体" w:hAnsi="宋体" w:eastAsia="宋体" w:cs="宋体"/>
                <w:sz w:val="21"/>
                <w:szCs w:val="24"/>
              </w:rPr>
            </w:pPr>
          </w:p>
        </w:tc>
      </w:tr>
    </w:tbl>
    <w:p w14:paraId="2258CE47">
      <w:pPr>
        <w:rPr>
          <w:rFonts w:hint="eastAsia" w:ascii="宋体" w:hAnsi="宋体" w:eastAsia="宋体" w:cs="宋体"/>
          <w:color w:val="auto"/>
          <w:sz w:val="24"/>
          <w:szCs w:val="24"/>
          <w:highlight w:val="none"/>
        </w:rPr>
      </w:pPr>
    </w:p>
    <w:p w14:paraId="1302B63D">
      <w:pPr>
        <w:pStyle w:val="6"/>
        <w:outlineLvl w:val="9"/>
        <w:rPr>
          <w:rFonts w:hint="eastAsia" w:ascii="宋体" w:hAnsi="宋体" w:eastAsia="宋体" w:cs="宋体"/>
          <w:color w:val="auto"/>
          <w:sz w:val="24"/>
          <w:szCs w:val="24"/>
          <w:highlight w:val="none"/>
        </w:rPr>
        <w:sectPr>
          <w:footerReference r:id="rId6" w:type="default"/>
          <w:pgSz w:w="11905" w:h="16838"/>
          <w:pgMar w:top="1417" w:right="1417" w:bottom="1417" w:left="1417" w:header="992" w:footer="992" w:gutter="0"/>
          <w:lnNumType w:countBy="0" w:distance="360"/>
          <w:pgNumType w:fmt="decimal"/>
          <w:cols w:space="720" w:num="1"/>
        </w:sectPr>
      </w:pPr>
      <w:bookmarkStart w:id="10" w:name="bookmark20"/>
      <w:bookmarkEnd w:id="10"/>
    </w:p>
    <w:p w14:paraId="27C88932">
      <w:pPr>
        <w:pStyle w:val="6"/>
        <w:jc w:val="center"/>
        <w:rPr>
          <w:rFonts w:hint="eastAsia" w:ascii="宋体" w:hAnsi="宋体" w:eastAsia="宋体" w:cs="宋体"/>
          <w:color w:val="auto"/>
          <w:sz w:val="32"/>
          <w:szCs w:val="24"/>
          <w:highlight w:val="none"/>
        </w:rPr>
      </w:pPr>
      <w:bookmarkStart w:id="11" w:name="_Toc17556876"/>
      <w:bookmarkStart w:id="12" w:name="_Toc17452664"/>
      <w:bookmarkStart w:id="13" w:name="_Toc17454922"/>
      <w:bookmarkStart w:id="14" w:name="_Toc17451578"/>
      <w:bookmarkStart w:id="15" w:name="_Toc17556931"/>
      <w:bookmarkStart w:id="16" w:name="_Toc262229161"/>
      <w:bookmarkStart w:id="17" w:name="_Toc26588"/>
      <w:bookmarkStart w:id="18" w:name="_Toc17454871"/>
      <w:bookmarkStart w:id="19" w:name="_Toc17451101"/>
      <w:bookmarkStart w:id="20" w:name="_Toc17451623"/>
      <w:r>
        <w:rPr>
          <w:rFonts w:hint="eastAsia" w:ascii="宋体" w:hAnsi="宋体" w:eastAsia="宋体" w:cs="宋体"/>
          <w:color w:val="auto"/>
          <w:sz w:val="32"/>
          <w:szCs w:val="24"/>
          <w:highlight w:val="none"/>
        </w:rPr>
        <w:t>投标须知修改表</w:t>
      </w:r>
      <w:bookmarkEnd w:id="11"/>
      <w:bookmarkEnd w:id="12"/>
      <w:bookmarkEnd w:id="13"/>
      <w:bookmarkEnd w:id="14"/>
      <w:bookmarkEnd w:id="15"/>
      <w:bookmarkEnd w:id="16"/>
      <w:bookmarkEnd w:id="17"/>
      <w:bookmarkEnd w:id="18"/>
      <w:bookmarkEnd w:id="19"/>
      <w:bookmarkEnd w:id="20"/>
    </w:p>
    <w:p w14:paraId="72E261A5">
      <w:pPr>
        <w:pStyle w:val="24"/>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本投标须知使用</w:t>
      </w:r>
      <w:r>
        <w:rPr>
          <w:rFonts w:hint="eastAsia" w:ascii="宋体" w:hAnsi="宋体" w:eastAsia="宋体" w:cs="宋体"/>
          <w:b/>
          <w:color w:val="auto"/>
          <w:sz w:val="24"/>
          <w:szCs w:val="24"/>
          <w:highlight w:val="none"/>
          <w:lang w:eastAsia="zh-CN"/>
        </w:rPr>
        <w:t>SWZB2024-05</w:t>
      </w:r>
      <w:r>
        <w:rPr>
          <w:rFonts w:hint="eastAsia" w:ascii="宋体" w:hAnsi="宋体" w:eastAsia="宋体" w:cs="宋体"/>
          <w:b/>
          <w:color w:val="auto"/>
          <w:sz w:val="24"/>
          <w:szCs w:val="24"/>
          <w:highlight w:val="none"/>
        </w:rPr>
        <w:t>招标文件范本的投标须知通用条款，与该通用条款不同之处，均在本表中列明，并以现文为准，原文不再有效。</w:t>
      </w:r>
    </w:p>
    <w:p w14:paraId="1EB2F614">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color w:val="auto"/>
          <w:sz w:val="24"/>
          <w:szCs w:val="24"/>
          <w:highlight w:val="none"/>
          <w:lang w:val="en-US" w:eastAsia="zh-CN"/>
        </w:rPr>
        <w:t>1.10</w:t>
      </w:r>
      <w:r>
        <w:rPr>
          <w:rFonts w:hint="eastAsia" w:ascii="宋体" w:hAnsi="宋体" w:eastAsia="宋体" w:cs="宋体"/>
          <w:color w:val="auto"/>
          <w:sz w:val="24"/>
          <w:szCs w:val="24"/>
          <w:highlight w:val="none"/>
        </w:rPr>
        <w:t xml:space="preserve">             修改类型：修改</w:t>
      </w:r>
    </w:p>
    <w:p w14:paraId="7E5DBC98">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原文：投标预备会</w:t>
      </w:r>
    </w:p>
    <w:p w14:paraId="33B4291B">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投标人须知前附表规定召开投标预备会的，招标人按投标人须知前附表规定的时间和地点召开投标预备会，澄清投标人提出的问题。</w:t>
      </w:r>
    </w:p>
    <w:p w14:paraId="68B9E5D9">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投标人应按投标人须知前附表规定的时间和形式将提出的问题送达招标人，以便招标人在会议期间澄清。</w:t>
      </w:r>
    </w:p>
    <w:p w14:paraId="3A247981">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1.10.3 投标预备会后，招标人将对投标人所提问题的澄清，以投标人须知前附表规定的形式通知所有潜在投标人。该澄清内容为招标文件的组成部分</w:t>
      </w:r>
      <w:r>
        <w:rPr>
          <w:rFonts w:hint="eastAsia" w:ascii="宋体" w:hAnsi="宋体" w:eastAsia="宋体" w:cs="宋体"/>
          <w:color w:val="auto"/>
          <w:sz w:val="24"/>
          <w:szCs w:val="24"/>
          <w:highlight w:val="none"/>
          <w:lang w:eastAsia="zh-CN"/>
        </w:rPr>
        <w:t>。</w:t>
      </w:r>
    </w:p>
    <w:p w14:paraId="587DD80B">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现文：投标预备会</w:t>
      </w:r>
    </w:p>
    <w:p w14:paraId="70C727C6">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1.10.1 </w:t>
      </w:r>
      <w:r>
        <w:rPr>
          <w:rFonts w:hint="eastAsia" w:ascii="宋体" w:hAnsi="宋体" w:eastAsia="宋体" w:cs="宋体"/>
          <w:color w:val="auto"/>
          <w:sz w:val="24"/>
          <w:szCs w:val="24"/>
          <w:highlight w:val="none"/>
          <w:lang w:val="en-US" w:eastAsia="zh-CN"/>
        </w:rPr>
        <w:t>本项目不召开投标预备会</w:t>
      </w:r>
      <w:r>
        <w:rPr>
          <w:rFonts w:hint="eastAsia" w:ascii="宋体" w:hAnsi="宋体" w:eastAsia="宋体" w:cs="宋体"/>
          <w:color w:val="auto"/>
          <w:sz w:val="24"/>
          <w:szCs w:val="24"/>
          <w:highlight w:val="none"/>
        </w:rPr>
        <w:t>。</w:t>
      </w:r>
    </w:p>
    <w:p w14:paraId="32F17074">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color w:val="auto"/>
          <w:sz w:val="24"/>
          <w:szCs w:val="24"/>
          <w:highlight w:val="none"/>
          <w:lang w:val="en-US" w:eastAsia="zh-CN"/>
        </w:rPr>
        <w:t>1.11</w:t>
      </w:r>
      <w:r>
        <w:rPr>
          <w:rFonts w:hint="eastAsia" w:ascii="宋体" w:hAnsi="宋体" w:eastAsia="宋体" w:cs="宋体"/>
          <w:color w:val="auto"/>
          <w:sz w:val="24"/>
          <w:szCs w:val="24"/>
          <w:highlight w:val="none"/>
        </w:rPr>
        <w:t xml:space="preserve">             修改类型：修改</w:t>
      </w:r>
    </w:p>
    <w:p w14:paraId="68D77280">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原文：本项目严禁分包。</w:t>
      </w:r>
    </w:p>
    <w:p w14:paraId="43F61BEF">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现文：本项目严禁</w:t>
      </w:r>
      <w:r>
        <w:rPr>
          <w:rFonts w:hint="eastAsia" w:ascii="宋体" w:hAnsi="宋体" w:eastAsia="宋体" w:cs="宋体"/>
          <w:color w:val="auto"/>
          <w:sz w:val="24"/>
          <w:szCs w:val="24"/>
          <w:highlight w:val="none"/>
          <w:lang w:val="en-US" w:eastAsia="zh-CN"/>
        </w:rPr>
        <w:t>非法</w:t>
      </w:r>
      <w:r>
        <w:rPr>
          <w:rFonts w:hint="eastAsia" w:ascii="宋体" w:hAnsi="宋体" w:eastAsia="宋体" w:cs="宋体"/>
          <w:color w:val="auto"/>
          <w:sz w:val="24"/>
          <w:szCs w:val="24"/>
          <w:highlight w:val="none"/>
        </w:rPr>
        <w:t>分包。</w:t>
      </w:r>
    </w:p>
    <w:p w14:paraId="7DBE5E68">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条款号：2.2.3、2.2.4和2.2.5          修改类型：修改</w:t>
      </w:r>
    </w:p>
    <w:p w14:paraId="1B94D7F5">
      <w:pPr>
        <w:widowControl/>
        <w:shd w:val="clear"/>
        <w:autoSpaceDE/>
        <w:autoSpaceDN/>
        <w:adjustRightInd/>
        <w:spacing w:line="360" w:lineRule="auto"/>
        <w:ind w:left="0" w:leftChars="0"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原文：2.2.3  </w:t>
      </w:r>
      <w:r>
        <w:rPr>
          <w:rFonts w:hint="eastAsia" w:ascii="宋体" w:hAnsi="宋体" w:eastAsia="宋体" w:cs="宋体"/>
          <w:b w:val="0"/>
          <w:bCs/>
          <w:color w:val="auto"/>
          <w:sz w:val="24"/>
          <w:szCs w:val="24"/>
          <w:highlight w:val="none"/>
          <w:lang w:val="en-US" w:eastAsia="zh-CN" w:bidi="ar-SA"/>
        </w:rPr>
        <w:t>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08268070">
      <w:pPr>
        <w:widowControl/>
        <w:shd w:val="clear"/>
        <w:autoSpaceDE/>
        <w:autoSpaceDN/>
        <w:adjustRightInd/>
        <w:spacing w:line="360" w:lineRule="auto"/>
        <w:ind w:left="0" w:leftChars="0"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2.2.4  </w:t>
      </w:r>
      <w:r>
        <w:rPr>
          <w:rFonts w:hint="eastAsia" w:ascii="宋体" w:hAnsi="宋体" w:eastAsia="宋体" w:cs="宋体"/>
          <w:b w:val="0"/>
          <w:bCs/>
          <w:color w:val="auto"/>
          <w:sz w:val="24"/>
          <w:szCs w:val="24"/>
          <w:highlight w:val="none"/>
          <w:lang w:val="en-US" w:eastAsia="zh-CN" w:bidi="ar-SA"/>
        </w:rPr>
        <w:t>招标答疑会会议纪要是招标文件的组成部分，对投标人起约束作用。</w:t>
      </w:r>
    </w:p>
    <w:p w14:paraId="74BF0D98">
      <w:pPr>
        <w:widowControl/>
        <w:shd w:val="clear"/>
        <w:autoSpaceDE/>
        <w:autoSpaceDN/>
        <w:adjustRightInd/>
        <w:spacing w:line="360" w:lineRule="auto"/>
        <w:ind w:left="0" w:leftChars="0"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2.2.5  </w:t>
      </w:r>
      <w:r>
        <w:rPr>
          <w:rFonts w:hint="eastAsia" w:ascii="宋体" w:hAnsi="宋体" w:eastAsia="宋体" w:cs="宋体"/>
          <w:b w:val="0"/>
          <w:bCs/>
          <w:color w:val="auto"/>
          <w:sz w:val="24"/>
          <w:szCs w:val="24"/>
          <w:highlight w:val="none"/>
          <w:lang w:val="en-US" w:eastAsia="zh-CN" w:bidi="ar-SA"/>
        </w:rPr>
        <w:t>若招标答疑会会议纪要与招标文件有矛盾时，以广州交易集团有限公司（广州公共资源交易中心）网站最后发布的答疑纪要为准。</w:t>
      </w:r>
    </w:p>
    <w:p w14:paraId="26A03B36">
      <w:pPr>
        <w:widowControl/>
        <w:shd w:val="clear"/>
        <w:autoSpaceDE/>
        <w:autoSpaceDN/>
        <w:adjustRightInd/>
        <w:spacing w:line="360" w:lineRule="auto"/>
        <w:ind w:left="0" w:leftChars="0" w:firstLine="482"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现文：</w:t>
      </w:r>
      <w:r>
        <w:rPr>
          <w:rFonts w:hint="eastAsia" w:ascii="宋体" w:hAnsi="宋体" w:eastAsia="宋体" w:cs="宋体"/>
          <w:b/>
          <w:bCs w:val="0"/>
          <w:color w:val="auto"/>
          <w:kern w:val="2"/>
          <w:sz w:val="24"/>
          <w:szCs w:val="24"/>
          <w:highlight w:val="none"/>
          <w:lang w:val="en-US" w:eastAsia="zh-CN" w:bidi="ar-SA"/>
        </w:rPr>
        <w:t>2.2.3</w:t>
      </w:r>
      <w:r>
        <w:rPr>
          <w:rFonts w:hint="eastAsia" w:ascii="宋体" w:hAnsi="宋体" w:eastAsia="宋体" w:cs="宋体"/>
          <w:b w:val="0"/>
          <w:bCs/>
          <w:color w:val="auto"/>
          <w:kern w:val="2"/>
          <w:sz w:val="24"/>
          <w:szCs w:val="24"/>
          <w:highlight w:val="none"/>
          <w:lang w:val="en-US" w:eastAsia="zh-CN" w:bidi="ar-SA"/>
        </w:rPr>
        <w:t xml:space="preserve">  招标答疑纪要将在提交投标文件截止时间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64E56C86">
      <w:pPr>
        <w:widowControl/>
        <w:shd w:val="clear"/>
        <w:autoSpaceDE/>
        <w:autoSpaceDN/>
        <w:adjustRightInd/>
        <w:spacing w:line="360" w:lineRule="auto"/>
        <w:ind w:left="0" w:leftChars="0" w:firstLine="482"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2.2.4</w:t>
      </w:r>
      <w:r>
        <w:rPr>
          <w:rFonts w:hint="eastAsia" w:ascii="宋体" w:hAnsi="宋体" w:eastAsia="宋体" w:cs="宋体"/>
          <w:b w:val="0"/>
          <w:bCs/>
          <w:color w:val="auto"/>
          <w:kern w:val="2"/>
          <w:sz w:val="24"/>
          <w:szCs w:val="24"/>
          <w:highlight w:val="none"/>
          <w:lang w:val="en-US" w:eastAsia="zh-CN" w:bidi="ar-SA"/>
        </w:rPr>
        <w:t xml:space="preserve">  招标答疑纪要是招标文件的组成部分，对投标人起约束作用。</w:t>
      </w:r>
    </w:p>
    <w:p w14:paraId="5ACBC1B4">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-51435</wp:posOffset>
                </wp:positionH>
                <wp:positionV relativeFrom="paragraph">
                  <wp:posOffset>523240</wp:posOffset>
                </wp:positionV>
                <wp:extent cx="592137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41.2pt;height:0pt;width:466.25pt;z-index:251663360;mso-width-relative:page;mso-height-relative:page;" filled="f" stroked="t" coordsize="21600,21600" o:gfxdata="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6IO1gAAAAgBAAAPAAAAAAAAAAEAIAAAACIAAABkcnMvZG93bnJldi54bWxQSwEC&#10;FAAUAAAACACHTuJAXqFHlf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b/>
          <w:bCs w:val="0"/>
          <w:color w:val="auto"/>
          <w:kern w:val="2"/>
          <w:sz w:val="24"/>
          <w:szCs w:val="24"/>
          <w:highlight w:val="none"/>
          <w:lang w:val="en-US" w:eastAsia="zh-CN" w:bidi="ar-SA"/>
        </w:rPr>
        <w:t>2.2.5</w:t>
      </w:r>
      <w:r>
        <w:rPr>
          <w:rFonts w:hint="eastAsia" w:ascii="宋体" w:hAnsi="宋体" w:eastAsia="宋体" w:cs="宋体"/>
          <w:b w:val="0"/>
          <w:bCs/>
          <w:color w:val="auto"/>
          <w:kern w:val="2"/>
          <w:sz w:val="24"/>
          <w:szCs w:val="24"/>
          <w:highlight w:val="none"/>
          <w:lang w:val="en-US" w:eastAsia="zh-CN" w:bidi="ar-SA"/>
        </w:rPr>
        <w:t xml:space="preserve">  若招标答疑纪要与招标文件有矛盾时，以广州交易集团有限公司（广州公共资源交易中心）网站最后发布的答疑纪要为准。</w:t>
      </w:r>
    </w:p>
    <w:p w14:paraId="539EF37F">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修改类型：增加</w:t>
      </w:r>
    </w:p>
    <w:p w14:paraId="62990272">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现文：招标文件的异议</w:t>
      </w:r>
    </w:p>
    <w:p w14:paraId="50001D8A">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投标人或者其他利害关系人对招标文件有异议的，应当在投标截止时间 10 日前通过线下或线上的形式提出异议。线上提出异议的，应通过交易平台提交，招标人也应通过交易平台答复线上提出的异议。具体按照交易平台相关指南进行操作。招标人将在收到异议之日起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14:paraId="5EE58C37">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条款号：3.1.1          修改类型：修改</w:t>
      </w:r>
    </w:p>
    <w:p w14:paraId="7B54601B">
      <w:pPr>
        <w:widowControl/>
        <w:shd w:val="clear"/>
        <w:autoSpaceDE/>
        <w:autoSpaceDN/>
        <w:adjustRightInd/>
        <w:spacing w:line="360" w:lineRule="auto"/>
        <w:ind w:left="0" w:firstLine="482"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原文：</w:t>
      </w:r>
      <w:r>
        <w:rPr>
          <w:rFonts w:hint="eastAsia" w:ascii="宋体" w:hAnsi="宋体" w:eastAsia="宋体" w:cs="宋体"/>
          <w:color w:val="auto"/>
          <w:sz w:val="24"/>
          <w:szCs w:val="24"/>
          <w:highlight w:val="none"/>
          <w:lang w:val="en-US" w:eastAsia="zh-CN" w:bidi="ar-SA"/>
        </w:rPr>
        <w:t>3.1.1 投标文件应包括下列内容：</w:t>
      </w:r>
    </w:p>
    <w:p w14:paraId="5794D49F">
      <w:pPr>
        <w:pStyle w:val="13"/>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3B5B2BD3">
      <w:pPr>
        <w:pStyle w:val="13"/>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（2）法定代表人身份证明或授权委托书；</w:t>
      </w:r>
    </w:p>
    <w:p w14:paraId="2B0ADA96">
      <w:pPr>
        <w:pStyle w:val="13"/>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3DF15CF5">
      <w:pPr>
        <w:pStyle w:val="13"/>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w:t>
      </w:r>
    </w:p>
    <w:p w14:paraId="2D023856">
      <w:pPr>
        <w:pStyle w:val="13"/>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（5）监理报酬清单；</w:t>
      </w:r>
    </w:p>
    <w:p w14:paraId="4C2A2F78">
      <w:pPr>
        <w:pStyle w:val="13"/>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6082BCB6">
      <w:pPr>
        <w:pStyle w:val="13"/>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（7）监理大纲；</w:t>
      </w:r>
    </w:p>
    <w:p w14:paraId="5EA4C030">
      <w:pPr>
        <w:pStyle w:val="13"/>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（8）投标人须知前附表规定的其他资料。投标人在评标过程中作出的符合法律法规和招标文件规定的澄清确认，构成投标文件的组成部分。</w:t>
      </w:r>
    </w:p>
    <w:p w14:paraId="18937F4E">
      <w:pPr>
        <w:widowControl/>
        <w:shd w:val="clear"/>
        <w:autoSpaceDE/>
        <w:autoSpaceDN/>
        <w:adjustRightInd/>
        <w:spacing w:line="360" w:lineRule="auto"/>
        <w:ind w:left="0" w:leftChars="0" w:right="0" w:firstLine="482"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现文：</w:t>
      </w:r>
      <w:r>
        <w:rPr>
          <w:rFonts w:hint="eastAsia" w:ascii="宋体" w:hAnsi="宋体" w:eastAsia="宋体" w:cs="宋体"/>
          <w:color w:val="auto"/>
          <w:sz w:val="24"/>
          <w:szCs w:val="24"/>
          <w:highlight w:val="none"/>
          <w:lang w:val="en-US" w:eastAsia="zh-CN" w:bidi="ar-SA"/>
        </w:rPr>
        <w:t>3.1.1投标文件应包括下列内容：</w:t>
      </w:r>
    </w:p>
    <w:p w14:paraId="3DE4835B">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（1）投标函及投标函附录；</w:t>
      </w:r>
    </w:p>
    <w:p w14:paraId="26F85A13">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（2）法定代表人身份证明；</w:t>
      </w:r>
    </w:p>
    <w:p w14:paraId="60C6DE8D">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（3）授权委托书；（适用于有委托代理人的情况）</w:t>
      </w:r>
    </w:p>
    <w:p w14:paraId="3637504A">
      <w:pPr>
        <w:widowControl/>
        <w:shd w:val="clear"/>
        <w:autoSpaceDE/>
        <w:autoSpaceDN/>
        <w:adjustRightInd/>
        <w:spacing w:line="360" w:lineRule="auto"/>
        <w:ind w:left="0" w:firstLine="480" w:firstLineChars="200"/>
        <w:jc w:val="both"/>
        <w:rPr>
          <w:rFonts w:hint="eastAsia" w:ascii="宋体" w:hAnsi="宋体" w:eastAsia="宋体" w:cs="宋体"/>
          <w:strike/>
          <w:color w:val="auto"/>
          <w:sz w:val="24"/>
          <w:szCs w:val="24"/>
          <w:highlight w:val="none"/>
          <w:lang w:val="en-US" w:eastAsia="zh-CN" w:bidi="ar-SA"/>
        </w:rPr>
      </w:pPr>
      <w:r>
        <w:rPr>
          <w:rFonts w:hint="eastAsia" w:ascii="宋体" w:hAnsi="宋体" w:eastAsia="宋体" w:cs="宋体"/>
          <w:strike/>
          <w:color w:val="auto"/>
          <w:sz w:val="24"/>
          <w:szCs w:val="24"/>
          <w:highlight w:val="none"/>
          <w:lang w:val="en-US" w:eastAsia="zh-CN" w:bidi="ar-SA"/>
        </w:rPr>
        <w:t>（4）联合体协议书；</w:t>
      </w:r>
    </w:p>
    <w:p w14:paraId="6165AE3A">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strike/>
          <w:color w:val="auto"/>
          <w:sz w:val="24"/>
          <w:szCs w:val="24"/>
          <w:highlight w:val="none"/>
          <w:lang w:val="en-US" w:eastAsia="zh-CN" w:bidi="ar-SA"/>
        </w:rPr>
        <w:t>（5）投标保证金；</w:t>
      </w:r>
      <w:r>
        <w:rPr>
          <w:rFonts w:hint="eastAsia" w:ascii="宋体" w:hAnsi="宋体" w:eastAsia="宋体" w:cs="宋体"/>
          <w:color w:val="auto"/>
          <w:sz w:val="24"/>
          <w:szCs w:val="24"/>
          <w:highlight w:val="none"/>
          <w:lang w:val="en-US" w:eastAsia="zh-CN" w:bidi="ar-SA"/>
        </w:rPr>
        <w:t>；</w:t>
      </w:r>
    </w:p>
    <w:p w14:paraId="2EFCD388">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（6）监理报酬清单；</w:t>
      </w:r>
    </w:p>
    <w:p w14:paraId="6FD86996">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（7）资格审查资料；</w:t>
      </w:r>
    </w:p>
    <w:p w14:paraId="02ADEBCA">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（8）监理大纲；</w:t>
      </w:r>
    </w:p>
    <w:p w14:paraId="485D9A81">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139065</wp:posOffset>
                </wp:positionH>
                <wp:positionV relativeFrom="paragraph">
                  <wp:posOffset>574675</wp:posOffset>
                </wp:positionV>
                <wp:extent cx="5921375"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95pt;margin-top:45.25pt;height:0pt;width:466.25pt;z-index:251664384;mso-width-relative:page;mso-height-relative:page;" filled="f" stroked="t" coordsize="21600,21600" o:gfxdata="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duX01gAAAAgBAAAPAAAAAAAAAAEAIAAAACIAAABkcnMvZG93bnJldi54bWxQSwEC&#10;FAAUAAAACACHTuJA1yN3N/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bidi="ar-SA"/>
        </w:rPr>
        <w:t>（9）投标人须知前附表规定的其他资料。投标人在评标过程中作出的符合法律法规和招标文件规定的澄清确认，构成投标文件的组成部分。</w:t>
      </w:r>
    </w:p>
    <w:p w14:paraId="1F3716CD">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条款号：3.1.3        修改类型：删除</w:t>
      </w:r>
    </w:p>
    <w:p w14:paraId="64947914">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118110</wp:posOffset>
                </wp:positionH>
                <wp:positionV relativeFrom="paragraph">
                  <wp:posOffset>538480</wp:posOffset>
                </wp:positionV>
                <wp:extent cx="5921375"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pt;margin-top:42.4pt;height:0pt;width:466.25pt;z-index:251667456;mso-width-relative:page;mso-height-relative:page;" filled="f" stroked="t" coordsize="21600,21600" o:gfxdata="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nYz0fVAAAACAEAAA8AAAAAAAAAAQAgAAAAIgAAAGRycy9kb3ducmV2LnhtbFBLAQIU&#10;ABQAAAAIAIdO4kCYVGZW9gEAAOY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lang w:val="en-US" w:eastAsia="zh-CN" w:bidi="ar-SA"/>
        </w:rPr>
        <w:t xml:space="preserve">原文：3.1.3 </w:t>
      </w:r>
      <w:r>
        <w:rPr>
          <w:rFonts w:hint="eastAsia" w:ascii="宋体" w:hAnsi="宋体" w:eastAsia="宋体" w:cs="宋体"/>
          <w:b w:val="0"/>
          <w:bCs/>
          <w:color w:val="auto"/>
          <w:sz w:val="24"/>
          <w:szCs w:val="24"/>
          <w:highlight w:val="none"/>
          <w:lang w:val="en-US" w:eastAsia="zh-CN" w:bidi="ar-SA"/>
        </w:rPr>
        <w:t>投标人须知前附表未要求提交投标保证金的，投标文件不包括本章第 3.1.1（4）目所指的投标保证金。</w:t>
      </w:r>
    </w:p>
    <w:p w14:paraId="334EAF25">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条款号：3.2.1          修改类型：修改</w:t>
      </w:r>
    </w:p>
    <w:p w14:paraId="05164191">
      <w:pPr>
        <w:widowControl/>
        <w:shd w:val="clear"/>
        <w:autoSpaceDE/>
        <w:autoSpaceDN/>
        <w:adjustRightInd/>
        <w:spacing w:line="360" w:lineRule="auto"/>
        <w:ind w:firstLine="482"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原文：</w:t>
      </w:r>
      <w:r>
        <w:rPr>
          <w:rFonts w:hint="eastAsia" w:ascii="宋体" w:hAnsi="宋体" w:eastAsia="宋体" w:cs="宋体"/>
          <w:b/>
          <w:bCs w:val="0"/>
          <w:color w:val="auto"/>
          <w:sz w:val="24"/>
          <w:szCs w:val="24"/>
          <w:highlight w:val="none"/>
          <w:lang w:val="en-US" w:eastAsia="zh-CN" w:bidi="ar-SA"/>
        </w:rPr>
        <w:t>3.2.1</w:t>
      </w:r>
      <w:r>
        <w:rPr>
          <w:rFonts w:hint="eastAsia" w:ascii="宋体" w:hAnsi="宋体" w:eastAsia="宋体" w:cs="宋体"/>
          <w:b w:val="0"/>
          <w:bCs/>
          <w:color w:val="auto"/>
          <w:sz w:val="24"/>
          <w:szCs w:val="24"/>
          <w:highlight w:val="none"/>
          <w:lang w:val="en-US" w:eastAsia="zh-CN" w:bidi="ar-SA"/>
        </w:rPr>
        <w:t xml:space="preserve"> 投标报价应包括国家规定的增值税税金，除投标人须知前附表另有规定外，增值税税金按一般计税方法计算。投标人应按第六章“投标文件格式”的要求在投标函中进行报价并填写监理报酬清单。</w:t>
      </w:r>
    </w:p>
    <w:p w14:paraId="49D6BA45">
      <w:pPr>
        <w:widowControl/>
        <w:shd w:val="clear"/>
        <w:autoSpaceDE/>
        <w:autoSpaceDN/>
        <w:adjustRightInd/>
        <w:spacing w:line="360" w:lineRule="auto"/>
        <w:ind w:firstLine="480"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132715</wp:posOffset>
                </wp:positionH>
                <wp:positionV relativeFrom="paragraph">
                  <wp:posOffset>831215</wp:posOffset>
                </wp:positionV>
                <wp:extent cx="5921375"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65.45pt;height:0pt;width:466.25pt;z-index:251665408;mso-width-relative:page;mso-height-relative:page;" filled="f" stroked="t" coordsize="21600,21600" o:gfxdata="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1w1W1gAAAAoBAAAPAAAAAAAAAAEAIAAAACIAAABkcnMvZG93bnJldi54bWxQSwEC&#10;FAAUAAAACACHTuJABTQilv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b/>
          <w:bCs w:val="0"/>
          <w:color w:val="auto"/>
          <w:sz w:val="24"/>
          <w:szCs w:val="24"/>
          <w:highlight w:val="none"/>
          <w:lang w:val="en-US" w:eastAsia="zh-CN" w:bidi="ar-SA"/>
        </w:rPr>
        <w:t>现文：3.2.1</w:t>
      </w:r>
      <w:r>
        <w:rPr>
          <w:rFonts w:hint="eastAsia" w:ascii="宋体" w:hAnsi="宋体" w:eastAsia="宋体" w:cs="宋体"/>
          <w:b w:val="0"/>
          <w:bCs/>
          <w:color w:val="auto"/>
          <w:sz w:val="24"/>
          <w:szCs w:val="24"/>
          <w:highlight w:val="none"/>
          <w:lang w:val="en-US" w:eastAsia="zh-CN" w:bidi="ar-SA"/>
        </w:rPr>
        <w:t>投标报价应包括国家规定的增值税税金，除投标人须知前附表另有规定外，增值税税金按一般计税方法计算。投标人应按第六章“投标文件格式”的要求在投标函中进行报价并填写监理报酬清单。</w:t>
      </w:r>
    </w:p>
    <w:p w14:paraId="2B7F6CF9">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条款号：3.2.3          修改类型：修改</w:t>
      </w:r>
    </w:p>
    <w:p w14:paraId="5CE2E5CA">
      <w:pPr>
        <w:widowControl/>
        <w:shd w:val="clear"/>
        <w:autoSpaceDE/>
        <w:autoSpaceDN/>
        <w:adjustRightInd/>
        <w:spacing w:line="360" w:lineRule="auto"/>
        <w:ind w:firstLine="482"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原文：3.2.3 </w:t>
      </w:r>
      <w:r>
        <w:rPr>
          <w:rFonts w:hint="eastAsia" w:ascii="宋体" w:hAnsi="宋体" w:eastAsia="宋体" w:cs="宋体"/>
          <w:b w:val="0"/>
          <w:bCs/>
          <w:color w:val="auto"/>
          <w:sz w:val="24"/>
          <w:szCs w:val="24"/>
          <w:highlight w:val="none"/>
          <w:lang w:val="en-US" w:eastAsia="zh-CN" w:bidi="ar-SA"/>
        </w:rPr>
        <w:t>本项目的报价方式见投标人须知前附表。投标人在投标截止时间前修改投标函中的投标报价总额，应同时修改投标文件“监理报酬清单”中的相应报价。此修改须符合本章第4.3款的有关要求。</w:t>
      </w:r>
    </w:p>
    <w:p w14:paraId="14F87E6F">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41275</wp:posOffset>
                </wp:positionH>
                <wp:positionV relativeFrom="paragraph">
                  <wp:posOffset>866775</wp:posOffset>
                </wp:positionV>
                <wp:extent cx="5921375"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68.25pt;height:0pt;width:466.25pt;z-index:251666432;mso-width-relative:page;mso-height-relative:page;" filled="f" stroked="t" coordsize="21600,21600" o:gfxdata="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ffFgHTAAAACQEAAA8AAAAAAAAAAQAgAAAAIgAAAGRycy9kb3ducmV2LnhtbFBLAQIUABQA&#10;AAAIAIdO4kB4EWv/9QEAAOYDAAAOAAAAAAAAAAEAIAAAACI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val="0"/>
          <w:color w:val="auto"/>
          <w:sz w:val="24"/>
          <w:szCs w:val="24"/>
          <w:highlight w:val="none"/>
          <w:lang w:val="en-US" w:eastAsia="zh-CN" w:bidi="ar-SA"/>
        </w:rPr>
        <w:t>现文：3.2.3</w:t>
      </w:r>
      <w:r>
        <w:rPr>
          <w:rFonts w:hint="eastAsia" w:ascii="宋体" w:hAnsi="宋体" w:eastAsia="宋体" w:cs="宋体"/>
          <w:b w:val="0"/>
          <w:bCs/>
          <w:color w:val="auto"/>
          <w:sz w:val="24"/>
          <w:szCs w:val="24"/>
          <w:highlight w:val="none"/>
          <w:lang w:val="en-US" w:eastAsia="zh-CN" w:bidi="ar-SA"/>
        </w:rPr>
        <w:t xml:space="preserve"> 本项目的报价方式见投标人须知前附表。投标人在投标截止时间前修改投标函中的投标报价总额，应同时修改投标文件“监理报酬清单”中的相应报价。此修改须符合本章第4.3款的有关要求。</w:t>
      </w:r>
    </w:p>
    <w:p w14:paraId="6A0B68C3">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w:t>
      </w:r>
      <w:r>
        <w:rPr>
          <w:rFonts w:hint="eastAsia" w:ascii="宋体" w:hAnsi="宋体" w:cs="宋体"/>
          <w:b/>
          <w:color w:val="auto"/>
          <w:sz w:val="24"/>
          <w:szCs w:val="24"/>
          <w:highlight w:val="none"/>
          <w:lang w:val="en-US" w:eastAsia="zh-CN" w:bidi="ar-SA"/>
        </w:rPr>
        <w:t>3</w:t>
      </w:r>
      <w:r>
        <w:rPr>
          <w:rFonts w:hint="eastAsia" w:ascii="宋体" w:hAnsi="宋体" w:eastAsia="宋体" w:cs="宋体"/>
          <w:b/>
          <w:color w:val="auto"/>
          <w:sz w:val="24"/>
          <w:szCs w:val="24"/>
          <w:highlight w:val="none"/>
          <w:lang w:val="en-US" w:eastAsia="zh-CN" w:bidi="ar-SA"/>
        </w:rPr>
        <w:t>.</w:t>
      </w:r>
      <w:r>
        <w:rPr>
          <w:rFonts w:hint="eastAsia" w:ascii="宋体" w:hAnsi="宋体" w:cs="宋体"/>
          <w:b/>
          <w:color w:val="auto"/>
          <w:sz w:val="24"/>
          <w:szCs w:val="24"/>
          <w:highlight w:val="none"/>
          <w:lang w:val="en-US" w:eastAsia="zh-CN" w:bidi="ar-SA"/>
        </w:rPr>
        <w:t>3</w:t>
      </w:r>
      <w:r>
        <w:rPr>
          <w:rFonts w:hint="eastAsia" w:ascii="宋体" w:hAnsi="宋体" w:eastAsia="宋体" w:cs="宋体"/>
          <w:b/>
          <w:color w:val="auto"/>
          <w:sz w:val="24"/>
          <w:szCs w:val="24"/>
          <w:highlight w:val="none"/>
          <w:lang w:val="en-US" w:eastAsia="zh-CN" w:bidi="ar-SA"/>
        </w:rPr>
        <w:t xml:space="preserve">          修改类型：修改</w:t>
      </w:r>
    </w:p>
    <w:p w14:paraId="30B3FEA4">
      <w:pPr>
        <w:spacing w:line="360" w:lineRule="auto"/>
        <w:ind w:firstLine="540" w:firstLineChars="224"/>
        <w:rPr>
          <w:rFonts w:hint="eastAsia" w:ascii="宋体" w:hAnsi="宋体" w:eastAsia="宋体" w:cs="宋体"/>
          <w:b/>
          <w:bCs/>
          <w:strike w:val="0"/>
          <w:color w:val="auto"/>
          <w:sz w:val="24"/>
          <w:szCs w:val="24"/>
          <w:highlight w:val="none"/>
        </w:rPr>
      </w:pPr>
      <w:r>
        <w:rPr>
          <w:rFonts w:hint="eastAsia" w:ascii="宋体" w:hAnsi="宋体" w:eastAsia="宋体" w:cs="宋体"/>
          <w:b/>
          <w:color w:val="auto"/>
          <w:sz w:val="24"/>
          <w:szCs w:val="24"/>
          <w:highlight w:val="none"/>
          <w:lang w:val="en-US" w:eastAsia="zh-CN" w:bidi="ar-SA"/>
        </w:rPr>
        <w:t>原文：</w:t>
      </w:r>
      <w:r>
        <w:rPr>
          <w:rFonts w:hint="eastAsia" w:ascii="宋体" w:hAnsi="宋体" w:eastAsia="宋体" w:cs="宋体"/>
          <w:b/>
          <w:bCs/>
          <w:color w:val="auto"/>
          <w:sz w:val="24"/>
          <w:szCs w:val="24"/>
          <w:highlight w:val="none"/>
        </w:rPr>
        <w:t>3.3.3</w:t>
      </w:r>
      <w:r>
        <w:rPr>
          <w:rFonts w:hint="eastAsia" w:ascii="宋体" w:hAnsi="宋体" w:eastAsia="宋体" w:cs="宋体"/>
          <w:color w:val="auto"/>
          <w:sz w:val="24"/>
          <w:szCs w:val="24"/>
          <w:highlight w:val="none"/>
        </w:rPr>
        <w:t xml:space="preserve"> 出现特殊情况需要延长投标有效期的，招标人以书面形式通知所有投标人延长投标有效期。投标人应予以书面答复，同意延长的，</w:t>
      </w:r>
      <w:r>
        <w:rPr>
          <w:rFonts w:hint="eastAsia" w:ascii="宋体" w:hAnsi="宋体" w:eastAsia="宋体" w:cs="宋体"/>
          <w:strike w:val="0"/>
          <w:color w:val="auto"/>
          <w:sz w:val="24"/>
          <w:szCs w:val="24"/>
          <w:highlight w:val="none"/>
        </w:rPr>
        <w:t>应相应延长其投标保证金的有效期，但不得要求或被允许修改其投标文件；投标人拒绝延长的，其投标失效，但投标人有权收回其投标保证金及以现金或者支票形式递交的投标保证金的银行同期存款利息。</w:t>
      </w:r>
    </w:p>
    <w:p w14:paraId="0B39D37C">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lang w:val="en-US" w:eastAsia="zh-CN" w:bidi="ar-SA"/>
        </w:rPr>
        <w:t>现文：</w:t>
      </w:r>
      <w:r>
        <w:rPr>
          <w:rFonts w:hint="eastAsia" w:ascii="宋体" w:hAnsi="宋体" w:eastAsia="宋体" w:cs="宋体"/>
          <w:b/>
          <w:bCs/>
          <w:color w:val="auto"/>
          <w:sz w:val="24"/>
          <w:szCs w:val="24"/>
          <w:highlight w:val="none"/>
        </w:rPr>
        <w:t>3.3.3</w:t>
      </w:r>
      <w:r>
        <w:rPr>
          <w:rFonts w:hint="eastAsia" w:ascii="宋体" w:hAnsi="宋体" w:eastAsia="宋体" w:cs="宋体"/>
          <w:color w:val="auto"/>
          <w:sz w:val="24"/>
          <w:szCs w:val="24"/>
          <w:highlight w:val="none"/>
        </w:rPr>
        <w:t xml:space="preserve"> 出现特殊情况需要延长投标有效期的，招标人以书面形式通知所有投标人延长投标有效期。投标人应予以书面答复，同意延长的，不得要求或被允许修改其投标文件；投标人拒绝延长的，其投标失效。</w:t>
      </w:r>
    </w:p>
    <w:p w14:paraId="20293B5E">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-5715</wp:posOffset>
                </wp:positionH>
                <wp:positionV relativeFrom="paragraph">
                  <wp:posOffset>128270</wp:posOffset>
                </wp:positionV>
                <wp:extent cx="592137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10.1pt;height:0pt;width:466.25pt;z-index:251671552;mso-width-relative:page;mso-height-relative:page;" filled="f" stroked="t" coordsize="21600,21600" o:gfxdata="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GehdfTAAAABwEAAA8AAAAAAAAAAQAgAAAAIgAAAGRycy9kb3ducmV2LnhtbFBLAQIUABQA&#10;AAAIAIdO4kDrBeqR9QEAAOYDAAAOAAAAAAAAAAEAIAAAACIBAABkcnMvZTJvRG9jLnhtbFBLBQYA&#10;AAAABgAGAFkBAACJBQAAAAA=&#10;">
                <v:fill on="f" focussize="0,0"/>
                <v:stroke color="#000000" joinstyle="round"/>
                <v:imagedata o:title=""/>
                <o:lock v:ext="edit" aspectratio="f"/>
              </v:line>
            </w:pict>
          </mc:Fallback>
        </mc:AlternateContent>
      </w:r>
    </w:p>
    <w:p w14:paraId="60A561EA">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rPr>
        <w:t xml:space="preserve">             修改类型：</w:t>
      </w:r>
      <w:r>
        <w:rPr>
          <w:rFonts w:hint="eastAsia" w:ascii="宋体" w:hAnsi="宋体" w:eastAsia="宋体" w:cs="宋体"/>
          <w:b/>
          <w:bCs/>
          <w:color w:val="auto"/>
          <w:sz w:val="24"/>
          <w:szCs w:val="24"/>
          <w:highlight w:val="none"/>
          <w:lang w:val="en-US"/>
        </w:rPr>
        <w:t>修改</w:t>
      </w:r>
    </w:p>
    <w:p w14:paraId="6B3D5B35">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6C64D131">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开标时投标人没有按要求提交投标保证金的，其投标文件将被否决。</w:t>
      </w:r>
    </w:p>
    <w:p w14:paraId="4A8A65AA">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中标候选人以外的投标人的投标保证金将尽快退还，最迟不超过中标通知书发出之日起五日内；中标人和其他中标候选人的投标保证金，在书面合同订立之日起五日内予以退还。</w:t>
      </w:r>
    </w:p>
    <w:p w14:paraId="2C2659E4">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有下列情形之一的，投标保证金将不予退还：</w:t>
      </w:r>
    </w:p>
    <w:p w14:paraId="31575DC8">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投标人在规定的投标有效期内撤销其投标文件；</w:t>
      </w:r>
    </w:p>
    <w:p w14:paraId="583E0AB2">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 中标人在收到中标通知书后，无正当理由不与招标人订立合同，在签订合同时向招标 人提出附加条件，或者不按照招标文件要求提交履约保证金。</w:t>
      </w:r>
    </w:p>
    <w:p w14:paraId="5F8FB50D">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现</w:t>
      </w:r>
      <w:r>
        <w:rPr>
          <w:rFonts w:hint="eastAsia" w:ascii="宋体" w:hAnsi="宋体" w:eastAsia="宋体" w:cs="宋体"/>
          <w:b/>
          <w:bCs/>
          <w:color w:val="auto"/>
          <w:sz w:val="24"/>
          <w:szCs w:val="24"/>
          <w:highlight w:val="none"/>
        </w:rPr>
        <w:t>文：</w:t>
      </w:r>
      <w:r>
        <w:rPr>
          <w:rFonts w:hint="eastAsia" w:ascii="宋体" w:hAnsi="宋体" w:cs="宋体"/>
          <w:color w:val="auto"/>
          <w:sz w:val="24"/>
          <w:szCs w:val="24"/>
          <w:highlight w:val="none"/>
          <w:lang w:val="en-US" w:eastAsia="zh-CN"/>
        </w:rPr>
        <w:t>本项目不要求递交投标保证金。</w:t>
      </w:r>
    </w:p>
    <w:p w14:paraId="478CFBBC">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3.5</w:t>
      </w:r>
      <w:r>
        <w:rPr>
          <w:rFonts w:hint="eastAsia" w:ascii="宋体" w:hAnsi="宋体" w:eastAsia="宋体" w:cs="宋体"/>
          <w:b/>
          <w:bCs/>
          <w:color w:val="auto"/>
          <w:sz w:val="24"/>
          <w:szCs w:val="24"/>
          <w:highlight w:val="none"/>
        </w:rPr>
        <w:t xml:space="preserve">             修改类型：修改</w:t>
      </w:r>
    </w:p>
    <w:p w14:paraId="3E2C2DDB">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原文：资格审查资料</w:t>
      </w:r>
    </w:p>
    <w:p w14:paraId="699CA3BD">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除投标人须知前附表另有规定外，投标人应按下列规定提供资格审查资料，以证明其满足本章第 1.4 款规定的资质、财务、业绩、信誉等要求。</w:t>
      </w:r>
    </w:p>
    <w:p w14:paraId="04A14FBA">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“投标人基本情况表”应附投标人营业执照、投标人监理资质证书副本等材料的扫描件。</w:t>
      </w:r>
    </w:p>
    <w:p w14:paraId="1C5E9E1A">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“近年完成的类似监理项目情况表”应附中标通知书和（或）合同协议书、委托人出具的证明文件；具体时间要求见投标人须知前附表，每张表格只填写一个项目，并标明序号。</w:t>
      </w:r>
    </w:p>
    <w:p w14:paraId="09DD0BA2">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具有离投标截止时间最近的至少1   个月在本单位缴纳的社保证明文件。）</w:t>
      </w:r>
    </w:p>
    <w:p w14:paraId="23E79D3D">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3.5.4 投标人须知前附表规定接受联合体投标的，本章第3.5.1 项至第3.5.3项规定的表格和资料应包括联合体各方相关情况</w:t>
      </w:r>
      <w:r>
        <w:rPr>
          <w:rFonts w:hint="eastAsia" w:ascii="宋体" w:hAnsi="宋体" w:eastAsia="宋体" w:cs="宋体"/>
          <w:color w:val="auto"/>
          <w:sz w:val="24"/>
          <w:szCs w:val="24"/>
          <w:highlight w:val="none"/>
          <w:lang w:eastAsia="zh-CN"/>
        </w:rPr>
        <w:t>。</w:t>
      </w:r>
    </w:p>
    <w:p w14:paraId="5BEA95AB">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现文：资格审查资料</w:t>
      </w:r>
    </w:p>
    <w:p w14:paraId="0DA5EA99">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除投标人须知前附表另有规定外，投标人应按下列规定提供资格审查资料，以证明其满足本章第 1.4 款规定的资质、财务、业绩、信誉等要求。</w:t>
      </w:r>
    </w:p>
    <w:p w14:paraId="3D77650C">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“投标人基本情况表”应附投标人营业执照、投标人监理资质证书副本等材料的扫描件。</w:t>
      </w:r>
    </w:p>
    <w:p w14:paraId="6B0E4283">
      <w:pPr>
        <w:spacing w:line="360" w:lineRule="auto"/>
        <w:ind w:firstLine="537" w:firstLineChars="224"/>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3.5.2 “近年完成的类似监理项目情况表”应附中标通知书或免招标的相关证明、施工监理合同、竣工验收报告或竣工验收证明；具体时间要求见投标人须知前附表，每张表格只填写一个项目，并标明序号。</w:t>
      </w:r>
    </w:p>
    <w:p w14:paraId="3B57841E">
      <w:pPr>
        <w:pBdr>
          <w:bottom w:val="single" w:color="auto" w:sz="4" w:space="0"/>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拟派人员需提供相关证书及离投标截止时间前1个月社会保险费用的证明文件（以加盖社会保险基金管理中心印章的《缴费历史明细表》或《社会保险参保人员证明》为准）（退休人员提供退休证明及返聘协议））</w:t>
      </w:r>
    </w:p>
    <w:p w14:paraId="5C72C452">
      <w:pPr>
        <w:pBdr>
          <w:bottom w:val="single" w:color="auto" w:sz="4" w:space="0"/>
        </w:pBdr>
        <w:spacing w:line="360" w:lineRule="auto"/>
        <w:ind w:firstLine="537" w:firstLineChars="224"/>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3.5.4 投标人须知前附表规定接受联合体投标的，本章第3.5.1 项至第3.5.3项规定的表格和资料应包括联合体各方相关情况</w:t>
      </w:r>
      <w:r>
        <w:rPr>
          <w:rFonts w:hint="eastAsia" w:ascii="宋体" w:hAnsi="宋体" w:eastAsia="宋体" w:cs="宋体"/>
          <w:strike/>
          <w:color w:val="auto"/>
          <w:sz w:val="24"/>
          <w:szCs w:val="24"/>
          <w:highlight w:val="none"/>
          <w:lang w:eastAsia="zh-CN"/>
        </w:rPr>
        <w:t>。</w:t>
      </w:r>
    </w:p>
    <w:p w14:paraId="551DA680">
      <w:pPr>
        <w:spacing w:line="48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3.7.4</w:t>
      </w:r>
      <w:r>
        <w:rPr>
          <w:rFonts w:hint="eastAsia" w:ascii="宋体" w:hAnsi="宋体" w:eastAsia="宋体" w:cs="宋体"/>
          <w:b/>
          <w:bCs/>
          <w:color w:val="auto"/>
          <w:sz w:val="24"/>
          <w:szCs w:val="24"/>
          <w:highlight w:val="none"/>
        </w:rPr>
        <w:t xml:space="preserve">             修改类型：删除</w:t>
      </w:r>
    </w:p>
    <w:p w14:paraId="1F262C9C">
      <w:pPr>
        <w:pBdr>
          <w:bottom w:val="single" w:color="auto" w:sz="6" w:space="1"/>
        </w:pBd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原文：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r>
        <w:rPr>
          <w:rFonts w:hint="eastAsia" w:ascii="宋体" w:hAnsi="宋体" w:eastAsia="宋体" w:cs="宋体"/>
          <w:color w:val="auto"/>
          <w:sz w:val="24"/>
          <w:szCs w:val="24"/>
          <w:highlight w:val="none"/>
          <w:lang w:eastAsia="zh-CN"/>
        </w:rPr>
        <w:t>。</w:t>
      </w:r>
    </w:p>
    <w:p w14:paraId="7BC59F3D">
      <w:pPr>
        <w:spacing w:line="48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5.2.5</w:t>
      </w:r>
      <w:r>
        <w:rPr>
          <w:rFonts w:hint="eastAsia" w:ascii="宋体" w:hAnsi="宋体" w:eastAsia="宋体" w:cs="宋体"/>
          <w:b/>
          <w:bCs/>
          <w:color w:val="auto"/>
          <w:sz w:val="24"/>
          <w:szCs w:val="24"/>
          <w:highlight w:val="none"/>
        </w:rPr>
        <w:t xml:space="preserve">             修改类型：修改</w:t>
      </w:r>
    </w:p>
    <w:p w14:paraId="28C3AB72">
      <w:pPr>
        <w:spacing w:line="360" w:lineRule="auto"/>
        <w:ind w:firstLine="537" w:firstLineChars="22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文：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r>
        <w:rPr>
          <w:rFonts w:hint="eastAsia" w:ascii="宋体" w:hAnsi="宋体" w:eastAsia="宋体" w:cs="宋体"/>
          <w:color w:val="auto"/>
          <w:sz w:val="24"/>
          <w:szCs w:val="24"/>
          <w:highlight w:val="none"/>
          <w:lang w:eastAsia="zh-CN"/>
        </w:rPr>
        <w:t>。</w:t>
      </w:r>
    </w:p>
    <w:p w14:paraId="7758220F">
      <w:pPr>
        <w:pBdr>
          <w:bottom w:val="single" w:color="auto" w:sz="6" w:space="1"/>
        </w:pBdr>
        <w:spacing w:line="360" w:lineRule="auto"/>
        <w:ind w:firstLine="537" w:firstLineChars="22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现文：投标截止时间前未完成投标文件传输的或因投标人之外的原因造成投标文件未解密的，视为投标人撤回投标文件。因投标人原因造成投标文件未解密或未在规定的时间内解密的，视为撤销其投标文件</w:t>
      </w:r>
      <w:r>
        <w:rPr>
          <w:rFonts w:hint="eastAsia" w:ascii="宋体" w:hAnsi="宋体" w:eastAsia="宋体" w:cs="宋体"/>
          <w:color w:val="auto"/>
          <w:sz w:val="24"/>
          <w:szCs w:val="24"/>
          <w:highlight w:val="none"/>
          <w:lang w:eastAsia="zh-CN"/>
        </w:rPr>
        <w:t>。</w:t>
      </w:r>
    </w:p>
    <w:p w14:paraId="18D7EBB8">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条款号：6.3.3                     修改类型：增加</w:t>
      </w:r>
    </w:p>
    <w:p w14:paraId="2EDD6333">
      <w:pPr>
        <w:widowControl/>
        <w:shd w:val="clear"/>
        <w:autoSpaceDE/>
        <w:autoSpaceDN/>
        <w:adjustRightInd/>
        <w:spacing w:line="360" w:lineRule="auto"/>
        <w:ind w:left="0" w:firstLine="482"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现文：6.3.3 </w:t>
      </w:r>
      <w:r>
        <w:rPr>
          <w:rFonts w:hint="eastAsia" w:ascii="宋体" w:hAnsi="宋体" w:eastAsia="宋体" w:cs="宋体"/>
          <w:b w:val="0"/>
          <w:bCs/>
          <w:color w:val="auto"/>
          <w:sz w:val="24"/>
          <w:szCs w:val="24"/>
          <w:highlight w:val="none"/>
          <w:lang w:val="en-US" w:eastAsia="zh-CN" w:bidi="ar-SA"/>
        </w:rPr>
        <w:t>在评标过程中，当采用电子评标系统评标发生评审故障时，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14:paraId="0BCF09F3">
      <w:pPr>
        <w:widowControl/>
        <w:shd w:val="clear"/>
        <w:autoSpaceDE/>
        <w:autoSpaceDN/>
        <w:adjustRightInd/>
        <w:spacing w:line="360" w:lineRule="auto"/>
        <w:ind w:left="0" w:firstLine="482"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-38735</wp:posOffset>
                </wp:positionH>
                <wp:positionV relativeFrom="paragraph">
                  <wp:posOffset>566420</wp:posOffset>
                </wp:positionV>
                <wp:extent cx="592137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5pt;margin-top:44.6pt;height:0pt;width:466.25pt;z-index:251668480;mso-width-relative:page;mso-height-relative:page;" filled="f" stroked="t" coordsize="21600,21600" o:gfxdata="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oBCO1gAAAAgBAAAPAAAAAAAAAAEAIAAAACIAAABkcnMvZG93bnJldi54bWxQSwEC&#10;FAAUAAAACACHTuJAuAb6Dv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b w:val="0"/>
          <w:bCs/>
          <w:color w:val="auto"/>
          <w:sz w:val="24"/>
          <w:szCs w:val="24"/>
          <w:highlight w:val="none"/>
          <w:lang w:val="en-US" w:eastAsia="zh-CN" w:bidi="ar-SA"/>
        </w:rPr>
        <w:t>（2）在电子评标过程中，无论遇到任何系统异常或故障，评标委员会均应出具评标报告。</w:t>
      </w:r>
    </w:p>
    <w:p w14:paraId="4CC4775B">
      <w:pPr>
        <w:spacing w:line="48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7.6.</w:t>
      </w:r>
      <w:r>
        <w:rPr>
          <w:rFonts w:hint="eastAsia" w:ascii="宋体" w:hAnsi="宋体" w:eastAsia="宋体" w:cs="宋体"/>
          <w:b/>
          <w:bCs/>
          <w:color w:val="auto"/>
          <w:sz w:val="24"/>
          <w:szCs w:val="24"/>
          <w:highlight w:val="none"/>
        </w:rPr>
        <w:t xml:space="preserve">             修改类型：修改</w:t>
      </w:r>
    </w:p>
    <w:p w14:paraId="5790370A">
      <w:pPr>
        <w:spacing w:line="360" w:lineRule="auto"/>
        <w:ind w:firstLine="537" w:firstLineChars="22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原文：</w:t>
      </w:r>
      <w:r>
        <w:rPr>
          <w:rFonts w:hint="eastAsia" w:ascii="宋体" w:hAnsi="宋体" w:cs="宋体"/>
          <w:color w:val="auto"/>
          <w:sz w:val="24"/>
          <w:szCs w:val="24"/>
          <w:highlight w:val="none"/>
          <w:lang w:val="en-US" w:eastAsia="zh-CN"/>
        </w:rPr>
        <w:t>7.6.1</w:t>
      </w:r>
      <w:r>
        <w:rPr>
          <w:rFonts w:hint="eastAsia" w:ascii="宋体" w:hAnsi="宋体" w:eastAsia="宋体" w:cs="宋体"/>
          <w:color w:val="auto"/>
          <w:sz w:val="24"/>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主办方的名义提交</w:t>
      </w:r>
      <w:r>
        <w:rPr>
          <w:rFonts w:hint="eastAsia" w:ascii="宋体" w:hAnsi="宋体" w:eastAsia="宋体" w:cs="宋体"/>
          <w:color w:val="auto"/>
          <w:sz w:val="24"/>
          <w:szCs w:val="24"/>
          <w:highlight w:val="none"/>
          <w:lang w:eastAsia="zh-CN"/>
        </w:rPr>
        <w:t>。</w:t>
      </w:r>
    </w:p>
    <w:p w14:paraId="6A74503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highlight w:val="none"/>
          <w:lang w:val="en-US" w:eastAsia="zh-CN"/>
        </w:rPr>
      </w:pPr>
      <w:r>
        <w:rPr>
          <w:rFonts w:hint="eastAsia" w:ascii="宋体" w:hAnsi="宋体" w:eastAsia="宋体" w:cs="宋体"/>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19CDE62A">
      <w:pPr>
        <w:pBdr>
          <w:top w:val="none" w:color="auto" w:sz="0" w:space="0"/>
          <w:left w:val="none" w:color="auto" w:sz="0" w:space="0"/>
          <w:bottom w:val="none" w:color="auto" w:sz="0" w:space="0"/>
          <w:right w:val="none" w:color="auto" w:sz="0" w:space="0"/>
          <w:between w:val="none" w:color="auto" w:sz="0" w:space="0"/>
        </w:pBdr>
        <w:kinsoku w:val="0"/>
        <w:overflowPunct w:val="0"/>
        <w:spacing w:line="360" w:lineRule="auto"/>
        <w:ind w:left="0" w:firstLine="537" w:firstLineChars="2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w:t>
      </w:r>
      <w:r>
        <w:rPr>
          <w:rFonts w:hint="eastAsia" w:ascii="宋体" w:hAnsi="宋体" w:cs="宋体"/>
          <w:color w:val="auto"/>
          <w:sz w:val="24"/>
          <w:szCs w:val="24"/>
          <w:highlight w:val="none"/>
          <w:lang w:val="en-US" w:eastAsia="zh-CN"/>
        </w:rPr>
        <w:t>7.6.1</w:t>
      </w:r>
      <w:r>
        <w:rPr>
          <w:rFonts w:hint="eastAsia" w:ascii="宋体" w:hAnsi="宋体" w:eastAsia="宋体" w:cs="宋体"/>
          <w:color w:val="auto"/>
          <w:sz w:val="24"/>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5B237DD2">
      <w:pPr>
        <w:pBdr>
          <w:bottom w:val="single" w:color="auto" w:sz="6" w:space="1"/>
        </w:pBd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7.6.2 中标人不能按本章第 7.6.1 项要求提交履约保证金的，视为放弃中标，给招标人造成的损失，中标人还应当赔偿</w:t>
      </w:r>
      <w:r>
        <w:rPr>
          <w:rFonts w:hint="eastAsia" w:ascii="宋体" w:hAnsi="宋体" w:eastAsia="宋体" w:cs="宋体"/>
          <w:color w:val="auto"/>
          <w:sz w:val="24"/>
          <w:szCs w:val="24"/>
          <w:highlight w:val="none"/>
          <w:lang w:eastAsia="zh-CN"/>
        </w:rPr>
        <w:t>损失</w:t>
      </w:r>
      <w:r>
        <w:rPr>
          <w:rFonts w:hint="eastAsia" w:ascii="宋体" w:hAnsi="宋体" w:eastAsia="宋体" w:cs="宋体"/>
          <w:color w:val="auto"/>
          <w:sz w:val="24"/>
          <w:szCs w:val="24"/>
          <w:highlight w:val="none"/>
        </w:rPr>
        <w:t>。</w:t>
      </w:r>
    </w:p>
    <w:p w14:paraId="76CAC6F1">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w:t>
      </w:r>
      <w:r>
        <w:rPr>
          <w:rFonts w:hint="eastAsia" w:ascii="宋体" w:hAnsi="宋体" w:cs="宋体"/>
          <w:b/>
          <w:color w:val="auto"/>
          <w:sz w:val="24"/>
          <w:szCs w:val="24"/>
          <w:highlight w:val="none"/>
          <w:lang w:val="en-US" w:eastAsia="zh-CN" w:bidi="ar-SA"/>
        </w:rPr>
        <w:t>7.7</w:t>
      </w:r>
      <w:r>
        <w:rPr>
          <w:rFonts w:hint="eastAsia" w:ascii="宋体" w:hAnsi="宋体" w:eastAsia="宋体" w:cs="宋体"/>
          <w:b/>
          <w:color w:val="auto"/>
          <w:sz w:val="24"/>
          <w:szCs w:val="24"/>
          <w:highlight w:val="none"/>
          <w:lang w:val="en-US" w:eastAsia="zh-CN" w:bidi="ar-SA"/>
        </w:rPr>
        <w:t xml:space="preserve">                     修改类型：修改</w:t>
      </w:r>
    </w:p>
    <w:p w14:paraId="031773D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bidi="ar-SA"/>
        </w:rPr>
        <w:t>原文：</w:t>
      </w: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A07711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2A28ACDE">
      <w:pPr>
        <w:widowControl/>
        <w:shd w:val="clear"/>
        <w:autoSpaceDE/>
        <w:autoSpaceDN/>
        <w:adjustRightInd/>
        <w:spacing w:line="360" w:lineRule="auto"/>
        <w:ind w:firstLine="480" w:firstLineChars="200"/>
        <w:jc w:val="both"/>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7.7.3 联合体中标的，联合体各方应当共同与招标人签订合同，就中标项目向招标人承担连带责任。</w:t>
      </w:r>
    </w:p>
    <w:p w14:paraId="192F3B6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bidi="ar-SA"/>
        </w:rPr>
        <w:t>现文：</w:t>
      </w: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。中标人无正当理由拒签合同，在签订合同时向招标人提出附加条件，或者不按照招标文件要求提交履约保证金的，招标人有权取消其中标资格，</w:t>
      </w:r>
      <w:r>
        <w:rPr>
          <w:rFonts w:hint="eastAsia" w:cs="宋体"/>
          <w:color w:val="auto"/>
          <w:sz w:val="24"/>
          <w:highlight w:val="none"/>
        </w:rPr>
        <w:t>中标人无正当理由拒签合同的，招标人取消其中标资格，给招标人造成的损失的，中标人还应当予以赔偿。</w:t>
      </w:r>
    </w:p>
    <w:p w14:paraId="34A8C707">
      <w:pPr>
        <w:pStyle w:val="13"/>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发出中标通知书后，招标人无正当理由拒签合同，或者在签订合同时向中标人提出附加条件的，给中标人造成损失的，还应当赔偿损失。</w:t>
      </w:r>
    </w:p>
    <w:p w14:paraId="594EEB88">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条款号：8.5.2                     修改类型：修改</w:t>
      </w:r>
    </w:p>
    <w:p w14:paraId="5BF95540">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原文：8.5.2 </w:t>
      </w:r>
      <w:r>
        <w:rPr>
          <w:rFonts w:hint="eastAsia" w:ascii="宋体" w:hAnsi="宋体" w:eastAsia="宋体" w:cs="宋体"/>
          <w:b w:val="0"/>
          <w:bCs/>
          <w:color w:val="auto"/>
          <w:sz w:val="24"/>
          <w:szCs w:val="24"/>
          <w:highlight w:val="none"/>
          <w:lang w:val="en-US" w:eastAsia="zh-CN" w:bidi="ar-SA"/>
        </w:rPr>
        <w:t>投标人或者其他利害关系人对招标文件、开标和评标结果提出投诉的，应当按照投标人须知第2.4款、第5.3款和第7.2款的规定先向招标人提出异议。异议答复期间不计算在第8.5.1项规定的期限内。</w:t>
      </w:r>
    </w:p>
    <w:p w14:paraId="01BD22B4">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-83820</wp:posOffset>
                </wp:positionH>
                <wp:positionV relativeFrom="paragraph">
                  <wp:posOffset>833120</wp:posOffset>
                </wp:positionV>
                <wp:extent cx="592137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pt;margin-top:65.6pt;height:0pt;width:466.25pt;z-index:251670528;mso-width-relative:page;mso-height-relative:page;" filled="f" stroked="t" coordsize="21600,21600" o:gfxdata="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g5FANcAAAALAQAADwAAAAAAAAABACAAAAAiAAAAZHJzL2Rvd25yZXYueG1sUEsB&#10;AhQAFAAAAAgAh07iQMtXdsn2AQAA5g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lang w:val="en-US" w:eastAsia="zh-CN" w:bidi="ar-SA"/>
        </w:rPr>
        <w:t xml:space="preserve">现文：8.5.2 </w:t>
      </w:r>
      <w:r>
        <w:rPr>
          <w:rFonts w:hint="eastAsia" w:ascii="宋体" w:hAnsi="宋体" w:eastAsia="宋体" w:cs="宋体"/>
          <w:b w:val="0"/>
          <w:bCs/>
          <w:color w:val="auto"/>
          <w:sz w:val="24"/>
          <w:szCs w:val="24"/>
          <w:highlight w:val="none"/>
          <w:lang w:val="en-US" w:eastAsia="zh-CN" w:bidi="ar-SA"/>
        </w:rPr>
        <w:t>投标人或者其他利害关系人对招标文件、开标和评标结果提出投诉的，应当按照投标人须知第5.3款和第7.2款的规定先向招标人提出异议。异议答复期间不计算在第8.5.1项规定的期限内。</w:t>
      </w:r>
    </w:p>
    <w:p w14:paraId="31737B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14:paraId="790711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5AA7626">
      <w:pPr>
        <w:pStyle w:val="6"/>
        <w:outlineLvl w:val="9"/>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04371490">
      <w:pPr>
        <w:pStyle w:val="6"/>
        <w:outlineLvl w:val="1"/>
        <w:rPr>
          <w:rFonts w:hint="eastAsia" w:ascii="宋体" w:hAnsi="宋体" w:eastAsia="宋体" w:cs="宋体"/>
          <w:b w:val="0"/>
          <w:color w:val="auto"/>
          <w:sz w:val="24"/>
          <w:szCs w:val="24"/>
          <w:highlight w:val="none"/>
        </w:rPr>
      </w:pPr>
      <w:bookmarkStart w:id="21" w:name="_Toc28936"/>
      <w:r>
        <w:rPr>
          <w:rFonts w:hint="eastAsia" w:ascii="宋体" w:hAnsi="宋体" w:eastAsia="宋体" w:cs="宋体"/>
          <w:color w:val="auto"/>
          <w:sz w:val="24"/>
          <w:szCs w:val="24"/>
          <w:highlight w:val="none"/>
        </w:rPr>
        <w:t>1.总则</w:t>
      </w:r>
      <w:bookmarkEnd w:id="21"/>
    </w:p>
    <w:p w14:paraId="7829D4D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22" w:name="bookmark21"/>
      <w:bookmarkEnd w:id="22"/>
      <w:r>
        <w:rPr>
          <w:rFonts w:hint="eastAsia" w:ascii="宋体" w:hAnsi="宋体" w:eastAsia="宋体" w:cs="宋体"/>
          <w:color w:val="auto"/>
          <w:highlight w:val="none"/>
        </w:rPr>
        <w:t>1.1 招标项目概况</w:t>
      </w:r>
    </w:p>
    <w:p w14:paraId="2369E06A">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7B4658C9">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招标人：见投标人须知前附表。</w:t>
      </w:r>
    </w:p>
    <w:p w14:paraId="6D048D91">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招标代理机构：见投标人须知前附表。</w:t>
      </w:r>
    </w:p>
    <w:p w14:paraId="15A8AB30">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招标项目名称：见投标人须知前附表。</w:t>
      </w:r>
    </w:p>
    <w:p w14:paraId="5BC668FE">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项目建设地点：见投标人须知前附表。</w:t>
      </w:r>
    </w:p>
    <w:p w14:paraId="6B9D5AD2">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项目建设规模：见投标人须知前附表。</w:t>
      </w:r>
    </w:p>
    <w:p w14:paraId="7B332C3C">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工程项目施工预计开工日期和建设周期：见投标人须知前附表。</w:t>
      </w:r>
    </w:p>
    <w:p w14:paraId="1C371035">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建筑安装工程费/工程概算：见投标人须知前附表。</w:t>
      </w:r>
    </w:p>
    <w:p w14:paraId="2D5BF76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23" w:name="bookmark22"/>
      <w:bookmarkEnd w:id="23"/>
      <w:r>
        <w:rPr>
          <w:rFonts w:hint="eastAsia" w:ascii="宋体" w:hAnsi="宋体" w:eastAsia="宋体" w:cs="宋体"/>
          <w:color w:val="auto"/>
          <w:highlight w:val="none"/>
        </w:rPr>
        <w:t>1.2 招标项目的资金来源和落实情况</w:t>
      </w:r>
    </w:p>
    <w:p w14:paraId="54EE3BC8">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资金来源及比例：见投标人须知前附表。</w:t>
      </w:r>
    </w:p>
    <w:p w14:paraId="6126D895">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资金落实情况：见投标人须知前附表。</w:t>
      </w:r>
    </w:p>
    <w:p w14:paraId="553A759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24" w:name="bookmark23"/>
      <w:bookmarkEnd w:id="24"/>
      <w:r>
        <w:rPr>
          <w:rFonts w:hint="eastAsia" w:ascii="宋体" w:hAnsi="宋体" w:eastAsia="宋体" w:cs="宋体"/>
          <w:color w:val="auto"/>
          <w:highlight w:val="none"/>
        </w:rPr>
        <w:t>1.3 招标范围、监理服务期限和质量标准</w:t>
      </w:r>
    </w:p>
    <w:p w14:paraId="6366D64D">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招标范围：见投标人须知前附表。</w:t>
      </w:r>
    </w:p>
    <w:p w14:paraId="6DF8A7F2">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监理服务期限：见投标人须知前附表。</w:t>
      </w:r>
    </w:p>
    <w:p w14:paraId="019D4AB6">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质量标准：见投标人须知前附表。</w:t>
      </w:r>
    </w:p>
    <w:p w14:paraId="34C2274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25" w:name="bookmark24"/>
      <w:bookmarkEnd w:id="25"/>
      <w:r>
        <w:rPr>
          <w:rFonts w:hint="eastAsia" w:ascii="宋体" w:hAnsi="宋体" w:eastAsia="宋体" w:cs="宋体"/>
          <w:color w:val="auto"/>
          <w:highlight w:val="none"/>
        </w:rPr>
        <w:t>1.4 投标人资格要求</w:t>
      </w:r>
    </w:p>
    <w:p w14:paraId="7D85D641">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投标人应具备承担本招标项目资质条件、能力和信誉：</w:t>
      </w:r>
    </w:p>
    <w:p w14:paraId="67200D74">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4887E666">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14:paraId="572FA967">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14:paraId="60A8BE2B">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14:paraId="3EAEFE32">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（5）总监理工程师的资格要求：应当具备工程注册监理工程师执业资格，具体要求见投标人须知前附表；</w:t>
      </w:r>
    </w:p>
    <w:p w14:paraId="3C039E76">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（6）其他主要人员要求：见投标人须知前附表。</w:t>
      </w:r>
    </w:p>
    <w:p w14:paraId="432A15DC">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（7）试验检测仪器设备要求：见投标人须知前附表。</w:t>
      </w:r>
    </w:p>
    <w:p w14:paraId="04A7D490">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（8）其他要求：见投标人须知前附表。需要提交的相关证明材料见本章第 3.5 款的规定。</w:t>
      </w:r>
    </w:p>
    <w:p w14:paraId="330A41D4">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投标人须知前附表规定接受联合体投标的，联合体除应符合本章第 1.4.1 项和投标人须知前附表的要求外，还应遵守以下规定：</w:t>
      </w:r>
    </w:p>
    <w:p w14:paraId="487DD1D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w:t>
      </w:r>
      <w:r>
        <w:rPr>
          <w:rFonts w:hint="eastAsia" w:ascii="宋体" w:hAnsi="宋体" w:eastAsia="宋体" w:cs="宋体"/>
          <w:color w:val="auto"/>
          <w:spacing w:val="-2"/>
          <w:sz w:val="24"/>
          <w:szCs w:val="24"/>
          <w:highlight w:val="none"/>
          <w:lang w:eastAsia="zh-CN"/>
        </w:rPr>
        <w:t>主办方</w:t>
      </w:r>
      <w:r>
        <w:rPr>
          <w:rFonts w:hint="eastAsia" w:ascii="宋体" w:hAnsi="宋体" w:eastAsia="宋体" w:cs="宋体"/>
          <w:color w:val="auto"/>
          <w:sz w:val="24"/>
          <w:szCs w:val="24"/>
          <w:highlight w:val="none"/>
        </w:rPr>
        <w:t>和各方权利义务，并承诺就中标项目向招标人承担连带责任；</w:t>
      </w:r>
    </w:p>
    <w:p w14:paraId="3DC7F6B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5E2E73F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（3）联合体各方不得再以自己名义单独或参加其他联合体在本招标项目中投标，否则各相关投标均无效。</w:t>
      </w:r>
    </w:p>
    <w:p w14:paraId="0C7FC3D1">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投标人不得存在下列情形之一：</w:t>
      </w:r>
    </w:p>
    <w:p w14:paraId="16DCBF57">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（1）为招标人不具有独立法人资格的附属机构（单位）；</w:t>
      </w:r>
    </w:p>
    <w:p w14:paraId="2CB15A63">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（2）与招标人存在利害关系且可能影响招标公正性；</w:t>
      </w:r>
    </w:p>
    <w:p w14:paraId="2FF391F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（3）与本招标项目的其他投标人为同一个单位负责人；</w:t>
      </w:r>
    </w:p>
    <w:p w14:paraId="706E389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（4）与本招标项目的其他投标人存在控股、管理关系；</w:t>
      </w:r>
    </w:p>
    <w:p w14:paraId="1CE8F45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（5）为本招标项目的代建人；</w:t>
      </w:r>
    </w:p>
    <w:p w14:paraId="7210EDC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（6）为本招标项目的招标代理机构；</w:t>
      </w:r>
    </w:p>
    <w:p w14:paraId="20A1AF2C">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（7）与本招标项目的代建人或招标代理机构同为一个法定代表人；</w:t>
      </w:r>
    </w:p>
    <w:p w14:paraId="168FBAC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（8）与本招标项目的代建人或招标代理机构存在控股或参股关系；</w:t>
      </w:r>
    </w:p>
    <w:p w14:paraId="0336EA2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（9）与本招标项目的检测机构、建设、施工单位以及建筑材料、建筑构配件和设备供应商有隶属关系或者其他利害关系有隶属关系或者其他利害关系；</w:t>
      </w:r>
    </w:p>
    <w:p w14:paraId="513890B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（10）被依法暂停或者取消投标资格；</w:t>
      </w:r>
    </w:p>
    <w:p w14:paraId="0E01F7C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67708F6">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（12）被责令停产停业、暂扣或者吊销许可证、暂扣或者吊销执照的（本项事实应当以根据《中华人民共和国行政处罚法》依法作出并已经生效的行政处罚决定为认定依据。）；</w:t>
      </w:r>
    </w:p>
    <w:p w14:paraId="230DBFB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（13）进入清算程序，或被宣布破产，或其他丧失履约能力的情形；</w:t>
      </w:r>
    </w:p>
    <w:p w14:paraId="20B3C47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8A73E11">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cs="宋体"/>
          <w:color w:val="auto"/>
          <w:sz w:val="24"/>
          <w:highlight w:val="none"/>
        </w:rPr>
        <w:t>（15）法律法规规定的其他情形。</w:t>
      </w:r>
    </w:p>
    <w:p w14:paraId="550382C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26" w:name="bookmark25"/>
      <w:bookmarkEnd w:id="26"/>
      <w:r>
        <w:rPr>
          <w:rFonts w:hint="eastAsia" w:ascii="宋体" w:hAnsi="宋体" w:eastAsia="宋体" w:cs="宋体"/>
          <w:color w:val="auto"/>
          <w:highlight w:val="none"/>
        </w:rPr>
        <w:t>1.5 费用承担</w:t>
      </w:r>
    </w:p>
    <w:p w14:paraId="426AFF0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771B40E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27" w:name="bookmark26"/>
      <w:bookmarkEnd w:id="27"/>
      <w:r>
        <w:rPr>
          <w:rFonts w:hint="eastAsia" w:ascii="宋体" w:hAnsi="宋体" w:eastAsia="宋体" w:cs="宋体"/>
          <w:color w:val="auto"/>
          <w:highlight w:val="none"/>
        </w:rPr>
        <w:t>1.6 保密</w:t>
      </w:r>
    </w:p>
    <w:p w14:paraId="569D84B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 担相应的法律责任。</w:t>
      </w:r>
    </w:p>
    <w:p w14:paraId="799A826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28" w:name="bookmark27"/>
      <w:bookmarkEnd w:id="28"/>
      <w:r>
        <w:rPr>
          <w:rFonts w:hint="eastAsia" w:ascii="宋体" w:hAnsi="宋体" w:eastAsia="宋体" w:cs="宋体"/>
          <w:color w:val="auto"/>
          <w:highlight w:val="none"/>
        </w:rPr>
        <w:t>1.7 语言文字</w:t>
      </w:r>
    </w:p>
    <w:p w14:paraId="355CEB7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6550E98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29" w:name="bookmark28"/>
      <w:bookmarkEnd w:id="29"/>
      <w:r>
        <w:rPr>
          <w:rFonts w:hint="eastAsia" w:ascii="宋体" w:hAnsi="宋体" w:eastAsia="宋体" w:cs="宋体"/>
          <w:color w:val="auto"/>
          <w:highlight w:val="none"/>
        </w:rPr>
        <w:t>1.8 计量单位</w:t>
      </w:r>
    </w:p>
    <w:p w14:paraId="2DA3AD7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741E10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0" w:name="bookmark29"/>
      <w:bookmarkEnd w:id="30"/>
      <w:r>
        <w:rPr>
          <w:rFonts w:hint="eastAsia" w:ascii="宋体" w:hAnsi="宋体" w:eastAsia="宋体" w:cs="宋体"/>
          <w:color w:val="auto"/>
          <w:highlight w:val="none"/>
        </w:rPr>
        <w:t>1.9 踏勘现场</w:t>
      </w:r>
    </w:p>
    <w:p w14:paraId="2DEBA42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E173A4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14:paraId="4E242A7C">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14:paraId="6EAEFB54">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招标人在踏勘现场中介绍的工程场地和相关的周边环境情况，供投标人在编制投标文 件时参考，招标人不对投标人据此作出的判断和决策负责。</w:t>
      </w:r>
    </w:p>
    <w:p w14:paraId="62B12AD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1" w:name="bookmark30"/>
      <w:bookmarkEnd w:id="31"/>
      <w:r>
        <w:rPr>
          <w:rFonts w:hint="eastAsia" w:ascii="宋体" w:hAnsi="宋体" w:eastAsia="宋体" w:cs="宋体"/>
          <w:color w:val="auto"/>
          <w:highlight w:val="none"/>
        </w:rPr>
        <w:t>1.10 投标预备会</w:t>
      </w:r>
    </w:p>
    <w:p w14:paraId="7ED22B3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1.10.1 </w:t>
      </w:r>
      <w:r>
        <w:rPr>
          <w:rFonts w:hint="eastAsia" w:ascii="宋体" w:hAnsi="宋体" w:eastAsia="宋体" w:cs="宋体"/>
          <w:color w:val="auto"/>
          <w:sz w:val="24"/>
          <w:szCs w:val="24"/>
          <w:highlight w:val="none"/>
          <w:lang w:val="en-US" w:eastAsia="zh-CN"/>
        </w:rPr>
        <w:t>本项目不召开投标预备会</w:t>
      </w:r>
      <w:r>
        <w:rPr>
          <w:rFonts w:hint="eastAsia" w:ascii="宋体" w:hAnsi="宋体" w:eastAsia="宋体" w:cs="宋体"/>
          <w:color w:val="auto"/>
          <w:sz w:val="24"/>
          <w:szCs w:val="24"/>
          <w:highlight w:val="none"/>
        </w:rPr>
        <w:t>。</w:t>
      </w:r>
    </w:p>
    <w:p w14:paraId="08EC7CB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2" w:name="bookmark31"/>
      <w:bookmarkEnd w:id="32"/>
      <w:r>
        <w:rPr>
          <w:rFonts w:hint="eastAsia" w:ascii="宋体" w:hAnsi="宋体" w:eastAsia="宋体" w:cs="宋体"/>
          <w:color w:val="auto"/>
          <w:highlight w:val="none"/>
        </w:rPr>
        <w:t>1.11 分包</w:t>
      </w:r>
    </w:p>
    <w:p w14:paraId="204EE08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本项目严禁</w:t>
      </w:r>
      <w:r>
        <w:rPr>
          <w:rFonts w:hint="eastAsia" w:ascii="宋体" w:hAnsi="宋体" w:eastAsia="宋体" w:cs="宋体"/>
          <w:color w:val="auto"/>
          <w:sz w:val="24"/>
          <w:szCs w:val="24"/>
          <w:highlight w:val="none"/>
          <w:lang w:val="en-US" w:eastAsia="zh-CN"/>
        </w:rPr>
        <w:t>非法</w:t>
      </w:r>
      <w:r>
        <w:rPr>
          <w:rFonts w:hint="eastAsia" w:ascii="宋体" w:hAnsi="宋体" w:eastAsia="宋体" w:cs="宋体"/>
          <w:color w:val="auto"/>
          <w:sz w:val="24"/>
          <w:szCs w:val="24"/>
          <w:highlight w:val="none"/>
        </w:rPr>
        <w:t>分包。</w:t>
      </w:r>
    </w:p>
    <w:p w14:paraId="5030D47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3" w:name="bookmark32"/>
      <w:bookmarkEnd w:id="33"/>
      <w:r>
        <w:rPr>
          <w:rFonts w:hint="eastAsia" w:ascii="宋体" w:hAnsi="宋体" w:eastAsia="宋体" w:cs="宋体"/>
          <w:color w:val="auto"/>
          <w:highlight w:val="none"/>
        </w:rPr>
        <w:t>1.12 响应和偏差</w:t>
      </w:r>
    </w:p>
    <w:p w14:paraId="4464D31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41B3138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投标人应根据招标文件的要求提供投标监理大纲等内容以对招标文件作出响应。</w:t>
      </w:r>
    </w:p>
    <w:p w14:paraId="1EF2165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投标人须知前附表允许投标文件偏离招标文件某些要求的，偏差应当符合招标文件规定的偏差范围和幅度。</w:t>
      </w:r>
    </w:p>
    <w:p w14:paraId="2F9EE8E2">
      <w:pPr>
        <w:pStyle w:val="6"/>
        <w:outlineLvl w:val="1"/>
        <w:rPr>
          <w:rFonts w:hint="eastAsia" w:ascii="宋体" w:hAnsi="宋体" w:eastAsia="宋体" w:cs="宋体"/>
          <w:color w:val="auto"/>
          <w:sz w:val="24"/>
          <w:szCs w:val="24"/>
          <w:highlight w:val="none"/>
        </w:rPr>
      </w:pPr>
      <w:bookmarkStart w:id="34" w:name="bookmark33"/>
      <w:bookmarkEnd w:id="34"/>
      <w:bookmarkStart w:id="35" w:name="_Toc8823"/>
      <w:r>
        <w:rPr>
          <w:rFonts w:hint="eastAsia" w:ascii="宋体" w:hAnsi="宋体" w:eastAsia="宋体" w:cs="宋体"/>
          <w:color w:val="auto"/>
          <w:sz w:val="24"/>
          <w:szCs w:val="24"/>
          <w:highlight w:val="none"/>
        </w:rPr>
        <w:t>2.招标文件</w:t>
      </w:r>
      <w:bookmarkEnd w:id="35"/>
    </w:p>
    <w:p w14:paraId="199C77D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6" w:name="bookmark34"/>
      <w:bookmarkEnd w:id="36"/>
      <w:r>
        <w:rPr>
          <w:rFonts w:hint="eastAsia" w:ascii="宋体" w:hAnsi="宋体" w:eastAsia="宋体" w:cs="宋体"/>
          <w:color w:val="auto"/>
          <w:highlight w:val="none"/>
        </w:rPr>
        <w:t>2.1 招标文件的组成</w:t>
      </w:r>
    </w:p>
    <w:p w14:paraId="258FFFD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1F29635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5D179F0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1D0B33F4">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68DBDFB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6826F1EC">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（5）委托人要求；</w:t>
      </w:r>
    </w:p>
    <w:p w14:paraId="14D7A3E6">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32CD3E0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5366B817">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根据本章第1.10款、第2.2款和第2.3款对招标文件所作的澄清、修改，构成招标文件的组成部分。</w:t>
      </w:r>
    </w:p>
    <w:p w14:paraId="2BB96B6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7" w:name="bookmark35"/>
      <w:bookmarkEnd w:id="37"/>
      <w:bookmarkStart w:id="38" w:name="bookmark38"/>
      <w:bookmarkEnd w:id="38"/>
      <w:r>
        <w:rPr>
          <w:rFonts w:hint="eastAsia" w:ascii="宋体" w:hAnsi="宋体" w:eastAsia="宋体" w:cs="宋体"/>
          <w:color w:val="auto"/>
          <w:highlight w:val="none"/>
        </w:rPr>
        <w:t>2.2  招标文件的</w:t>
      </w:r>
      <w:r>
        <w:rPr>
          <w:rFonts w:hint="eastAsia" w:ascii="宋体" w:hAnsi="宋体" w:eastAsia="宋体" w:cs="宋体"/>
          <w:color w:val="auto"/>
          <w:highlight w:val="none"/>
          <w:lang w:eastAsia="zh-CN"/>
        </w:rPr>
        <w:t>答疑</w:t>
      </w:r>
    </w:p>
    <w:p w14:paraId="47BD389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666918C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招标答疑采用网上答疑方式进行。投标人若对招标文件有疑问的，</w:t>
      </w:r>
      <w:r>
        <w:rPr>
          <w:rFonts w:hint="eastAsia" w:ascii="宋体" w:hAnsi="宋体" w:eastAsia="宋体" w:cs="宋体"/>
          <w:color w:val="auto"/>
          <w:sz w:val="24"/>
          <w:szCs w:val="24"/>
          <w:highlight w:val="none"/>
          <w:lang w:eastAsia="zh-CN"/>
        </w:rPr>
        <w:t>通过广州交易集团有限公司（广州公共资源交易中心）网站提交，</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。提</w:t>
      </w:r>
      <w:r>
        <w:rPr>
          <w:rFonts w:hint="eastAsia" w:ascii="宋体" w:hAnsi="宋体" w:eastAsia="宋体" w:cs="宋体"/>
          <w:color w:val="auto"/>
          <w:sz w:val="24"/>
          <w:szCs w:val="24"/>
          <w:highlight w:val="none"/>
          <w:lang w:eastAsia="zh-CN"/>
        </w:rPr>
        <w:t>问</w:t>
      </w:r>
      <w:r>
        <w:rPr>
          <w:rFonts w:hint="eastAsia" w:ascii="宋体" w:hAnsi="宋体" w:eastAsia="宋体" w:cs="宋体"/>
          <w:color w:val="auto"/>
          <w:sz w:val="24"/>
          <w:szCs w:val="24"/>
          <w:highlight w:val="none"/>
        </w:rPr>
        <w:t>一律不得署名。</w:t>
      </w:r>
    </w:p>
    <w:p w14:paraId="3B3AA5E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2.2.3  招标答疑纪要将在提交投标文件截止时间 15 日前在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“项目答疑纪要”专区公开发布。答疑纪要一经在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发布，视作已发放给所有投标人</w:t>
      </w:r>
      <w:r>
        <w:rPr>
          <w:rFonts w:hint="eastAsia" w:ascii="宋体" w:hAnsi="宋体" w:eastAsia="宋体" w:cs="宋体"/>
          <w:color w:val="auto"/>
          <w:sz w:val="24"/>
          <w:szCs w:val="24"/>
          <w:highlight w:val="none"/>
          <w:lang w:eastAsia="zh-CN"/>
        </w:rPr>
        <w:t>。</w:t>
      </w:r>
    </w:p>
    <w:p w14:paraId="36F48AD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2.2.4  </w:t>
      </w:r>
      <w:r>
        <w:rPr>
          <w:rFonts w:hint="eastAsia" w:ascii="宋体" w:hAnsi="宋体" w:eastAsia="宋体" w:cs="宋体"/>
          <w:color w:val="auto"/>
          <w:sz w:val="24"/>
          <w:szCs w:val="24"/>
          <w:highlight w:val="none"/>
        </w:rPr>
        <w:t>招标答疑纪要</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14:paraId="3793777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若招标答疑纪要与招标文件有矛盾时，以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最后发布的答疑纪要为准</w:t>
      </w:r>
      <w:r>
        <w:rPr>
          <w:rFonts w:hint="eastAsia" w:ascii="宋体" w:hAnsi="宋体" w:eastAsia="宋体" w:cs="宋体"/>
          <w:color w:val="auto"/>
          <w:sz w:val="24"/>
          <w:szCs w:val="24"/>
          <w:highlight w:val="none"/>
          <w:lang w:eastAsia="zh-CN"/>
        </w:rPr>
        <w:t>。</w:t>
      </w:r>
    </w:p>
    <w:p w14:paraId="6C7461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  招标文件的</w:t>
      </w:r>
      <w:r>
        <w:rPr>
          <w:rFonts w:hint="eastAsia" w:ascii="宋体" w:hAnsi="宋体" w:eastAsia="宋体" w:cs="宋体"/>
          <w:color w:val="auto"/>
          <w:highlight w:val="none"/>
          <w:lang w:eastAsia="zh-CN"/>
        </w:rPr>
        <w:t>澄清与</w:t>
      </w:r>
      <w:r>
        <w:rPr>
          <w:rFonts w:hint="eastAsia" w:ascii="宋体" w:hAnsi="宋体" w:eastAsia="宋体" w:cs="宋体"/>
          <w:color w:val="auto"/>
          <w:highlight w:val="none"/>
        </w:rPr>
        <w:t>修改</w:t>
      </w:r>
    </w:p>
    <w:p w14:paraId="2908F7D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2.3.1 </w:t>
      </w:r>
      <w:r>
        <w:rPr>
          <w:rFonts w:hint="eastAsia" w:ascii="宋体" w:hAnsi="宋体" w:eastAsia="宋体" w:cs="宋体"/>
          <w:color w:val="auto"/>
          <w:sz w:val="24"/>
          <w:szCs w:val="24"/>
          <w:highlight w:val="none"/>
          <w:lang w:val="en-US" w:eastAsia="zh-CN"/>
        </w:rPr>
        <w:t xml:space="preserve"> 招标文件发出后，在提交投标文件截止时间15日前，招标人可对招标文件进行必要的澄清或修改。</w:t>
      </w:r>
    </w:p>
    <w:p w14:paraId="4D7A18C1">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2.3.2  </w:t>
      </w:r>
      <w:r>
        <w:rPr>
          <w:rFonts w:hint="eastAsia" w:ascii="宋体" w:hAnsi="宋体" w:eastAsia="宋体" w:cs="宋体"/>
          <w:color w:val="auto"/>
          <w:sz w:val="24"/>
          <w:szCs w:val="24"/>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宋体" w:hAnsi="宋体" w:eastAsia="宋体" w:cs="宋体"/>
          <w:color w:val="auto"/>
          <w:sz w:val="24"/>
          <w:szCs w:val="24"/>
          <w:highlight w:val="none"/>
          <w:lang w:val="en-US" w:eastAsia="zh-CN"/>
        </w:rPr>
        <w:t>网站发布时间作为送达时间。</w:t>
      </w:r>
    </w:p>
    <w:p w14:paraId="3A79E77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2.3.3  </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eastAsia="zh-CN"/>
        </w:rPr>
        <w:t>文件的澄清或修改是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14:paraId="094747E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 xml:space="preserve"> 招标文件的澄清或修</w:t>
      </w:r>
      <w:r>
        <w:rPr>
          <w:rFonts w:hint="eastAsia" w:ascii="宋体" w:hAnsi="宋体" w:eastAsia="宋体" w:cs="宋体"/>
          <w:color w:val="auto"/>
          <w:sz w:val="24"/>
          <w:szCs w:val="24"/>
          <w:highlight w:val="none"/>
        </w:rPr>
        <w:t>改均以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发布的内容为准。当招标文件的澄清、修改</w:t>
      </w:r>
      <w:r>
        <w:rPr>
          <w:rFonts w:hint="eastAsia" w:ascii="宋体" w:hAnsi="宋体" w:eastAsia="宋体" w:cs="宋体"/>
          <w:color w:val="auto"/>
          <w:sz w:val="24"/>
          <w:szCs w:val="24"/>
          <w:highlight w:val="none"/>
          <w:lang w:eastAsia="zh-CN"/>
        </w:rPr>
        <w:t>、补充等</w:t>
      </w:r>
      <w:r>
        <w:rPr>
          <w:rFonts w:hint="eastAsia" w:ascii="宋体" w:hAnsi="宋体" w:eastAsia="宋体" w:cs="宋体"/>
          <w:color w:val="auto"/>
          <w:sz w:val="24"/>
          <w:szCs w:val="24"/>
          <w:highlight w:val="none"/>
        </w:rPr>
        <w:t>在同一内容的表述不一致时，以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最后发布的内容为准。</w:t>
      </w:r>
    </w:p>
    <w:p w14:paraId="2575EF8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z w:val="24"/>
          <w:szCs w:val="24"/>
          <w:highlight w:val="none"/>
          <w:lang w:val="en-US" w:eastAsia="zh-CN"/>
        </w:rPr>
        <w:t xml:space="preserve">2.3.5  </w:t>
      </w:r>
      <w:r>
        <w:rPr>
          <w:rFonts w:hint="eastAsia" w:ascii="宋体" w:hAnsi="宋体" w:eastAsia="宋体" w:cs="宋体"/>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eastAsia" w:ascii="宋体" w:hAnsi="宋体" w:eastAsia="宋体" w:cs="宋体"/>
          <w:color w:val="auto"/>
          <w:spacing w:val="-11"/>
          <w:sz w:val="24"/>
          <w:szCs w:val="24"/>
          <w:highlight w:val="none"/>
          <w:lang w:eastAsia="zh-CN"/>
        </w:rPr>
        <w:t>，即表示投标时间不延长。</w:t>
      </w:r>
    </w:p>
    <w:p w14:paraId="51049320">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36" w:firstLineChars="200"/>
        <w:jc w:val="both"/>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2.</w:t>
      </w:r>
      <w:r>
        <w:rPr>
          <w:rFonts w:hint="eastAsia" w:ascii="宋体" w:hAnsi="宋体" w:eastAsia="宋体" w:cs="宋体"/>
          <w:color w:val="auto"/>
          <w:spacing w:val="-11"/>
          <w:sz w:val="24"/>
          <w:szCs w:val="24"/>
          <w:highlight w:val="none"/>
          <w:lang w:val="en-US" w:eastAsia="zh-CN"/>
        </w:rPr>
        <w:t>4</w:t>
      </w:r>
      <w:r>
        <w:rPr>
          <w:rFonts w:hint="eastAsia" w:ascii="宋体" w:hAnsi="宋体" w:eastAsia="宋体" w:cs="宋体"/>
          <w:color w:val="auto"/>
          <w:spacing w:val="-11"/>
          <w:sz w:val="24"/>
          <w:szCs w:val="24"/>
          <w:highlight w:val="none"/>
          <w:lang w:eastAsia="zh-CN"/>
        </w:rPr>
        <w:t xml:space="preserve">  招标文件的异议</w:t>
      </w:r>
    </w:p>
    <w:p w14:paraId="040880D7">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36" w:firstLineChars="200"/>
        <w:jc w:val="both"/>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投标人或者其他利害关系人对招标文件有异议的，应当在投标截止时间 10 日前通过线下或线上的形式提出异议。线上提出异议的，应通过交易平台提交，招标人也应通过交易平台答复线上提出的异议。具体按照交易平台相关指南进行操作。招标人将在收到异议之日起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14:paraId="69C04CA9">
      <w:pPr>
        <w:pStyle w:val="6"/>
        <w:outlineLvl w:val="1"/>
        <w:rPr>
          <w:rFonts w:hint="eastAsia" w:ascii="宋体" w:hAnsi="宋体" w:eastAsia="宋体" w:cs="宋体"/>
          <w:color w:val="auto"/>
          <w:sz w:val="24"/>
          <w:szCs w:val="24"/>
          <w:highlight w:val="none"/>
        </w:rPr>
      </w:pPr>
      <w:bookmarkStart w:id="39" w:name="_Toc20483"/>
      <w:r>
        <w:rPr>
          <w:rFonts w:hint="eastAsia" w:ascii="宋体" w:hAnsi="宋体" w:eastAsia="宋体" w:cs="宋体"/>
          <w:color w:val="auto"/>
          <w:sz w:val="24"/>
          <w:szCs w:val="24"/>
          <w:highlight w:val="none"/>
        </w:rPr>
        <w:t>3.投标文件</w:t>
      </w:r>
      <w:bookmarkEnd w:id="39"/>
    </w:p>
    <w:p w14:paraId="7998990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0" w:name="bookmark39"/>
      <w:bookmarkEnd w:id="40"/>
      <w:r>
        <w:rPr>
          <w:rFonts w:hint="eastAsia" w:ascii="宋体" w:hAnsi="宋体" w:eastAsia="宋体" w:cs="宋体"/>
          <w:color w:val="auto"/>
          <w:highlight w:val="none"/>
        </w:rPr>
        <w:t>3.1 投标文件的组成</w:t>
      </w:r>
    </w:p>
    <w:p w14:paraId="50AFE5D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14:paraId="44BAEF4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0EE01535">
      <w:pPr>
        <w:pStyle w:val="13"/>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（2）法定代表人身份证明；</w:t>
      </w:r>
    </w:p>
    <w:p w14:paraId="5699B58C">
      <w:pPr>
        <w:pStyle w:val="13"/>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（3）授权委托书；（适用于有委托代理人的情况）</w:t>
      </w:r>
    </w:p>
    <w:p w14:paraId="5356BC83">
      <w:pPr>
        <w:pStyle w:val="13"/>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strike/>
          <w:color w:val="auto"/>
          <w:sz w:val="24"/>
          <w:szCs w:val="24"/>
          <w:highlight w:val="none"/>
          <w:lang w:val="en-US" w:eastAsia="zh-CN"/>
        </w:rPr>
      </w:pPr>
      <w:r>
        <w:rPr>
          <w:rFonts w:hint="eastAsia" w:ascii="宋体" w:hAnsi="宋体" w:eastAsia="宋体" w:cs="宋体"/>
          <w:strike/>
          <w:color w:val="auto"/>
          <w:sz w:val="24"/>
          <w:szCs w:val="24"/>
          <w:highlight w:val="none"/>
          <w:lang w:val="en-US" w:eastAsia="zh-CN"/>
        </w:rPr>
        <w:t>（4）联合体协议书；</w:t>
      </w:r>
    </w:p>
    <w:p w14:paraId="65294A1F">
      <w:pPr>
        <w:pStyle w:val="13"/>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strike/>
          <w:color w:val="auto"/>
          <w:sz w:val="24"/>
          <w:szCs w:val="24"/>
          <w:highlight w:val="none"/>
          <w:lang w:val="en-US" w:eastAsia="zh-CN"/>
        </w:rPr>
        <w:t>（5）投标保证金</w:t>
      </w:r>
      <w:r>
        <w:rPr>
          <w:rFonts w:hint="eastAsia" w:ascii="宋体" w:hAnsi="宋体" w:eastAsia="宋体" w:cs="宋体"/>
          <w:color w:val="auto"/>
          <w:sz w:val="24"/>
          <w:szCs w:val="24"/>
          <w:highlight w:val="none"/>
          <w:lang w:val="en-US" w:eastAsia="zh-CN"/>
        </w:rPr>
        <w:t>；</w:t>
      </w:r>
    </w:p>
    <w:p w14:paraId="44D13341">
      <w:pPr>
        <w:pStyle w:val="13"/>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（6）监理报酬清单；</w:t>
      </w:r>
    </w:p>
    <w:p w14:paraId="2068C8BC">
      <w:pPr>
        <w:pStyle w:val="13"/>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（7）资格审查资料；</w:t>
      </w:r>
    </w:p>
    <w:p w14:paraId="67AB3D3A">
      <w:pPr>
        <w:pStyle w:val="13"/>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（8）监理大纲；</w:t>
      </w:r>
    </w:p>
    <w:p w14:paraId="7D1C373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（9）投标人须知前附表规定的其他资料。投标人在评标过程中作出的符合法律法规和招标文件规定的澄清确认，构成投标文件的组成部分。</w:t>
      </w:r>
    </w:p>
    <w:p w14:paraId="0573944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投标人须知前附表规定不接受联合体投标的，或投标人没有组成联合体的，投标文件不包括本章第 3.1.1（3）目所指的联合体协议书。</w:t>
      </w:r>
    </w:p>
    <w:p w14:paraId="45063F8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3.1.3 投标人须知前附表未要求提交投标保证金的，投标文件不包括本章第 3.1.1（4）目所指的投标保证金。</w:t>
      </w:r>
    </w:p>
    <w:p w14:paraId="73BDADB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1" w:name="bookmark40"/>
      <w:bookmarkEnd w:id="41"/>
      <w:r>
        <w:rPr>
          <w:rFonts w:hint="eastAsia" w:ascii="宋体" w:hAnsi="宋体" w:eastAsia="宋体" w:cs="宋体"/>
          <w:color w:val="auto"/>
          <w:highlight w:val="none"/>
        </w:rPr>
        <w:t>3.2 投标报价</w:t>
      </w:r>
    </w:p>
    <w:p w14:paraId="0FBE86F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6C26FD6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投标人应充分了解该项目的总体情况以及影响投标报价的其他要素。</w:t>
      </w:r>
    </w:p>
    <w:p w14:paraId="5046A3C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3C5F119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招标人设有最高投标限价的，投标人的投标报价不得超过最高投标限价，最高投标限价在投标人须知前附表中载明。</w:t>
      </w:r>
    </w:p>
    <w:p w14:paraId="04645B9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投标报价的其他要求见投标人须知前附表。</w:t>
      </w:r>
    </w:p>
    <w:p w14:paraId="5BC5C95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2" w:name="bookmark41"/>
      <w:bookmarkEnd w:id="42"/>
      <w:r>
        <w:rPr>
          <w:rFonts w:hint="eastAsia" w:ascii="宋体" w:hAnsi="宋体" w:eastAsia="宋体" w:cs="宋体"/>
          <w:color w:val="auto"/>
          <w:highlight w:val="none"/>
        </w:rPr>
        <w:t>3.3 投标有效期</w:t>
      </w:r>
    </w:p>
    <w:p w14:paraId="75A20EC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除投标人须知前附表另有规定外，投标有效期为 90 天。</w:t>
      </w:r>
    </w:p>
    <w:p w14:paraId="7BFAF8F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在投标有效期内，投标人撤销投标文件的，应承担招标文件和法律规定的责任。</w:t>
      </w:r>
    </w:p>
    <w:p w14:paraId="0D0076A3">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出现特殊情况需要延长投标有效期的，招标人以书面形式通知所有投标人延长投标有效期。投标人应予以书面答复，同意延长的，不得要求或被允许修改其投标文件；投标人拒绝延长的，其投标失效。</w:t>
      </w:r>
    </w:p>
    <w:p w14:paraId="429AE12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3" w:name="bookmark42"/>
      <w:bookmarkEnd w:id="43"/>
      <w:r>
        <w:rPr>
          <w:rFonts w:hint="eastAsia" w:ascii="宋体" w:hAnsi="宋体" w:eastAsia="宋体" w:cs="宋体"/>
          <w:color w:val="auto"/>
          <w:highlight w:val="none"/>
        </w:rPr>
        <w:t>3.4  投标保证金</w:t>
      </w:r>
    </w:p>
    <w:p w14:paraId="6554403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本项目不要求递交投标保证金。</w:t>
      </w:r>
    </w:p>
    <w:p w14:paraId="788CADA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4" w:name="bookmark44"/>
      <w:bookmarkEnd w:id="44"/>
      <w:bookmarkStart w:id="45" w:name="bookmark43"/>
      <w:bookmarkEnd w:id="45"/>
      <w:r>
        <w:rPr>
          <w:rFonts w:hint="eastAsia" w:ascii="宋体" w:hAnsi="宋体" w:eastAsia="宋体" w:cs="宋体"/>
          <w:color w:val="auto"/>
          <w:highlight w:val="none"/>
        </w:rPr>
        <w:t>3.5 资格审查资料</w:t>
      </w:r>
    </w:p>
    <w:p w14:paraId="477BD59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除投标人须知前附表另有规定外，投标人应按下列规定提供资格审查资料，以证明其满足本章第 1.4 款规定的资质、财务、业绩、信誉等要求。</w:t>
      </w:r>
    </w:p>
    <w:p w14:paraId="71D8E2A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“投标人基本情况表”应附投标人营业执照、投标人监理资质证书副本等材料的</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w:t>
      </w:r>
    </w:p>
    <w:p w14:paraId="2A23C34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3.5.</w:t>
      </w:r>
      <w:r>
        <w:rPr>
          <w:rFonts w:hint="eastAsia" w:ascii="宋体" w:hAnsi="宋体" w:eastAsia="宋体" w:cs="宋体"/>
          <w:strike/>
          <w:color w:val="auto"/>
          <w:sz w:val="24"/>
          <w:szCs w:val="24"/>
          <w:highlight w:val="none"/>
          <w:lang w:val="en-US" w:eastAsia="zh-CN"/>
        </w:rPr>
        <w:t>2</w:t>
      </w:r>
      <w:r>
        <w:rPr>
          <w:rFonts w:hint="eastAsia" w:ascii="宋体" w:hAnsi="宋体" w:eastAsia="宋体" w:cs="宋体"/>
          <w:strike/>
          <w:color w:val="auto"/>
          <w:sz w:val="24"/>
          <w:szCs w:val="24"/>
          <w:highlight w:val="none"/>
        </w:rPr>
        <w:t xml:space="preserve"> “近年完成的类似监理项目情况表”应附中标通知书或免招标的相关证明、施工监理合同、竣工验收报告或竣工验收证明；具体时间要求见投标人须知前附表，每张表格只填写一个项目，并标明序号。</w:t>
      </w:r>
    </w:p>
    <w:p w14:paraId="200207B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；其他主要人员应附身份证、学历证、职称证、有关证书和社保缴费证明</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注：拟派人员需提供相关证书及离投标截止时间前1个月社会保险费用的证明文件（以加盖社会保险基金管理中心印章的《缴费历史明细表》或《社会保险参保人员证明》为准）（退休人员提供退休证明及返聘协议）</w:t>
      </w:r>
      <w:r>
        <w:rPr>
          <w:rFonts w:hint="eastAsia" w:cs="宋体"/>
          <w:color w:val="auto"/>
          <w:sz w:val="24"/>
          <w:szCs w:val="24"/>
          <w:highlight w:val="none"/>
          <w:lang w:val="en-US" w:eastAsia="zh-CN"/>
        </w:rPr>
        <w:t>）</w:t>
      </w:r>
    </w:p>
    <w:p w14:paraId="14AE3B4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3.5.</w:t>
      </w:r>
      <w:r>
        <w:rPr>
          <w:rFonts w:hint="eastAsia" w:ascii="宋体" w:hAnsi="宋体" w:eastAsia="宋体" w:cs="宋体"/>
          <w:strike/>
          <w:color w:val="auto"/>
          <w:sz w:val="24"/>
          <w:szCs w:val="24"/>
          <w:highlight w:val="none"/>
          <w:lang w:val="en-US" w:eastAsia="zh-CN"/>
        </w:rPr>
        <w:t>4</w:t>
      </w:r>
      <w:r>
        <w:rPr>
          <w:rFonts w:hint="eastAsia" w:ascii="宋体" w:hAnsi="宋体" w:eastAsia="宋体" w:cs="宋体"/>
          <w:strike/>
          <w:color w:val="auto"/>
          <w:sz w:val="24"/>
          <w:szCs w:val="24"/>
          <w:highlight w:val="none"/>
        </w:rPr>
        <w:t xml:space="preserve"> 投标人须知前附表规定接受联合体投标的，本章第3.5.1 项至第3.5.</w:t>
      </w:r>
      <w:r>
        <w:rPr>
          <w:rFonts w:hint="eastAsia" w:ascii="宋体" w:hAnsi="宋体" w:eastAsia="宋体" w:cs="宋体"/>
          <w:strike/>
          <w:color w:val="auto"/>
          <w:sz w:val="24"/>
          <w:szCs w:val="24"/>
          <w:highlight w:val="none"/>
          <w:lang w:val="en-US" w:eastAsia="zh-CN"/>
        </w:rPr>
        <w:t>3</w:t>
      </w:r>
      <w:r>
        <w:rPr>
          <w:rFonts w:hint="eastAsia" w:ascii="宋体" w:hAnsi="宋体" w:eastAsia="宋体" w:cs="宋体"/>
          <w:strike/>
          <w:color w:val="auto"/>
          <w:sz w:val="24"/>
          <w:szCs w:val="24"/>
          <w:highlight w:val="none"/>
        </w:rPr>
        <w:t>项规定的表格和资料应包括联合体各方相关情况。</w:t>
      </w:r>
    </w:p>
    <w:p w14:paraId="60D4E42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6" w:name="bookmark45"/>
      <w:bookmarkEnd w:id="46"/>
      <w:r>
        <w:rPr>
          <w:rFonts w:hint="eastAsia" w:ascii="宋体" w:hAnsi="宋体" w:eastAsia="宋体" w:cs="宋体"/>
          <w:color w:val="auto"/>
          <w:highlight w:val="none"/>
        </w:rPr>
        <w:t>3.6 备选投标方案</w:t>
      </w:r>
    </w:p>
    <w:p w14:paraId="18844BD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除投标人须知前附表规定允许外，投标人不得递交备选投标方案，否则其投标将被否决。</w:t>
      </w:r>
    </w:p>
    <w:p w14:paraId="7ADC7B2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14DE63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投标人提供两个或两个以上投标报价，或者在投标文件中提供一个报价，但同时提供两个或两个以上监理方案的，视为提供备选方案。</w:t>
      </w:r>
    </w:p>
    <w:p w14:paraId="1594EA3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7" w:name="bookmark46"/>
      <w:bookmarkEnd w:id="47"/>
      <w:r>
        <w:rPr>
          <w:rFonts w:hint="eastAsia" w:ascii="宋体" w:hAnsi="宋体" w:eastAsia="宋体" w:cs="宋体"/>
          <w:color w:val="auto"/>
          <w:highlight w:val="none"/>
        </w:rPr>
        <w:t>3.7 投标文件的编制</w:t>
      </w:r>
    </w:p>
    <w:p w14:paraId="6DC5032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62A6B1A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投标文件应当对招标文件有关监理服务期限、投标有效期、委托人要求、招标范围等实质性内容作出响应。</w:t>
      </w:r>
    </w:p>
    <w:p w14:paraId="14E9F69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投标文件全部采用电子文档，投标文件所附证书证件均为原件扫描件</w:t>
      </w:r>
      <w:r>
        <w:rPr>
          <w:rFonts w:hint="eastAsia" w:ascii="宋体" w:hAnsi="宋体" w:eastAsia="宋体" w:cs="宋体"/>
          <w:color w:val="auto"/>
          <w:sz w:val="24"/>
          <w:szCs w:val="24"/>
          <w:highlight w:val="none"/>
          <w:lang w:eastAsia="zh-CN"/>
        </w:rPr>
        <w:t>或电子证书</w:t>
      </w:r>
      <w:r>
        <w:rPr>
          <w:rFonts w:hint="eastAsia" w:ascii="宋体" w:hAnsi="宋体" w:eastAsia="宋体" w:cs="宋体"/>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可靠的电子签名与手写签名或者盖章具有同等的法律效力</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14:paraId="3B306F6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3.</w:t>
      </w:r>
      <w:r>
        <w:rPr>
          <w:rFonts w:hint="eastAsia" w:ascii="宋体" w:hAnsi="宋体" w:eastAsia="宋体" w:cs="宋体"/>
          <w:strike/>
          <w:color w:val="auto"/>
          <w:sz w:val="24"/>
          <w:szCs w:val="24"/>
          <w:highlight w:val="none"/>
          <w:lang w:val="en-US" w:eastAsia="zh-CN"/>
        </w:rPr>
        <w:t>7</w:t>
      </w:r>
      <w:r>
        <w:rPr>
          <w:rFonts w:hint="eastAsia" w:ascii="宋体" w:hAnsi="宋体" w:eastAsia="宋体" w:cs="宋体"/>
          <w:strike/>
          <w:color w:val="auto"/>
          <w:sz w:val="24"/>
          <w:szCs w:val="24"/>
          <w:highlight w:val="none"/>
        </w:rPr>
        <w:t>.</w:t>
      </w:r>
      <w:r>
        <w:rPr>
          <w:rFonts w:hint="eastAsia" w:ascii="宋体" w:hAnsi="宋体" w:eastAsia="宋体" w:cs="宋体"/>
          <w:strike/>
          <w:color w:val="auto"/>
          <w:sz w:val="24"/>
          <w:szCs w:val="24"/>
          <w:highlight w:val="none"/>
          <w:lang w:val="en-US" w:eastAsia="zh-CN"/>
        </w:rPr>
        <w:t xml:space="preserve">4  </w:t>
      </w:r>
      <w:r>
        <w:rPr>
          <w:rFonts w:hint="eastAsia" w:ascii="宋体" w:hAnsi="宋体" w:eastAsia="宋体" w:cs="宋体"/>
          <w:strike/>
          <w:color w:val="auto"/>
          <w:sz w:val="24"/>
          <w:szCs w:val="24"/>
          <w:highlight w:val="none"/>
        </w:rPr>
        <w:t>联合体投标时，</w:t>
      </w:r>
      <w:r>
        <w:rPr>
          <w:rFonts w:hint="eastAsia" w:ascii="宋体" w:hAnsi="宋体" w:eastAsia="宋体" w:cs="宋体"/>
          <w:strike/>
          <w:color w:val="auto"/>
          <w:sz w:val="24"/>
          <w:szCs w:val="24"/>
          <w:highlight w:val="none"/>
          <w:lang w:eastAsia="zh-CN"/>
        </w:rPr>
        <w:t>投标人封面及其他内容落款中的“投标人”应填写联合体各方的单位全称【格式为：（主）XXXX公司（成）XXXX公司】。除</w:t>
      </w:r>
      <w:r>
        <w:rPr>
          <w:rFonts w:hint="eastAsia" w:ascii="宋体" w:hAnsi="宋体" w:eastAsia="宋体" w:cs="宋体"/>
          <w:strike/>
          <w:color w:val="auto"/>
          <w:sz w:val="24"/>
          <w:szCs w:val="24"/>
          <w:highlight w:val="none"/>
        </w:rPr>
        <w:t>联合体共同投标协议需联合体各方按要求共同盖章签字，其余可由联合体</w:t>
      </w:r>
      <w:r>
        <w:rPr>
          <w:rFonts w:hint="eastAsia" w:ascii="宋体" w:hAnsi="宋体" w:eastAsia="宋体" w:cs="宋体"/>
          <w:strike/>
          <w:color w:val="auto"/>
          <w:sz w:val="24"/>
          <w:szCs w:val="24"/>
          <w:highlight w:val="none"/>
          <w:lang w:eastAsia="zh-CN"/>
        </w:rPr>
        <w:t>主办方</w:t>
      </w:r>
      <w:r>
        <w:rPr>
          <w:rFonts w:hint="eastAsia" w:ascii="宋体" w:hAnsi="宋体" w:eastAsia="宋体" w:cs="宋体"/>
          <w:strike/>
          <w:color w:val="auto"/>
          <w:sz w:val="24"/>
          <w:szCs w:val="24"/>
          <w:highlight w:val="none"/>
        </w:rPr>
        <w:t>签字、盖章即可，由联合体</w:t>
      </w:r>
      <w:r>
        <w:rPr>
          <w:rFonts w:hint="eastAsia" w:ascii="宋体" w:hAnsi="宋体" w:eastAsia="宋体" w:cs="宋体"/>
          <w:strike/>
          <w:color w:val="auto"/>
          <w:sz w:val="24"/>
          <w:szCs w:val="24"/>
          <w:highlight w:val="none"/>
          <w:lang w:eastAsia="zh-CN"/>
        </w:rPr>
        <w:t>主办方</w:t>
      </w:r>
      <w:r>
        <w:rPr>
          <w:rFonts w:hint="eastAsia" w:ascii="宋体" w:hAnsi="宋体" w:eastAsia="宋体" w:cs="宋体"/>
          <w:strike/>
          <w:color w:val="auto"/>
          <w:sz w:val="24"/>
          <w:szCs w:val="24"/>
          <w:highlight w:val="none"/>
        </w:rPr>
        <w:t>法人签字的电子投标文件需提供</w:t>
      </w:r>
      <w:r>
        <w:rPr>
          <w:rFonts w:hint="eastAsia" w:ascii="宋体" w:hAnsi="宋体" w:eastAsia="宋体" w:cs="宋体"/>
          <w:strike/>
          <w:color w:val="auto"/>
          <w:sz w:val="24"/>
          <w:szCs w:val="24"/>
          <w:highlight w:val="none"/>
          <w:lang w:eastAsia="zh-CN"/>
        </w:rPr>
        <w:t>主办方</w:t>
      </w:r>
      <w:r>
        <w:rPr>
          <w:rFonts w:hint="eastAsia" w:ascii="宋体" w:hAnsi="宋体" w:eastAsia="宋体" w:cs="宋体"/>
          <w:strike/>
          <w:color w:val="auto"/>
          <w:sz w:val="24"/>
          <w:szCs w:val="24"/>
          <w:highlight w:val="none"/>
        </w:rPr>
        <w:t>法定代表人证明书，若由联合体</w:t>
      </w:r>
      <w:r>
        <w:rPr>
          <w:rFonts w:hint="eastAsia" w:ascii="宋体" w:hAnsi="宋体" w:eastAsia="宋体" w:cs="宋体"/>
          <w:strike/>
          <w:color w:val="auto"/>
          <w:sz w:val="24"/>
          <w:szCs w:val="24"/>
          <w:highlight w:val="none"/>
          <w:lang w:eastAsia="zh-CN"/>
        </w:rPr>
        <w:t>主办方</w:t>
      </w:r>
      <w:r>
        <w:rPr>
          <w:rFonts w:hint="eastAsia" w:ascii="宋体" w:hAnsi="宋体" w:eastAsia="宋体" w:cs="宋体"/>
          <w:strike/>
          <w:color w:val="auto"/>
          <w:sz w:val="24"/>
          <w:szCs w:val="24"/>
          <w:highlight w:val="none"/>
        </w:rPr>
        <w:t>法定代表人授权签字的电子投标文件需提供法定代表人证明书及其授权委托书、授权委托人身份证</w:t>
      </w:r>
      <w:r>
        <w:rPr>
          <w:rFonts w:hint="eastAsia" w:ascii="宋体" w:hAnsi="宋体" w:eastAsia="宋体" w:cs="宋体"/>
          <w:strike/>
          <w:color w:val="auto"/>
          <w:sz w:val="24"/>
          <w:szCs w:val="24"/>
          <w:highlight w:val="none"/>
          <w:lang w:eastAsia="zh-CN"/>
        </w:rPr>
        <w:t>扫描</w:t>
      </w:r>
      <w:r>
        <w:rPr>
          <w:rFonts w:hint="eastAsia" w:ascii="宋体" w:hAnsi="宋体" w:eastAsia="宋体" w:cs="宋体"/>
          <w:strike/>
          <w:color w:val="auto"/>
          <w:sz w:val="24"/>
          <w:szCs w:val="24"/>
          <w:highlight w:val="none"/>
        </w:rPr>
        <w:t>件。</w:t>
      </w:r>
    </w:p>
    <w:p w14:paraId="1DCCB44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409EB396">
      <w:pPr>
        <w:pStyle w:val="6"/>
        <w:outlineLvl w:val="1"/>
        <w:rPr>
          <w:rFonts w:hint="eastAsia" w:ascii="宋体" w:hAnsi="宋体" w:eastAsia="宋体" w:cs="宋体"/>
          <w:color w:val="auto"/>
          <w:sz w:val="24"/>
          <w:szCs w:val="24"/>
          <w:highlight w:val="none"/>
        </w:rPr>
      </w:pPr>
      <w:bookmarkStart w:id="48" w:name="bookmark47"/>
      <w:bookmarkEnd w:id="48"/>
      <w:bookmarkStart w:id="49" w:name="_Toc18372"/>
      <w:r>
        <w:rPr>
          <w:rFonts w:hint="eastAsia" w:ascii="宋体" w:hAnsi="宋体" w:eastAsia="宋体" w:cs="宋体"/>
          <w:color w:val="auto"/>
          <w:sz w:val="24"/>
          <w:szCs w:val="24"/>
          <w:highlight w:val="none"/>
        </w:rPr>
        <w:t>4.投标</w:t>
      </w:r>
      <w:bookmarkEnd w:id="49"/>
    </w:p>
    <w:p w14:paraId="289D738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lang w:val="en-US" w:eastAsia="zh-CN"/>
        </w:rPr>
      </w:pPr>
      <w:bookmarkStart w:id="50" w:name="bookmark48"/>
      <w:bookmarkEnd w:id="50"/>
      <w:r>
        <w:rPr>
          <w:rFonts w:hint="eastAsia" w:ascii="宋体" w:hAnsi="宋体" w:eastAsia="宋体" w:cs="宋体"/>
          <w:color w:val="auto"/>
          <w:highlight w:val="none"/>
        </w:rPr>
        <w:t>4.1  投标文件的</w:t>
      </w:r>
      <w:r>
        <w:rPr>
          <w:rFonts w:hint="eastAsia" w:ascii="宋体" w:hAnsi="宋体" w:eastAsia="宋体" w:cs="宋体"/>
          <w:color w:val="auto"/>
          <w:highlight w:val="none"/>
          <w:lang w:val="en-US" w:eastAsia="zh-CN"/>
        </w:rPr>
        <w:t>加密</w:t>
      </w:r>
    </w:p>
    <w:p w14:paraId="0D73639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bookmarkStart w:id="51" w:name="bookmark49"/>
      <w:bookmarkEnd w:id="51"/>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递交的电子投标文件（不含备用光盘）必须进行加密。按照</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关于全流程电子化项目的相关指南进行操作。</w:t>
      </w:r>
    </w:p>
    <w:p w14:paraId="306663A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lang w:eastAsia="zh-CN"/>
        </w:rPr>
        <w:t>广州交易集团有限公司（广州公共资源交易中心）网站交易</w:t>
      </w:r>
      <w:r>
        <w:rPr>
          <w:rFonts w:hint="eastAsia" w:ascii="宋体" w:hAnsi="宋体" w:eastAsia="宋体" w:cs="宋体"/>
          <w:color w:val="auto"/>
          <w:sz w:val="24"/>
          <w:szCs w:val="24"/>
          <w:highlight w:val="none"/>
        </w:rPr>
        <w:t>平台将予以拒收。</w:t>
      </w:r>
    </w:p>
    <w:p w14:paraId="1702F12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投标文件的递交</w:t>
      </w:r>
    </w:p>
    <w:p w14:paraId="1848BA5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bookmarkStart w:id="52" w:name="bookmark50"/>
      <w:bookmarkEnd w:id="52"/>
      <w:r>
        <w:rPr>
          <w:rFonts w:hint="eastAsia" w:ascii="宋体" w:hAnsi="宋体" w:eastAsia="宋体" w:cs="宋体"/>
          <w:color w:val="auto"/>
          <w:sz w:val="24"/>
          <w:szCs w:val="24"/>
          <w:highlight w:val="none"/>
        </w:rPr>
        <w:t>4.2.1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应在投标人须知前附表规定的投标截止时间前，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p>
    <w:p w14:paraId="14D1F5D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投标人完成电子投标文件上传后，</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4A6EB471">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交易平台将予以拒收。</w:t>
      </w:r>
    </w:p>
    <w:p w14:paraId="087D776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4.2.4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投标截止前，招标人拒绝接收符合条件的投标文件，投标人可向招标监督机构投诉</w:t>
      </w:r>
      <w:r>
        <w:rPr>
          <w:rFonts w:hint="eastAsia" w:ascii="宋体" w:hAnsi="宋体" w:eastAsia="宋体" w:cs="宋体"/>
          <w:color w:val="auto"/>
          <w:sz w:val="24"/>
          <w:szCs w:val="24"/>
          <w:highlight w:val="none"/>
          <w:lang w:eastAsia="zh-CN"/>
        </w:rPr>
        <w:t>。</w:t>
      </w:r>
      <w:bookmarkStart w:id="53" w:name="_bookmark83"/>
      <w:bookmarkEnd w:id="53"/>
    </w:p>
    <w:p w14:paraId="6D8A0B1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14:paraId="402BC0D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 投标人可以修改或撤回已递交的投标文件， 但应以书面形式通知招标人。</w:t>
      </w:r>
    </w:p>
    <w:p w14:paraId="0115973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需在交易平台发出修改或撤回通知，并按要求加盖电子印章</w:t>
      </w:r>
      <w:r>
        <w:rPr>
          <w:rFonts w:hint="eastAsia" w:ascii="宋体" w:hAnsi="宋体" w:eastAsia="宋体" w:cs="宋体"/>
          <w:color w:val="auto"/>
          <w:sz w:val="24"/>
          <w:szCs w:val="24"/>
          <w:highlight w:val="none"/>
        </w:rPr>
        <w:t>。电子招标投标交易平台收到通知后，即时向投标人发出确认回执通知。</w:t>
      </w:r>
    </w:p>
    <w:p w14:paraId="5DB18CA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修改后再次递交的，按第</w:t>
      </w:r>
      <w:r>
        <w:rPr>
          <w:rFonts w:hint="eastAsia" w:ascii="宋体" w:hAnsi="宋体" w:eastAsia="宋体" w:cs="宋体"/>
          <w:color w:val="auto"/>
          <w:sz w:val="24"/>
          <w:szCs w:val="24"/>
          <w:highlight w:val="none"/>
          <w:lang w:val="en-US" w:eastAsia="zh-CN"/>
        </w:rPr>
        <w:t>4.2项的规定执行</w:t>
      </w:r>
      <w:r>
        <w:rPr>
          <w:rFonts w:hint="eastAsia" w:ascii="宋体" w:hAnsi="宋体" w:eastAsia="宋体" w:cs="宋体"/>
          <w:color w:val="auto"/>
          <w:sz w:val="24"/>
          <w:szCs w:val="24"/>
          <w:highlight w:val="none"/>
        </w:rPr>
        <w:t>。</w:t>
      </w:r>
    </w:p>
    <w:p w14:paraId="1F84C066">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在投标截止时间之后，投标人不得补充、修改和更换投标文件。</w:t>
      </w:r>
    </w:p>
    <w:p w14:paraId="463628C4">
      <w:pPr>
        <w:pStyle w:val="6"/>
        <w:outlineLvl w:val="1"/>
        <w:rPr>
          <w:rFonts w:hint="eastAsia" w:ascii="宋体" w:hAnsi="宋体" w:eastAsia="宋体" w:cs="宋体"/>
          <w:color w:val="auto"/>
          <w:sz w:val="24"/>
          <w:szCs w:val="24"/>
          <w:highlight w:val="none"/>
        </w:rPr>
      </w:pPr>
      <w:bookmarkStart w:id="54" w:name="bookmark51"/>
      <w:bookmarkEnd w:id="54"/>
      <w:bookmarkStart w:id="55" w:name="_Toc19841"/>
      <w:r>
        <w:rPr>
          <w:rFonts w:hint="eastAsia" w:ascii="宋体" w:hAnsi="宋体" w:eastAsia="宋体" w:cs="宋体"/>
          <w:color w:val="auto"/>
          <w:sz w:val="24"/>
          <w:szCs w:val="24"/>
          <w:highlight w:val="none"/>
        </w:rPr>
        <w:t>5.开标</w:t>
      </w:r>
      <w:bookmarkEnd w:id="55"/>
    </w:p>
    <w:p w14:paraId="3C1E445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6" w:name="bookmark53"/>
      <w:bookmarkEnd w:id="56"/>
      <w:bookmarkStart w:id="57" w:name="bookmark52"/>
      <w:bookmarkEnd w:id="57"/>
      <w:r>
        <w:rPr>
          <w:rFonts w:hint="eastAsia" w:ascii="宋体" w:hAnsi="宋体" w:eastAsia="宋体" w:cs="宋体"/>
          <w:color w:val="auto"/>
          <w:highlight w:val="none"/>
        </w:rPr>
        <w:t>5.1 开标时间和地点</w:t>
      </w:r>
    </w:p>
    <w:p w14:paraId="7790945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bookmarkStart w:id="58" w:name="bookmark54"/>
      <w:bookmarkEnd w:id="58"/>
      <w:r>
        <w:rPr>
          <w:rFonts w:hint="eastAsia" w:ascii="宋体" w:hAnsi="宋体" w:eastAsia="宋体" w:cs="宋体"/>
          <w:color w:val="auto"/>
          <w:sz w:val="24"/>
          <w:szCs w:val="24"/>
          <w:highlight w:val="none"/>
          <w:lang w:val="en-US" w:eastAsia="zh-CN"/>
        </w:rPr>
        <w:t xml:space="preserve">5.1.1  </w:t>
      </w:r>
      <w:r>
        <w:rPr>
          <w:rFonts w:hint="eastAsia" w:ascii="宋体" w:hAnsi="宋体" w:eastAsia="宋体" w:cs="宋体"/>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343BE99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5.1.2  </w:t>
      </w:r>
      <w:r>
        <w:rPr>
          <w:rFonts w:hint="eastAsia" w:ascii="宋体" w:hAnsi="宋体" w:eastAsia="宋体" w:cs="宋体"/>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16B122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5.2 开标程序</w:t>
      </w:r>
    </w:p>
    <w:p w14:paraId="620F8477">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bookmarkStart w:id="59" w:name="bookmark55"/>
      <w:bookmarkEnd w:id="59"/>
      <w:r>
        <w:rPr>
          <w:rFonts w:hint="eastAsia" w:ascii="宋体" w:hAnsi="宋体" w:eastAsia="宋体" w:cs="宋体"/>
          <w:color w:val="auto"/>
          <w:sz w:val="24"/>
          <w:szCs w:val="24"/>
          <w:highlight w:val="none"/>
          <w:lang w:val="en-US" w:eastAsia="zh-CN"/>
        </w:rPr>
        <w:t>5.2.1   在投标截止时间后</w:t>
      </w:r>
      <w:r>
        <w:rPr>
          <w:rFonts w:hint="eastAsia" w:ascii="宋体" w:hAnsi="宋体" w:eastAsia="宋体" w:cs="宋体"/>
          <w:color w:val="auto"/>
          <w:sz w:val="24"/>
          <w:szCs w:val="24"/>
          <w:highlight w:val="none"/>
          <w:u w:val="single"/>
          <w:lang w:val="en-US" w:eastAsia="zh-CN"/>
        </w:rPr>
        <w:t>半小时</w:t>
      </w:r>
      <w:r>
        <w:rPr>
          <w:rFonts w:hint="eastAsia" w:ascii="宋体" w:hAnsi="宋体" w:eastAsia="宋体" w:cs="宋体"/>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397AC394">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5.2.2  按开标记录表规定的内容进行唱标。</w:t>
      </w:r>
    </w:p>
    <w:p w14:paraId="4FBA033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5.2.3  投标人代表、招标人代表、监标人、记录人等有关人员在开标记录上签字确认；若有关人员不签字的，不影响开标程序。</w:t>
      </w:r>
    </w:p>
    <w:p w14:paraId="3E8DE22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5.2.4  开标结束。</w:t>
      </w:r>
    </w:p>
    <w:p w14:paraId="5B8A45C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5.2.5  投标截止时间前未完成投标文件传输的或因投标人之外的原因造成投标文件未解密的，视为投标人撤回投标文件。因投标人原因造成投标文件未解密或未在规定的时间内解密的，视为撤销其投标文件。</w:t>
      </w:r>
    </w:p>
    <w:p w14:paraId="33ADC43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5.2.6  开标时，</w:t>
      </w:r>
      <w:r>
        <w:rPr>
          <w:rFonts w:hint="eastAsia"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两个（含两个）以上的投标人加密打包投标文件电脑机器特征码一致的，不参与下一程序，并由评标委员会否决其投标。</w:t>
      </w:r>
    </w:p>
    <w:p w14:paraId="1D0F50D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E28E4E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  参加现场开标的投标人对开标结果有异议的，应当在开标现场提出，招标人应当当场作出答复，并制作记录。</w:t>
      </w:r>
    </w:p>
    <w:p w14:paraId="2835E031">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E83E80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  投标人未参加开标或在规定的时间内未提出异议的，视为对开标无异议。</w:t>
      </w:r>
    </w:p>
    <w:p w14:paraId="609C328A">
      <w:pPr>
        <w:pStyle w:val="6"/>
        <w:outlineLvl w:val="1"/>
        <w:rPr>
          <w:rFonts w:hint="eastAsia" w:ascii="宋体" w:hAnsi="宋体" w:eastAsia="宋体" w:cs="宋体"/>
          <w:b w:val="0"/>
          <w:color w:val="auto"/>
          <w:sz w:val="30"/>
          <w:szCs w:val="24"/>
          <w:highlight w:val="none"/>
        </w:rPr>
      </w:pPr>
      <w:bookmarkStart w:id="60" w:name="bookmark56"/>
      <w:bookmarkEnd w:id="60"/>
      <w:bookmarkStart w:id="61" w:name="_Toc27326"/>
      <w:r>
        <w:rPr>
          <w:rFonts w:hint="eastAsia" w:ascii="宋体" w:hAnsi="宋体" w:eastAsia="宋体" w:cs="宋体"/>
          <w:color w:val="auto"/>
          <w:sz w:val="24"/>
          <w:szCs w:val="24"/>
          <w:highlight w:val="none"/>
        </w:rPr>
        <w:t>6.评标</w:t>
      </w:r>
      <w:bookmarkEnd w:id="61"/>
    </w:p>
    <w:p w14:paraId="31EA843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2" w:name="bookmark57"/>
      <w:bookmarkEnd w:id="62"/>
      <w:r>
        <w:rPr>
          <w:rFonts w:hint="eastAsia" w:ascii="宋体" w:hAnsi="宋体" w:eastAsia="宋体" w:cs="宋体"/>
          <w:color w:val="auto"/>
          <w:highlight w:val="none"/>
        </w:rPr>
        <w:t>6.1 评标委员会</w:t>
      </w:r>
    </w:p>
    <w:p w14:paraId="1B82E99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评标由招标人依法组建的评标委员会负责。评标委员会由有关技术、经济等方面的专家和招标人代表组成，专家</w:t>
      </w:r>
      <w:r>
        <w:rPr>
          <w:rFonts w:hint="eastAsia" w:ascii="宋体" w:hAnsi="宋体" w:eastAsia="宋体" w:cs="宋体"/>
          <w:color w:val="auto"/>
          <w:sz w:val="24"/>
          <w:szCs w:val="24"/>
          <w:highlight w:val="none"/>
          <w:lang w:eastAsia="zh-CN"/>
        </w:rPr>
        <w:t>从</w:t>
      </w:r>
      <w:r>
        <w:rPr>
          <w:rFonts w:hint="eastAsia" w:ascii="宋体" w:hAnsi="宋体" w:eastAsia="宋体" w:cs="宋体"/>
          <w:color w:val="auto"/>
          <w:sz w:val="24"/>
          <w:szCs w:val="24"/>
          <w:highlight w:val="none"/>
          <w:u w:val="single"/>
          <w:lang w:eastAsia="zh-CN"/>
        </w:rPr>
        <w:t>广东省综合评标评审</w:t>
      </w:r>
      <w:r>
        <w:rPr>
          <w:rFonts w:hint="eastAsia" w:ascii="宋体" w:hAnsi="宋体" w:eastAsia="宋体" w:cs="宋体"/>
          <w:color w:val="auto"/>
          <w:sz w:val="24"/>
          <w:szCs w:val="24"/>
          <w:highlight w:val="none"/>
          <w:u w:val="single"/>
        </w:rPr>
        <w:t>专家库</w:t>
      </w:r>
      <w:r>
        <w:rPr>
          <w:rFonts w:hint="eastAsia" w:ascii="宋体" w:hAnsi="宋体" w:eastAsia="宋体" w:cs="宋体"/>
          <w:color w:val="auto"/>
          <w:sz w:val="24"/>
          <w:szCs w:val="24"/>
          <w:highlight w:val="none"/>
        </w:rPr>
        <w:t>中抽取。评标委员会成员人数以及技术、经济等方面专家的确定方式见投标人须知前附表。</w:t>
      </w:r>
    </w:p>
    <w:p w14:paraId="33F101F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7029672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14:paraId="329407A1">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27E3D21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（3）招标人或投标人的工作人员、退休或离职未满3年的人员；</w:t>
      </w:r>
    </w:p>
    <w:p w14:paraId="6648273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）与投标人有经济利益关系，可能影响对投标公正评审的；</w:t>
      </w:r>
    </w:p>
    <w:p w14:paraId="00606F7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）曾因在招标、评标以及其他与招标投标有关活动中从事违法行为而受过行政处罚或刑事处罚的；</w:t>
      </w:r>
    </w:p>
    <w:p w14:paraId="3B47C477">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）与投标人有其他利害关系。</w:t>
      </w:r>
    </w:p>
    <w:p w14:paraId="345A2D3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3C320D4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3" w:name="bookmark58"/>
      <w:bookmarkEnd w:id="63"/>
      <w:r>
        <w:rPr>
          <w:rFonts w:hint="eastAsia" w:ascii="宋体" w:hAnsi="宋体" w:eastAsia="宋体" w:cs="宋体"/>
          <w:color w:val="auto"/>
          <w:highlight w:val="none"/>
        </w:rPr>
        <w:t>6.2 评标原则</w:t>
      </w:r>
    </w:p>
    <w:p w14:paraId="6E2E8C5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7B3D3C8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4" w:name="bookmark59"/>
      <w:bookmarkEnd w:id="64"/>
      <w:r>
        <w:rPr>
          <w:rFonts w:hint="eastAsia" w:ascii="宋体" w:hAnsi="宋体" w:eastAsia="宋体" w:cs="宋体"/>
          <w:color w:val="auto"/>
          <w:highlight w:val="none"/>
        </w:rPr>
        <w:t>6.3 评标</w:t>
      </w:r>
    </w:p>
    <w:p w14:paraId="6BAC540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评标委员会按照第三章“评标办法”规定的方法、评审因素、标准和程序对投标文件进 行评审。第三章“评标办法”没有规定的方法、评审因素和标准，不作为评标依据。</w:t>
      </w:r>
    </w:p>
    <w:p w14:paraId="52B2117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评标完成后，评标委员会应当向招标人提交书面评标报告和中标候选人名单。评标委员会推荐中标候选人的人数见投标人须知前附表。</w:t>
      </w:r>
    </w:p>
    <w:p w14:paraId="1A45211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6.3.3 在评标过程中，当采用电子评标系统评标发生评审故障时，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14:paraId="4FD9409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在电子评标过程中，无论遇到任何系统异常或故障，评标委员会均应出具评标报告。</w:t>
      </w:r>
    </w:p>
    <w:p w14:paraId="4B9AB7C4">
      <w:pPr>
        <w:pStyle w:val="6"/>
        <w:outlineLvl w:val="1"/>
        <w:rPr>
          <w:rFonts w:hint="eastAsia" w:ascii="宋体" w:hAnsi="宋体" w:eastAsia="宋体" w:cs="宋体"/>
          <w:color w:val="auto"/>
          <w:sz w:val="24"/>
          <w:szCs w:val="24"/>
          <w:highlight w:val="none"/>
        </w:rPr>
      </w:pPr>
      <w:bookmarkStart w:id="65" w:name="bookmark60"/>
      <w:bookmarkEnd w:id="65"/>
      <w:bookmarkStart w:id="66" w:name="_Toc26457"/>
      <w:r>
        <w:rPr>
          <w:rFonts w:hint="eastAsia" w:ascii="宋体" w:hAnsi="宋体" w:eastAsia="宋体" w:cs="宋体"/>
          <w:color w:val="auto"/>
          <w:sz w:val="24"/>
          <w:szCs w:val="24"/>
          <w:highlight w:val="none"/>
        </w:rPr>
        <w:t>7.合同授予</w:t>
      </w:r>
      <w:bookmarkEnd w:id="66"/>
    </w:p>
    <w:p w14:paraId="012D887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7" w:name="bookmark61"/>
      <w:bookmarkEnd w:id="67"/>
      <w:r>
        <w:rPr>
          <w:rFonts w:hint="eastAsia" w:ascii="宋体" w:hAnsi="宋体" w:eastAsia="宋体" w:cs="宋体"/>
          <w:color w:val="auto"/>
          <w:highlight w:val="none"/>
        </w:rPr>
        <w:t>7.1 中标候选人公示</w:t>
      </w:r>
    </w:p>
    <w:p w14:paraId="5D976286">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招标人在收到评标报告之日起3日内，按照投标人须知前附表规定的公示媒介和期限公示中标候选人，公示期不得少于3天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最后一天应为工作日</w:t>
      </w:r>
      <w:r>
        <w:rPr>
          <w:rFonts w:hint="eastAsia" w:ascii="宋体" w:hAnsi="宋体" w:eastAsia="宋体" w:cs="宋体"/>
          <w:color w:val="auto"/>
          <w:sz w:val="24"/>
          <w:szCs w:val="24"/>
          <w:highlight w:val="none"/>
        </w:rPr>
        <w:t>。</w:t>
      </w:r>
    </w:p>
    <w:p w14:paraId="55C0776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8" w:name="bookmark62"/>
      <w:bookmarkEnd w:id="68"/>
      <w:r>
        <w:rPr>
          <w:rFonts w:hint="eastAsia" w:ascii="宋体" w:hAnsi="宋体" w:eastAsia="宋体" w:cs="宋体"/>
          <w:color w:val="auto"/>
          <w:highlight w:val="none"/>
        </w:rPr>
        <w:t>7.2 评标结果异议</w:t>
      </w:r>
    </w:p>
    <w:p w14:paraId="674F2FB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1B8300F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9" w:name="bookmark63"/>
      <w:bookmarkEnd w:id="69"/>
      <w:r>
        <w:rPr>
          <w:rFonts w:hint="eastAsia" w:ascii="宋体" w:hAnsi="宋体" w:eastAsia="宋体" w:cs="宋体"/>
          <w:color w:val="auto"/>
          <w:highlight w:val="none"/>
        </w:rPr>
        <w:t>7.3 中标候选人履约能力审查</w:t>
      </w:r>
    </w:p>
    <w:p w14:paraId="4859A49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F6BD92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0" w:name="bookmark64"/>
      <w:bookmarkEnd w:id="70"/>
      <w:r>
        <w:rPr>
          <w:rFonts w:hint="eastAsia" w:ascii="宋体" w:hAnsi="宋体" w:eastAsia="宋体" w:cs="宋体"/>
          <w:color w:val="auto"/>
          <w:highlight w:val="none"/>
        </w:rPr>
        <w:t>7.4 定标</w:t>
      </w:r>
    </w:p>
    <w:p w14:paraId="04B56326">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14:paraId="29E5DD4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1" w:name="bookmark65"/>
      <w:bookmarkEnd w:id="71"/>
      <w:r>
        <w:rPr>
          <w:rFonts w:hint="eastAsia" w:ascii="宋体" w:hAnsi="宋体" w:eastAsia="宋体" w:cs="宋体"/>
          <w:color w:val="auto"/>
          <w:highlight w:val="none"/>
        </w:rPr>
        <w:t>7.5 中标通知</w:t>
      </w:r>
    </w:p>
    <w:p w14:paraId="391D0FD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bookmarkStart w:id="72" w:name="bookmark66"/>
      <w:bookmarkEnd w:id="72"/>
      <w:r>
        <w:rPr>
          <w:rFonts w:hint="eastAsia" w:ascii="宋体" w:hAnsi="宋体" w:eastAsia="宋体" w:cs="宋体"/>
          <w:color w:val="auto"/>
          <w:sz w:val="24"/>
          <w:szCs w:val="24"/>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7DB231D6">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7.5.2  中标通知书发出前，中标人应未被纳入失信联合惩戒名单，否则招标人将取消其中标资格。失信联合惩戒名单以“信用广州”网站公布的“黑名单”为准。</w:t>
      </w:r>
    </w:p>
    <w:p w14:paraId="00F8E19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7.6 履约保证金</w:t>
      </w:r>
    </w:p>
    <w:p w14:paraId="00142C84">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7.6.1 在签订合同后30日内，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strike/>
          <w:color w:val="auto"/>
          <w:sz w:val="24"/>
          <w:szCs w:val="24"/>
          <w:highlight w:val="none"/>
        </w:rPr>
        <w:t>联合体中标的，其履约保证金以联合体各方或者联合体中</w:t>
      </w:r>
      <w:r>
        <w:rPr>
          <w:rFonts w:hint="eastAsia" w:ascii="宋体" w:hAnsi="宋体" w:eastAsia="宋体" w:cs="宋体"/>
          <w:strike/>
          <w:color w:val="auto"/>
          <w:spacing w:val="-2"/>
          <w:sz w:val="24"/>
          <w:szCs w:val="24"/>
          <w:highlight w:val="none"/>
          <w:lang w:eastAsia="zh-CN"/>
        </w:rPr>
        <w:t>主办方</w:t>
      </w:r>
      <w:r>
        <w:rPr>
          <w:rFonts w:hint="eastAsia" w:ascii="宋体" w:hAnsi="宋体" w:eastAsia="宋体" w:cs="宋体"/>
          <w:strike/>
          <w:color w:val="auto"/>
          <w:sz w:val="24"/>
          <w:szCs w:val="24"/>
          <w:highlight w:val="none"/>
        </w:rPr>
        <w:t>的名义提交。</w:t>
      </w:r>
    </w:p>
    <w:p w14:paraId="39894B61">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7.6.2 </w:t>
      </w:r>
      <w:r>
        <w:rPr>
          <w:rFonts w:hint="eastAsia" w:cs="宋体"/>
          <w:color w:val="auto"/>
          <w:sz w:val="24"/>
          <w:highlight w:val="none"/>
        </w:rPr>
        <w:t>中标人不能按本章第 7.6.1 项要求提交履约保证金的，视为放弃中标，给招标人造成的损失，中标人还应当赔偿损失</w:t>
      </w:r>
      <w:r>
        <w:rPr>
          <w:rFonts w:hint="eastAsia" w:ascii="宋体" w:hAnsi="宋体" w:eastAsia="宋体" w:cs="宋体"/>
          <w:color w:val="auto"/>
          <w:sz w:val="24"/>
          <w:szCs w:val="24"/>
          <w:highlight w:val="none"/>
        </w:rPr>
        <w:t>。</w:t>
      </w:r>
    </w:p>
    <w:p w14:paraId="70EABF01">
      <w:pPr>
        <w:pStyle w:val="13"/>
        <w:kinsoku w:val="0"/>
        <w:overflowPunct w:val="0"/>
        <w:spacing w:before="13"/>
        <w:ind w:left="0"/>
        <w:rPr>
          <w:rFonts w:hint="eastAsia" w:ascii="宋体" w:hAnsi="宋体" w:eastAsia="宋体" w:cs="宋体"/>
          <w:color w:val="auto"/>
          <w:sz w:val="13"/>
          <w:szCs w:val="24"/>
          <w:highlight w:val="none"/>
        </w:rPr>
      </w:pPr>
    </w:p>
    <w:p w14:paraId="34ABAEF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3" w:name="bookmark67"/>
      <w:bookmarkEnd w:id="73"/>
      <w:r>
        <w:rPr>
          <w:rFonts w:hint="eastAsia" w:ascii="宋体" w:hAnsi="宋体" w:eastAsia="宋体" w:cs="宋体"/>
          <w:color w:val="auto"/>
          <w:highlight w:val="none"/>
        </w:rPr>
        <w:t>7.7 签订合同</w:t>
      </w:r>
    </w:p>
    <w:p w14:paraId="30E9925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或者不按照招标文件要求提交履约保证金的，招标人有权取消其中标资格，给招标人造成的损失超过投标保证金数额的，中标人还应当对超过部分予以赔偿。</w:t>
      </w:r>
    </w:p>
    <w:p w14:paraId="520DAA6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发出中标通知书后，招标人无正当理由拒签合同，或者在签订合同时向中标人提出附加条件的，给中标人造成损失的，还应当赔偿损失。</w:t>
      </w:r>
    </w:p>
    <w:p w14:paraId="67ED9241">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7.7.3 联合体中标的，联合体各方应当共同与招标人签订合同，就中标项目向招标人承担连带责任。</w:t>
      </w:r>
    </w:p>
    <w:p w14:paraId="4BCA0E02">
      <w:pPr>
        <w:pStyle w:val="6"/>
        <w:outlineLvl w:val="1"/>
        <w:rPr>
          <w:rFonts w:hint="eastAsia" w:ascii="宋体" w:hAnsi="宋体" w:eastAsia="宋体" w:cs="宋体"/>
          <w:b w:val="0"/>
          <w:color w:val="auto"/>
          <w:sz w:val="30"/>
          <w:szCs w:val="24"/>
          <w:highlight w:val="none"/>
        </w:rPr>
      </w:pPr>
      <w:bookmarkStart w:id="74" w:name="bookmark68"/>
      <w:bookmarkEnd w:id="74"/>
      <w:bookmarkStart w:id="75" w:name="_Toc5503"/>
      <w:r>
        <w:rPr>
          <w:rFonts w:hint="eastAsia" w:ascii="宋体" w:hAnsi="宋体" w:eastAsia="宋体" w:cs="宋体"/>
          <w:color w:val="auto"/>
          <w:sz w:val="24"/>
          <w:szCs w:val="24"/>
          <w:highlight w:val="none"/>
        </w:rPr>
        <w:t>8.纪律和监督</w:t>
      </w:r>
      <w:bookmarkEnd w:id="75"/>
    </w:p>
    <w:p w14:paraId="7F05AE2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6" w:name="bookmark69"/>
      <w:bookmarkEnd w:id="76"/>
      <w:r>
        <w:rPr>
          <w:rFonts w:hint="eastAsia" w:ascii="宋体" w:hAnsi="宋体" w:eastAsia="宋体" w:cs="宋体"/>
          <w:color w:val="auto"/>
          <w:highlight w:val="none"/>
        </w:rPr>
        <w:t>8.1 对招标人的纪律要求</w:t>
      </w:r>
    </w:p>
    <w:p w14:paraId="45B896A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p>
    <w:p w14:paraId="1DEE11F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7" w:name="bookmark70"/>
      <w:bookmarkEnd w:id="77"/>
      <w:r>
        <w:rPr>
          <w:rFonts w:hint="eastAsia" w:ascii="宋体" w:hAnsi="宋体" w:eastAsia="宋体" w:cs="宋体"/>
          <w:color w:val="auto"/>
          <w:highlight w:val="none"/>
        </w:rPr>
        <w:t>8.2 对投标人的纪律要求</w:t>
      </w:r>
    </w:p>
    <w:p w14:paraId="6390ED10">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5D940D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8" w:name="bookmark71"/>
      <w:bookmarkEnd w:id="78"/>
      <w:r>
        <w:rPr>
          <w:rFonts w:hint="eastAsia" w:ascii="宋体" w:hAnsi="宋体" w:eastAsia="宋体" w:cs="宋体"/>
          <w:color w:val="auto"/>
          <w:highlight w:val="none"/>
        </w:rPr>
        <w:t>8.3 对评标委员会成员的纪律要求</w:t>
      </w:r>
    </w:p>
    <w:p w14:paraId="436B8237">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27D969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9" w:name="bookmark72"/>
      <w:bookmarkEnd w:id="79"/>
      <w:r>
        <w:rPr>
          <w:rFonts w:hint="eastAsia" w:ascii="宋体" w:hAnsi="宋体" w:eastAsia="宋体" w:cs="宋体"/>
          <w:color w:val="auto"/>
          <w:highlight w:val="none"/>
        </w:rPr>
        <w:t>8.4 对与评标活动有关的工作人员的纪律要求</w:t>
      </w:r>
    </w:p>
    <w:p w14:paraId="4B2847BA">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B48D70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0" w:name="bookmark73"/>
      <w:bookmarkEnd w:id="80"/>
      <w:r>
        <w:rPr>
          <w:rFonts w:hint="eastAsia" w:ascii="宋体" w:hAnsi="宋体" w:eastAsia="宋体" w:cs="宋体"/>
          <w:color w:val="auto"/>
          <w:highlight w:val="none"/>
        </w:rPr>
        <w:t>8.5 投诉</w:t>
      </w:r>
    </w:p>
    <w:p w14:paraId="32D08674">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D9CA71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投标人或者其他利害关系人对招标文件、开标和评标结果提出投诉的，应当按照投标人须知第5.3款和第7.2款的规定先向招标人提出异议。异议答复期间不计算在第8.5.1项规定的期限内。</w:t>
      </w:r>
    </w:p>
    <w:p w14:paraId="54BDFED0">
      <w:pPr>
        <w:pStyle w:val="6"/>
        <w:outlineLvl w:val="1"/>
        <w:rPr>
          <w:rFonts w:hint="eastAsia" w:ascii="宋体" w:hAnsi="宋体" w:eastAsia="宋体" w:cs="宋体"/>
          <w:b w:val="0"/>
          <w:color w:val="auto"/>
          <w:sz w:val="19"/>
          <w:szCs w:val="24"/>
          <w:highlight w:val="none"/>
        </w:rPr>
      </w:pPr>
      <w:bookmarkStart w:id="81" w:name="bookmark74"/>
      <w:bookmarkEnd w:id="81"/>
      <w:bookmarkStart w:id="82" w:name="_Toc31836"/>
      <w:r>
        <w:rPr>
          <w:rFonts w:hint="eastAsia" w:ascii="宋体" w:hAnsi="宋体" w:eastAsia="宋体" w:cs="宋体"/>
          <w:color w:val="auto"/>
          <w:sz w:val="24"/>
          <w:szCs w:val="24"/>
          <w:highlight w:val="none"/>
        </w:rPr>
        <w:t>9.采用电子招标投标</w:t>
      </w:r>
      <w:bookmarkEnd w:id="82"/>
    </w:p>
    <w:p w14:paraId="2A6C25C4">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本招标项目采用电子招标投标方式，</w:t>
      </w:r>
      <w:r>
        <w:rPr>
          <w:rFonts w:hint="eastAsia" w:ascii="宋体" w:hAnsi="宋体" w:eastAsia="宋体" w:cs="宋体"/>
          <w:color w:val="auto"/>
          <w:spacing w:val="-8"/>
          <w:sz w:val="24"/>
          <w:szCs w:val="24"/>
          <w:highlight w:val="none"/>
          <w:lang w:eastAsia="zh-CN"/>
        </w:rPr>
        <w:t>按照广州交易集团有限公司（广州公共资源交易中心）网站关于全流程电子化项目的相关指南进行操作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14:paraId="5E623BBE">
      <w:pPr>
        <w:pStyle w:val="6"/>
        <w:outlineLvl w:val="1"/>
        <w:rPr>
          <w:rFonts w:hint="eastAsia" w:ascii="宋体" w:hAnsi="宋体" w:eastAsia="宋体" w:cs="宋体"/>
          <w:color w:val="auto"/>
          <w:sz w:val="24"/>
          <w:szCs w:val="24"/>
          <w:highlight w:val="none"/>
        </w:rPr>
      </w:pPr>
      <w:bookmarkStart w:id="83" w:name="bookmark75"/>
      <w:bookmarkEnd w:id="83"/>
      <w:bookmarkStart w:id="84" w:name="_Toc7238"/>
      <w:r>
        <w:rPr>
          <w:rFonts w:hint="eastAsia" w:ascii="宋体" w:hAnsi="宋体" w:eastAsia="宋体" w:cs="宋体"/>
          <w:color w:val="auto"/>
          <w:sz w:val="24"/>
          <w:szCs w:val="24"/>
          <w:highlight w:val="none"/>
        </w:rPr>
        <w:t>10.需要补充的其他内容</w:t>
      </w:r>
      <w:bookmarkEnd w:id="84"/>
    </w:p>
    <w:p w14:paraId="05A61B61">
      <w:pPr>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t>需要补充的其他内容：见投标人须知前附表。</w:t>
      </w:r>
    </w:p>
    <w:p w14:paraId="3809146D">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7AC39869">
      <w:pPr>
        <w:pStyle w:val="7"/>
        <w:outlineLvl w:val="0"/>
        <w:rPr>
          <w:rFonts w:hint="eastAsia" w:ascii="宋体" w:hAnsi="宋体" w:eastAsia="宋体" w:cs="宋体"/>
          <w:color w:val="auto"/>
          <w:sz w:val="28"/>
          <w:szCs w:val="24"/>
          <w:highlight w:val="none"/>
        </w:rPr>
      </w:pPr>
      <w:bookmarkStart w:id="85" w:name="bookmark77"/>
      <w:bookmarkEnd w:id="85"/>
      <w:bookmarkStart w:id="86" w:name="bookmark76"/>
      <w:bookmarkEnd w:id="86"/>
      <w:bookmarkStart w:id="87" w:name="_Toc1460"/>
      <w:bookmarkStart w:id="88" w:name="_Toc5057"/>
      <w:r>
        <w:rPr>
          <w:rFonts w:hint="eastAsia" w:ascii="宋体" w:hAnsi="宋体" w:eastAsia="宋体" w:cs="宋体"/>
          <w:color w:val="auto"/>
          <w:sz w:val="28"/>
          <w:szCs w:val="24"/>
          <w:highlight w:val="none"/>
        </w:rPr>
        <w:t>附件</w:t>
      </w:r>
      <w:r>
        <w:rPr>
          <w:rFonts w:hint="eastAsia" w:ascii="宋体" w:hAnsi="宋体" w:eastAsia="宋体" w:cs="宋体"/>
          <w:color w:val="auto"/>
          <w:sz w:val="28"/>
          <w:szCs w:val="24"/>
          <w:highlight w:val="none"/>
          <w:lang w:eastAsia="zh-CN"/>
        </w:rPr>
        <w:t>一</w:t>
      </w:r>
      <w:r>
        <w:rPr>
          <w:rFonts w:hint="eastAsia" w:ascii="宋体" w:hAnsi="宋体" w:eastAsia="宋体" w:cs="宋体"/>
          <w:color w:val="auto"/>
          <w:sz w:val="28"/>
          <w:szCs w:val="24"/>
          <w:highlight w:val="none"/>
        </w:rPr>
        <w:t>：问题澄清通知</w:t>
      </w:r>
      <w:bookmarkEnd w:id="87"/>
      <w:bookmarkEnd w:id="88"/>
    </w:p>
    <w:p w14:paraId="09F1DF69">
      <w:pPr>
        <w:pStyle w:val="13"/>
        <w:kinsoku w:val="0"/>
        <w:overflowPunct w:val="0"/>
        <w:ind w:left="0"/>
        <w:rPr>
          <w:rFonts w:hint="eastAsia" w:ascii="宋体" w:hAnsi="宋体" w:eastAsia="宋体" w:cs="宋体"/>
          <w:color w:val="auto"/>
          <w:sz w:val="20"/>
          <w:szCs w:val="24"/>
          <w:highlight w:val="none"/>
        </w:rPr>
      </w:pPr>
    </w:p>
    <w:p w14:paraId="02AE549A">
      <w:pPr>
        <w:pStyle w:val="13"/>
        <w:kinsoku w:val="0"/>
        <w:overflowPunct w:val="0"/>
        <w:ind w:left="0"/>
        <w:rPr>
          <w:rFonts w:hint="eastAsia" w:ascii="宋体" w:hAnsi="宋体" w:eastAsia="宋体" w:cs="宋体"/>
          <w:color w:val="auto"/>
          <w:sz w:val="20"/>
          <w:szCs w:val="24"/>
          <w:highlight w:val="none"/>
        </w:rPr>
      </w:pPr>
    </w:p>
    <w:p w14:paraId="1A87326F">
      <w:pPr>
        <w:pStyle w:val="13"/>
        <w:kinsoku w:val="0"/>
        <w:overflowPunct w:val="0"/>
        <w:ind w:left="0"/>
        <w:rPr>
          <w:rFonts w:hint="eastAsia" w:ascii="宋体" w:hAnsi="宋体" w:eastAsia="宋体" w:cs="宋体"/>
          <w:color w:val="auto"/>
          <w:sz w:val="20"/>
          <w:szCs w:val="24"/>
          <w:highlight w:val="none"/>
        </w:rPr>
      </w:pPr>
    </w:p>
    <w:p w14:paraId="42349D7D">
      <w:pPr>
        <w:pStyle w:val="13"/>
        <w:kinsoku w:val="0"/>
        <w:overflowPunct w:val="0"/>
        <w:spacing w:before="4"/>
        <w:ind w:left="0"/>
        <w:rPr>
          <w:rFonts w:hint="eastAsia" w:ascii="宋体" w:hAnsi="宋体" w:eastAsia="宋体" w:cs="宋体"/>
          <w:color w:val="auto"/>
          <w:sz w:val="17"/>
          <w:szCs w:val="24"/>
          <w:highlight w:val="none"/>
        </w:rPr>
      </w:pPr>
    </w:p>
    <w:p w14:paraId="128BB8D5">
      <w:pPr>
        <w:pStyle w:val="13"/>
        <w:kinsoku w:val="0"/>
        <w:overflowPunct w:val="0"/>
        <w:spacing w:before="14"/>
        <w:ind w:left="0" w:right="13"/>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问题澄清通知</w:t>
      </w:r>
    </w:p>
    <w:p w14:paraId="11C19426">
      <w:pPr>
        <w:pStyle w:val="13"/>
        <w:tabs>
          <w:tab w:val="left" w:pos="2937"/>
        </w:tabs>
        <w:kinsoku w:val="0"/>
        <w:overflowPunct w:val="0"/>
        <w:spacing w:before="157"/>
        <w:ind w:left="0" w:right="20"/>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w:t>
      </w:r>
    </w:p>
    <w:p w14:paraId="5BD99EAC">
      <w:pPr>
        <w:pStyle w:val="13"/>
        <w:kinsoku w:val="0"/>
        <w:overflowPunct w:val="0"/>
        <w:ind w:left="0"/>
        <w:rPr>
          <w:rFonts w:hint="eastAsia" w:ascii="宋体" w:hAnsi="宋体" w:eastAsia="宋体" w:cs="宋体"/>
          <w:color w:val="auto"/>
          <w:sz w:val="20"/>
          <w:szCs w:val="24"/>
          <w:highlight w:val="none"/>
        </w:rPr>
      </w:pPr>
    </w:p>
    <w:p w14:paraId="03791F77">
      <w:pPr>
        <w:pStyle w:val="13"/>
        <w:kinsoku w:val="0"/>
        <w:overflowPunct w:val="0"/>
        <w:spacing w:before="5"/>
        <w:ind w:left="0"/>
        <w:rPr>
          <w:rFonts w:hint="eastAsia" w:ascii="宋体" w:hAnsi="宋体" w:eastAsia="宋体" w:cs="宋体"/>
          <w:color w:val="auto"/>
          <w:sz w:val="23"/>
          <w:szCs w:val="24"/>
          <w:highlight w:val="none"/>
        </w:rPr>
      </w:pPr>
    </w:p>
    <w:p w14:paraId="0733A864">
      <w:pPr>
        <w:pStyle w:val="13"/>
        <w:tabs>
          <w:tab w:val="left" w:pos="2305"/>
        </w:tabs>
        <w:kinsoku w:val="0"/>
        <w:overflowPunct w:val="0"/>
        <w:spacing w:before="36"/>
        <w:ind w:left="100" w:right="113"/>
        <w:rPr>
          <w:rFonts w:hint="eastAsia" w:ascii="宋体" w:hAnsi="宋体" w:eastAsia="宋体"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5"/>
          <w:sz w:val="21"/>
          <w:szCs w:val="24"/>
          <w:highlight w:val="none"/>
        </w:rPr>
        <w:t>（投标人名称）：</w:t>
      </w:r>
    </w:p>
    <w:p w14:paraId="62CE6013">
      <w:pPr>
        <w:pStyle w:val="13"/>
        <w:kinsoku w:val="0"/>
        <w:overflowPunct w:val="0"/>
        <w:ind w:left="0"/>
        <w:rPr>
          <w:rFonts w:hint="eastAsia" w:ascii="宋体" w:hAnsi="宋体" w:eastAsia="宋体" w:cs="宋体"/>
          <w:color w:val="auto"/>
          <w:sz w:val="20"/>
          <w:szCs w:val="24"/>
          <w:highlight w:val="none"/>
        </w:rPr>
      </w:pPr>
    </w:p>
    <w:p w14:paraId="63101685">
      <w:pPr>
        <w:pStyle w:val="13"/>
        <w:kinsoku w:val="0"/>
        <w:overflowPunct w:val="0"/>
        <w:spacing w:before="8"/>
        <w:ind w:left="0"/>
        <w:rPr>
          <w:rFonts w:hint="eastAsia" w:ascii="宋体" w:hAnsi="宋体" w:eastAsia="宋体" w:cs="宋体"/>
          <w:color w:val="auto"/>
          <w:sz w:val="23"/>
          <w:szCs w:val="24"/>
          <w:highlight w:val="none"/>
        </w:rPr>
      </w:pPr>
    </w:p>
    <w:p w14:paraId="751439F8">
      <w:pPr>
        <w:pStyle w:val="13"/>
        <w:kinsoku w:val="0"/>
        <w:overflowPunct w:val="0"/>
        <w:spacing w:before="36" w:line="384" w:lineRule="auto"/>
        <w:ind w:left="100" w:right="113" w:firstLine="422"/>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评标委员会对你方的投标文件进行了仔细的审查，现需你方对下列问题以书面形式予以澄</w:t>
      </w:r>
      <w:r>
        <w:rPr>
          <w:rFonts w:hint="eastAsia" w:ascii="宋体" w:hAnsi="宋体" w:eastAsia="宋体" w:cs="宋体"/>
          <w:color w:val="auto"/>
          <w:sz w:val="21"/>
          <w:szCs w:val="24"/>
          <w:highlight w:val="none"/>
        </w:rPr>
        <w:t xml:space="preserve"> 清、说明或补正：</w:t>
      </w:r>
    </w:p>
    <w:p w14:paraId="7E0E6CD8">
      <w:pPr>
        <w:pStyle w:val="13"/>
        <w:kinsoku w:val="0"/>
        <w:overflowPunct w:val="0"/>
        <w:ind w:left="0"/>
        <w:rPr>
          <w:rFonts w:hint="eastAsia" w:ascii="宋体" w:hAnsi="宋体" w:eastAsia="宋体" w:cs="宋体"/>
          <w:color w:val="auto"/>
          <w:sz w:val="20"/>
          <w:szCs w:val="24"/>
          <w:highlight w:val="none"/>
        </w:rPr>
      </w:pPr>
    </w:p>
    <w:p w14:paraId="662754F3">
      <w:pPr>
        <w:pStyle w:val="13"/>
        <w:kinsoku w:val="0"/>
        <w:overflowPunct w:val="0"/>
        <w:spacing w:before="6"/>
        <w:ind w:left="0"/>
        <w:rPr>
          <w:rFonts w:hint="eastAsia" w:ascii="宋体" w:hAnsi="宋体" w:eastAsia="宋体" w:cs="宋体"/>
          <w:color w:val="auto"/>
          <w:sz w:val="20"/>
          <w:szCs w:val="24"/>
          <w:highlight w:val="none"/>
        </w:rPr>
      </w:pPr>
    </w:p>
    <w:p w14:paraId="24C5D266">
      <w:pPr>
        <w:pStyle w:val="13"/>
        <w:kinsoku w:val="0"/>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67A1924A">
      <w:pPr>
        <w:pStyle w:val="13"/>
        <w:kinsoku w:val="0"/>
        <w:overflowPunct w:val="0"/>
        <w:spacing w:before="2"/>
        <w:ind w:left="0"/>
        <w:rPr>
          <w:rFonts w:hint="eastAsia" w:ascii="宋体" w:hAnsi="宋体" w:eastAsia="宋体" w:cs="宋体"/>
          <w:color w:val="auto"/>
          <w:sz w:val="17"/>
          <w:szCs w:val="24"/>
          <w:highlight w:val="none"/>
        </w:rPr>
      </w:pPr>
    </w:p>
    <w:p w14:paraId="055A4451">
      <w:pPr>
        <w:pStyle w:val="13"/>
        <w:kinsoku w:val="0"/>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54A73DAB">
      <w:pPr>
        <w:pStyle w:val="13"/>
        <w:kinsoku w:val="0"/>
        <w:overflowPunct w:val="0"/>
        <w:spacing w:before="5"/>
        <w:ind w:left="0"/>
        <w:rPr>
          <w:rFonts w:hint="eastAsia" w:ascii="宋体" w:hAnsi="宋体" w:eastAsia="宋体" w:cs="宋体"/>
          <w:color w:val="auto"/>
          <w:sz w:val="17"/>
          <w:szCs w:val="24"/>
          <w:highlight w:val="none"/>
        </w:rPr>
      </w:pPr>
    </w:p>
    <w:p w14:paraId="455B1558">
      <w:pPr>
        <w:pStyle w:val="13"/>
        <w:kinsoku w:val="0"/>
        <w:overflowPunct w:val="0"/>
        <w:ind w:left="628"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0AA69F7B">
      <w:pPr>
        <w:pStyle w:val="13"/>
        <w:kinsoku w:val="0"/>
        <w:overflowPunct w:val="0"/>
        <w:ind w:left="0"/>
        <w:rPr>
          <w:rFonts w:hint="eastAsia" w:ascii="宋体" w:hAnsi="宋体" w:eastAsia="宋体" w:cs="宋体"/>
          <w:color w:val="auto"/>
          <w:sz w:val="20"/>
          <w:szCs w:val="24"/>
          <w:highlight w:val="none"/>
        </w:rPr>
      </w:pPr>
    </w:p>
    <w:p w14:paraId="7DB18ADC">
      <w:pPr>
        <w:pStyle w:val="13"/>
        <w:kinsoku w:val="0"/>
        <w:overflowPunct w:val="0"/>
        <w:ind w:left="0"/>
        <w:rPr>
          <w:rFonts w:hint="eastAsia" w:ascii="宋体" w:hAnsi="宋体" w:eastAsia="宋体" w:cs="宋体"/>
          <w:color w:val="auto"/>
          <w:sz w:val="20"/>
          <w:szCs w:val="24"/>
          <w:highlight w:val="none"/>
        </w:rPr>
      </w:pPr>
    </w:p>
    <w:p w14:paraId="394D750D">
      <w:pPr>
        <w:pStyle w:val="13"/>
        <w:tabs>
          <w:tab w:val="left" w:pos="4603"/>
          <w:tab w:val="left" w:pos="5549"/>
          <w:tab w:val="left" w:pos="6494"/>
          <w:tab w:val="left" w:pos="7438"/>
        </w:tabs>
        <w:kinsoku w:val="0"/>
        <w:overflowPunct w:val="0"/>
        <w:spacing w:before="127"/>
        <w:ind w:left="505"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请将上述问题的澄清、说明或补正于</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日</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pacing w:val="-2"/>
          <w:sz w:val="21"/>
          <w:szCs w:val="24"/>
          <w:highlight w:val="none"/>
        </w:rPr>
        <w:t>时前递交至</w:t>
      </w:r>
    </w:p>
    <w:p w14:paraId="29EB87C6">
      <w:pPr>
        <w:pStyle w:val="13"/>
        <w:kinsoku w:val="0"/>
        <w:overflowPunct w:val="0"/>
        <w:spacing w:before="13"/>
        <w:ind w:left="0"/>
        <w:rPr>
          <w:rFonts w:hint="eastAsia" w:ascii="宋体" w:hAnsi="宋体" w:eastAsia="宋体" w:cs="宋体"/>
          <w:color w:val="auto"/>
          <w:sz w:val="9"/>
          <w:szCs w:val="24"/>
          <w:highlight w:val="none"/>
        </w:rPr>
      </w:pPr>
    </w:p>
    <w:p w14:paraId="2E0F1A22">
      <w:pPr>
        <w:pStyle w:val="13"/>
        <w:tabs>
          <w:tab w:val="left" w:pos="3040"/>
          <w:tab w:val="left" w:pos="7296"/>
        </w:tabs>
        <w:kinsoku w:val="0"/>
        <w:overflowPunct w:val="0"/>
        <w:spacing w:before="36"/>
        <w:ind w:left="100"/>
        <w:rPr>
          <w:rFonts w:hint="eastAsia" w:ascii="宋体" w:hAnsi="宋体" w:eastAsia="宋体" w:cs="宋体"/>
          <w:color w:val="auto"/>
          <w:spacing w:val="-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5"/>
          <w:sz w:val="21"/>
          <w:szCs w:val="24"/>
          <w:highlight w:val="none"/>
        </w:rPr>
        <w:t>（详细地址）或传真至</w:t>
      </w:r>
      <w:r>
        <w:rPr>
          <w:rFonts w:hint="eastAsia" w:ascii="宋体" w:hAnsi="宋体" w:eastAsia="宋体" w:cs="宋体"/>
          <w:color w:val="auto"/>
          <w:spacing w:val="-5"/>
          <w:sz w:val="21"/>
          <w:szCs w:val="24"/>
          <w:highlight w:val="none"/>
          <w:u w:val="single"/>
        </w:rPr>
        <w:tab/>
      </w:r>
      <w:r>
        <w:rPr>
          <w:rFonts w:hint="eastAsia" w:ascii="宋体" w:hAnsi="宋体" w:eastAsia="宋体" w:cs="宋体"/>
          <w:color w:val="auto"/>
          <w:spacing w:val="-5"/>
          <w:sz w:val="21"/>
          <w:szCs w:val="24"/>
          <w:highlight w:val="none"/>
        </w:rPr>
        <w:t>（传真号码）或</w:t>
      </w:r>
    </w:p>
    <w:p w14:paraId="03B0C337">
      <w:pPr>
        <w:pStyle w:val="13"/>
        <w:kinsoku w:val="0"/>
        <w:overflowPunct w:val="0"/>
        <w:spacing w:before="10"/>
        <w:ind w:left="0"/>
        <w:rPr>
          <w:rFonts w:hint="eastAsia" w:ascii="宋体" w:hAnsi="宋体" w:eastAsia="宋体" w:cs="宋体"/>
          <w:color w:val="auto"/>
          <w:sz w:val="9"/>
          <w:szCs w:val="24"/>
          <w:highlight w:val="none"/>
        </w:rPr>
      </w:pPr>
    </w:p>
    <w:p w14:paraId="01F0420D">
      <w:pPr>
        <w:pStyle w:val="13"/>
        <w:tabs>
          <w:tab w:val="left" w:pos="7138"/>
          <w:tab w:val="left" w:pos="8084"/>
        </w:tabs>
        <w:kinsoku w:val="0"/>
        <w:overflowPunct w:val="0"/>
        <w:spacing w:before="36"/>
        <w:ind w:left="100" w:right="113"/>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通过下载招标文件的电子招标交易平台上传。采用传真方式的，应在</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月</w:t>
      </w:r>
    </w:p>
    <w:p w14:paraId="0490D57A">
      <w:pPr>
        <w:pStyle w:val="13"/>
        <w:kinsoku w:val="0"/>
        <w:overflowPunct w:val="0"/>
        <w:spacing w:before="10"/>
        <w:ind w:left="0"/>
        <w:rPr>
          <w:rFonts w:hint="eastAsia" w:ascii="宋体" w:hAnsi="宋体" w:eastAsia="宋体" w:cs="宋体"/>
          <w:color w:val="auto"/>
          <w:sz w:val="9"/>
          <w:szCs w:val="24"/>
          <w:highlight w:val="none"/>
        </w:rPr>
      </w:pPr>
    </w:p>
    <w:p w14:paraId="41F60BEC">
      <w:pPr>
        <w:pStyle w:val="13"/>
        <w:tabs>
          <w:tab w:val="left" w:pos="837"/>
          <w:tab w:val="left" w:pos="1782"/>
          <w:tab w:val="left" w:pos="5669"/>
        </w:tabs>
        <w:kinsoku w:val="0"/>
        <w:overflowPunct w:val="0"/>
        <w:spacing w:before="36"/>
        <w:ind w:left="100" w:right="113"/>
        <w:rPr>
          <w:rFonts w:hint="eastAsia" w:ascii="宋体" w:hAnsi="宋体" w:eastAsia="宋体" w:cs="宋体"/>
          <w:color w:val="auto"/>
          <w:spacing w:val="-17"/>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2"/>
          <w:sz w:val="21"/>
          <w:szCs w:val="24"/>
          <w:highlight w:val="none"/>
        </w:rPr>
        <w:t>时前将原件递交至</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7"/>
          <w:sz w:val="21"/>
          <w:szCs w:val="24"/>
          <w:highlight w:val="none"/>
        </w:rPr>
        <w:t>（详细地址）。</w:t>
      </w:r>
    </w:p>
    <w:p w14:paraId="10ED7EB7">
      <w:pPr>
        <w:pStyle w:val="13"/>
        <w:kinsoku w:val="0"/>
        <w:overflowPunct w:val="0"/>
        <w:ind w:left="0"/>
        <w:rPr>
          <w:rFonts w:hint="eastAsia" w:ascii="宋体" w:hAnsi="宋体" w:eastAsia="宋体" w:cs="宋体"/>
          <w:color w:val="auto"/>
          <w:sz w:val="20"/>
          <w:szCs w:val="24"/>
          <w:highlight w:val="none"/>
        </w:rPr>
      </w:pPr>
    </w:p>
    <w:p w14:paraId="7C33B30F">
      <w:pPr>
        <w:pStyle w:val="13"/>
        <w:kinsoku w:val="0"/>
        <w:overflowPunct w:val="0"/>
        <w:ind w:left="0"/>
        <w:rPr>
          <w:rFonts w:hint="eastAsia" w:ascii="宋体" w:hAnsi="宋体" w:eastAsia="宋体" w:cs="宋体"/>
          <w:color w:val="auto"/>
          <w:sz w:val="20"/>
          <w:szCs w:val="24"/>
          <w:highlight w:val="none"/>
        </w:rPr>
      </w:pPr>
    </w:p>
    <w:p w14:paraId="1711D4CB">
      <w:pPr>
        <w:pStyle w:val="13"/>
        <w:kinsoku w:val="0"/>
        <w:overflowPunct w:val="0"/>
        <w:ind w:left="0"/>
        <w:rPr>
          <w:rFonts w:hint="eastAsia" w:ascii="宋体" w:hAnsi="宋体" w:eastAsia="宋体" w:cs="宋体"/>
          <w:color w:val="auto"/>
          <w:sz w:val="20"/>
          <w:szCs w:val="24"/>
          <w:highlight w:val="none"/>
        </w:rPr>
      </w:pPr>
    </w:p>
    <w:p w14:paraId="77307E83">
      <w:pPr>
        <w:pStyle w:val="13"/>
        <w:kinsoku w:val="0"/>
        <w:overflowPunct w:val="0"/>
        <w:spacing w:before="2"/>
        <w:ind w:left="0"/>
        <w:rPr>
          <w:rFonts w:hint="eastAsia" w:ascii="宋体" w:hAnsi="宋体" w:eastAsia="宋体" w:cs="宋体"/>
          <w:color w:val="auto"/>
          <w:sz w:val="17"/>
          <w:szCs w:val="24"/>
          <w:highlight w:val="none"/>
        </w:rPr>
      </w:pPr>
    </w:p>
    <w:p w14:paraId="43CF16CE">
      <w:pPr>
        <w:pStyle w:val="13"/>
        <w:tabs>
          <w:tab w:val="left" w:pos="7032"/>
        </w:tabs>
        <w:kinsoku w:val="0"/>
        <w:overflowPunct w:val="0"/>
        <w:spacing w:before="36"/>
        <w:ind w:left="2200" w:right="113"/>
        <w:rPr>
          <w:rFonts w:hint="eastAsia" w:ascii="宋体" w:hAnsi="宋体" w:eastAsia="宋体" w:cs="宋体"/>
          <w:color w:val="auto"/>
          <w:spacing w:val="-1"/>
          <w:sz w:val="21"/>
          <w:szCs w:val="24"/>
          <w:highlight w:val="none"/>
        </w:rPr>
      </w:pPr>
      <w:r>
        <w:rPr>
          <w:rFonts w:hint="eastAsia" w:ascii="宋体" w:hAnsi="宋体" w:eastAsia="宋体" w:cs="宋体"/>
          <w:color w:val="auto"/>
          <w:spacing w:val="-2"/>
          <w:sz w:val="21"/>
          <w:szCs w:val="24"/>
          <w:highlight w:val="none"/>
        </w:rPr>
        <w:t>评标委员会</w:t>
      </w:r>
      <w:r>
        <w:rPr>
          <w:rFonts w:hint="eastAsia" w:ascii="宋体" w:hAnsi="宋体" w:eastAsia="宋体" w:cs="宋体"/>
          <w:color w:val="auto"/>
          <w:spacing w:val="-2"/>
          <w:sz w:val="21"/>
          <w:szCs w:val="24"/>
          <w:highlight w:val="none"/>
          <w:lang w:eastAsia="zh-CN"/>
        </w:rPr>
        <w:t>签字</w:t>
      </w:r>
      <w:r>
        <w:rPr>
          <w:rFonts w:hint="eastAsia" w:ascii="宋体" w:hAnsi="宋体" w:eastAsia="宋体" w:cs="宋体"/>
          <w:color w:val="auto"/>
          <w:spacing w:val="-2"/>
          <w:sz w:val="21"/>
          <w:szCs w:val="24"/>
          <w:highlight w:val="none"/>
        </w:rPr>
        <w:t>：</w:t>
      </w:r>
      <w:r>
        <w:rPr>
          <w:rFonts w:hint="eastAsia" w:ascii="宋体" w:hAnsi="宋体" w:eastAsia="宋体" w:cs="宋体"/>
          <w:color w:val="auto"/>
          <w:spacing w:val="-2"/>
          <w:sz w:val="21"/>
          <w:szCs w:val="24"/>
          <w:highlight w:val="none"/>
          <w:u w:val="single"/>
        </w:rPr>
        <w:tab/>
      </w:r>
    </w:p>
    <w:p w14:paraId="6C776554">
      <w:pPr>
        <w:pStyle w:val="13"/>
        <w:kinsoku w:val="0"/>
        <w:overflowPunct w:val="0"/>
        <w:ind w:left="0"/>
        <w:rPr>
          <w:rFonts w:hint="eastAsia" w:ascii="宋体" w:hAnsi="宋体" w:eastAsia="宋体" w:cs="宋体"/>
          <w:color w:val="auto"/>
          <w:sz w:val="20"/>
          <w:szCs w:val="24"/>
          <w:highlight w:val="none"/>
        </w:rPr>
      </w:pPr>
    </w:p>
    <w:p w14:paraId="77819E6B">
      <w:pPr>
        <w:pStyle w:val="13"/>
        <w:kinsoku w:val="0"/>
        <w:overflowPunct w:val="0"/>
        <w:spacing w:before="7"/>
        <w:ind w:left="0"/>
        <w:rPr>
          <w:rFonts w:hint="eastAsia" w:ascii="宋体" w:hAnsi="宋体" w:eastAsia="宋体" w:cs="宋体"/>
          <w:color w:val="auto"/>
          <w:sz w:val="23"/>
          <w:szCs w:val="24"/>
          <w:highlight w:val="none"/>
        </w:rPr>
      </w:pPr>
    </w:p>
    <w:p w14:paraId="2F23EC63">
      <w:pPr>
        <w:pStyle w:val="13"/>
        <w:tabs>
          <w:tab w:val="left" w:pos="5803"/>
          <w:tab w:val="left" w:pos="6746"/>
          <w:tab w:val="left" w:pos="7692"/>
        </w:tabs>
        <w:kinsoku w:val="0"/>
        <w:overflowPunct w:val="0"/>
        <w:spacing w:before="36"/>
        <w:ind w:left="4961"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p>
    <w:p w14:paraId="736A12A0">
      <w:pPr>
        <w:pStyle w:val="13"/>
        <w:tabs>
          <w:tab w:val="left" w:pos="5803"/>
          <w:tab w:val="left" w:pos="6746"/>
          <w:tab w:val="left" w:pos="7692"/>
        </w:tabs>
        <w:kinsoku w:val="0"/>
        <w:overflowPunct w:val="0"/>
        <w:spacing w:before="36"/>
        <w:ind w:left="4961" w:right="113"/>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pgNumType w:fmt="decimal"/>
          <w:cols w:space="720" w:num="1"/>
        </w:sectPr>
      </w:pPr>
    </w:p>
    <w:p w14:paraId="33ABE1C9">
      <w:pPr>
        <w:pStyle w:val="7"/>
        <w:rPr>
          <w:rFonts w:hint="eastAsia" w:ascii="宋体" w:hAnsi="宋体" w:eastAsia="宋体" w:cs="宋体"/>
          <w:color w:val="auto"/>
          <w:sz w:val="28"/>
          <w:szCs w:val="24"/>
          <w:highlight w:val="none"/>
        </w:rPr>
      </w:pPr>
      <w:bookmarkStart w:id="89" w:name="bookmark78"/>
      <w:bookmarkEnd w:id="89"/>
      <w:r>
        <w:rPr>
          <w:rFonts w:hint="eastAsia" w:ascii="宋体" w:hAnsi="宋体" w:eastAsia="宋体" w:cs="宋体"/>
          <w:color w:val="auto"/>
          <w:sz w:val="28"/>
          <w:szCs w:val="24"/>
          <w:highlight w:val="none"/>
        </w:rPr>
        <w:t>附件</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：问题的澄清</w:t>
      </w:r>
    </w:p>
    <w:p w14:paraId="546FA79D">
      <w:pPr>
        <w:pStyle w:val="13"/>
        <w:kinsoku w:val="0"/>
        <w:overflowPunct w:val="0"/>
        <w:ind w:left="0"/>
        <w:rPr>
          <w:rFonts w:hint="eastAsia" w:ascii="宋体" w:hAnsi="宋体" w:eastAsia="宋体" w:cs="宋体"/>
          <w:color w:val="auto"/>
          <w:sz w:val="20"/>
          <w:szCs w:val="24"/>
          <w:highlight w:val="none"/>
        </w:rPr>
      </w:pPr>
    </w:p>
    <w:p w14:paraId="51797B01">
      <w:pPr>
        <w:pStyle w:val="13"/>
        <w:kinsoku w:val="0"/>
        <w:overflowPunct w:val="0"/>
        <w:ind w:left="0"/>
        <w:rPr>
          <w:rFonts w:hint="eastAsia" w:ascii="宋体" w:hAnsi="宋体" w:eastAsia="宋体" w:cs="宋体"/>
          <w:color w:val="auto"/>
          <w:sz w:val="20"/>
          <w:szCs w:val="24"/>
          <w:highlight w:val="none"/>
        </w:rPr>
      </w:pPr>
    </w:p>
    <w:p w14:paraId="4D5B8624">
      <w:pPr>
        <w:pStyle w:val="13"/>
        <w:kinsoku w:val="0"/>
        <w:overflowPunct w:val="0"/>
        <w:ind w:left="0"/>
        <w:rPr>
          <w:rFonts w:hint="eastAsia" w:ascii="宋体" w:hAnsi="宋体" w:eastAsia="宋体" w:cs="宋体"/>
          <w:color w:val="auto"/>
          <w:sz w:val="20"/>
          <w:szCs w:val="24"/>
          <w:highlight w:val="none"/>
        </w:rPr>
      </w:pPr>
    </w:p>
    <w:p w14:paraId="18582191">
      <w:pPr>
        <w:pStyle w:val="13"/>
        <w:kinsoku w:val="0"/>
        <w:overflowPunct w:val="0"/>
        <w:spacing w:before="168"/>
        <w:ind w:left="0" w:right="16"/>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问题的澄清</w:t>
      </w:r>
    </w:p>
    <w:p w14:paraId="54C17EC7">
      <w:pPr>
        <w:pStyle w:val="13"/>
        <w:tabs>
          <w:tab w:val="left" w:pos="5947"/>
        </w:tabs>
        <w:kinsoku w:val="0"/>
        <w:overflowPunct w:val="0"/>
        <w:spacing w:before="113"/>
        <w:ind w:left="3566" w:right="113"/>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w:t>
      </w:r>
    </w:p>
    <w:p w14:paraId="0C2946A0">
      <w:pPr>
        <w:pStyle w:val="13"/>
        <w:kinsoku w:val="0"/>
        <w:overflowPunct w:val="0"/>
        <w:ind w:left="0"/>
        <w:rPr>
          <w:rFonts w:hint="eastAsia" w:ascii="宋体" w:hAnsi="宋体" w:eastAsia="宋体" w:cs="宋体"/>
          <w:color w:val="auto"/>
          <w:sz w:val="20"/>
          <w:szCs w:val="24"/>
          <w:highlight w:val="none"/>
        </w:rPr>
      </w:pPr>
    </w:p>
    <w:p w14:paraId="482BFFFD">
      <w:pPr>
        <w:pStyle w:val="13"/>
        <w:kinsoku w:val="0"/>
        <w:overflowPunct w:val="0"/>
        <w:spacing w:before="1"/>
        <w:ind w:left="0"/>
        <w:rPr>
          <w:rFonts w:hint="eastAsia" w:ascii="宋体" w:hAnsi="宋体" w:eastAsia="宋体" w:cs="宋体"/>
          <w:color w:val="auto"/>
          <w:sz w:val="20"/>
          <w:szCs w:val="24"/>
          <w:highlight w:val="none"/>
        </w:rPr>
      </w:pPr>
    </w:p>
    <w:p w14:paraId="42B99153">
      <w:pPr>
        <w:pStyle w:val="13"/>
        <w:kinsoku w:val="0"/>
        <w:overflowPunct w:val="0"/>
        <w:spacing w:before="36"/>
        <w:ind w:left="100"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w:t>
      </w:r>
    </w:p>
    <w:p w14:paraId="385C6E13">
      <w:pPr>
        <w:pStyle w:val="13"/>
        <w:kinsoku w:val="0"/>
        <w:overflowPunct w:val="0"/>
        <w:ind w:left="0"/>
        <w:rPr>
          <w:rFonts w:hint="eastAsia" w:ascii="宋体" w:hAnsi="宋体" w:eastAsia="宋体" w:cs="宋体"/>
          <w:color w:val="auto"/>
          <w:sz w:val="20"/>
          <w:szCs w:val="24"/>
          <w:highlight w:val="none"/>
        </w:rPr>
      </w:pPr>
    </w:p>
    <w:p w14:paraId="4A9CECED">
      <w:pPr>
        <w:pStyle w:val="13"/>
        <w:kinsoku w:val="0"/>
        <w:overflowPunct w:val="0"/>
        <w:spacing w:before="2"/>
        <w:ind w:left="0"/>
        <w:rPr>
          <w:rFonts w:hint="eastAsia" w:ascii="宋体" w:hAnsi="宋体" w:eastAsia="宋体" w:cs="宋体"/>
          <w:color w:val="auto"/>
          <w:sz w:val="26"/>
          <w:szCs w:val="24"/>
          <w:highlight w:val="none"/>
        </w:rPr>
      </w:pPr>
    </w:p>
    <w:p w14:paraId="1989AFC0">
      <w:pPr>
        <w:pStyle w:val="13"/>
        <w:tabs>
          <w:tab w:val="left" w:pos="3460"/>
        </w:tabs>
        <w:kinsoku w:val="0"/>
        <w:overflowPunct w:val="0"/>
        <w:ind w:left="522"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问题澄清通知（编号：</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）已收悉，现澄清、说明或补正如下：</w:t>
      </w:r>
    </w:p>
    <w:p w14:paraId="2102E989">
      <w:pPr>
        <w:pStyle w:val="13"/>
        <w:kinsoku w:val="0"/>
        <w:overflowPunct w:val="0"/>
        <w:spacing w:before="11"/>
        <w:ind w:left="0"/>
        <w:rPr>
          <w:rFonts w:hint="eastAsia" w:ascii="宋体" w:hAnsi="宋体" w:eastAsia="宋体" w:cs="宋体"/>
          <w:color w:val="auto"/>
          <w:sz w:val="10"/>
          <w:szCs w:val="24"/>
          <w:highlight w:val="none"/>
        </w:rPr>
      </w:pPr>
    </w:p>
    <w:p w14:paraId="4D1543C5">
      <w:pPr>
        <w:pStyle w:val="13"/>
        <w:kinsoku w:val="0"/>
        <w:overflowPunct w:val="0"/>
        <w:spacing w:before="74"/>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022DD7A9">
      <w:pPr>
        <w:pStyle w:val="13"/>
        <w:kinsoku w:val="0"/>
        <w:overflowPunct w:val="0"/>
        <w:spacing w:before="2"/>
        <w:ind w:left="0"/>
        <w:rPr>
          <w:rFonts w:hint="eastAsia" w:ascii="宋体" w:hAnsi="宋体" w:eastAsia="宋体" w:cs="宋体"/>
          <w:color w:val="auto"/>
          <w:sz w:val="17"/>
          <w:szCs w:val="24"/>
          <w:highlight w:val="none"/>
        </w:rPr>
      </w:pPr>
    </w:p>
    <w:p w14:paraId="49CB4CF7">
      <w:pPr>
        <w:pStyle w:val="13"/>
        <w:kinsoku w:val="0"/>
        <w:overflowPunct w:val="0"/>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36423F1B">
      <w:pPr>
        <w:pStyle w:val="13"/>
        <w:kinsoku w:val="0"/>
        <w:overflowPunct w:val="0"/>
        <w:spacing w:before="2"/>
        <w:ind w:left="0"/>
        <w:rPr>
          <w:rFonts w:hint="eastAsia" w:ascii="宋体" w:hAnsi="宋体" w:eastAsia="宋体" w:cs="宋体"/>
          <w:color w:val="auto"/>
          <w:sz w:val="17"/>
          <w:szCs w:val="24"/>
          <w:highlight w:val="none"/>
        </w:rPr>
      </w:pPr>
    </w:p>
    <w:p w14:paraId="7083FF5C">
      <w:pPr>
        <w:pStyle w:val="13"/>
        <w:kinsoku w:val="0"/>
        <w:overflowPunct w:val="0"/>
        <w:ind w:left="0" w:right="713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090076BF">
      <w:pPr>
        <w:pStyle w:val="13"/>
        <w:kinsoku w:val="0"/>
        <w:overflowPunct w:val="0"/>
        <w:ind w:left="0"/>
        <w:rPr>
          <w:rFonts w:hint="eastAsia" w:ascii="宋体" w:hAnsi="宋体" w:eastAsia="宋体" w:cs="宋体"/>
          <w:color w:val="auto"/>
          <w:sz w:val="20"/>
          <w:szCs w:val="24"/>
          <w:highlight w:val="none"/>
        </w:rPr>
      </w:pPr>
    </w:p>
    <w:p w14:paraId="247E0556">
      <w:pPr>
        <w:pStyle w:val="13"/>
        <w:kinsoku w:val="0"/>
        <w:overflowPunct w:val="0"/>
        <w:ind w:left="0"/>
        <w:rPr>
          <w:rFonts w:hint="eastAsia" w:ascii="宋体" w:hAnsi="宋体" w:eastAsia="宋体" w:cs="宋体"/>
          <w:color w:val="auto"/>
          <w:sz w:val="20"/>
          <w:szCs w:val="24"/>
          <w:highlight w:val="none"/>
        </w:rPr>
      </w:pPr>
    </w:p>
    <w:p w14:paraId="233C5C1B">
      <w:pPr>
        <w:pStyle w:val="13"/>
        <w:kinsoku w:val="0"/>
        <w:overflowPunct w:val="0"/>
        <w:ind w:left="0"/>
        <w:rPr>
          <w:rFonts w:hint="eastAsia" w:ascii="宋体" w:hAnsi="宋体" w:eastAsia="宋体" w:cs="宋体"/>
          <w:color w:val="auto"/>
          <w:sz w:val="20"/>
          <w:szCs w:val="24"/>
          <w:highlight w:val="none"/>
        </w:rPr>
      </w:pPr>
    </w:p>
    <w:p w14:paraId="2CD492D4">
      <w:pPr>
        <w:pStyle w:val="13"/>
        <w:kinsoku w:val="0"/>
        <w:overflowPunct w:val="0"/>
        <w:ind w:left="0"/>
        <w:rPr>
          <w:rFonts w:hint="eastAsia" w:ascii="宋体" w:hAnsi="宋体" w:eastAsia="宋体" w:cs="宋体"/>
          <w:color w:val="auto"/>
          <w:sz w:val="20"/>
          <w:szCs w:val="24"/>
          <w:highlight w:val="none"/>
        </w:rPr>
      </w:pPr>
    </w:p>
    <w:p w14:paraId="1E99187A">
      <w:pPr>
        <w:pStyle w:val="13"/>
        <w:kinsoku w:val="0"/>
        <w:overflowPunct w:val="0"/>
        <w:ind w:left="0"/>
        <w:rPr>
          <w:rFonts w:hint="eastAsia" w:ascii="宋体" w:hAnsi="宋体" w:eastAsia="宋体" w:cs="宋体"/>
          <w:color w:val="auto"/>
          <w:sz w:val="20"/>
          <w:szCs w:val="24"/>
          <w:highlight w:val="none"/>
        </w:rPr>
      </w:pPr>
    </w:p>
    <w:p w14:paraId="153385AF">
      <w:pPr>
        <w:pStyle w:val="13"/>
        <w:kinsoku w:val="0"/>
        <w:overflowPunct w:val="0"/>
        <w:spacing w:before="11"/>
        <w:ind w:left="0"/>
        <w:rPr>
          <w:rFonts w:hint="eastAsia" w:ascii="宋体" w:hAnsi="宋体" w:eastAsia="宋体" w:cs="宋体"/>
          <w:color w:val="auto"/>
          <w:sz w:val="27"/>
          <w:szCs w:val="24"/>
          <w:highlight w:val="none"/>
        </w:rPr>
      </w:pPr>
    </w:p>
    <w:p w14:paraId="651B006D">
      <w:pPr>
        <w:pStyle w:val="13"/>
        <w:kinsoku w:val="0"/>
        <w:overflowPunct w:val="0"/>
        <w:spacing w:line="384" w:lineRule="auto"/>
        <w:ind w:left="100" w:right="113" w:firstLine="419"/>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上述问题澄清、说明或补正，不改变我方投标文件的实质性内容，构成我方投标文件的组</w:t>
      </w:r>
      <w:r>
        <w:rPr>
          <w:rFonts w:hint="eastAsia" w:ascii="宋体" w:hAnsi="宋体" w:eastAsia="宋体" w:cs="宋体"/>
          <w:color w:val="auto"/>
          <w:sz w:val="21"/>
          <w:szCs w:val="24"/>
          <w:highlight w:val="none"/>
        </w:rPr>
        <w:t xml:space="preserve"> 成部分。</w:t>
      </w:r>
    </w:p>
    <w:p w14:paraId="3DAD5BC3">
      <w:pPr>
        <w:pStyle w:val="13"/>
        <w:kinsoku w:val="0"/>
        <w:overflowPunct w:val="0"/>
        <w:ind w:left="0"/>
        <w:rPr>
          <w:rFonts w:hint="eastAsia" w:ascii="宋体" w:hAnsi="宋体" w:eastAsia="宋体" w:cs="宋体"/>
          <w:color w:val="auto"/>
          <w:sz w:val="20"/>
          <w:szCs w:val="24"/>
          <w:highlight w:val="none"/>
        </w:rPr>
      </w:pPr>
    </w:p>
    <w:p w14:paraId="2837D369">
      <w:pPr>
        <w:pStyle w:val="13"/>
        <w:kinsoku w:val="0"/>
        <w:overflowPunct w:val="0"/>
        <w:ind w:left="0"/>
        <w:rPr>
          <w:rFonts w:hint="eastAsia" w:ascii="宋体" w:hAnsi="宋体" w:eastAsia="宋体" w:cs="宋体"/>
          <w:color w:val="auto"/>
          <w:sz w:val="20"/>
          <w:szCs w:val="24"/>
          <w:highlight w:val="none"/>
        </w:rPr>
      </w:pPr>
    </w:p>
    <w:p w14:paraId="6836A518">
      <w:pPr>
        <w:pStyle w:val="13"/>
        <w:kinsoku w:val="0"/>
        <w:overflowPunct w:val="0"/>
        <w:spacing w:before="6"/>
        <w:ind w:left="0"/>
        <w:rPr>
          <w:rFonts w:hint="eastAsia" w:ascii="宋体" w:hAnsi="宋体" w:eastAsia="宋体" w:cs="宋体"/>
          <w:color w:val="auto"/>
          <w:sz w:val="19"/>
          <w:szCs w:val="24"/>
          <w:highlight w:val="none"/>
        </w:rPr>
      </w:pPr>
    </w:p>
    <w:p w14:paraId="13CAA714">
      <w:pPr>
        <w:pStyle w:val="13"/>
        <w:tabs>
          <w:tab w:val="left" w:pos="7382"/>
        </w:tabs>
        <w:kinsoku w:val="0"/>
        <w:overflowPunct w:val="0"/>
        <w:ind w:left="3043" w:right="113"/>
        <w:rPr>
          <w:rFonts w:hint="eastAsia" w:ascii="宋体" w:hAnsi="宋体" w:eastAsia="宋体" w:cs="宋体"/>
          <w:color w:val="auto"/>
          <w:spacing w:val="-1"/>
          <w:sz w:val="21"/>
          <w:szCs w:val="24"/>
          <w:highlight w:val="none"/>
        </w:rPr>
      </w:pPr>
      <w:r>
        <w:rPr>
          <w:rFonts w:hint="eastAsia" w:ascii="宋体" w:hAnsi="宋体" w:eastAsia="宋体" w:cs="宋体"/>
          <w:color w:val="auto"/>
          <w:spacing w:val="-1"/>
          <w:sz w:val="21"/>
          <w:szCs w:val="24"/>
          <w:highlight w:val="none"/>
        </w:rPr>
        <w:t>投标人：</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pacing w:val="-1"/>
          <w:sz w:val="21"/>
          <w:szCs w:val="24"/>
          <w:highlight w:val="none"/>
        </w:rPr>
        <w:t>（盖单位章）</w:t>
      </w:r>
    </w:p>
    <w:p w14:paraId="76F80355">
      <w:pPr>
        <w:pStyle w:val="13"/>
        <w:kinsoku w:val="0"/>
        <w:overflowPunct w:val="0"/>
        <w:spacing w:before="11"/>
        <w:ind w:left="0"/>
        <w:rPr>
          <w:rFonts w:hint="eastAsia" w:ascii="宋体" w:hAnsi="宋体" w:eastAsia="宋体" w:cs="宋体"/>
          <w:color w:val="auto"/>
          <w:sz w:val="17"/>
          <w:szCs w:val="24"/>
          <w:highlight w:val="none"/>
        </w:rPr>
      </w:pPr>
    </w:p>
    <w:p w14:paraId="399090B2">
      <w:pPr>
        <w:pStyle w:val="13"/>
        <w:tabs>
          <w:tab w:val="left" w:pos="6612"/>
        </w:tabs>
        <w:kinsoku w:val="0"/>
        <w:overflowPunct w:val="0"/>
        <w:spacing w:before="36"/>
        <w:ind w:left="3041"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（签字）</w:t>
      </w:r>
    </w:p>
    <w:p w14:paraId="504D5B8F">
      <w:pPr>
        <w:pStyle w:val="13"/>
        <w:kinsoku w:val="0"/>
        <w:overflowPunct w:val="0"/>
        <w:ind w:left="0"/>
        <w:rPr>
          <w:rFonts w:hint="eastAsia" w:ascii="宋体" w:hAnsi="宋体" w:eastAsia="宋体" w:cs="宋体"/>
          <w:color w:val="auto"/>
          <w:sz w:val="20"/>
          <w:szCs w:val="24"/>
          <w:highlight w:val="none"/>
        </w:rPr>
      </w:pPr>
    </w:p>
    <w:p w14:paraId="63305193">
      <w:pPr>
        <w:pStyle w:val="13"/>
        <w:kinsoku w:val="0"/>
        <w:overflowPunct w:val="0"/>
        <w:ind w:left="0"/>
        <w:rPr>
          <w:rFonts w:hint="eastAsia" w:ascii="宋体" w:hAnsi="宋体" w:eastAsia="宋体" w:cs="宋体"/>
          <w:color w:val="auto"/>
          <w:sz w:val="20"/>
          <w:szCs w:val="24"/>
          <w:highlight w:val="none"/>
        </w:rPr>
      </w:pPr>
    </w:p>
    <w:p w14:paraId="6F2BE1B6">
      <w:pPr>
        <w:pStyle w:val="13"/>
        <w:kinsoku w:val="0"/>
        <w:overflowPunct w:val="0"/>
        <w:spacing w:before="4"/>
        <w:ind w:left="0"/>
        <w:rPr>
          <w:rFonts w:hint="eastAsia" w:ascii="宋体" w:hAnsi="宋体" w:eastAsia="宋体" w:cs="宋体"/>
          <w:color w:val="auto"/>
          <w:sz w:val="22"/>
          <w:szCs w:val="24"/>
          <w:highlight w:val="none"/>
        </w:rPr>
      </w:pPr>
    </w:p>
    <w:p w14:paraId="1164B084">
      <w:pPr>
        <w:pStyle w:val="13"/>
        <w:tabs>
          <w:tab w:val="left" w:pos="6434"/>
          <w:tab w:val="left" w:pos="7483"/>
          <w:tab w:val="left" w:pos="8533"/>
        </w:tabs>
        <w:kinsoku w:val="0"/>
        <w:overflowPunct w:val="0"/>
        <w:spacing w:before="36"/>
        <w:ind w:left="5595"/>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p>
    <w:p w14:paraId="0978861B">
      <w:pPr>
        <w:pStyle w:val="5"/>
        <w:outlineLvl w:val="0"/>
        <w:rPr>
          <w:rFonts w:hint="eastAsia" w:ascii="宋体" w:hAnsi="宋体" w:eastAsia="宋体" w:cs="宋体"/>
          <w:b w:val="0"/>
          <w:color w:val="auto"/>
          <w:sz w:val="57"/>
          <w:szCs w:val="24"/>
          <w:highlight w:val="none"/>
        </w:rPr>
      </w:pPr>
      <w:bookmarkStart w:id="90" w:name="bookmark82"/>
      <w:bookmarkEnd w:id="90"/>
      <w:bookmarkStart w:id="91" w:name="bookmark79"/>
      <w:bookmarkEnd w:id="91"/>
      <w:bookmarkStart w:id="92" w:name="_Toc23003"/>
      <w:r>
        <w:rPr>
          <w:rFonts w:hint="eastAsia" w:ascii="宋体" w:hAnsi="宋体" w:eastAsia="宋体" w:cs="宋体"/>
          <w:color w:val="auto"/>
          <w:sz w:val="44"/>
          <w:szCs w:val="24"/>
          <w:highlight w:val="none"/>
        </w:rPr>
        <w:t>第三章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评标办法（综合评估法）</w:t>
      </w:r>
      <w:bookmarkEnd w:id="92"/>
    </w:p>
    <w:p w14:paraId="5EDDFA21">
      <w:pPr>
        <w:pStyle w:val="6"/>
        <w:kinsoku w:val="0"/>
        <w:overflowPunct w:val="0"/>
        <w:ind w:left="120"/>
        <w:jc w:val="center"/>
        <w:outlineLvl w:val="1"/>
        <w:rPr>
          <w:rFonts w:hint="eastAsia" w:ascii="宋体" w:hAnsi="宋体" w:eastAsia="宋体" w:cs="宋体"/>
          <w:color w:val="auto"/>
          <w:sz w:val="32"/>
          <w:szCs w:val="24"/>
          <w:highlight w:val="none"/>
        </w:rPr>
      </w:pPr>
      <w:bookmarkStart w:id="93" w:name="bookmark83"/>
      <w:bookmarkEnd w:id="93"/>
      <w:bookmarkStart w:id="94" w:name="_Toc10305"/>
      <w:r>
        <w:rPr>
          <w:rFonts w:hint="eastAsia" w:ascii="宋体" w:hAnsi="宋体" w:eastAsia="宋体" w:cs="宋体"/>
          <w:color w:val="auto"/>
          <w:sz w:val="32"/>
          <w:szCs w:val="24"/>
          <w:highlight w:val="none"/>
        </w:rPr>
        <w:t>评标办法前附表</w:t>
      </w:r>
      <w:bookmarkEnd w:id="94"/>
    </w:p>
    <w:tbl>
      <w:tblPr>
        <w:tblStyle w:val="2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14:paraId="27CB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2EF844">
            <w:pPr>
              <w:pStyle w:val="33"/>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76A46">
            <w:pPr>
              <w:pStyle w:val="33"/>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01A0D">
            <w:pPr>
              <w:pStyle w:val="33"/>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评审标准</w:t>
            </w:r>
          </w:p>
        </w:tc>
      </w:tr>
      <w:tr w14:paraId="3927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D2884">
            <w:pPr>
              <w:pStyle w:val="33"/>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F59F53">
            <w:pPr>
              <w:pStyle w:val="33"/>
              <w:kinsoku w:val="0"/>
              <w:overflowPunct w:val="0"/>
              <w:spacing w:before="14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B7A46">
            <w:pPr>
              <w:pStyle w:val="33"/>
              <w:kinsoku w:val="0"/>
              <w:overflowPunct w:val="0"/>
              <w:spacing w:before="14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56DFB">
            <w:pPr>
              <w:pStyle w:val="33"/>
              <w:kinsoku w:val="0"/>
              <w:overflowPunct w:val="0"/>
              <w:spacing w:before="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候选人顺序确定方法如下：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监理大纲得分高的优先；如果监理大纲得分也相等，则由评标委员会投票表决推荐排名优先的投标人。</w:t>
            </w:r>
          </w:p>
        </w:tc>
      </w:tr>
      <w:tr w14:paraId="7E8E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672CD2">
            <w:pPr>
              <w:pStyle w:val="33"/>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F69AFB">
            <w:pPr>
              <w:pStyle w:val="33"/>
              <w:kinsoku w:val="0"/>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F134E">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509919AF">
            <w:pPr>
              <w:pStyle w:val="33"/>
              <w:kinsoku w:val="0"/>
              <w:overflowPunct w:val="0"/>
              <w:spacing w:before="10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符合第二章“投标人须知”第3.5.1项规定，具备有效的营业执照</w:t>
            </w:r>
            <w:r>
              <w:rPr>
                <w:rFonts w:hint="eastAsia" w:ascii="宋体" w:hAnsi="宋体" w:cs="宋体"/>
                <w:color w:val="auto"/>
                <w:sz w:val="21"/>
                <w:szCs w:val="21"/>
                <w:highlight w:val="none"/>
                <w:lang w:eastAsia="zh-CN"/>
              </w:rPr>
              <w:t>。</w:t>
            </w:r>
          </w:p>
        </w:tc>
      </w:tr>
      <w:tr w14:paraId="205A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BC45A9">
            <w:pPr>
              <w:pStyle w:val="33"/>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255ACF">
            <w:pPr>
              <w:pStyle w:val="33"/>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8FC21">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715C8">
            <w:pPr>
              <w:pStyle w:val="33"/>
              <w:kinsoku w:val="0"/>
              <w:overflowPunct w:val="0"/>
              <w:spacing w:before="10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符合第二章“投标人须知”第1.4.1项规定</w:t>
            </w:r>
            <w:r>
              <w:rPr>
                <w:rFonts w:hint="eastAsia" w:ascii="宋体" w:hAnsi="宋体" w:cs="宋体"/>
                <w:color w:val="auto"/>
                <w:sz w:val="21"/>
                <w:szCs w:val="21"/>
                <w:highlight w:val="none"/>
                <w:lang w:eastAsia="zh-CN"/>
              </w:rPr>
              <w:t>。</w:t>
            </w:r>
          </w:p>
        </w:tc>
      </w:tr>
      <w:tr w14:paraId="4235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1A7FB3">
            <w:pPr>
              <w:pStyle w:val="33"/>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77F892">
            <w:pPr>
              <w:pStyle w:val="33"/>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5D82D">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79785">
            <w:pPr>
              <w:pStyle w:val="33"/>
              <w:kinsoku w:val="0"/>
              <w:overflowPunct w:val="0"/>
              <w:spacing w:before="10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符合第二章“投标人须知”第1.4.1项规定</w:t>
            </w:r>
            <w:r>
              <w:rPr>
                <w:rFonts w:hint="eastAsia" w:ascii="宋体" w:hAnsi="宋体" w:cs="宋体"/>
                <w:color w:val="auto"/>
                <w:sz w:val="21"/>
                <w:szCs w:val="21"/>
                <w:highlight w:val="none"/>
                <w:lang w:eastAsia="zh-CN"/>
              </w:rPr>
              <w:t>。</w:t>
            </w:r>
          </w:p>
        </w:tc>
      </w:tr>
      <w:tr w14:paraId="1197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26D6A6">
            <w:pPr>
              <w:pStyle w:val="33"/>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C150ED">
            <w:pPr>
              <w:pStyle w:val="33"/>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DE169">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9A6FB">
            <w:pPr>
              <w:pStyle w:val="33"/>
              <w:kinsoku w:val="0"/>
              <w:overflowPunct w:val="0"/>
              <w:spacing w:before="10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符合第二章“投标人须知”第1.4.1项规定</w:t>
            </w:r>
            <w:r>
              <w:rPr>
                <w:rFonts w:hint="eastAsia" w:ascii="宋体" w:hAnsi="宋体" w:cs="宋体"/>
                <w:color w:val="auto"/>
                <w:sz w:val="21"/>
                <w:szCs w:val="21"/>
                <w:highlight w:val="none"/>
                <w:lang w:eastAsia="zh-CN"/>
              </w:rPr>
              <w:t>。</w:t>
            </w:r>
          </w:p>
        </w:tc>
      </w:tr>
      <w:tr w14:paraId="0B7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080794">
            <w:pPr>
              <w:pStyle w:val="33"/>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271702">
            <w:pPr>
              <w:pStyle w:val="33"/>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C7A7C">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3BF635">
            <w:pPr>
              <w:pStyle w:val="33"/>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本项目不接受联合体投标</w:t>
            </w:r>
            <w:r>
              <w:rPr>
                <w:rFonts w:hint="eastAsia" w:ascii="宋体" w:hAnsi="宋体" w:cs="宋体"/>
                <w:color w:val="auto"/>
                <w:sz w:val="21"/>
                <w:szCs w:val="21"/>
                <w:highlight w:val="none"/>
                <w:lang w:val="en-US" w:eastAsia="zh-CN"/>
              </w:rPr>
              <w:t>。</w:t>
            </w:r>
          </w:p>
        </w:tc>
      </w:tr>
      <w:tr w14:paraId="7277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D72584">
            <w:pPr>
              <w:pStyle w:val="33"/>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68B8CE">
            <w:pPr>
              <w:pStyle w:val="33"/>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2ACED5">
            <w:pPr>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eastAsia="zh-CN"/>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67625">
            <w:pPr>
              <w:ind w:left="0" w:leftChars="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4"/>
                <w:sz w:val="21"/>
                <w:szCs w:val="21"/>
                <w:highlight w:val="none"/>
              </w:rPr>
              <w:t>失信联合惩戒名单以“信用广州”网站公布的“</w:t>
            </w:r>
            <w:r>
              <w:rPr>
                <w:rFonts w:hint="eastAsia" w:ascii="宋体" w:hAnsi="宋体" w:eastAsia="宋体" w:cs="宋体"/>
                <w:color w:val="auto"/>
                <w:spacing w:val="-4"/>
                <w:sz w:val="21"/>
                <w:szCs w:val="21"/>
                <w:highlight w:val="none"/>
                <w:lang w:eastAsia="zh-CN"/>
              </w:rPr>
              <w:t>黑名单</w:t>
            </w:r>
            <w:r>
              <w:rPr>
                <w:rFonts w:hint="eastAsia" w:ascii="宋体" w:hAnsi="宋体" w:eastAsia="宋体" w:cs="宋体"/>
                <w:color w:val="auto"/>
                <w:spacing w:val="-4"/>
                <w:sz w:val="21"/>
                <w:szCs w:val="21"/>
                <w:highlight w:val="none"/>
              </w:rPr>
              <w:t>”为准。（提供</w:t>
            </w:r>
            <w:r>
              <w:rPr>
                <w:rFonts w:hint="eastAsia" w:ascii="宋体" w:hAnsi="宋体" w:eastAsia="宋体" w:cs="宋体"/>
                <w:color w:val="auto"/>
                <w:spacing w:val="-4"/>
                <w:sz w:val="21"/>
                <w:szCs w:val="21"/>
                <w:highlight w:val="none"/>
                <w:lang w:eastAsia="zh-CN"/>
              </w:rPr>
              <w:t>查询结果</w:t>
            </w:r>
            <w:r>
              <w:rPr>
                <w:rFonts w:hint="eastAsia" w:ascii="宋体" w:hAnsi="宋体" w:eastAsia="宋体" w:cs="宋体"/>
                <w:color w:val="auto"/>
                <w:spacing w:val="-4"/>
                <w:sz w:val="21"/>
                <w:szCs w:val="21"/>
                <w:highlight w:val="none"/>
              </w:rPr>
              <w:t>网页截图，并加盖公章</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tc>
      </w:tr>
      <w:tr w14:paraId="71BE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D1AD5E">
            <w:pPr>
              <w:pStyle w:val="33"/>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02D574">
            <w:pPr>
              <w:pStyle w:val="33"/>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48A74">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39120">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投标人已按第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章“投标文件格式”</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的内容签署盖章《投标人声明》，且总监理工程师、技术负责人签字确认</w:t>
            </w:r>
            <w:r>
              <w:rPr>
                <w:rFonts w:hint="eastAsia" w:ascii="宋体" w:hAnsi="宋体" w:cs="宋体"/>
                <w:color w:val="auto"/>
                <w:sz w:val="21"/>
                <w:szCs w:val="21"/>
                <w:highlight w:val="none"/>
                <w:lang w:eastAsia="zh-CN"/>
              </w:rPr>
              <w:t>。</w:t>
            </w:r>
          </w:p>
        </w:tc>
      </w:tr>
      <w:tr w14:paraId="7542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4313D0">
            <w:pPr>
              <w:pStyle w:val="33"/>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57797B">
            <w:pPr>
              <w:pStyle w:val="33"/>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E6828">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6677F">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不存在第二章“投标人须知”第 1.4.3项规定的任何一种情形</w:t>
            </w:r>
            <w:r>
              <w:rPr>
                <w:rFonts w:hint="eastAsia" w:ascii="宋体" w:hAnsi="宋体" w:cs="宋体"/>
                <w:color w:val="auto"/>
                <w:sz w:val="21"/>
                <w:szCs w:val="21"/>
                <w:highlight w:val="none"/>
                <w:lang w:eastAsia="zh-CN"/>
              </w:rPr>
              <w:t>。</w:t>
            </w:r>
          </w:p>
        </w:tc>
      </w:tr>
      <w:tr w14:paraId="5D8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8508F6">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8FBCCC">
            <w:pPr>
              <w:pStyle w:val="33"/>
              <w:kinsoku w:val="0"/>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EE3609">
            <w:pPr>
              <w:pStyle w:val="33"/>
              <w:kinsoku w:val="0"/>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B4528">
            <w:pPr>
              <w:pStyle w:val="33"/>
              <w:kinsoku w:val="0"/>
              <w:overflowPunct w:val="0"/>
              <w:spacing w:before="1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与营业执照、资质证书一致</w:t>
            </w:r>
            <w:r>
              <w:rPr>
                <w:rFonts w:hint="eastAsia" w:ascii="宋体" w:hAnsi="宋体" w:cs="宋体"/>
                <w:color w:val="auto"/>
                <w:sz w:val="21"/>
                <w:szCs w:val="21"/>
                <w:highlight w:val="none"/>
                <w:lang w:eastAsia="zh-CN"/>
              </w:rPr>
              <w:t>。</w:t>
            </w:r>
          </w:p>
        </w:tc>
      </w:tr>
      <w:tr w14:paraId="2C6A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noWrap w:val="0"/>
            <w:vAlign w:val="center"/>
          </w:tcPr>
          <w:p w14:paraId="709BA7D4">
            <w:pPr>
              <w:pStyle w:val="33"/>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3CE94DEC">
            <w:pPr>
              <w:pStyle w:val="33"/>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AA2F8">
            <w:pPr>
              <w:pStyle w:val="33"/>
              <w:kinsoku w:val="0"/>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56E7E">
            <w:pPr>
              <w:pStyle w:val="33"/>
              <w:kinsoku w:val="0"/>
              <w:overflowPunct w:val="0"/>
              <w:spacing w:before="1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投标人声明、廉洁承诺书、法定代表人证明书；委托投标的还应提供法人授权委托证明书</w:t>
            </w:r>
            <w:r>
              <w:rPr>
                <w:rFonts w:hint="eastAsia" w:ascii="宋体" w:hAnsi="宋体" w:cs="宋体"/>
                <w:color w:val="auto"/>
                <w:sz w:val="21"/>
                <w:szCs w:val="21"/>
                <w:highlight w:val="none"/>
                <w:lang w:eastAsia="zh-CN"/>
              </w:rPr>
              <w:t>。</w:t>
            </w:r>
          </w:p>
        </w:tc>
      </w:tr>
      <w:tr w14:paraId="46C6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155AFE">
            <w:pPr>
              <w:pStyle w:val="6"/>
              <w:kinsoku w:val="0"/>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4B021D">
            <w:pPr>
              <w:pStyle w:val="6"/>
              <w:kinsoku w:val="0"/>
              <w:overflowPunct w:val="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1298D">
            <w:pPr>
              <w:pStyle w:val="33"/>
              <w:kinsoku w:val="0"/>
              <w:overflowPunct w:val="0"/>
              <w:ind w:right="18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投标函及投标函附录签</w:t>
            </w:r>
            <w:r>
              <w:rPr>
                <w:rFonts w:hint="eastAsia" w:ascii="宋体" w:hAnsi="宋体" w:eastAsia="宋体" w:cs="宋体"/>
                <w:color w:val="auto"/>
                <w:sz w:val="21"/>
                <w:szCs w:val="21"/>
                <w:highlight w:val="none"/>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DD6CF">
            <w:pPr>
              <w:pStyle w:val="33"/>
              <w:kinsoku w:val="0"/>
              <w:overflowPunct w:val="0"/>
              <w:spacing w:before="107"/>
              <w:ind w:right="96"/>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r>
              <w:rPr>
                <w:rFonts w:hint="eastAsia" w:ascii="宋体" w:hAnsi="宋体" w:cs="宋体"/>
                <w:color w:val="auto"/>
                <w:sz w:val="21"/>
                <w:szCs w:val="21"/>
                <w:highlight w:val="none"/>
                <w:lang w:eastAsia="zh-CN"/>
              </w:rPr>
              <w:t>。</w:t>
            </w:r>
          </w:p>
        </w:tc>
      </w:tr>
      <w:tr w14:paraId="5F71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77AB70">
            <w:pPr>
              <w:pStyle w:val="6"/>
              <w:kinsoku w:val="0"/>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349BD1">
            <w:pPr>
              <w:pStyle w:val="6"/>
              <w:kinsoku w:val="0"/>
              <w:overflowPunct w:val="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6937D">
            <w:pPr>
              <w:pStyle w:val="33"/>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67860">
            <w:pPr>
              <w:pStyle w:val="33"/>
              <w:kinsoku w:val="0"/>
              <w:overflowPunct w:val="0"/>
              <w:spacing w:before="10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符合第六章“投标文件格式”的规定</w:t>
            </w:r>
            <w:r>
              <w:rPr>
                <w:rFonts w:hint="eastAsia" w:ascii="宋体" w:hAnsi="宋体" w:cs="宋体"/>
                <w:color w:val="auto"/>
                <w:sz w:val="21"/>
                <w:szCs w:val="21"/>
                <w:highlight w:val="none"/>
                <w:lang w:eastAsia="zh-CN"/>
              </w:rPr>
              <w:t>。</w:t>
            </w:r>
          </w:p>
        </w:tc>
      </w:tr>
      <w:tr w14:paraId="132B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2D76D9">
            <w:pPr>
              <w:pStyle w:val="6"/>
              <w:kinsoku w:val="0"/>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54B1F5">
            <w:pPr>
              <w:pStyle w:val="6"/>
              <w:kinsoku w:val="0"/>
              <w:overflowPunct w:val="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27B83">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FD916">
            <w:pPr>
              <w:pStyle w:val="33"/>
              <w:kinsoku w:val="0"/>
              <w:overflowPunct w:val="0"/>
              <w:spacing w:before="10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除招标文件明确允许提交备选投标方案外，投标人不得提交备选投标方案</w:t>
            </w:r>
            <w:r>
              <w:rPr>
                <w:rFonts w:hint="eastAsia" w:ascii="宋体" w:hAnsi="宋体" w:cs="宋体"/>
                <w:color w:val="auto"/>
                <w:sz w:val="21"/>
                <w:szCs w:val="21"/>
                <w:highlight w:val="none"/>
                <w:lang w:eastAsia="zh-CN"/>
              </w:rPr>
              <w:t>。</w:t>
            </w:r>
          </w:p>
        </w:tc>
      </w:tr>
      <w:tr w14:paraId="356C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1C3301">
            <w:pPr>
              <w:pStyle w:val="6"/>
              <w:kinsoku w:val="0"/>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9031DC">
            <w:pPr>
              <w:pStyle w:val="6"/>
              <w:kinsoku w:val="0"/>
              <w:overflowPunct w:val="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F9B9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3BF66">
            <w:pPr>
              <w:ind w:left="91" w:leftChars="3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投标人与</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其他投标人加密打包投标文件电脑机器特征码</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一致的(以</w:t>
            </w:r>
            <w:r>
              <w:rPr>
                <w:rFonts w:hint="eastAsia" w:ascii="宋体" w:hAnsi="宋体" w:eastAsia="宋体" w:cs="宋体"/>
                <w:color w:val="auto"/>
                <w:sz w:val="21"/>
                <w:szCs w:val="21"/>
                <w:highlight w:val="none"/>
                <w:lang w:eastAsia="zh-CN"/>
              </w:rPr>
              <w:t>广州交易集团有限公司（广州公共资源交易中心）交易</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系统的检索信息为准)</w:t>
            </w:r>
            <w:r>
              <w:rPr>
                <w:rFonts w:hint="eastAsia" w:ascii="宋体" w:hAnsi="宋体" w:cs="宋体"/>
                <w:color w:val="auto"/>
                <w:sz w:val="21"/>
                <w:szCs w:val="21"/>
                <w:highlight w:val="none"/>
                <w:lang w:eastAsia="zh-CN"/>
              </w:rPr>
              <w:t>。</w:t>
            </w:r>
          </w:p>
        </w:tc>
      </w:tr>
      <w:tr w14:paraId="6C5F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65D7BB">
            <w:pPr>
              <w:pStyle w:val="33"/>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DC8581">
            <w:pPr>
              <w:pStyle w:val="33"/>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F8737">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D1B3A">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符合第二章“投标人须知”第3.2款规定</w:t>
            </w:r>
            <w:r>
              <w:rPr>
                <w:rFonts w:hint="eastAsia" w:ascii="宋体" w:hAnsi="宋体" w:cs="宋体"/>
                <w:color w:val="auto"/>
                <w:sz w:val="21"/>
                <w:szCs w:val="21"/>
                <w:highlight w:val="none"/>
                <w:lang w:eastAsia="zh-CN"/>
              </w:rPr>
              <w:t>。</w:t>
            </w:r>
          </w:p>
        </w:tc>
      </w:tr>
      <w:tr w14:paraId="6DF5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14B5312">
            <w:pPr>
              <w:pStyle w:val="6"/>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7A04C8">
            <w:pPr>
              <w:pStyle w:val="6"/>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59C43">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BC2EB">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符合第二章“投标人须知”第1.3.1项规定</w:t>
            </w:r>
            <w:r>
              <w:rPr>
                <w:rFonts w:hint="eastAsia" w:ascii="宋体" w:hAnsi="宋体" w:cs="宋体"/>
                <w:color w:val="auto"/>
                <w:sz w:val="21"/>
                <w:szCs w:val="21"/>
                <w:highlight w:val="none"/>
                <w:lang w:eastAsia="zh-CN"/>
              </w:rPr>
              <w:t>。</w:t>
            </w:r>
          </w:p>
        </w:tc>
      </w:tr>
      <w:tr w14:paraId="21A9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F0BC2D">
            <w:pPr>
              <w:pStyle w:val="6"/>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B94452">
            <w:pPr>
              <w:pStyle w:val="6"/>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EAF7B">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70740">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符合第二章“投标人须知”第1.3.2项规定</w:t>
            </w:r>
            <w:r>
              <w:rPr>
                <w:rFonts w:hint="eastAsia" w:ascii="宋体" w:hAnsi="宋体" w:cs="宋体"/>
                <w:color w:val="auto"/>
                <w:sz w:val="21"/>
                <w:szCs w:val="21"/>
                <w:highlight w:val="none"/>
                <w:lang w:eastAsia="zh-CN"/>
              </w:rPr>
              <w:t>。</w:t>
            </w:r>
          </w:p>
        </w:tc>
      </w:tr>
      <w:tr w14:paraId="373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7E575F">
            <w:pPr>
              <w:pStyle w:val="6"/>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99D7CC">
            <w:pPr>
              <w:pStyle w:val="6"/>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C811E">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814CE">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符合第二章“投标人须知”第1.3.3项规定</w:t>
            </w:r>
            <w:r>
              <w:rPr>
                <w:rFonts w:hint="eastAsia" w:ascii="宋体" w:hAnsi="宋体" w:cs="宋体"/>
                <w:color w:val="auto"/>
                <w:sz w:val="21"/>
                <w:szCs w:val="21"/>
                <w:highlight w:val="none"/>
                <w:lang w:eastAsia="zh-CN"/>
              </w:rPr>
              <w:t>。</w:t>
            </w:r>
          </w:p>
        </w:tc>
      </w:tr>
      <w:tr w14:paraId="35A1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BFC8BE">
            <w:pPr>
              <w:pStyle w:val="6"/>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3FC4B6">
            <w:pPr>
              <w:pStyle w:val="6"/>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3B165B">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C7481">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符合第二章“投标人须知”第3.3.1项规定</w:t>
            </w:r>
            <w:r>
              <w:rPr>
                <w:rFonts w:hint="eastAsia" w:ascii="宋体" w:hAnsi="宋体" w:cs="宋体"/>
                <w:color w:val="auto"/>
                <w:sz w:val="21"/>
                <w:szCs w:val="21"/>
                <w:highlight w:val="none"/>
                <w:lang w:eastAsia="zh-CN"/>
              </w:rPr>
              <w:t>。</w:t>
            </w:r>
          </w:p>
        </w:tc>
      </w:tr>
      <w:tr w14:paraId="79EE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B2CC66">
            <w:pPr>
              <w:pStyle w:val="6"/>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93EAA8">
            <w:pPr>
              <w:pStyle w:val="6"/>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36E8A851">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049E8">
            <w:pPr>
              <w:pStyle w:val="33"/>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符合第二章“投标人须知”第3.4.1项规定</w:t>
            </w:r>
            <w:r>
              <w:rPr>
                <w:rFonts w:hint="eastAsia" w:ascii="宋体" w:hAnsi="宋体" w:cs="宋体"/>
                <w:color w:val="auto"/>
                <w:sz w:val="21"/>
                <w:szCs w:val="21"/>
                <w:highlight w:val="none"/>
                <w:lang w:eastAsia="zh-CN"/>
              </w:rPr>
              <w:t>。</w:t>
            </w:r>
          </w:p>
        </w:tc>
      </w:tr>
      <w:tr w14:paraId="7067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03DC791">
            <w:pPr>
              <w:pStyle w:val="33"/>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66752">
            <w:pPr>
              <w:pStyle w:val="33"/>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07789">
            <w:pPr>
              <w:pStyle w:val="33"/>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129C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4D9B8F9">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E0F48">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29041">
            <w:pPr>
              <w:pStyle w:val="33"/>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资信业绩部分：</w:t>
            </w:r>
            <w:r>
              <w:rPr>
                <w:rFonts w:hint="eastAsia" w:ascii="宋体" w:hAnsi="宋体" w:eastAsia="宋体" w:cs="宋体"/>
                <w:color w:val="auto"/>
                <w:sz w:val="21"/>
                <w:szCs w:val="21"/>
                <w:highlight w:val="none"/>
                <w:u w:val="single"/>
                <w:lang w:val="en-US" w:eastAsia="zh-CN"/>
              </w:rPr>
              <w:t xml:space="preserve">  4</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p w14:paraId="2037B95E">
            <w:pPr>
              <w:pStyle w:val="33"/>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监理大纲部分：</w:t>
            </w:r>
            <w:r>
              <w:rPr>
                <w:rFonts w:hint="eastAsia" w:ascii="宋体" w:hAnsi="宋体" w:eastAsia="宋体" w:cs="宋体"/>
                <w:color w:val="auto"/>
                <w:sz w:val="21"/>
                <w:szCs w:val="21"/>
                <w:highlight w:val="none"/>
                <w:u w:val="single"/>
                <w:lang w:val="en-US" w:eastAsia="zh-CN"/>
              </w:rPr>
              <w:t xml:space="preserve">  4</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p w14:paraId="1144F6FE">
            <w:pPr>
              <w:pStyle w:val="33"/>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 xml:space="preserve">0 </w:t>
            </w:r>
            <w:r>
              <w:rPr>
                <w:rFonts w:hint="eastAsia" w:ascii="宋体" w:hAnsi="宋体" w:eastAsia="宋体" w:cs="宋体"/>
                <w:color w:val="auto"/>
                <w:sz w:val="21"/>
                <w:szCs w:val="21"/>
                <w:highlight w:val="none"/>
              </w:rPr>
              <w:t>分</w:t>
            </w:r>
          </w:p>
        </w:tc>
      </w:tr>
      <w:tr w14:paraId="7975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EEE7A81">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CFED8">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5A090">
            <w:pPr>
              <w:pStyle w:val="33"/>
              <w:kinsoku w:val="0"/>
              <w:overflowPunct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参与评标基准价计算范围为[最高投标限价×90%，最高投标限价]，超过此范围的报价不参与评标基准价的计算。</w:t>
            </w:r>
          </w:p>
          <w:p w14:paraId="76CA6E2F">
            <w:pPr>
              <w:pStyle w:val="33"/>
              <w:kinsoku w:val="0"/>
              <w:overflowPunct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当投标报价在参与评标基准价计算范围内且通过形式评审、资格评审、响应性评审的有效投标人大于5或等于5名时，所有入围的有效投标价中去掉一个最高价和一个最低价，取余下有效投标价的算术平均值的作为评标基准价。</w:t>
            </w:r>
          </w:p>
          <w:p w14:paraId="326ECB93">
            <w:pPr>
              <w:pStyle w:val="33"/>
              <w:kinsoku w:val="0"/>
              <w:overflowPunct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2.当投标报价在参与评标基准价计算范围内且通过资格评审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形式评审、响应性评审的有效投标人小于5名时，取所有入围的有效投标价的算术平均值的作为评标基准价。</w:t>
            </w:r>
          </w:p>
          <w:p w14:paraId="187D8765">
            <w:pPr>
              <w:pStyle w:val="33"/>
              <w:kinsoku w:val="0"/>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3.若没有投标报价在参与评标基准价计算范围内且通过资格评审、形式评审、响应性评审的有效投标人时，以最高投标限价×90%为评标基准价。</w:t>
            </w:r>
          </w:p>
        </w:tc>
      </w:tr>
      <w:tr w14:paraId="1D6D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8B03710">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24279">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27F0B">
            <w:pPr>
              <w:pStyle w:val="33"/>
              <w:kinsoku w:val="0"/>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投标报价偏差率=（投标报价-评标基准价）/评标基准价×100%。</w:t>
            </w:r>
          </w:p>
        </w:tc>
      </w:tr>
      <w:tr w14:paraId="4A5C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FC1797">
            <w:pPr>
              <w:pStyle w:val="33"/>
              <w:kinsoku w:val="0"/>
              <w:overflowPunct w:val="0"/>
              <w:jc w:val="center"/>
              <w:rPr>
                <w:rFonts w:hint="eastAsia" w:ascii="宋体" w:hAnsi="宋体" w:eastAsia="宋体" w:cs="宋体"/>
                <w:color w:val="auto"/>
                <w:sz w:val="21"/>
                <w:szCs w:val="21"/>
                <w:highlight w:val="none"/>
              </w:rPr>
            </w:pPr>
          </w:p>
          <w:p w14:paraId="108BE001">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22713D4E">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7BBF7">
            <w:pPr>
              <w:pStyle w:val="33"/>
              <w:kinsoku w:val="0"/>
              <w:overflowPunct w:val="0"/>
              <w:jc w:val="center"/>
              <w:rPr>
                <w:rFonts w:hint="eastAsia" w:ascii="宋体" w:hAnsi="宋体" w:eastAsia="宋体" w:cs="宋体"/>
                <w:color w:val="auto"/>
                <w:sz w:val="21"/>
                <w:szCs w:val="21"/>
                <w:highlight w:val="none"/>
              </w:rPr>
            </w:pPr>
          </w:p>
          <w:p w14:paraId="7861F374">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资信业绩评分标准（4</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013" w:type="dxa"/>
            <w:vMerge w:val="restart"/>
            <w:tcBorders>
              <w:top w:val="single" w:color="auto" w:sz="4" w:space="0"/>
              <w:left w:val="single" w:color="auto" w:sz="4" w:space="0"/>
              <w:right w:val="single" w:color="auto" w:sz="4" w:space="0"/>
              <w:tl2br w:val="nil"/>
              <w:tr2bl w:val="nil"/>
            </w:tcBorders>
            <w:noWrap w:val="0"/>
            <w:vAlign w:val="center"/>
          </w:tcPr>
          <w:p w14:paraId="33808B68">
            <w:pPr>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业绩</w:t>
            </w:r>
          </w:p>
          <w:p w14:paraId="208B64A9">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46FEC1DA">
            <w:pPr>
              <w:pStyle w:val="33"/>
              <w:kinsoku w:val="0"/>
              <w:overflowPunct w:val="0"/>
              <w:adjustRightInd/>
              <w:snapToGri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自2020年1月1日以来（近五年内），投标人承接过一项市政公用工程</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监理服务项目的，得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3C0A427">
            <w:pPr>
              <w:pStyle w:val="33"/>
              <w:kinsoku w:val="0"/>
              <w:overflowPunct w:val="0"/>
              <w:spacing w:before="0" w:line="240" w:lineRule="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rPr>
              <w:t>注：须提供合同关键页，时间以合同签订日期为准。</w:t>
            </w:r>
            <w:r>
              <w:rPr>
                <w:rFonts w:hint="eastAsia" w:ascii="宋体" w:hAnsi="宋体" w:eastAsia="宋体" w:cs="宋体"/>
                <w:color w:val="auto"/>
                <w:sz w:val="21"/>
                <w:szCs w:val="21"/>
                <w:highlight w:val="none"/>
                <w:lang w:val="zh-CN"/>
              </w:rPr>
              <w:t>未提供相关证明材料，或所提供材料不足以证明的，不得分。</w:t>
            </w:r>
          </w:p>
        </w:tc>
      </w:tr>
      <w:tr w14:paraId="1FA8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98BAC1">
            <w:pPr>
              <w:pStyle w:val="33"/>
              <w:kinsoku w:val="0"/>
              <w:overflowPunct w:val="0"/>
              <w:jc w:val="center"/>
              <w:rPr>
                <w:rFonts w:hint="eastAsia"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7B9792D">
            <w:pPr>
              <w:pStyle w:val="33"/>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0009E858">
            <w:pPr>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总监理工程师资历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5963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拟派项目总监理工程师</w:t>
            </w:r>
            <w:r>
              <w:rPr>
                <w:rFonts w:hint="eastAsia" w:ascii="宋体" w:hAnsi="宋体" w:cs="宋体"/>
                <w:color w:val="auto"/>
                <w:sz w:val="21"/>
                <w:szCs w:val="21"/>
                <w:highlight w:val="none"/>
                <w:lang w:val="en-US" w:eastAsia="zh-CN"/>
              </w:rPr>
              <w:t>具有工程类中级或以上专业技术职称的，得5分</w:t>
            </w:r>
            <w:r>
              <w:rPr>
                <w:rFonts w:hint="eastAsia" w:ascii="宋体" w:hAnsi="宋体" w:eastAsia="宋体" w:cs="宋体"/>
                <w:color w:val="auto"/>
                <w:sz w:val="21"/>
                <w:szCs w:val="21"/>
                <w:highlight w:val="none"/>
              </w:rPr>
              <w:t>。</w:t>
            </w:r>
          </w:p>
          <w:p w14:paraId="73E09685">
            <w:pPr>
              <w:adjustRightInd w:val="0"/>
              <w:snapToGrid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拟派人员需提供相关证书及离投标截止时间前1个月社会保险费用的证明文件（以加盖社会保险基金管理中心印章的《缴费历史明细表》或《社会保险参保人员证明》为准）（退休人员提供退休证明及返聘协议）。未提供相关证明材料，或所提供材料不足以证明的，不得分。</w:t>
            </w:r>
          </w:p>
        </w:tc>
      </w:tr>
      <w:tr w14:paraId="00F3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E75002">
            <w:pPr>
              <w:pStyle w:val="33"/>
              <w:kinsoku w:val="0"/>
              <w:overflowPunct w:val="0"/>
              <w:jc w:val="center"/>
              <w:rPr>
                <w:rFonts w:hint="eastAsia"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48D15F">
            <w:pPr>
              <w:pStyle w:val="33"/>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A7D50">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总监理工程师代表资历（5分）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80597">
            <w:pPr>
              <w:pStyle w:val="13"/>
              <w:ind w:left="0" w:leftChars="0"/>
              <w:rPr>
                <w:rFonts w:hint="eastAsia" w:cs="宋体"/>
                <w:color w:val="auto"/>
                <w:szCs w:val="21"/>
                <w:highlight w:val="none"/>
                <w:lang w:val="en-US" w:eastAsia="zh-CN"/>
              </w:rPr>
            </w:pPr>
            <w:r>
              <w:rPr>
                <w:rFonts w:hint="eastAsia" w:ascii="宋体" w:eastAsia="宋体" w:cs="宋体"/>
                <w:color w:val="auto"/>
                <w:szCs w:val="21"/>
                <w:highlight w:val="none"/>
              </w:rPr>
              <w:t>拟派项目总监理工程师</w:t>
            </w:r>
            <w:r>
              <w:rPr>
                <w:rFonts w:hint="eastAsia" w:cs="宋体"/>
                <w:color w:val="auto"/>
                <w:szCs w:val="21"/>
                <w:highlight w:val="none"/>
                <w:lang w:val="en-US" w:eastAsia="zh-CN"/>
              </w:rPr>
              <w:t>代表具有工程类</w:t>
            </w:r>
            <w:r>
              <w:rPr>
                <w:rFonts w:hint="eastAsia" w:ascii="宋体" w:hAnsi="宋体" w:cs="宋体"/>
                <w:color w:val="auto"/>
                <w:sz w:val="21"/>
                <w:szCs w:val="21"/>
                <w:highlight w:val="none"/>
                <w:lang w:val="en-US" w:eastAsia="zh-CN"/>
              </w:rPr>
              <w:t>中级</w:t>
            </w:r>
            <w:r>
              <w:rPr>
                <w:rFonts w:hint="eastAsia" w:cs="宋体"/>
                <w:color w:val="auto"/>
                <w:szCs w:val="21"/>
                <w:highlight w:val="none"/>
                <w:lang w:val="en-US" w:eastAsia="zh-CN"/>
              </w:rPr>
              <w:t>或以上专业技术职称的，得5分。</w:t>
            </w:r>
          </w:p>
          <w:p w14:paraId="63BDD282">
            <w:pPr>
              <w:pStyle w:val="13"/>
              <w:ind w:left="0" w:leftChars="0"/>
              <w:rPr>
                <w:rFonts w:hint="eastAsia" w:ascii="宋体" w:eastAsia="宋体" w:cs="宋体"/>
                <w:color w:val="auto"/>
                <w:szCs w:val="21"/>
                <w:highlight w:val="none"/>
              </w:rPr>
            </w:pPr>
            <w:r>
              <w:rPr>
                <w:rFonts w:hint="eastAsia" w:ascii="宋体" w:eastAsia="宋体" w:cs="宋体"/>
                <w:color w:val="auto"/>
                <w:szCs w:val="21"/>
                <w:highlight w:val="none"/>
              </w:rPr>
              <w:t>注：</w:t>
            </w:r>
            <w:r>
              <w:rPr>
                <w:rFonts w:hint="eastAsia" w:ascii="宋体" w:hAnsi="宋体" w:cs="宋体"/>
                <w:color w:val="auto"/>
                <w:sz w:val="21"/>
                <w:szCs w:val="21"/>
                <w:highlight w:val="none"/>
                <w:lang w:val="en-US" w:eastAsia="zh-CN"/>
              </w:rPr>
              <w:t>拟派人员需提供相关证书及离投标截止时间前1个月社会保险费用的证明文件（以加盖社会保险基金管理中心印章的《缴费历史明细表》或《社会保险参保人员证明》为准）（退休人员提供退休证明及返聘协议）。未提供相关证明材料，或所提供材料不足以证明的，不得分。</w:t>
            </w:r>
          </w:p>
        </w:tc>
      </w:tr>
      <w:tr w14:paraId="3078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7D6A78">
            <w:pPr>
              <w:pStyle w:val="33"/>
              <w:kinsoku w:val="0"/>
              <w:overflowPunct w:val="0"/>
              <w:jc w:val="center"/>
              <w:rPr>
                <w:rFonts w:hint="eastAsia"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277AA8">
            <w:pPr>
              <w:pStyle w:val="33"/>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C625B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项目管理班子的能力（</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04954">
            <w:pPr>
              <w:ind w:left="0" w:leftChars="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投标人拟派项目监理人员构成满足招标文件</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投标人须知前附表10.5项目监理部人员配置要求</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要求的，得5分。在满足上述人员配置要求的基础上，</w:t>
            </w:r>
            <w:r>
              <w:rPr>
                <w:rFonts w:hint="eastAsia" w:ascii="宋体" w:hAnsi="宋体" w:eastAsia="宋体" w:cs="宋体"/>
                <w:b w:val="0"/>
                <w:bCs w:val="0"/>
                <w:sz w:val="21"/>
                <w:szCs w:val="21"/>
                <w:highlight w:val="none"/>
                <w:lang w:val="en-US" w:eastAsia="zh-CN"/>
              </w:rPr>
              <w:t>增加投入以下人员</w:t>
            </w:r>
            <w:r>
              <w:rPr>
                <w:rFonts w:hint="eastAsia" w:ascii="宋体" w:hAnsi="宋体" w:eastAsia="宋体" w:cs="宋体"/>
                <w:b w:val="0"/>
                <w:bCs w:val="0"/>
                <w:color w:val="auto"/>
                <w:sz w:val="21"/>
                <w:szCs w:val="21"/>
                <w:highlight w:val="none"/>
                <w:lang w:val="en-US" w:eastAsia="zh-CN"/>
              </w:rPr>
              <w:t>：</w:t>
            </w:r>
          </w:p>
          <w:p w14:paraId="0FCAA30C">
            <w:pPr>
              <w:ind w:left="0" w:leftChars="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市政公用工程专业监理工程师（2人）：每人须同时持有市政公用工程专业注册监理工程师证书和工程类中级</w:t>
            </w:r>
            <w:r>
              <w:rPr>
                <w:rFonts w:hint="eastAsia" w:ascii="宋体" w:hAnsi="宋体" w:eastAsia="宋体" w:cs="宋体"/>
                <w:b w:val="0"/>
                <w:bCs w:val="0"/>
                <w:sz w:val="21"/>
                <w:szCs w:val="21"/>
                <w:highlight w:val="none"/>
                <w:lang w:val="en-US" w:eastAsia="zh-CN"/>
              </w:rPr>
              <w:t>或</w:t>
            </w:r>
            <w:r>
              <w:rPr>
                <w:rFonts w:hint="eastAsia" w:ascii="宋体" w:hAnsi="宋体" w:eastAsia="宋体" w:cs="宋体"/>
                <w:b w:val="0"/>
                <w:bCs w:val="0"/>
                <w:color w:val="auto"/>
                <w:sz w:val="21"/>
                <w:szCs w:val="21"/>
                <w:highlight w:val="none"/>
                <w:lang w:val="en-US" w:eastAsia="zh-CN"/>
              </w:rPr>
              <w:t>以上专业技术职称。每满足一人得5分，本项最多得10分。</w:t>
            </w:r>
          </w:p>
          <w:p w14:paraId="6D5A6E13">
            <w:pPr>
              <w:ind w:left="0" w:leftChars="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造价工程师（1人）：须同时持有一级造价工程师注册证书和工程类中级</w:t>
            </w:r>
            <w:r>
              <w:rPr>
                <w:rFonts w:hint="eastAsia" w:ascii="宋体" w:hAnsi="宋体" w:eastAsia="宋体" w:cs="宋体"/>
                <w:b w:val="0"/>
                <w:bCs w:val="0"/>
                <w:sz w:val="21"/>
                <w:szCs w:val="21"/>
                <w:highlight w:val="none"/>
                <w:lang w:val="en-US" w:eastAsia="zh-CN"/>
              </w:rPr>
              <w:t>或</w:t>
            </w:r>
            <w:r>
              <w:rPr>
                <w:rFonts w:hint="eastAsia" w:ascii="宋体" w:hAnsi="宋体" w:eastAsia="宋体" w:cs="宋体"/>
                <w:b w:val="0"/>
                <w:bCs w:val="0"/>
                <w:color w:val="auto"/>
                <w:sz w:val="21"/>
                <w:szCs w:val="21"/>
                <w:highlight w:val="none"/>
                <w:lang w:val="en-US" w:eastAsia="zh-CN"/>
              </w:rPr>
              <w:t>以上专业技术职称，满足得5分。</w:t>
            </w:r>
          </w:p>
          <w:p w14:paraId="28FC8D4B">
            <w:pPr>
              <w:ind w:left="0" w:leftChars="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安全工程师（1人）：须同时持有注册安全工程师注册证书和安全工程专业中级</w:t>
            </w:r>
            <w:r>
              <w:rPr>
                <w:rFonts w:hint="eastAsia" w:ascii="宋体" w:hAnsi="宋体" w:eastAsia="宋体" w:cs="宋体"/>
                <w:b w:val="0"/>
                <w:bCs w:val="0"/>
                <w:sz w:val="21"/>
                <w:szCs w:val="21"/>
                <w:highlight w:val="none"/>
                <w:lang w:val="en-US" w:eastAsia="zh-CN"/>
              </w:rPr>
              <w:t>或</w:t>
            </w:r>
            <w:r>
              <w:rPr>
                <w:rFonts w:hint="eastAsia" w:ascii="宋体" w:hAnsi="宋体" w:eastAsia="宋体" w:cs="宋体"/>
                <w:b w:val="0"/>
                <w:bCs w:val="0"/>
                <w:color w:val="auto"/>
                <w:sz w:val="21"/>
                <w:szCs w:val="21"/>
                <w:highlight w:val="none"/>
                <w:lang w:val="en-US" w:eastAsia="zh-CN"/>
              </w:rPr>
              <w:t>以上专业技术职称，满足得5分。</w:t>
            </w:r>
          </w:p>
          <w:p w14:paraId="705D4063">
            <w:pPr>
              <w:pStyle w:val="13"/>
              <w:ind w:left="0" w:leftChars="0"/>
              <w:rPr>
                <w:rFonts w:hint="eastAsia" w:ascii="宋体" w:eastAsia="宋体" w:cs="宋体"/>
                <w:color w:val="auto"/>
                <w:szCs w:val="21"/>
                <w:highlight w:val="none"/>
              </w:rPr>
            </w:pPr>
            <w:r>
              <w:rPr>
                <w:rFonts w:hint="eastAsia" w:ascii="宋体" w:eastAsia="宋体" w:cs="宋体"/>
                <w:color w:val="auto"/>
                <w:szCs w:val="21"/>
                <w:highlight w:val="none"/>
              </w:rPr>
              <w:t>注：</w:t>
            </w:r>
            <w:r>
              <w:rPr>
                <w:rFonts w:hint="eastAsia" w:ascii="宋体" w:hAnsi="宋体" w:eastAsia="宋体" w:cs="宋体"/>
                <w:color w:val="auto"/>
                <w:sz w:val="21"/>
                <w:szCs w:val="21"/>
                <w:highlight w:val="none"/>
                <w:lang w:val="en-US" w:eastAsia="zh-CN"/>
              </w:rPr>
              <w:t>拟派人员需提供相关证书及离投标截止时间前1个月社会保险费用的证明文件（以加盖社会保险基金管理中心印章的《缴费历史明细表》或《社会保险参保人员证明》为准）（退休人员提供退休证明及返聘协议）。未提供相关证明材料，或所提供材料不足以证明的，不得分。</w:t>
            </w:r>
          </w:p>
          <w:p w14:paraId="7E66561D">
            <w:pPr>
              <w:ind w:left="0" w:leftChars="0"/>
              <w:rPr>
                <w:rFonts w:hint="eastAsia" w:ascii="宋体" w:hAnsi="宋体" w:eastAsia="宋体" w:cs="宋体"/>
                <w:b w:val="0"/>
                <w:color w:val="auto"/>
                <w:sz w:val="24"/>
                <w:szCs w:val="24"/>
                <w:highlight w:val="none"/>
                <w:lang w:val="en-US" w:eastAsia="zh-CN"/>
              </w:rPr>
            </w:pPr>
          </w:p>
        </w:tc>
      </w:tr>
      <w:tr w14:paraId="2451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14B98D">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3D16BB74">
            <w:pPr>
              <w:pStyle w:val="33"/>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96DEEBD">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监理大纲评分标准（4</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55A2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监理工作程序、方法和制度（</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A7E4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有清晰的工作流程图、工作准则。</w:t>
            </w:r>
          </w:p>
          <w:p w14:paraId="6BDE2546">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53F8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A64E0A">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0FFA68">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vMerge w:val="restart"/>
            <w:tcBorders>
              <w:top w:val="single" w:color="auto" w:sz="4" w:space="0"/>
              <w:left w:val="single" w:color="auto" w:sz="4" w:space="0"/>
              <w:right w:val="single" w:color="auto" w:sz="4" w:space="0"/>
              <w:tl2br w:val="nil"/>
              <w:tr2bl w:val="nil"/>
            </w:tcBorders>
            <w:noWrap w:val="0"/>
            <w:vAlign w:val="center"/>
          </w:tcPr>
          <w:p w14:paraId="2FF211E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质量、进度、</w:t>
            </w:r>
            <w:r>
              <w:rPr>
                <w:rFonts w:hint="eastAsia" w:ascii="宋体" w:hAnsi="宋体" w:cs="宋体"/>
                <w:color w:val="auto"/>
                <w:sz w:val="21"/>
                <w:szCs w:val="21"/>
                <w:highlight w:val="none"/>
                <w:lang w:val="en-US" w:eastAsia="zh-CN"/>
              </w:rPr>
              <w:t>投资（</w:t>
            </w:r>
            <w:r>
              <w:rPr>
                <w:rFonts w:hint="eastAsia" w:ascii="宋体" w:hAnsi="宋体" w:eastAsia="宋体" w:cs="宋体"/>
                <w:color w:val="auto"/>
                <w:sz w:val="21"/>
                <w:szCs w:val="21"/>
                <w:highlight w:val="none"/>
              </w:rPr>
              <w:t>造价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、安全、</w:t>
            </w:r>
            <w:r>
              <w:rPr>
                <w:rFonts w:hint="eastAsia" w:ascii="宋体" w:hAnsi="宋体" w:cs="宋体"/>
                <w:color w:val="auto"/>
                <w:sz w:val="21"/>
                <w:szCs w:val="21"/>
                <w:highlight w:val="none"/>
                <w:lang w:val="en-US" w:eastAsia="zh-CN"/>
              </w:rPr>
              <w:t>文明施工管理措施</w:t>
            </w:r>
          </w:p>
          <w:p w14:paraId="39F6A2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5AB4BAE3">
            <w:pPr>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23FF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质量控制方案（4分）：要求目标明确、方法合理可行、措施具体、针对性强。</w:t>
            </w:r>
          </w:p>
          <w:p w14:paraId="085DDC5A">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766A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559380">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CD86F6">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vMerge w:val="continue"/>
            <w:tcBorders>
              <w:left w:val="single" w:color="auto" w:sz="4" w:space="0"/>
              <w:right w:val="single" w:color="auto" w:sz="4" w:space="0"/>
              <w:tl2br w:val="nil"/>
              <w:tr2bl w:val="nil"/>
            </w:tcBorders>
            <w:noWrap w:val="0"/>
            <w:vAlign w:val="center"/>
          </w:tcPr>
          <w:p w14:paraId="6B1147C2">
            <w:pPr>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312D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进度控制方案（4分）：要求目标明确、方法合理可行、措施具体、针对性强。</w:t>
            </w:r>
          </w:p>
          <w:p w14:paraId="763CAC6D">
            <w:pPr>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7761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0E7461">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3EA224">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vMerge w:val="continue"/>
            <w:tcBorders>
              <w:left w:val="single" w:color="auto" w:sz="4" w:space="0"/>
              <w:right w:val="single" w:color="auto" w:sz="4" w:space="0"/>
              <w:tl2br w:val="nil"/>
              <w:tr2bl w:val="nil"/>
            </w:tcBorders>
            <w:noWrap w:val="0"/>
            <w:vAlign w:val="center"/>
          </w:tcPr>
          <w:p w14:paraId="2A65922D">
            <w:pPr>
              <w:spacing w:line="240" w:lineRule="exact"/>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BC61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投资控制方案（4分）：要求目标明确、方法合理可行、措施具体、针对性强。</w:t>
            </w:r>
          </w:p>
          <w:p w14:paraId="4D8B1BDF">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优得4分；良得2.5分；一般得1分；差和没有不得分。</w:t>
            </w:r>
          </w:p>
        </w:tc>
      </w:tr>
      <w:tr w14:paraId="407C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5DE76B">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C01469">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vMerge w:val="continue"/>
            <w:tcBorders>
              <w:left w:val="single" w:color="auto" w:sz="4" w:space="0"/>
              <w:right w:val="single" w:color="auto" w:sz="4" w:space="0"/>
              <w:tl2br w:val="nil"/>
              <w:tr2bl w:val="nil"/>
            </w:tcBorders>
            <w:noWrap w:val="0"/>
            <w:vAlign w:val="center"/>
          </w:tcPr>
          <w:p w14:paraId="0B879E16">
            <w:pPr>
              <w:spacing w:line="240" w:lineRule="exact"/>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496A7">
            <w:pPr>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工程进度款、工程结算的管理（4分）：要求目标明确、方法合理可行、措施具体、针对性强。</w:t>
            </w:r>
          </w:p>
          <w:p w14:paraId="4C1392D7">
            <w:pPr>
              <w:pStyle w:val="13"/>
              <w:ind w:left="0"/>
              <w:rPr>
                <w:rFonts w:hint="eastAsia" w:ascii="宋体" w:hAnsi="宋体" w:eastAsia="宋体" w:cs="宋体"/>
                <w:b w:val="0"/>
                <w:color w:val="auto"/>
                <w:sz w:val="21"/>
                <w:szCs w:val="24"/>
                <w:highlight w:val="none"/>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4C50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60C378">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BB4B2F">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vMerge w:val="continue"/>
            <w:tcBorders>
              <w:left w:val="single" w:color="auto" w:sz="4" w:space="0"/>
              <w:bottom w:val="single" w:color="auto" w:sz="4" w:space="0"/>
              <w:right w:val="single" w:color="auto" w:sz="4" w:space="0"/>
              <w:tl2br w:val="nil"/>
              <w:tr2bl w:val="nil"/>
            </w:tcBorders>
            <w:noWrap w:val="0"/>
            <w:vAlign w:val="center"/>
          </w:tcPr>
          <w:p w14:paraId="667F731B">
            <w:pPr>
              <w:spacing w:line="240" w:lineRule="exact"/>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34F2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安全、文明施工管理（4分）：要求目标明确、方法合理可行、措施具体、针对性强。</w:t>
            </w:r>
          </w:p>
          <w:p w14:paraId="4FF5E19A">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5F15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CF0062">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66D60B">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812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rPr>
              <w:t>、信息管理</w:t>
            </w:r>
            <w:r>
              <w:rPr>
                <w:rFonts w:hint="eastAsia" w:ascii="宋体" w:hAnsi="宋体" w:cs="宋体"/>
                <w:color w:val="auto"/>
                <w:sz w:val="21"/>
                <w:szCs w:val="21"/>
                <w:highlight w:val="none"/>
                <w:lang w:val="en-US" w:eastAsia="zh-CN"/>
              </w:rPr>
              <w:t>方案</w:t>
            </w:r>
          </w:p>
          <w:p w14:paraId="634759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0625C">
            <w:pP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合同管理、信息管理方法、针对性强、措施具体</w:t>
            </w:r>
            <w:r>
              <w:rPr>
                <w:rFonts w:hint="eastAsia" w:ascii="宋体" w:hAnsi="宋体" w:cs="宋体"/>
                <w:color w:val="auto"/>
                <w:sz w:val="21"/>
                <w:szCs w:val="21"/>
                <w:highlight w:val="none"/>
                <w:lang w:eastAsia="zh-CN"/>
              </w:rPr>
              <w:t>。</w:t>
            </w:r>
          </w:p>
          <w:p w14:paraId="2DFAE329">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2CE3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AADB2E">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6E3DD9">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02E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组织协调内容及措施</w:t>
            </w:r>
          </w:p>
          <w:p w14:paraId="578ED3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1BFBB">
            <w:pP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协调方法清晰合理，有具体措施</w:t>
            </w:r>
            <w:r>
              <w:rPr>
                <w:rFonts w:hint="eastAsia" w:ascii="宋体" w:hAnsi="宋体" w:cs="宋体"/>
                <w:color w:val="auto"/>
                <w:sz w:val="21"/>
                <w:szCs w:val="21"/>
                <w:highlight w:val="none"/>
                <w:lang w:eastAsia="zh-CN"/>
              </w:rPr>
              <w:t>。</w:t>
            </w:r>
          </w:p>
          <w:p w14:paraId="717A591A">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229C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D37D38">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07A5DE">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D9C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监理工作重点、难点监控措施</w:t>
            </w:r>
          </w:p>
          <w:p w14:paraId="6F71B9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89AB6D2">
            <w:pPr>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274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根据分部分项工程划分，</w:t>
            </w:r>
            <w:r>
              <w:rPr>
                <w:rFonts w:hint="eastAsia" w:ascii="宋体" w:hAnsi="宋体" w:eastAsia="宋体" w:cs="宋体"/>
                <w:color w:val="auto"/>
                <w:sz w:val="21"/>
                <w:szCs w:val="21"/>
                <w:highlight w:val="none"/>
              </w:rPr>
              <w:t>针对性强、</w:t>
            </w:r>
            <w:r>
              <w:rPr>
                <w:rFonts w:hint="eastAsia" w:ascii="宋体" w:hAnsi="宋体" w:eastAsia="宋体" w:cs="宋体"/>
                <w:color w:val="auto"/>
                <w:sz w:val="21"/>
                <w:szCs w:val="21"/>
                <w:highlight w:val="none"/>
                <w:lang w:val="en-US" w:eastAsia="zh-CN"/>
              </w:rPr>
              <w:t>控制措施和方法</w:t>
            </w:r>
            <w:r>
              <w:rPr>
                <w:rFonts w:hint="eastAsia" w:ascii="宋体" w:hAnsi="宋体" w:eastAsia="宋体" w:cs="宋体"/>
                <w:color w:val="auto"/>
                <w:sz w:val="21"/>
                <w:szCs w:val="21"/>
                <w:highlight w:val="none"/>
              </w:rPr>
              <w:t>措施具体、可操作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并包括关于组织协调，对安全文明施工的重点难点和应对措施，以及对施工图经济性的审查</w:t>
            </w:r>
            <w:r>
              <w:rPr>
                <w:rFonts w:hint="eastAsia" w:ascii="宋体" w:hAnsi="宋体" w:eastAsia="宋体" w:cs="宋体"/>
                <w:color w:val="auto"/>
                <w:sz w:val="21"/>
                <w:szCs w:val="21"/>
                <w:highlight w:val="none"/>
              </w:rPr>
              <w:t>。</w:t>
            </w:r>
          </w:p>
          <w:p w14:paraId="2C4D21E0">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分；良得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1F4D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80C57D">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612A04">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305C6">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对本工程监理的合理化建议</w:t>
            </w:r>
          </w:p>
          <w:p w14:paraId="65525C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7F24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具有科学、合理、可行及具体措施的建议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并且说明采纳上述建议会在工程质量、工程造价、工程进度方面所产生的成效，</w:t>
            </w:r>
            <w:r>
              <w:rPr>
                <w:rFonts w:hint="eastAsia" w:ascii="宋体" w:hAnsi="宋体" w:eastAsia="宋体" w:cs="宋体"/>
                <w:color w:val="auto"/>
                <w:sz w:val="21"/>
                <w:szCs w:val="21"/>
                <w:highlight w:val="none"/>
              </w:rPr>
              <w:t>经评委分析论证认同的。</w:t>
            </w:r>
          </w:p>
          <w:p w14:paraId="34CD382A">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p>
        </w:tc>
      </w:tr>
      <w:tr w14:paraId="64DC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223219">
            <w:pPr>
              <w:pStyle w:val="33"/>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4FE67A">
            <w:pPr>
              <w:pStyle w:val="33"/>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5AAC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会议制度（</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DFE0C">
            <w:pPr>
              <w:rPr>
                <w:rFonts w:hint="eastAsia" w:ascii="宋体" w:hAnsi="宋体" w:eastAsia="宋体" w:cs="宋体"/>
                <w:color w:val="auto"/>
                <w:sz w:val="21"/>
                <w:szCs w:val="21"/>
                <w:highlight w:val="none"/>
              </w:rPr>
            </w:pPr>
            <w:bookmarkStart w:id="95" w:name="OLE_LINK2"/>
            <w:r>
              <w:rPr>
                <w:rFonts w:hint="eastAsia" w:ascii="宋体" w:hAnsi="宋体" w:eastAsia="宋体" w:cs="宋体"/>
                <w:color w:val="auto"/>
                <w:sz w:val="21"/>
                <w:szCs w:val="21"/>
                <w:highlight w:val="none"/>
              </w:rPr>
              <w:t>建立完善的工地会议制度。</w:t>
            </w:r>
          </w:p>
          <w:p w14:paraId="5AE84E44">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优得4分；良得2.5分；一般得1分；差和</w:t>
            </w:r>
            <w:r>
              <w:rPr>
                <w:rFonts w:hint="eastAsia" w:ascii="宋体" w:hAnsi="宋体" w:cs="宋体"/>
                <w:color w:val="auto"/>
                <w:sz w:val="21"/>
                <w:szCs w:val="21"/>
                <w:highlight w:val="none"/>
                <w:lang w:val="en-US" w:eastAsia="zh-CN"/>
              </w:rPr>
              <w:t>未提供</w:t>
            </w:r>
            <w:r>
              <w:rPr>
                <w:rFonts w:hint="eastAsia" w:ascii="宋体" w:hAnsi="宋体" w:eastAsia="宋体" w:cs="宋体"/>
                <w:color w:val="auto"/>
                <w:sz w:val="21"/>
                <w:szCs w:val="21"/>
                <w:highlight w:val="none"/>
              </w:rPr>
              <w:t>不得分。</w:t>
            </w:r>
            <w:bookmarkEnd w:id="95"/>
          </w:p>
        </w:tc>
      </w:tr>
      <w:tr w14:paraId="71AF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97EFEC">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318013D3">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7FB4FA30">
            <w:pPr>
              <w:pStyle w:val="33"/>
              <w:kinsoku w:val="0"/>
              <w:overflowPunct w:val="0"/>
              <w:jc w:val="center"/>
              <w:rPr>
                <w:rFonts w:hint="eastAsia" w:ascii="宋体" w:hAnsi="宋体" w:eastAsia="宋体" w:cs="宋体"/>
                <w:color w:val="auto"/>
                <w:sz w:val="21"/>
                <w:szCs w:val="21"/>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C2F89">
            <w:pPr>
              <w:pStyle w:val="33"/>
              <w:kinsoku w:val="0"/>
              <w:overflowPunct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投标报价评分标准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10分</w:t>
            </w:r>
            <w:r>
              <w:rPr>
                <w:rFonts w:hint="eastAsia" w:ascii="宋体" w:hAnsi="宋体" w:cs="宋体"/>
                <w:color w:val="auto"/>
                <w:sz w:val="21"/>
                <w:szCs w:val="21"/>
                <w:highlight w:val="none"/>
                <w:lang w:eastAsia="zh-CN"/>
              </w:rPr>
              <w:t>）</w:t>
            </w:r>
          </w:p>
        </w:tc>
        <w:tc>
          <w:tcPr>
            <w:tcW w:w="2013" w:type="dxa"/>
            <w:tcBorders>
              <w:top w:val="single" w:color="auto" w:sz="4" w:space="0"/>
              <w:left w:val="single" w:color="auto" w:sz="4" w:space="0"/>
              <w:right w:val="single" w:color="auto" w:sz="4" w:space="0"/>
              <w:tl2br w:val="nil"/>
              <w:tr2bl w:val="nil"/>
            </w:tcBorders>
            <w:noWrap w:val="0"/>
            <w:vAlign w:val="center"/>
          </w:tcPr>
          <w:p w14:paraId="55C76DC6">
            <w:pPr>
              <w:pStyle w:val="33"/>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投标报价评审</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413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以评标基准价作为计算各有效投标价得分的基础，当有效投标报价等于评标基准价时得10分；投标有效报价与评标基准价之差，每上偏1%扣0.2分，下偏1%扣0.1分，最多扣10分。</w:t>
            </w:r>
          </w:p>
        </w:tc>
      </w:tr>
    </w:tbl>
    <w:p w14:paraId="36AF32A8">
      <w:pPr>
        <w:pStyle w:val="6"/>
        <w:kinsoku w:val="0"/>
        <w:overflowPunct w:val="0"/>
        <w:ind w:left="120"/>
        <w:outlineLvl w:val="9"/>
        <w:rPr>
          <w:rFonts w:hint="eastAsia" w:ascii="宋体" w:hAnsi="宋体" w:eastAsia="宋体" w:cs="宋体"/>
          <w:color w:val="auto"/>
          <w:sz w:val="32"/>
          <w:szCs w:val="24"/>
          <w:highlight w:val="none"/>
        </w:rPr>
        <w:sectPr>
          <w:headerReference r:id="rId7" w:type="default"/>
          <w:footerReference r:id="rId8" w:type="default"/>
          <w:pgSz w:w="11905" w:h="16838"/>
          <w:pgMar w:top="1417" w:right="1417" w:bottom="1417" w:left="1417" w:header="992" w:footer="992" w:gutter="0"/>
          <w:lnNumType w:countBy="0" w:distance="360"/>
          <w:pgNumType w:fmt="decimal"/>
          <w:cols w:space="720" w:num="1"/>
        </w:sectPr>
      </w:pPr>
    </w:p>
    <w:p w14:paraId="2EC4454C">
      <w:pPr>
        <w:spacing w:line="360" w:lineRule="auto"/>
        <w:ind w:firstLine="560" w:firstLineChars="200"/>
        <w:jc w:val="center"/>
        <w:rPr>
          <w:rFonts w:hint="eastAsia" w:ascii="宋体" w:hAnsi="宋体" w:eastAsia="宋体" w:cs="宋体"/>
          <w:color w:val="auto"/>
          <w:sz w:val="28"/>
          <w:szCs w:val="27"/>
          <w:highlight w:val="none"/>
        </w:rPr>
      </w:pPr>
      <w:bookmarkStart w:id="96" w:name="bookmark84"/>
      <w:bookmarkEnd w:id="96"/>
      <w:r>
        <w:rPr>
          <w:rFonts w:hint="eastAsia" w:ascii="宋体" w:hAnsi="宋体" w:eastAsia="宋体" w:cs="宋体"/>
          <w:color w:val="auto"/>
          <w:sz w:val="28"/>
          <w:szCs w:val="27"/>
          <w:highlight w:val="none"/>
        </w:rPr>
        <w:t>评标办法修改表</w:t>
      </w:r>
    </w:p>
    <w:p w14:paraId="776A777F">
      <w:pPr>
        <w:pStyle w:val="24"/>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声明：本评标办法使用</w:t>
      </w:r>
      <w:r>
        <w:rPr>
          <w:rFonts w:hint="eastAsia" w:ascii="宋体" w:hAnsi="宋体" w:eastAsia="宋体" w:cs="宋体"/>
          <w:color w:val="auto"/>
          <w:sz w:val="24"/>
          <w:szCs w:val="24"/>
          <w:highlight w:val="none"/>
          <w:lang w:eastAsia="zh-CN"/>
        </w:rPr>
        <w:t>SWZB2024-05</w:t>
      </w:r>
      <w:r>
        <w:rPr>
          <w:rFonts w:hint="eastAsia" w:ascii="宋体" w:hAnsi="宋体" w:eastAsia="宋体" w:cs="宋体"/>
          <w:color w:val="auto"/>
          <w:sz w:val="24"/>
          <w:szCs w:val="24"/>
          <w:highlight w:val="none"/>
        </w:rPr>
        <w:t>招标文件范本的评标办法条款，与该条款不同之处，均在本表中列明，并以现文为准，原文不再有效。</w:t>
      </w:r>
    </w:p>
    <w:p w14:paraId="5C4FD365">
      <w:pPr>
        <w:pStyle w:val="24"/>
        <w:spacing w:after="0" w:line="360" w:lineRule="auto"/>
        <w:rPr>
          <w:rFonts w:hint="eastAsia" w:ascii="宋体" w:hAnsi="宋体" w:eastAsia="宋体" w:cs="宋体"/>
          <w:b/>
          <w:color w:val="auto"/>
          <w:sz w:val="24"/>
          <w:szCs w:val="21"/>
          <w:highlight w:val="none"/>
        </w:rPr>
      </w:pPr>
    </w:p>
    <w:p w14:paraId="5363214E">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2.2.1</w:t>
      </w:r>
      <w:r>
        <w:rPr>
          <w:rFonts w:hint="eastAsia" w:ascii="宋体" w:hAnsi="宋体" w:eastAsia="宋体" w:cs="宋体"/>
          <w:color w:val="auto"/>
          <w:sz w:val="24"/>
          <w:szCs w:val="21"/>
          <w:highlight w:val="none"/>
        </w:rPr>
        <w:t xml:space="preserve">             修改类型：修改</w:t>
      </w:r>
    </w:p>
    <w:p w14:paraId="55027495">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原文：分值构成</w:t>
      </w:r>
    </w:p>
    <w:p w14:paraId="20F93A9B">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（1）资信业绩部分：见评标办法前附表；</w:t>
      </w:r>
    </w:p>
    <w:p w14:paraId="0119306C">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（2）监理大纲部分：见评标办法前附表；</w:t>
      </w:r>
    </w:p>
    <w:p w14:paraId="254B6368">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（3）投标报价：见评标办法前附表；</w:t>
      </w:r>
    </w:p>
    <w:p w14:paraId="6FE348D0">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（4）诚信得分：见评标办法前附表。</w:t>
      </w:r>
    </w:p>
    <w:p w14:paraId="48058499">
      <w:pPr>
        <w:pBdr>
          <w:bottom w:val="single" w:color="auto" w:sz="6" w:space="1"/>
        </w:pBd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现文：分值构成</w:t>
      </w:r>
    </w:p>
    <w:p w14:paraId="6F74DA70">
      <w:pPr>
        <w:pBdr>
          <w:bottom w:val="single" w:color="auto" w:sz="6" w:space="1"/>
        </w:pBd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（1）资信业绩部分：见评标办法前附表；</w:t>
      </w:r>
    </w:p>
    <w:p w14:paraId="2D11E579">
      <w:pPr>
        <w:pBdr>
          <w:bottom w:val="single" w:color="auto" w:sz="6" w:space="1"/>
        </w:pBd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（2）监理大纲部分：见评标办法前附表；</w:t>
      </w:r>
    </w:p>
    <w:p w14:paraId="3B152F4E">
      <w:pPr>
        <w:pBdr>
          <w:bottom w:val="single" w:color="auto" w:sz="6" w:space="1"/>
        </w:pBd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（3）投标报价：见评标办法前附表；</w:t>
      </w:r>
    </w:p>
    <w:p w14:paraId="68BB9AB3">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2.2.4</w:t>
      </w:r>
      <w:r>
        <w:rPr>
          <w:rFonts w:hint="eastAsia" w:ascii="宋体" w:hAnsi="宋体" w:eastAsia="宋体" w:cs="宋体"/>
          <w:color w:val="auto"/>
          <w:sz w:val="24"/>
          <w:szCs w:val="21"/>
          <w:highlight w:val="none"/>
        </w:rPr>
        <w:t xml:space="preserve">             修改类型：修改</w:t>
      </w:r>
    </w:p>
    <w:p w14:paraId="605E5ADE">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Cs w:val="21"/>
          <w:highlight w:val="none"/>
        </w:rPr>
        <w:t>评分标准</w:t>
      </w:r>
    </w:p>
    <w:p w14:paraId="478C97AD">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（1）资信业绩评分标准：见评标办法前附表；</w:t>
      </w:r>
    </w:p>
    <w:p w14:paraId="1EB4ECC6">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（2）监理大纲评分标准：见评标办法前附表；</w:t>
      </w:r>
    </w:p>
    <w:p w14:paraId="7EA3C463">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（3）投标报价评分标准：见评标办法前附表；</w:t>
      </w:r>
    </w:p>
    <w:p w14:paraId="3A818D93">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（4）诚信得分评分标准：见评标办法前附表。</w:t>
      </w:r>
    </w:p>
    <w:p w14:paraId="0F4AC6F5">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注：投标人的诚信评价总分取自本项目招标公告发布第1天所在季度的上一季度的诚信综合评价分。</w:t>
      </w:r>
    </w:p>
    <w:p w14:paraId="19330069">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Cs w:val="21"/>
          <w:highlight w:val="none"/>
        </w:rPr>
        <w:t>评分标准</w:t>
      </w:r>
    </w:p>
    <w:p w14:paraId="1C47914A">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（1）资信业绩评分标准：见评标办法前附表；</w:t>
      </w:r>
    </w:p>
    <w:p w14:paraId="5868F031">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（2）监理大纲评分标准：见评标办法前附表；</w:t>
      </w:r>
    </w:p>
    <w:p w14:paraId="0D20689F">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（3）投标报价评分标准：见评标办法前附表；</w:t>
      </w:r>
    </w:p>
    <w:p w14:paraId="17819246">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3.1.2</w:t>
      </w:r>
      <w:r>
        <w:rPr>
          <w:rFonts w:hint="eastAsia" w:ascii="宋体" w:hAnsi="宋体" w:eastAsia="宋体" w:cs="宋体"/>
          <w:color w:val="auto"/>
          <w:sz w:val="24"/>
          <w:szCs w:val="21"/>
          <w:highlight w:val="none"/>
        </w:rPr>
        <w:t xml:space="preserve">             修改类型：修改</w:t>
      </w:r>
    </w:p>
    <w:p w14:paraId="780D41FD">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Cs w:val="21"/>
          <w:highlight w:val="none"/>
        </w:rPr>
        <w:t>投标人有以下情形之一的，评标委员会应当否决其投标：</w:t>
      </w:r>
    </w:p>
    <w:p w14:paraId="79D3E9D0">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（1）投标文件没有对招标文件的实质性要求和条件作出响应，或者对招标文件的偏差超出招标文件规定的偏差范围或最高项数；</w:t>
      </w:r>
    </w:p>
    <w:p w14:paraId="59B35E3A">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（2）有串通投标、弄虚作假、行贿等违法行为。</w:t>
      </w:r>
    </w:p>
    <w:p w14:paraId="7A007517">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（3）两个（含两个）以上投标人加密打包投标文件工程量清单编制机器硬件信息一致的。</w:t>
      </w:r>
    </w:p>
    <w:p w14:paraId="52AE2FDA">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Cs w:val="21"/>
          <w:highlight w:val="none"/>
        </w:rPr>
        <w:t>投标人有以下情形之一的，评标委员会应当否决其投标：</w:t>
      </w:r>
    </w:p>
    <w:p w14:paraId="0290343A">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（1）投标文件没有对招标文件的实质性要求和条件作出响应，或者对招标文件的偏差超出招标文件规定的偏差范围或最高项数；</w:t>
      </w:r>
    </w:p>
    <w:p w14:paraId="3B0D22A0">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（2）有串通投标、弄虚作假、行贿等违法行为。</w:t>
      </w:r>
    </w:p>
    <w:p w14:paraId="7976CA1E">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3.2.1</w:t>
      </w:r>
      <w:r>
        <w:rPr>
          <w:rFonts w:hint="eastAsia" w:ascii="宋体" w:hAnsi="宋体" w:eastAsia="宋体" w:cs="宋体"/>
          <w:color w:val="auto"/>
          <w:sz w:val="24"/>
          <w:szCs w:val="21"/>
          <w:highlight w:val="none"/>
        </w:rPr>
        <w:t xml:space="preserve">             修改类型：修改</w:t>
      </w:r>
    </w:p>
    <w:p w14:paraId="10E568F2">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Cs w:val="21"/>
          <w:highlight w:val="none"/>
        </w:rPr>
        <w:t>评标委员会按本章第 2.2 款规定的量化因素和分值进行打分，并计算出综合评估得分。</w:t>
      </w:r>
    </w:p>
    <w:p w14:paraId="33D09609">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（1）按本章第2.2.4（1）目规定的评审因素和分值对资信业绩部分计算出得分A，资信业绩部分评审得分A为各评标专家打分的算术平均值；</w:t>
      </w:r>
    </w:p>
    <w:p w14:paraId="38003977">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第2.2.4（2）目规定的评审因素和分值对监理大纲部分计算出得分B，①监理大纲部分评审得分B为从各评标专家打分中去掉一个最高分和去掉一个最低分后的剩余评标专家打分的算术平均值或②监理大纲部分评审得分B为各评标专家打分的算术平均值（二选一，招标人自行选择）；</w:t>
      </w:r>
    </w:p>
    <w:p w14:paraId="0084AE71">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（3）按本章第2.2.4（3）目规定的评审因素和分值对投标报价计算出得分C；</w:t>
      </w:r>
    </w:p>
    <w:p w14:paraId="2FE9414C">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（4）按本章第2.2.4（4）目规定的评审因素和分值对诚信评价计算出得分D。</w:t>
      </w:r>
    </w:p>
    <w:p w14:paraId="2D3451C9">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Cs w:val="21"/>
          <w:highlight w:val="none"/>
        </w:rPr>
        <w:t>评标委员会按本章第 2.2 款规定的量化因素和分值进行打分，并计算出综合评估得分。</w:t>
      </w:r>
    </w:p>
    <w:p w14:paraId="11BA395A">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（1）按本章第2.2.4（1）目规定的评审因素和分值对资信业绩部分计算出得分A，资信业绩部分评审得分A为各评标专家打分的算术平均值；</w:t>
      </w:r>
    </w:p>
    <w:p w14:paraId="2D058C1B">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（2）按本章第2.2.4（2）目规定的评审因素和分值对监理大纲部分计算出得分B，监理大纲部分评审得分B</w:t>
      </w:r>
      <w:r>
        <w:rPr>
          <w:rFonts w:hint="eastAsia" w:ascii="宋体" w:hAnsi="宋体" w:cs="宋体"/>
          <w:color w:val="auto"/>
          <w:szCs w:val="21"/>
          <w:highlight w:val="none"/>
          <w:lang w:val="en-US" w:eastAsia="zh-CN"/>
        </w:rPr>
        <w:t>各评标专家打分的算术平均值</w:t>
      </w:r>
      <w:r>
        <w:rPr>
          <w:rFonts w:hint="eastAsia" w:ascii="宋体" w:hAnsi="宋体" w:eastAsia="宋体" w:cs="宋体"/>
          <w:color w:val="auto"/>
          <w:szCs w:val="21"/>
          <w:highlight w:val="none"/>
        </w:rPr>
        <w:t>；</w:t>
      </w:r>
    </w:p>
    <w:p w14:paraId="2A2208D6">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（3）按本章第2.2.4（3）目规定的评审因素和分值对投标报价计算出得分C；</w:t>
      </w:r>
    </w:p>
    <w:p w14:paraId="0966B0B3">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3.2.3</w:t>
      </w:r>
      <w:r>
        <w:rPr>
          <w:rFonts w:hint="eastAsia" w:ascii="宋体" w:hAnsi="宋体" w:eastAsia="宋体" w:cs="宋体"/>
          <w:color w:val="auto"/>
          <w:sz w:val="24"/>
          <w:szCs w:val="21"/>
          <w:highlight w:val="none"/>
        </w:rPr>
        <w:t xml:space="preserve">             修改类型：修改</w:t>
      </w:r>
    </w:p>
    <w:p w14:paraId="29AA2FE7">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Cs w:val="21"/>
          <w:highlight w:val="none"/>
        </w:rPr>
        <w:t>投标人得分=A+B+C+D。</w:t>
      </w:r>
    </w:p>
    <w:p w14:paraId="1DF49B76">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Cs w:val="21"/>
          <w:highlight w:val="none"/>
        </w:rPr>
        <w:t>投标人得分=A+B+C。</w:t>
      </w:r>
    </w:p>
    <w:p w14:paraId="750DDF29">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条款号：3.5            修改类型：新增</w:t>
      </w:r>
    </w:p>
    <w:p w14:paraId="5FBFB82B">
      <w:pPr>
        <w:widowControl/>
        <w:shd w:val="clear"/>
        <w:autoSpaceDE/>
        <w:autoSpaceDN/>
        <w:adjustRightInd/>
        <w:spacing w:line="360" w:lineRule="auto"/>
        <w:ind w:left="0" w:leftChars="0" w:firstLine="482"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现文：</w:t>
      </w:r>
      <w:r>
        <w:rPr>
          <w:rFonts w:hint="eastAsia" w:ascii="宋体" w:hAnsi="宋体" w:eastAsia="宋体" w:cs="宋体"/>
          <w:b/>
          <w:bCs/>
          <w:color w:val="auto"/>
          <w:sz w:val="24"/>
          <w:szCs w:val="24"/>
          <w:highlight w:val="none"/>
          <w:lang w:val="en-US" w:eastAsia="zh-CN" w:bidi="ar-SA"/>
        </w:rPr>
        <w:t xml:space="preserve">3.5 </w:t>
      </w:r>
      <w:r>
        <w:rPr>
          <w:rFonts w:hint="eastAsia" w:ascii="宋体" w:hAnsi="宋体" w:eastAsia="宋体" w:cs="宋体"/>
          <w:b w:val="0"/>
          <w:bCs w:val="0"/>
          <w:color w:val="auto"/>
          <w:sz w:val="24"/>
          <w:szCs w:val="24"/>
          <w:highlight w:val="none"/>
          <w:lang w:val="en-US" w:eastAsia="zh-CN" w:bidi="ar-SA"/>
        </w:rPr>
        <w:t xml:space="preserve"> 定标及中标原则</w:t>
      </w:r>
    </w:p>
    <w:p w14:paraId="3F06D057">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3.5.1定标原则</w:t>
      </w:r>
    </w:p>
    <w:p w14:paraId="4B822B86">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本项目采用资格后审，当投标登记或递交投标文件或通过资格审查或经评议有效投标的投标人出现以下情况为招标失败，需重新组织招标：</w:t>
      </w:r>
    </w:p>
    <w:p w14:paraId="4C385639">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当投标登记或递交投标文件或通过资格审查或经评议有效投标或同意延长投标有效期的投标人不足3名时为招标失败。</w:t>
      </w:r>
    </w:p>
    <w:p w14:paraId="0CAF13FF">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招标人分析招标失败原因，修正招标方案，重新组织招标。</w:t>
      </w:r>
    </w:p>
    <w:p w14:paraId="3023EADE">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3.5.2中标原则</w:t>
      </w:r>
    </w:p>
    <w:p w14:paraId="4D6671D1">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（1）如果出现第一中标候选人放弃中标或因其他原因被取消中标资格的，按照已确定的中标候选人顺序依次上升替补定标，以此类推，成为中标人。若所有中标候选人都不能成为中标人，则招标失败。</w:t>
      </w:r>
    </w:p>
    <w:p w14:paraId="27BB2986">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b w:val="0"/>
          <w:bCs w:val="0"/>
          <w:color w:val="auto"/>
          <w:sz w:val="24"/>
          <w:szCs w:val="24"/>
          <w:highlight w:val="none"/>
          <w:lang w:val="en-US" w:eastAsia="zh-CN" w:bidi="ar-SA"/>
        </w:rPr>
        <w:t>（2）若出现本章3.5.1的情形。招标人分析招标失败原因，修正招标方案，重新组织招标。</w:t>
      </w:r>
    </w:p>
    <w:p w14:paraId="0C504FBC">
      <w:pPr>
        <w:spacing w:line="360" w:lineRule="auto"/>
        <w:ind w:firstLine="480" w:firstLineChars="200"/>
        <w:jc w:val="lef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注：以上修改，仅限于本范本中有可供选择条</w:t>
      </w:r>
      <w:r>
        <w:rPr>
          <w:rFonts w:hint="eastAsia" w:ascii="宋体" w:hAnsi="宋体" w:eastAsia="宋体" w:cs="宋体"/>
          <w:color w:val="auto"/>
          <w:sz w:val="24"/>
          <w:szCs w:val="21"/>
          <w:highlight w:val="none"/>
          <w:lang w:val="en-US" w:eastAsia="zh-CN"/>
        </w:rPr>
        <w:t>款</w:t>
      </w:r>
    </w:p>
    <w:p w14:paraId="4E972EAB">
      <w:pPr>
        <w:pStyle w:val="30"/>
        <w:ind w:left="0" w:leftChars="0" w:firstLine="0" w:firstLineChars="0"/>
        <w:rPr>
          <w:rFonts w:hint="eastAsia" w:ascii="宋体" w:hAnsi="宋体" w:eastAsia="宋体" w:cs="宋体"/>
          <w:color w:val="auto"/>
          <w:highlight w:val="none"/>
        </w:rPr>
        <w:sectPr>
          <w:pgSz w:w="11906" w:h="16838"/>
          <w:pgMar w:top="1417" w:right="1417" w:bottom="1417" w:left="1417" w:header="0" w:footer="940" w:gutter="0"/>
          <w:pgNumType w:fmt="decimal"/>
          <w:cols w:space="720" w:num="1"/>
        </w:sectPr>
      </w:pPr>
      <w:r>
        <w:rPr>
          <w:rFonts w:hint="eastAsia" w:ascii="宋体" w:hAnsi="宋体" w:eastAsia="宋体" w:cs="宋体"/>
          <w:color w:val="auto"/>
          <w:sz w:val="24"/>
          <w:szCs w:val="21"/>
          <w:highlight w:val="none"/>
        </w:rPr>
        <w:br w:type="page"/>
      </w:r>
    </w:p>
    <w:p w14:paraId="108F896C">
      <w:pPr>
        <w:pStyle w:val="6"/>
        <w:outlineLvl w:val="1"/>
        <w:rPr>
          <w:rFonts w:hint="eastAsia" w:ascii="宋体" w:hAnsi="宋体" w:eastAsia="宋体" w:cs="宋体"/>
          <w:b w:val="0"/>
          <w:color w:val="auto"/>
          <w:sz w:val="30"/>
          <w:szCs w:val="24"/>
          <w:highlight w:val="none"/>
        </w:rPr>
      </w:pPr>
      <w:bookmarkStart w:id="97" w:name="_Toc10219"/>
      <w:r>
        <w:rPr>
          <w:rFonts w:hint="eastAsia" w:ascii="宋体" w:hAnsi="宋体" w:eastAsia="宋体" w:cs="宋体"/>
          <w:color w:val="auto"/>
          <w:sz w:val="24"/>
          <w:szCs w:val="24"/>
          <w:highlight w:val="none"/>
        </w:rPr>
        <w:t>1.评标方法</w:t>
      </w:r>
      <w:bookmarkEnd w:id="97"/>
    </w:p>
    <w:p w14:paraId="3A526824">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42C5670">
      <w:pPr>
        <w:pStyle w:val="6"/>
        <w:outlineLvl w:val="1"/>
        <w:rPr>
          <w:rFonts w:hint="eastAsia" w:ascii="宋体" w:hAnsi="宋体" w:eastAsia="宋体" w:cs="宋体"/>
          <w:b w:val="0"/>
          <w:color w:val="auto"/>
          <w:sz w:val="30"/>
          <w:szCs w:val="24"/>
          <w:highlight w:val="none"/>
        </w:rPr>
      </w:pPr>
      <w:bookmarkStart w:id="98" w:name="bookmark85"/>
      <w:bookmarkEnd w:id="98"/>
      <w:bookmarkStart w:id="99" w:name="_Toc17929"/>
      <w:r>
        <w:rPr>
          <w:rFonts w:hint="eastAsia" w:ascii="宋体" w:hAnsi="宋体" w:eastAsia="宋体" w:cs="宋体"/>
          <w:color w:val="auto"/>
          <w:sz w:val="24"/>
          <w:szCs w:val="24"/>
          <w:highlight w:val="none"/>
        </w:rPr>
        <w:t>2.评审标准</w:t>
      </w:r>
      <w:bookmarkEnd w:id="99"/>
    </w:p>
    <w:p w14:paraId="18E53BE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0" w:name="bookmark86"/>
      <w:bookmarkEnd w:id="100"/>
      <w:r>
        <w:rPr>
          <w:rFonts w:hint="eastAsia" w:ascii="宋体" w:hAnsi="宋体" w:eastAsia="宋体" w:cs="宋体"/>
          <w:color w:val="auto"/>
          <w:highlight w:val="none"/>
        </w:rPr>
        <w:t>2.1 初步评审标准</w:t>
      </w:r>
    </w:p>
    <w:p w14:paraId="53E9959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资格评审标准：见评标办法前附表。</w:t>
      </w:r>
    </w:p>
    <w:p w14:paraId="0D4E3483">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形式评审标准：见评标办法前附表。</w:t>
      </w:r>
    </w:p>
    <w:p w14:paraId="6E0F998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14:paraId="606F81E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1" w:name="bookmark87"/>
      <w:bookmarkEnd w:id="101"/>
      <w:r>
        <w:rPr>
          <w:rFonts w:hint="eastAsia" w:ascii="宋体" w:hAnsi="宋体" w:eastAsia="宋体" w:cs="宋体"/>
          <w:color w:val="auto"/>
          <w:highlight w:val="none"/>
        </w:rPr>
        <w:t>2.2 分值构成与评分标准</w:t>
      </w:r>
    </w:p>
    <w:p w14:paraId="63B779E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2B015B77">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3DE339D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（2）监理大纲部分：见评标办法前附表；</w:t>
      </w:r>
    </w:p>
    <w:p w14:paraId="14AA229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5D8A8F1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评标基准价计算评标基准价计算方法：见评标办法前附表。</w:t>
      </w:r>
    </w:p>
    <w:p w14:paraId="6B3AB0F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14:paraId="75FBE92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78B89235">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2ECF47F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55024982">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（2）监理大纲评分标准：见评标办法前附表；</w:t>
      </w:r>
    </w:p>
    <w:p w14:paraId="68819B58">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65417550">
      <w:pPr>
        <w:pStyle w:val="6"/>
        <w:outlineLvl w:val="1"/>
        <w:rPr>
          <w:rFonts w:hint="eastAsia" w:ascii="宋体" w:hAnsi="宋体" w:eastAsia="宋体" w:cs="宋体"/>
          <w:color w:val="auto"/>
          <w:sz w:val="24"/>
          <w:szCs w:val="24"/>
          <w:highlight w:val="none"/>
        </w:rPr>
      </w:pPr>
      <w:bookmarkStart w:id="102" w:name="bookmark88"/>
      <w:bookmarkEnd w:id="102"/>
      <w:bookmarkStart w:id="103" w:name="_Toc15176"/>
      <w:r>
        <w:rPr>
          <w:rFonts w:hint="eastAsia" w:ascii="宋体" w:hAnsi="宋体" w:eastAsia="宋体" w:cs="宋体"/>
          <w:color w:val="auto"/>
          <w:sz w:val="24"/>
          <w:szCs w:val="24"/>
          <w:highlight w:val="none"/>
        </w:rPr>
        <w:t>3.评标程序</w:t>
      </w:r>
      <w:bookmarkEnd w:id="103"/>
    </w:p>
    <w:p w14:paraId="3704203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4" w:name="bookmark89"/>
      <w:bookmarkEnd w:id="104"/>
      <w:r>
        <w:rPr>
          <w:rFonts w:hint="eastAsia" w:ascii="宋体" w:hAnsi="宋体" w:eastAsia="宋体" w:cs="宋体"/>
          <w:color w:val="auto"/>
          <w:highlight w:val="none"/>
        </w:rPr>
        <w:t>3.1  初步评审</w:t>
      </w:r>
    </w:p>
    <w:p w14:paraId="0AECEF3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C5CBBA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3DA7097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22EF4E8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6DBA4A9E">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）两个（含两个）以上</w:t>
      </w:r>
      <w:r>
        <w:rPr>
          <w:rFonts w:hint="eastAsia" w:ascii="宋体" w:hAnsi="宋体" w:eastAsia="宋体" w:cs="宋体"/>
          <w:color w:val="auto"/>
          <w:sz w:val="24"/>
          <w:szCs w:val="24"/>
          <w:highlight w:val="none"/>
        </w:rPr>
        <w:t>投标人加密打包投标文件</w:t>
      </w:r>
      <w:r>
        <w:rPr>
          <w:rFonts w:hint="eastAsia" w:ascii="宋体" w:hAnsi="宋体" w:eastAsia="宋体" w:cs="宋体"/>
          <w:color w:val="auto"/>
          <w:sz w:val="24"/>
          <w:szCs w:val="24"/>
          <w:highlight w:val="none"/>
          <w:lang w:eastAsia="zh-CN"/>
        </w:rPr>
        <w:t>工程量清单编制</w:t>
      </w:r>
      <w:r>
        <w:rPr>
          <w:rFonts w:hint="eastAsia" w:ascii="宋体" w:hAnsi="宋体" w:eastAsia="宋体" w:cs="宋体"/>
          <w:color w:val="auto"/>
          <w:sz w:val="24"/>
          <w:szCs w:val="24"/>
          <w:highlight w:val="none"/>
        </w:rPr>
        <w:t>机器</w:t>
      </w:r>
      <w:r>
        <w:rPr>
          <w:rFonts w:hint="eastAsia" w:ascii="宋体" w:hAnsi="宋体" w:eastAsia="宋体" w:cs="宋体"/>
          <w:color w:val="auto"/>
          <w:sz w:val="24"/>
          <w:szCs w:val="24"/>
          <w:highlight w:val="none"/>
          <w:lang w:eastAsia="zh-CN"/>
        </w:rPr>
        <w:t>硬件信息</w:t>
      </w:r>
      <w:r>
        <w:rPr>
          <w:rFonts w:hint="eastAsia" w:ascii="宋体" w:hAnsi="宋体" w:eastAsia="宋体" w:cs="宋体"/>
          <w:color w:val="auto"/>
          <w:sz w:val="24"/>
          <w:szCs w:val="24"/>
          <w:highlight w:val="none"/>
        </w:rPr>
        <w:t>一致的</w:t>
      </w:r>
      <w:r>
        <w:rPr>
          <w:rFonts w:hint="eastAsia" w:ascii="宋体" w:hAnsi="宋体" w:eastAsia="宋体" w:cs="宋体"/>
          <w:color w:val="auto"/>
          <w:sz w:val="24"/>
          <w:szCs w:val="24"/>
          <w:highlight w:val="none"/>
          <w:lang w:eastAsia="zh-CN"/>
        </w:rPr>
        <w:t>。</w:t>
      </w:r>
    </w:p>
    <w:p w14:paraId="7D37E1EC">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461297AC">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7B0CC81B">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14:paraId="2F4BF07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5" w:name="bookmark90"/>
      <w:bookmarkEnd w:id="105"/>
      <w:r>
        <w:rPr>
          <w:rFonts w:hint="eastAsia" w:ascii="宋体" w:hAnsi="宋体" w:eastAsia="宋体" w:cs="宋体"/>
          <w:color w:val="auto"/>
          <w:highlight w:val="none"/>
        </w:rPr>
        <w:t>3.2  详细评审</w:t>
      </w:r>
    </w:p>
    <w:p w14:paraId="7A764759">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 2.2 款规定的量化因素和分值进行打分，并计算出综合评估得分。</w:t>
      </w:r>
    </w:p>
    <w:p w14:paraId="68A2DC7C">
      <w:pPr>
        <w:pStyle w:val="13"/>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评审得分A为各评标专家打分的算术平均值</w:t>
      </w:r>
      <w:r>
        <w:rPr>
          <w:rFonts w:hint="eastAsia" w:ascii="宋体" w:hAnsi="宋体" w:eastAsia="宋体" w:cs="宋体"/>
          <w:color w:val="auto"/>
          <w:sz w:val="24"/>
          <w:szCs w:val="24"/>
          <w:highlight w:val="none"/>
        </w:rPr>
        <w:t>；</w:t>
      </w:r>
    </w:p>
    <w:p w14:paraId="081459C4">
      <w:pPr>
        <w:pStyle w:val="13"/>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（2）按本章第2.2.4（2）目规定的评审因素和分值对监理大纲部分计算出得分B</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eastAsia="zh-CN"/>
        </w:rPr>
        <w:t>监理大纲部分</w:t>
      </w:r>
      <w:r>
        <w:rPr>
          <w:rFonts w:hint="eastAsia" w:ascii="宋体" w:hAnsi="宋体" w:eastAsia="宋体" w:cs="宋体"/>
          <w:color w:val="auto"/>
          <w:sz w:val="24"/>
          <w:szCs w:val="24"/>
          <w:highlight w:val="none"/>
          <w:u w:val="single"/>
        </w:rPr>
        <w:t>评审得分</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u w:val="single"/>
        </w:rPr>
        <w:t>为各评标专家打分的算术平均值</w:t>
      </w:r>
      <w:r>
        <w:rPr>
          <w:rFonts w:hint="eastAsia" w:ascii="宋体" w:hAnsi="宋体" w:eastAsia="宋体" w:cs="宋体"/>
          <w:color w:val="auto"/>
          <w:sz w:val="24"/>
          <w:szCs w:val="24"/>
          <w:highlight w:val="none"/>
        </w:rPr>
        <w:t>；</w:t>
      </w:r>
    </w:p>
    <w:p w14:paraId="4BD00767">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（3）按本章第2.2.4（3）目规定的评审因素和分值对投标报价计算出得分C；</w:t>
      </w:r>
    </w:p>
    <w:p w14:paraId="3CEDB990">
      <w:pPr>
        <w:pStyle w:val="13"/>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14:paraId="14731FBD">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投标人得分=A+B+C。</w:t>
      </w:r>
    </w:p>
    <w:p w14:paraId="07AF1F5F">
      <w:pPr>
        <w:pStyle w:val="1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81E4C7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6" w:name="bookmark91"/>
      <w:bookmarkEnd w:id="106"/>
      <w:r>
        <w:rPr>
          <w:rFonts w:hint="eastAsia" w:ascii="宋体" w:hAnsi="宋体" w:eastAsia="宋体" w:cs="宋体"/>
          <w:color w:val="auto"/>
          <w:highlight w:val="none"/>
        </w:rPr>
        <w:t>3.3  投标文件的澄清</w:t>
      </w:r>
    </w:p>
    <w:p w14:paraId="7964B69E">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w:t>
      </w:r>
      <w:r>
        <w:rPr>
          <w:rFonts w:hint="eastAsia" w:ascii="宋体" w:hAnsi="宋体" w:eastAsia="宋体" w:cs="宋体"/>
          <w:color w:val="auto"/>
          <w:sz w:val="24"/>
          <w:highlight w:val="none"/>
        </w:rPr>
        <w:t>经评标委员会中两人以上（含两人）以书面形式提出动议，评标委员会</w:t>
      </w:r>
      <w:r>
        <w:rPr>
          <w:rFonts w:hint="eastAsia" w:ascii="宋体" w:hAnsi="宋体" w:eastAsia="宋体"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7CCD6FA9">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澄清、说明或补正不得超出投标文件的范围且不得改变投标文件的实质性内容，并构成投标文件的组成部分。</w:t>
      </w:r>
    </w:p>
    <w:p w14:paraId="15B3843F">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 说明或补正，直至满足评标委员会的要求。</w:t>
      </w:r>
    </w:p>
    <w:p w14:paraId="3258C89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7" w:name="bookmark92"/>
      <w:bookmarkEnd w:id="107"/>
      <w:r>
        <w:rPr>
          <w:rFonts w:hint="eastAsia" w:ascii="宋体" w:hAnsi="宋体" w:eastAsia="宋体" w:cs="宋体"/>
          <w:color w:val="auto"/>
          <w:highlight w:val="none"/>
        </w:rPr>
        <w:t>3.4  评标结果</w:t>
      </w:r>
    </w:p>
    <w:p w14:paraId="7F3843DB">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 的顺序推荐中标候选人，并标明排序。</w:t>
      </w:r>
    </w:p>
    <w:p w14:paraId="7B3F1C9A">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评标委员会完成评标后，应当向招标人提交书面评标报告和中标候选人名单。</w:t>
      </w:r>
    </w:p>
    <w:p w14:paraId="18240ED2">
      <w:pPr>
        <w:pStyle w:val="13"/>
        <w:shd w:val="clear"/>
        <w:tabs>
          <w:tab w:val="left" w:pos="1343"/>
          <w:tab w:val="left" w:pos="2697"/>
          <w:tab w:val="left" w:pos="3264"/>
          <w:tab w:val="left" w:pos="4896"/>
          <w:tab w:val="left" w:pos="6005"/>
          <w:tab w:val="left" w:pos="7085"/>
          <w:tab w:val="left" w:pos="7498"/>
        </w:tabs>
        <w:kinsoku/>
        <w:overflowPunct w:val="0"/>
        <w:autoSpaceDE/>
        <w:autoSpaceDN/>
        <w:spacing w:line="351" w:lineRule="auto"/>
        <w:ind w:left="0" w:right="0"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  定标及中标原则</w:t>
      </w:r>
    </w:p>
    <w:p w14:paraId="6B791CDB">
      <w:pPr>
        <w:widowControl/>
        <w:autoSpaceDE/>
        <w:autoSpaceDN/>
        <w:adjustRightInd/>
        <w:spacing w:line="360" w:lineRule="auto"/>
        <w:ind w:left="102" w:leftChars="0" w:right="210" w:rightChars="0" w:firstLine="420" w:firstLineChars="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3.5.1定标原则</w:t>
      </w:r>
    </w:p>
    <w:p w14:paraId="29A0D312">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本项目采用资格后审，当投标登记或递交投标文件或通过资格审查或经评议有效投标的投标人出现以下情况为招标失败，需重新组织招标：</w:t>
      </w:r>
    </w:p>
    <w:p w14:paraId="5B21DE7B">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当投标登记或递交投标文件或通过资格审查或经评议有效投标或同意延长投标有效期的投标人不足3名时为招标失败。</w:t>
      </w:r>
    </w:p>
    <w:p w14:paraId="51B3E4F2">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招标人分析招标失败原因，修正招标方案，重新组织招标。</w:t>
      </w:r>
    </w:p>
    <w:p w14:paraId="7DAC6683">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3.5.2中标原则</w:t>
      </w:r>
    </w:p>
    <w:p w14:paraId="54DA4D23">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（1）如果出现第一中标候选人放弃中标或因其他原因被取消中标资格的，按照已确定的中标候选人顺序依次上升替补定标，以此类推，成为中标人。若所有中标候选人都不能成为中标人，则招标失败。</w:t>
      </w:r>
    </w:p>
    <w:p w14:paraId="41BAC330">
      <w:pP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bidi="ar-SA"/>
        </w:rPr>
        <w:t>（2）若出现本章3.5.1的情形。招标人分析招标失败原因，修正招标方案，重新组织招标</w:t>
      </w:r>
      <w:r>
        <w:rPr>
          <w:rFonts w:hint="eastAsia" w:ascii="宋体" w:hAnsi="宋体" w:eastAsia="宋体" w:cs="宋体"/>
          <w:color w:val="auto"/>
          <w:sz w:val="24"/>
          <w:szCs w:val="24"/>
          <w:highlight w:val="none"/>
          <w:lang w:val="en-US" w:eastAsia="zh-CN" w:bidi="ar"/>
        </w:rPr>
        <w:t>。</w:t>
      </w:r>
    </w:p>
    <w:p w14:paraId="540C1B3B">
      <w:pPr>
        <w:rPr>
          <w:rFonts w:hint="eastAsia" w:ascii="宋体" w:hAnsi="宋体" w:eastAsia="宋体" w:cs="宋体"/>
          <w:color w:val="auto"/>
          <w:sz w:val="24"/>
          <w:szCs w:val="24"/>
          <w:highlight w:val="none"/>
        </w:rPr>
      </w:pPr>
    </w:p>
    <w:p w14:paraId="1CED4EBA">
      <w:pPr>
        <w:rPr>
          <w:rFonts w:hint="eastAsia" w:ascii="宋体" w:hAnsi="宋体" w:eastAsia="宋体" w:cs="宋体"/>
          <w:color w:val="auto"/>
          <w:sz w:val="24"/>
          <w:szCs w:val="24"/>
          <w:highlight w:val="none"/>
        </w:rPr>
      </w:pPr>
    </w:p>
    <w:p w14:paraId="58833EFF">
      <w:pPr>
        <w:pStyle w:val="1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sectPr>
          <w:headerReference r:id="rId9" w:type="default"/>
          <w:pgSz w:w="11905" w:h="16838"/>
          <w:pgMar w:top="1417" w:right="1417" w:bottom="1417" w:left="1417" w:header="992" w:footer="992" w:gutter="0"/>
          <w:lnNumType w:countBy="0" w:distance="360"/>
          <w:pgNumType w:fmt="decimal"/>
          <w:cols w:space="720" w:num="1"/>
        </w:sectPr>
      </w:pPr>
    </w:p>
    <w:p w14:paraId="19877453">
      <w:pPr>
        <w:pStyle w:val="5"/>
        <w:outlineLvl w:val="0"/>
        <w:rPr>
          <w:rFonts w:hint="eastAsia" w:ascii="宋体" w:hAnsi="宋体" w:eastAsia="宋体" w:cs="宋体"/>
          <w:color w:val="auto"/>
          <w:sz w:val="44"/>
          <w:szCs w:val="24"/>
          <w:highlight w:val="none"/>
        </w:rPr>
      </w:pPr>
      <w:bookmarkStart w:id="108" w:name="bookmark93"/>
      <w:bookmarkEnd w:id="108"/>
      <w:bookmarkStart w:id="109" w:name="_Toc14321"/>
      <w:r>
        <w:rPr>
          <w:rFonts w:hint="eastAsia" w:ascii="宋体" w:hAnsi="宋体" w:eastAsia="宋体" w:cs="宋体"/>
          <w:color w:val="auto"/>
          <w:sz w:val="44"/>
          <w:szCs w:val="24"/>
          <w:highlight w:val="none"/>
        </w:rPr>
        <w:t>第四章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合同条款及格式</w:t>
      </w:r>
      <w:bookmarkEnd w:id="109"/>
    </w:p>
    <w:p w14:paraId="6C142FD1">
      <w:pPr>
        <w:pStyle w:val="13"/>
        <w:kinsoku w:val="0"/>
        <w:overflowPunct w:val="0"/>
        <w:ind w:left="0"/>
        <w:rPr>
          <w:rFonts w:hint="eastAsia" w:ascii="宋体" w:hAnsi="宋体" w:eastAsia="宋体" w:cs="宋体"/>
          <w:b/>
          <w:color w:val="auto"/>
          <w:sz w:val="20"/>
          <w:szCs w:val="24"/>
          <w:highlight w:val="none"/>
        </w:rPr>
      </w:pPr>
    </w:p>
    <w:p w14:paraId="77F35629">
      <w:pPr>
        <w:pStyle w:val="13"/>
        <w:kinsoku w:val="0"/>
        <w:overflowPunct w:val="0"/>
        <w:ind w:left="0"/>
        <w:rPr>
          <w:rFonts w:hint="eastAsia" w:ascii="宋体" w:hAnsi="宋体" w:eastAsia="宋体" w:cs="宋体"/>
          <w:b/>
          <w:color w:val="auto"/>
          <w:sz w:val="20"/>
          <w:szCs w:val="24"/>
          <w:highlight w:val="none"/>
        </w:rPr>
      </w:pPr>
    </w:p>
    <w:p w14:paraId="6B3922DB">
      <w:pPr>
        <w:spacing w:line="360" w:lineRule="exact"/>
        <w:jc w:val="right"/>
        <w:rPr>
          <w:rFonts w:hint="eastAsia" w:ascii="宋体" w:hAnsi="宋体" w:cs="宋体"/>
          <w:color w:val="auto"/>
          <w:szCs w:val="21"/>
          <w:highlight w:val="none"/>
        </w:rPr>
      </w:pPr>
    </w:p>
    <w:p w14:paraId="7706D063">
      <w:pPr>
        <w:spacing w:line="360" w:lineRule="auto"/>
        <w:jc w:val="center"/>
        <w:rPr>
          <w:rFonts w:hint="eastAsia" w:ascii="宋体" w:hAnsi="宋体" w:eastAsia="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(另册）</w:t>
      </w:r>
    </w:p>
    <w:p w14:paraId="561C7EA9">
      <w:pPr>
        <w:pStyle w:val="13"/>
        <w:kinsoku w:val="0"/>
        <w:overflowPunct w:val="0"/>
        <w:ind w:left="0"/>
        <w:rPr>
          <w:rFonts w:hint="eastAsia" w:ascii="宋体" w:hAnsi="宋体" w:eastAsia="宋体" w:cs="宋体"/>
          <w:color w:val="auto"/>
          <w:sz w:val="20"/>
          <w:szCs w:val="24"/>
          <w:highlight w:val="none"/>
        </w:rPr>
      </w:pPr>
    </w:p>
    <w:p w14:paraId="6448A116">
      <w:pPr>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10" w:name="bookmark161"/>
      <w:bookmarkEnd w:id="110"/>
      <w:bookmarkStart w:id="111" w:name="_Toc2872"/>
      <w:r>
        <w:rPr>
          <w:rFonts w:hint="eastAsia" w:ascii="宋体" w:hAnsi="宋体" w:eastAsia="宋体" w:cs="宋体"/>
          <w:color w:val="auto"/>
          <w:sz w:val="52"/>
          <w:szCs w:val="52"/>
          <w:highlight w:val="none"/>
        </w:rPr>
        <w:br w:type="page"/>
      </w:r>
    </w:p>
    <w:p w14:paraId="052C36AA">
      <w:pPr>
        <w:pStyle w:val="4"/>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p>
    <w:p w14:paraId="053517D9">
      <w:pPr>
        <w:pStyle w:val="4"/>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第二卷</w:t>
      </w:r>
      <w:bookmarkEnd w:id="111"/>
    </w:p>
    <w:p w14:paraId="06224CC4">
      <w:pPr>
        <w:pStyle w:val="4"/>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992" w:footer="992" w:gutter="0"/>
          <w:lnNumType w:countBy="0" w:distance="360"/>
          <w:pgNumType w:fmt="decimal"/>
          <w:cols w:space="720" w:num="1"/>
        </w:sectPr>
      </w:pPr>
    </w:p>
    <w:p w14:paraId="2662EFEC">
      <w:pPr>
        <w:pStyle w:val="5"/>
        <w:spacing w:line="360" w:lineRule="auto"/>
        <w:outlineLvl w:val="0"/>
        <w:rPr>
          <w:rFonts w:hint="eastAsia" w:ascii="宋体" w:hAnsi="宋体" w:eastAsia="宋体" w:cs="宋体"/>
          <w:color w:val="auto"/>
          <w:sz w:val="44"/>
          <w:szCs w:val="24"/>
          <w:highlight w:val="none"/>
        </w:rPr>
      </w:pPr>
      <w:bookmarkStart w:id="112" w:name="bookmark162"/>
      <w:bookmarkEnd w:id="112"/>
      <w:bookmarkStart w:id="113" w:name="_Toc23118"/>
      <w:r>
        <w:rPr>
          <w:rFonts w:hint="eastAsia" w:ascii="宋体" w:hAnsi="宋体" w:eastAsia="宋体" w:cs="宋体"/>
          <w:color w:val="auto"/>
          <w:sz w:val="44"/>
          <w:szCs w:val="24"/>
          <w:highlight w:val="none"/>
        </w:rPr>
        <w:t>第五章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委托人要求</w:t>
      </w:r>
      <w:bookmarkEnd w:id="113"/>
    </w:p>
    <w:p w14:paraId="4823CB0D">
      <w:pPr>
        <w:spacing w:line="360" w:lineRule="auto"/>
        <w:jc w:val="center"/>
        <w:outlineLvl w:val="1"/>
        <w:rPr>
          <w:rFonts w:hint="eastAsia" w:ascii="宋体" w:hAnsi="宋体" w:eastAsia="宋体" w:cs="宋体"/>
          <w:b/>
          <w:color w:val="auto"/>
          <w:sz w:val="32"/>
          <w:szCs w:val="24"/>
          <w:highlight w:val="none"/>
        </w:rPr>
      </w:pPr>
      <w:bookmarkStart w:id="114" w:name="_Toc25658"/>
      <w:r>
        <w:rPr>
          <w:rFonts w:hint="eastAsia" w:ascii="宋体" w:hAnsi="宋体" w:eastAsia="宋体" w:cs="宋体"/>
          <w:b/>
          <w:color w:val="auto"/>
          <w:sz w:val="32"/>
          <w:szCs w:val="24"/>
          <w:highlight w:val="none"/>
        </w:rPr>
        <w:t>委托人要求</w:t>
      </w:r>
      <w:bookmarkEnd w:id="114"/>
    </w:p>
    <w:p w14:paraId="57482584">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委托人要求应尽可能清晰准确，对于可以进行定量评估的工作，委托人要求不仅应明确规 定其功能、用途、质量、环境、安全，并且要规定偏差的范围和计算方法，以及检验、试验、 试运行的具体要求。对于监理人负责提供的有关服务，在委托人要求中应一并明确规定。</w:t>
      </w:r>
    </w:p>
    <w:p w14:paraId="2EA3B647">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rPr>
          <w:rFonts w:hint="eastAsia" w:ascii="宋体" w:hAnsi="宋体" w:eastAsia="宋体" w:cs="宋体"/>
          <w:color w:val="auto"/>
          <w:sz w:val="20"/>
          <w:szCs w:val="24"/>
          <w:highlight w:val="none"/>
        </w:rPr>
      </w:pPr>
      <w:r>
        <w:rPr>
          <w:rFonts w:hint="eastAsia" w:ascii="宋体" w:hAnsi="宋体" w:eastAsia="宋体" w:cs="宋体"/>
          <w:color w:val="auto"/>
          <w:sz w:val="24"/>
          <w:szCs w:val="24"/>
          <w:highlight w:val="none"/>
        </w:rPr>
        <w:t>委托人要求通常包括但不限于以下内容：</w:t>
      </w:r>
    </w:p>
    <w:p w14:paraId="678A4D70">
      <w:pPr>
        <w:pStyle w:val="6"/>
        <w:outlineLvl w:val="1"/>
        <w:rPr>
          <w:rFonts w:hint="eastAsia" w:ascii="宋体" w:hAnsi="宋体" w:eastAsia="宋体" w:cs="宋体"/>
          <w:color w:val="auto"/>
          <w:sz w:val="31"/>
          <w:szCs w:val="24"/>
          <w:highlight w:val="none"/>
        </w:rPr>
      </w:pPr>
      <w:bookmarkStart w:id="115" w:name="bookmark163"/>
      <w:bookmarkEnd w:id="115"/>
      <w:bookmarkStart w:id="116" w:name="_Toc11038"/>
      <w:r>
        <w:rPr>
          <w:rFonts w:hint="eastAsia" w:ascii="宋体" w:hAnsi="宋体" w:eastAsia="宋体" w:cs="宋体"/>
          <w:color w:val="auto"/>
          <w:sz w:val="24"/>
          <w:szCs w:val="24"/>
          <w:highlight w:val="none"/>
        </w:rPr>
        <w:t>一、监理要求</w:t>
      </w:r>
      <w:bookmarkEnd w:id="116"/>
    </w:p>
    <w:p w14:paraId="6DDA1F35">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项目概况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详见招标文件</w:t>
      </w:r>
      <w:r>
        <w:rPr>
          <w:rFonts w:hint="eastAsia" w:ascii="宋体" w:hAnsi="宋体" w:eastAsia="宋体" w:cs="宋体"/>
          <w:color w:val="auto"/>
          <w:sz w:val="24"/>
          <w:szCs w:val="24"/>
          <w:highlight w:val="none"/>
        </w:rPr>
        <w:t>。</w:t>
      </w:r>
    </w:p>
    <w:p w14:paraId="065DB44B">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 监理范围及内容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详见招标文件。</w:t>
      </w:r>
    </w:p>
    <w:p w14:paraId="5B1FDDE2">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 监理依据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详见监理合同。</w:t>
      </w:r>
    </w:p>
    <w:p w14:paraId="29E90A43">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 监理人员要求</w:t>
      </w:r>
      <w:r>
        <w:rPr>
          <w:rFonts w:hint="eastAsia" w:cs="宋体"/>
          <w:color w:val="auto"/>
          <w:sz w:val="24"/>
          <w:szCs w:val="24"/>
          <w:highlight w:val="none"/>
          <w:lang w:eastAsia="zh-CN"/>
        </w:rPr>
        <w:t>：</w:t>
      </w:r>
      <w:r>
        <w:rPr>
          <w:rFonts w:hint="eastAsia" w:cs="宋体"/>
          <w:color w:val="auto"/>
          <w:sz w:val="24"/>
          <w:szCs w:val="24"/>
          <w:highlight w:val="none"/>
          <w:lang w:val="en-US" w:eastAsia="zh-CN"/>
        </w:rPr>
        <w:t>详见招标文件</w:t>
      </w:r>
    </w:p>
    <w:p w14:paraId="5F9ED88D">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试验检测仪器设备</w:t>
      </w:r>
      <w:r>
        <w:rPr>
          <w:rFonts w:hint="eastAsia" w:ascii="宋体" w:hAnsi="宋体" w:eastAsia="宋体" w:cs="宋体"/>
          <w:color w:val="auto"/>
          <w:sz w:val="24"/>
          <w:szCs w:val="24"/>
          <w:highlight w:val="none"/>
          <w:lang w:val="en-US" w:eastAsia="zh-CN"/>
        </w:rPr>
        <w:t>要求：满足本项目监理服务要求。</w:t>
      </w:r>
    </w:p>
    <w:p w14:paraId="439FEC0F">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 其他要求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详见监理合同。</w:t>
      </w:r>
    </w:p>
    <w:p w14:paraId="6BC5B7F0">
      <w:pPr>
        <w:pStyle w:val="6"/>
        <w:outlineLvl w:val="1"/>
        <w:rPr>
          <w:rFonts w:hint="eastAsia" w:ascii="宋体" w:hAnsi="宋体" w:eastAsia="宋体" w:cs="宋体"/>
          <w:color w:val="auto"/>
          <w:sz w:val="24"/>
          <w:szCs w:val="24"/>
          <w:highlight w:val="none"/>
        </w:rPr>
      </w:pPr>
      <w:bookmarkStart w:id="117" w:name="bookmark164"/>
      <w:bookmarkEnd w:id="117"/>
      <w:bookmarkStart w:id="118" w:name="_Toc2533"/>
      <w:r>
        <w:rPr>
          <w:rFonts w:hint="eastAsia" w:ascii="宋体" w:hAnsi="宋体" w:eastAsia="宋体" w:cs="宋体"/>
          <w:color w:val="auto"/>
          <w:sz w:val="24"/>
          <w:szCs w:val="24"/>
          <w:highlight w:val="none"/>
        </w:rPr>
        <w:t>二、适用规范标准</w:t>
      </w:r>
      <w:bookmarkEnd w:id="118"/>
    </w:p>
    <w:p w14:paraId="65C7C07D">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14:paraId="56DAB726">
      <w:pPr>
        <w:pStyle w:val="6"/>
        <w:outlineLvl w:val="1"/>
        <w:rPr>
          <w:rFonts w:hint="eastAsia" w:ascii="宋体" w:hAnsi="宋体" w:eastAsia="宋体" w:cs="宋体"/>
          <w:color w:val="auto"/>
          <w:sz w:val="24"/>
          <w:szCs w:val="24"/>
          <w:highlight w:val="none"/>
        </w:rPr>
      </w:pPr>
      <w:bookmarkStart w:id="119" w:name="bookmark165"/>
      <w:bookmarkEnd w:id="119"/>
      <w:bookmarkStart w:id="120" w:name="_Toc28391"/>
      <w:r>
        <w:rPr>
          <w:rFonts w:hint="eastAsia" w:ascii="宋体" w:hAnsi="宋体" w:eastAsia="宋体" w:cs="宋体"/>
          <w:color w:val="auto"/>
          <w:sz w:val="24"/>
          <w:szCs w:val="24"/>
          <w:highlight w:val="none"/>
        </w:rPr>
        <w:t>三、成果文件要求</w:t>
      </w:r>
      <w:bookmarkEnd w:id="120"/>
    </w:p>
    <w:p w14:paraId="6B93399B">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14:paraId="3AEBD43A">
      <w:pPr>
        <w:pStyle w:val="6"/>
        <w:outlineLvl w:val="1"/>
        <w:rPr>
          <w:rFonts w:hint="eastAsia" w:ascii="宋体" w:hAnsi="宋体" w:eastAsia="宋体" w:cs="宋体"/>
          <w:color w:val="auto"/>
          <w:sz w:val="24"/>
          <w:szCs w:val="24"/>
          <w:highlight w:val="none"/>
        </w:rPr>
      </w:pPr>
      <w:bookmarkStart w:id="121" w:name="bookmark166"/>
      <w:bookmarkEnd w:id="121"/>
      <w:bookmarkStart w:id="122" w:name="_Toc10447"/>
      <w:r>
        <w:rPr>
          <w:rFonts w:hint="eastAsia" w:ascii="宋体" w:hAnsi="宋体" w:eastAsia="宋体" w:cs="宋体"/>
          <w:color w:val="auto"/>
          <w:sz w:val="24"/>
          <w:szCs w:val="24"/>
          <w:highlight w:val="none"/>
        </w:rPr>
        <w:t>四、委托人财产清单</w:t>
      </w:r>
      <w:bookmarkEnd w:id="122"/>
    </w:p>
    <w:p w14:paraId="58393C4E">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bookmarkStart w:id="123" w:name="bookmark167"/>
      <w:bookmarkEnd w:id="123"/>
      <w:r>
        <w:rPr>
          <w:rFonts w:hint="eastAsia" w:ascii="宋体" w:hAnsi="宋体" w:eastAsia="宋体" w:cs="宋体"/>
          <w:color w:val="auto"/>
          <w:sz w:val="24"/>
          <w:szCs w:val="24"/>
          <w:highlight w:val="none"/>
        </w:rPr>
        <w:t>（一）委托人提供的设备、设施</w:t>
      </w:r>
      <w:r>
        <w:rPr>
          <w:rFonts w:hint="eastAsia" w:ascii="宋体" w:hAnsi="宋体" w:eastAsia="宋体" w:cs="宋体"/>
          <w:color w:val="auto"/>
          <w:sz w:val="24"/>
          <w:szCs w:val="24"/>
          <w:highlight w:val="none"/>
          <w:lang w:eastAsia="zh-CN"/>
        </w:rPr>
        <w:t>（若有）</w:t>
      </w:r>
    </w:p>
    <w:p w14:paraId="639FB612">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bookmarkStart w:id="124" w:name="bookmark168"/>
      <w:bookmarkEnd w:id="124"/>
      <w:r>
        <w:rPr>
          <w:rFonts w:hint="eastAsia" w:ascii="宋体" w:hAnsi="宋体" w:eastAsia="宋体" w:cs="宋体"/>
          <w:color w:val="auto"/>
          <w:sz w:val="24"/>
          <w:szCs w:val="24"/>
          <w:highlight w:val="none"/>
          <w:lang w:val="en-US" w:eastAsia="zh-CN"/>
        </w:rPr>
        <w:t>详见监理合同</w:t>
      </w:r>
    </w:p>
    <w:p w14:paraId="1656E4FB">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（二）委托人提供的资料</w:t>
      </w:r>
    </w:p>
    <w:p w14:paraId="46149905">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14:paraId="2C345408">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bookmarkStart w:id="125" w:name="bookmark169"/>
      <w:bookmarkEnd w:id="125"/>
      <w:r>
        <w:rPr>
          <w:rFonts w:hint="eastAsia" w:ascii="宋体" w:hAnsi="宋体" w:eastAsia="宋体" w:cs="宋体"/>
          <w:color w:val="auto"/>
          <w:sz w:val="24"/>
          <w:szCs w:val="24"/>
          <w:highlight w:val="none"/>
        </w:rPr>
        <w:t>（三）委托人财产使用要求及退还要求</w:t>
      </w:r>
      <w:r>
        <w:rPr>
          <w:rFonts w:hint="eastAsia" w:ascii="宋体" w:hAnsi="宋体" w:eastAsia="宋体" w:cs="宋体"/>
          <w:color w:val="auto"/>
          <w:sz w:val="24"/>
          <w:szCs w:val="24"/>
          <w:highlight w:val="none"/>
          <w:lang w:eastAsia="zh-CN"/>
        </w:rPr>
        <w:t>（若有）</w:t>
      </w:r>
    </w:p>
    <w:p w14:paraId="472B7B3F">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14:paraId="612516E2">
      <w:pPr>
        <w:pStyle w:val="6"/>
        <w:outlineLvl w:val="1"/>
        <w:rPr>
          <w:rFonts w:hint="eastAsia" w:ascii="宋体" w:hAnsi="宋体" w:eastAsia="宋体" w:cs="宋体"/>
          <w:color w:val="auto"/>
          <w:sz w:val="24"/>
          <w:szCs w:val="24"/>
          <w:highlight w:val="none"/>
        </w:rPr>
      </w:pPr>
      <w:bookmarkStart w:id="126" w:name="bookmark170"/>
      <w:bookmarkEnd w:id="126"/>
      <w:bookmarkStart w:id="127" w:name="_Toc14720"/>
      <w:r>
        <w:rPr>
          <w:rFonts w:hint="eastAsia" w:ascii="宋体" w:hAnsi="宋体" w:eastAsia="宋体" w:cs="宋体"/>
          <w:color w:val="auto"/>
          <w:sz w:val="24"/>
          <w:szCs w:val="24"/>
          <w:highlight w:val="none"/>
        </w:rPr>
        <w:t>五、委托人提供的便利条件</w:t>
      </w:r>
      <w:bookmarkEnd w:id="127"/>
    </w:p>
    <w:p w14:paraId="7B991DA9">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14:paraId="16E94531">
      <w:pPr>
        <w:pStyle w:val="6"/>
        <w:outlineLvl w:val="1"/>
        <w:rPr>
          <w:rFonts w:hint="eastAsia" w:ascii="宋体" w:hAnsi="宋体" w:eastAsia="宋体" w:cs="宋体"/>
          <w:color w:val="auto"/>
          <w:sz w:val="24"/>
          <w:szCs w:val="24"/>
          <w:highlight w:val="none"/>
        </w:rPr>
      </w:pPr>
      <w:bookmarkStart w:id="128" w:name="bookmark171"/>
      <w:bookmarkEnd w:id="128"/>
      <w:bookmarkStart w:id="129" w:name="_Toc8350"/>
      <w:r>
        <w:rPr>
          <w:rFonts w:hint="eastAsia" w:ascii="宋体" w:hAnsi="宋体" w:eastAsia="宋体" w:cs="宋体"/>
          <w:color w:val="auto"/>
          <w:sz w:val="24"/>
          <w:szCs w:val="24"/>
          <w:highlight w:val="none"/>
        </w:rPr>
        <w:t>六、监理人需要自备的工作条件</w:t>
      </w:r>
      <w:bookmarkEnd w:id="129"/>
    </w:p>
    <w:p w14:paraId="5F0BE671">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14:paraId="1A8E4368">
      <w:pPr>
        <w:pStyle w:val="6"/>
        <w:outlineLvl w:val="1"/>
        <w:rPr>
          <w:rFonts w:hint="eastAsia" w:ascii="宋体" w:hAnsi="宋体" w:eastAsia="宋体" w:cs="宋体"/>
          <w:color w:val="auto"/>
          <w:sz w:val="24"/>
          <w:szCs w:val="24"/>
          <w:highlight w:val="none"/>
        </w:rPr>
      </w:pPr>
      <w:bookmarkStart w:id="130" w:name="bookmark172"/>
      <w:bookmarkEnd w:id="130"/>
      <w:bookmarkStart w:id="131" w:name="_Toc25185"/>
      <w:r>
        <w:rPr>
          <w:rFonts w:hint="eastAsia" w:ascii="宋体" w:hAnsi="宋体" w:eastAsia="宋体" w:cs="宋体"/>
          <w:color w:val="auto"/>
          <w:sz w:val="24"/>
          <w:szCs w:val="24"/>
          <w:highlight w:val="none"/>
        </w:rPr>
        <w:t>七、委托人的其他要求</w:t>
      </w:r>
      <w:bookmarkEnd w:id="131"/>
    </w:p>
    <w:p w14:paraId="2A6CAD5D">
      <w:pPr>
        <w:pStyle w:val="1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val="en-US" w:eastAsia="zh-CN"/>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color w:val="auto"/>
          <w:sz w:val="24"/>
          <w:szCs w:val="24"/>
          <w:highlight w:val="none"/>
          <w:lang w:val="en-US" w:eastAsia="zh-CN"/>
        </w:rPr>
        <w:t>详见监理合同</w:t>
      </w:r>
    </w:p>
    <w:p w14:paraId="1EB2C3DD">
      <w:pPr>
        <w:pStyle w:val="13"/>
        <w:kinsoku w:val="0"/>
        <w:overflowPunct w:val="0"/>
        <w:ind w:left="0"/>
        <w:rPr>
          <w:rFonts w:hint="eastAsia" w:ascii="宋体" w:hAnsi="宋体" w:eastAsia="宋体" w:cs="宋体"/>
          <w:color w:val="auto"/>
          <w:sz w:val="20"/>
          <w:szCs w:val="24"/>
          <w:highlight w:val="none"/>
        </w:rPr>
      </w:pPr>
    </w:p>
    <w:p w14:paraId="2A183238">
      <w:pPr>
        <w:pStyle w:val="4"/>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32" w:name="bookmark173"/>
      <w:bookmarkEnd w:id="132"/>
      <w:bookmarkStart w:id="133" w:name="_Toc12210"/>
      <w:r>
        <w:rPr>
          <w:rFonts w:hint="eastAsia" w:ascii="宋体" w:hAnsi="宋体" w:eastAsia="宋体" w:cs="宋体"/>
          <w:color w:val="auto"/>
          <w:sz w:val="52"/>
          <w:szCs w:val="52"/>
          <w:highlight w:val="none"/>
        </w:rPr>
        <w:t>第三卷</w:t>
      </w:r>
      <w:bookmarkEnd w:id="133"/>
    </w:p>
    <w:p w14:paraId="5C6776E0">
      <w:pPr>
        <w:pStyle w:val="4"/>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992" w:footer="992" w:gutter="0"/>
          <w:lnNumType w:countBy="0" w:distance="360"/>
          <w:pgNumType w:fmt="decimal"/>
          <w:cols w:space="720" w:num="1"/>
        </w:sectPr>
      </w:pPr>
    </w:p>
    <w:p w14:paraId="5A7E2AAB">
      <w:pPr>
        <w:pStyle w:val="5"/>
        <w:outlineLvl w:val="0"/>
        <w:rPr>
          <w:rFonts w:hint="eastAsia" w:ascii="宋体" w:hAnsi="宋体" w:eastAsia="宋体" w:cs="宋体"/>
          <w:color w:val="auto"/>
          <w:sz w:val="44"/>
          <w:szCs w:val="24"/>
          <w:highlight w:val="none"/>
        </w:rPr>
      </w:pPr>
      <w:bookmarkStart w:id="134" w:name="bookmark174"/>
      <w:bookmarkEnd w:id="134"/>
      <w:bookmarkStart w:id="135" w:name="_Toc26661"/>
      <w:r>
        <w:rPr>
          <w:rFonts w:hint="eastAsia" w:ascii="宋体" w:hAnsi="宋体" w:eastAsia="宋体" w:cs="宋体"/>
          <w:color w:val="auto"/>
          <w:sz w:val="44"/>
          <w:szCs w:val="24"/>
          <w:highlight w:val="none"/>
        </w:rPr>
        <w:t>第六章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投标文件格式</w:t>
      </w:r>
      <w:bookmarkEnd w:id="135"/>
    </w:p>
    <w:p w14:paraId="45DE64FC">
      <w:pPr>
        <w:pStyle w:val="5"/>
        <w:outlineLvl w:val="9"/>
        <w:rPr>
          <w:rFonts w:hint="eastAsia" w:ascii="宋体" w:hAnsi="宋体" w:eastAsia="宋体" w:cs="宋体"/>
          <w:color w:val="auto"/>
          <w:sz w:val="30"/>
          <w:szCs w:val="24"/>
          <w:highlight w:val="none"/>
        </w:rPr>
        <w:sectPr>
          <w:pgSz w:w="11905" w:h="16838"/>
          <w:pgMar w:top="1417" w:right="1417" w:bottom="1417" w:left="1417" w:header="992" w:footer="992" w:gutter="0"/>
          <w:lnNumType w:countBy="0" w:distance="360"/>
          <w:pgNumType w:fmt="decimal"/>
          <w:cols w:space="720" w:num="1"/>
        </w:sectPr>
      </w:pPr>
    </w:p>
    <w:p w14:paraId="5A8AC79A">
      <w:pPr>
        <w:pStyle w:val="13"/>
        <w:kinsoku w:val="0"/>
        <w:overflowPunct w:val="0"/>
        <w:ind w:left="0"/>
        <w:rPr>
          <w:rFonts w:hint="eastAsia" w:ascii="宋体" w:hAnsi="宋体" w:eastAsia="宋体" w:cs="宋体"/>
          <w:b/>
          <w:color w:val="auto"/>
          <w:sz w:val="20"/>
          <w:szCs w:val="24"/>
          <w:highlight w:val="none"/>
        </w:rPr>
      </w:pPr>
    </w:p>
    <w:p w14:paraId="405F1124">
      <w:pPr>
        <w:pStyle w:val="13"/>
        <w:kinsoku w:val="0"/>
        <w:overflowPunct w:val="0"/>
        <w:ind w:left="0"/>
        <w:rPr>
          <w:rFonts w:hint="eastAsia" w:ascii="宋体" w:hAnsi="宋体" w:eastAsia="宋体" w:cs="宋体"/>
          <w:b/>
          <w:color w:val="auto"/>
          <w:sz w:val="20"/>
          <w:szCs w:val="24"/>
          <w:highlight w:val="none"/>
        </w:rPr>
      </w:pPr>
    </w:p>
    <w:p w14:paraId="7163ACCE">
      <w:pPr>
        <w:pStyle w:val="13"/>
        <w:kinsoku w:val="0"/>
        <w:overflowPunct w:val="0"/>
        <w:spacing w:before="1"/>
        <w:ind w:left="0"/>
        <w:rPr>
          <w:rFonts w:hint="eastAsia" w:ascii="宋体" w:hAnsi="宋体" w:eastAsia="宋体" w:cs="宋体"/>
          <w:b/>
          <w:color w:val="auto"/>
          <w:sz w:val="22"/>
          <w:szCs w:val="24"/>
          <w:highlight w:val="none"/>
        </w:rPr>
      </w:pPr>
    </w:p>
    <w:p w14:paraId="5B3E7D88">
      <w:pPr>
        <w:jc w:val="center"/>
        <w:rPr>
          <w:rFonts w:hint="eastAsia" w:ascii="宋体" w:hAnsi="宋体" w:eastAsia="宋体" w:cs="宋体"/>
          <w:color w:val="auto"/>
          <w:sz w:val="36"/>
          <w:szCs w:val="24"/>
          <w:highlight w:val="none"/>
          <w:lang w:eastAsia="zh-CN"/>
        </w:rPr>
      </w:pPr>
      <w:r>
        <w:rPr>
          <w:rFonts w:hint="eastAsia" w:ascii="宋体" w:hAnsi="宋体" w:eastAsia="宋体" w:cs="宋体"/>
          <w:color w:val="auto"/>
          <w:sz w:val="36"/>
          <w:szCs w:val="24"/>
          <w:highlight w:val="none"/>
          <w:u w:val="single"/>
          <w:lang w:val="en-US" w:eastAsia="zh-CN"/>
        </w:rPr>
        <w:t xml:space="preserve">                 </w:t>
      </w:r>
      <w:r>
        <w:rPr>
          <w:rFonts w:hint="eastAsia" w:ascii="宋体" w:hAnsi="宋体" w:eastAsia="宋体" w:cs="宋体"/>
          <w:color w:val="auto"/>
          <w:sz w:val="36"/>
          <w:szCs w:val="24"/>
          <w:highlight w:val="none"/>
          <w:u w:val="single"/>
        </w:rPr>
        <w:t>（项目名称/标段名称）</w:t>
      </w:r>
      <w:r>
        <w:rPr>
          <w:rFonts w:hint="eastAsia" w:ascii="宋体" w:hAnsi="宋体" w:eastAsia="宋体" w:cs="宋体"/>
          <w:color w:val="auto"/>
          <w:sz w:val="36"/>
          <w:szCs w:val="24"/>
          <w:highlight w:val="none"/>
          <w:lang w:val="en-US" w:eastAsia="zh-CN"/>
        </w:rPr>
        <w:t xml:space="preserve"> </w:t>
      </w:r>
    </w:p>
    <w:p w14:paraId="760F98C8">
      <w:pPr>
        <w:pStyle w:val="13"/>
        <w:kinsoku w:val="0"/>
        <w:overflowPunct w:val="0"/>
        <w:ind w:left="0"/>
        <w:rPr>
          <w:rFonts w:hint="eastAsia" w:ascii="宋体" w:hAnsi="宋体" w:eastAsia="宋体" w:cs="宋体"/>
          <w:color w:val="auto"/>
          <w:sz w:val="20"/>
          <w:szCs w:val="24"/>
          <w:highlight w:val="none"/>
        </w:rPr>
      </w:pPr>
    </w:p>
    <w:p w14:paraId="37C22513">
      <w:pPr>
        <w:pStyle w:val="13"/>
        <w:kinsoku w:val="0"/>
        <w:overflowPunct w:val="0"/>
        <w:spacing w:before="9"/>
        <w:ind w:left="0"/>
        <w:rPr>
          <w:rFonts w:hint="eastAsia" w:ascii="宋体" w:hAnsi="宋体" w:eastAsia="宋体" w:cs="宋体"/>
          <w:color w:val="auto"/>
          <w:sz w:val="15"/>
          <w:szCs w:val="24"/>
          <w:highlight w:val="none"/>
        </w:rPr>
      </w:pPr>
    </w:p>
    <w:p w14:paraId="12A70C4B">
      <w:pPr>
        <w:pStyle w:val="13"/>
        <w:kinsoku w:val="0"/>
        <w:overflowPunct w:val="0"/>
        <w:spacing w:line="539" w:lineRule="exact"/>
        <w:ind w:left="3" w:right="1"/>
        <w:jc w:val="center"/>
        <w:rPr>
          <w:rFonts w:hint="eastAsia" w:ascii="宋体" w:hAnsi="宋体" w:eastAsia="宋体" w:cs="宋体"/>
          <w:color w:val="auto"/>
          <w:sz w:val="44"/>
          <w:szCs w:val="24"/>
          <w:highlight w:val="none"/>
        </w:rPr>
      </w:pPr>
    </w:p>
    <w:p w14:paraId="16F26A83">
      <w:pPr>
        <w:pStyle w:val="13"/>
        <w:kinsoku w:val="0"/>
        <w:overflowPunct w:val="0"/>
        <w:spacing w:line="539" w:lineRule="exact"/>
        <w:ind w:left="3" w:right="1"/>
        <w:jc w:val="center"/>
        <w:rPr>
          <w:rFonts w:hint="eastAsia" w:ascii="宋体" w:hAnsi="宋体" w:eastAsia="宋体" w:cs="宋体"/>
          <w:color w:val="auto"/>
          <w:sz w:val="44"/>
          <w:szCs w:val="24"/>
          <w:highlight w:val="none"/>
        </w:rPr>
      </w:pPr>
    </w:p>
    <w:p w14:paraId="7D27B43C">
      <w:pPr>
        <w:pStyle w:val="13"/>
        <w:kinsoku w:val="0"/>
        <w:overflowPunct w:val="0"/>
        <w:ind w:left="0"/>
        <w:jc w:val="center"/>
        <w:rPr>
          <w:rFonts w:hint="eastAsia" w:ascii="宋体" w:hAnsi="宋体" w:eastAsia="宋体" w:cs="宋体"/>
          <w:color w:val="auto"/>
          <w:sz w:val="44"/>
          <w:szCs w:val="24"/>
          <w:highlight w:val="none"/>
        </w:rPr>
      </w:pPr>
      <w:r>
        <w:rPr>
          <w:rFonts w:hint="eastAsia" w:ascii="宋体" w:hAnsi="宋体" w:eastAsia="宋体" w:cs="宋体"/>
          <w:color w:val="auto"/>
          <w:sz w:val="84"/>
          <w:szCs w:val="84"/>
          <w:highlight w:val="none"/>
        </w:rPr>
        <w:t>投标文件</w:t>
      </w:r>
    </w:p>
    <w:p w14:paraId="3C201AA5">
      <w:pPr>
        <w:pStyle w:val="13"/>
        <w:kinsoku w:val="0"/>
        <w:overflowPunct w:val="0"/>
        <w:ind w:left="0"/>
        <w:rPr>
          <w:rFonts w:hint="eastAsia" w:ascii="宋体" w:hAnsi="宋体" w:eastAsia="宋体" w:cs="宋体"/>
          <w:color w:val="auto"/>
          <w:sz w:val="44"/>
          <w:szCs w:val="24"/>
          <w:highlight w:val="none"/>
        </w:rPr>
      </w:pPr>
    </w:p>
    <w:p w14:paraId="384CDFF3">
      <w:pPr>
        <w:pStyle w:val="13"/>
        <w:kinsoku w:val="0"/>
        <w:overflowPunct w:val="0"/>
        <w:ind w:left="0"/>
        <w:rPr>
          <w:rFonts w:hint="eastAsia" w:ascii="宋体" w:hAnsi="宋体" w:eastAsia="宋体" w:cs="宋体"/>
          <w:color w:val="auto"/>
          <w:sz w:val="44"/>
          <w:szCs w:val="24"/>
          <w:highlight w:val="none"/>
        </w:rPr>
      </w:pPr>
    </w:p>
    <w:p w14:paraId="6049F460">
      <w:pPr>
        <w:pStyle w:val="13"/>
        <w:kinsoku w:val="0"/>
        <w:overflowPunct w:val="0"/>
        <w:ind w:left="0"/>
        <w:rPr>
          <w:rFonts w:hint="eastAsia" w:ascii="宋体" w:hAnsi="宋体" w:eastAsia="宋体" w:cs="宋体"/>
          <w:color w:val="auto"/>
          <w:sz w:val="44"/>
          <w:szCs w:val="24"/>
          <w:highlight w:val="none"/>
        </w:rPr>
      </w:pPr>
    </w:p>
    <w:p w14:paraId="03F73DFF">
      <w:pPr>
        <w:pStyle w:val="13"/>
        <w:kinsoku w:val="0"/>
        <w:overflowPunct w:val="0"/>
        <w:ind w:left="0"/>
        <w:rPr>
          <w:rFonts w:hint="eastAsia" w:ascii="宋体" w:hAnsi="宋体" w:eastAsia="宋体" w:cs="宋体"/>
          <w:color w:val="auto"/>
          <w:sz w:val="44"/>
          <w:szCs w:val="24"/>
          <w:highlight w:val="none"/>
        </w:rPr>
      </w:pPr>
    </w:p>
    <w:p w14:paraId="0B044D9D">
      <w:pPr>
        <w:pStyle w:val="13"/>
        <w:kinsoku w:val="0"/>
        <w:overflowPunct w:val="0"/>
        <w:ind w:left="0"/>
        <w:rPr>
          <w:rFonts w:hint="eastAsia" w:ascii="宋体" w:hAnsi="宋体" w:eastAsia="宋体" w:cs="宋体"/>
          <w:color w:val="auto"/>
          <w:sz w:val="44"/>
          <w:szCs w:val="24"/>
          <w:highlight w:val="none"/>
        </w:rPr>
      </w:pPr>
    </w:p>
    <w:p w14:paraId="53D5711B">
      <w:pPr>
        <w:pStyle w:val="13"/>
        <w:kinsoku w:val="0"/>
        <w:overflowPunct w:val="0"/>
        <w:ind w:left="0"/>
        <w:rPr>
          <w:rFonts w:hint="eastAsia" w:ascii="宋体" w:hAnsi="宋体" w:eastAsia="宋体" w:cs="宋体"/>
          <w:color w:val="auto"/>
          <w:sz w:val="44"/>
          <w:szCs w:val="24"/>
          <w:highlight w:val="none"/>
        </w:rPr>
      </w:pPr>
    </w:p>
    <w:p w14:paraId="549B8F56">
      <w:pPr>
        <w:pStyle w:val="13"/>
        <w:kinsoku w:val="0"/>
        <w:overflowPunct w:val="0"/>
        <w:ind w:left="0"/>
        <w:rPr>
          <w:rFonts w:hint="eastAsia" w:ascii="宋体" w:hAnsi="宋体" w:eastAsia="宋体" w:cs="宋体"/>
          <w:color w:val="auto"/>
          <w:sz w:val="44"/>
          <w:szCs w:val="24"/>
          <w:highlight w:val="none"/>
        </w:rPr>
      </w:pPr>
    </w:p>
    <w:p w14:paraId="2EAAE510">
      <w:pPr>
        <w:pStyle w:val="13"/>
        <w:kinsoku w:val="0"/>
        <w:overflowPunct w:val="0"/>
        <w:ind w:left="0"/>
        <w:rPr>
          <w:rFonts w:hint="eastAsia" w:ascii="宋体" w:hAnsi="宋体" w:eastAsia="宋体" w:cs="宋体"/>
          <w:color w:val="auto"/>
          <w:sz w:val="44"/>
          <w:szCs w:val="24"/>
          <w:highlight w:val="none"/>
        </w:rPr>
      </w:pPr>
    </w:p>
    <w:p w14:paraId="353DBC69">
      <w:pPr>
        <w:pStyle w:val="13"/>
        <w:kinsoku w:val="0"/>
        <w:overflowPunct w:val="0"/>
        <w:ind w:left="0"/>
        <w:rPr>
          <w:rFonts w:hint="eastAsia" w:ascii="宋体" w:hAnsi="宋体" w:eastAsia="宋体" w:cs="宋体"/>
          <w:color w:val="auto"/>
          <w:sz w:val="44"/>
          <w:szCs w:val="24"/>
          <w:highlight w:val="none"/>
        </w:rPr>
      </w:pPr>
    </w:p>
    <w:p w14:paraId="1E1A11E6">
      <w:pPr>
        <w:pStyle w:val="13"/>
        <w:kinsoku w:val="0"/>
        <w:overflowPunct w:val="0"/>
        <w:spacing w:before="3"/>
        <w:ind w:left="0"/>
        <w:rPr>
          <w:rFonts w:hint="eastAsia" w:ascii="宋体" w:hAnsi="宋体" w:eastAsia="宋体" w:cs="宋体"/>
          <w:color w:val="auto"/>
          <w:sz w:val="41"/>
          <w:szCs w:val="24"/>
          <w:highlight w:val="none"/>
        </w:rPr>
      </w:pPr>
    </w:p>
    <w:p w14:paraId="07127C06">
      <w:pPr>
        <w:pStyle w:val="13"/>
        <w:tabs>
          <w:tab w:val="left" w:pos="5577"/>
          <w:tab w:val="left" w:pos="6942"/>
        </w:tabs>
        <w:kinsoku w:val="0"/>
        <w:overflowPunct w:val="0"/>
        <w:spacing w:line="357" w:lineRule="auto"/>
        <w:ind w:left="1201" w:right="175"/>
        <w:rPr>
          <w:rFonts w:hint="eastAsia" w:ascii="宋体" w:hAnsi="宋体" w:eastAsia="宋体" w:cs="宋体"/>
          <w:color w:val="auto"/>
          <w:spacing w:val="-1"/>
          <w:sz w:val="28"/>
          <w:szCs w:val="24"/>
          <w:highlight w:val="none"/>
        </w:rPr>
      </w:pPr>
      <w:r>
        <w:rPr>
          <w:rFonts w:hint="eastAsia" w:ascii="宋体" w:hAnsi="宋体" w:eastAsia="宋体" w:cs="宋体"/>
          <w:color w:val="auto"/>
          <w:sz w:val="28"/>
          <w:szCs w:val="24"/>
          <w:highlight w:val="none"/>
        </w:rPr>
        <w:t>投标人：</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u w:val="single"/>
        </w:rPr>
        <w:tab/>
      </w:r>
      <w:r>
        <w:rPr>
          <w:rFonts w:hint="eastAsia" w:ascii="宋体" w:hAnsi="宋体" w:eastAsia="宋体" w:cs="宋体"/>
          <w:color w:val="auto"/>
          <w:spacing w:val="-1"/>
          <w:sz w:val="28"/>
          <w:szCs w:val="24"/>
          <w:highlight w:val="none"/>
        </w:rPr>
        <w:t>（盖单位章）</w:t>
      </w:r>
      <w:r>
        <w:rPr>
          <w:rFonts w:hint="eastAsia" w:ascii="宋体" w:hAnsi="宋体" w:eastAsia="宋体" w:cs="宋体"/>
          <w:color w:val="auto"/>
          <w:spacing w:val="-136"/>
          <w:sz w:val="28"/>
          <w:szCs w:val="24"/>
          <w:highlight w:val="none"/>
        </w:rPr>
        <w:t xml:space="preserve"> </w:t>
      </w:r>
      <w:r>
        <w:rPr>
          <w:rFonts w:hint="eastAsia" w:ascii="宋体" w:hAnsi="宋体" w:eastAsia="宋体" w:cs="宋体"/>
          <w:color w:val="auto"/>
          <w:spacing w:val="-1"/>
          <w:sz w:val="28"/>
          <w:szCs w:val="24"/>
          <w:highlight w:val="none"/>
        </w:rPr>
        <w:t>法定代表人或其委托代理人：</w:t>
      </w:r>
      <w:r>
        <w:rPr>
          <w:rFonts w:hint="eastAsia" w:ascii="宋体" w:hAnsi="宋体" w:eastAsia="宋体" w:cs="宋体"/>
          <w:color w:val="auto"/>
          <w:spacing w:val="-1"/>
          <w:sz w:val="28"/>
          <w:szCs w:val="24"/>
          <w:highlight w:val="none"/>
          <w:u w:val="single"/>
        </w:rPr>
        <w:tab/>
      </w:r>
      <w:r>
        <w:rPr>
          <w:rFonts w:hint="eastAsia" w:ascii="宋体" w:hAnsi="宋体" w:eastAsia="宋体" w:cs="宋体"/>
          <w:color w:val="auto"/>
          <w:spacing w:val="-1"/>
          <w:sz w:val="28"/>
          <w:szCs w:val="24"/>
          <w:highlight w:val="none"/>
        </w:rPr>
        <w:t>（签字）</w:t>
      </w:r>
    </w:p>
    <w:p w14:paraId="07376444">
      <w:pPr>
        <w:pStyle w:val="13"/>
        <w:kinsoku w:val="0"/>
        <w:overflowPunct w:val="0"/>
        <w:spacing w:before="10"/>
        <w:ind w:left="0"/>
        <w:rPr>
          <w:rFonts w:hint="eastAsia" w:ascii="宋体" w:hAnsi="宋体" w:eastAsia="宋体" w:cs="宋体"/>
          <w:color w:val="auto"/>
          <w:sz w:val="29"/>
          <w:szCs w:val="24"/>
          <w:highlight w:val="none"/>
        </w:rPr>
      </w:pPr>
    </w:p>
    <w:p w14:paraId="3D3DE7F7">
      <w:pPr>
        <w:pStyle w:val="13"/>
        <w:tabs>
          <w:tab w:val="left" w:pos="3611"/>
          <w:tab w:val="left" w:pos="4626"/>
          <w:tab w:val="left" w:pos="5642"/>
        </w:tabs>
        <w:kinsoku w:val="0"/>
        <w:overflowPunct w:val="0"/>
        <w:spacing w:before="14"/>
        <w:ind w:left="2877" w:right="175"/>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年</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月</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日</w:t>
      </w:r>
    </w:p>
    <w:p w14:paraId="7EF9B22C">
      <w:pPr>
        <w:pStyle w:val="13"/>
        <w:tabs>
          <w:tab w:val="left" w:pos="3611"/>
          <w:tab w:val="left" w:pos="4626"/>
          <w:tab w:val="left" w:pos="5642"/>
        </w:tabs>
        <w:kinsoku w:val="0"/>
        <w:overflowPunct w:val="0"/>
        <w:spacing w:before="14"/>
        <w:ind w:left="2877" w:right="175"/>
        <w:rPr>
          <w:rFonts w:hint="eastAsia" w:ascii="宋体" w:hAnsi="宋体" w:eastAsia="宋体" w:cs="宋体"/>
          <w:color w:val="auto"/>
          <w:sz w:val="28"/>
          <w:szCs w:val="24"/>
          <w:highlight w:val="none"/>
        </w:rPr>
        <w:sectPr>
          <w:pgSz w:w="11905" w:h="16838"/>
          <w:pgMar w:top="1417" w:right="1417" w:bottom="1417" w:left="1417" w:header="992" w:footer="992" w:gutter="0"/>
          <w:lnNumType w:countBy="0" w:distance="360"/>
          <w:pgNumType w:fmt="decimal"/>
          <w:cols w:space="720" w:num="1"/>
        </w:sectPr>
      </w:pPr>
    </w:p>
    <w:p w14:paraId="11DC4A59">
      <w:pPr>
        <w:pStyle w:val="13"/>
        <w:kinsoku w:val="0"/>
        <w:overflowPunct w:val="0"/>
        <w:spacing w:line="443" w:lineRule="exact"/>
        <w:ind w:left="1244" w:right="1222"/>
        <w:jc w:val="center"/>
        <w:rPr>
          <w:rFonts w:hint="eastAsia" w:ascii="宋体" w:hAnsi="宋体" w:eastAsia="宋体" w:cs="宋体"/>
          <w:color w:val="auto"/>
          <w:sz w:val="32"/>
          <w:szCs w:val="24"/>
          <w:highlight w:val="none"/>
        </w:rPr>
      </w:pPr>
      <w:bookmarkStart w:id="136" w:name="bookmark175"/>
      <w:bookmarkEnd w:id="136"/>
      <w:r>
        <w:rPr>
          <w:rFonts w:hint="eastAsia" w:ascii="宋体" w:hAnsi="宋体" w:eastAsia="宋体" w:cs="宋体"/>
          <w:b/>
          <w:color w:val="auto"/>
          <w:sz w:val="32"/>
          <w:szCs w:val="24"/>
          <w:highlight w:val="none"/>
        </w:rPr>
        <w:t>目录</w:t>
      </w:r>
    </w:p>
    <w:p w14:paraId="4A5A1450">
      <w:pPr>
        <w:pStyle w:val="13"/>
        <w:kinsoku w:val="0"/>
        <w:overflowPunct w:val="0"/>
        <w:ind w:left="0"/>
        <w:rPr>
          <w:rFonts w:hint="eastAsia" w:ascii="宋体" w:hAnsi="宋体" w:eastAsia="宋体" w:cs="宋体"/>
          <w:b/>
          <w:color w:val="auto"/>
          <w:sz w:val="20"/>
          <w:szCs w:val="24"/>
          <w:highlight w:val="none"/>
        </w:rPr>
      </w:pPr>
    </w:p>
    <w:p w14:paraId="503B91A3">
      <w:pPr>
        <w:pStyle w:val="13"/>
        <w:kinsoku w:val="0"/>
        <w:overflowPunct w:val="0"/>
        <w:ind w:left="0"/>
        <w:rPr>
          <w:rFonts w:hint="eastAsia" w:ascii="宋体" w:hAnsi="宋体" w:eastAsia="宋体" w:cs="宋体"/>
          <w:b/>
          <w:color w:val="auto"/>
          <w:sz w:val="20"/>
          <w:szCs w:val="24"/>
          <w:highlight w:val="none"/>
        </w:rPr>
      </w:pPr>
    </w:p>
    <w:p w14:paraId="64AF6A8A">
      <w:pPr>
        <w:pStyle w:val="13"/>
        <w:kinsoku w:val="0"/>
        <w:overflowPunct w:val="0"/>
        <w:ind w:left="0"/>
        <w:rPr>
          <w:rFonts w:hint="eastAsia" w:ascii="宋体" w:hAnsi="宋体" w:eastAsia="宋体" w:cs="宋体"/>
          <w:b/>
          <w:color w:val="auto"/>
          <w:sz w:val="20"/>
          <w:szCs w:val="24"/>
          <w:highlight w:val="none"/>
        </w:rPr>
      </w:pPr>
    </w:p>
    <w:p w14:paraId="0B97A0FC">
      <w:pPr>
        <w:pStyle w:val="13"/>
        <w:kinsoku w:val="0"/>
        <w:overflowPunct w:val="0"/>
        <w:spacing w:before="6"/>
        <w:ind w:left="0"/>
        <w:rPr>
          <w:rFonts w:hint="eastAsia" w:ascii="宋体" w:hAnsi="宋体" w:eastAsia="宋体" w:cs="宋体"/>
          <w:b/>
          <w:color w:val="auto"/>
          <w:sz w:val="24"/>
          <w:szCs w:val="24"/>
          <w:highlight w:val="none"/>
        </w:rPr>
      </w:pPr>
    </w:p>
    <w:p w14:paraId="60D8352F">
      <w:pPr>
        <w:pStyle w:val="13"/>
        <w:numPr>
          <w:ilvl w:val="0"/>
          <w:numId w:val="0"/>
        </w:numPr>
        <w:kinsoku w:val="0"/>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投标函及投标函附录</w:t>
      </w:r>
    </w:p>
    <w:p w14:paraId="316E5FC9">
      <w:pPr>
        <w:pStyle w:val="13"/>
        <w:numPr>
          <w:ilvl w:val="0"/>
          <w:numId w:val="0"/>
        </w:numPr>
        <w:kinsoku w:val="0"/>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二、法定代表人身份证明</w:t>
      </w:r>
    </w:p>
    <w:p w14:paraId="45B30AF9">
      <w:pPr>
        <w:pStyle w:val="13"/>
        <w:numPr>
          <w:ilvl w:val="0"/>
          <w:numId w:val="0"/>
        </w:numPr>
        <w:kinsoku w:val="0"/>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二、授权委托书（适用于有委托代理人的情况）</w:t>
      </w:r>
    </w:p>
    <w:p w14:paraId="5B440650">
      <w:pPr>
        <w:pStyle w:val="13"/>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三、联合体协议书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本项目不适用</w:t>
      </w:r>
      <w:r>
        <w:rPr>
          <w:rFonts w:hint="eastAsia" w:ascii="宋体" w:hAnsi="宋体" w:eastAsia="宋体" w:cs="宋体"/>
          <w:color w:val="auto"/>
          <w:sz w:val="24"/>
          <w:szCs w:val="24"/>
          <w:highlight w:val="none"/>
          <w:lang w:eastAsia="zh-CN"/>
        </w:rPr>
        <w:t>）</w:t>
      </w:r>
    </w:p>
    <w:p w14:paraId="77ED7D9B">
      <w:pPr>
        <w:pStyle w:val="13"/>
        <w:numPr>
          <w:ilvl w:val="0"/>
          <w:numId w:val="0"/>
        </w:numPr>
        <w:shd w:val="clear"/>
        <w:kinsoku/>
        <w:overflowPunct w:val="0"/>
        <w:spacing w:before="61" w:line="472" w:lineRule="auto"/>
        <w:ind w:left="0" w:right="49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本项目不适用</w:t>
      </w:r>
      <w:r>
        <w:rPr>
          <w:rFonts w:hint="eastAsia" w:ascii="宋体" w:hAnsi="宋体" w:eastAsia="宋体" w:cs="宋体"/>
          <w:color w:val="auto"/>
          <w:sz w:val="24"/>
          <w:szCs w:val="24"/>
          <w:highlight w:val="none"/>
          <w:lang w:eastAsia="zh-CN"/>
        </w:rPr>
        <w:t>）</w:t>
      </w:r>
    </w:p>
    <w:p w14:paraId="417B27BB">
      <w:pPr>
        <w:pStyle w:val="13"/>
        <w:numPr>
          <w:ilvl w:val="0"/>
          <w:numId w:val="0"/>
        </w:numPr>
        <w:shd w:val="clear"/>
        <w:kinsoku/>
        <w:overflowPunct w:val="0"/>
        <w:spacing w:before="61" w:line="472" w:lineRule="auto"/>
        <w:ind w:left="0" w:right="62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五、监理报酬清单</w:t>
      </w:r>
    </w:p>
    <w:p w14:paraId="33C017D7">
      <w:pPr>
        <w:pStyle w:val="13"/>
        <w:numPr>
          <w:ilvl w:val="0"/>
          <w:numId w:val="0"/>
        </w:numPr>
        <w:shd w:val="clear"/>
        <w:kinsoku/>
        <w:overflowPunct w:val="0"/>
        <w:spacing w:before="61" w:line="472" w:lineRule="auto"/>
        <w:ind w:left="0" w:right="6220"/>
        <w:rPr>
          <w:rFonts w:hint="eastAsia" w:ascii="宋体" w:hAnsi="宋体" w:eastAsia="宋体" w:cs="宋体"/>
          <w:color w:val="auto"/>
          <w:sz w:val="24"/>
          <w:szCs w:val="24"/>
          <w:highlight w:val="none"/>
        </w:rPr>
      </w:pP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pacing w:val="-2"/>
          <w:sz w:val="24"/>
          <w:szCs w:val="24"/>
          <w:highlight w:val="none"/>
        </w:rPr>
        <w:t>六、资格审查资料</w:t>
      </w:r>
    </w:p>
    <w:p w14:paraId="5821B3E9">
      <w:pPr>
        <w:pStyle w:val="13"/>
        <w:numPr>
          <w:ilvl w:val="0"/>
          <w:numId w:val="0"/>
        </w:numPr>
        <w:shd w:val="clear"/>
        <w:kinsoku/>
        <w:overflowPunct w:val="0"/>
        <w:spacing w:before="61" w:line="472" w:lineRule="auto"/>
        <w:ind w:left="0" w:right="6220"/>
        <w:rPr>
          <w:rFonts w:hint="eastAsia" w:ascii="宋体" w:hAnsi="宋体" w:eastAsia="宋体" w:cs="宋体"/>
          <w:color w:val="auto"/>
          <w:sz w:val="24"/>
          <w:szCs w:val="24"/>
          <w:highlight w:val="none"/>
        </w:rPr>
      </w:pP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z w:val="24"/>
          <w:szCs w:val="24"/>
          <w:highlight w:val="none"/>
        </w:rPr>
        <w:t xml:space="preserve">七、监理大纲 </w:t>
      </w:r>
    </w:p>
    <w:p w14:paraId="05DDDA82">
      <w:pPr>
        <w:pStyle w:val="13"/>
        <w:numPr>
          <w:ilvl w:val="0"/>
          <w:numId w:val="0"/>
        </w:numPr>
        <w:kinsoku w:val="0"/>
        <w:overflowPunct w:val="0"/>
        <w:spacing w:before="61" w:line="472" w:lineRule="auto"/>
        <w:ind w:left="0" w:right="6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八、其他资料</w:t>
      </w:r>
    </w:p>
    <w:p w14:paraId="4561E0A5">
      <w:pPr>
        <w:pStyle w:val="13"/>
        <w:kinsoku w:val="0"/>
        <w:overflowPunct w:val="0"/>
        <w:spacing w:before="61" w:line="472" w:lineRule="auto"/>
        <w:ind w:left="100" w:right="6220"/>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26AD13D6">
      <w:pPr>
        <w:pStyle w:val="6"/>
        <w:jc w:val="center"/>
        <w:outlineLvl w:val="1"/>
        <w:rPr>
          <w:rFonts w:hint="eastAsia" w:ascii="宋体" w:hAnsi="宋体" w:eastAsia="宋体" w:cs="宋体"/>
          <w:color w:val="auto"/>
          <w:sz w:val="28"/>
          <w:szCs w:val="24"/>
          <w:highlight w:val="none"/>
        </w:rPr>
      </w:pPr>
      <w:bookmarkStart w:id="137" w:name="bookmark176"/>
      <w:bookmarkEnd w:id="137"/>
      <w:bookmarkStart w:id="138" w:name="_Toc5383"/>
      <w:r>
        <w:rPr>
          <w:rFonts w:hint="eastAsia" w:ascii="宋体" w:hAnsi="宋体" w:eastAsia="宋体" w:cs="宋体"/>
          <w:color w:val="auto"/>
          <w:sz w:val="28"/>
          <w:szCs w:val="24"/>
          <w:highlight w:val="none"/>
        </w:rPr>
        <w:t>一、投标函及投标函附录</w:t>
      </w:r>
      <w:bookmarkEnd w:id="138"/>
    </w:p>
    <w:p w14:paraId="09AD4B4C">
      <w:pPr>
        <w:pStyle w:val="7"/>
        <w:outlineLvl w:val="2"/>
        <w:rPr>
          <w:rFonts w:hint="eastAsia" w:ascii="宋体" w:hAnsi="宋体" w:eastAsia="宋体" w:cs="宋体"/>
          <w:b/>
          <w:color w:val="auto"/>
          <w:sz w:val="28"/>
          <w:szCs w:val="24"/>
          <w:highlight w:val="none"/>
        </w:rPr>
      </w:pPr>
      <w:bookmarkStart w:id="139" w:name="bookmark177"/>
      <w:bookmarkEnd w:id="139"/>
      <w:bookmarkStart w:id="140" w:name="_Toc9570"/>
      <w:r>
        <w:rPr>
          <w:rFonts w:hint="eastAsia" w:ascii="宋体" w:hAnsi="宋体" w:eastAsia="宋体" w:cs="宋体"/>
          <w:b/>
          <w:color w:val="auto"/>
          <w:sz w:val="28"/>
          <w:szCs w:val="24"/>
          <w:highlight w:val="none"/>
        </w:rPr>
        <w:t>（一）投标函</w:t>
      </w:r>
      <w:bookmarkEnd w:id="140"/>
    </w:p>
    <w:p w14:paraId="394B25C6">
      <w:pPr>
        <w:pStyle w:val="13"/>
        <w:kinsoku w:val="0"/>
        <w:overflowPunct w:val="0"/>
        <w:spacing w:before="1"/>
        <w:ind w:left="0"/>
        <w:rPr>
          <w:rFonts w:hint="eastAsia" w:ascii="宋体" w:hAnsi="宋体" w:eastAsia="宋体" w:cs="宋体"/>
          <w:color w:val="auto"/>
          <w:sz w:val="23"/>
          <w:szCs w:val="24"/>
          <w:highlight w:val="none"/>
        </w:rPr>
      </w:pPr>
    </w:p>
    <w:p w14:paraId="70466270">
      <w:pPr>
        <w:pStyle w:val="13"/>
        <w:tabs>
          <w:tab w:val="left" w:pos="1991"/>
        </w:tabs>
        <w:kinsoku w:val="0"/>
        <w:overflowPunct w:val="0"/>
        <w:ind w:left="100" w:right="113"/>
        <w:rPr>
          <w:rFonts w:hint="eastAsia" w:ascii="宋体" w:hAnsi="宋体" w:eastAsia="宋体"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5"/>
          <w:sz w:val="21"/>
          <w:szCs w:val="24"/>
          <w:highlight w:val="none"/>
        </w:rPr>
        <w:t>（招标人名称）：</w:t>
      </w:r>
    </w:p>
    <w:p w14:paraId="000E27A8">
      <w:pPr>
        <w:pStyle w:val="13"/>
        <w:kinsoku w:val="0"/>
        <w:overflowPunct w:val="0"/>
        <w:spacing w:before="13"/>
        <w:ind w:left="0"/>
        <w:rPr>
          <w:rFonts w:hint="eastAsia" w:ascii="宋体" w:hAnsi="宋体" w:eastAsia="宋体" w:cs="宋体"/>
          <w:color w:val="auto"/>
          <w:sz w:val="21"/>
          <w:szCs w:val="24"/>
          <w:highlight w:val="none"/>
        </w:rPr>
      </w:pPr>
    </w:p>
    <w:p w14:paraId="77D7EB5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1．我方已仔细研究了</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（项目名称</w:t>
      </w:r>
      <w:r>
        <w:rPr>
          <w:rFonts w:hint="eastAsia" w:ascii="宋体" w:hAnsi="宋体" w:eastAsia="宋体" w:cs="宋体"/>
          <w:color w:val="auto"/>
          <w:sz w:val="21"/>
          <w:szCs w:val="21"/>
          <w:highlight w:val="none"/>
          <w:u w:val="single"/>
          <w:lang w:val="en-US" w:eastAsia="zh-CN"/>
        </w:rPr>
        <w:t>/标段名称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招标项目招标文件的全部内容， 愿意以人民币（大写）</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）的投标总报价，监理服务期限：</w:t>
      </w:r>
      <w:r>
        <w:rPr>
          <w:rFonts w:hint="eastAsia" w:ascii="宋体" w:hAnsi="宋体" w:eastAsia="宋体" w:cs="宋体"/>
          <w:color w:val="auto"/>
          <w:kern w:val="2"/>
          <w:sz w:val="21"/>
          <w:szCs w:val="21"/>
          <w:highlight w:val="none"/>
          <w:u w:val="single"/>
          <w:lang w:val="en-US" w:eastAsia="zh-CN" w:bidi="ar-SA"/>
        </w:rPr>
        <w:t>按招标文件要求</w:t>
      </w:r>
      <w:r>
        <w:rPr>
          <w:rFonts w:hint="eastAsia" w:ascii="宋体" w:hAnsi="宋体" w:eastAsia="宋体" w:cs="宋体"/>
          <w:color w:val="auto"/>
          <w:kern w:val="2"/>
          <w:sz w:val="21"/>
          <w:szCs w:val="21"/>
          <w:highlight w:val="none"/>
          <w:lang w:val="en-US" w:eastAsia="zh-CN" w:bidi="ar-SA"/>
        </w:rPr>
        <w:t>，按合同约定完成监理工作。</w:t>
      </w:r>
    </w:p>
    <w:p w14:paraId="39D8E35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我方的投标文件包括下列内容：</w:t>
      </w:r>
    </w:p>
    <w:p w14:paraId="4EED72D3">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（1）投标函及投标函附录；</w:t>
      </w:r>
    </w:p>
    <w:p w14:paraId="3161A99C">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（2）法定代表人身份证明</w:t>
      </w:r>
      <w:r>
        <w:rPr>
          <w:rFonts w:hint="eastAsia" w:ascii="宋体" w:hAnsi="宋体" w:eastAsia="宋体" w:cs="宋体"/>
          <w:color w:val="auto"/>
          <w:spacing w:val="8"/>
          <w:sz w:val="21"/>
          <w:szCs w:val="21"/>
          <w:highlight w:val="none"/>
        </w:rPr>
        <w:t>或附有法定代表人身份证明的授权委托书</w:t>
      </w:r>
      <w:r>
        <w:rPr>
          <w:rFonts w:hint="eastAsia" w:ascii="宋体" w:hAnsi="宋体" w:eastAsia="宋体" w:cs="宋体"/>
          <w:color w:val="auto"/>
          <w:kern w:val="2"/>
          <w:sz w:val="21"/>
          <w:szCs w:val="21"/>
          <w:highlight w:val="none"/>
          <w:lang w:val="en-US" w:eastAsia="zh-CN" w:bidi="ar-SA"/>
        </w:rPr>
        <w:t>；</w:t>
      </w:r>
    </w:p>
    <w:p w14:paraId="46B224B3">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（3）联合体协议书（本项目不适用）；</w:t>
      </w:r>
    </w:p>
    <w:p w14:paraId="6891E033">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（4）投标保证金（本项目不适用）；</w:t>
      </w:r>
    </w:p>
    <w:p w14:paraId="5908819C">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（5）监理报酬清单；</w:t>
      </w:r>
    </w:p>
    <w:p w14:paraId="00580289">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（6）资格审查资料；</w:t>
      </w:r>
    </w:p>
    <w:p w14:paraId="69F76F75">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（7）监理大纲；</w:t>
      </w:r>
    </w:p>
    <w:p w14:paraId="31445D78">
      <w:pPr>
        <w:shd w:val="clear"/>
        <w:autoSpaceDE/>
        <w:autoSpaceDN/>
        <w:adjustRightInd/>
        <w:spacing w:line="360" w:lineRule="auto"/>
        <w:ind w:left="585" w:leftChars="200" w:hanging="105" w:hanging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（8）其他资料。</w:t>
      </w:r>
    </w:p>
    <w:p w14:paraId="540A7AF8">
      <w:pPr>
        <w:pStyle w:val="13"/>
        <w:kinsoku w:val="0"/>
        <w:overflowPunct w:val="0"/>
        <w:spacing w:line="360" w:lineRule="auto"/>
        <w:ind w:left="522" w:right="2132" w:hanging="17"/>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投标文件的上述组成部分如存在内容不一致的，以投标函为准。</w:t>
      </w:r>
    </w:p>
    <w:p w14:paraId="465F399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3．我方承诺在招标文件规定的投标有效期内不撤销投标文件。</w:t>
      </w:r>
    </w:p>
    <w:p w14:paraId="196665B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4．如我方中标，我方承诺：</w:t>
      </w:r>
    </w:p>
    <w:p w14:paraId="5DAE50C0">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（1）在收到中标通知书后，在中标通知书规定的期限内与你方签订合同；</w:t>
      </w:r>
    </w:p>
    <w:p w14:paraId="3943271B">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（2）在签订合同时不向你方提出附加条件；</w:t>
      </w:r>
    </w:p>
    <w:p w14:paraId="3B842978">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（3）按照招标文件要求提交履约保证金；</w:t>
      </w:r>
    </w:p>
    <w:p w14:paraId="575DD5F3">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（4）在合同约定的期限内完成合同规定的全部义务。</w:t>
      </w:r>
    </w:p>
    <w:p w14:paraId="12F424A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3E271A38">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6．我方承诺投标有效期为自投标截止之日起90日。</w:t>
      </w:r>
    </w:p>
    <w:p w14:paraId="4B6EFA0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（其他补充说明）。</w:t>
      </w:r>
    </w:p>
    <w:p w14:paraId="52E733EA">
      <w:pPr>
        <w:pStyle w:val="13"/>
        <w:tabs>
          <w:tab w:val="left" w:pos="7241"/>
        </w:tabs>
        <w:kinsoku w:val="0"/>
        <w:overflowPunct w:val="0"/>
        <w:spacing w:before="36" w:line="360" w:lineRule="auto"/>
        <w:ind w:left="2621" w:right="113" w:firstLine="1260" w:firstLineChars="600"/>
        <w:rPr>
          <w:rFonts w:hint="eastAsia" w:ascii="宋体" w:hAnsi="宋体" w:eastAsia="宋体" w:cs="宋体"/>
          <w:color w:val="auto"/>
          <w:sz w:val="21"/>
          <w:szCs w:val="24"/>
          <w:highlight w:val="none"/>
        </w:rPr>
      </w:pPr>
    </w:p>
    <w:p w14:paraId="7690B194">
      <w:pPr>
        <w:pStyle w:val="13"/>
        <w:tabs>
          <w:tab w:val="left" w:pos="7241"/>
        </w:tabs>
        <w:kinsoku w:val="0"/>
        <w:overflowPunct w:val="0"/>
        <w:spacing w:before="36" w:line="360" w:lineRule="auto"/>
        <w:ind w:left="2621" w:right="113" w:firstLine="1260" w:firstLineChars="6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 标</w:t>
      </w:r>
      <w:r>
        <w:rPr>
          <w:rFonts w:hint="eastAsia" w:ascii="宋体" w:hAnsi="宋体" w:eastAsia="宋体" w:cs="宋体"/>
          <w:color w:val="auto"/>
          <w:spacing w:val="-1"/>
          <w:sz w:val="21"/>
          <w:szCs w:val="24"/>
          <w:highlight w:val="none"/>
        </w:rPr>
        <w:t xml:space="preserve"> </w:t>
      </w:r>
      <w:r>
        <w:rPr>
          <w:rFonts w:hint="eastAsia" w:ascii="宋体" w:hAnsi="宋体" w:eastAsia="宋体" w:cs="宋体"/>
          <w:color w:val="auto"/>
          <w:sz w:val="21"/>
          <w:szCs w:val="24"/>
          <w:highlight w:val="none"/>
        </w:rPr>
        <w:t>人：</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rPr>
        <w:t>（盖单位章）</w:t>
      </w:r>
    </w:p>
    <w:p w14:paraId="644487A2">
      <w:pPr>
        <w:widowControl/>
        <w:kinsoku w:val="0"/>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311132E3">
      <w:pPr>
        <w:widowControl/>
        <w:kinsoku w:val="0"/>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p>
    <w:p w14:paraId="200A7ECD">
      <w:pPr>
        <w:pStyle w:val="38"/>
        <w:widowControl/>
        <w:kinsoku w:val="0"/>
        <w:snapToGrid w:val="0"/>
        <w:spacing w:line="360" w:lineRule="auto"/>
        <w:ind w:left="3840" w:leftChars="1600"/>
        <w:jc w:val="left"/>
        <w:textAlignment w:val="baseline"/>
        <w:rPr>
          <w:rFonts w:hint="eastAsia" w:ascii="宋体" w:hAnsi="宋体" w:eastAsia="宋体" w:cs="宋体"/>
          <w:b w:val="0"/>
          <w:snapToGrid w:val="0"/>
          <w:color w:val="auto"/>
          <w:spacing w:val="-4"/>
          <w:sz w:val="21"/>
          <w:szCs w:val="21"/>
          <w:highlight w:val="none"/>
          <w:lang w:eastAsia="zh-CN"/>
        </w:rPr>
      </w:pPr>
      <w:r>
        <w:rPr>
          <w:rFonts w:hint="eastAsia" w:ascii="宋体" w:hAnsi="宋体" w:eastAsia="宋体" w:cs="宋体"/>
          <w:b w:val="0"/>
          <w:snapToGrid w:val="0"/>
          <w:color w:val="auto"/>
          <w:spacing w:val="-4"/>
          <w:sz w:val="21"/>
          <w:szCs w:val="21"/>
          <w:highlight w:val="none"/>
          <w:lang w:eastAsia="zh-CN"/>
        </w:rPr>
        <w:t>项目负责人（总监理工程师）：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val="0"/>
          <w:color w:val="auto"/>
          <w:spacing w:val="-4"/>
          <w:sz w:val="21"/>
          <w:szCs w:val="21"/>
          <w:highlight w:val="none"/>
        </w:rPr>
        <w:t>(签字)</w:t>
      </w:r>
    </w:p>
    <w:p w14:paraId="3D51FE61">
      <w:pPr>
        <w:pStyle w:val="13"/>
        <w:tabs>
          <w:tab w:val="left" w:pos="3232"/>
          <w:tab w:val="left" w:pos="8529"/>
        </w:tabs>
        <w:kinsoku w:val="0"/>
        <w:overflowPunct w:val="0"/>
        <w:spacing w:before="36" w:line="360" w:lineRule="auto"/>
        <w:ind w:left="2601" w:firstLine="1260" w:firstLineChars="60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地</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3FAB5764">
      <w:pPr>
        <w:pStyle w:val="13"/>
        <w:tabs>
          <w:tab w:val="left" w:pos="3232"/>
          <w:tab w:val="left" w:pos="8529"/>
        </w:tabs>
        <w:kinsoku w:val="0"/>
        <w:overflowPunct w:val="0"/>
        <w:spacing w:before="36" w:line="360" w:lineRule="auto"/>
        <w:ind w:firstLine="3360" w:firstLineChars="160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网</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3408D506">
      <w:pPr>
        <w:pStyle w:val="13"/>
        <w:tabs>
          <w:tab w:val="left" w:pos="3232"/>
          <w:tab w:val="left" w:pos="8529"/>
        </w:tabs>
        <w:kinsoku w:val="0"/>
        <w:overflowPunct w:val="0"/>
        <w:spacing w:before="36" w:line="360" w:lineRule="auto"/>
        <w:ind w:firstLine="3360" w:firstLineChars="1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电</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话：</w:t>
      </w:r>
      <w:r>
        <w:rPr>
          <w:rFonts w:hint="eastAsia" w:ascii="宋体" w:hAnsi="宋体" w:eastAsia="宋体" w:cs="宋体"/>
          <w:color w:val="auto"/>
          <w:sz w:val="21"/>
          <w:szCs w:val="24"/>
          <w:highlight w:val="none"/>
          <w:u w:val="single"/>
          <w:lang w:val="en-US" w:eastAsia="zh-CN"/>
        </w:rPr>
        <w:t xml:space="preserve">                          </w:t>
      </w:r>
    </w:p>
    <w:p w14:paraId="2D6A545A">
      <w:pPr>
        <w:pStyle w:val="13"/>
        <w:tabs>
          <w:tab w:val="left" w:pos="3232"/>
          <w:tab w:val="left" w:pos="8529"/>
        </w:tabs>
        <w:kinsoku w:val="0"/>
        <w:overflowPunct w:val="0"/>
        <w:spacing w:before="36" w:line="360" w:lineRule="auto"/>
        <w:ind w:firstLine="3360" w:firstLineChars="1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传</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真：</w:t>
      </w:r>
      <w:r>
        <w:rPr>
          <w:rFonts w:hint="eastAsia" w:ascii="宋体" w:hAnsi="宋体" w:eastAsia="宋体" w:cs="宋体"/>
          <w:color w:val="auto"/>
          <w:sz w:val="21"/>
          <w:szCs w:val="24"/>
          <w:highlight w:val="none"/>
          <w:u w:val="single"/>
          <w:lang w:val="en-US" w:eastAsia="zh-CN"/>
        </w:rPr>
        <w:t xml:space="preserve">                          </w:t>
      </w:r>
    </w:p>
    <w:p w14:paraId="21485E57">
      <w:pPr>
        <w:pStyle w:val="13"/>
        <w:tabs>
          <w:tab w:val="left" w:pos="8529"/>
        </w:tabs>
        <w:kinsoku w:val="0"/>
        <w:overflowPunct w:val="0"/>
        <w:spacing w:before="36" w:line="360" w:lineRule="auto"/>
        <w:ind w:left="2601" w:firstLine="1260" w:firstLineChars="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邮政编码：</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001AD82F">
      <w:pPr>
        <w:pStyle w:val="13"/>
        <w:tabs>
          <w:tab w:val="left" w:pos="8529"/>
        </w:tabs>
        <w:kinsoku w:val="0"/>
        <w:overflowPunct w:val="0"/>
        <w:spacing w:before="36" w:line="360" w:lineRule="auto"/>
        <w:ind w:left="2601"/>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日</w:t>
      </w:r>
    </w:p>
    <w:p w14:paraId="7FA5933B">
      <w:pPr>
        <w:pStyle w:val="13"/>
        <w:tabs>
          <w:tab w:val="left" w:pos="631"/>
          <w:tab w:val="left" w:pos="1471"/>
          <w:tab w:val="left" w:pos="2311"/>
        </w:tabs>
        <w:kinsoku w:val="0"/>
        <w:overflowPunct w:val="0"/>
        <w:spacing w:before="36" w:line="360" w:lineRule="auto"/>
        <w:ind w:left="0" w:right="117"/>
        <w:jc w:val="right"/>
        <w:rPr>
          <w:rFonts w:hint="eastAsia" w:ascii="宋体" w:hAnsi="宋体" w:eastAsia="宋体" w:cs="宋体"/>
          <w:color w:val="auto"/>
          <w:sz w:val="21"/>
          <w:szCs w:val="24"/>
          <w:highlight w:val="none"/>
        </w:rPr>
        <w:sectPr>
          <w:footerReference r:id="rId10" w:type="default"/>
          <w:pgSz w:w="11905" w:h="16838"/>
          <w:pgMar w:top="1417" w:right="1417" w:bottom="1417" w:left="1417" w:header="992" w:footer="992" w:gutter="0"/>
          <w:lnNumType w:countBy="0" w:distance="360"/>
          <w:pgNumType w:fmt="decimal"/>
          <w:cols w:space="720" w:num="1"/>
        </w:sectPr>
      </w:pPr>
    </w:p>
    <w:p w14:paraId="5FFD3F17">
      <w:pPr>
        <w:pStyle w:val="7"/>
        <w:outlineLvl w:val="2"/>
        <w:rPr>
          <w:rFonts w:hint="eastAsia" w:ascii="宋体" w:hAnsi="宋体" w:eastAsia="宋体" w:cs="宋体"/>
          <w:b/>
          <w:color w:val="auto"/>
          <w:sz w:val="28"/>
          <w:szCs w:val="24"/>
          <w:highlight w:val="none"/>
        </w:rPr>
      </w:pPr>
      <w:bookmarkStart w:id="141" w:name="bookmark178"/>
      <w:bookmarkEnd w:id="141"/>
      <w:bookmarkStart w:id="142" w:name="_Toc8767"/>
      <w:r>
        <w:rPr>
          <w:rFonts w:hint="eastAsia" w:ascii="宋体" w:hAnsi="宋体" w:eastAsia="宋体" w:cs="宋体"/>
          <w:b/>
          <w:color w:val="auto"/>
          <w:sz w:val="28"/>
          <w:szCs w:val="24"/>
          <w:highlight w:val="none"/>
        </w:rPr>
        <w:t>（二）投标函附录</w:t>
      </w:r>
      <w:bookmarkEnd w:id="142"/>
    </w:p>
    <w:p w14:paraId="153C366E">
      <w:pPr>
        <w:pStyle w:val="13"/>
        <w:kinsoku w:val="0"/>
        <w:overflowPunct w:val="0"/>
        <w:ind w:left="0"/>
        <w:rPr>
          <w:rFonts w:hint="eastAsia" w:ascii="宋体" w:hAnsi="宋体" w:eastAsia="宋体" w:cs="宋体"/>
          <w:color w:val="auto"/>
          <w:sz w:val="20"/>
          <w:szCs w:val="24"/>
          <w:highlight w:val="none"/>
        </w:rPr>
      </w:pPr>
    </w:p>
    <w:p w14:paraId="5B7373C4">
      <w:pPr>
        <w:pStyle w:val="7"/>
        <w:shd w:val="clear"/>
        <w:outlineLvl w:val="2"/>
        <w:rPr>
          <w:rFonts w:hint="eastAsia" w:ascii="宋体" w:hAnsi="宋体" w:eastAsia="宋体" w:cs="宋体"/>
          <w:b/>
          <w:color w:val="auto"/>
          <w:sz w:val="28"/>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92"/>
        <w:gridCol w:w="5471"/>
        <w:gridCol w:w="978"/>
      </w:tblGrid>
      <w:tr w14:paraId="105C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1A307D3">
            <w:pPr>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692" w:type="dxa"/>
            <w:tcBorders>
              <w:top w:val="single" w:color="auto" w:sz="4" w:space="0"/>
              <w:left w:val="nil"/>
              <w:bottom w:val="single" w:color="auto" w:sz="4" w:space="0"/>
              <w:right w:val="single" w:color="auto" w:sz="4" w:space="0"/>
            </w:tcBorders>
            <w:vAlign w:val="center"/>
          </w:tcPr>
          <w:p w14:paraId="13AB8D7D">
            <w:pPr>
              <w:jc w:val="center"/>
              <w:rPr>
                <w:rFonts w:hint="eastAsia" w:ascii="宋体" w:hAnsi="宋体" w:cs="宋体"/>
                <w:b/>
                <w:bCs/>
                <w:color w:val="auto"/>
                <w:highlight w:val="none"/>
              </w:rPr>
            </w:pPr>
            <w:r>
              <w:rPr>
                <w:rFonts w:hint="eastAsia" w:ascii="宋体" w:hAnsi="宋体" w:cs="宋体"/>
                <w:b/>
                <w:bCs/>
                <w:color w:val="auto"/>
                <w:highlight w:val="none"/>
              </w:rPr>
              <w:t>条款名称</w:t>
            </w:r>
          </w:p>
        </w:tc>
        <w:tc>
          <w:tcPr>
            <w:tcW w:w="5471" w:type="dxa"/>
            <w:tcBorders>
              <w:top w:val="single" w:color="auto" w:sz="4" w:space="0"/>
              <w:left w:val="nil"/>
              <w:bottom w:val="single" w:color="auto" w:sz="4" w:space="0"/>
              <w:right w:val="single" w:color="auto" w:sz="4" w:space="0"/>
            </w:tcBorders>
            <w:vAlign w:val="center"/>
          </w:tcPr>
          <w:p w14:paraId="7379062F">
            <w:pPr>
              <w:jc w:val="center"/>
              <w:rPr>
                <w:rFonts w:hint="eastAsia" w:ascii="宋体" w:hAnsi="宋体" w:cs="宋体"/>
                <w:b/>
                <w:bCs/>
                <w:color w:val="auto"/>
                <w:highlight w:val="none"/>
              </w:rPr>
            </w:pPr>
            <w:r>
              <w:rPr>
                <w:rFonts w:hint="eastAsia" w:ascii="宋体" w:hAnsi="宋体" w:cs="宋体"/>
                <w:b/>
                <w:bCs/>
                <w:color w:val="auto"/>
                <w:highlight w:val="none"/>
              </w:rPr>
              <w:t>约定内容</w:t>
            </w:r>
          </w:p>
        </w:tc>
        <w:tc>
          <w:tcPr>
            <w:tcW w:w="978" w:type="dxa"/>
            <w:tcBorders>
              <w:top w:val="single" w:color="auto" w:sz="4" w:space="0"/>
              <w:left w:val="nil"/>
              <w:bottom w:val="single" w:color="auto" w:sz="4" w:space="0"/>
              <w:right w:val="single" w:color="auto" w:sz="4" w:space="0"/>
            </w:tcBorders>
            <w:vAlign w:val="center"/>
          </w:tcPr>
          <w:p w14:paraId="265639DE">
            <w:pPr>
              <w:jc w:val="center"/>
              <w:rPr>
                <w:rFonts w:hint="eastAsia" w:ascii="宋体" w:hAnsi="宋体" w:cs="宋体"/>
                <w:b/>
                <w:bCs/>
                <w:color w:val="auto"/>
                <w:highlight w:val="none"/>
              </w:rPr>
            </w:pPr>
            <w:r>
              <w:rPr>
                <w:rFonts w:hint="eastAsia" w:ascii="宋体" w:hAnsi="宋体" w:cs="宋体"/>
                <w:b/>
                <w:bCs/>
                <w:color w:val="auto"/>
                <w:highlight w:val="none"/>
              </w:rPr>
              <w:t>备注</w:t>
            </w:r>
          </w:p>
        </w:tc>
      </w:tr>
      <w:tr w14:paraId="1AE9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08E29AC">
            <w:pPr>
              <w:jc w:val="center"/>
              <w:rPr>
                <w:rFonts w:hint="eastAsia" w:ascii="宋体" w:hAnsi="宋体" w:cs="宋体"/>
                <w:color w:val="auto"/>
                <w:highlight w:val="none"/>
              </w:rPr>
            </w:pPr>
            <w:r>
              <w:rPr>
                <w:rFonts w:hint="eastAsia" w:ascii="宋体" w:hAnsi="宋体" w:cs="宋体"/>
                <w:color w:val="auto"/>
                <w:highlight w:val="none"/>
              </w:rPr>
              <w:t>1</w:t>
            </w:r>
          </w:p>
        </w:tc>
        <w:tc>
          <w:tcPr>
            <w:tcW w:w="1692" w:type="dxa"/>
            <w:tcBorders>
              <w:top w:val="single" w:color="auto" w:sz="4" w:space="0"/>
              <w:left w:val="nil"/>
              <w:bottom w:val="single" w:color="auto" w:sz="4" w:space="0"/>
              <w:right w:val="single" w:color="auto" w:sz="4" w:space="0"/>
            </w:tcBorders>
            <w:vAlign w:val="center"/>
          </w:tcPr>
          <w:p w14:paraId="6964A48E">
            <w:pPr>
              <w:jc w:val="center"/>
              <w:rPr>
                <w:rFonts w:hint="eastAsia" w:ascii="宋体" w:hAnsi="宋体" w:cs="宋体"/>
                <w:color w:val="auto"/>
                <w:highlight w:val="none"/>
              </w:rPr>
            </w:pPr>
            <w:r>
              <w:rPr>
                <w:rFonts w:hint="eastAsia" w:ascii="宋体" w:hAnsi="宋体" w:cs="宋体"/>
                <w:color w:val="auto"/>
                <w:highlight w:val="none"/>
              </w:rPr>
              <w:t>总监理工程师</w:t>
            </w:r>
          </w:p>
        </w:tc>
        <w:tc>
          <w:tcPr>
            <w:tcW w:w="5471" w:type="dxa"/>
            <w:tcBorders>
              <w:top w:val="single" w:color="auto" w:sz="4" w:space="0"/>
              <w:left w:val="nil"/>
              <w:bottom w:val="single" w:color="auto" w:sz="4" w:space="0"/>
              <w:right w:val="single" w:color="auto" w:sz="4" w:space="0"/>
            </w:tcBorders>
            <w:vAlign w:val="center"/>
          </w:tcPr>
          <w:p w14:paraId="0EBD0BEB">
            <w:pPr>
              <w:rPr>
                <w:rFonts w:hint="eastAsia" w:ascii="宋体" w:hAnsi="宋体" w:cs="宋体"/>
                <w:color w:val="auto"/>
                <w:highlight w:val="none"/>
                <w:u w:val="single"/>
              </w:rPr>
            </w:pPr>
            <w:r>
              <w:rPr>
                <w:rFonts w:hint="eastAsia" w:ascii="宋体" w:hAnsi="宋体" w:cs="宋体"/>
                <w:color w:val="auto"/>
                <w:highlight w:val="none"/>
              </w:rPr>
              <w:t>姓名：</w:t>
            </w:r>
            <w:r>
              <w:rPr>
                <w:rFonts w:hint="eastAsia" w:ascii="宋体" w:hAnsi="宋体" w:cs="宋体"/>
                <w:color w:val="auto"/>
                <w:highlight w:val="none"/>
                <w:u w:val="single"/>
              </w:rPr>
              <w:t xml:space="preserve">               </w:t>
            </w:r>
          </w:p>
          <w:p w14:paraId="736FB90B">
            <w:pPr>
              <w:rPr>
                <w:rFonts w:hint="eastAsia" w:ascii="宋体" w:hAnsi="宋体" w:cs="宋体"/>
                <w:color w:val="auto"/>
                <w:highlight w:val="none"/>
              </w:rPr>
            </w:pPr>
            <w:r>
              <w:rPr>
                <w:rFonts w:hint="eastAsia" w:ascii="宋体" w:hAnsi="宋体" w:cs="宋体"/>
                <w:color w:val="auto"/>
                <w:highlight w:val="none"/>
              </w:rPr>
              <w:t>技术职称：</w:t>
            </w:r>
            <w:r>
              <w:rPr>
                <w:rFonts w:hint="eastAsia" w:ascii="宋体" w:hAnsi="宋体" w:cs="宋体"/>
                <w:color w:val="auto"/>
                <w:highlight w:val="none"/>
                <w:u w:val="single"/>
              </w:rPr>
              <w:t xml:space="preserve">           </w:t>
            </w:r>
          </w:p>
          <w:p w14:paraId="66965FC8">
            <w:pPr>
              <w:rPr>
                <w:rFonts w:hint="eastAsia" w:ascii="宋体" w:hAnsi="宋体" w:cs="宋体"/>
                <w:color w:val="auto"/>
                <w:highlight w:val="none"/>
              </w:rPr>
            </w:pPr>
            <w:r>
              <w:rPr>
                <w:rFonts w:hint="eastAsia" w:ascii="宋体" w:hAnsi="宋体" w:cs="宋体"/>
                <w:color w:val="auto"/>
                <w:highlight w:val="none"/>
              </w:rPr>
              <w:t>注册证号：</w:t>
            </w:r>
            <w:r>
              <w:rPr>
                <w:rFonts w:hint="eastAsia" w:ascii="宋体" w:hAnsi="宋体" w:cs="宋体"/>
                <w:color w:val="auto"/>
                <w:highlight w:val="none"/>
                <w:u w:val="single"/>
              </w:rPr>
              <w:t xml:space="preserve">           </w:t>
            </w:r>
          </w:p>
        </w:tc>
        <w:tc>
          <w:tcPr>
            <w:tcW w:w="978" w:type="dxa"/>
            <w:tcBorders>
              <w:top w:val="single" w:color="auto" w:sz="4" w:space="0"/>
              <w:left w:val="nil"/>
              <w:bottom w:val="single" w:color="auto" w:sz="4" w:space="0"/>
              <w:right w:val="single" w:color="auto" w:sz="4" w:space="0"/>
            </w:tcBorders>
            <w:vAlign w:val="center"/>
          </w:tcPr>
          <w:p w14:paraId="192D4B3A">
            <w:pPr>
              <w:jc w:val="center"/>
              <w:rPr>
                <w:rFonts w:hint="eastAsia" w:ascii="宋体" w:hAnsi="宋体" w:cs="宋体"/>
                <w:b/>
                <w:bCs/>
                <w:color w:val="auto"/>
                <w:highlight w:val="none"/>
              </w:rPr>
            </w:pPr>
          </w:p>
        </w:tc>
      </w:tr>
      <w:tr w14:paraId="2BA7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DDB4DCC">
            <w:pPr>
              <w:jc w:val="center"/>
              <w:rPr>
                <w:rFonts w:hint="eastAsia" w:ascii="宋体" w:hAnsi="宋体" w:cs="宋体"/>
                <w:color w:val="auto"/>
                <w:highlight w:val="none"/>
              </w:rPr>
            </w:pPr>
            <w:r>
              <w:rPr>
                <w:rFonts w:hint="eastAsia" w:ascii="宋体" w:hAnsi="宋体" w:cs="宋体"/>
                <w:color w:val="auto"/>
                <w:highlight w:val="none"/>
              </w:rPr>
              <w:t>2</w:t>
            </w:r>
          </w:p>
        </w:tc>
        <w:tc>
          <w:tcPr>
            <w:tcW w:w="1692" w:type="dxa"/>
            <w:tcBorders>
              <w:top w:val="single" w:color="auto" w:sz="4" w:space="0"/>
              <w:left w:val="nil"/>
              <w:bottom w:val="single" w:color="auto" w:sz="4" w:space="0"/>
              <w:right w:val="single" w:color="auto" w:sz="4" w:space="0"/>
            </w:tcBorders>
            <w:vAlign w:val="center"/>
          </w:tcPr>
          <w:p w14:paraId="63D163BB">
            <w:pPr>
              <w:jc w:val="center"/>
              <w:rPr>
                <w:rFonts w:hint="eastAsia" w:ascii="宋体" w:hAnsi="宋体" w:cs="宋体"/>
                <w:color w:val="auto"/>
                <w:highlight w:val="none"/>
              </w:rPr>
            </w:pPr>
            <w:r>
              <w:rPr>
                <w:rFonts w:hint="eastAsia" w:ascii="宋体" w:hAnsi="宋体" w:cs="宋体"/>
                <w:color w:val="auto"/>
                <w:highlight w:val="none"/>
              </w:rPr>
              <w:t>工程监理服务期限</w:t>
            </w:r>
          </w:p>
        </w:tc>
        <w:tc>
          <w:tcPr>
            <w:tcW w:w="5471" w:type="dxa"/>
            <w:tcBorders>
              <w:top w:val="single" w:color="auto" w:sz="4" w:space="0"/>
              <w:left w:val="nil"/>
              <w:bottom w:val="single" w:color="auto" w:sz="4" w:space="0"/>
              <w:right w:val="single" w:color="auto" w:sz="4" w:space="0"/>
            </w:tcBorders>
            <w:vAlign w:val="center"/>
          </w:tcPr>
          <w:p w14:paraId="38977A77">
            <w:pPr>
              <w:rPr>
                <w:rFonts w:hint="eastAsia" w:ascii="宋体" w:hAnsi="宋体" w:cs="宋体"/>
                <w:color w:val="auto"/>
                <w:highlight w:val="none"/>
              </w:rPr>
            </w:pPr>
            <w:r>
              <w:rPr>
                <w:rFonts w:hint="eastAsia" w:ascii="宋体" w:hAnsi="宋体" w:cs="宋体"/>
                <w:color w:val="auto"/>
                <w:highlight w:val="none"/>
              </w:rPr>
              <w:t>按招标文件要求</w:t>
            </w:r>
          </w:p>
        </w:tc>
        <w:tc>
          <w:tcPr>
            <w:tcW w:w="978" w:type="dxa"/>
            <w:tcBorders>
              <w:top w:val="single" w:color="auto" w:sz="4" w:space="0"/>
              <w:left w:val="nil"/>
              <w:bottom w:val="single" w:color="auto" w:sz="4" w:space="0"/>
              <w:right w:val="single" w:color="auto" w:sz="4" w:space="0"/>
            </w:tcBorders>
            <w:vAlign w:val="center"/>
          </w:tcPr>
          <w:p w14:paraId="3BD2E923">
            <w:pPr>
              <w:jc w:val="center"/>
              <w:rPr>
                <w:rFonts w:hint="eastAsia" w:ascii="宋体" w:hAnsi="宋体" w:cs="宋体"/>
                <w:b/>
                <w:bCs/>
                <w:color w:val="auto"/>
                <w:highlight w:val="none"/>
              </w:rPr>
            </w:pPr>
          </w:p>
        </w:tc>
      </w:tr>
      <w:tr w14:paraId="738E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B9ED10B">
            <w:pPr>
              <w:jc w:val="center"/>
              <w:rPr>
                <w:rFonts w:hint="eastAsia" w:ascii="宋体" w:hAnsi="宋体" w:cs="宋体"/>
                <w:color w:val="auto"/>
                <w:highlight w:val="none"/>
              </w:rPr>
            </w:pPr>
            <w:r>
              <w:rPr>
                <w:rFonts w:hint="eastAsia" w:ascii="宋体" w:hAnsi="宋体" w:cs="宋体"/>
                <w:color w:val="auto"/>
                <w:highlight w:val="none"/>
              </w:rPr>
              <w:t>3</w:t>
            </w:r>
          </w:p>
        </w:tc>
        <w:tc>
          <w:tcPr>
            <w:tcW w:w="1692" w:type="dxa"/>
            <w:tcBorders>
              <w:top w:val="single" w:color="auto" w:sz="4" w:space="0"/>
              <w:left w:val="nil"/>
              <w:bottom w:val="single" w:color="auto" w:sz="4" w:space="0"/>
              <w:right w:val="single" w:color="auto" w:sz="4" w:space="0"/>
            </w:tcBorders>
            <w:vAlign w:val="center"/>
          </w:tcPr>
          <w:p w14:paraId="7D92FAE5">
            <w:pPr>
              <w:jc w:val="center"/>
              <w:rPr>
                <w:rFonts w:hint="eastAsia" w:ascii="宋体" w:hAnsi="宋体" w:cs="宋体"/>
                <w:color w:val="auto"/>
                <w:highlight w:val="none"/>
              </w:rPr>
            </w:pPr>
            <w:r>
              <w:rPr>
                <w:rFonts w:hint="eastAsia" w:ascii="宋体" w:hAnsi="宋体" w:cs="宋体"/>
                <w:color w:val="auto"/>
                <w:highlight w:val="none"/>
              </w:rPr>
              <w:t>合同价款确定方式</w:t>
            </w:r>
          </w:p>
        </w:tc>
        <w:tc>
          <w:tcPr>
            <w:tcW w:w="5471" w:type="dxa"/>
            <w:tcBorders>
              <w:top w:val="single" w:color="auto" w:sz="4" w:space="0"/>
              <w:left w:val="nil"/>
              <w:bottom w:val="single" w:color="auto" w:sz="4" w:space="0"/>
              <w:right w:val="single" w:color="auto" w:sz="4" w:space="0"/>
            </w:tcBorders>
            <w:vAlign w:val="center"/>
          </w:tcPr>
          <w:p w14:paraId="3B2844A6">
            <w:pPr>
              <w:rPr>
                <w:rFonts w:hint="eastAsia" w:ascii="宋体" w:hAnsi="宋体" w:cs="宋体"/>
                <w:color w:val="auto"/>
                <w:highlight w:val="none"/>
              </w:rPr>
            </w:pPr>
            <w:r>
              <w:rPr>
                <w:rFonts w:hint="eastAsia" w:ascii="宋体" w:hAnsi="宋体" w:cs="宋体"/>
                <w:color w:val="auto"/>
                <w:highlight w:val="none"/>
              </w:rPr>
              <w:t>按招标文件要求</w:t>
            </w:r>
          </w:p>
        </w:tc>
        <w:tc>
          <w:tcPr>
            <w:tcW w:w="978" w:type="dxa"/>
            <w:tcBorders>
              <w:top w:val="single" w:color="auto" w:sz="4" w:space="0"/>
              <w:left w:val="nil"/>
              <w:bottom w:val="single" w:color="auto" w:sz="4" w:space="0"/>
              <w:right w:val="single" w:color="auto" w:sz="4" w:space="0"/>
            </w:tcBorders>
            <w:vAlign w:val="center"/>
          </w:tcPr>
          <w:p w14:paraId="572A6B57">
            <w:pPr>
              <w:jc w:val="center"/>
              <w:rPr>
                <w:rFonts w:hint="eastAsia" w:ascii="宋体" w:hAnsi="宋体" w:cs="宋体"/>
                <w:b/>
                <w:bCs/>
                <w:color w:val="auto"/>
                <w:highlight w:val="none"/>
              </w:rPr>
            </w:pPr>
          </w:p>
        </w:tc>
      </w:tr>
      <w:tr w14:paraId="1650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5743F0B5">
            <w:pPr>
              <w:jc w:val="center"/>
              <w:rPr>
                <w:rFonts w:hint="eastAsia" w:ascii="宋体" w:hAnsi="宋体" w:cs="宋体"/>
                <w:color w:val="auto"/>
                <w:highlight w:val="none"/>
              </w:rPr>
            </w:pPr>
            <w:r>
              <w:rPr>
                <w:rFonts w:hint="eastAsia" w:ascii="宋体" w:hAnsi="宋体" w:cs="宋体"/>
                <w:color w:val="auto"/>
                <w:highlight w:val="none"/>
              </w:rPr>
              <w:t>4</w:t>
            </w:r>
          </w:p>
        </w:tc>
        <w:tc>
          <w:tcPr>
            <w:tcW w:w="1692" w:type="dxa"/>
            <w:tcBorders>
              <w:top w:val="single" w:color="auto" w:sz="4" w:space="0"/>
              <w:left w:val="nil"/>
              <w:bottom w:val="single" w:color="auto" w:sz="4" w:space="0"/>
              <w:right w:val="single" w:color="auto" w:sz="4" w:space="0"/>
            </w:tcBorders>
            <w:vAlign w:val="center"/>
          </w:tcPr>
          <w:p w14:paraId="5793087F">
            <w:pPr>
              <w:jc w:val="center"/>
              <w:rPr>
                <w:rFonts w:hint="eastAsia" w:ascii="宋体" w:hAnsi="宋体" w:cs="宋体"/>
                <w:color w:val="auto"/>
                <w:highlight w:val="none"/>
              </w:rPr>
            </w:pPr>
            <w:r>
              <w:rPr>
                <w:rFonts w:hint="eastAsia" w:ascii="宋体" w:hAnsi="宋体" w:cs="宋体"/>
                <w:color w:val="auto"/>
                <w:highlight w:val="none"/>
              </w:rPr>
              <w:t>质量标准</w:t>
            </w:r>
          </w:p>
        </w:tc>
        <w:tc>
          <w:tcPr>
            <w:tcW w:w="5471" w:type="dxa"/>
            <w:tcBorders>
              <w:top w:val="single" w:color="auto" w:sz="4" w:space="0"/>
              <w:left w:val="nil"/>
              <w:bottom w:val="single" w:color="auto" w:sz="4" w:space="0"/>
              <w:right w:val="single" w:color="auto" w:sz="4" w:space="0"/>
            </w:tcBorders>
            <w:vAlign w:val="center"/>
          </w:tcPr>
          <w:p w14:paraId="5C3F367C">
            <w:pPr>
              <w:rPr>
                <w:rFonts w:hint="eastAsia" w:ascii="宋体" w:hAnsi="宋体" w:cs="宋体"/>
                <w:color w:val="auto"/>
                <w:highlight w:val="none"/>
              </w:rPr>
            </w:pPr>
            <w:r>
              <w:rPr>
                <w:rFonts w:hint="eastAsia" w:ascii="宋体" w:hAnsi="宋体" w:cs="宋体"/>
                <w:color w:val="auto"/>
                <w:highlight w:val="none"/>
              </w:rPr>
              <w:t>按招标文件要求</w:t>
            </w:r>
          </w:p>
        </w:tc>
        <w:tc>
          <w:tcPr>
            <w:tcW w:w="978" w:type="dxa"/>
            <w:tcBorders>
              <w:top w:val="single" w:color="auto" w:sz="4" w:space="0"/>
              <w:left w:val="nil"/>
              <w:bottom w:val="single" w:color="auto" w:sz="4" w:space="0"/>
              <w:right w:val="single" w:color="auto" w:sz="4" w:space="0"/>
            </w:tcBorders>
            <w:vAlign w:val="center"/>
          </w:tcPr>
          <w:p w14:paraId="10947431">
            <w:pPr>
              <w:jc w:val="center"/>
              <w:rPr>
                <w:rFonts w:hint="eastAsia" w:ascii="宋体" w:hAnsi="宋体" w:cs="宋体"/>
                <w:b/>
                <w:bCs/>
                <w:color w:val="auto"/>
                <w:highlight w:val="none"/>
              </w:rPr>
            </w:pPr>
          </w:p>
        </w:tc>
      </w:tr>
      <w:tr w14:paraId="1C32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B16DAE2">
            <w:pPr>
              <w:jc w:val="center"/>
              <w:rPr>
                <w:rFonts w:hint="eastAsia" w:ascii="宋体" w:hAnsi="宋体" w:cs="宋体"/>
                <w:color w:val="auto"/>
                <w:highlight w:val="none"/>
              </w:rPr>
            </w:pPr>
            <w:r>
              <w:rPr>
                <w:rFonts w:hint="eastAsia" w:ascii="宋体" w:hAnsi="宋体" w:cs="宋体"/>
                <w:color w:val="auto"/>
                <w:highlight w:val="none"/>
              </w:rPr>
              <w:t>5</w:t>
            </w:r>
          </w:p>
        </w:tc>
        <w:tc>
          <w:tcPr>
            <w:tcW w:w="1692" w:type="dxa"/>
            <w:tcBorders>
              <w:top w:val="single" w:color="auto" w:sz="4" w:space="0"/>
              <w:left w:val="nil"/>
              <w:bottom w:val="single" w:color="auto" w:sz="4" w:space="0"/>
              <w:right w:val="single" w:color="auto" w:sz="4" w:space="0"/>
            </w:tcBorders>
            <w:vAlign w:val="center"/>
          </w:tcPr>
          <w:p w14:paraId="373392E8">
            <w:pPr>
              <w:jc w:val="center"/>
              <w:rPr>
                <w:rFonts w:hint="eastAsia" w:ascii="宋体" w:hAnsi="宋体" w:cs="宋体"/>
                <w:color w:val="auto"/>
                <w:highlight w:val="none"/>
              </w:rPr>
            </w:pPr>
            <w:r>
              <w:rPr>
                <w:rFonts w:hint="eastAsia" w:ascii="宋体" w:hAnsi="宋体" w:cs="宋体"/>
                <w:color w:val="auto"/>
                <w:highlight w:val="none"/>
              </w:rPr>
              <w:t>暂定工程费（万元）</w:t>
            </w:r>
          </w:p>
        </w:tc>
        <w:tc>
          <w:tcPr>
            <w:tcW w:w="5471" w:type="dxa"/>
            <w:tcBorders>
              <w:top w:val="single" w:color="auto" w:sz="4" w:space="0"/>
              <w:left w:val="nil"/>
              <w:bottom w:val="single" w:color="auto" w:sz="4" w:space="0"/>
              <w:right w:val="single" w:color="auto" w:sz="4" w:space="0"/>
            </w:tcBorders>
            <w:vAlign w:val="center"/>
          </w:tcPr>
          <w:p w14:paraId="63E20228">
            <w:pPr>
              <w:jc w:val="center"/>
              <w:rPr>
                <w:rFonts w:hint="eastAsia" w:ascii="宋体" w:hAnsi="宋体" w:cs="宋体"/>
                <w:color w:val="auto"/>
                <w:highlight w:val="none"/>
              </w:rPr>
            </w:pPr>
            <w:r>
              <w:rPr>
                <w:rFonts w:hint="eastAsia" w:ascii="宋体" w:hAnsi="宋体" w:cs="宋体"/>
                <w:color w:val="auto"/>
                <w:highlight w:val="none"/>
              </w:rPr>
              <w:t xml:space="preserve">        万元</w:t>
            </w:r>
          </w:p>
        </w:tc>
        <w:tc>
          <w:tcPr>
            <w:tcW w:w="978" w:type="dxa"/>
            <w:tcBorders>
              <w:top w:val="single" w:color="auto" w:sz="4" w:space="0"/>
              <w:left w:val="nil"/>
              <w:bottom w:val="single" w:color="auto" w:sz="4" w:space="0"/>
              <w:right w:val="single" w:color="auto" w:sz="4" w:space="0"/>
            </w:tcBorders>
            <w:vAlign w:val="center"/>
          </w:tcPr>
          <w:p w14:paraId="425E6DDD">
            <w:pPr>
              <w:jc w:val="center"/>
              <w:rPr>
                <w:rFonts w:hint="eastAsia" w:ascii="宋体" w:hAnsi="宋体" w:cs="宋体"/>
                <w:b/>
                <w:bCs/>
                <w:color w:val="auto"/>
                <w:highlight w:val="none"/>
              </w:rPr>
            </w:pPr>
          </w:p>
        </w:tc>
      </w:tr>
      <w:tr w14:paraId="559C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7" w:type="dxa"/>
            <w:tcBorders>
              <w:top w:val="single" w:color="auto" w:sz="4" w:space="0"/>
              <w:left w:val="single" w:color="auto" w:sz="4" w:space="0"/>
              <w:right w:val="single" w:color="auto" w:sz="4" w:space="0"/>
            </w:tcBorders>
            <w:vAlign w:val="center"/>
          </w:tcPr>
          <w:p w14:paraId="2400EAD6">
            <w:pPr>
              <w:jc w:val="center"/>
              <w:rPr>
                <w:rFonts w:hint="eastAsia" w:ascii="宋体" w:hAnsi="宋体" w:cs="宋体"/>
                <w:color w:val="auto"/>
                <w:highlight w:val="none"/>
              </w:rPr>
            </w:pPr>
            <w:r>
              <w:rPr>
                <w:rFonts w:hint="eastAsia" w:ascii="宋体" w:hAnsi="宋体" w:cs="宋体"/>
                <w:color w:val="auto"/>
                <w:highlight w:val="none"/>
              </w:rPr>
              <w:t>6</w:t>
            </w:r>
          </w:p>
        </w:tc>
        <w:tc>
          <w:tcPr>
            <w:tcW w:w="1692" w:type="dxa"/>
            <w:tcBorders>
              <w:top w:val="single" w:color="auto" w:sz="4" w:space="0"/>
              <w:left w:val="nil"/>
              <w:right w:val="single" w:color="auto" w:sz="4" w:space="0"/>
            </w:tcBorders>
            <w:vAlign w:val="center"/>
          </w:tcPr>
          <w:p w14:paraId="3D120AFC">
            <w:pPr>
              <w:jc w:val="center"/>
              <w:rPr>
                <w:rFonts w:hint="eastAsia" w:ascii="宋体" w:hAnsi="宋体" w:cs="宋体"/>
                <w:color w:val="auto"/>
                <w:highlight w:val="none"/>
              </w:rPr>
            </w:pPr>
            <w:r>
              <w:rPr>
                <w:rFonts w:hint="eastAsia" w:ascii="宋体" w:hAnsi="宋体" w:cs="宋体"/>
                <w:color w:val="auto"/>
                <w:highlight w:val="none"/>
              </w:rPr>
              <w:t>投标总报价</w:t>
            </w:r>
          </w:p>
          <w:p w14:paraId="6B391AAC">
            <w:pPr>
              <w:jc w:val="center"/>
              <w:rPr>
                <w:rFonts w:hint="eastAsia" w:ascii="宋体" w:hAnsi="宋体" w:cs="宋体"/>
                <w:color w:val="auto"/>
                <w:highlight w:val="none"/>
              </w:rPr>
            </w:pPr>
            <w:r>
              <w:rPr>
                <w:rFonts w:hint="eastAsia" w:ascii="宋体" w:hAnsi="宋体" w:cs="宋体"/>
                <w:color w:val="auto"/>
                <w:highlight w:val="none"/>
              </w:rPr>
              <w:t>（元）</w:t>
            </w:r>
          </w:p>
        </w:tc>
        <w:tc>
          <w:tcPr>
            <w:tcW w:w="5471" w:type="dxa"/>
            <w:tcBorders>
              <w:top w:val="single" w:color="auto" w:sz="4" w:space="0"/>
              <w:left w:val="nil"/>
              <w:right w:val="single" w:color="auto" w:sz="4" w:space="0"/>
            </w:tcBorders>
            <w:vAlign w:val="center"/>
          </w:tcPr>
          <w:p w14:paraId="0C01F0F5">
            <w:pPr>
              <w:rPr>
                <w:rFonts w:hint="eastAsia" w:ascii="宋体" w:hAnsi="宋体" w:cs="宋体"/>
                <w:color w:val="auto"/>
                <w:highlight w:val="none"/>
              </w:rPr>
            </w:pPr>
          </w:p>
          <w:p w14:paraId="3D84EF5C">
            <w:pPr>
              <w:rPr>
                <w:rFonts w:hint="eastAsia" w:ascii="宋体" w:hAnsi="宋体" w:cs="宋体"/>
                <w:color w:val="auto"/>
                <w:highlight w:val="none"/>
              </w:rPr>
            </w:pPr>
            <w:r>
              <w:rPr>
                <w:rFonts w:hint="eastAsia" w:ascii="宋体" w:hAnsi="宋体" w:cs="宋体"/>
                <w:color w:val="auto"/>
                <w:highlight w:val="none"/>
              </w:rPr>
              <w:t>人民币：（小写）</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6FD07F06">
            <w:pPr>
              <w:rPr>
                <w:rFonts w:hint="eastAsia"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p>
        </w:tc>
        <w:tc>
          <w:tcPr>
            <w:tcW w:w="978" w:type="dxa"/>
            <w:tcBorders>
              <w:top w:val="single" w:color="auto" w:sz="4" w:space="0"/>
              <w:left w:val="nil"/>
              <w:bottom w:val="single" w:color="auto" w:sz="4" w:space="0"/>
              <w:right w:val="single" w:color="auto" w:sz="4" w:space="0"/>
            </w:tcBorders>
            <w:vAlign w:val="center"/>
          </w:tcPr>
          <w:p w14:paraId="374DAAB3">
            <w:pPr>
              <w:jc w:val="center"/>
              <w:rPr>
                <w:rFonts w:hint="eastAsia" w:ascii="宋体" w:hAnsi="宋体" w:cs="宋体"/>
                <w:b/>
                <w:bCs/>
                <w:color w:val="auto"/>
                <w:highlight w:val="none"/>
              </w:rPr>
            </w:pPr>
          </w:p>
        </w:tc>
      </w:tr>
      <w:tr w14:paraId="33DE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7" w:type="dxa"/>
            <w:tcBorders>
              <w:top w:val="single" w:color="auto" w:sz="4" w:space="0"/>
              <w:left w:val="single" w:color="auto" w:sz="4" w:space="0"/>
              <w:right w:val="single" w:color="auto" w:sz="4" w:space="0"/>
            </w:tcBorders>
            <w:vAlign w:val="center"/>
          </w:tcPr>
          <w:p w14:paraId="06897FFA">
            <w:pPr>
              <w:spacing w:line="480" w:lineRule="exact"/>
              <w:jc w:val="center"/>
              <w:rPr>
                <w:rFonts w:hint="eastAsia" w:ascii="宋体" w:hAnsi="宋体" w:cs="宋体"/>
                <w:color w:val="auto"/>
                <w:highlight w:val="none"/>
              </w:rPr>
            </w:pPr>
            <w:r>
              <w:rPr>
                <w:rFonts w:hint="eastAsia" w:ascii="宋体" w:hAnsi="宋体" w:cs="宋体"/>
                <w:color w:val="auto"/>
                <w:highlight w:val="none"/>
              </w:rPr>
              <w:t>7</w:t>
            </w:r>
          </w:p>
        </w:tc>
        <w:tc>
          <w:tcPr>
            <w:tcW w:w="1692" w:type="dxa"/>
            <w:tcBorders>
              <w:top w:val="single" w:color="auto" w:sz="4" w:space="0"/>
              <w:left w:val="nil"/>
              <w:right w:val="single" w:color="auto" w:sz="4" w:space="0"/>
            </w:tcBorders>
            <w:vAlign w:val="center"/>
          </w:tcPr>
          <w:p w14:paraId="6E7437A8">
            <w:pPr>
              <w:jc w:val="center"/>
              <w:rPr>
                <w:rFonts w:hint="eastAsia" w:ascii="宋体" w:hAnsi="宋体" w:cs="宋体"/>
                <w:color w:val="auto"/>
                <w:highlight w:val="none"/>
              </w:rPr>
            </w:pPr>
            <w:r>
              <w:rPr>
                <w:rFonts w:hint="eastAsia" w:ascii="宋体" w:hAnsi="宋体" w:cs="宋体"/>
                <w:color w:val="auto"/>
                <w:highlight w:val="none"/>
              </w:rPr>
              <w:t>监理费投标下浮率（%）</w:t>
            </w:r>
          </w:p>
        </w:tc>
        <w:tc>
          <w:tcPr>
            <w:tcW w:w="5471" w:type="dxa"/>
            <w:tcBorders>
              <w:top w:val="single" w:color="auto" w:sz="4" w:space="0"/>
              <w:left w:val="nil"/>
              <w:right w:val="single" w:color="auto" w:sz="4" w:space="0"/>
            </w:tcBorders>
            <w:vAlign w:val="center"/>
          </w:tcPr>
          <w:p w14:paraId="57F957D3">
            <w:pPr>
              <w:rPr>
                <w:rFonts w:hint="eastAsia" w:ascii="宋体" w:hAnsi="宋体" w:cs="宋体"/>
                <w:color w:val="auto"/>
                <w:highlight w:val="none"/>
              </w:rPr>
            </w:pPr>
            <w:r>
              <w:rPr>
                <w:rFonts w:hint="eastAsia" w:ascii="宋体" w:hAnsi="宋体" w:cs="宋体"/>
                <w:color w:val="auto"/>
                <w:highlight w:val="none"/>
              </w:rPr>
              <w:t>监理费投标下浮率（%)：</w:t>
            </w:r>
          </w:p>
        </w:tc>
        <w:tc>
          <w:tcPr>
            <w:tcW w:w="978" w:type="dxa"/>
            <w:tcBorders>
              <w:top w:val="single" w:color="auto" w:sz="4" w:space="0"/>
              <w:left w:val="nil"/>
              <w:bottom w:val="single" w:color="auto" w:sz="4" w:space="0"/>
              <w:right w:val="single" w:color="auto" w:sz="4" w:space="0"/>
            </w:tcBorders>
            <w:vAlign w:val="center"/>
          </w:tcPr>
          <w:p w14:paraId="66C3C2C0">
            <w:pPr>
              <w:jc w:val="center"/>
              <w:rPr>
                <w:rFonts w:hint="eastAsia" w:ascii="宋体" w:hAnsi="宋体" w:cs="宋体"/>
                <w:b/>
                <w:bCs/>
                <w:color w:val="auto"/>
                <w:highlight w:val="none"/>
              </w:rPr>
            </w:pPr>
          </w:p>
        </w:tc>
      </w:tr>
      <w:tr w14:paraId="6F7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5E4218E">
            <w:pPr>
              <w:spacing w:line="480" w:lineRule="exact"/>
              <w:jc w:val="center"/>
              <w:rPr>
                <w:rFonts w:hint="eastAsia" w:ascii="宋体" w:hAnsi="宋体" w:cs="宋体"/>
                <w:color w:val="auto"/>
                <w:highlight w:val="none"/>
              </w:rPr>
            </w:pPr>
            <w:r>
              <w:rPr>
                <w:rFonts w:hint="eastAsia" w:ascii="宋体" w:hAnsi="宋体" w:cs="宋体"/>
                <w:color w:val="auto"/>
                <w:highlight w:val="none"/>
              </w:rPr>
              <w:t>8</w:t>
            </w:r>
          </w:p>
        </w:tc>
        <w:tc>
          <w:tcPr>
            <w:tcW w:w="1692" w:type="dxa"/>
            <w:tcBorders>
              <w:top w:val="single" w:color="auto" w:sz="4" w:space="0"/>
              <w:left w:val="nil"/>
              <w:bottom w:val="single" w:color="auto" w:sz="4" w:space="0"/>
              <w:right w:val="single" w:color="auto" w:sz="4" w:space="0"/>
            </w:tcBorders>
            <w:vAlign w:val="center"/>
          </w:tcPr>
          <w:p w14:paraId="728F38EE">
            <w:pPr>
              <w:spacing w:line="480" w:lineRule="exact"/>
              <w:rPr>
                <w:rFonts w:hint="eastAsia" w:ascii="宋体" w:hAnsi="宋体" w:cs="宋体"/>
                <w:color w:val="auto"/>
                <w:highlight w:val="none"/>
              </w:rPr>
            </w:pPr>
            <w:r>
              <w:rPr>
                <w:rFonts w:hint="eastAsia" w:ascii="宋体" w:hAnsi="宋体" w:cs="宋体"/>
                <w:color w:val="auto"/>
                <w:highlight w:val="none"/>
              </w:rPr>
              <w:t>投标有效期</w:t>
            </w:r>
          </w:p>
        </w:tc>
        <w:tc>
          <w:tcPr>
            <w:tcW w:w="5471" w:type="dxa"/>
            <w:tcBorders>
              <w:top w:val="single" w:color="auto" w:sz="4" w:space="0"/>
              <w:left w:val="nil"/>
              <w:bottom w:val="single" w:color="auto" w:sz="4" w:space="0"/>
              <w:right w:val="single" w:color="auto" w:sz="4" w:space="0"/>
            </w:tcBorders>
            <w:vAlign w:val="center"/>
          </w:tcPr>
          <w:p w14:paraId="5825F4A7">
            <w:pPr>
              <w:spacing w:line="480" w:lineRule="exact"/>
              <w:rPr>
                <w:rFonts w:hint="eastAsia" w:ascii="宋体" w:hAnsi="宋体" w:cs="宋体"/>
                <w:color w:val="auto"/>
                <w:highlight w:val="none"/>
              </w:rPr>
            </w:pPr>
            <w:r>
              <w:rPr>
                <w:rFonts w:hint="eastAsia" w:ascii="宋体" w:hAnsi="宋体" w:cs="宋体"/>
                <w:color w:val="auto"/>
                <w:highlight w:val="none"/>
              </w:rPr>
              <w:t>按招标文件要求</w:t>
            </w:r>
          </w:p>
        </w:tc>
        <w:tc>
          <w:tcPr>
            <w:tcW w:w="978" w:type="dxa"/>
            <w:tcBorders>
              <w:top w:val="single" w:color="auto" w:sz="4" w:space="0"/>
              <w:left w:val="nil"/>
              <w:bottom w:val="single" w:color="auto" w:sz="4" w:space="0"/>
              <w:right w:val="single" w:color="auto" w:sz="4" w:space="0"/>
            </w:tcBorders>
            <w:vAlign w:val="center"/>
          </w:tcPr>
          <w:p w14:paraId="6073F544">
            <w:pPr>
              <w:spacing w:line="480" w:lineRule="exact"/>
              <w:jc w:val="center"/>
              <w:rPr>
                <w:rFonts w:hint="eastAsia" w:ascii="宋体" w:hAnsi="宋体" w:cs="宋体"/>
                <w:b/>
                <w:bCs/>
                <w:color w:val="auto"/>
                <w:highlight w:val="none"/>
              </w:rPr>
            </w:pPr>
          </w:p>
        </w:tc>
      </w:tr>
    </w:tbl>
    <w:p w14:paraId="115380AE">
      <w:pPr>
        <w:spacing w:line="480" w:lineRule="exact"/>
        <w:rPr>
          <w:rFonts w:hint="eastAsia" w:ascii="宋体" w:hAnsi="宋体" w:cs="宋体"/>
          <w:color w:val="auto"/>
          <w:highlight w:val="none"/>
        </w:rPr>
      </w:pPr>
      <w:r>
        <w:rPr>
          <w:rFonts w:hint="eastAsia" w:ascii="宋体" w:hAnsi="宋体" w:cs="宋体"/>
          <w:color w:val="auto"/>
          <w:highlight w:val="none"/>
        </w:rPr>
        <w:t>注：</w:t>
      </w:r>
    </w:p>
    <w:p w14:paraId="3DB1633E">
      <w:pPr>
        <w:spacing w:line="480" w:lineRule="exact"/>
        <w:rPr>
          <w:rFonts w:hint="eastAsia" w:ascii="宋体" w:hAnsi="宋体" w:cs="宋体"/>
          <w:color w:val="auto"/>
          <w:highlight w:val="none"/>
        </w:rPr>
      </w:pPr>
      <w:r>
        <w:rPr>
          <w:rFonts w:hint="eastAsia" w:ascii="宋体" w:hAnsi="宋体" w:cs="宋体"/>
          <w:color w:val="auto"/>
          <w:highlight w:val="none"/>
        </w:rPr>
        <w:t>1.监理费下浮率=（最高投标限价-投标报价）/最高投标限价*100%（以%为单位，精确到小数点后2位）。</w:t>
      </w:r>
    </w:p>
    <w:p w14:paraId="3C69D122">
      <w:pPr>
        <w:spacing w:line="480" w:lineRule="exact"/>
        <w:rPr>
          <w:rFonts w:hint="eastAsia" w:ascii="宋体" w:hAnsi="宋体" w:cs="宋体"/>
          <w:color w:val="auto"/>
          <w:highlight w:val="none"/>
        </w:rPr>
      </w:pPr>
      <w:r>
        <w:rPr>
          <w:rFonts w:hint="eastAsia" w:ascii="宋体" w:hAnsi="宋体" w:cs="宋体"/>
          <w:color w:val="auto"/>
          <w:highlight w:val="none"/>
        </w:rPr>
        <w:t>2.监理费下浮率填报为正数，投标报价填报保留小数点后2位。</w:t>
      </w:r>
    </w:p>
    <w:p w14:paraId="00677F05">
      <w:pPr>
        <w:rPr>
          <w:rFonts w:hint="eastAsia" w:ascii="宋体" w:hAnsi="宋体" w:eastAsia="宋体" w:cs="宋体"/>
          <w:color w:val="auto"/>
          <w:highlight w:val="none"/>
        </w:rPr>
      </w:pPr>
    </w:p>
    <w:p w14:paraId="6F180362">
      <w:pPr>
        <w:pStyle w:val="13"/>
        <w:shd w:val="clear"/>
        <w:kinsoku/>
        <w:overflowPunct w:val="0"/>
        <w:ind w:left="0"/>
        <w:rPr>
          <w:rFonts w:hint="eastAsia" w:ascii="宋体" w:hAnsi="宋体" w:eastAsia="宋体" w:cs="宋体"/>
          <w:color w:val="auto"/>
          <w:sz w:val="19"/>
          <w:szCs w:val="24"/>
          <w:highlight w:val="none"/>
        </w:rPr>
      </w:pPr>
    </w:p>
    <w:p w14:paraId="159381B0">
      <w:pPr>
        <w:pStyle w:val="13"/>
        <w:kinsoku w:val="0"/>
        <w:overflowPunct w:val="0"/>
        <w:spacing w:before="10"/>
        <w:ind w:left="0"/>
        <w:rPr>
          <w:rFonts w:hint="eastAsia" w:ascii="宋体" w:hAnsi="宋体" w:eastAsia="宋体" w:cs="宋体"/>
          <w:color w:val="auto"/>
          <w:sz w:val="24"/>
          <w:szCs w:val="24"/>
          <w:highlight w:val="none"/>
        </w:rPr>
      </w:pPr>
    </w:p>
    <w:p w14:paraId="16318CBE">
      <w:pPr>
        <w:pStyle w:val="13"/>
        <w:tabs>
          <w:tab w:val="left" w:pos="631"/>
          <w:tab w:val="left" w:pos="1471"/>
          <w:tab w:val="left" w:pos="2311"/>
        </w:tabs>
        <w:kinsoku w:val="0"/>
        <w:overflowPunct w:val="0"/>
        <w:spacing w:before="36"/>
        <w:ind w:left="0" w:right="177"/>
        <w:jc w:val="right"/>
        <w:rPr>
          <w:rFonts w:hint="eastAsia" w:ascii="宋体" w:hAnsi="宋体" w:eastAsia="宋体" w:cs="宋体"/>
          <w:color w:val="auto"/>
          <w:sz w:val="21"/>
          <w:szCs w:val="24"/>
          <w:highlight w:val="none"/>
        </w:rPr>
      </w:pPr>
      <w:r>
        <w:rPr>
          <w:rFonts w:hint="eastAsia" w:ascii="宋体" w:hAnsi="宋体" w:eastAsia="宋体" w:cs="宋体"/>
          <w:color w:val="auto"/>
          <w:sz w:val="24"/>
          <w:szCs w:val="24"/>
          <w:highlight w:val="none"/>
          <w:u w:val="single"/>
        </w:rPr>
        <w:t xml:space="preserve"> </w:t>
      </w:r>
    </w:p>
    <w:p w14:paraId="68817633">
      <w:pPr>
        <w:pStyle w:val="13"/>
        <w:tabs>
          <w:tab w:val="left" w:pos="631"/>
          <w:tab w:val="left" w:pos="1471"/>
          <w:tab w:val="left" w:pos="2311"/>
        </w:tabs>
        <w:kinsoku w:val="0"/>
        <w:overflowPunct w:val="0"/>
        <w:spacing w:before="36"/>
        <w:ind w:left="0" w:right="177"/>
        <w:jc w:val="right"/>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pgNumType w:fmt="decimal"/>
          <w:cols w:space="720" w:num="1"/>
        </w:sectPr>
      </w:pPr>
    </w:p>
    <w:p w14:paraId="7FF409B7">
      <w:pPr>
        <w:pStyle w:val="6"/>
        <w:jc w:val="center"/>
        <w:outlineLvl w:val="1"/>
        <w:rPr>
          <w:rFonts w:hint="eastAsia" w:ascii="宋体" w:hAnsi="宋体" w:eastAsia="宋体" w:cs="宋体"/>
          <w:color w:val="auto"/>
          <w:sz w:val="28"/>
          <w:szCs w:val="24"/>
          <w:highlight w:val="none"/>
        </w:rPr>
      </w:pPr>
      <w:bookmarkStart w:id="143" w:name="bookmark179"/>
      <w:bookmarkEnd w:id="143"/>
      <w:bookmarkStart w:id="144" w:name="_Toc2313"/>
      <w:r>
        <w:rPr>
          <w:rFonts w:hint="eastAsia" w:ascii="宋体" w:hAnsi="宋体" w:eastAsia="宋体" w:cs="宋体"/>
          <w:color w:val="auto"/>
          <w:sz w:val="28"/>
          <w:szCs w:val="24"/>
          <w:highlight w:val="none"/>
        </w:rPr>
        <w:t>二、法定代表人身份证明</w:t>
      </w:r>
      <w:bookmarkEnd w:id="144"/>
    </w:p>
    <w:p w14:paraId="3284A4EB">
      <w:pPr>
        <w:pStyle w:val="13"/>
        <w:kinsoku w:val="0"/>
        <w:overflowPunct w:val="0"/>
        <w:spacing w:before="8"/>
        <w:ind w:left="0"/>
        <w:rPr>
          <w:rFonts w:hint="eastAsia" w:ascii="宋体" w:hAnsi="宋体" w:eastAsia="宋体" w:cs="宋体"/>
          <w:b/>
          <w:color w:val="auto"/>
          <w:sz w:val="25"/>
          <w:szCs w:val="24"/>
          <w:highlight w:val="none"/>
        </w:rPr>
      </w:pPr>
    </w:p>
    <w:p w14:paraId="2EC02345">
      <w:pPr>
        <w:pStyle w:val="13"/>
        <w:tabs>
          <w:tab w:val="left" w:pos="3928"/>
        </w:tabs>
        <w:kinsoku w:val="0"/>
        <w:overflowPunct w:val="0"/>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B1A1C5B">
      <w:pPr>
        <w:pStyle w:val="13"/>
        <w:kinsoku w:val="0"/>
        <w:overflowPunct w:val="0"/>
        <w:spacing w:before="2"/>
        <w:ind w:left="0"/>
        <w:rPr>
          <w:rFonts w:hint="eastAsia" w:ascii="宋体" w:hAnsi="宋体" w:eastAsia="宋体" w:cs="宋体"/>
          <w:color w:val="auto"/>
          <w:sz w:val="24"/>
          <w:szCs w:val="24"/>
          <w:highlight w:val="none"/>
        </w:rPr>
      </w:pPr>
    </w:p>
    <w:p w14:paraId="1FCD6A60">
      <w:pPr>
        <w:pStyle w:val="13"/>
        <w:tabs>
          <w:tab w:val="left" w:pos="2412"/>
          <w:tab w:val="left" w:pos="3883"/>
          <w:tab w:val="left" w:pos="5352"/>
          <w:tab w:val="left" w:pos="6869"/>
        </w:tabs>
        <w:kinsoku w:val="0"/>
        <w:overflowPunct w:val="0"/>
        <w:spacing w:before="36"/>
        <w:ind w:left="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2"/>
          <w:sz w:val="24"/>
          <w:szCs w:val="24"/>
          <w:highlight w:val="none"/>
        </w:rPr>
        <w:t>年龄：</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24A881DC">
      <w:pPr>
        <w:pStyle w:val="13"/>
        <w:kinsoku w:val="0"/>
        <w:overflowPunct w:val="0"/>
        <w:spacing w:before="5"/>
        <w:ind w:left="0"/>
        <w:rPr>
          <w:rFonts w:hint="eastAsia" w:ascii="宋体" w:hAnsi="宋体" w:eastAsia="宋体" w:cs="宋体"/>
          <w:color w:val="auto"/>
          <w:sz w:val="24"/>
          <w:szCs w:val="24"/>
          <w:highlight w:val="none"/>
        </w:rPr>
      </w:pPr>
    </w:p>
    <w:p w14:paraId="37E8C236">
      <w:pPr>
        <w:pStyle w:val="13"/>
        <w:tabs>
          <w:tab w:val="left" w:pos="2832"/>
        </w:tabs>
        <w:kinsoku w:val="0"/>
        <w:overflowPunct w:val="0"/>
        <w:spacing w:before="36"/>
        <w:ind w:left="100"/>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系</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2"/>
          <w:sz w:val="24"/>
          <w:szCs w:val="24"/>
          <w:highlight w:val="none"/>
        </w:rPr>
        <w:t>（投标人名称）的法定代表人。</w:t>
      </w:r>
    </w:p>
    <w:p w14:paraId="04C949AC">
      <w:pPr>
        <w:pStyle w:val="13"/>
        <w:kinsoku w:val="0"/>
        <w:overflowPunct w:val="0"/>
        <w:spacing w:before="10"/>
        <w:ind w:left="0"/>
        <w:rPr>
          <w:rFonts w:hint="eastAsia" w:ascii="宋体" w:hAnsi="宋体" w:eastAsia="宋体" w:cs="宋体"/>
          <w:color w:val="auto"/>
          <w:sz w:val="24"/>
          <w:szCs w:val="24"/>
          <w:highlight w:val="none"/>
        </w:rPr>
      </w:pPr>
    </w:p>
    <w:p w14:paraId="02F3B926">
      <w:pPr>
        <w:pStyle w:val="13"/>
        <w:kinsoku w:val="0"/>
        <w:overflowPunct w:val="0"/>
        <w:spacing w:before="36"/>
        <w:ind w:left="100" w:firstLine="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B4FD69E">
      <w:pPr>
        <w:pStyle w:val="13"/>
        <w:kinsoku w:val="0"/>
        <w:overflowPunct w:val="0"/>
        <w:ind w:left="0"/>
        <w:rPr>
          <w:rFonts w:hint="eastAsia" w:ascii="宋体" w:hAnsi="宋体" w:eastAsia="宋体" w:cs="宋体"/>
          <w:color w:val="auto"/>
          <w:sz w:val="24"/>
          <w:szCs w:val="24"/>
          <w:highlight w:val="none"/>
        </w:rPr>
      </w:pPr>
    </w:p>
    <w:p w14:paraId="64864314">
      <w:pPr>
        <w:pStyle w:val="13"/>
        <w:kinsoku w:val="0"/>
        <w:overflowPunct w:val="0"/>
        <w:spacing w:before="4"/>
        <w:ind w:left="0"/>
        <w:rPr>
          <w:rFonts w:hint="eastAsia" w:ascii="宋体" w:hAnsi="宋体" w:eastAsia="宋体" w:cs="宋体"/>
          <w:color w:val="auto"/>
          <w:sz w:val="24"/>
          <w:szCs w:val="24"/>
          <w:highlight w:val="none"/>
        </w:rPr>
      </w:pPr>
    </w:p>
    <w:p w14:paraId="339F2987">
      <w:pPr>
        <w:pStyle w:val="13"/>
        <w:kinsoku w:val="0"/>
        <w:overflowPunct w:val="0"/>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正反面扫描</w:t>
      </w:r>
      <w:r>
        <w:rPr>
          <w:rFonts w:hint="eastAsia" w:ascii="宋体" w:hAnsi="宋体" w:eastAsia="宋体" w:cs="宋体"/>
          <w:color w:val="auto"/>
          <w:sz w:val="24"/>
          <w:szCs w:val="24"/>
          <w:highlight w:val="none"/>
        </w:rPr>
        <w:t>件。</w:t>
      </w:r>
    </w:p>
    <w:p w14:paraId="1BA17612">
      <w:pPr>
        <w:pStyle w:val="13"/>
        <w:kinsoku w:val="0"/>
        <w:overflowPunct w:val="0"/>
        <w:ind w:left="0"/>
        <w:rPr>
          <w:rFonts w:hint="eastAsia" w:ascii="宋体" w:hAnsi="宋体" w:eastAsia="宋体" w:cs="宋体"/>
          <w:color w:val="auto"/>
          <w:sz w:val="24"/>
          <w:szCs w:val="24"/>
          <w:highlight w:val="none"/>
        </w:rPr>
      </w:pPr>
    </w:p>
    <w:p w14:paraId="40F4CE6A">
      <w:pPr>
        <w:pStyle w:val="13"/>
        <w:kinsoku w:val="0"/>
        <w:overflowPunct w:val="0"/>
        <w:spacing w:before="2"/>
        <w:ind w:left="0"/>
        <w:rPr>
          <w:rFonts w:hint="eastAsia" w:ascii="宋体" w:hAnsi="宋体" w:eastAsia="宋体" w:cs="宋体"/>
          <w:color w:val="auto"/>
          <w:sz w:val="24"/>
          <w:szCs w:val="24"/>
          <w:highlight w:val="none"/>
        </w:rPr>
      </w:pPr>
    </w:p>
    <w:p w14:paraId="43F4591C">
      <w:pPr>
        <w:pStyle w:val="13"/>
        <w:kinsoku w:val="0"/>
        <w:overflowPunct w:val="0"/>
        <w:ind w:left="0"/>
        <w:rPr>
          <w:rFonts w:hint="eastAsia" w:ascii="宋体" w:hAnsi="宋体" w:eastAsia="宋体" w:cs="宋体"/>
          <w:color w:val="auto"/>
          <w:sz w:val="24"/>
          <w:szCs w:val="24"/>
          <w:highlight w:val="none"/>
        </w:rPr>
      </w:pPr>
    </w:p>
    <w:p w14:paraId="191A530A">
      <w:pPr>
        <w:pStyle w:val="13"/>
        <w:kinsoku w:val="0"/>
        <w:overflowPunct w:val="0"/>
        <w:ind w:left="0"/>
        <w:rPr>
          <w:rFonts w:hint="eastAsia" w:ascii="宋体" w:hAnsi="宋体" w:eastAsia="宋体" w:cs="宋体"/>
          <w:color w:val="auto"/>
          <w:sz w:val="24"/>
          <w:szCs w:val="24"/>
          <w:highlight w:val="none"/>
        </w:rPr>
      </w:pPr>
    </w:p>
    <w:p w14:paraId="2363D5D0">
      <w:pPr>
        <w:pStyle w:val="13"/>
        <w:kinsoku w:val="0"/>
        <w:overflowPunct w:val="0"/>
        <w:ind w:left="0"/>
        <w:rPr>
          <w:rFonts w:hint="eastAsia" w:ascii="宋体" w:hAnsi="宋体" w:eastAsia="宋体" w:cs="宋体"/>
          <w:color w:val="auto"/>
          <w:sz w:val="24"/>
          <w:szCs w:val="24"/>
          <w:highlight w:val="none"/>
        </w:rPr>
      </w:pPr>
    </w:p>
    <w:p w14:paraId="0E495F6B">
      <w:pPr>
        <w:pStyle w:val="13"/>
        <w:kinsoku w:val="0"/>
        <w:overflowPunct w:val="0"/>
        <w:spacing w:before="2"/>
        <w:ind w:left="0"/>
        <w:rPr>
          <w:rFonts w:hint="eastAsia" w:ascii="宋体" w:hAnsi="宋体" w:eastAsia="宋体" w:cs="宋体"/>
          <w:color w:val="auto"/>
          <w:sz w:val="24"/>
          <w:szCs w:val="24"/>
          <w:highlight w:val="none"/>
        </w:rPr>
      </w:pPr>
    </w:p>
    <w:p w14:paraId="37759AFF">
      <w:pPr>
        <w:pStyle w:val="13"/>
        <w:tabs>
          <w:tab w:val="left" w:pos="6521"/>
        </w:tabs>
        <w:kinsoku w:val="0"/>
        <w:overflowPunct w:val="0"/>
        <w:spacing w:before="36"/>
        <w:ind w:left="4212"/>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1"/>
          <w:sz w:val="24"/>
          <w:szCs w:val="24"/>
          <w:highlight w:val="none"/>
        </w:rPr>
        <w:t>（盖单位章）</w:t>
      </w:r>
    </w:p>
    <w:p w14:paraId="0778BD1F">
      <w:pPr>
        <w:pStyle w:val="13"/>
        <w:kinsoku w:val="0"/>
        <w:overflowPunct w:val="0"/>
        <w:ind w:left="0"/>
        <w:rPr>
          <w:rFonts w:hint="eastAsia" w:ascii="宋体" w:hAnsi="宋体" w:eastAsia="宋体" w:cs="宋体"/>
          <w:color w:val="auto"/>
          <w:sz w:val="24"/>
          <w:szCs w:val="24"/>
          <w:highlight w:val="none"/>
        </w:rPr>
      </w:pPr>
    </w:p>
    <w:p w14:paraId="327D28A9">
      <w:pPr>
        <w:pStyle w:val="13"/>
        <w:kinsoku w:val="0"/>
        <w:overflowPunct w:val="0"/>
        <w:spacing w:before="7"/>
        <w:ind w:left="0"/>
        <w:rPr>
          <w:rFonts w:hint="eastAsia" w:ascii="宋体" w:hAnsi="宋体" w:eastAsia="宋体" w:cs="宋体"/>
          <w:color w:val="auto"/>
          <w:sz w:val="24"/>
          <w:szCs w:val="24"/>
          <w:highlight w:val="none"/>
        </w:rPr>
      </w:pPr>
    </w:p>
    <w:p w14:paraId="569ECC6C">
      <w:pPr>
        <w:pStyle w:val="13"/>
        <w:tabs>
          <w:tab w:val="left" w:pos="5352"/>
          <w:tab w:val="left" w:pos="6192"/>
          <w:tab w:val="left" w:pos="7032"/>
        </w:tabs>
        <w:kinsoku w:val="0"/>
        <w:overflowPunct w:val="0"/>
        <w:spacing w:before="36"/>
        <w:ind w:left="47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DCA122D">
      <w:pPr>
        <w:pStyle w:val="13"/>
        <w:tabs>
          <w:tab w:val="left" w:pos="5352"/>
          <w:tab w:val="left" w:pos="6192"/>
          <w:tab w:val="left" w:pos="7032"/>
        </w:tabs>
        <w:kinsoku w:val="0"/>
        <w:overflowPunct w:val="0"/>
        <w:spacing w:before="36"/>
        <w:ind w:left="4721"/>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55363EF8">
      <w:pPr>
        <w:pStyle w:val="6"/>
        <w:jc w:val="center"/>
        <w:outlineLvl w:val="1"/>
        <w:rPr>
          <w:rFonts w:hint="eastAsia" w:ascii="宋体" w:hAnsi="宋体" w:eastAsia="宋体" w:cs="宋体"/>
          <w:color w:val="auto"/>
          <w:sz w:val="28"/>
          <w:szCs w:val="24"/>
          <w:highlight w:val="none"/>
        </w:rPr>
      </w:pPr>
      <w:bookmarkStart w:id="145" w:name="bookmark180"/>
      <w:bookmarkEnd w:id="145"/>
      <w:bookmarkStart w:id="146" w:name="_Toc18172"/>
      <w:r>
        <w:rPr>
          <w:rFonts w:hint="eastAsia" w:ascii="宋体" w:hAnsi="宋体" w:eastAsia="宋体" w:cs="宋体"/>
          <w:color w:val="auto"/>
          <w:sz w:val="28"/>
          <w:szCs w:val="24"/>
          <w:highlight w:val="none"/>
        </w:rPr>
        <w:t>二、授权委托书</w:t>
      </w:r>
      <w:bookmarkEnd w:id="146"/>
    </w:p>
    <w:p w14:paraId="325B3580">
      <w:pPr>
        <w:pStyle w:val="13"/>
        <w:kinsoku w:val="0"/>
        <w:overflowPunct w:val="0"/>
        <w:ind w:left="0"/>
        <w:rPr>
          <w:rFonts w:hint="eastAsia" w:ascii="宋体" w:hAnsi="宋体" w:eastAsia="宋体" w:cs="宋体"/>
          <w:b/>
          <w:color w:val="auto"/>
          <w:sz w:val="32"/>
          <w:szCs w:val="24"/>
          <w:highlight w:val="none"/>
        </w:rPr>
      </w:pPr>
    </w:p>
    <w:p w14:paraId="34A996B6">
      <w:pPr>
        <w:pStyle w:val="13"/>
        <w:kinsoku w:val="0"/>
        <w:overflowPunct w:val="0"/>
        <w:spacing w:before="4"/>
        <w:ind w:left="0"/>
        <w:rPr>
          <w:rFonts w:hint="eastAsia" w:ascii="宋体" w:hAnsi="宋体" w:eastAsia="宋体" w:cs="宋体"/>
          <w:b/>
          <w:color w:val="auto"/>
          <w:sz w:val="32"/>
          <w:szCs w:val="24"/>
          <w:highlight w:val="none"/>
        </w:rPr>
      </w:pPr>
    </w:p>
    <w:p w14:paraId="55D2B2DA">
      <w:pPr>
        <w:pStyle w:val="13"/>
        <w:tabs>
          <w:tab w:val="left" w:pos="3928"/>
        </w:tabs>
        <w:kinsoku w:val="0"/>
        <w:overflowPunct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14:paraId="126CC5D4">
      <w:pPr>
        <w:pStyle w:val="13"/>
        <w:tabs>
          <w:tab w:val="left" w:pos="3928"/>
        </w:tabs>
        <w:kinsoku w:val="0"/>
        <w:overflowPunct w:val="0"/>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CA233A2">
      <w:pPr>
        <w:pStyle w:val="13"/>
        <w:tabs>
          <w:tab w:val="left" w:pos="3928"/>
        </w:tabs>
        <w:kinsoku w:val="0"/>
        <w:overflowPunct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代理人无转委托权。代理人为投标人正式职工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eastAsia="zh-CN"/>
        </w:rPr>
        <w:t>必须具有离投标截止时间最近的至少1个月在本单位缴纳的社保证明文件。</w:t>
      </w:r>
    </w:p>
    <w:p w14:paraId="7C72E20F">
      <w:pPr>
        <w:pStyle w:val="13"/>
        <w:tabs>
          <w:tab w:val="left" w:pos="3928"/>
        </w:tabs>
        <w:kinsoku w:val="0"/>
        <w:overflowPunct w:val="0"/>
        <w:spacing w:line="360" w:lineRule="auto"/>
        <w:ind w:left="100"/>
        <w:rPr>
          <w:rFonts w:hint="eastAsia" w:ascii="宋体" w:hAnsi="宋体" w:eastAsia="宋体" w:cs="宋体"/>
          <w:color w:val="auto"/>
          <w:sz w:val="24"/>
          <w:szCs w:val="24"/>
          <w:highlight w:val="none"/>
        </w:rPr>
      </w:pPr>
    </w:p>
    <w:p w14:paraId="1144635F">
      <w:pPr>
        <w:pStyle w:val="13"/>
        <w:kinsoku w:val="0"/>
        <w:overflowPunct w:val="0"/>
        <w:spacing w:before="4"/>
        <w:ind w:left="0"/>
        <w:rPr>
          <w:rFonts w:hint="eastAsia" w:ascii="宋体" w:hAnsi="宋体" w:eastAsia="宋体" w:cs="宋体"/>
          <w:color w:val="auto"/>
          <w:sz w:val="24"/>
          <w:szCs w:val="24"/>
          <w:highlight w:val="none"/>
        </w:rPr>
      </w:pPr>
    </w:p>
    <w:p w14:paraId="135C7F4B">
      <w:pPr>
        <w:pStyle w:val="13"/>
        <w:kinsoku w:val="0"/>
        <w:overflowPunct w:val="0"/>
        <w:ind w:left="100"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委托代理人身份证正反面和离投标截止时间前1个月社保证明扫描件。</w:t>
      </w:r>
    </w:p>
    <w:p w14:paraId="025C8455">
      <w:pPr>
        <w:pStyle w:val="13"/>
        <w:kinsoku w:val="0"/>
        <w:overflowPunct w:val="0"/>
        <w:ind w:left="0"/>
        <w:rPr>
          <w:rFonts w:hint="eastAsia" w:ascii="宋体" w:hAnsi="宋体" w:eastAsia="宋体" w:cs="宋体"/>
          <w:color w:val="auto"/>
          <w:sz w:val="24"/>
          <w:szCs w:val="24"/>
          <w:highlight w:val="none"/>
        </w:rPr>
      </w:pPr>
    </w:p>
    <w:p w14:paraId="4354F0AB">
      <w:pPr>
        <w:pStyle w:val="13"/>
        <w:kinsoku w:val="0"/>
        <w:overflowPunct w:val="0"/>
        <w:spacing w:before="2"/>
        <w:ind w:left="0"/>
        <w:rPr>
          <w:rFonts w:hint="eastAsia" w:ascii="宋体" w:hAnsi="宋体" w:eastAsia="宋体" w:cs="宋体"/>
          <w:color w:val="auto"/>
          <w:sz w:val="24"/>
          <w:szCs w:val="24"/>
          <w:highlight w:val="none"/>
        </w:rPr>
      </w:pPr>
    </w:p>
    <w:p w14:paraId="3DA86A3D">
      <w:pPr>
        <w:pStyle w:val="13"/>
        <w:kinsoku w:val="0"/>
        <w:overflowPunct w:val="0"/>
        <w:ind w:left="0"/>
        <w:rPr>
          <w:rFonts w:hint="eastAsia" w:ascii="宋体" w:hAnsi="宋体" w:eastAsia="宋体" w:cs="宋体"/>
          <w:color w:val="auto"/>
          <w:sz w:val="24"/>
          <w:szCs w:val="24"/>
          <w:highlight w:val="none"/>
        </w:rPr>
      </w:pPr>
    </w:p>
    <w:p w14:paraId="0873E693">
      <w:pPr>
        <w:pStyle w:val="13"/>
        <w:kinsoku w:val="0"/>
        <w:overflowPunct w:val="0"/>
        <w:spacing w:before="4"/>
        <w:ind w:left="0"/>
        <w:rPr>
          <w:rFonts w:hint="eastAsia" w:ascii="宋体" w:hAnsi="宋体" w:eastAsia="宋体" w:cs="宋体"/>
          <w:color w:val="auto"/>
          <w:sz w:val="24"/>
          <w:szCs w:val="24"/>
          <w:highlight w:val="none"/>
        </w:rPr>
      </w:pPr>
    </w:p>
    <w:p w14:paraId="1DB682DB">
      <w:pPr>
        <w:pStyle w:val="13"/>
        <w:tabs>
          <w:tab w:val="left" w:pos="3216"/>
          <w:tab w:val="left" w:pos="3636"/>
          <w:tab w:val="left" w:pos="7241"/>
        </w:tabs>
        <w:kinsoku w:val="0"/>
        <w:overflowPunct w:val="0"/>
        <w:ind w:left="2793"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7E2D5255">
      <w:pPr>
        <w:pStyle w:val="13"/>
        <w:kinsoku w:val="0"/>
        <w:overflowPunct w:val="0"/>
        <w:ind w:left="0"/>
        <w:rPr>
          <w:rFonts w:hint="eastAsia" w:ascii="宋体" w:hAnsi="宋体" w:eastAsia="宋体" w:cs="宋体"/>
          <w:color w:val="auto"/>
          <w:sz w:val="24"/>
          <w:szCs w:val="24"/>
          <w:highlight w:val="none"/>
        </w:rPr>
      </w:pPr>
    </w:p>
    <w:p w14:paraId="2DBF2433">
      <w:pPr>
        <w:pStyle w:val="13"/>
        <w:tabs>
          <w:tab w:val="left" w:pos="6401"/>
        </w:tabs>
        <w:kinsoku w:val="0"/>
        <w:overflowPunct w:val="0"/>
        <w:spacing w:before="36"/>
        <w:ind w:left="2791" w:right="113"/>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（签字）</w:t>
      </w:r>
    </w:p>
    <w:p w14:paraId="359B87A8">
      <w:pPr>
        <w:pStyle w:val="13"/>
        <w:kinsoku w:val="0"/>
        <w:overflowPunct w:val="0"/>
        <w:ind w:left="0"/>
        <w:rPr>
          <w:rFonts w:hint="eastAsia" w:ascii="宋体" w:hAnsi="宋体" w:eastAsia="宋体" w:cs="宋体"/>
          <w:color w:val="auto"/>
          <w:sz w:val="24"/>
          <w:szCs w:val="24"/>
          <w:highlight w:val="none"/>
        </w:rPr>
      </w:pPr>
    </w:p>
    <w:p w14:paraId="16C94EF1">
      <w:pPr>
        <w:pStyle w:val="13"/>
        <w:tabs>
          <w:tab w:val="left" w:pos="8549"/>
        </w:tabs>
        <w:kinsoku w:val="0"/>
        <w:overflowPunct w:val="0"/>
        <w:spacing w:before="36"/>
        <w:ind w:left="2793" w:right="11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4968654">
      <w:pPr>
        <w:pStyle w:val="13"/>
        <w:kinsoku w:val="0"/>
        <w:overflowPunct w:val="0"/>
        <w:ind w:left="0"/>
        <w:rPr>
          <w:rFonts w:hint="eastAsia" w:ascii="宋体" w:hAnsi="宋体" w:eastAsia="宋体" w:cs="宋体"/>
          <w:color w:val="auto"/>
          <w:sz w:val="24"/>
          <w:szCs w:val="24"/>
          <w:highlight w:val="none"/>
        </w:rPr>
      </w:pPr>
    </w:p>
    <w:p w14:paraId="5ED40D9A">
      <w:pPr>
        <w:pStyle w:val="13"/>
        <w:tabs>
          <w:tab w:val="left" w:pos="7661"/>
        </w:tabs>
        <w:kinsoku w:val="0"/>
        <w:overflowPunct w:val="0"/>
        <w:spacing w:before="36"/>
        <w:ind w:left="2793" w:right="113"/>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（签字）</w:t>
      </w:r>
    </w:p>
    <w:p w14:paraId="29B3AEDA">
      <w:pPr>
        <w:pStyle w:val="13"/>
        <w:kinsoku w:val="0"/>
        <w:overflowPunct w:val="0"/>
        <w:ind w:left="0"/>
        <w:rPr>
          <w:rFonts w:hint="eastAsia" w:ascii="宋体" w:hAnsi="宋体" w:eastAsia="宋体" w:cs="宋体"/>
          <w:color w:val="auto"/>
          <w:sz w:val="24"/>
          <w:szCs w:val="24"/>
          <w:highlight w:val="none"/>
        </w:rPr>
      </w:pPr>
    </w:p>
    <w:p w14:paraId="270468DF">
      <w:pPr>
        <w:pStyle w:val="13"/>
        <w:tabs>
          <w:tab w:val="left" w:pos="8549"/>
        </w:tabs>
        <w:kinsoku w:val="0"/>
        <w:overflowPunct w:val="0"/>
        <w:spacing w:before="36"/>
        <w:ind w:left="2793" w:right="113"/>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AFE187C">
      <w:pPr>
        <w:pStyle w:val="13"/>
        <w:kinsoku w:val="0"/>
        <w:overflowPunct w:val="0"/>
        <w:spacing w:before="9"/>
        <w:ind w:left="0"/>
        <w:rPr>
          <w:rFonts w:hint="eastAsia" w:ascii="宋体" w:hAnsi="宋体" w:eastAsia="宋体" w:cs="宋体"/>
          <w:color w:val="auto"/>
          <w:sz w:val="24"/>
          <w:szCs w:val="24"/>
          <w:highlight w:val="none"/>
        </w:rPr>
      </w:pPr>
    </w:p>
    <w:p w14:paraId="0141FD93">
      <w:pPr>
        <w:pStyle w:val="13"/>
        <w:tabs>
          <w:tab w:val="left" w:pos="736"/>
          <w:tab w:val="left" w:pos="1682"/>
          <w:tab w:val="left" w:pos="2626"/>
        </w:tabs>
        <w:kinsoku w:val="0"/>
        <w:overflowPunct w:val="0"/>
        <w:spacing w:before="36"/>
        <w:ind w:left="0" w:right="113"/>
        <w:jc w:val="both"/>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14:paraId="5796D29F">
      <w:pPr>
        <w:pStyle w:val="6"/>
        <w:jc w:val="center"/>
        <w:outlineLvl w:val="1"/>
        <w:rPr>
          <w:rFonts w:hint="eastAsia" w:ascii="宋体" w:hAnsi="宋体" w:eastAsia="宋体" w:cs="宋体"/>
          <w:color w:val="auto"/>
          <w:sz w:val="28"/>
          <w:szCs w:val="24"/>
          <w:highlight w:val="none"/>
          <w:lang w:val="en-US" w:eastAsia="zh-CN"/>
        </w:rPr>
      </w:pPr>
      <w:bookmarkStart w:id="147" w:name="bookmark181"/>
      <w:bookmarkEnd w:id="147"/>
      <w:bookmarkStart w:id="148" w:name="_Toc22240"/>
      <w:r>
        <w:rPr>
          <w:rFonts w:hint="eastAsia" w:ascii="宋体" w:hAnsi="宋体" w:eastAsia="宋体" w:cs="宋体"/>
          <w:color w:val="auto"/>
          <w:sz w:val="28"/>
          <w:szCs w:val="24"/>
          <w:highlight w:val="none"/>
        </w:rPr>
        <w:t>三、联合体协议书</w:t>
      </w:r>
      <w:bookmarkEnd w:id="148"/>
      <w:r>
        <w:rPr>
          <w:rFonts w:hint="eastAsia" w:ascii="宋体" w:hAnsi="宋体" w:eastAsia="宋体" w:cs="宋体"/>
          <w:color w:val="auto"/>
          <w:sz w:val="28"/>
          <w:szCs w:val="24"/>
          <w:highlight w:val="none"/>
          <w:lang w:eastAsia="zh-CN"/>
        </w:rPr>
        <w:t>（</w:t>
      </w:r>
      <w:r>
        <w:rPr>
          <w:rFonts w:hint="eastAsia" w:ascii="宋体" w:hAnsi="宋体" w:eastAsia="宋体" w:cs="宋体"/>
          <w:color w:val="auto"/>
          <w:sz w:val="28"/>
          <w:szCs w:val="24"/>
          <w:highlight w:val="none"/>
          <w:lang w:val="en-US" w:eastAsia="zh-CN"/>
        </w:rPr>
        <w:t>本项目不适用)</w:t>
      </w:r>
    </w:p>
    <w:p w14:paraId="7930A6D8">
      <w:pPr>
        <w:rPr>
          <w:rFonts w:hint="eastAsia" w:ascii="宋体" w:hAnsi="宋体" w:eastAsia="宋体" w:cs="宋体"/>
          <w:color w:val="auto"/>
          <w:highlight w:val="none"/>
        </w:rPr>
      </w:pPr>
    </w:p>
    <w:p w14:paraId="3B1BD8FE">
      <w:pPr>
        <w:pStyle w:val="13"/>
        <w:tabs>
          <w:tab w:val="left" w:pos="2202"/>
          <w:tab w:val="left" w:pos="6000"/>
        </w:tabs>
        <w:kinsoku w:val="0"/>
        <w:overflowPunct w:val="0"/>
        <w:spacing w:line="360" w:lineRule="auto"/>
        <w:ind w:left="0" w:firstLine="420" w:firstLineChars="200"/>
        <w:rPr>
          <w:rFonts w:hint="eastAsia" w:ascii="宋体" w:hAnsi="宋体" w:eastAsia="宋体" w:cs="宋体"/>
          <w:color w:val="auto"/>
          <w:spacing w:val="-1"/>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
          <w:sz w:val="21"/>
          <w:szCs w:val="24"/>
          <w:highlight w:val="none"/>
        </w:rPr>
        <w:t>（所有成员单位名称）自愿组成</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（联合体名称）联合体，共同</w:t>
      </w:r>
      <w:r>
        <w:rPr>
          <w:rFonts w:hint="eastAsia" w:ascii="宋体" w:hAnsi="宋体" w:eastAsia="宋体" w:cs="宋体"/>
          <w:color w:val="auto"/>
          <w:spacing w:val="-1"/>
          <w:sz w:val="21"/>
          <w:szCs w:val="24"/>
          <w:highlight w:val="none"/>
        </w:rPr>
        <w:t>参加</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pacing w:val="-1"/>
          <w:sz w:val="21"/>
          <w:szCs w:val="24"/>
          <w:highlight w:val="none"/>
        </w:rPr>
        <w:t>（项目名称）监理招标项目投标。现就联合体投标事宜订立如下协议。</w:t>
      </w:r>
    </w:p>
    <w:p w14:paraId="5D0E840D">
      <w:pPr>
        <w:pStyle w:val="13"/>
        <w:tabs>
          <w:tab w:val="left" w:pos="2673"/>
          <w:tab w:val="left" w:pos="5614"/>
        </w:tabs>
        <w:kinsoku w:val="0"/>
        <w:overflowPunct w:val="0"/>
        <w:spacing w:before="36" w:line="360" w:lineRule="auto"/>
        <w:rPr>
          <w:rFonts w:hint="eastAsia" w:ascii="宋体" w:hAnsi="宋体" w:eastAsia="宋体" w:cs="宋体"/>
          <w:color w:val="auto"/>
          <w:spacing w:val="-2"/>
          <w:sz w:val="21"/>
          <w:szCs w:val="24"/>
          <w:highlight w:val="none"/>
        </w:rPr>
      </w:pPr>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2"/>
          <w:sz w:val="21"/>
          <w:szCs w:val="24"/>
          <w:highlight w:val="none"/>
        </w:rPr>
        <w:t>（某成员单位名称）为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（联合体名称）</w:t>
      </w:r>
      <w:r>
        <w:rPr>
          <w:rFonts w:hint="eastAsia" w:ascii="宋体" w:hAnsi="宋体" w:eastAsia="宋体" w:cs="宋体"/>
          <w:color w:val="auto"/>
          <w:spacing w:val="-2"/>
          <w:sz w:val="21"/>
          <w:szCs w:val="24"/>
          <w:highlight w:val="none"/>
          <w:lang w:eastAsia="zh-CN"/>
        </w:rPr>
        <w:t>主办方</w:t>
      </w:r>
      <w:r>
        <w:rPr>
          <w:rFonts w:hint="eastAsia" w:ascii="宋体" w:hAnsi="宋体" w:eastAsia="宋体" w:cs="宋体"/>
          <w:color w:val="auto"/>
          <w:spacing w:val="-2"/>
          <w:sz w:val="21"/>
          <w:szCs w:val="24"/>
          <w:highlight w:val="none"/>
        </w:rPr>
        <w:t>。</w:t>
      </w:r>
    </w:p>
    <w:p w14:paraId="0B7727B0">
      <w:pPr>
        <w:pStyle w:val="13"/>
        <w:kinsoku w:val="0"/>
        <w:overflowPunct w:val="0"/>
        <w:spacing w:before="148" w:line="360" w:lineRule="auto"/>
        <w:ind w:left="100" w:firstLine="41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r>
        <w:rPr>
          <w:rFonts w:hint="eastAsia" w:ascii="宋体" w:hAnsi="宋体" w:eastAsia="宋体" w:cs="宋体"/>
          <w:color w:val="auto"/>
          <w:spacing w:val="50"/>
          <w:sz w:val="21"/>
          <w:szCs w:val="24"/>
          <w:highlight w:val="none"/>
        </w:rPr>
        <w:t xml:space="preserve"> </w:t>
      </w:r>
      <w:r>
        <w:rPr>
          <w:rFonts w:hint="eastAsia" w:ascii="宋体" w:hAnsi="宋体" w:eastAsia="宋体" w:cs="宋体"/>
          <w:color w:val="auto"/>
          <w:spacing w:val="-5"/>
          <w:sz w:val="21"/>
          <w:szCs w:val="24"/>
          <w:highlight w:val="none"/>
        </w:rPr>
        <w:t>联合体各成员授权</w:t>
      </w:r>
      <w:r>
        <w:rPr>
          <w:rFonts w:hint="eastAsia" w:ascii="宋体" w:hAnsi="宋体" w:eastAsia="宋体" w:cs="宋体"/>
          <w:color w:val="auto"/>
          <w:spacing w:val="-2"/>
          <w:sz w:val="21"/>
          <w:szCs w:val="24"/>
          <w:highlight w:val="none"/>
          <w:lang w:eastAsia="zh-CN"/>
        </w:rPr>
        <w:t>主办方</w:t>
      </w:r>
      <w:r>
        <w:rPr>
          <w:rFonts w:hint="eastAsia" w:ascii="宋体" w:hAnsi="宋体" w:eastAsia="宋体" w:cs="宋体"/>
          <w:color w:val="auto"/>
          <w:spacing w:val="-5"/>
          <w:sz w:val="21"/>
          <w:szCs w:val="24"/>
          <w:highlight w:val="none"/>
        </w:rPr>
        <w:t>代表联合体参加投标活动，签署文件，提交和接收相关的资料、</w:t>
      </w:r>
      <w:r>
        <w:rPr>
          <w:rFonts w:hint="eastAsia" w:ascii="宋体" w:hAnsi="宋体" w:eastAsia="宋体" w:cs="宋体"/>
          <w:color w:val="auto"/>
          <w:sz w:val="21"/>
          <w:szCs w:val="24"/>
          <w:highlight w:val="none"/>
        </w:rPr>
        <w:t xml:space="preserve"> 信息及指示，进行合同谈判活动，负责合同实施阶段的组织和协调工作，以及处理与本招标项</w:t>
      </w:r>
      <w:r>
        <w:rPr>
          <w:rFonts w:hint="eastAsia" w:ascii="宋体" w:hAnsi="宋体" w:eastAsia="宋体" w:cs="宋体"/>
          <w:color w:val="auto"/>
          <w:spacing w:val="-78"/>
          <w:sz w:val="21"/>
          <w:szCs w:val="24"/>
          <w:highlight w:val="none"/>
        </w:rPr>
        <w:t xml:space="preserve"> </w:t>
      </w:r>
      <w:r>
        <w:rPr>
          <w:rFonts w:hint="eastAsia" w:ascii="宋体" w:hAnsi="宋体" w:eastAsia="宋体" w:cs="宋体"/>
          <w:color w:val="auto"/>
          <w:sz w:val="21"/>
          <w:szCs w:val="24"/>
          <w:highlight w:val="none"/>
        </w:rPr>
        <w:t>目有关的一切事宜。</w:t>
      </w:r>
    </w:p>
    <w:p w14:paraId="05377DEA">
      <w:pPr>
        <w:pStyle w:val="13"/>
        <w:kinsoku w:val="0"/>
        <w:overflowPunct w:val="0"/>
        <w:spacing w:before="46" w:line="360" w:lineRule="auto"/>
        <w:ind w:left="100" w:firstLine="41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w:t>
      </w:r>
      <w:r>
        <w:rPr>
          <w:rFonts w:hint="eastAsia" w:ascii="宋体" w:hAnsi="宋体" w:eastAsia="宋体" w:cs="宋体"/>
          <w:color w:val="auto"/>
          <w:spacing w:val="20"/>
          <w:sz w:val="21"/>
          <w:szCs w:val="24"/>
          <w:highlight w:val="none"/>
        </w:rPr>
        <w:t xml:space="preserve"> </w:t>
      </w:r>
      <w:r>
        <w:rPr>
          <w:rFonts w:hint="eastAsia" w:ascii="宋体" w:hAnsi="宋体" w:eastAsia="宋体" w:cs="宋体"/>
          <w:color w:val="auto"/>
          <w:spacing w:val="-3"/>
          <w:sz w:val="21"/>
          <w:szCs w:val="24"/>
          <w:highlight w:val="none"/>
        </w:rPr>
        <w:t>联合体</w:t>
      </w:r>
      <w:r>
        <w:rPr>
          <w:rFonts w:hint="eastAsia" w:ascii="宋体" w:hAnsi="宋体" w:eastAsia="宋体" w:cs="宋体"/>
          <w:color w:val="auto"/>
          <w:spacing w:val="-2"/>
          <w:sz w:val="21"/>
          <w:szCs w:val="24"/>
          <w:highlight w:val="none"/>
          <w:lang w:eastAsia="zh-CN"/>
        </w:rPr>
        <w:t>主办方</w:t>
      </w:r>
      <w:r>
        <w:rPr>
          <w:rFonts w:hint="eastAsia" w:ascii="宋体" w:hAnsi="宋体" w:eastAsia="宋体" w:cs="宋体"/>
          <w:color w:val="auto"/>
          <w:spacing w:val="-3"/>
          <w:sz w:val="21"/>
          <w:szCs w:val="24"/>
          <w:highlight w:val="none"/>
        </w:rPr>
        <w:t>在本项目中签署的一切文件和处理的一切事宜，联合体各成员均予以承认。</w:t>
      </w:r>
      <w:r>
        <w:rPr>
          <w:rFonts w:hint="eastAsia" w:ascii="宋体" w:hAnsi="宋体" w:eastAsia="宋体" w:cs="宋体"/>
          <w:color w:val="auto"/>
          <w:sz w:val="21"/>
          <w:szCs w:val="24"/>
          <w:highlight w:val="none"/>
        </w:rPr>
        <w:t xml:space="preserve"> 联合体各成员将严格按照招标文件、投标文件和合同的要求全面履行义务，并向招标人承担连</w:t>
      </w:r>
      <w:r>
        <w:rPr>
          <w:rFonts w:hint="eastAsia" w:ascii="宋体" w:hAnsi="宋体" w:eastAsia="宋体" w:cs="宋体"/>
          <w:color w:val="auto"/>
          <w:spacing w:val="-77"/>
          <w:sz w:val="21"/>
          <w:szCs w:val="24"/>
          <w:highlight w:val="none"/>
        </w:rPr>
        <w:t xml:space="preserve"> </w:t>
      </w:r>
      <w:r>
        <w:rPr>
          <w:rFonts w:hint="eastAsia" w:ascii="宋体" w:hAnsi="宋体" w:eastAsia="宋体" w:cs="宋体"/>
          <w:color w:val="auto"/>
          <w:sz w:val="21"/>
          <w:szCs w:val="24"/>
          <w:highlight w:val="none"/>
        </w:rPr>
        <w:t>带责任。</w:t>
      </w:r>
    </w:p>
    <w:p w14:paraId="7AB3DFB3">
      <w:pPr>
        <w:pStyle w:val="13"/>
        <w:kinsoku w:val="0"/>
        <w:overflowPunct w:val="0"/>
        <w:spacing w:before="46" w:line="360" w:lineRule="auto"/>
        <w:ind w:left="100" w:firstLine="419"/>
        <w:rPr>
          <w:rFonts w:hint="eastAsia" w:ascii="宋体" w:hAnsi="宋体" w:eastAsia="宋体" w:cs="宋体"/>
          <w:color w:val="auto"/>
          <w:spacing w:val="-3"/>
          <w:sz w:val="21"/>
          <w:szCs w:val="24"/>
          <w:highlight w:val="none"/>
        </w:rPr>
      </w:pPr>
      <w:bookmarkStart w:id="149" w:name="_Toc29760"/>
      <w:r>
        <w:rPr>
          <w:rFonts w:hint="eastAsia" w:ascii="宋体" w:hAnsi="宋体" w:eastAsia="宋体" w:cs="宋体"/>
          <w:color w:val="auto"/>
          <w:spacing w:val="-3"/>
          <w:sz w:val="21"/>
          <w:szCs w:val="24"/>
          <w:highlight w:val="none"/>
        </w:rPr>
        <w:t>4.联合体各成员单位内部的职责分工如下：</w:t>
      </w:r>
      <w:r>
        <w:rPr>
          <w:rFonts w:hint="eastAsia" w:ascii="宋体" w:hAnsi="宋体" w:eastAsia="宋体" w:cs="宋体"/>
          <w:color w:val="auto"/>
          <w:spacing w:val="-3"/>
          <w:sz w:val="21"/>
          <w:szCs w:val="24"/>
          <w:highlight w:val="none"/>
          <w:u w:val="single"/>
          <w:lang w:val="en-US" w:eastAsia="zh-CN"/>
        </w:rPr>
        <w:t xml:space="preserve">                     </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pacing w:val="-3"/>
          <w:sz w:val="21"/>
          <w:szCs w:val="24"/>
          <w:highlight w:val="none"/>
        </w:rPr>
        <w:t>。</w:t>
      </w:r>
      <w:bookmarkEnd w:id="149"/>
    </w:p>
    <w:p w14:paraId="624F97B6">
      <w:pPr>
        <w:pStyle w:val="13"/>
        <w:kinsoku w:val="0"/>
        <w:overflowPunct w:val="0"/>
        <w:spacing w:before="151" w:line="360" w:lineRule="auto"/>
        <w:ind w:left="100" w:firstLine="41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w:t>
      </w:r>
      <w:r>
        <w:rPr>
          <w:rFonts w:hint="eastAsia" w:ascii="宋体" w:hAnsi="宋体" w:eastAsia="宋体" w:cs="宋体"/>
          <w:color w:val="auto"/>
          <w:spacing w:val="27"/>
          <w:sz w:val="21"/>
          <w:szCs w:val="24"/>
          <w:highlight w:val="none"/>
        </w:rPr>
        <w:t xml:space="preserve"> </w:t>
      </w:r>
      <w:r>
        <w:rPr>
          <w:rFonts w:hint="eastAsia" w:ascii="宋体" w:hAnsi="宋体" w:eastAsia="宋体" w:cs="宋体"/>
          <w:color w:val="auto"/>
          <w:sz w:val="21"/>
          <w:szCs w:val="24"/>
          <w:highlight w:val="none"/>
        </w:rPr>
        <w:t>本协议书自所有成员单位法定代表人或其委托代理人签字或盖单位章之日起生效，合同 履行完毕后自动失效。</w:t>
      </w:r>
    </w:p>
    <w:p w14:paraId="70EA433F">
      <w:pPr>
        <w:pStyle w:val="13"/>
        <w:tabs>
          <w:tab w:val="left" w:pos="2464"/>
        </w:tabs>
        <w:kinsoku w:val="0"/>
        <w:overflowPunct w:val="0"/>
        <w:spacing w:before="57" w:line="360" w:lineRule="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w:t>
      </w:r>
      <w:r>
        <w:rPr>
          <w:rFonts w:hint="eastAsia" w:ascii="宋体" w:hAnsi="宋体" w:eastAsia="宋体" w:cs="宋体"/>
          <w:color w:val="auto"/>
          <w:spacing w:val="50"/>
          <w:sz w:val="21"/>
          <w:szCs w:val="24"/>
          <w:highlight w:val="none"/>
        </w:rPr>
        <w:t xml:space="preserve"> </w:t>
      </w:r>
      <w:r>
        <w:rPr>
          <w:rFonts w:hint="eastAsia" w:ascii="宋体" w:hAnsi="宋体" w:eastAsia="宋体" w:cs="宋体"/>
          <w:color w:val="auto"/>
          <w:sz w:val="21"/>
          <w:szCs w:val="24"/>
          <w:highlight w:val="none"/>
        </w:rPr>
        <w:t>本协议书一式</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rPr>
        <w:t>份，联合体成员和招标人各执一份。</w:t>
      </w:r>
    </w:p>
    <w:p w14:paraId="7EC1B68C">
      <w:pPr>
        <w:pStyle w:val="13"/>
        <w:kinsoku w:val="0"/>
        <w:overflowPunct w:val="0"/>
        <w:spacing w:before="36" w:line="360" w:lineRule="auto"/>
        <w:ind w:left="100" w:firstLine="419"/>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注：本协议书由法定代表人签字的，应附法定代表人身份证明；由委托代理人签字的，应附法定代表人身份证明</w:t>
      </w:r>
      <w:r>
        <w:rPr>
          <w:rFonts w:hint="eastAsia" w:ascii="宋体" w:hAnsi="宋体" w:eastAsia="宋体" w:cs="宋体"/>
          <w:color w:val="auto"/>
          <w:spacing w:val="-1"/>
          <w:sz w:val="21"/>
          <w:szCs w:val="24"/>
          <w:highlight w:val="none"/>
          <w:lang w:eastAsia="zh-CN"/>
        </w:rPr>
        <w:t>和</w:t>
      </w:r>
      <w:r>
        <w:rPr>
          <w:rFonts w:hint="eastAsia" w:ascii="宋体" w:hAnsi="宋体" w:eastAsia="宋体" w:cs="宋体"/>
          <w:color w:val="auto"/>
          <w:sz w:val="21"/>
          <w:szCs w:val="24"/>
          <w:highlight w:val="none"/>
        </w:rPr>
        <w:t>授权委托书。</w:t>
      </w:r>
    </w:p>
    <w:p w14:paraId="749DCA48">
      <w:pPr>
        <w:pStyle w:val="13"/>
        <w:kinsoku w:val="0"/>
        <w:overflowPunct w:val="0"/>
        <w:spacing w:before="36" w:line="360" w:lineRule="auto"/>
        <w:ind w:left="100" w:firstLine="419"/>
        <w:rPr>
          <w:rFonts w:hint="eastAsia" w:ascii="宋体" w:hAnsi="宋体" w:eastAsia="宋体" w:cs="宋体"/>
          <w:color w:val="auto"/>
          <w:sz w:val="21"/>
          <w:szCs w:val="24"/>
          <w:highlight w:val="none"/>
        </w:rPr>
      </w:pPr>
    </w:p>
    <w:p w14:paraId="4B0604B0">
      <w:pPr>
        <w:pStyle w:val="13"/>
        <w:tabs>
          <w:tab w:val="left" w:pos="7241"/>
        </w:tabs>
        <w:kinsoku w:val="0"/>
        <w:overflowPunct w:val="0"/>
        <w:spacing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联合体</w:t>
      </w:r>
      <w:r>
        <w:rPr>
          <w:rFonts w:hint="eastAsia" w:ascii="宋体" w:hAnsi="宋体" w:eastAsia="宋体" w:cs="宋体"/>
          <w:color w:val="auto"/>
          <w:spacing w:val="-2"/>
          <w:sz w:val="21"/>
          <w:szCs w:val="24"/>
          <w:highlight w:val="none"/>
          <w:lang w:eastAsia="zh-CN"/>
        </w:rPr>
        <w:t>主办方</w:t>
      </w:r>
      <w:r>
        <w:rPr>
          <w:rFonts w:hint="eastAsia" w:ascii="宋体" w:hAnsi="宋体" w:eastAsia="宋体" w:cs="宋体"/>
          <w:color w:val="auto"/>
          <w:spacing w:val="-2"/>
          <w:sz w:val="21"/>
          <w:szCs w:val="24"/>
          <w:highlight w:val="none"/>
        </w:rPr>
        <w:t>名称：</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
          <w:sz w:val="21"/>
          <w:szCs w:val="24"/>
          <w:highlight w:val="none"/>
        </w:rPr>
        <w:t>（盖单位章）</w:t>
      </w:r>
    </w:p>
    <w:p w14:paraId="56DAFF1F">
      <w:pPr>
        <w:pStyle w:val="13"/>
        <w:tabs>
          <w:tab w:val="left" w:pos="6401"/>
        </w:tabs>
        <w:kinsoku w:val="0"/>
        <w:overflowPunct w:val="0"/>
        <w:spacing w:before="36"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u w:val="single"/>
          <w:lang w:val="en-US" w:eastAsia="zh-CN"/>
        </w:rPr>
        <w:t xml:space="preserve">       </w:t>
      </w:r>
      <w:r>
        <w:rPr>
          <w:rFonts w:hint="eastAsia" w:ascii="宋体" w:hAnsi="宋体" w:eastAsia="宋体" w:cs="宋体"/>
          <w:color w:val="auto"/>
          <w:spacing w:val="-1"/>
          <w:sz w:val="21"/>
          <w:szCs w:val="24"/>
          <w:highlight w:val="none"/>
        </w:rPr>
        <w:t>（签字）</w:t>
      </w:r>
    </w:p>
    <w:p w14:paraId="79E831A7">
      <w:pPr>
        <w:pStyle w:val="13"/>
        <w:tabs>
          <w:tab w:val="left" w:pos="7241"/>
        </w:tabs>
        <w:kinsoku w:val="0"/>
        <w:overflowPunct w:val="0"/>
        <w:spacing w:before="36"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联合体成员名称：</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
          <w:sz w:val="21"/>
          <w:szCs w:val="24"/>
          <w:highlight w:val="none"/>
        </w:rPr>
        <w:t>（盖单位章）</w:t>
      </w:r>
    </w:p>
    <w:p w14:paraId="6FADE426">
      <w:pPr>
        <w:pStyle w:val="13"/>
        <w:tabs>
          <w:tab w:val="left" w:pos="6187"/>
        </w:tabs>
        <w:kinsoku w:val="0"/>
        <w:overflowPunct w:val="0"/>
        <w:spacing w:before="36"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u w:val="single"/>
          <w:lang w:val="en-US" w:eastAsia="zh-CN"/>
        </w:rPr>
        <w:t xml:space="preserve">         </w:t>
      </w:r>
      <w:r>
        <w:rPr>
          <w:rFonts w:hint="eastAsia" w:ascii="宋体" w:hAnsi="宋体" w:eastAsia="宋体" w:cs="宋体"/>
          <w:color w:val="auto"/>
          <w:spacing w:val="-1"/>
          <w:sz w:val="21"/>
          <w:szCs w:val="24"/>
          <w:highlight w:val="none"/>
        </w:rPr>
        <w:t>（签字）</w:t>
      </w:r>
    </w:p>
    <w:p w14:paraId="622EA1D8">
      <w:pPr>
        <w:pStyle w:val="13"/>
        <w:tabs>
          <w:tab w:val="left" w:pos="7241"/>
        </w:tabs>
        <w:kinsoku w:val="0"/>
        <w:overflowPunct w:val="0"/>
        <w:spacing w:before="36"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联合体成员名称：</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
          <w:sz w:val="21"/>
          <w:szCs w:val="24"/>
          <w:highlight w:val="none"/>
        </w:rPr>
        <w:t>（盖单位章）</w:t>
      </w:r>
    </w:p>
    <w:p w14:paraId="0C3764E5">
      <w:pPr>
        <w:pStyle w:val="13"/>
        <w:tabs>
          <w:tab w:val="left" w:pos="6187"/>
        </w:tabs>
        <w:kinsoku w:val="0"/>
        <w:overflowPunct w:val="0"/>
        <w:spacing w:before="36" w:line="360" w:lineRule="auto"/>
        <w:ind w:left="2510"/>
        <w:rPr>
          <w:rFonts w:hint="eastAsia" w:ascii="宋体" w:hAnsi="宋体" w:eastAsia="宋体" w:cs="宋体"/>
          <w:color w:val="auto"/>
          <w:spacing w:val="-1"/>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u w:val="single"/>
          <w:lang w:val="en-US" w:eastAsia="zh-CN"/>
        </w:rPr>
        <w:t xml:space="preserve">         </w:t>
      </w:r>
      <w:r>
        <w:rPr>
          <w:rFonts w:hint="eastAsia" w:ascii="宋体" w:hAnsi="宋体" w:eastAsia="宋体" w:cs="宋体"/>
          <w:color w:val="auto"/>
          <w:spacing w:val="-1"/>
          <w:sz w:val="21"/>
          <w:szCs w:val="24"/>
          <w:highlight w:val="none"/>
        </w:rPr>
        <w:t>（签字）</w:t>
      </w:r>
    </w:p>
    <w:p w14:paraId="01AA0875">
      <w:pPr>
        <w:pStyle w:val="13"/>
        <w:kinsoku w:val="0"/>
        <w:overflowPunct w:val="0"/>
        <w:spacing w:before="12"/>
        <w:ind w:left="0"/>
        <w:rPr>
          <w:rFonts w:hint="eastAsia" w:ascii="宋体" w:hAnsi="宋体" w:eastAsia="宋体" w:cs="宋体"/>
          <w:color w:val="auto"/>
          <w:sz w:val="21"/>
          <w:szCs w:val="24"/>
          <w:highlight w:val="none"/>
        </w:rPr>
      </w:pPr>
    </w:p>
    <w:p w14:paraId="231B6C46">
      <w:pPr>
        <w:pStyle w:val="13"/>
        <w:tabs>
          <w:tab w:val="left" w:pos="4538"/>
          <w:tab w:val="left" w:pos="5484"/>
          <w:tab w:val="left" w:pos="6427"/>
        </w:tabs>
        <w:kinsoku w:val="0"/>
        <w:overflowPunct w:val="0"/>
        <w:spacing w:before="36"/>
        <w:ind w:left="3801"/>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月</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日</w:t>
      </w:r>
    </w:p>
    <w:p w14:paraId="167DB20D">
      <w:pPr>
        <w:pStyle w:val="13"/>
        <w:tabs>
          <w:tab w:val="left" w:pos="4538"/>
          <w:tab w:val="left" w:pos="5484"/>
          <w:tab w:val="left" w:pos="6427"/>
        </w:tabs>
        <w:kinsoku w:val="0"/>
        <w:overflowPunct w:val="0"/>
        <w:spacing w:before="36"/>
        <w:ind w:left="3801"/>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pgNumType w:fmt="decimal"/>
          <w:cols w:space="720" w:num="1"/>
        </w:sectPr>
      </w:pPr>
    </w:p>
    <w:p w14:paraId="66DDC29D">
      <w:pPr>
        <w:pStyle w:val="6"/>
        <w:jc w:val="center"/>
        <w:outlineLvl w:val="1"/>
        <w:rPr>
          <w:rFonts w:hint="eastAsia" w:ascii="宋体" w:hAnsi="宋体" w:eastAsia="宋体" w:cs="宋体"/>
          <w:color w:val="auto"/>
          <w:sz w:val="28"/>
          <w:szCs w:val="24"/>
          <w:highlight w:val="none"/>
        </w:rPr>
      </w:pPr>
      <w:bookmarkStart w:id="150" w:name="bookmark182"/>
      <w:bookmarkEnd w:id="150"/>
      <w:bookmarkStart w:id="151" w:name="_Toc10216"/>
      <w:r>
        <w:rPr>
          <w:rFonts w:hint="eastAsia" w:ascii="宋体" w:hAnsi="宋体" w:eastAsia="宋体" w:cs="宋体"/>
          <w:color w:val="auto"/>
          <w:sz w:val="28"/>
          <w:szCs w:val="24"/>
          <w:highlight w:val="none"/>
          <w:lang w:val="en-US"/>
        </w:rPr>
        <w:t>四</w:t>
      </w:r>
      <w:r>
        <w:rPr>
          <w:rFonts w:hint="eastAsia" w:ascii="宋体" w:hAnsi="宋体" w:eastAsia="宋体" w:cs="宋体"/>
          <w:color w:val="auto"/>
          <w:sz w:val="28"/>
          <w:szCs w:val="24"/>
          <w:highlight w:val="none"/>
        </w:rPr>
        <w:t>、投标保证金</w:t>
      </w:r>
      <w:bookmarkEnd w:id="151"/>
      <w:r>
        <w:rPr>
          <w:rFonts w:hint="eastAsia" w:ascii="宋体" w:hAnsi="宋体" w:eastAsia="宋体" w:cs="宋体"/>
          <w:color w:val="auto"/>
          <w:sz w:val="28"/>
          <w:szCs w:val="24"/>
          <w:highlight w:val="none"/>
          <w:lang w:eastAsia="zh-CN"/>
        </w:rPr>
        <w:t>（</w:t>
      </w:r>
      <w:r>
        <w:rPr>
          <w:rFonts w:hint="eastAsia" w:ascii="宋体" w:hAnsi="宋体" w:eastAsia="宋体" w:cs="宋体"/>
          <w:color w:val="auto"/>
          <w:sz w:val="28"/>
          <w:szCs w:val="24"/>
          <w:highlight w:val="none"/>
          <w:lang w:val="en-US" w:eastAsia="zh-CN"/>
        </w:rPr>
        <w:t>本项目不适用)</w:t>
      </w:r>
    </w:p>
    <w:p w14:paraId="565C3B26">
      <w:pPr>
        <w:pStyle w:val="13"/>
        <w:kinsoku w:val="0"/>
        <w:overflowPunct w:val="0"/>
        <w:spacing w:before="15" w:line="360" w:lineRule="auto"/>
        <w:ind w:lef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（详见本招标文件第二章投标人须知前附表3.4.1）</w:t>
      </w:r>
    </w:p>
    <w:p w14:paraId="167D6FE6">
      <w:pPr>
        <w:rPr>
          <w:rFonts w:hint="eastAsia" w:ascii="宋体" w:hAnsi="宋体" w:eastAsia="宋体" w:cs="宋体"/>
          <w:color w:val="auto"/>
          <w:highlight w:val="none"/>
        </w:rPr>
      </w:pPr>
    </w:p>
    <w:p w14:paraId="76FD0914">
      <w:pPr>
        <w:pStyle w:val="6"/>
        <w:jc w:val="center"/>
        <w:outlineLvl w:val="9"/>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bookmarkStart w:id="152" w:name="bookmark183"/>
      <w:bookmarkEnd w:id="152"/>
    </w:p>
    <w:p w14:paraId="6D3FBED3">
      <w:pPr>
        <w:pStyle w:val="6"/>
        <w:jc w:val="center"/>
        <w:outlineLvl w:val="1"/>
        <w:rPr>
          <w:rFonts w:hint="eastAsia" w:ascii="宋体" w:hAnsi="宋体" w:eastAsia="宋体" w:cs="宋体"/>
          <w:color w:val="auto"/>
          <w:sz w:val="28"/>
          <w:szCs w:val="24"/>
          <w:highlight w:val="none"/>
          <w:lang w:val="en-US" w:eastAsia="zh-CN"/>
        </w:rPr>
      </w:pPr>
      <w:bookmarkStart w:id="153" w:name="_Toc22758"/>
      <w:r>
        <w:rPr>
          <w:rFonts w:hint="eastAsia" w:ascii="宋体" w:hAnsi="宋体" w:eastAsia="宋体" w:cs="宋体"/>
          <w:strike w:val="0"/>
          <w:color w:val="auto"/>
          <w:sz w:val="28"/>
          <w:szCs w:val="24"/>
          <w:highlight w:val="none"/>
          <w:lang w:val="en-US"/>
        </w:rPr>
        <w:t>五</w:t>
      </w:r>
      <w:r>
        <w:rPr>
          <w:rFonts w:hint="eastAsia" w:ascii="宋体" w:hAnsi="宋体" w:eastAsia="宋体" w:cs="宋体"/>
          <w:strike w:val="0"/>
          <w:color w:val="auto"/>
          <w:sz w:val="28"/>
          <w:szCs w:val="24"/>
          <w:highlight w:val="none"/>
        </w:rPr>
        <w:t>、监理</w:t>
      </w:r>
      <w:bookmarkEnd w:id="153"/>
      <w:r>
        <w:rPr>
          <w:rFonts w:hint="eastAsia" w:cs="宋体"/>
          <w:strike w:val="0"/>
          <w:color w:val="auto"/>
          <w:sz w:val="28"/>
          <w:szCs w:val="24"/>
          <w:highlight w:val="none"/>
          <w:lang w:val="en-US" w:eastAsia="zh-CN"/>
        </w:rPr>
        <w:t>报酬清单</w:t>
      </w:r>
    </w:p>
    <w:p w14:paraId="77C2A489">
      <w:pPr>
        <w:pStyle w:val="13"/>
        <w:kinsoku w:val="0"/>
        <w:overflowPunct w:val="0"/>
        <w:ind w:left="0"/>
        <w:rPr>
          <w:rFonts w:hint="eastAsia" w:ascii="宋体" w:hAnsi="宋体" w:eastAsia="宋体" w:cs="宋体"/>
          <w:color w:val="auto"/>
          <w:sz w:val="20"/>
          <w:szCs w:val="24"/>
          <w:highlight w:val="none"/>
        </w:rPr>
      </w:pPr>
    </w:p>
    <w:p w14:paraId="304530F8">
      <w:pPr>
        <w:spacing w:line="440" w:lineRule="exact"/>
        <w:rPr>
          <w:rFonts w:hint="eastAsia" w:ascii="宋体" w:hAnsi="宋体" w:cs="宋体"/>
          <w:sz w:val="21"/>
          <w:szCs w:val="21"/>
          <w:highlight w:val="none"/>
        </w:rPr>
      </w:pPr>
      <w:bookmarkStart w:id="154" w:name="_Toc6894"/>
      <w:r>
        <w:rPr>
          <w:rFonts w:hint="eastAsia" w:ascii="宋体" w:hAnsi="宋体" w:cs="宋体"/>
          <w:sz w:val="21"/>
          <w:szCs w:val="21"/>
          <w:highlight w:val="none"/>
          <w:lang w:val="en-US" w:eastAsia="zh-CN"/>
        </w:rPr>
        <w:t>项</w:t>
      </w:r>
      <w:r>
        <w:rPr>
          <w:rFonts w:hint="eastAsia" w:ascii="宋体" w:hAnsi="宋体" w:cs="宋体"/>
          <w:sz w:val="21"/>
          <w:szCs w:val="21"/>
          <w:highlight w:val="none"/>
        </w:rPr>
        <w:t>目名称：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tbl>
      <w:tblPr>
        <w:tblStyle w:val="2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34F0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14:paraId="2150B24D">
            <w:pPr>
              <w:jc w:val="center"/>
              <w:rPr>
                <w:rFonts w:hint="eastAsia" w:ascii="宋体" w:hAnsi="宋体" w:cs="宋体"/>
                <w:b/>
                <w:sz w:val="21"/>
                <w:szCs w:val="21"/>
                <w:highlight w:val="none"/>
              </w:rPr>
            </w:pPr>
            <w:r>
              <w:rPr>
                <w:rFonts w:hint="eastAsia" w:ascii="宋体" w:hAnsi="宋体" w:cs="宋体"/>
                <w:b/>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vAlign w:val="center"/>
          </w:tcPr>
          <w:p w14:paraId="2DF5AAE9">
            <w:pPr>
              <w:jc w:val="center"/>
              <w:rPr>
                <w:rFonts w:hint="eastAsia" w:ascii="宋体" w:hAnsi="宋体" w:cs="宋体"/>
                <w:sz w:val="21"/>
                <w:szCs w:val="21"/>
                <w:highlight w:val="none"/>
              </w:rPr>
            </w:pPr>
            <w:r>
              <w:rPr>
                <w:rFonts w:hint="eastAsia" w:ascii="宋体" w:hAnsi="宋体" w:cs="宋体"/>
                <w:b/>
                <w:sz w:val="21"/>
                <w:szCs w:val="21"/>
                <w:highlight w:val="none"/>
              </w:rPr>
              <w:t>项目名称</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4D2F9BB8">
            <w:pPr>
              <w:jc w:val="center"/>
              <w:rPr>
                <w:rFonts w:hint="eastAsia" w:ascii="宋体" w:hAnsi="宋体" w:cs="宋体"/>
                <w:b/>
                <w:sz w:val="21"/>
                <w:szCs w:val="21"/>
                <w:highlight w:val="none"/>
              </w:rPr>
            </w:pPr>
            <w:r>
              <w:rPr>
                <w:rFonts w:hint="eastAsia" w:ascii="宋体" w:hAnsi="宋体" w:cs="宋体"/>
                <w:b/>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192355FF">
            <w:pPr>
              <w:jc w:val="center"/>
              <w:rPr>
                <w:rFonts w:hint="eastAsia" w:ascii="宋体" w:hAnsi="宋体" w:cs="宋体"/>
                <w:b/>
                <w:sz w:val="21"/>
                <w:szCs w:val="21"/>
                <w:highlight w:val="none"/>
              </w:rPr>
            </w:pPr>
            <w:r>
              <w:rPr>
                <w:rFonts w:hint="eastAsia" w:ascii="宋体" w:hAnsi="宋体" w:cs="宋体"/>
                <w:b/>
                <w:sz w:val="21"/>
                <w:szCs w:val="21"/>
                <w:highlight w:val="none"/>
              </w:rPr>
              <w:t>投标报价（元）</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2AF846FB">
            <w:pPr>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15A0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17" w:type="dxa"/>
            <w:tcBorders>
              <w:top w:val="single" w:color="auto" w:sz="4" w:space="0"/>
              <w:left w:val="single" w:color="auto" w:sz="4" w:space="0"/>
              <w:right w:val="single" w:color="auto" w:sz="4" w:space="0"/>
              <w:tl2br w:val="nil"/>
              <w:tr2bl w:val="nil"/>
            </w:tcBorders>
            <w:vAlign w:val="center"/>
          </w:tcPr>
          <w:p w14:paraId="5C302C5A">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3565" w:type="dxa"/>
            <w:tcBorders>
              <w:top w:val="single" w:color="auto" w:sz="4" w:space="0"/>
              <w:left w:val="single" w:color="auto" w:sz="4" w:space="0"/>
              <w:right w:val="single" w:color="auto" w:sz="4" w:space="0"/>
              <w:tl2br w:val="nil"/>
              <w:tr2bl w:val="nil"/>
            </w:tcBorders>
            <w:vAlign w:val="center"/>
          </w:tcPr>
          <w:p w14:paraId="44A885B9">
            <w:pPr>
              <w:rPr>
                <w:rFonts w:hint="eastAsia" w:ascii="宋体" w:hAnsi="宋体" w:cs="宋体"/>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6A306A37">
            <w:pPr>
              <w:spacing w:line="360" w:lineRule="auto"/>
              <w:jc w:val="center"/>
              <w:rPr>
                <w:rFonts w:hint="eastAsia" w:ascii="宋体" w:hAnsi="宋体" w:cs="宋体"/>
                <w:sz w:val="21"/>
                <w:szCs w:val="21"/>
                <w:highlight w:val="none"/>
              </w:rPr>
            </w:pPr>
          </w:p>
        </w:tc>
        <w:tc>
          <w:tcPr>
            <w:tcW w:w="1822" w:type="dxa"/>
            <w:tcBorders>
              <w:top w:val="single" w:color="auto" w:sz="4" w:space="0"/>
              <w:left w:val="single" w:color="auto" w:sz="4" w:space="0"/>
              <w:right w:val="single" w:color="auto" w:sz="4" w:space="0"/>
              <w:tl2br w:val="nil"/>
              <w:tr2bl w:val="nil"/>
            </w:tcBorders>
            <w:vAlign w:val="center"/>
          </w:tcPr>
          <w:p w14:paraId="77829884">
            <w:pPr>
              <w:spacing w:line="360" w:lineRule="auto"/>
              <w:jc w:val="center"/>
              <w:rPr>
                <w:rFonts w:hint="eastAsia" w:ascii="宋体" w:hAnsi="宋体" w:cs="宋体"/>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7A758C72">
            <w:pPr>
              <w:spacing w:line="360" w:lineRule="auto"/>
              <w:jc w:val="center"/>
              <w:rPr>
                <w:rFonts w:hint="eastAsia" w:ascii="宋体" w:hAnsi="宋体" w:cs="宋体"/>
                <w:sz w:val="21"/>
                <w:szCs w:val="21"/>
                <w:highlight w:val="none"/>
              </w:rPr>
            </w:pPr>
          </w:p>
        </w:tc>
      </w:tr>
      <w:tr w14:paraId="7CEB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A58004E">
            <w:pPr>
              <w:jc w:val="center"/>
              <w:rPr>
                <w:rFonts w:hint="eastAsia" w:ascii="宋体" w:hAnsi="宋体" w:cs="宋体"/>
                <w:b/>
                <w:sz w:val="21"/>
                <w:szCs w:val="21"/>
                <w:highlight w:val="none"/>
              </w:rPr>
            </w:pPr>
            <w:r>
              <w:rPr>
                <w:rFonts w:hint="eastAsia" w:ascii="宋体" w:hAnsi="宋体" w:cs="宋体"/>
                <w:b/>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65633CA3">
            <w:pPr>
              <w:spacing w:line="360" w:lineRule="auto"/>
              <w:jc w:val="center"/>
              <w:rPr>
                <w:rFonts w:hint="eastAsia" w:ascii="宋体" w:hAnsi="宋体" w:cs="宋体"/>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0FC8D7E4">
            <w:pPr>
              <w:spacing w:line="360" w:lineRule="auto"/>
              <w:jc w:val="center"/>
              <w:rPr>
                <w:rFonts w:hint="eastAsia" w:ascii="宋体" w:hAnsi="宋体" w:cs="宋体"/>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7E2B28BD">
            <w:pPr>
              <w:spacing w:line="360" w:lineRule="auto"/>
              <w:jc w:val="center"/>
              <w:rPr>
                <w:rFonts w:hint="eastAsia" w:ascii="宋体" w:hAnsi="宋体" w:cs="宋体"/>
                <w:sz w:val="21"/>
                <w:szCs w:val="21"/>
                <w:highlight w:val="none"/>
              </w:rPr>
            </w:pPr>
          </w:p>
        </w:tc>
      </w:tr>
    </w:tbl>
    <w:p w14:paraId="1CE8E76B">
      <w:pPr>
        <w:pStyle w:val="37"/>
        <w:spacing w:line="240" w:lineRule="auto"/>
        <w:ind w:firstLine="0" w:firstLineChars="0"/>
        <w:rPr>
          <w:rFonts w:hint="eastAsia" w:ascii="宋体" w:hAnsi="宋体" w:cs="宋体"/>
          <w:sz w:val="21"/>
          <w:szCs w:val="21"/>
          <w:highlight w:val="none"/>
        </w:rPr>
      </w:pPr>
    </w:p>
    <w:p w14:paraId="09F8437E">
      <w:pPr>
        <w:pStyle w:val="37"/>
        <w:spacing w:line="240" w:lineRule="auto"/>
        <w:ind w:firstLine="0" w:firstLineChars="0"/>
        <w:rPr>
          <w:rFonts w:hint="eastAsia" w:ascii="宋体" w:hAnsi="宋体" w:cs="宋体"/>
          <w:sz w:val="21"/>
          <w:szCs w:val="21"/>
          <w:highlight w:val="none"/>
        </w:rPr>
      </w:pPr>
      <w:r>
        <w:rPr>
          <w:rFonts w:hint="eastAsia" w:ascii="宋体" w:hAnsi="宋体" w:cs="宋体"/>
          <w:sz w:val="21"/>
          <w:szCs w:val="21"/>
          <w:highlight w:val="none"/>
        </w:rPr>
        <w:t>注：</w:t>
      </w:r>
    </w:p>
    <w:p w14:paraId="7CE54182">
      <w:pPr>
        <w:pStyle w:val="37"/>
        <w:ind w:firstLine="428"/>
        <w:rPr>
          <w:rFonts w:hint="eastAsia"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zh-CN"/>
        </w:rPr>
        <w:t>投标下浮率以百分比为单位，保留到小数点后</w:t>
      </w:r>
      <w:r>
        <w:rPr>
          <w:rFonts w:hint="eastAsia" w:ascii="宋体" w:hAnsi="宋体" w:cs="宋体"/>
          <w:sz w:val="21"/>
          <w:szCs w:val="21"/>
          <w:highlight w:val="none"/>
          <w:u w:val="single"/>
        </w:rPr>
        <w:t>2</w:t>
      </w:r>
      <w:r>
        <w:rPr>
          <w:rFonts w:hint="eastAsia" w:ascii="宋体" w:hAnsi="宋体" w:cs="宋体"/>
          <w:sz w:val="21"/>
          <w:szCs w:val="21"/>
          <w:highlight w:val="none"/>
          <w:lang w:val="zh-CN"/>
        </w:rPr>
        <w:t>位</w:t>
      </w:r>
      <w:r>
        <w:rPr>
          <w:rFonts w:hint="eastAsia" w:ascii="宋体" w:hAnsi="宋体" w:cs="宋体"/>
          <w:sz w:val="21"/>
          <w:szCs w:val="21"/>
          <w:highlight w:val="none"/>
        </w:rPr>
        <w:t>，投标报价填报保留小数点后</w:t>
      </w:r>
      <w:r>
        <w:rPr>
          <w:rFonts w:hint="eastAsia" w:ascii="宋体" w:hAnsi="宋体" w:cs="宋体"/>
          <w:sz w:val="21"/>
          <w:szCs w:val="21"/>
          <w:highlight w:val="none"/>
          <w:u w:val="single"/>
        </w:rPr>
        <w:t>2</w:t>
      </w:r>
      <w:r>
        <w:rPr>
          <w:rFonts w:hint="eastAsia" w:ascii="宋体" w:hAnsi="宋体" w:cs="宋体"/>
          <w:sz w:val="21"/>
          <w:szCs w:val="21"/>
          <w:highlight w:val="none"/>
        </w:rPr>
        <w:t>位。</w:t>
      </w:r>
    </w:p>
    <w:p w14:paraId="1056161C">
      <w:pPr>
        <w:pStyle w:val="37"/>
        <w:ind w:firstLine="428"/>
        <w:rPr>
          <w:rFonts w:hint="eastAsia" w:ascii="宋体" w:hAnsi="宋体" w:cs="宋体"/>
          <w:sz w:val="21"/>
          <w:szCs w:val="21"/>
          <w:highlight w:val="none"/>
        </w:rPr>
      </w:pPr>
      <w:r>
        <w:rPr>
          <w:rFonts w:hint="eastAsia" w:ascii="宋体" w:hAnsi="宋体" w:cs="宋体"/>
          <w:sz w:val="21"/>
          <w:szCs w:val="21"/>
          <w:highlight w:val="none"/>
        </w:rPr>
        <w:t>2、监理费投标下浮率=（监理费最高投标限价-监理费投标报价）/监理费最高投标限价*100%。</w:t>
      </w:r>
    </w:p>
    <w:p w14:paraId="78510E9A">
      <w:pPr>
        <w:pStyle w:val="37"/>
        <w:ind w:firstLine="428"/>
        <w:outlineLvl w:val="2"/>
        <w:rPr>
          <w:rFonts w:hint="eastAsia" w:ascii="宋体" w:hAnsi="宋体" w:cs="宋体"/>
          <w:sz w:val="21"/>
          <w:szCs w:val="21"/>
          <w:highlight w:val="none"/>
        </w:rPr>
      </w:pPr>
      <w:bookmarkStart w:id="155" w:name="_Toc4060"/>
      <w:r>
        <w:rPr>
          <w:rFonts w:hint="eastAsia" w:ascii="宋体" w:hAnsi="宋体" w:cs="宋体"/>
          <w:sz w:val="21"/>
          <w:szCs w:val="21"/>
          <w:highlight w:val="none"/>
        </w:rPr>
        <w:t>3、投标报价与投标下浮率不符时，以投标下浮率为准修正总价。</w:t>
      </w:r>
      <w:bookmarkEnd w:id="155"/>
    </w:p>
    <w:p w14:paraId="19FD1BD7">
      <w:pPr>
        <w:rPr>
          <w:rFonts w:hint="eastAsia" w:ascii="宋体" w:hAnsi="宋体" w:eastAsia="宋体" w:cs="宋体"/>
          <w:highlight w:val="none"/>
        </w:rPr>
        <w:sectPr>
          <w:pgSz w:w="11905" w:h="16838"/>
          <w:pgMar w:top="1417" w:right="1417" w:bottom="1417" w:left="1417" w:header="992" w:footer="992" w:gutter="0"/>
          <w:pgNumType w:fmt="decimal"/>
          <w:cols w:space="720" w:num="1"/>
        </w:sectPr>
      </w:pPr>
    </w:p>
    <w:bookmarkEnd w:id="154"/>
    <w:p w14:paraId="11C6EFD1">
      <w:pPr>
        <w:pStyle w:val="6"/>
        <w:kinsoku w:val="0"/>
        <w:overflowPunct w:val="0"/>
        <w:spacing w:before="120" w:after="120" w:line="456" w:lineRule="exact"/>
        <w:ind w:right="1"/>
        <w:jc w:val="center"/>
        <w:rPr>
          <w:rFonts w:hint="eastAsia" w:cs="宋体"/>
          <w:b w:val="0"/>
          <w:color w:val="auto"/>
          <w:sz w:val="28"/>
          <w:highlight w:val="none"/>
        </w:rPr>
      </w:pPr>
      <w:bookmarkStart w:id="156" w:name="bookmark184"/>
      <w:bookmarkEnd w:id="156"/>
      <w:bookmarkStart w:id="157" w:name="_Toc10013"/>
      <w:r>
        <w:rPr>
          <w:rFonts w:hint="eastAsia" w:cs="宋体"/>
          <w:color w:val="auto"/>
          <w:sz w:val="28"/>
          <w:highlight w:val="none"/>
        </w:rPr>
        <w:t>六、资格审查资料</w:t>
      </w:r>
    </w:p>
    <w:p w14:paraId="58DFAEEE">
      <w:pPr>
        <w:pStyle w:val="13"/>
        <w:kinsoku w:val="0"/>
        <w:overflowPunct w:val="0"/>
        <w:spacing w:before="10"/>
        <w:ind w:left="0"/>
        <w:rPr>
          <w:rFonts w:hint="eastAsia" w:ascii="宋体" w:hAnsi="宋体" w:eastAsia="宋体" w:cs="宋体"/>
          <w:b/>
          <w:color w:val="auto"/>
          <w:sz w:val="15"/>
          <w:highlight w:val="none"/>
        </w:rPr>
      </w:pPr>
    </w:p>
    <w:p w14:paraId="0903E0B7">
      <w:pPr>
        <w:pStyle w:val="7"/>
        <w:rPr>
          <w:rFonts w:hint="eastAsia" w:cs="宋体"/>
          <w:b/>
          <w:color w:val="auto"/>
          <w:sz w:val="24"/>
          <w:highlight w:val="none"/>
        </w:rPr>
      </w:pPr>
      <w:r>
        <w:rPr>
          <w:rFonts w:hint="eastAsia" w:cs="宋体"/>
          <w:b/>
          <w:color w:val="auto"/>
          <w:sz w:val="24"/>
          <w:highlight w:val="none"/>
        </w:rPr>
        <w:t>（一）基本情况表</w:t>
      </w:r>
    </w:p>
    <w:p w14:paraId="0FFBDBFD">
      <w:pPr>
        <w:pStyle w:val="13"/>
        <w:kinsoku w:val="0"/>
        <w:overflowPunct w:val="0"/>
        <w:ind w:left="0"/>
        <w:rPr>
          <w:rFonts w:hint="eastAsia" w:cs="宋体"/>
          <w:color w:val="auto"/>
          <w:sz w:val="23"/>
          <w:highlight w:val="none"/>
        </w:rPr>
      </w:pPr>
    </w:p>
    <w:tbl>
      <w:tblPr>
        <w:tblStyle w:val="26"/>
        <w:tblW w:w="9212" w:type="dxa"/>
        <w:tblInd w:w="-104" w:type="dxa"/>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61AF5B96">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96A3DB2">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1D50AD8C">
            <w:pPr>
              <w:rPr>
                <w:rFonts w:hint="eastAsia" w:ascii="宋体" w:hAnsi="宋体" w:cs="宋体"/>
                <w:color w:val="auto"/>
                <w:sz w:val="21"/>
                <w:szCs w:val="21"/>
                <w:highlight w:val="none"/>
              </w:rPr>
            </w:pPr>
          </w:p>
        </w:tc>
      </w:tr>
      <w:tr w14:paraId="11911063">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76978F76">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18AC90EF">
            <w:pPr>
              <w:rPr>
                <w:rFonts w:hint="eastAsia" w:ascii="宋体" w:hAnsi="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17D32FCD">
            <w:pPr>
              <w:pStyle w:val="33"/>
              <w:kinsoku w:val="0"/>
              <w:overflowPunct w:val="0"/>
              <w:spacing w:before="107"/>
              <w:ind w:left="218"/>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46254066">
            <w:pPr>
              <w:rPr>
                <w:rFonts w:hint="eastAsia" w:ascii="宋体" w:hAnsi="宋体" w:cs="宋体"/>
                <w:color w:val="auto"/>
                <w:sz w:val="21"/>
                <w:szCs w:val="21"/>
                <w:highlight w:val="none"/>
              </w:rPr>
            </w:pPr>
          </w:p>
        </w:tc>
      </w:tr>
      <w:tr w14:paraId="1D5448EE">
        <w:tblPrEx>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AF9EC94">
            <w:pPr>
              <w:pStyle w:val="33"/>
              <w:kinsoku w:val="0"/>
              <w:overflowPunct w:val="0"/>
              <w:jc w:val="center"/>
              <w:rPr>
                <w:rFonts w:hint="eastAsia" w:ascii="宋体" w:hAnsi="宋体" w:cs="宋体"/>
                <w:color w:val="auto"/>
                <w:sz w:val="21"/>
                <w:szCs w:val="21"/>
                <w:highlight w:val="none"/>
              </w:rPr>
            </w:pPr>
          </w:p>
          <w:p w14:paraId="4DD4F0E8">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5CA80E67">
            <w:pPr>
              <w:pStyle w:val="33"/>
              <w:kinsoku w:val="0"/>
              <w:overflowPunct w:val="0"/>
              <w:spacing w:before="10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495A7150">
            <w:pPr>
              <w:rPr>
                <w:rFonts w:hint="eastAsia" w:ascii="宋体" w:hAnsi="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53E30ED0">
            <w:pPr>
              <w:pStyle w:val="33"/>
              <w:kinsoku w:val="0"/>
              <w:overflowPunct w:val="0"/>
              <w:spacing w:before="107"/>
              <w:ind w:left="374"/>
              <w:rPr>
                <w:rFonts w:hint="eastAsia" w:ascii="宋体" w:hAnsi="宋体" w:cs="宋体"/>
                <w:color w:val="auto"/>
                <w:sz w:val="21"/>
                <w:szCs w:val="21"/>
                <w:highlight w:val="none"/>
              </w:rPr>
            </w:pPr>
            <w:r>
              <w:rPr>
                <w:rFonts w:hint="eastAsia" w:ascii="宋体" w:hAnsi="宋体" w:cs="宋体"/>
                <w:color w:val="auto"/>
                <w:sz w:val="21"/>
                <w:szCs w:val="21"/>
                <w:highlight w:val="none"/>
              </w:rPr>
              <w:t>电</w:t>
            </w:r>
            <w:r>
              <w:rPr>
                <w:rFonts w:hint="eastAsia" w:ascii="宋体" w:hAnsi="宋体" w:cs="宋体"/>
                <w:color w:val="auto"/>
                <w:spacing w:val="2"/>
                <w:sz w:val="21"/>
                <w:szCs w:val="21"/>
                <w:highlight w:val="none"/>
              </w:rPr>
              <w:t xml:space="preserve"> </w:t>
            </w:r>
            <w:r>
              <w:rPr>
                <w:rFonts w:hint="eastAsia" w:ascii="宋体" w:hAnsi="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3E545282">
            <w:pPr>
              <w:rPr>
                <w:rFonts w:hint="eastAsia" w:ascii="宋体" w:hAnsi="宋体" w:cs="宋体"/>
                <w:color w:val="auto"/>
                <w:sz w:val="21"/>
                <w:szCs w:val="21"/>
                <w:highlight w:val="none"/>
              </w:rPr>
            </w:pPr>
          </w:p>
        </w:tc>
      </w:tr>
      <w:tr w14:paraId="1719B46C">
        <w:tblPrEx>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CBE415">
            <w:pPr>
              <w:jc w:val="center"/>
              <w:rPr>
                <w:rFonts w:hint="eastAsia" w:ascii="宋体" w:hAnsi="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6B539B0B">
            <w:pPr>
              <w:pStyle w:val="33"/>
              <w:tabs>
                <w:tab w:val="left" w:pos="550"/>
              </w:tabs>
              <w:kinsoku w:val="0"/>
              <w:overflowPunct w:val="0"/>
              <w:spacing w:before="10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r>
              <w:rPr>
                <w:rFonts w:hint="eastAsia" w:ascii="宋体" w:hAnsi="宋体" w:cs="宋体"/>
                <w:color w:val="auto"/>
                <w:sz w:val="21"/>
                <w:szCs w:val="21"/>
                <w:highlight w:val="none"/>
              </w:rPr>
              <w:tab/>
            </w:r>
            <w:r>
              <w:rPr>
                <w:rFonts w:hint="eastAsia" w:ascii="宋体" w:hAnsi="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04967453">
            <w:pPr>
              <w:rPr>
                <w:rFonts w:hint="eastAsia" w:ascii="宋体" w:hAnsi="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1A28428A">
            <w:pPr>
              <w:pStyle w:val="33"/>
              <w:kinsoku w:val="0"/>
              <w:overflowPunct w:val="0"/>
              <w:spacing w:before="108"/>
              <w:ind w:left="374"/>
              <w:rPr>
                <w:rFonts w:hint="eastAsia" w:ascii="宋体" w:hAnsi="宋体" w:cs="宋体"/>
                <w:color w:val="auto"/>
                <w:sz w:val="21"/>
                <w:szCs w:val="21"/>
                <w:highlight w:val="none"/>
              </w:rPr>
            </w:pPr>
            <w:r>
              <w:rPr>
                <w:rFonts w:hint="eastAsia" w:ascii="宋体" w:hAnsi="宋体" w:cs="宋体"/>
                <w:color w:val="auto"/>
                <w:sz w:val="21"/>
                <w:szCs w:val="21"/>
                <w:highlight w:val="none"/>
              </w:rPr>
              <w:t>网</w:t>
            </w:r>
            <w:r>
              <w:rPr>
                <w:rFonts w:hint="eastAsia" w:ascii="宋体" w:hAnsi="宋体" w:cs="宋体"/>
                <w:color w:val="auto"/>
                <w:spacing w:val="2"/>
                <w:sz w:val="21"/>
                <w:szCs w:val="21"/>
                <w:highlight w:val="none"/>
              </w:rPr>
              <w:t xml:space="preserve"> </w:t>
            </w:r>
            <w:r>
              <w:rPr>
                <w:rFonts w:hint="eastAsia" w:ascii="宋体" w:hAnsi="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2EC700CF">
            <w:pPr>
              <w:rPr>
                <w:rFonts w:hint="eastAsia" w:ascii="宋体" w:hAnsi="宋体" w:cs="宋体"/>
                <w:color w:val="auto"/>
                <w:sz w:val="21"/>
                <w:szCs w:val="21"/>
                <w:highlight w:val="none"/>
              </w:rPr>
            </w:pPr>
          </w:p>
        </w:tc>
      </w:tr>
      <w:tr w14:paraId="26A159AB">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90DB505">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6E9AB8D8">
            <w:pPr>
              <w:pStyle w:val="33"/>
              <w:kinsoku w:val="0"/>
              <w:overflowPunct w:val="0"/>
              <w:spacing w:before="10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5527B379">
            <w:pPr>
              <w:rPr>
                <w:rFonts w:hint="eastAsia" w:ascii="宋体" w:hAnsi="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389D982E">
            <w:pPr>
              <w:pStyle w:val="33"/>
              <w:kinsoku w:val="0"/>
              <w:overflowPunct w:val="0"/>
              <w:spacing w:before="107"/>
              <w:rPr>
                <w:rFonts w:hint="eastAsia"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0DB7B208">
            <w:pPr>
              <w:rPr>
                <w:rFonts w:hint="eastAsia" w:ascii="宋体" w:hAnsi="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422CA6B2">
            <w:pPr>
              <w:pStyle w:val="33"/>
              <w:kinsoku w:val="0"/>
              <w:overflowPunct w:val="0"/>
              <w:spacing w:before="107"/>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1D4A70CE">
            <w:pPr>
              <w:rPr>
                <w:rFonts w:hint="eastAsia" w:ascii="宋体" w:hAnsi="宋体" w:cs="宋体"/>
                <w:color w:val="auto"/>
                <w:sz w:val="21"/>
                <w:szCs w:val="21"/>
                <w:highlight w:val="none"/>
              </w:rPr>
            </w:pPr>
          </w:p>
        </w:tc>
      </w:tr>
      <w:tr w14:paraId="1049A34D">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77BA986">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6415C423">
            <w:pPr>
              <w:pStyle w:val="33"/>
              <w:kinsoku w:val="0"/>
              <w:overflowPunct w:val="0"/>
              <w:spacing w:before="10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0EE0BC76">
            <w:pPr>
              <w:rPr>
                <w:rFonts w:hint="eastAsia" w:ascii="宋体" w:hAnsi="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7F8EC58B">
            <w:pPr>
              <w:pStyle w:val="33"/>
              <w:kinsoku w:val="0"/>
              <w:overflowPunct w:val="0"/>
              <w:spacing w:before="107"/>
              <w:rPr>
                <w:rFonts w:hint="eastAsia"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3EF737C8">
            <w:pPr>
              <w:rPr>
                <w:rFonts w:hint="eastAsia" w:ascii="宋体" w:hAnsi="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03B9FAB0">
            <w:pPr>
              <w:pStyle w:val="33"/>
              <w:kinsoku w:val="0"/>
              <w:overflowPunct w:val="0"/>
              <w:spacing w:before="107"/>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3FF0EBDA">
            <w:pPr>
              <w:rPr>
                <w:rFonts w:hint="eastAsia" w:ascii="宋体" w:hAnsi="宋体" w:cs="宋体"/>
                <w:color w:val="auto"/>
                <w:sz w:val="21"/>
                <w:szCs w:val="21"/>
                <w:highlight w:val="none"/>
              </w:rPr>
            </w:pPr>
          </w:p>
        </w:tc>
      </w:tr>
      <w:tr w14:paraId="47BFC1D7">
        <w:tblPrEx>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2C5CBD1">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13AF64B5">
            <w:pPr>
              <w:pStyle w:val="33"/>
              <w:tabs>
                <w:tab w:val="left" w:pos="3785"/>
                <w:tab w:val="left" w:pos="5045"/>
              </w:tabs>
              <w:kinsoku w:val="0"/>
              <w:overflowPunct w:val="0"/>
              <w:spacing w:before="107"/>
              <w:ind w:left="1054"/>
              <w:rPr>
                <w:rFonts w:hint="eastAsia" w:ascii="宋体" w:hAnsi="宋体" w:cs="宋体"/>
                <w:color w:val="auto"/>
                <w:sz w:val="21"/>
                <w:szCs w:val="21"/>
                <w:highlight w:val="none"/>
              </w:rPr>
            </w:pPr>
            <w:r>
              <w:rPr>
                <w:rFonts w:hint="eastAsia" w:ascii="宋体" w:hAnsi="宋体" w:cs="宋体"/>
                <w:color w:val="auto"/>
                <w:sz w:val="21"/>
                <w:szCs w:val="21"/>
                <w:highlight w:val="none"/>
              </w:rPr>
              <w:t>类型：</w:t>
            </w:r>
            <w:r>
              <w:rPr>
                <w:rFonts w:hint="eastAsia" w:ascii="宋体" w:hAnsi="宋体" w:cs="宋体"/>
                <w:color w:val="auto"/>
                <w:sz w:val="21"/>
                <w:szCs w:val="21"/>
                <w:highlight w:val="none"/>
              </w:rPr>
              <w:tab/>
            </w:r>
            <w:r>
              <w:rPr>
                <w:rFonts w:hint="eastAsia" w:ascii="宋体" w:hAnsi="宋体" w:cs="宋体"/>
                <w:color w:val="auto"/>
                <w:spacing w:val="-1"/>
                <w:sz w:val="21"/>
                <w:szCs w:val="21"/>
                <w:highlight w:val="none"/>
              </w:rPr>
              <w:t>等级：</w:t>
            </w:r>
            <w:r>
              <w:rPr>
                <w:rFonts w:hint="eastAsia" w:ascii="宋体" w:hAnsi="宋体" w:cs="宋体"/>
                <w:color w:val="auto"/>
                <w:spacing w:val="-1"/>
                <w:sz w:val="21"/>
                <w:szCs w:val="21"/>
                <w:highlight w:val="none"/>
              </w:rPr>
              <w:tab/>
            </w:r>
            <w:r>
              <w:rPr>
                <w:rFonts w:hint="eastAsia" w:ascii="宋体" w:hAnsi="宋体" w:cs="宋体"/>
                <w:color w:val="auto"/>
                <w:spacing w:val="-2"/>
                <w:sz w:val="21"/>
                <w:szCs w:val="21"/>
                <w:highlight w:val="none"/>
              </w:rPr>
              <w:t>证书号：</w:t>
            </w:r>
          </w:p>
        </w:tc>
      </w:tr>
      <w:tr w14:paraId="6D90AC11">
        <w:tblPrEx>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ACACB3E">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质量管理体系证书</w:t>
            </w:r>
          </w:p>
          <w:p w14:paraId="3820B3BA">
            <w:pPr>
              <w:pStyle w:val="33"/>
              <w:kinsoku w:val="0"/>
              <w:overflowPunct w:val="0"/>
              <w:ind w:right="10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23D98A9A">
            <w:pPr>
              <w:pStyle w:val="33"/>
              <w:kinsoku w:val="0"/>
              <w:overflowPunct w:val="0"/>
              <w:spacing w:before="1"/>
              <w:rPr>
                <w:rFonts w:hint="eastAsia" w:ascii="宋体" w:hAnsi="宋体" w:cs="宋体"/>
                <w:color w:val="auto"/>
                <w:sz w:val="21"/>
                <w:szCs w:val="21"/>
                <w:highlight w:val="none"/>
              </w:rPr>
            </w:pPr>
          </w:p>
          <w:p w14:paraId="62DFD73A">
            <w:pPr>
              <w:pStyle w:val="33"/>
              <w:tabs>
                <w:tab w:val="left" w:pos="3785"/>
                <w:tab w:val="left" w:pos="5045"/>
              </w:tabs>
              <w:kinsoku w:val="0"/>
              <w:overflowPunct w:val="0"/>
              <w:ind w:left="1054"/>
              <w:rPr>
                <w:rFonts w:hint="eastAsia" w:ascii="宋体" w:hAnsi="宋体" w:cs="宋体"/>
                <w:color w:val="auto"/>
                <w:sz w:val="21"/>
                <w:szCs w:val="21"/>
                <w:highlight w:val="none"/>
              </w:rPr>
            </w:pPr>
            <w:r>
              <w:rPr>
                <w:rFonts w:hint="eastAsia" w:ascii="宋体" w:hAnsi="宋体" w:cs="宋体"/>
                <w:color w:val="auto"/>
                <w:sz w:val="21"/>
                <w:szCs w:val="21"/>
                <w:highlight w:val="none"/>
              </w:rPr>
              <w:t>类型：</w:t>
            </w:r>
            <w:r>
              <w:rPr>
                <w:rFonts w:hint="eastAsia" w:ascii="宋体" w:hAnsi="宋体" w:cs="宋体"/>
                <w:color w:val="auto"/>
                <w:sz w:val="21"/>
                <w:szCs w:val="21"/>
                <w:highlight w:val="none"/>
              </w:rPr>
              <w:tab/>
            </w:r>
            <w:r>
              <w:rPr>
                <w:rFonts w:hint="eastAsia" w:ascii="宋体" w:hAnsi="宋体" w:cs="宋体"/>
                <w:color w:val="auto"/>
                <w:spacing w:val="-1"/>
                <w:sz w:val="21"/>
                <w:szCs w:val="21"/>
                <w:highlight w:val="none"/>
              </w:rPr>
              <w:t>等级：</w:t>
            </w:r>
            <w:r>
              <w:rPr>
                <w:rFonts w:hint="eastAsia" w:ascii="宋体" w:hAnsi="宋体" w:cs="宋体"/>
                <w:color w:val="auto"/>
                <w:spacing w:val="-1"/>
                <w:sz w:val="21"/>
                <w:szCs w:val="21"/>
                <w:highlight w:val="none"/>
              </w:rPr>
              <w:tab/>
            </w:r>
            <w:r>
              <w:rPr>
                <w:rFonts w:hint="eastAsia" w:ascii="宋体" w:hAnsi="宋体" w:cs="宋体"/>
                <w:color w:val="auto"/>
                <w:spacing w:val="-2"/>
                <w:sz w:val="21"/>
                <w:szCs w:val="21"/>
                <w:highlight w:val="none"/>
              </w:rPr>
              <w:t>证书号：</w:t>
            </w:r>
          </w:p>
        </w:tc>
      </w:tr>
      <w:tr w14:paraId="61356D84">
        <w:tblPrEx>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1232FCB">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70CEBF14">
            <w:pPr>
              <w:rPr>
                <w:rFonts w:hint="eastAsia" w:ascii="宋体" w:hAnsi="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tcPr>
          <w:p w14:paraId="12729E60">
            <w:pPr>
              <w:pStyle w:val="33"/>
              <w:kinsoku w:val="0"/>
              <w:overflowPunct w:val="0"/>
              <w:spacing w:before="107"/>
              <w:ind w:left="1178"/>
              <w:rPr>
                <w:rFonts w:hint="eastAsia" w:ascii="宋体" w:hAnsi="宋体" w:cs="宋体"/>
                <w:color w:val="auto"/>
                <w:sz w:val="21"/>
                <w:szCs w:val="21"/>
                <w:highlight w:val="none"/>
              </w:rPr>
            </w:pPr>
            <w:r>
              <w:rPr>
                <w:rFonts w:hint="eastAsia" w:ascii="宋体" w:hAnsi="宋体" w:cs="宋体"/>
                <w:color w:val="auto"/>
                <w:sz w:val="21"/>
                <w:szCs w:val="21"/>
                <w:highlight w:val="none"/>
              </w:rPr>
              <w:t>员工总人数：</w:t>
            </w:r>
          </w:p>
        </w:tc>
      </w:tr>
      <w:tr w14:paraId="189D518C">
        <w:tblPrEx>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033B9665">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5A226BC6">
            <w:pPr>
              <w:rPr>
                <w:rFonts w:hint="eastAsia" w:ascii="宋体" w:hAnsi="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6CDEFD2">
            <w:pPr>
              <w:pStyle w:val="33"/>
              <w:kinsoku w:val="0"/>
              <w:overflowPunct w:val="0"/>
              <w:spacing w:line="384" w:lineRule="auto"/>
              <w:ind w:right="89"/>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0F1C94C">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3D1EC4C2">
            <w:pPr>
              <w:rPr>
                <w:rFonts w:hint="eastAsia" w:ascii="宋体" w:hAnsi="宋体" w:cs="宋体"/>
                <w:color w:val="auto"/>
                <w:sz w:val="21"/>
                <w:szCs w:val="21"/>
                <w:highlight w:val="none"/>
              </w:rPr>
            </w:pPr>
          </w:p>
        </w:tc>
      </w:tr>
      <w:tr w14:paraId="71A30606">
        <w:tblPrEx>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9AB8C22">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06F99BD7">
            <w:pPr>
              <w:rPr>
                <w:rFonts w:hint="eastAsia" w:ascii="宋体" w:hAnsi="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5B076149">
            <w:pPr>
              <w:rPr>
                <w:rFonts w:hint="eastAsia" w:ascii="宋体" w:hAnsi="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AB9DF1A">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4CA80BA9">
            <w:pPr>
              <w:rPr>
                <w:rFonts w:hint="eastAsia" w:ascii="宋体" w:hAnsi="宋体" w:cs="宋体"/>
                <w:color w:val="auto"/>
                <w:sz w:val="21"/>
                <w:szCs w:val="21"/>
                <w:highlight w:val="none"/>
              </w:rPr>
            </w:pPr>
          </w:p>
        </w:tc>
      </w:tr>
      <w:tr w14:paraId="1C74EBB2">
        <w:tblPrEx>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2484D83">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1A1631FF">
            <w:pPr>
              <w:rPr>
                <w:rFonts w:hint="eastAsia" w:ascii="宋体" w:hAnsi="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17157B9B">
            <w:pPr>
              <w:rPr>
                <w:rFonts w:hint="eastAsia" w:ascii="宋体" w:hAnsi="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BF6A306">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7B9BCE8F">
            <w:pPr>
              <w:rPr>
                <w:rFonts w:hint="eastAsia" w:ascii="宋体" w:hAnsi="宋体" w:cs="宋体"/>
                <w:color w:val="auto"/>
                <w:sz w:val="21"/>
                <w:szCs w:val="21"/>
                <w:highlight w:val="none"/>
              </w:rPr>
            </w:pPr>
          </w:p>
        </w:tc>
      </w:tr>
      <w:tr w14:paraId="3218275D">
        <w:tblPrEx>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11296E7F">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25723DF5">
            <w:pPr>
              <w:rPr>
                <w:rFonts w:hint="eastAsia" w:ascii="宋体" w:hAnsi="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148996B4">
            <w:pPr>
              <w:rPr>
                <w:rFonts w:hint="eastAsia" w:ascii="宋体" w:hAnsi="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0BEB511">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238285F1">
            <w:pPr>
              <w:rPr>
                <w:rFonts w:hint="eastAsia" w:ascii="宋体" w:hAnsi="宋体" w:cs="宋体"/>
                <w:color w:val="auto"/>
                <w:sz w:val="21"/>
                <w:szCs w:val="21"/>
                <w:highlight w:val="none"/>
              </w:rPr>
            </w:pPr>
          </w:p>
        </w:tc>
      </w:tr>
      <w:tr w14:paraId="0391406A">
        <w:tblPrEx>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2FE59F1">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5B0F4BB3">
            <w:pPr>
              <w:rPr>
                <w:rFonts w:hint="eastAsia" w:ascii="宋体" w:hAnsi="宋体" w:cs="宋体"/>
                <w:color w:val="auto"/>
                <w:sz w:val="21"/>
                <w:szCs w:val="21"/>
                <w:highlight w:val="none"/>
              </w:rPr>
            </w:pPr>
          </w:p>
        </w:tc>
      </w:tr>
      <w:tr w14:paraId="3AE73A4E">
        <w:tblPrEx>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4373363">
            <w:pPr>
              <w:pStyle w:val="33"/>
              <w:kinsoku w:val="0"/>
              <w:overflowPunct w:val="0"/>
              <w:ind w:right="9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投标人关联企业情</w:t>
            </w:r>
            <w:r>
              <w:rPr>
                <w:rFonts w:hint="eastAsia" w:ascii="宋体" w:hAnsi="宋体" w:cs="宋体"/>
                <w:color w:val="auto"/>
                <w:spacing w:val="-8"/>
                <w:sz w:val="21"/>
                <w:szCs w:val="21"/>
                <w:highlight w:val="none"/>
              </w:rPr>
              <w:t>况（包括但不限于与</w:t>
            </w:r>
            <w:r>
              <w:rPr>
                <w:rFonts w:hint="eastAsia" w:ascii="宋体" w:hAnsi="宋体" w:cs="宋体"/>
                <w:color w:val="auto"/>
                <w:spacing w:val="-102"/>
                <w:sz w:val="21"/>
                <w:szCs w:val="21"/>
                <w:highlight w:val="none"/>
              </w:rPr>
              <w:t xml:space="preserve"> </w:t>
            </w:r>
            <w:r>
              <w:rPr>
                <w:rFonts w:hint="eastAsia" w:ascii="宋体" w:hAnsi="宋体" w:cs="宋体"/>
                <w:color w:val="auto"/>
                <w:sz w:val="21"/>
                <w:szCs w:val="21"/>
                <w:highlight w:val="none"/>
              </w:rPr>
              <w:t>投标人法定代表人为同一人或者存在</w:t>
            </w:r>
            <w:r>
              <w:rPr>
                <w:rFonts w:hint="eastAsia" w:ascii="宋体" w:hAnsi="宋体" w:cs="宋体"/>
                <w:color w:val="auto"/>
                <w:spacing w:val="-8"/>
                <w:sz w:val="21"/>
                <w:szCs w:val="21"/>
                <w:highlight w:val="none"/>
              </w:rPr>
              <w:t>控股、管理关系的不</w:t>
            </w:r>
            <w:r>
              <w:rPr>
                <w:rFonts w:hint="eastAsia" w:ascii="宋体" w:hAnsi="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750471A8">
            <w:pPr>
              <w:rPr>
                <w:rFonts w:hint="eastAsia" w:ascii="宋体" w:hAnsi="宋体" w:cs="宋体"/>
                <w:color w:val="auto"/>
                <w:sz w:val="21"/>
                <w:szCs w:val="21"/>
                <w:highlight w:val="none"/>
              </w:rPr>
            </w:pPr>
          </w:p>
        </w:tc>
      </w:tr>
      <w:tr w14:paraId="051FACA6">
        <w:tblPrEx>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93CD46D">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0A8245D0">
            <w:pPr>
              <w:rPr>
                <w:rFonts w:hint="eastAsia" w:ascii="宋体" w:hAnsi="宋体" w:cs="宋体"/>
                <w:color w:val="auto"/>
                <w:sz w:val="21"/>
                <w:szCs w:val="21"/>
                <w:highlight w:val="none"/>
              </w:rPr>
            </w:pPr>
          </w:p>
        </w:tc>
      </w:tr>
    </w:tbl>
    <w:p w14:paraId="59490282">
      <w:pPr>
        <w:pStyle w:val="13"/>
        <w:kinsoku w:val="0"/>
        <w:overflowPunct w:val="0"/>
        <w:spacing w:before="74" w:line="331" w:lineRule="auto"/>
        <w:ind w:left="240"/>
        <w:rPr>
          <w:rFonts w:hint="eastAsia" w:cs="宋体"/>
          <w:color w:val="auto"/>
          <w:szCs w:val="21"/>
          <w:highlight w:val="none"/>
        </w:rPr>
      </w:pPr>
      <w:r>
        <w:rPr>
          <w:rFonts w:hint="eastAsia" w:cs="宋体"/>
          <w:color w:val="auto"/>
          <w:spacing w:val="-5"/>
          <w:szCs w:val="21"/>
          <w:highlight w:val="none"/>
        </w:rPr>
        <w:t>注：</w:t>
      </w:r>
      <w:r>
        <w:rPr>
          <w:rFonts w:hint="eastAsia" w:cs="宋体"/>
          <w:color w:val="auto"/>
          <w:highlight w:val="none"/>
        </w:rPr>
        <w:t>投标人应附营业执照、资质证书等相关证明材料。</w:t>
      </w:r>
    </w:p>
    <w:p w14:paraId="76C53740">
      <w:pPr>
        <w:pStyle w:val="13"/>
        <w:kinsoku w:val="0"/>
        <w:overflowPunct w:val="0"/>
        <w:spacing w:before="74" w:line="331" w:lineRule="auto"/>
        <w:ind w:left="240"/>
        <w:rPr>
          <w:rFonts w:hint="eastAsia" w:ascii="宋体" w:hAnsi="宋体" w:eastAsia="宋体" w:cs="宋体"/>
          <w:color w:val="auto"/>
          <w:highlight w:val="none"/>
        </w:rPr>
        <w:sectPr>
          <w:footerReference r:id="rId11" w:type="default"/>
          <w:pgSz w:w="11905" w:h="16838"/>
          <w:pgMar w:top="1417" w:right="1417" w:bottom="1417" w:left="1417" w:header="992" w:footer="992" w:gutter="0"/>
          <w:pgNumType w:fmt="decimal"/>
          <w:cols w:space="720" w:num="1"/>
        </w:sectPr>
      </w:pPr>
    </w:p>
    <w:p w14:paraId="08C17C25">
      <w:pPr>
        <w:pStyle w:val="7"/>
        <w:rPr>
          <w:rFonts w:hint="eastAsia" w:cs="宋体"/>
          <w:b/>
          <w:color w:val="auto"/>
          <w:sz w:val="24"/>
          <w:highlight w:val="none"/>
        </w:rPr>
      </w:pPr>
      <w:bookmarkStart w:id="158" w:name="_Toc12503"/>
      <w:r>
        <w:rPr>
          <w:rFonts w:hint="eastAsia" w:cs="宋体"/>
          <w:b/>
          <w:color w:val="auto"/>
          <w:sz w:val="24"/>
          <w:highlight w:val="none"/>
        </w:rPr>
        <w:t>（二）近年完成的类似项目情况表</w:t>
      </w:r>
      <w:bookmarkEnd w:id="158"/>
    </w:p>
    <w:p w14:paraId="4AFC5F51">
      <w:pPr>
        <w:pStyle w:val="13"/>
        <w:kinsoku w:val="0"/>
        <w:overflowPunct w:val="0"/>
        <w:ind w:left="0"/>
        <w:rPr>
          <w:rFonts w:hint="eastAsia" w:cs="宋体"/>
          <w:color w:val="auto"/>
          <w:sz w:val="20"/>
          <w:highlight w:val="none"/>
        </w:rPr>
      </w:pPr>
    </w:p>
    <w:tbl>
      <w:tblPr>
        <w:tblStyle w:val="26"/>
        <w:tblW w:w="8521" w:type="dxa"/>
        <w:tblInd w:w="264" w:type="dxa"/>
        <w:tblLayout w:type="fixed"/>
        <w:tblCellMar>
          <w:top w:w="0" w:type="dxa"/>
          <w:left w:w="108" w:type="dxa"/>
          <w:bottom w:w="0" w:type="dxa"/>
          <w:right w:w="108" w:type="dxa"/>
        </w:tblCellMar>
      </w:tblPr>
      <w:tblGrid>
        <w:gridCol w:w="2268"/>
        <w:gridCol w:w="6253"/>
      </w:tblGrid>
      <w:tr w14:paraId="006FBDEE">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50811CC9">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03589F9">
            <w:pPr>
              <w:rPr>
                <w:rFonts w:hint="eastAsia" w:ascii="宋体" w:hAnsi="宋体" w:cs="宋体"/>
                <w:color w:val="auto"/>
                <w:sz w:val="21"/>
                <w:highlight w:val="none"/>
              </w:rPr>
            </w:pPr>
          </w:p>
        </w:tc>
      </w:tr>
      <w:tr w14:paraId="076B027E">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15DB73C">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4D642474">
            <w:pPr>
              <w:rPr>
                <w:rFonts w:hint="eastAsia" w:ascii="宋体" w:hAnsi="宋体" w:cs="宋体"/>
                <w:color w:val="auto"/>
                <w:sz w:val="21"/>
                <w:highlight w:val="none"/>
              </w:rPr>
            </w:pPr>
          </w:p>
        </w:tc>
      </w:tr>
      <w:tr w14:paraId="0A108779">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6FCC587A">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1A8B2EBE">
            <w:pPr>
              <w:rPr>
                <w:rFonts w:hint="eastAsia" w:ascii="宋体" w:hAnsi="宋体" w:cs="宋体"/>
                <w:color w:val="auto"/>
                <w:sz w:val="21"/>
                <w:highlight w:val="none"/>
              </w:rPr>
            </w:pPr>
          </w:p>
        </w:tc>
      </w:tr>
      <w:tr w14:paraId="52DBBE6A">
        <w:tblPrEx>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286E6A1">
            <w:pPr>
              <w:pStyle w:val="33"/>
              <w:tabs>
                <w:tab w:val="left" w:pos="668"/>
                <w:tab w:val="center" w:pos="1387"/>
              </w:tabs>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1B7165A">
            <w:pPr>
              <w:rPr>
                <w:rFonts w:hint="eastAsia" w:ascii="宋体" w:hAnsi="宋体" w:cs="宋体"/>
                <w:color w:val="auto"/>
                <w:sz w:val="21"/>
                <w:highlight w:val="none"/>
              </w:rPr>
            </w:pPr>
          </w:p>
        </w:tc>
      </w:tr>
      <w:tr w14:paraId="6F8FCCAD">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6B06CDCB">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5694E738">
            <w:pPr>
              <w:rPr>
                <w:rFonts w:hint="eastAsia" w:ascii="宋体" w:hAnsi="宋体" w:cs="宋体"/>
                <w:color w:val="auto"/>
                <w:sz w:val="21"/>
                <w:highlight w:val="none"/>
              </w:rPr>
            </w:pPr>
          </w:p>
        </w:tc>
      </w:tr>
      <w:tr w14:paraId="7990F22D">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5DB4C786">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6438C2FA">
            <w:pPr>
              <w:rPr>
                <w:rFonts w:hint="eastAsia" w:ascii="宋体" w:hAnsi="宋体" w:cs="宋体"/>
                <w:color w:val="auto"/>
                <w:sz w:val="21"/>
                <w:highlight w:val="none"/>
              </w:rPr>
            </w:pPr>
          </w:p>
        </w:tc>
      </w:tr>
      <w:tr w14:paraId="50AB4048">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12CB7BD3">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4F9F029">
            <w:pPr>
              <w:rPr>
                <w:rFonts w:hint="eastAsia" w:ascii="宋体" w:hAnsi="宋体" w:cs="宋体"/>
                <w:color w:val="auto"/>
                <w:sz w:val="21"/>
                <w:highlight w:val="none"/>
              </w:rPr>
            </w:pPr>
          </w:p>
        </w:tc>
      </w:tr>
      <w:tr w14:paraId="37A1CDB7">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7F454F87">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37C6BE96">
            <w:pPr>
              <w:rPr>
                <w:rFonts w:hint="eastAsia" w:ascii="宋体" w:hAnsi="宋体" w:cs="宋体"/>
                <w:color w:val="auto"/>
                <w:sz w:val="21"/>
                <w:highlight w:val="none"/>
              </w:rPr>
            </w:pPr>
          </w:p>
        </w:tc>
      </w:tr>
      <w:tr w14:paraId="571E9AA0">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42B677F">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6F63F0C9">
            <w:pPr>
              <w:rPr>
                <w:rFonts w:hint="eastAsia" w:ascii="宋体" w:hAnsi="宋体" w:cs="宋体"/>
                <w:color w:val="auto"/>
                <w:sz w:val="21"/>
                <w:highlight w:val="none"/>
              </w:rPr>
            </w:pPr>
          </w:p>
        </w:tc>
      </w:tr>
      <w:tr w14:paraId="681956EB">
        <w:tblPrEx>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28476BA">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5834350">
            <w:pPr>
              <w:rPr>
                <w:rFonts w:hint="eastAsia" w:ascii="宋体" w:hAnsi="宋体" w:cs="宋体"/>
                <w:color w:val="auto"/>
                <w:sz w:val="21"/>
                <w:highlight w:val="none"/>
              </w:rPr>
            </w:pPr>
          </w:p>
        </w:tc>
      </w:tr>
      <w:tr w14:paraId="0B93672B">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87E86D9">
            <w:pPr>
              <w:pStyle w:val="33"/>
              <w:kinsoku w:val="0"/>
              <w:overflowPunct w:val="0"/>
              <w:jc w:val="center"/>
              <w:rPr>
                <w:rFonts w:hint="eastAsia" w:ascii="宋体" w:hAnsi="宋体" w:cs="宋体"/>
                <w:color w:val="auto"/>
                <w:sz w:val="21"/>
                <w:highlight w:val="none"/>
              </w:rPr>
            </w:pPr>
            <w:r>
              <w:rPr>
                <w:rFonts w:hint="eastAsia" w:ascii="宋体" w:hAnsi="宋体" w:cs="宋体"/>
                <w:color w:val="auto"/>
                <w:sz w:val="21"/>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72D3753D">
            <w:pPr>
              <w:rPr>
                <w:rFonts w:hint="eastAsia" w:ascii="宋体" w:hAnsi="宋体" w:cs="宋体"/>
                <w:color w:val="auto"/>
                <w:sz w:val="21"/>
                <w:highlight w:val="none"/>
              </w:rPr>
            </w:pPr>
          </w:p>
        </w:tc>
      </w:tr>
    </w:tbl>
    <w:p w14:paraId="6F6138D8">
      <w:pPr>
        <w:pStyle w:val="13"/>
        <w:kinsoku w:val="0"/>
        <w:overflowPunct w:val="0"/>
        <w:spacing w:before="6"/>
        <w:ind w:left="0"/>
        <w:rPr>
          <w:rFonts w:hint="eastAsia" w:cs="宋体"/>
          <w:color w:val="auto"/>
          <w:sz w:val="24"/>
          <w:highlight w:val="none"/>
        </w:rPr>
      </w:pPr>
    </w:p>
    <w:p w14:paraId="1A46DD6D">
      <w:pPr>
        <w:pStyle w:val="13"/>
        <w:kinsoku w:val="0"/>
        <w:overflowPunct w:val="0"/>
        <w:spacing w:before="36"/>
        <w:ind w:left="100"/>
        <w:rPr>
          <w:rFonts w:hint="eastAsia" w:cs="宋体"/>
          <w:color w:val="auto"/>
          <w:sz w:val="24"/>
          <w:highlight w:val="none"/>
        </w:rPr>
      </w:pPr>
    </w:p>
    <w:p w14:paraId="4DFFBD25">
      <w:pPr>
        <w:pStyle w:val="13"/>
        <w:kinsoku w:val="0"/>
        <w:overflowPunct w:val="0"/>
        <w:spacing w:before="36"/>
        <w:ind w:left="100"/>
        <w:rPr>
          <w:rFonts w:hint="eastAsia" w:ascii="宋体" w:hAnsi="宋体" w:eastAsia="宋体" w:cs="宋体"/>
          <w:color w:val="auto"/>
          <w:highlight w:val="none"/>
        </w:rPr>
        <w:sectPr>
          <w:headerReference r:id="rId12" w:type="default"/>
          <w:footerReference r:id="rId13" w:type="default"/>
          <w:pgSz w:w="11905" w:h="16838"/>
          <w:pgMar w:top="1417" w:right="1417" w:bottom="1417" w:left="1417" w:header="992" w:footer="992" w:gutter="0"/>
          <w:pgNumType w:fmt="decimal"/>
          <w:cols w:space="720" w:num="1"/>
        </w:sectPr>
      </w:pPr>
    </w:p>
    <w:p w14:paraId="4D5F44A9">
      <w:pPr>
        <w:pStyle w:val="7"/>
        <w:rPr>
          <w:rFonts w:hint="eastAsia" w:cs="宋体"/>
          <w:b/>
          <w:color w:val="auto"/>
          <w:sz w:val="24"/>
          <w:highlight w:val="none"/>
        </w:rPr>
      </w:pPr>
      <w:r>
        <w:rPr>
          <w:rFonts w:hint="eastAsia" w:cs="宋体"/>
          <w:b/>
          <w:color w:val="auto"/>
          <w:sz w:val="24"/>
          <w:highlight w:val="none"/>
        </w:rPr>
        <w:t>（三）拟委任的主要人员汇总表</w:t>
      </w:r>
    </w:p>
    <w:p w14:paraId="18AFFD16">
      <w:pPr>
        <w:pStyle w:val="13"/>
        <w:kinsoku w:val="0"/>
        <w:overflowPunct w:val="0"/>
        <w:ind w:left="0"/>
        <w:rPr>
          <w:rFonts w:hint="eastAsia" w:cs="宋体"/>
          <w:color w:val="auto"/>
          <w:sz w:val="20"/>
          <w:highlight w:val="none"/>
        </w:rPr>
      </w:pPr>
    </w:p>
    <w:p w14:paraId="7905E957">
      <w:pPr>
        <w:pStyle w:val="13"/>
        <w:kinsoku w:val="0"/>
        <w:overflowPunct w:val="0"/>
        <w:spacing w:before="11"/>
        <w:ind w:left="0"/>
        <w:rPr>
          <w:rFonts w:hint="eastAsia" w:cs="宋体"/>
          <w:color w:val="auto"/>
          <w:sz w:val="22"/>
          <w:highlight w:val="none"/>
        </w:rPr>
      </w:pPr>
    </w:p>
    <w:tbl>
      <w:tblPr>
        <w:tblStyle w:val="26"/>
        <w:tblW w:w="8777" w:type="dxa"/>
        <w:jc w:val="center"/>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167A0413">
        <w:tblPrEx>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263CFD4">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BD532DA">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267AEC5">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70797FB">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01D8B00">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234BEC30">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071C8BD4">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备注</w:t>
            </w:r>
          </w:p>
        </w:tc>
      </w:tr>
      <w:tr w14:paraId="2CEB4AD0">
        <w:tblPrEx>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14858B9">
            <w:pPr>
              <w:pStyle w:val="33"/>
              <w:kinsoku w:val="0"/>
              <w:overflowPunct w:val="0"/>
              <w:spacing w:line="240" w:lineRule="atLeast"/>
              <w:jc w:val="center"/>
              <w:rPr>
                <w:rFonts w:hint="eastAsia" w:ascii="宋体" w:hAnsi="宋体" w:cs="宋体"/>
                <w:color w:val="auto"/>
                <w:sz w:val="21"/>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F5E7389">
            <w:pPr>
              <w:pStyle w:val="33"/>
              <w:kinsoku w:val="0"/>
              <w:overflowPunct w:val="0"/>
              <w:spacing w:line="240" w:lineRule="atLeast"/>
              <w:jc w:val="center"/>
              <w:rPr>
                <w:rFonts w:hint="eastAsia" w:ascii="宋体" w:hAnsi="宋体" w:cs="宋体"/>
                <w:color w:val="auto"/>
                <w:sz w:val="21"/>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12D9F15">
            <w:pPr>
              <w:pStyle w:val="33"/>
              <w:kinsoku w:val="0"/>
              <w:overflowPunct w:val="0"/>
              <w:spacing w:line="240" w:lineRule="atLeast"/>
              <w:jc w:val="center"/>
              <w:rPr>
                <w:rFonts w:hint="eastAsia" w:ascii="宋体" w:hAnsi="宋体" w:cs="宋体"/>
                <w:color w:val="auto"/>
                <w:sz w:val="21"/>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261DFCE">
            <w:pPr>
              <w:pStyle w:val="33"/>
              <w:kinsoku w:val="0"/>
              <w:overflowPunct w:val="0"/>
              <w:spacing w:line="240" w:lineRule="atLeast"/>
              <w:jc w:val="center"/>
              <w:rPr>
                <w:rFonts w:hint="eastAsia" w:ascii="宋体" w:hAnsi="宋体" w:cs="宋体"/>
                <w:color w:val="auto"/>
                <w:sz w:val="21"/>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8CC7F70">
            <w:pPr>
              <w:pStyle w:val="33"/>
              <w:kinsoku w:val="0"/>
              <w:overflowPunct w:val="0"/>
              <w:spacing w:line="240" w:lineRule="atLeast"/>
              <w:jc w:val="center"/>
              <w:rPr>
                <w:rFonts w:hint="eastAsia" w:ascii="宋体" w:hAnsi="宋体" w:cs="宋体"/>
                <w:color w:val="auto"/>
                <w:sz w:val="21"/>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vAlign w:val="center"/>
          </w:tcPr>
          <w:p w14:paraId="4477C87B">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14:paraId="16B5DB48">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vAlign w:val="center"/>
          </w:tcPr>
          <w:p w14:paraId="59E7C785">
            <w:pPr>
              <w:pStyle w:val="33"/>
              <w:kinsoku w:val="0"/>
              <w:overflowPunct w:val="0"/>
              <w:spacing w:line="240" w:lineRule="atLeast"/>
              <w:jc w:val="center"/>
              <w:rPr>
                <w:rFonts w:hint="eastAsia" w:ascii="宋体" w:hAnsi="宋体" w:cs="宋体"/>
                <w:color w:val="auto"/>
                <w:sz w:val="21"/>
                <w:highlight w:val="none"/>
              </w:rPr>
            </w:pPr>
            <w:r>
              <w:rPr>
                <w:rFonts w:hint="eastAsia" w:ascii="宋体" w:hAnsi="宋体" w:cs="宋体"/>
                <w:color w:val="auto"/>
                <w:sz w:val="21"/>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25258E38">
            <w:pPr>
              <w:spacing w:line="240" w:lineRule="atLeast"/>
              <w:jc w:val="center"/>
              <w:rPr>
                <w:rFonts w:hint="eastAsia" w:ascii="宋体" w:hAnsi="宋体" w:cs="宋体"/>
                <w:color w:val="auto"/>
                <w:sz w:val="21"/>
                <w:highlight w:val="none"/>
              </w:rPr>
            </w:pPr>
          </w:p>
        </w:tc>
      </w:tr>
      <w:tr w14:paraId="3EEBC1A6">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B13C21B">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868BF82">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D6F1EA8">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0B18D9A">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5E375A3">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591C9623">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EA2A3CB">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169F4A0E">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1B003BF">
            <w:pPr>
              <w:rPr>
                <w:rFonts w:hint="eastAsia" w:ascii="宋体" w:hAnsi="宋体" w:cs="宋体"/>
                <w:color w:val="auto"/>
                <w:highlight w:val="none"/>
              </w:rPr>
            </w:pPr>
          </w:p>
        </w:tc>
      </w:tr>
      <w:tr w14:paraId="0B17AFC4">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FEB5895">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B4D433A">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F72FC28">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648020B">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F9891BC">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6A7297A">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1753E49">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C63E972">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0D80C21">
            <w:pPr>
              <w:rPr>
                <w:rFonts w:hint="eastAsia" w:ascii="宋体" w:hAnsi="宋体" w:cs="宋体"/>
                <w:color w:val="auto"/>
                <w:highlight w:val="none"/>
              </w:rPr>
            </w:pPr>
          </w:p>
        </w:tc>
      </w:tr>
      <w:tr w14:paraId="1268740A">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8B02BBE">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BC08DB9">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7CCDED12">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C621B27">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81921D2">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ADAEE6E">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E70C0C7">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8C62D02">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DA04EA9">
            <w:pPr>
              <w:rPr>
                <w:rFonts w:hint="eastAsia" w:ascii="宋体" w:hAnsi="宋体" w:cs="宋体"/>
                <w:color w:val="auto"/>
                <w:highlight w:val="none"/>
              </w:rPr>
            </w:pPr>
          </w:p>
        </w:tc>
      </w:tr>
      <w:tr w14:paraId="46D01D61">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A100D85">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44632AA">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0B28CBE">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A382E2B">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859FE1F">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12CEDEF9">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10D5BA5">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199439A">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AB77101">
            <w:pPr>
              <w:rPr>
                <w:rFonts w:hint="eastAsia" w:ascii="宋体" w:hAnsi="宋体" w:cs="宋体"/>
                <w:color w:val="auto"/>
                <w:highlight w:val="none"/>
              </w:rPr>
            </w:pPr>
          </w:p>
        </w:tc>
      </w:tr>
      <w:tr w14:paraId="72E4D2C9">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6EC52D5">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3752068">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FFF1DCC">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A28CE07">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2FB8855">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4F45DFB">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DC7741C">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FA1D991">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9EE34FD">
            <w:pPr>
              <w:rPr>
                <w:rFonts w:hint="eastAsia" w:ascii="宋体" w:hAnsi="宋体" w:cs="宋体"/>
                <w:color w:val="auto"/>
                <w:highlight w:val="none"/>
              </w:rPr>
            </w:pPr>
          </w:p>
        </w:tc>
      </w:tr>
      <w:tr w14:paraId="45FB6257">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8E3FA37">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28C0C0D">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1BDBA8B">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E7DD0FD">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B40858D">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191D07A0">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EE87520">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16EF1D7">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30B1B8D">
            <w:pPr>
              <w:rPr>
                <w:rFonts w:hint="eastAsia" w:ascii="宋体" w:hAnsi="宋体" w:cs="宋体"/>
                <w:color w:val="auto"/>
                <w:highlight w:val="none"/>
              </w:rPr>
            </w:pPr>
          </w:p>
        </w:tc>
      </w:tr>
      <w:tr w14:paraId="7DAF9A73">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CB03CD2">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ADCC845">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0442A46">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0746089">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D0DF786">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F8ABC6F">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2D78915">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3744B6B">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1A2A13E">
            <w:pPr>
              <w:rPr>
                <w:rFonts w:hint="eastAsia" w:ascii="宋体" w:hAnsi="宋体" w:cs="宋体"/>
                <w:color w:val="auto"/>
                <w:highlight w:val="none"/>
              </w:rPr>
            </w:pPr>
          </w:p>
        </w:tc>
      </w:tr>
      <w:tr w14:paraId="5489EFD2">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A0EA4B2">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7F25AF8">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5E49339">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915D2B3">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3017CA0">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3DBD79B">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C9892EB">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6D17516">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AACD44B">
            <w:pPr>
              <w:rPr>
                <w:rFonts w:hint="eastAsia" w:ascii="宋体" w:hAnsi="宋体" w:cs="宋体"/>
                <w:color w:val="auto"/>
                <w:highlight w:val="none"/>
              </w:rPr>
            </w:pPr>
          </w:p>
        </w:tc>
      </w:tr>
      <w:tr w14:paraId="10D55145">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3464499">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5F82869">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340A712">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10A35C7">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0F14CFA">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D4204BE">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C8D6863">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8A00ECC">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540AA77">
            <w:pPr>
              <w:rPr>
                <w:rFonts w:hint="eastAsia" w:ascii="宋体" w:hAnsi="宋体" w:cs="宋体"/>
                <w:color w:val="auto"/>
                <w:highlight w:val="none"/>
              </w:rPr>
            </w:pPr>
          </w:p>
        </w:tc>
      </w:tr>
      <w:tr w14:paraId="690C2F4C">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4C39065">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E4E2818">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BF75735">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8C57BB4">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61CA866">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63E8E6C">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BAF6E87">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DCB7C6A">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656A783">
            <w:pPr>
              <w:rPr>
                <w:rFonts w:hint="eastAsia" w:ascii="宋体" w:hAnsi="宋体" w:cs="宋体"/>
                <w:color w:val="auto"/>
                <w:highlight w:val="none"/>
              </w:rPr>
            </w:pPr>
          </w:p>
        </w:tc>
      </w:tr>
      <w:tr w14:paraId="651AC9C1">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F90A8C4">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6EE60AA">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A73FC7A">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B8446A5">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D26724E">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5EA7CC0">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C2D6CB4">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C261F91">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CCAFA49">
            <w:pPr>
              <w:rPr>
                <w:rFonts w:hint="eastAsia" w:ascii="宋体" w:hAnsi="宋体" w:cs="宋体"/>
                <w:color w:val="auto"/>
                <w:highlight w:val="none"/>
              </w:rPr>
            </w:pPr>
          </w:p>
        </w:tc>
      </w:tr>
      <w:tr w14:paraId="053B56AB">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295B581">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865BDE6">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8C5A7D5">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C4A8176">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A716086">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11B7F04">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1E62C38">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56ABB5A">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CA6AB1A">
            <w:pPr>
              <w:rPr>
                <w:rFonts w:hint="eastAsia" w:ascii="宋体" w:hAnsi="宋体" w:cs="宋体"/>
                <w:color w:val="auto"/>
                <w:highlight w:val="none"/>
              </w:rPr>
            </w:pPr>
          </w:p>
        </w:tc>
      </w:tr>
      <w:tr w14:paraId="6A0579B6">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8508EFB">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900A147">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37965E2">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28F9C74">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2147296">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5EEF77A">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262249F">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1F157A9">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EA3E33E">
            <w:pPr>
              <w:rPr>
                <w:rFonts w:hint="eastAsia" w:ascii="宋体" w:hAnsi="宋体" w:cs="宋体"/>
                <w:color w:val="auto"/>
                <w:highlight w:val="none"/>
              </w:rPr>
            </w:pPr>
          </w:p>
        </w:tc>
      </w:tr>
      <w:tr w14:paraId="0B557EC2">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8F46F26">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600F845">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C205870">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D6D6073">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39D14A9">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E1D73DE">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3738914">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E616B24">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BFB4B71">
            <w:pPr>
              <w:rPr>
                <w:rFonts w:hint="eastAsia" w:ascii="宋体" w:hAnsi="宋体" w:cs="宋体"/>
                <w:color w:val="auto"/>
                <w:highlight w:val="none"/>
              </w:rPr>
            </w:pPr>
          </w:p>
        </w:tc>
      </w:tr>
      <w:tr w14:paraId="18BFD0CC">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8408111">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0A4331F">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C178D8E">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F7E1ED9">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31D350C0">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6BFCBB8">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E370D40">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D22277A">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591DAC1">
            <w:pPr>
              <w:rPr>
                <w:rFonts w:hint="eastAsia" w:ascii="宋体" w:hAnsi="宋体" w:cs="宋体"/>
                <w:color w:val="auto"/>
                <w:highlight w:val="none"/>
              </w:rPr>
            </w:pPr>
          </w:p>
        </w:tc>
      </w:tr>
      <w:tr w14:paraId="47B94068">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D629BC2">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1BE2DBC">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3B4CA2E">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BDB4AAE">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103EC02">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1A02757">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31612972">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88382C3">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36E8640">
            <w:pPr>
              <w:rPr>
                <w:rFonts w:hint="eastAsia" w:ascii="宋体" w:hAnsi="宋体" w:cs="宋体"/>
                <w:color w:val="auto"/>
                <w:highlight w:val="none"/>
              </w:rPr>
            </w:pPr>
          </w:p>
        </w:tc>
      </w:tr>
      <w:tr w14:paraId="3CA24195">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32C7ED3">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A525849">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2BFC673">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4CF65D3">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EF8049F">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FB30782">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6477E773">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5DFAFDC2">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CEF1E8F">
            <w:pPr>
              <w:rPr>
                <w:rFonts w:hint="eastAsia" w:ascii="宋体" w:hAnsi="宋体" w:cs="宋体"/>
                <w:color w:val="auto"/>
                <w:highlight w:val="none"/>
              </w:rPr>
            </w:pPr>
          </w:p>
        </w:tc>
      </w:tr>
      <w:tr w14:paraId="459E5623">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77DDE03">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3F5DFE8">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44E3090">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5173ECE">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FB4FA88">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17FFF84">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695EC60">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2859BDA">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46C5ECF">
            <w:pPr>
              <w:rPr>
                <w:rFonts w:hint="eastAsia" w:ascii="宋体" w:hAnsi="宋体" w:cs="宋体"/>
                <w:color w:val="auto"/>
                <w:highlight w:val="none"/>
              </w:rPr>
            </w:pPr>
          </w:p>
        </w:tc>
      </w:tr>
      <w:tr w14:paraId="29AFABD0">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8143F1A">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EBACD67">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FF82CEB">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1E10878">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BE4C814">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DF4F73D">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8913893">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3CB5A58">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A620535">
            <w:pPr>
              <w:rPr>
                <w:rFonts w:hint="eastAsia" w:ascii="宋体" w:hAnsi="宋体" w:cs="宋体"/>
                <w:color w:val="auto"/>
                <w:highlight w:val="none"/>
              </w:rPr>
            </w:pPr>
          </w:p>
        </w:tc>
      </w:tr>
      <w:tr w14:paraId="00CB0184">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3176993">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FE7DFCA">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2462C30">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FAD4631">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C34C8C6">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6CE74F8">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E808535">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42AA442">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C1C83DD">
            <w:pPr>
              <w:rPr>
                <w:rFonts w:hint="eastAsia" w:ascii="宋体" w:hAnsi="宋体" w:cs="宋体"/>
                <w:color w:val="auto"/>
                <w:highlight w:val="none"/>
              </w:rPr>
            </w:pPr>
          </w:p>
        </w:tc>
      </w:tr>
      <w:tr w14:paraId="2E1DCC24">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06CCD75">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A2016CE">
            <w:pPr>
              <w:rPr>
                <w:rFonts w:hint="eastAsia" w:ascii="宋体" w:hAnsi="宋体" w:cs="宋体"/>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05A5C62">
            <w:pPr>
              <w:rPr>
                <w:rFonts w:hint="eastAsia" w:ascii="宋体" w:hAnsi="宋体" w:cs="宋体"/>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608EBE4">
            <w:pPr>
              <w:rPr>
                <w:rFonts w:hint="eastAsia" w:ascii="宋体" w:hAnsi="宋体" w:cs="宋体"/>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AF93A95">
            <w:pPr>
              <w:rPr>
                <w:rFonts w:hint="eastAsia" w:ascii="宋体" w:hAnsi="宋体" w:cs="宋体"/>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966702A">
            <w:pPr>
              <w:rPr>
                <w:rFonts w:hint="eastAsia" w:ascii="宋体" w:hAnsi="宋体" w:cs="宋体"/>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2F08EC0">
            <w:pPr>
              <w:rPr>
                <w:rFonts w:hint="eastAsia" w:ascii="宋体" w:hAnsi="宋体" w:cs="宋体"/>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3C78545">
            <w:pPr>
              <w:rPr>
                <w:rFonts w:hint="eastAsia" w:ascii="宋体" w:hAnsi="宋体" w:cs="宋体"/>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1743B57">
            <w:pPr>
              <w:rPr>
                <w:rFonts w:hint="eastAsia" w:ascii="宋体" w:hAnsi="宋体" w:cs="宋体"/>
                <w:color w:val="auto"/>
                <w:highlight w:val="none"/>
              </w:rPr>
            </w:pPr>
          </w:p>
        </w:tc>
      </w:tr>
    </w:tbl>
    <w:p w14:paraId="1FDB165E">
      <w:pPr>
        <w:rPr>
          <w:rFonts w:hint="eastAsia" w:ascii="宋体" w:hAnsi="宋体" w:eastAsia="宋体" w:cs="宋体"/>
          <w:color w:val="auto"/>
          <w:highlight w:val="none"/>
        </w:rPr>
        <w:sectPr>
          <w:headerReference r:id="rId14" w:type="default"/>
          <w:footerReference r:id="rId15" w:type="default"/>
          <w:pgSz w:w="11905" w:h="16838"/>
          <w:pgMar w:top="1417" w:right="1417" w:bottom="1417" w:left="1417" w:header="992" w:footer="992" w:gutter="0"/>
          <w:pgNumType w:fmt="decimal"/>
          <w:cols w:space="720" w:num="1"/>
        </w:sectPr>
      </w:pPr>
    </w:p>
    <w:p w14:paraId="09F0E8F5">
      <w:pPr>
        <w:pStyle w:val="7"/>
        <w:rPr>
          <w:rFonts w:hint="eastAsia" w:cs="宋体"/>
          <w:b/>
          <w:color w:val="auto"/>
          <w:sz w:val="24"/>
          <w:highlight w:val="none"/>
        </w:rPr>
      </w:pPr>
      <w:bookmarkStart w:id="159" w:name="bookmark191"/>
      <w:bookmarkEnd w:id="159"/>
      <w:bookmarkStart w:id="160" w:name="_Toc30346"/>
      <w:r>
        <w:rPr>
          <w:rFonts w:hint="eastAsia" w:cs="宋体"/>
          <w:b/>
          <w:color w:val="auto"/>
          <w:sz w:val="24"/>
          <w:highlight w:val="none"/>
        </w:rPr>
        <w:t>（四）主要人员简历表</w:t>
      </w:r>
      <w:bookmarkEnd w:id="160"/>
    </w:p>
    <w:p w14:paraId="7AD36E99">
      <w:pPr>
        <w:pStyle w:val="13"/>
        <w:kinsoku w:val="0"/>
        <w:overflowPunct w:val="0"/>
        <w:ind w:left="0"/>
        <w:rPr>
          <w:rFonts w:hint="eastAsia" w:cs="宋体"/>
          <w:b/>
          <w:color w:val="auto"/>
          <w:sz w:val="24"/>
          <w:highlight w:val="none"/>
        </w:rPr>
      </w:pPr>
    </w:p>
    <w:p w14:paraId="4FB1BA98">
      <w:pPr>
        <w:pStyle w:val="13"/>
        <w:kinsoku w:val="0"/>
        <w:overflowPunct w:val="0"/>
        <w:spacing w:before="5"/>
        <w:ind w:left="0"/>
        <w:rPr>
          <w:rFonts w:hint="eastAsia" w:cs="宋体"/>
          <w:color w:val="auto"/>
          <w:sz w:val="16"/>
          <w:highlight w:val="none"/>
        </w:rPr>
      </w:pPr>
    </w:p>
    <w:tbl>
      <w:tblPr>
        <w:tblStyle w:val="26"/>
        <w:tblW w:w="8521" w:type="dxa"/>
        <w:tblInd w:w="264" w:type="dxa"/>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3F3180F1">
        <w:tblPrEx>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05E8C849">
            <w:pPr>
              <w:pStyle w:val="33"/>
              <w:tabs>
                <w:tab w:val="left" w:pos="695"/>
              </w:tabs>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5AC52AFF">
            <w:pPr>
              <w:rPr>
                <w:rFonts w:hint="eastAsia" w:ascii="宋体" w:hAnsi="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3FD34375">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610410FF">
            <w:pPr>
              <w:rPr>
                <w:rFonts w:hint="eastAsia" w:ascii="宋体" w:hAnsi="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FB942CF">
            <w:pPr>
              <w:pStyle w:val="33"/>
              <w:kinsoku w:val="0"/>
              <w:overflowPunct w:val="0"/>
              <w:spacing w:before="3" w:line="440" w:lineRule="exact"/>
              <w:ind w:right="122"/>
              <w:jc w:val="center"/>
              <w:rPr>
                <w:rFonts w:hint="eastAsia" w:ascii="宋体" w:hAnsi="宋体" w:cs="宋体"/>
                <w:color w:val="auto"/>
                <w:sz w:val="21"/>
                <w:szCs w:val="21"/>
                <w:highlight w:val="none"/>
              </w:rPr>
            </w:pPr>
            <w:r>
              <w:rPr>
                <w:rFonts w:hint="eastAsia" w:ascii="宋体" w:hAnsi="宋体" w:cs="宋体"/>
                <w:color w:val="auto"/>
                <w:spacing w:val="-2"/>
                <w:sz w:val="21"/>
                <w:szCs w:val="21"/>
                <w:highlight w:val="none"/>
              </w:rPr>
              <w:t>执业资格证书（或上岗</w:t>
            </w:r>
            <w:r>
              <w:rPr>
                <w:rFonts w:hint="eastAsia" w:ascii="宋体" w:hAnsi="宋体" w:cs="宋体"/>
                <w:color w:val="auto"/>
                <w:spacing w:val="-85"/>
                <w:sz w:val="21"/>
                <w:szCs w:val="21"/>
                <w:highlight w:val="none"/>
              </w:rPr>
              <w:t xml:space="preserve"> </w:t>
            </w:r>
            <w:r>
              <w:rPr>
                <w:rFonts w:hint="eastAsia" w:ascii="宋体" w:hAnsi="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4F542A2F">
            <w:pPr>
              <w:rPr>
                <w:rFonts w:hint="eastAsia" w:ascii="宋体" w:hAnsi="宋体" w:cs="宋体"/>
                <w:color w:val="auto"/>
                <w:sz w:val="21"/>
                <w:szCs w:val="21"/>
                <w:highlight w:val="none"/>
              </w:rPr>
            </w:pPr>
          </w:p>
        </w:tc>
      </w:tr>
      <w:tr w14:paraId="27E7A320">
        <w:tblPrEx>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3C2D9BAB">
            <w:pPr>
              <w:pStyle w:val="33"/>
              <w:tabs>
                <w:tab w:val="left" w:pos="695"/>
              </w:tabs>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37B9FE20">
            <w:pPr>
              <w:rPr>
                <w:rFonts w:hint="eastAsia" w:ascii="宋体" w:hAnsi="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0CD81575">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6C1390C8">
            <w:pPr>
              <w:rPr>
                <w:rFonts w:hint="eastAsia" w:ascii="宋体" w:hAnsi="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783F0A22">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62051BEB">
            <w:pPr>
              <w:rPr>
                <w:rFonts w:hint="eastAsia" w:ascii="宋体" w:hAnsi="宋体" w:cs="宋体"/>
                <w:color w:val="auto"/>
                <w:sz w:val="21"/>
                <w:szCs w:val="21"/>
                <w:highlight w:val="none"/>
              </w:rPr>
            </w:pPr>
          </w:p>
        </w:tc>
      </w:tr>
      <w:tr w14:paraId="706D5824">
        <w:tblPrEx>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3C9CAB82">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tcPr>
          <w:p w14:paraId="6EFFE1A4">
            <w:pPr>
              <w:rPr>
                <w:rFonts w:hint="eastAsia" w:ascii="宋体" w:hAnsi="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7218C168">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4A1C145D">
            <w:pPr>
              <w:rPr>
                <w:rFonts w:hint="eastAsia" w:ascii="宋体" w:hAnsi="宋体" w:cs="宋体"/>
                <w:color w:val="auto"/>
                <w:sz w:val="21"/>
                <w:szCs w:val="21"/>
                <w:highlight w:val="none"/>
              </w:rPr>
            </w:pPr>
          </w:p>
        </w:tc>
      </w:tr>
      <w:tr w14:paraId="654BBF85">
        <w:tblPrEx>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vAlign w:val="center"/>
          </w:tcPr>
          <w:p w14:paraId="3ADDB367">
            <w:pPr>
              <w:pStyle w:val="33"/>
              <w:kinsoku w:val="0"/>
              <w:overflowPunct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主要工作经历</w:t>
            </w:r>
          </w:p>
        </w:tc>
      </w:tr>
      <w:tr w14:paraId="2354606C">
        <w:tblPrEx>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0C7891A">
            <w:pPr>
              <w:pStyle w:val="33"/>
              <w:tabs>
                <w:tab w:val="left" w:pos="873"/>
              </w:tabs>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时</w:t>
            </w:r>
            <w:r>
              <w:rPr>
                <w:rFonts w:hint="eastAsia" w:ascii="宋体" w:hAnsi="宋体" w:cs="宋体"/>
                <w:color w:val="auto"/>
                <w:sz w:val="21"/>
                <w:szCs w:val="21"/>
                <w:highlight w:val="none"/>
              </w:rPr>
              <w:tab/>
            </w:r>
            <w:r>
              <w:rPr>
                <w:rFonts w:hint="eastAsia" w:ascii="宋体" w:hAnsi="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4876178">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3236D431">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5A047FE">
            <w:pPr>
              <w:pStyle w:val="33"/>
              <w:kinsoku w:val="0"/>
              <w:overflowPunct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委托人及联系电话</w:t>
            </w:r>
          </w:p>
        </w:tc>
      </w:tr>
      <w:tr w14:paraId="23855F61">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D9A79D2">
            <w:pPr>
              <w:jc w:val="center"/>
              <w:rPr>
                <w:rFonts w:hint="eastAsia"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99CBA93">
            <w:pPr>
              <w:jc w:val="center"/>
              <w:rPr>
                <w:rFonts w:hint="eastAsia"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1AE1B86">
            <w:pPr>
              <w:jc w:val="center"/>
              <w:rPr>
                <w:rFonts w:hint="eastAsia"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23470F5">
            <w:pPr>
              <w:jc w:val="center"/>
              <w:rPr>
                <w:rFonts w:hint="eastAsia" w:ascii="宋体" w:hAnsi="宋体" w:cs="宋体"/>
                <w:color w:val="auto"/>
                <w:sz w:val="21"/>
                <w:szCs w:val="21"/>
                <w:highlight w:val="none"/>
              </w:rPr>
            </w:pPr>
          </w:p>
        </w:tc>
      </w:tr>
      <w:tr w14:paraId="4AEDA8EE">
        <w:tblPrEx>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67485A7">
            <w:pPr>
              <w:jc w:val="center"/>
              <w:rPr>
                <w:rFonts w:hint="eastAsia"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76AF7BA1">
            <w:pPr>
              <w:jc w:val="center"/>
              <w:rPr>
                <w:rFonts w:hint="eastAsia"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59F115E8">
            <w:pPr>
              <w:jc w:val="center"/>
              <w:rPr>
                <w:rFonts w:hint="eastAsia"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6C75E94">
            <w:pPr>
              <w:jc w:val="center"/>
              <w:rPr>
                <w:rFonts w:hint="eastAsia" w:ascii="宋体" w:hAnsi="宋体" w:cs="宋体"/>
                <w:color w:val="auto"/>
                <w:sz w:val="21"/>
                <w:szCs w:val="21"/>
                <w:highlight w:val="none"/>
              </w:rPr>
            </w:pPr>
          </w:p>
        </w:tc>
      </w:tr>
      <w:tr w14:paraId="7338D800">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EA67564">
            <w:pPr>
              <w:jc w:val="center"/>
              <w:rPr>
                <w:rFonts w:hint="eastAsia"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9E0C58C">
            <w:pPr>
              <w:jc w:val="center"/>
              <w:rPr>
                <w:rFonts w:hint="eastAsia"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4FC555F9">
            <w:pPr>
              <w:jc w:val="center"/>
              <w:rPr>
                <w:rFonts w:hint="eastAsia"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8909049">
            <w:pPr>
              <w:jc w:val="center"/>
              <w:rPr>
                <w:rFonts w:hint="eastAsia" w:ascii="宋体" w:hAnsi="宋体" w:cs="宋体"/>
                <w:color w:val="auto"/>
                <w:sz w:val="21"/>
                <w:szCs w:val="21"/>
                <w:highlight w:val="none"/>
              </w:rPr>
            </w:pPr>
          </w:p>
        </w:tc>
      </w:tr>
      <w:tr w14:paraId="42A4AD04">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357FEE1">
            <w:pPr>
              <w:jc w:val="center"/>
              <w:rPr>
                <w:rFonts w:hint="eastAsia"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2E53C1D5">
            <w:pPr>
              <w:jc w:val="center"/>
              <w:rPr>
                <w:rFonts w:hint="eastAsia"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A1494EA">
            <w:pPr>
              <w:jc w:val="center"/>
              <w:rPr>
                <w:rFonts w:hint="eastAsia"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21E4CDB">
            <w:pPr>
              <w:jc w:val="center"/>
              <w:rPr>
                <w:rFonts w:hint="eastAsia" w:ascii="宋体" w:hAnsi="宋体" w:cs="宋体"/>
                <w:color w:val="auto"/>
                <w:sz w:val="21"/>
                <w:szCs w:val="21"/>
                <w:highlight w:val="none"/>
              </w:rPr>
            </w:pPr>
          </w:p>
        </w:tc>
      </w:tr>
      <w:tr w14:paraId="3B6CA18B">
        <w:tblPrEx>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6D41F06">
            <w:pPr>
              <w:jc w:val="center"/>
              <w:rPr>
                <w:rFonts w:hint="eastAsia"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C237A82">
            <w:pPr>
              <w:jc w:val="center"/>
              <w:rPr>
                <w:rFonts w:hint="eastAsia"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D157ABF">
            <w:pPr>
              <w:jc w:val="center"/>
              <w:rPr>
                <w:rFonts w:hint="eastAsia"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EA6BBA3">
            <w:pPr>
              <w:jc w:val="center"/>
              <w:rPr>
                <w:rFonts w:hint="eastAsia" w:ascii="宋体" w:hAnsi="宋体" w:cs="宋体"/>
                <w:color w:val="auto"/>
                <w:sz w:val="21"/>
                <w:szCs w:val="21"/>
                <w:highlight w:val="none"/>
              </w:rPr>
            </w:pPr>
          </w:p>
        </w:tc>
      </w:tr>
      <w:tr w14:paraId="5B43508A">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959B5BC">
            <w:pPr>
              <w:jc w:val="center"/>
              <w:rPr>
                <w:rFonts w:hint="eastAsia"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3BB374E">
            <w:pPr>
              <w:jc w:val="center"/>
              <w:rPr>
                <w:rFonts w:hint="eastAsia"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1A48C111">
            <w:pPr>
              <w:jc w:val="center"/>
              <w:rPr>
                <w:rFonts w:hint="eastAsia"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40BC3AE">
            <w:pPr>
              <w:jc w:val="center"/>
              <w:rPr>
                <w:rFonts w:hint="eastAsia" w:ascii="宋体" w:hAnsi="宋体" w:cs="宋体"/>
                <w:color w:val="auto"/>
                <w:sz w:val="21"/>
                <w:szCs w:val="21"/>
                <w:highlight w:val="none"/>
              </w:rPr>
            </w:pPr>
          </w:p>
        </w:tc>
      </w:tr>
      <w:tr w14:paraId="68E0F132">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3BA4305">
            <w:pPr>
              <w:jc w:val="center"/>
              <w:rPr>
                <w:rFonts w:hint="eastAsia"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C741AD5">
            <w:pPr>
              <w:jc w:val="center"/>
              <w:rPr>
                <w:rFonts w:hint="eastAsia"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678A0058">
            <w:pPr>
              <w:jc w:val="center"/>
              <w:rPr>
                <w:rFonts w:hint="eastAsia"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3B6A1DC">
            <w:pPr>
              <w:jc w:val="center"/>
              <w:rPr>
                <w:rFonts w:hint="eastAsia" w:ascii="宋体" w:hAnsi="宋体" w:cs="宋体"/>
                <w:color w:val="auto"/>
                <w:sz w:val="21"/>
                <w:szCs w:val="21"/>
                <w:highlight w:val="none"/>
              </w:rPr>
            </w:pPr>
          </w:p>
        </w:tc>
      </w:tr>
    </w:tbl>
    <w:p w14:paraId="1B412C66">
      <w:pPr>
        <w:pStyle w:val="13"/>
        <w:kinsoku w:val="0"/>
        <w:overflowPunct w:val="0"/>
        <w:spacing w:before="6"/>
        <w:ind w:left="0"/>
        <w:rPr>
          <w:rFonts w:hint="eastAsia" w:cs="宋体"/>
          <w:color w:val="auto"/>
          <w:sz w:val="24"/>
          <w:highlight w:val="none"/>
        </w:rPr>
      </w:pPr>
    </w:p>
    <w:p w14:paraId="63173B5A">
      <w:pPr>
        <w:pStyle w:val="13"/>
        <w:kinsoku w:val="0"/>
        <w:overflowPunct w:val="0"/>
        <w:spacing w:before="36"/>
        <w:ind w:left="100"/>
        <w:rPr>
          <w:rFonts w:hint="eastAsia" w:cs="宋体"/>
          <w:color w:val="auto"/>
          <w:sz w:val="24"/>
          <w:highlight w:val="none"/>
        </w:rPr>
      </w:pPr>
    </w:p>
    <w:p w14:paraId="28CA111A">
      <w:pPr>
        <w:pStyle w:val="13"/>
        <w:kinsoku w:val="0"/>
        <w:overflowPunct w:val="0"/>
        <w:spacing w:before="36"/>
        <w:ind w:left="100"/>
        <w:rPr>
          <w:rFonts w:hint="eastAsia" w:ascii="宋体" w:hAnsi="宋体" w:eastAsia="宋体" w:cs="宋体"/>
          <w:color w:val="auto"/>
          <w:sz w:val="24"/>
          <w:highlight w:val="none"/>
        </w:rPr>
        <w:sectPr>
          <w:headerReference r:id="rId16" w:type="default"/>
          <w:footerReference r:id="rId17" w:type="default"/>
          <w:pgSz w:w="11905" w:h="16838"/>
          <w:pgMar w:top="1417" w:right="1417" w:bottom="1417" w:left="1417" w:header="992" w:footer="992" w:gutter="0"/>
          <w:pgNumType w:fmt="decimal"/>
          <w:cols w:space="720" w:num="1"/>
        </w:sectPr>
      </w:pPr>
    </w:p>
    <w:p w14:paraId="290C696A">
      <w:pPr>
        <w:pStyle w:val="7"/>
        <w:rPr>
          <w:rFonts w:hint="eastAsia" w:cs="宋体"/>
          <w:b/>
          <w:strike w:val="0"/>
          <w:color w:val="auto"/>
          <w:sz w:val="24"/>
          <w:highlight w:val="none"/>
        </w:rPr>
      </w:pPr>
      <w:bookmarkStart w:id="161" w:name="_Toc6052"/>
      <w:r>
        <w:rPr>
          <w:rFonts w:hint="eastAsia" w:cs="宋体"/>
          <w:b/>
          <w:strike w:val="0"/>
          <w:color w:val="auto"/>
          <w:sz w:val="24"/>
          <w:highlight w:val="none"/>
        </w:rPr>
        <w:t>（五）拟投入本项目的主要试验检测仪器设备表</w:t>
      </w:r>
      <w:bookmarkEnd w:id="161"/>
    </w:p>
    <w:p w14:paraId="6C5AAA15">
      <w:pPr>
        <w:pStyle w:val="13"/>
        <w:kinsoku w:val="0"/>
        <w:overflowPunct w:val="0"/>
        <w:ind w:left="0"/>
        <w:rPr>
          <w:rFonts w:hint="eastAsia" w:cs="宋体"/>
          <w:strike w:val="0"/>
          <w:color w:val="auto"/>
          <w:sz w:val="20"/>
          <w:highlight w:val="none"/>
        </w:rPr>
      </w:pPr>
    </w:p>
    <w:p w14:paraId="0961B902">
      <w:pPr>
        <w:pStyle w:val="13"/>
        <w:kinsoku w:val="0"/>
        <w:overflowPunct w:val="0"/>
        <w:spacing w:before="11"/>
        <w:ind w:left="0"/>
        <w:rPr>
          <w:rFonts w:hint="eastAsia" w:cs="宋体"/>
          <w:strike w:val="0"/>
          <w:color w:val="auto"/>
          <w:sz w:val="22"/>
          <w:highlight w:val="none"/>
        </w:rPr>
      </w:pPr>
    </w:p>
    <w:tbl>
      <w:tblPr>
        <w:tblStyle w:val="26"/>
        <w:tblW w:w="8594" w:type="dxa"/>
        <w:tblInd w:w="448" w:type="dxa"/>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650C4FE1">
        <w:tblPrEx>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14:paraId="0231E4CC">
            <w:pPr>
              <w:pStyle w:val="33"/>
              <w:kinsoku w:val="0"/>
              <w:overflowPunct w:val="0"/>
              <w:spacing w:line="240" w:lineRule="atLeast"/>
              <w:jc w:val="center"/>
              <w:rPr>
                <w:rFonts w:hint="eastAsia" w:ascii="宋体" w:hAnsi="宋体" w:cs="宋体"/>
                <w:strike w:val="0"/>
                <w:color w:val="auto"/>
                <w:sz w:val="21"/>
                <w:highlight w:val="none"/>
              </w:rPr>
            </w:pPr>
            <w:r>
              <w:rPr>
                <w:rFonts w:hint="eastAsia" w:ascii="宋体" w:hAnsi="宋体" w:cs="宋体"/>
                <w:strike w:val="0"/>
                <w:color w:val="auto"/>
                <w:sz w:val="21"/>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vAlign w:val="center"/>
          </w:tcPr>
          <w:p w14:paraId="25C8FAFB">
            <w:pPr>
              <w:pStyle w:val="33"/>
              <w:kinsoku w:val="0"/>
              <w:overflowPunct w:val="0"/>
              <w:spacing w:line="240" w:lineRule="atLeast"/>
              <w:jc w:val="center"/>
              <w:rPr>
                <w:rFonts w:hint="eastAsia" w:ascii="宋体" w:hAnsi="宋体" w:cs="宋体"/>
                <w:strike w:val="0"/>
                <w:color w:val="auto"/>
                <w:sz w:val="21"/>
                <w:highlight w:val="none"/>
              </w:rPr>
            </w:pPr>
            <w:r>
              <w:rPr>
                <w:rFonts w:hint="eastAsia" w:ascii="宋体" w:hAnsi="宋体" w:cs="宋体"/>
                <w:strike w:val="0"/>
                <w:color w:val="auto"/>
                <w:sz w:val="21"/>
                <w:highlight w:val="none"/>
              </w:rPr>
              <w:t>仪器设备名称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498B7995">
            <w:pPr>
              <w:pStyle w:val="33"/>
              <w:kinsoku w:val="0"/>
              <w:overflowPunct w:val="0"/>
              <w:spacing w:line="240" w:lineRule="atLeast"/>
              <w:jc w:val="center"/>
              <w:rPr>
                <w:rFonts w:hint="eastAsia" w:ascii="宋体" w:hAnsi="宋体" w:cs="宋体"/>
                <w:strike w:val="0"/>
                <w:color w:val="auto"/>
                <w:sz w:val="21"/>
                <w:highlight w:val="none"/>
              </w:rPr>
            </w:pPr>
            <w:r>
              <w:rPr>
                <w:rFonts w:hint="eastAsia" w:ascii="宋体" w:hAnsi="宋体" w:cs="宋体"/>
                <w:strike w:val="0"/>
                <w:color w:val="auto"/>
                <w:sz w:val="21"/>
                <w:highlight w:val="none"/>
              </w:rPr>
              <w:t>型号</w:t>
            </w:r>
            <w:r>
              <w:rPr>
                <w:rFonts w:hint="eastAsia" w:ascii="宋体" w:hAnsi="宋体" w:cs="宋体"/>
                <w:strike w:val="0"/>
                <w:color w:val="auto"/>
                <w:spacing w:val="-103"/>
                <w:sz w:val="21"/>
                <w:highlight w:val="none"/>
              </w:rPr>
              <w:t xml:space="preserve"> </w:t>
            </w:r>
            <w:r>
              <w:rPr>
                <w:rFonts w:hint="eastAsia" w:ascii="宋体" w:hAnsi="宋体" w:cs="宋体"/>
                <w:strike w:val="0"/>
                <w:color w:val="auto"/>
                <w:sz w:val="21"/>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55A95471">
            <w:pPr>
              <w:pStyle w:val="33"/>
              <w:kinsoku w:val="0"/>
              <w:overflowPunct w:val="0"/>
              <w:spacing w:line="240" w:lineRule="atLeast"/>
              <w:jc w:val="center"/>
              <w:rPr>
                <w:rFonts w:hint="eastAsia" w:ascii="宋体" w:hAnsi="宋体" w:cs="宋体"/>
                <w:strike w:val="0"/>
                <w:color w:val="auto"/>
                <w:sz w:val="21"/>
                <w:highlight w:val="none"/>
              </w:rPr>
            </w:pPr>
            <w:r>
              <w:rPr>
                <w:rFonts w:hint="eastAsia" w:ascii="宋体" w:hAnsi="宋体" w:cs="宋体"/>
                <w:strike w:val="0"/>
                <w:color w:val="auto"/>
                <w:sz w:val="21"/>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14:paraId="0B74CD67">
            <w:pPr>
              <w:pStyle w:val="33"/>
              <w:kinsoku w:val="0"/>
              <w:overflowPunct w:val="0"/>
              <w:spacing w:line="240" w:lineRule="atLeast"/>
              <w:jc w:val="center"/>
              <w:rPr>
                <w:rFonts w:hint="eastAsia" w:ascii="宋体" w:hAnsi="宋体" w:cs="宋体"/>
                <w:strike w:val="0"/>
                <w:color w:val="auto"/>
                <w:sz w:val="21"/>
                <w:highlight w:val="none"/>
              </w:rPr>
            </w:pPr>
            <w:r>
              <w:rPr>
                <w:rFonts w:hint="eastAsia" w:ascii="宋体" w:hAnsi="宋体" w:cs="宋体"/>
                <w:strike w:val="0"/>
                <w:color w:val="auto"/>
                <w:sz w:val="21"/>
                <w:highlight w:val="none"/>
              </w:rPr>
              <w:t>国别</w:t>
            </w:r>
            <w:r>
              <w:rPr>
                <w:rFonts w:hint="eastAsia" w:ascii="宋体" w:hAnsi="宋体" w:cs="宋体"/>
                <w:strike w:val="0"/>
                <w:color w:val="auto"/>
                <w:spacing w:val="-103"/>
                <w:sz w:val="21"/>
                <w:highlight w:val="none"/>
              </w:rPr>
              <w:t xml:space="preserve"> </w:t>
            </w:r>
            <w:r>
              <w:rPr>
                <w:rFonts w:hint="eastAsia" w:ascii="宋体" w:hAnsi="宋体" w:cs="宋体"/>
                <w:strike w:val="0"/>
                <w:color w:val="auto"/>
                <w:sz w:val="21"/>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14:paraId="221CCDBA">
            <w:pPr>
              <w:pStyle w:val="33"/>
              <w:kinsoku w:val="0"/>
              <w:overflowPunct w:val="0"/>
              <w:spacing w:line="240" w:lineRule="atLeast"/>
              <w:jc w:val="center"/>
              <w:rPr>
                <w:rFonts w:hint="eastAsia" w:ascii="宋体" w:hAnsi="宋体" w:cs="宋体"/>
                <w:strike w:val="0"/>
                <w:color w:val="auto"/>
                <w:sz w:val="21"/>
                <w:highlight w:val="none"/>
              </w:rPr>
            </w:pPr>
            <w:r>
              <w:rPr>
                <w:rFonts w:hint="eastAsia" w:ascii="宋体" w:hAnsi="宋体" w:cs="宋体"/>
                <w:strike w:val="0"/>
                <w:color w:val="auto"/>
                <w:sz w:val="21"/>
                <w:highlight w:val="none"/>
              </w:rPr>
              <w:t>制造</w:t>
            </w:r>
            <w:r>
              <w:rPr>
                <w:rFonts w:hint="eastAsia" w:ascii="宋体" w:hAnsi="宋体" w:cs="宋体"/>
                <w:strike w:val="0"/>
                <w:color w:val="auto"/>
                <w:spacing w:val="-103"/>
                <w:sz w:val="21"/>
                <w:highlight w:val="none"/>
              </w:rPr>
              <w:t xml:space="preserve"> </w:t>
            </w:r>
            <w:r>
              <w:rPr>
                <w:rFonts w:hint="eastAsia" w:ascii="宋体" w:hAnsi="宋体" w:cs="宋体"/>
                <w:strike w:val="0"/>
                <w:color w:val="auto"/>
                <w:sz w:val="21"/>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14:paraId="67E89B85">
            <w:pPr>
              <w:pStyle w:val="33"/>
              <w:kinsoku w:val="0"/>
              <w:overflowPunct w:val="0"/>
              <w:spacing w:line="240" w:lineRule="atLeast"/>
              <w:jc w:val="center"/>
              <w:rPr>
                <w:rFonts w:hint="eastAsia" w:ascii="宋体" w:hAnsi="宋体" w:cs="宋体"/>
                <w:strike w:val="0"/>
                <w:color w:val="auto"/>
                <w:sz w:val="21"/>
                <w:highlight w:val="none"/>
              </w:rPr>
            </w:pPr>
            <w:r>
              <w:rPr>
                <w:rFonts w:hint="eastAsia" w:ascii="宋体" w:hAnsi="宋体" w:cs="宋体"/>
                <w:strike w:val="0"/>
                <w:color w:val="auto"/>
                <w:sz w:val="21"/>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vAlign w:val="center"/>
          </w:tcPr>
          <w:p w14:paraId="7ADB00A3">
            <w:pPr>
              <w:pStyle w:val="33"/>
              <w:kinsoku w:val="0"/>
              <w:overflowPunct w:val="0"/>
              <w:spacing w:line="240" w:lineRule="atLeast"/>
              <w:jc w:val="center"/>
              <w:rPr>
                <w:rFonts w:hint="eastAsia" w:ascii="宋体" w:hAnsi="宋体" w:cs="宋体"/>
                <w:strike w:val="0"/>
                <w:color w:val="auto"/>
                <w:sz w:val="21"/>
                <w:highlight w:val="none"/>
              </w:rPr>
            </w:pPr>
            <w:r>
              <w:rPr>
                <w:rFonts w:hint="eastAsia" w:ascii="宋体" w:hAnsi="宋体" w:cs="宋体"/>
                <w:strike w:val="0"/>
                <w:color w:val="auto"/>
                <w:sz w:val="21"/>
                <w:highlight w:val="none"/>
              </w:rPr>
              <w:t>备注</w:t>
            </w:r>
          </w:p>
        </w:tc>
      </w:tr>
      <w:tr w14:paraId="1466B81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70DDF55">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946982A">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2881C81">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2793063">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06CB7F7">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ADC3C13">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B9D2DEA">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4C31BE12">
            <w:pPr>
              <w:rPr>
                <w:rFonts w:hint="eastAsia" w:ascii="宋体" w:hAnsi="宋体" w:cs="宋体"/>
                <w:strike/>
                <w:color w:val="auto"/>
                <w:highlight w:val="none"/>
              </w:rPr>
            </w:pPr>
          </w:p>
        </w:tc>
      </w:tr>
      <w:tr w14:paraId="5EE4610A">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B370185">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10F4628C">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9C1F21F">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84185F1">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C9E6E1B">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99EB673">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148204D">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8491B4B">
            <w:pPr>
              <w:rPr>
                <w:rFonts w:hint="eastAsia" w:ascii="宋体" w:hAnsi="宋体" w:cs="宋体"/>
                <w:strike/>
                <w:color w:val="auto"/>
                <w:highlight w:val="none"/>
              </w:rPr>
            </w:pPr>
          </w:p>
        </w:tc>
      </w:tr>
      <w:tr w14:paraId="001761F3">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1D097EB">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C9D67FD">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13BC171">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155BFBB">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C6BFD3D">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A6E1D43">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EBEF1C0">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DF54A9A">
            <w:pPr>
              <w:rPr>
                <w:rFonts w:hint="eastAsia" w:ascii="宋体" w:hAnsi="宋体" w:cs="宋体"/>
                <w:strike/>
                <w:color w:val="auto"/>
                <w:highlight w:val="none"/>
              </w:rPr>
            </w:pPr>
          </w:p>
        </w:tc>
      </w:tr>
      <w:tr w14:paraId="2BC7DDE0">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B6CF4EB">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1F46D04">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7687B848">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2BA89D9">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F8F1CC3">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6A5B9EB">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B4CAE3E">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B11DC9A">
            <w:pPr>
              <w:rPr>
                <w:rFonts w:hint="eastAsia" w:ascii="宋体" w:hAnsi="宋体" w:cs="宋体"/>
                <w:strike/>
                <w:color w:val="auto"/>
                <w:highlight w:val="none"/>
              </w:rPr>
            </w:pPr>
          </w:p>
        </w:tc>
      </w:tr>
      <w:tr w14:paraId="5130D0B3">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9D997CE">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1205C25">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C930E89">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058558B">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688F359">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C6B24E0">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DA63693">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021C5C53">
            <w:pPr>
              <w:rPr>
                <w:rFonts w:hint="eastAsia" w:ascii="宋体" w:hAnsi="宋体" w:cs="宋体"/>
                <w:strike/>
                <w:color w:val="auto"/>
                <w:highlight w:val="none"/>
              </w:rPr>
            </w:pPr>
          </w:p>
        </w:tc>
      </w:tr>
      <w:tr w14:paraId="2B6742B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F4147F6">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E056DAB">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3062603">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81A3730">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0063AF0">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BC60AD3">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EA7D46B">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044BC73">
            <w:pPr>
              <w:rPr>
                <w:rFonts w:hint="eastAsia" w:ascii="宋体" w:hAnsi="宋体" w:cs="宋体"/>
                <w:strike/>
                <w:color w:val="auto"/>
                <w:highlight w:val="none"/>
              </w:rPr>
            </w:pPr>
          </w:p>
        </w:tc>
      </w:tr>
      <w:tr w14:paraId="49F6C90B">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8B0D09A">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BDE5517">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78BA481">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B150D7E">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621F74D">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D70951D">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278D4EF">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E64F01E">
            <w:pPr>
              <w:rPr>
                <w:rFonts w:hint="eastAsia" w:ascii="宋体" w:hAnsi="宋体" w:cs="宋体"/>
                <w:strike/>
                <w:color w:val="auto"/>
                <w:highlight w:val="none"/>
              </w:rPr>
            </w:pPr>
          </w:p>
        </w:tc>
      </w:tr>
      <w:tr w14:paraId="4EAD72D6">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1ABFE7E">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0B5E927">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8B3B173">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956426D">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1C60DBA0">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72A3D36">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21E330D1">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0BD7CF94">
            <w:pPr>
              <w:rPr>
                <w:rFonts w:hint="eastAsia" w:ascii="宋体" w:hAnsi="宋体" w:cs="宋体"/>
                <w:strike/>
                <w:color w:val="auto"/>
                <w:highlight w:val="none"/>
              </w:rPr>
            </w:pPr>
          </w:p>
        </w:tc>
      </w:tr>
      <w:tr w14:paraId="2EE8526E">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16CC925">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9379C50">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C356E4B">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61EEF7E">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F1F95D6">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8B92F89">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A8C9408">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B21EDE8">
            <w:pPr>
              <w:rPr>
                <w:rFonts w:hint="eastAsia" w:ascii="宋体" w:hAnsi="宋体" w:cs="宋体"/>
                <w:strike/>
                <w:color w:val="auto"/>
                <w:highlight w:val="none"/>
              </w:rPr>
            </w:pPr>
          </w:p>
        </w:tc>
      </w:tr>
      <w:tr w14:paraId="2EDF5632">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0B49A97F">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B13A92C">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B24F9F7">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5731641">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15DA875">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1F7F720">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2126AC5">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57C8627">
            <w:pPr>
              <w:rPr>
                <w:rFonts w:hint="eastAsia" w:ascii="宋体" w:hAnsi="宋体" w:cs="宋体"/>
                <w:strike/>
                <w:color w:val="auto"/>
                <w:highlight w:val="none"/>
              </w:rPr>
            </w:pPr>
          </w:p>
        </w:tc>
      </w:tr>
      <w:tr w14:paraId="1B3346B1">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82DAD92">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48961069">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D5B997E">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BA517F7">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50664F0">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13EACD1">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D84A56E">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F904EB1">
            <w:pPr>
              <w:rPr>
                <w:rFonts w:hint="eastAsia" w:ascii="宋体" w:hAnsi="宋体" w:cs="宋体"/>
                <w:strike/>
                <w:color w:val="auto"/>
                <w:highlight w:val="none"/>
              </w:rPr>
            </w:pPr>
          </w:p>
        </w:tc>
      </w:tr>
      <w:tr w14:paraId="045F00DC">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708DF4C5">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EA91234">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09BA091">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CB1C250">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F7F3B8E">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0701BE3A">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1950E5F">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3760063">
            <w:pPr>
              <w:rPr>
                <w:rFonts w:hint="eastAsia" w:ascii="宋体" w:hAnsi="宋体" w:cs="宋体"/>
                <w:strike/>
                <w:color w:val="auto"/>
                <w:highlight w:val="none"/>
              </w:rPr>
            </w:pPr>
          </w:p>
        </w:tc>
      </w:tr>
      <w:tr w14:paraId="3886B67C">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0076017">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55CF908">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7ECC6CE1">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1248F76">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A2894A2">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7ACD40F">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EDB599A">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4CE640C2">
            <w:pPr>
              <w:rPr>
                <w:rFonts w:hint="eastAsia" w:ascii="宋体" w:hAnsi="宋体" w:cs="宋体"/>
                <w:strike/>
                <w:color w:val="auto"/>
                <w:highlight w:val="none"/>
              </w:rPr>
            </w:pPr>
          </w:p>
        </w:tc>
      </w:tr>
      <w:tr w14:paraId="020609CC">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7F3CED0A">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4341D100">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36FCBE0">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2D59355">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57080A8F">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2C98ED5">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F52FE08">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A9CFE94">
            <w:pPr>
              <w:rPr>
                <w:rFonts w:hint="eastAsia" w:ascii="宋体" w:hAnsi="宋体" w:cs="宋体"/>
                <w:strike/>
                <w:color w:val="auto"/>
                <w:highlight w:val="none"/>
              </w:rPr>
            </w:pPr>
          </w:p>
        </w:tc>
      </w:tr>
      <w:tr w14:paraId="4E174708">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EB85042">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8A39FAA">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01FE512">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BD63506">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36D59A9">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34B5C8F">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DD31BCA">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B2DAAA7">
            <w:pPr>
              <w:rPr>
                <w:rFonts w:hint="eastAsia" w:ascii="宋体" w:hAnsi="宋体" w:cs="宋体"/>
                <w:strike/>
                <w:color w:val="auto"/>
                <w:highlight w:val="none"/>
              </w:rPr>
            </w:pPr>
          </w:p>
        </w:tc>
      </w:tr>
      <w:tr w14:paraId="3C7AA5AC">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1C79B3C">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430E18B9">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72C7438">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ECBD182">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102E08A">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F65D71A">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5EC2601">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471749D">
            <w:pPr>
              <w:rPr>
                <w:rFonts w:hint="eastAsia" w:ascii="宋体" w:hAnsi="宋体" w:cs="宋体"/>
                <w:strike/>
                <w:color w:val="auto"/>
                <w:highlight w:val="none"/>
              </w:rPr>
            </w:pPr>
          </w:p>
        </w:tc>
      </w:tr>
      <w:tr w14:paraId="6333CA58">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7F218850">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B3BDF37">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948A227">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F8C29F3">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0FC0350">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664BA20">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673ABE8">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296621E">
            <w:pPr>
              <w:rPr>
                <w:rFonts w:hint="eastAsia" w:ascii="宋体" w:hAnsi="宋体" w:cs="宋体"/>
                <w:strike/>
                <w:color w:val="auto"/>
                <w:highlight w:val="none"/>
              </w:rPr>
            </w:pPr>
          </w:p>
        </w:tc>
      </w:tr>
      <w:tr w14:paraId="550CA449">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2F7D085">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DD22398">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D18D2E0">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1D69C394">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E81B8CF">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3709C6E">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03DC9A84">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3AD3B80">
            <w:pPr>
              <w:rPr>
                <w:rFonts w:hint="eastAsia" w:ascii="宋体" w:hAnsi="宋体" w:cs="宋体"/>
                <w:strike/>
                <w:color w:val="auto"/>
                <w:highlight w:val="none"/>
              </w:rPr>
            </w:pPr>
          </w:p>
        </w:tc>
      </w:tr>
      <w:tr w14:paraId="60823816">
        <w:tblPrEx>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0D45F34">
            <w:pPr>
              <w:rPr>
                <w:rFonts w:hint="eastAsia" w:ascii="宋体" w:hAnsi="宋体" w:cs="宋体"/>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B872976">
            <w:pPr>
              <w:rPr>
                <w:rFonts w:hint="eastAsia" w:ascii="宋体" w:hAnsi="宋体" w:cs="宋体"/>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4C157B4">
            <w:pPr>
              <w:rPr>
                <w:rFonts w:hint="eastAsia" w:ascii="宋体" w:hAnsi="宋体" w:cs="宋体"/>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17BCB8A">
            <w:pPr>
              <w:rPr>
                <w:rFonts w:hint="eastAsia" w:ascii="宋体" w:hAnsi="宋体" w:cs="宋体"/>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4851623">
            <w:pPr>
              <w:rPr>
                <w:rFonts w:hint="eastAsia" w:ascii="宋体" w:hAnsi="宋体" w:cs="宋体"/>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5EDD3A9">
            <w:pPr>
              <w:rPr>
                <w:rFonts w:hint="eastAsia" w:ascii="宋体" w:hAnsi="宋体" w:cs="宋体"/>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8CDBEA8">
            <w:pPr>
              <w:rPr>
                <w:rFonts w:hint="eastAsia" w:ascii="宋体" w:hAnsi="宋体" w:cs="宋体"/>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BB85687">
            <w:pPr>
              <w:rPr>
                <w:rFonts w:hint="eastAsia" w:ascii="宋体" w:hAnsi="宋体" w:cs="宋体"/>
                <w:strike/>
                <w:color w:val="auto"/>
                <w:highlight w:val="none"/>
              </w:rPr>
            </w:pPr>
          </w:p>
        </w:tc>
      </w:tr>
    </w:tbl>
    <w:p w14:paraId="5FC2D987">
      <w:pPr>
        <w:rPr>
          <w:rFonts w:hint="eastAsia" w:ascii="宋体" w:hAnsi="宋体" w:eastAsia="宋体" w:cs="宋体"/>
          <w:strike/>
          <w:color w:val="auto"/>
          <w:highlight w:val="none"/>
        </w:rPr>
        <w:sectPr>
          <w:headerReference r:id="rId18" w:type="default"/>
          <w:footerReference r:id="rId19" w:type="default"/>
          <w:pgSz w:w="11905" w:h="16838"/>
          <w:pgMar w:top="1417" w:right="1417" w:bottom="1417" w:left="1417" w:header="992" w:footer="992" w:gutter="0"/>
          <w:pgNumType w:fmt="decimal"/>
          <w:cols w:space="720" w:num="1"/>
        </w:sectPr>
      </w:pPr>
    </w:p>
    <w:p w14:paraId="7AAADD7D">
      <w:pPr>
        <w:pStyle w:val="7"/>
        <w:rPr>
          <w:rFonts w:hint="eastAsia" w:eastAsia="宋体" w:cs="宋体"/>
          <w:b/>
          <w:color w:val="auto"/>
          <w:sz w:val="24"/>
          <w:highlight w:val="none"/>
          <w:lang w:eastAsia="zh-CN"/>
        </w:rPr>
      </w:pPr>
      <w:r>
        <w:rPr>
          <w:rFonts w:hint="eastAsia" w:cs="宋体"/>
          <w:b/>
          <w:color w:val="auto"/>
          <w:sz w:val="24"/>
          <w:highlight w:val="none"/>
        </w:rPr>
        <w:t>（六）投标人声明</w:t>
      </w:r>
      <w:r>
        <w:rPr>
          <w:rFonts w:hint="eastAsia" w:cs="宋体"/>
          <w:b/>
          <w:color w:val="auto"/>
          <w:sz w:val="24"/>
          <w:highlight w:val="none"/>
          <w:lang w:eastAsia="zh-CN"/>
        </w:rPr>
        <w:t>（</w:t>
      </w:r>
      <w:r>
        <w:rPr>
          <w:rFonts w:hint="eastAsia" w:cs="宋体"/>
          <w:b/>
          <w:color w:val="auto"/>
          <w:sz w:val="24"/>
          <w:highlight w:val="none"/>
        </w:rPr>
        <w:t>格式</w:t>
      </w:r>
      <w:r>
        <w:rPr>
          <w:rFonts w:hint="eastAsia" w:cs="宋体"/>
          <w:b/>
          <w:color w:val="auto"/>
          <w:sz w:val="24"/>
          <w:highlight w:val="none"/>
          <w:lang w:eastAsia="zh-CN"/>
        </w:rPr>
        <w:t>）</w:t>
      </w:r>
    </w:p>
    <w:p w14:paraId="1912D2D8">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投标人声明</w:t>
      </w:r>
    </w:p>
    <w:p w14:paraId="7F11E6E5">
      <w:pPr>
        <w:snapToGrid w:val="0"/>
        <w:spacing w:line="360" w:lineRule="auto"/>
        <w:rPr>
          <w:rFonts w:hint="eastAsia" w:ascii="宋体" w:hAnsi="宋体" w:cs="宋体"/>
          <w:color w:val="auto"/>
          <w:sz w:val="21"/>
          <w:szCs w:val="21"/>
          <w:highlight w:val="none"/>
        </w:rPr>
      </w:pPr>
    </w:p>
    <w:p w14:paraId="466DBA26">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本招标项目招标人及招标监管机构：</w:t>
      </w:r>
    </w:p>
    <w:p w14:paraId="52030481">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本公司就参加</w:t>
      </w:r>
      <w:r>
        <w:rPr>
          <w:rFonts w:hint="eastAsia" w:ascii="宋体" w:hAnsi="宋体" w:cs="宋体"/>
          <w:color w:val="auto"/>
          <w:sz w:val="21"/>
          <w:szCs w:val="21"/>
          <w:highlight w:val="none"/>
          <w:u w:val="single"/>
        </w:rPr>
        <w:t>    （项目名称）    </w:t>
      </w:r>
      <w:r>
        <w:rPr>
          <w:rFonts w:hint="eastAsia" w:ascii="宋体" w:hAnsi="宋体" w:cs="宋体"/>
          <w:color w:val="auto"/>
          <w:sz w:val="21"/>
          <w:szCs w:val="21"/>
          <w:highlight w:val="none"/>
        </w:rPr>
        <w:t>项目投标工作，作出郑重声明：</w:t>
      </w:r>
    </w:p>
    <w:p w14:paraId="45C39A1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4B11296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二、本公司保证不与其他单位围标、串标，不出让投标资格，不向招标人或评标委员会成员行贿。</w:t>
      </w:r>
    </w:p>
    <w:p w14:paraId="40F1FAE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三、本公司不存在招标文件第二章投标人须知第1.4.3项所规定的任何一种情形。</w:t>
      </w:r>
    </w:p>
    <w:p w14:paraId="72DBBBCB">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四、本公司及其有隶属关系的机构，没有参加本项目招标文件的编写工作；本公司与本次招标的招标代理机构没有隶属关系或其他利害关系。</w:t>
      </w:r>
    </w:p>
    <w:p w14:paraId="2403E9A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五、本公司承诺，中标后严格执行安全生产相关管理规定。</w:t>
      </w:r>
    </w:p>
    <w:p w14:paraId="0D7C4B03">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六、本公司积极响应广州市关于投身“百千万工程”的号召，主动参与政府投资类建设工程施工项目的建筑业结对帮扶等活动（市属国有企业投资项目参照执行）。</w:t>
      </w:r>
    </w:p>
    <w:p w14:paraId="64EF61C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本公司违反上述保证，或本声明陈述与事实不符，经查实，本公司愿意接受公开通报，承担由此带来的法律后果。</w:t>
      </w:r>
    </w:p>
    <w:p w14:paraId="0CC90723">
      <w:pPr>
        <w:widowControl/>
        <w:shd w:val="clear" w:color="auto" w:fill="FFFFFF"/>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特此声明。</w:t>
      </w:r>
    </w:p>
    <w:p w14:paraId="4A5E37D1">
      <w:pPr>
        <w:pStyle w:val="39"/>
        <w:ind w:right="1449" w:firstLine="420" w:firstLineChars="200"/>
        <w:rPr>
          <w:rFonts w:hint="eastAsia" w:ascii="宋体" w:eastAsia="宋体" w:cs="宋体"/>
          <w:color w:val="auto"/>
          <w:sz w:val="21"/>
          <w:szCs w:val="21"/>
          <w:highlight w:val="none"/>
        </w:rPr>
      </w:pPr>
    </w:p>
    <w:p w14:paraId="1E04CDFA">
      <w:pPr>
        <w:pStyle w:val="39"/>
        <w:spacing w:line="600" w:lineRule="exact"/>
        <w:ind w:left="629" w:right="1449" w:firstLine="420" w:firstLineChars="200"/>
        <w:rPr>
          <w:rFonts w:hint="eastAsia" w:ascii="宋体" w:eastAsia="宋体" w:cs="宋体"/>
          <w:color w:val="auto"/>
          <w:sz w:val="21"/>
          <w:szCs w:val="21"/>
          <w:highlight w:val="none"/>
        </w:rPr>
      </w:pPr>
      <w:r>
        <w:rPr>
          <w:rFonts w:hint="eastAsia" w:ascii="宋体" w:eastAsia="宋体" w:cs="宋体"/>
          <w:color w:val="auto"/>
          <w:sz w:val="21"/>
          <w:szCs w:val="21"/>
          <w:highlight w:val="none"/>
        </w:rPr>
        <w:t xml:space="preserve">                                           声明企业：</w:t>
      </w:r>
    </w:p>
    <w:p w14:paraId="7E888366">
      <w:pPr>
        <w:pStyle w:val="34"/>
        <w:spacing w:line="600" w:lineRule="exact"/>
        <w:ind w:right="1779" w:firstLine="473"/>
        <w:jc w:val="right"/>
        <w:rPr>
          <w:rFonts w:hint="eastAsia" w:ascii="宋体" w:eastAsia="宋体" w:cs="宋体"/>
          <w:color w:val="auto"/>
          <w:sz w:val="21"/>
          <w:szCs w:val="21"/>
          <w:highlight w:val="none"/>
        </w:rPr>
      </w:pPr>
      <w:r>
        <w:rPr>
          <w:rFonts w:hint="eastAsia" w:ascii="宋体" w:eastAsia="宋体" w:cs="宋体"/>
          <w:color w:val="auto"/>
          <w:sz w:val="21"/>
          <w:szCs w:val="21"/>
          <w:highlight w:val="none"/>
        </w:rPr>
        <w:t>法定代表人（签字）：</w:t>
      </w:r>
    </w:p>
    <w:p w14:paraId="1A19AE96">
      <w:pPr>
        <w:pStyle w:val="34"/>
        <w:spacing w:line="600" w:lineRule="exact"/>
        <w:ind w:right="1779" w:firstLine="473"/>
        <w:jc w:val="right"/>
        <w:rPr>
          <w:rFonts w:hint="eastAsia" w:ascii="宋体" w:eastAsia="宋体" w:cs="宋体"/>
          <w:color w:val="auto"/>
          <w:sz w:val="21"/>
          <w:szCs w:val="21"/>
          <w:highlight w:val="none"/>
        </w:rPr>
      </w:pPr>
      <w:r>
        <w:rPr>
          <w:rFonts w:hint="eastAsia" w:ascii="宋体" w:eastAsia="宋体" w:cs="宋体"/>
          <w:color w:val="auto"/>
          <w:sz w:val="21"/>
          <w:szCs w:val="21"/>
          <w:highlight w:val="none"/>
        </w:rPr>
        <w:t>总监理工程师（签字）：</w:t>
      </w:r>
    </w:p>
    <w:p w14:paraId="5846E805">
      <w:pPr>
        <w:pStyle w:val="34"/>
        <w:spacing w:line="600" w:lineRule="exact"/>
        <w:ind w:right="1779" w:firstLine="473"/>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 xml:space="preserve">                                         技术负责人（签字）：</w:t>
      </w:r>
    </w:p>
    <w:p w14:paraId="39E8940A">
      <w:pPr>
        <w:pStyle w:val="34"/>
        <w:spacing w:line="600" w:lineRule="exact"/>
        <w:ind w:right="879" w:firstLine="420" w:firstLineChars="200"/>
        <w:jc w:val="right"/>
        <w:rPr>
          <w:rFonts w:hint="eastAsia" w:ascii="宋体" w:eastAsia="宋体" w:cs="宋体"/>
          <w:color w:val="auto"/>
          <w:sz w:val="21"/>
          <w:szCs w:val="21"/>
          <w:highlight w:val="none"/>
        </w:rPr>
      </w:pPr>
      <w:r>
        <w:rPr>
          <w:rFonts w:hint="eastAsia" w:ascii="宋体" w:eastAsia="宋体" w:cs="宋体"/>
          <w:color w:val="auto"/>
          <w:sz w:val="21"/>
          <w:szCs w:val="21"/>
          <w:highlight w:val="none"/>
        </w:rPr>
        <w:t>（企业公章）</w:t>
      </w:r>
    </w:p>
    <w:p w14:paraId="73E21860">
      <w:pPr>
        <w:pStyle w:val="34"/>
        <w:ind w:right="879" w:firstLine="420" w:firstLineChars="200"/>
        <w:jc w:val="right"/>
        <w:rPr>
          <w:rFonts w:hint="eastAsia" w:ascii="宋体" w:eastAsia="宋体" w:cs="宋体"/>
          <w:color w:val="auto"/>
          <w:sz w:val="21"/>
          <w:szCs w:val="21"/>
          <w:highlight w:val="none"/>
        </w:rPr>
      </w:pPr>
      <w:r>
        <w:rPr>
          <w:rFonts w:hint="eastAsia" w:ascii="宋体" w:eastAsia="宋体" w:cs="宋体"/>
          <w:color w:val="auto"/>
          <w:sz w:val="21"/>
          <w:szCs w:val="21"/>
          <w:highlight w:val="none"/>
        </w:rPr>
        <w:t>年  月  日</w:t>
      </w:r>
    </w:p>
    <w:p w14:paraId="70CCB149">
      <w:pPr>
        <w:pStyle w:val="30"/>
        <w:ind w:firstLine="0" w:firstLineChars="0"/>
        <w:rPr>
          <w:rFonts w:hint="eastAsia" w:ascii="宋体" w:hAnsi="宋体" w:eastAsia="宋体" w:cs="宋体"/>
          <w:color w:val="auto"/>
          <w:szCs w:val="24"/>
          <w:highlight w:val="none"/>
        </w:rPr>
        <w:sectPr>
          <w:pgSz w:w="11905" w:h="16838"/>
          <w:pgMar w:top="1417" w:right="1417" w:bottom="1417" w:left="1417" w:header="992" w:footer="992" w:gutter="0"/>
          <w:pgNumType w:fmt="decimal"/>
          <w:cols w:space="720" w:num="1"/>
        </w:sectPr>
      </w:pPr>
    </w:p>
    <w:p w14:paraId="0A250266">
      <w:pPr>
        <w:pStyle w:val="7"/>
        <w:pageBreakBefore/>
        <w:rPr>
          <w:rFonts w:hint="eastAsia" w:cs="宋体"/>
          <w:b/>
          <w:color w:val="auto"/>
          <w:sz w:val="24"/>
          <w:highlight w:val="none"/>
        </w:rPr>
      </w:pPr>
      <w:r>
        <w:rPr>
          <w:rFonts w:hint="eastAsia" w:cs="宋体"/>
          <w:b/>
          <w:bCs/>
          <w:color w:val="auto"/>
          <w:sz w:val="24"/>
          <w:highlight w:val="none"/>
        </w:rPr>
        <w:t>（七）</w:t>
      </w:r>
      <w:r>
        <w:rPr>
          <w:rFonts w:hint="eastAsia" w:cs="宋体"/>
          <w:b/>
          <w:color w:val="auto"/>
          <w:sz w:val="24"/>
          <w:highlight w:val="none"/>
        </w:rPr>
        <w:t>投标人廉洁承诺书（格式）</w:t>
      </w:r>
    </w:p>
    <w:p w14:paraId="383B26C8">
      <w:pPr>
        <w:pStyle w:val="23"/>
        <w:spacing w:before="120" w:beforeLines="50" w:beforeAutospacing="0" w:after="120" w:afterLines="50" w:afterAutospacing="0" w:line="360" w:lineRule="auto"/>
        <w:jc w:val="center"/>
        <w:rPr>
          <w:rFonts w:hint="eastAsia" w:ascii="宋体" w:hAnsi="宋体" w:eastAsia="宋体" w:cs="宋体"/>
          <w:b/>
          <w:bCs/>
          <w:color w:val="auto"/>
          <w:sz w:val="32"/>
          <w:szCs w:val="32"/>
          <w:highlight w:val="none"/>
        </w:rPr>
      </w:pPr>
      <w:r>
        <w:rPr>
          <w:rFonts w:ascii="宋体" w:hAnsi="宋体" w:eastAsia="宋体" w:cs="宋体"/>
          <w:b/>
          <w:bCs/>
          <w:color w:val="auto"/>
          <w:sz w:val="32"/>
          <w:szCs w:val="32"/>
          <w:highlight w:val="none"/>
        </w:rPr>
        <w:t>投标人廉洁承诺书</w:t>
      </w:r>
    </w:p>
    <w:p w14:paraId="2C173657">
      <w:pPr>
        <w:pStyle w:val="23"/>
        <w:spacing w:before="0" w:beforeAutospacing="0" w:after="0" w:afterAutospacing="0" w:line="360" w:lineRule="auto"/>
        <w:rPr>
          <w:rFonts w:hint="eastAsia" w:ascii="宋体" w:hAnsi="宋体" w:eastAsia="宋体" w:cs="宋体"/>
          <w:color w:val="auto"/>
          <w:highlight w:val="none"/>
        </w:rPr>
      </w:pPr>
      <w:r>
        <w:rPr>
          <w:rFonts w:ascii="宋体" w:hAnsi="宋体" w:eastAsia="宋体" w:cs="宋体"/>
          <w:color w:val="auto"/>
          <w:highlight w:val="none"/>
        </w:rPr>
        <w:t>本招标项目招标人及招标监管机构：</w:t>
      </w:r>
    </w:p>
    <w:p w14:paraId="5618FC74">
      <w:pPr>
        <w:pStyle w:val="2"/>
        <w:spacing w:line="360" w:lineRule="auto"/>
        <w:ind w:right="420" w:firstLine="480" w:firstLineChars="200"/>
        <w:jc w:val="both"/>
        <w:rPr>
          <w:rFonts w:hint="eastAsia" w:hAnsi="宋体" w:cs="宋体"/>
          <w:color w:val="auto"/>
          <w:highlight w:val="none"/>
        </w:rPr>
      </w:pPr>
      <w:r>
        <w:rPr>
          <w:rFonts w:hint="eastAsia" w:hAnsi="宋体" w:cs="宋体"/>
          <w:color w:val="auto"/>
          <w:highlight w:val="none"/>
        </w:rPr>
        <w:t>本公司参加了</w:t>
      </w:r>
      <w:r>
        <w:rPr>
          <w:rFonts w:hint="eastAsia" w:hAnsi="宋体" w:cs="宋体"/>
          <w:color w:val="auto"/>
          <w:highlight w:val="none"/>
          <w:u w:val="single"/>
        </w:rPr>
        <w:t xml:space="preserve">   （项目名称）    </w:t>
      </w:r>
      <w:r>
        <w:rPr>
          <w:rFonts w:hint="eastAsia" w:hAnsi="宋体" w:cs="宋体"/>
          <w:color w:val="auto"/>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26D8AE08">
      <w:pPr>
        <w:pStyle w:val="2"/>
        <w:spacing w:line="360" w:lineRule="auto"/>
        <w:ind w:right="420" w:firstLine="480" w:firstLineChars="200"/>
        <w:rPr>
          <w:rFonts w:hint="eastAsia" w:hAnsi="宋体" w:cs="宋体"/>
          <w:color w:val="auto"/>
          <w:highlight w:val="none"/>
        </w:rPr>
      </w:pPr>
      <w:r>
        <w:rPr>
          <w:rFonts w:hint="eastAsia" w:hAnsi="宋体" w:cs="宋体"/>
          <w:color w:val="auto"/>
          <w:highlight w:val="none"/>
        </w:rPr>
        <w:t>一、自觉遵守国家有关法律法规及廉洁规定。</w:t>
      </w:r>
    </w:p>
    <w:p w14:paraId="197A11AD">
      <w:pPr>
        <w:pStyle w:val="2"/>
        <w:spacing w:line="360" w:lineRule="auto"/>
        <w:ind w:right="420" w:firstLine="480" w:firstLineChars="200"/>
        <w:jc w:val="both"/>
        <w:rPr>
          <w:rFonts w:hint="eastAsia" w:hAnsi="宋体" w:cs="宋体"/>
          <w:color w:val="auto"/>
          <w:highlight w:val="none"/>
        </w:rPr>
      </w:pPr>
      <w:r>
        <w:rPr>
          <w:rFonts w:hint="eastAsia" w:hAnsi="宋体" w:cs="宋体"/>
          <w:color w:val="auto"/>
          <w:highlight w:val="none"/>
        </w:rPr>
        <w:t>二、不与招标单位工作人员串通投标，损害国家利益、企业利益以及他人的合法利益；</w:t>
      </w:r>
    </w:p>
    <w:p w14:paraId="11113B60">
      <w:pPr>
        <w:pStyle w:val="2"/>
        <w:spacing w:line="360" w:lineRule="auto"/>
        <w:ind w:right="420" w:firstLine="480" w:firstLineChars="200"/>
        <w:jc w:val="both"/>
        <w:rPr>
          <w:rFonts w:hint="eastAsia" w:hAnsi="宋体" w:cs="宋体"/>
          <w:color w:val="auto"/>
          <w:highlight w:val="none"/>
        </w:rPr>
      </w:pPr>
      <w:r>
        <w:rPr>
          <w:rFonts w:hint="eastAsia" w:hAnsi="宋体" w:cs="宋体"/>
          <w:color w:val="auto"/>
          <w:highlight w:val="none"/>
        </w:rPr>
        <w:t>三、不与其他单位围标、串标，不出让投标资格，不向招标人或评标委员会成员行贿。</w:t>
      </w:r>
    </w:p>
    <w:p w14:paraId="124AB471">
      <w:pPr>
        <w:pStyle w:val="2"/>
        <w:spacing w:line="360" w:lineRule="auto"/>
        <w:ind w:right="420" w:firstLine="480" w:firstLineChars="200"/>
        <w:jc w:val="both"/>
        <w:rPr>
          <w:rFonts w:hint="eastAsia" w:hAnsi="宋体" w:cs="宋体"/>
          <w:color w:val="auto"/>
          <w:highlight w:val="none"/>
        </w:rPr>
      </w:pPr>
      <w:r>
        <w:rPr>
          <w:rFonts w:hint="eastAsia" w:hAnsi="宋体" w:cs="宋体"/>
          <w:color w:val="auto"/>
          <w:highlight w:val="none"/>
        </w:rPr>
        <w:t xml:space="preserve">四、不以任何名义向参与招标、评标工作的有关人员提供高消费宴请及娱乐活动和赠送回扣、红包、礼金、购物卡、有价证券、贵重物品和好处费、感谢费等； </w:t>
      </w:r>
    </w:p>
    <w:p w14:paraId="69D97C6C">
      <w:pPr>
        <w:pStyle w:val="2"/>
        <w:spacing w:line="360" w:lineRule="auto"/>
        <w:ind w:right="420" w:firstLine="480" w:firstLineChars="200"/>
        <w:jc w:val="both"/>
        <w:rPr>
          <w:rFonts w:hint="eastAsia" w:hAnsi="宋体" w:cs="宋体"/>
          <w:color w:val="auto"/>
          <w:highlight w:val="none"/>
        </w:rPr>
      </w:pPr>
      <w:r>
        <w:rPr>
          <w:rFonts w:hint="eastAsia" w:hAnsi="宋体" w:cs="宋体"/>
          <w:color w:val="auto"/>
          <w:highlight w:val="none"/>
        </w:rPr>
        <w:t>五、不以任何名义为参与招标、评标工作的有关人员装修住房、婚丧嫁取、配偶子女的工作安排以及境内外旅游等提供方便；</w:t>
      </w:r>
    </w:p>
    <w:p w14:paraId="1E744A80">
      <w:pPr>
        <w:pStyle w:val="2"/>
        <w:spacing w:line="360" w:lineRule="auto"/>
        <w:ind w:right="420" w:firstLine="480" w:firstLineChars="200"/>
        <w:rPr>
          <w:rFonts w:hint="eastAsia" w:hAnsi="宋体" w:cs="宋体"/>
          <w:color w:val="auto"/>
          <w:highlight w:val="none"/>
        </w:rPr>
      </w:pPr>
      <w:r>
        <w:rPr>
          <w:rFonts w:hint="eastAsia" w:hAnsi="宋体" w:cs="宋体"/>
          <w:color w:val="auto"/>
          <w:highlight w:val="none"/>
        </w:rPr>
        <w:t>六、不以谋取非正当利益为目的，擅自与参与招标、评标工作的有关人员就业务问题进行私下商谈或者达成利益默契。</w:t>
      </w:r>
    </w:p>
    <w:p w14:paraId="59BAA06D">
      <w:pPr>
        <w:pStyle w:val="2"/>
        <w:autoSpaceDE/>
        <w:autoSpaceDN/>
        <w:spacing w:line="360" w:lineRule="auto"/>
        <w:ind w:right="420" w:firstLine="480" w:firstLineChars="200"/>
        <w:rPr>
          <w:rFonts w:hint="eastAsia" w:hAnsi="宋体" w:cs="宋体"/>
          <w:color w:val="auto"/>
          <w:highlight w:val="none"/>
        </w:rPr>
      </w:pPr>
      <w:r>
        <w:rPr>
          <w:rFonts w:hint="eastAsia" w:hAnsi="宋体" w:cs="宋体"/>
          <w:color w:val="auto"/>
          <w:highlight w:val="none"/>
        </w:rPr>
        <w:t>本公司违反上述承诺，或本承诺陈述与事实不符，经查实，本公司愿意接受公开通报，承担由此带来的法律后果。</w:t>
      </w:r>
    </w:p>
    <w:p w14:paraId="0272F53E">
      <w:pPr>
        <w:pStyle w:val="2"/>
        <w:autoSpaceDE/>
        <w:autoSpaceDN/>
        <w:spacing w:line="360" w:lineRule="auto"/>
        <w:ind w:right="420" w:firstLine="480" w:firstLineChars="200"/>
        <w:rPr>
          <w:rFonts w:hint="eastAsia" w:hAnsi="宋体" w:cs="宋体"/>
          <w:color w:val="auto"/>
          <w:highlight w:val="none"/>
        </w:rPr>
      </w:pPr>
      <w:r>
        <w:rPr>
          <w:rFonts w:hint="eastAsia" w:hAnsi="宋体" w:cs="宋体"/>
          <w:color w:val="auto"/>
          <w:highlight w:val="none"/>
        </w:rPr>
        <w:t>特此承诺。</w:t>
      </w:r>
    </w:p>
    <w:p w14:paraId="5C38EB66">
      <w:pPr>
        <w:pStyle w:val="23"/>
        <w:spacing w:before="0" w:beforeAutospacing="0" w:after="0" w:afterAutospacing="0" w:line="360" w:lineRule="auto"/>
        <w:ind w:right="1455" w:firstLine="2880"/>
        <w:jc w:val="right"/>
        <w:rPr>
          <w:rFonts w:hint="eastAsia" w:ascii="宋体" w:hAnsi="宋体" w:eastAsia="宋体" w:cs="宋体"/>
          <w:color w:val="auto"/>
          <w:highlight w:val="none"/>
        </w:rPr>
      </w:pPr>
      <w:r>
        <w:rPr>
          <w:rFonts w:ascii="宋体" w:hAnsi="宋体" w:eastAsia="宋体" w:cs="宋体"/>
          <w:color w:val="auto"/>
          <w:highlight w:val="none"/>
        </w:rPr>
        <w:t>承诺企业（盖单位章）：      </w:t>
      </w:r>
    </w:p>
    <w:p w14:paraId="0B9CD21A">
      <w:pPr>
        <w:pStyle w:val="23"/>
        <w:spacing w:before="0" w:beforeAutospacing="0" w:after="0" w:afterAutospacing="0" w:line="360" w:lineRule="auto"/>
        <w:ind w:firstLine="480"/>
        <w:jc w:val="right"/>
        <w:rPr>
          <w:rFonts w:hint="eastAsia" w:ascii="宋体" w:hAnsi="宋体" w:eastAsia="宋体" w:cs="宋体"/>
          <w:color w:val="auto"/>
          <w:highlight w:val="none"/>
        </w:rPr>
      </w:pPr>
      <w:r>
        <w:rPr>
          <w:rFonts w:ascii="宋体" w:hAnsi="宋体" w:eastAsia="宋体" w:cs="宋体"/>
          <w:color w:val="auto"/>
          <w:highlight w:val="none"/>
        </w:rPr>
        <w:t xml:space="preserve">法定代表人签字：           </w:t>
      </w:r>
    </w:p>
    <w:p w14:paraId="48403D75">
      <w:pPr>
        <w:pStyle w:val="23"/>
        <w:spacing w:before="0" w:after="0"/>
        <w:ind w:firstLine="480"/>
        <w:jc w:val="right"/>
        <w:rPr>
          <w:rFonts w:hint="eastAsia" w:ascii="宋体" w:hAnsi="宋体" w:eastAsia="宋体" w:cs="宋体"/>
          <w:color w:val="auto"/>
          <w:sz w:val="28"/>
          <w:highlight w:val="none"/>
        </w:rPr>
        <w:sectPr>
          <w:pgSz w:w="11905" w:h="16838"/>
          <w:pgMar w:top="1417" w:right="1417" w:bottom="1417" w:left="1417" w:header="992" w:footer="992" w:gutter="0"/>
          <w:pgNumType w:fmt="decimal"/>
          <w:cols w:space="720" w:num="1"/>
        </w:sectPr>
      </w:pPr>
      <w:r>
        <w:rPr>
          <w:rFonts w:ascii="宋体" w:hAnsi="宋体" w:eastAsia="宋体" w:cs="宋体"/>
          <w:color w:val="auto"/>
          <w:highlight w:val="none"/>
        </w:rPr>
        <w:t>年   月   日</w:t>
      </w:r>
    </w:p>
    <w:p w14:paraId="1421479A">
      <w:pPr>
        <w:pStyle w:val="6"/>
        <w:spacing w:before="120" w:after="120"/>
        <w:jc w:val="center"/>
        <w:rPr>
          <w:rFonts w:hint="eastAsia" w:cs="宋体"/>
          <w:color w:val="auto"/>
          <w:sz w:val="28"/>
          <w:highlight w:val="none"/>
        </w:rPr>
      </w:pPr>
      <w:r>
        <w:rPr>
          <w:rFonts w:hint="eastAsia" w:cs="宋体"/>
          <w:color w:val="auto"/>
          <w:sz w:val="28"/>
          <w:highlight w:val="none"/>
        </w:rPr>
        <w:t>七、监理大纲</w:t>
      </w:r>
    </w:p>
    <w:p w14:paraId="76AF50F7">
      <w:pPr>
        <w:pStyle w:val="13"/>
        <w:kinsoku w:val="0"/>
        <w:overflowPunct w:val="0"/>
        <w:spacing w:before="240" w:beforeLines="100" w:line="360" w:lineRule="auto"/>
        <w:ind w:left="0" w:firstLine="480" w:firstLineChars="200"/>
        <w:rPr>
          <w:rFonts w:hint="eastAsia" w:cs="宋体"/>
          <w:color w:val="auto"/>
          <w:sz w:val="24"/>
          <w:highlight w:val="none"/>
        </w:rPr>
      </w:pPr>
      <w:r>
        <w:rPr>
          <w:rFonts w:hint="eastAsia" w:cs="宋体"/>
          <w:color w:val="auto"/>
          <w:sz w:val="24"/>
          <w:highlight w:val="none"/>
        </w:rPr>
        <w:t>监理大纲应包括（但不限于）下列内容：</w:t>
      </w:r>
    </w:p>
    <w:p w14:paraId="2911F84D">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rPr>
        <w:t>一、监理工程概况；</w:t>
      </w:r>
    </w:p>
    <w:p w14:paraId="259FF316">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rPr>
        <w:t xml:space="preserve">二、监理范围、监理内容； </w:t>
      </w:r>
    </w:p>
    <w:p w14:paraId="3D5EE715">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rPr>
        <w:t>三、监理依据、监理工作目标；</w:t>
      </w:r>
    </w:p>
    <w:p w14:paraId="67C02B5F">
      <w:pPr>
        <w:pStyle w:val="13"/>
        <w:kinsoku w:val="0"/>
        <w:overflowPunct w:val="0"/>
        <w:spacing w:line="360" w:lineRule="auto"/>
        <w:ind w:left="480"/>
        <w:rPr>
          <w:rFonts w:hint="eastAsia" w:cs="宋体"/>
          <w:color w:val="auto"/>
          <w:sz w:val="24"/>
          <w:highlight w:val="none"/>
        </w:rPr>
      </w:pPr>
      <w:r>
        <w:rPr>
          <w:rFonts w:hint="eastAsia" w:cs="宋体"/>
          <w:color w:val="auto"/>
          <w:spacing w:val="-8"/>
          <w:sz w:val="24"/>
          <w:highlight w:val="none"/>
        </w:rPr>
        <w:t>四、监理机构设置（框图）、岗位职责；</w:t>
      </w:r>
      <w:r>
        <w:rPr>
          <w:rFonts w:hint="eastAsia" w:cs="宋体"/>
          <w:color w:val="auto"/>
          <w:spacing w:val="-69"/>
          <w:sz w:val="24"/>
          <w:highlight w:val="none"/>
        </w:rPr>
        <w:t xml:space="preserve"> </w:t>
      </w:r>
    </w:p>
    <w:p w14:paraId="79C76714">
      <w:pPr>
        <w:pStyle w:val="13"/>
        <w:kinsoku w:val="0"/>
        <w:overflowPunct w:val="0"/>
        <w:spacing w:line="360" w:lineRule="auto"/>
        <w:ind w:left="0" w:firstLine="480" w:firstLineChars="200"/>
        <w:rPr>
          <w:rFonts w:hint="eastAsia" w:cs="宋体"/>
          <w:color w:val="auto"/>
          <w:sz w:val="24"/>
          <w:highlight w:val="none"/>
        </w:rPr>
      </w:pPr>
      <w:r>
        <w:rPr>
          <w:rFonts w:hint="eastAsia" w:cs="宋体"/>
          <w:color w:val="auto"/>
          <w:sz w:val="24"/>
          <w:highlight w:val="none"/>
        </w:rPr>
        <w:t xml:space="preserve">五、监理工作程序、方法和制度； </w:t>
      </w:r>
    </w:p>
    <w:p w14:paraId="3C7AF2DA">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rPr>
        <w:t xml:space="preserve">六、拟投入的监理人员、试验检测仪器设备； </w:t>
      </w:r>
    </w:p>
    <w:p w14:paraId="61EC027C">
      <w:pPr>
        <w:pStyle w:val="13"/>
        <w:kinsoku w:val="0"/>
        <w:overflowPunct w:val="0"/>
        <w:spacing w:line="360" w:lineRule="auto"/>
        <w:ind w:left="480"/>
        <w:rPr>
          <w:rFonts w:hint="eastAsia" w:cs="宋体"/>
          <w:color w:val="auto"/>
          <w:sz w:val="24"/>
          <w:highlight w:val="none"/>
        </w:rPr>
      </w:pPr>
      <w:r>
        <w:rPr>
          <w:rFonts w:hint="eastAsia" w:cs="宋体"/>
          <w:color w:val="auto"/>
          <w:spacing w:val="-2"/>
          <w:sz w:val="24"/>
          <w:highlight w:val="none"/>
        </w:rPr>
        <w:t>七、质量、进度、投资（造价）、安全、文明施工管理</w:t>
      </w:r>
      <w:r>
        <w:rPr>
          <w:rFonts w:hint="eastAsia" w:cs="宋体"/>
          <w:color w:val="auto"/>
          <w:spacing w:val="-2"/>
          <w:sz w:val="24"/>
          <w:highlight w:val="none"/>
          <w:lang w:val="en-US" w:eastAsia="zh-CN"/>
        </w:rPr>
        <w:t>措施</w:t>
      </w:r>
      <w:r>
        <w:rPr>
          <w:rFonts w:hint="eastAsia" w:cs="宋体"/>
          <w:color w:val="auto"/>
          <w:spacing w:val="-2"/>
          <w:sz w:val="24"/>
          <w:highlight w:val="none"/>
        </w:rPr>
        <w:t>；</w:t>
      </w:r>
      <w:r>
        <w:rPr>
          <w:rFonts w:hint="eastAsia" w:cs="宋体"/>
          <w:color w:val="auto"/>
          <w:spacing w:val="-66"/>
          <w:sz w:val="24"/>
          <w:highlight w:val="none"/>
        </w:rPr>
        <w:t xml:space="preserve"> </w:t>
      </w:r>
    </w:p>
    <w:p w14:paraId="699D6C24">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rPr>
        <w:t>八、合同管理、信息管理方案；</w:t>
      </w:r>
    </w:p>
    <w:p w14:paraId="498BF060">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rPr>
        <w:t xml:space="preserve">九、组织协调内容及措施； </w:t>
      </w:r>
    </w:p>
    <w:p w14:paraId="7C6AF51A">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rPr>
        <w:t>十、监理工作重点、难点监控措施；</w:t>
      </w:r>
    </w:p>
    <w:p w14:paraId="768AB72E">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lang w:val="en-US" w:eastAsia="zh-CN"/>
        </w:rPr>
        <w:t>十一、会议制度；</w:t>
      </w:r>
      <w:r>
        <w:rPr>
          <w:rFonts w:hint="eastAsia" w:cs="宋体"/>
          <w:color w:val="auto"/>
          <w:sz w:val="24"/>
          <w:highlight w:val="none"/>
        </w:rPr>
        <w:t xml:space="preserve"> </w:t>
      </w:r>
    </w:p>
    <w:p w14:paraId="1EC5F541">
      <w:pPr>
        <w:pStyle w:val="13"/>
        <w:kinsoku w:val="0"/>
        <w:overflowPunct w:val="0"/>
        <w:spacing w:line="360" w:lineRule="auto"/>
        <w:ind w:left="480"/>
        <w:rPr>
          <w:rFonts w:hint="eastAsia" w:cs="宋体"/>
          <w:color w:val="auto"/>
          <w:sz w:val="24"/>
          <w:highlight w:val="none"/>
        </w:rPr>
      </w:pPr>
      <w:r>
        <w:rPr>
          <w:rFonts w:hint="eastAsia" w:cs="宋体"/>
          <w:color w:val="auto"/>
          <w:sz w:val="24"/>
          <w:highlight w:val="none"/>
        </w:rPr>
        <w:t>十</w:t>
      </w:r>
      <w:r>
        <w:rPr>
          <w:rFonts w:hint="eastAsia" w:cs="宋体"/>
          <w:color w:val="auto"/>
          <w:sz w:val="24"/>
          <w:highlight w:val="none"/>
          <w:lang w:val="en-US" w:eastAsia="zh-CN"/>
        </w:rPr>
        <w:t>二</w:t>
      </w:r>
      <w:r>
        <w:rPr>
          <w:rFonts w:hint="eastAsia" w:cs="宋体"/>
          <w:color w:val="auto"/>
          <w:sz w:val="24"/>
          <w:highlight w:val="none"/>
        </w:rPr>
        <w:t>、对本工程监理的合理化建议。</w:t>
      </w:r>
    </w:p>
    <w:p w14:paraId="638DF161">
      <w:pPr>
        <w:pStyle w:val="13"/>
        <w:kinsoku w:val="0"/>
        <w:overflowPunct w:val="0"/>
        <w:spacing w:before="275" w:line="357" w:lineRule="auto"/>
        <w:ind w:left="555" w:right="3835"/>
        <w:rPr>
          <w:rFonts w:hint="eastAsia" w:ascii="宋体" w:hAnsi="宋体" w:eastAsia="宋体" w:cs="宋体"/>
          <w:color w:val="auto"/>
          <w:sz w:val="24"/>
          <w:highlight w:val="none"/>
        </w:rPr>
        <w:sectPr>
          <w:pgSz w:w="11905" w:h="16838"/>
          <w:pgMar w:top="1417" w:right="1417" w:bottom="1417" w:left="1417" w:header="992" w:footer="992" w:gutter="0"/>
          <w:pgNumType w:fmt="decimal"/>
          <w:cols w:space="720" w:num="1"/>
        </w:sectPr>
      </w:pPr>
    </w:p>
    <w:p w14:paraId="708A6BDC">
      <w:pPr>
        <w:pStyle w:val="6"/>
        <w:spacing w:before="120" w:after="120"/>
        <w:jc w:val="center"/>
        <w:rPr>
          <w:rFonts w:hint="eastAsia" w:ascii="宋体" w:hAnsi="宋体" w:eastAsia="宋体" w:cs="宋体"/>
          <w:color w:val="auto"/>
          <w:sz w:val="28"/>
          <w:highlight w:val="none"/>
        </w:rPr>
        <w:sectPr>
          <w:headerReference r:id="rId20" w:type="default"/>
          <w:footerReference r:id="rId21" w:type="default"/>
          <w:pgSz w:w="11905" w:h="16838"/>
          <w:pgMar w:top="1417" w:right="1417" w:bottom="1417" w:left="1417" w:header="992" w:footer="992" w:gutter="0"/>
          <w:pgNumType w:fmt="decimal"/>
          <w:cols w:space="720" w:num="1"/>
        </w:sectPr>
      </w:pPr>
      <w:r>
        <w:rPr>
          <w:rFonts w:hint="eastAsia" w:cs="宋体"/>
          <w:color w:val="auto"/>
          <w:sz w:val="28"/>
          <w:highlight w:val="none"/>
        </w:rPr>
        <w:t>八、其他资料</w:t>
      </w:r>
    </w:p>
    <w:bookmarkEnd w:id="157"/>
    <w:p w14:paraId="68781DDE">
      <w:pPr>
        <w:pStyle w:val="5"/>
        <w:outlineLvl w:val="0"/>
        <w:rPr>
          <w:rFonts w:hint="eastAsia" w:ascii="宋体" w:hAnsi="宋体" w:eastAsia="宋体" w:cs="宋体"/>
          <w:color w:val="auto"/>
          <w:sz w:val="44"/>
          <w:szCs w:val="44"/>
          <w:highlight w:val="none"/>
        </w:rPr>
      </w:pPr>
      <w:bookmarkStart w:id="162" w:name="_Toc17258"/>
      <w:r>
        <w:rPr>
          <w:rFonts w:hint="eastAsia" w:ascii="宋体" w:hAnsi="宋体" w:eastAsia="宋体" w:cs="宋体"/>
          <w:color w:val="auto"/>
          <w:sz w:val="44"/>
          <w:szCs w:val="44"/>
          <w:highlight w:val="none"/>
          <w:lang w:val="en-US" w:eastAsia="zh-CN"/>
        </w:rPr>
        <w:t xml:space="preserve">第七章 </w:t>
      </w:r>
      <w:r>
        <w:rPr>
          <w:rFonts w:hint="eastAsia" w:ascii="宋体" w:hAnsi="宋体" w:eastAsia="宋体" w:cs="宋体"/>
          <w:color w:val="auto"/>
          <w:sz w:val="44"/>
          <w:szCs w:val="44"/>
          <w:highlight w:val="none"/>
        </w:rPr>
        <w:t>投标人须知前附表规定的其他资料。</w:t>
      </w:r>
      <w:bookmarkEnd w:id="162"/>
    </w:p>
    <w:p w14:paraId="77DBEBFF">
      <w:pPr>
        <w:rPr>
          <w:rFonts w:hint="eastAsia" w:ascii="宋体" w:hAnsi="宋体" w:eastAsia="宋体" w:cs="宋体"/>
          <w:color w:val="auto"/>
          <w:sz w:val="24"/>
          <w:szCs w:val="24"/>
          <w:highlight w:val="none"/>
        </w:rPr>
      </w:pPr>
    </w:p>
    <w:p w14:paraId="2DC67C1C">
      <w:pPr>
        <w:pStyle w:val="6"/>
        <w:jc w:val="center"/>
        <w:outlineLvl w:val="0"/>
        <w:rPr>
          <w:rFonts w:hint="eastAsia" w:ascii="宋体" w:hAnsi="宋体" w:eastAsia="宋体" w:cs="宋体"/>
          <w:color w:val="auto"/>
          <w:sz w:val="30"/>
          <w:szCs w:val="24"/>
          <w:highlight w:val="none"/>
          <w:lang w:val="en-US" w:eastAsia="zh-CN"/>
        </w:rPr>
      </w:pPr>
      <w:bookmarkStart w:id="163" w:name="_Toc21589"/>
      <w:r>
        <w:rPr>
          <w:rFonts w:hint="eastAsia" w:ascii="宋体" w:hAnsi="宋体" w:eastAsia="宋体" w:cs="宋体"/>
          <w:color w:val="auto"/>
          <w:sz w:val="30"/>
          <w:szCs w:val="24"/>
          <w:highlight w:val="none"/>
          <w:lang w:val="en-US" w:eastAsia="zh-CN"/>
        </w:rPr>
        <w:t>否决性条款汇总</w:t>
      </w:r>
      <w:bookmarkEnd w:id="163"/>
    </w:p>
    <w:p w14:paraId="3F33DD3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1C9C39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315028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5F423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w:t>
      </w:r>
      <w:r>
        <w:rPr>
          <w:rFonts w:hint="eastAsia" w:ascii="宋体" w:hAnsi="宋体" w:cs="宋体"/>
          <w:color w:val="auto"/>
          <w:kern w:val="0"/>
          <w:sz w:val="24"/>
          <w:szCs w:val="24"/>
          <w:highlight w:val="none"/>
          <w:lang w:val="en-US" w:eastAsia="zh-CN"/>
        </w:rPr>
        <w:t>招标人将拒绝受理该投标文件：</w:t>
      </w:r>
    </w:p>
    <w:p w14:paraId="64B806A7">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sz w:val="24"/>
          <w:szCs w:val="24"/>
          <w:highlight w:val="none"/>
        </w:rPr>
        <w:t>电子投标文件未在投标截止时间前成功上传并保存在</w:t>
      </w:r>
      <w:r>
        <w:rPr>
          <w:rFonts w:hint="eastAsia" w:ascii="宋体" w:hAnsi="宋体" w:cs="宋体"/>
          <w:color w:val="auto"/>
          <w:sz w:val="24"/>
          <w:szCs w:val="24"/>
          <w:highlight w:val="none"/>
          <w:lang w:val="en-US" w:eastAsia="zh-CN"/>
        </w:rPr>
        <w:t>规定的电子交易平台</w:t>
      </w:r>
      <w:r>
        <w:rPr>
          <w:rFonts w:hint="eastAsia" w:ascii="宋体" w:hAnsi="宋体" w:cs="宋体"/>
          <w:color w:val="auto"/>
          <w:sz w:val="24"/>
          <w:szCs w:val="24"/>
          <w:highlight w:val="none"/>
        </w:rPr>
        <w:t>电子评标系统且取得回执的</w:t>
      </w:r>
      <w:r>
        <w:rPr>
          <w:rFonts w:hint="eastAsia" w:ascii="宋体" w:hAnsi="宋体" w:eastAsia="宋体" w:cs="宋体"/>
          <w:color w:val="auto"/>
          <w:kern w:val="0"/>
          <w:sz w:val="24"/>
          <w:szCs w:val="24"/>
          <w:highlight w:val="none"/>
        </w:rPr>
        <w:t>；</w:t>
      </w:r>
    </w:p>
    <w:p w14:paraId="6FB7E150">
      <w:pPr>
        <w:widowControl/>
        <w:spacing w:after="135"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sz w:val="24"/>
          <w:szCs w:val="24"/>
          <w:highlight w:val="none"/>
        </w:rPr>
        <w:t>因投标人原因造成电子投标文件未解密的</w:t>
      </w:r>
      <w:r>
        <w:rPr>
          <w:rFonts w:hint="eastAsia" w:ascii="宋体" w:hAnsi="宋体" w:cs="宋体"/>
          <w:color w:val="auto"/>
          <w:sz w:val="24"/>
          <w:szCs w:val="24"/>
          <w:highlight w:val="none"/>
          <w:lang w:eastAsia="zh-CN"/>
        </w:rPr>
        <w:t>。</w:t>
      </w:r>
    </w:p>
    <w:p w14:paraId="7D3B11A8">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rPr>
        <w:t>二、</w:t>
      </w:r>
      <w:r>
        <w:rPr>
          <w:rFonts w:hint="eastAsia" w:ascii="宋体" w:hAnsi="宋体" w:cs="宋体"/>
          <w:color w:val="auto"/>
          <w:sz w:val="24"/>
          <w:szCs w:val="24"/>
          <w:highlight w:val="none"/>
        </w:rPr>
        <w:t>出现下列情形之一的，</w:t>
      </w:r>
      <w:r>
        <w:rPr>
          <w:rFonts w:hint="eastAsia" w:ascii="宋体" w:hAnsi="宋体" w:cs="宋体"/>
          <w:color w:val="auto"/>
          <w:sz w:val="24"/>
          <w:szCs w:val="24"/>
          <w:highlight w:val="none"/>
          <w:lang w:val="en-US" w:eastAsia="zh-CN"/>
        </w:rPr>
        <w:t>将作为无效投标或不合格标处理：</w:t>
      </w:r>
    </w:p>
    <w:p w14:paraId="18987870">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1.投标文件格式不符合第</w:t>
      </w:r>
      <w:r>
        <w:rPr>
          <w:rFonts w:hint="eastAsia" w:ascii="宋体" w:hAnsi="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lang w:val="en-US" w:eastAsia="zh-CN"/>
        </w:rPr>
        <w:t>章“投标文件格式”的规定；</w:t>
      </w:r>
    </w:p>
    <w:p w14:paraId="23178672">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2.未提供法定代表人（单位负责人）证明；或有法定代表人（单位负责人）委托代理人时，未提供授权委托书；</w:t>
      </w:r>
    </w:p>
    <w:p w14:paraId="59C46307">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3.投标文件的签字盖章不满足下列条件：</w:t>
      </w:r>
    </w:p>
    <w:p w14:paraId="78561556">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（1）投标人应使用依法设立的电子认证服务机构签发的电子签章认证证书对电子投标文件进行电子签章。该电子签章与手写签名或者盖章具有同等的法律效力；</w:t>
      </w:r>
    </w:p>
    <w:p w14:paraId="4C2B560B">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文件格式规定盖章的页面必须盖章（可以使用电子签章），规定法定代表人或授权委托人签字的页面必须签字或签章（可以使用电子签名）。由法定代表人签字的，应附法定代表人（单位负责人）身份证明，由代理人签字的，应附法定代表人（单位负责人）身份证明和授权委托书；</w:t>
      </w:r>
    </w:p>
    <w:p w14:paraId="22AAA422">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4.同一投标人提交两个或以上不同的投标文件或者投标报价，但招标文件要求提交备选投标的除外；</w:t>
      </w:r>
    </w:p>
    <w:p w14:paraId="46CBBF3F">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5.未按招标文件要求提供投标</w:t>
      </w:r>
      <w:r>
        <w:rPr>
          <w:rFonts w:hint="eastAsia" w:ascii="宋体" w:hAnsi="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lang w:val="en-US" w:eastAsia="zh-CN"/>
        </w:rPr>
        <w:t>的；</w:t>
      </w:r>
    </w:p>
    <w:p w14:paraId="3B23FBFD">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6.投标人有串通投标、弄虚作假</w:t>
      </w:r>
      <w:r>
        <w:rPr>
          <w:rFonts w:hint="eastAsia" w:ascii="宋体" w:hAnsi="宋体" w:cs="宋体"/>
          <w:color w:val="auto"/>
          <w:kern w:val="0"/>
          <w:sz w:val="24"/>
          <w:szCs w:val="24"/>
          <w:highlight w:val="none"/>
          <w:lang w:val="en-US" w:eastAsia="zh-CN"/>
        </w:rPr>
        <w:t>（包括但不限于提供虚假业绩证明材料等）</w:t>
      </w:r>
      <w:r>
        <w:rPr>
          <w:rFonts w:hint="eastAsia" w:ascii="宋体" w:hAnsi="宋体" w:eastAsia="宋体" w:cs="宋体"/>
          <w:color w:val="auto"/>
          <w:kern w:val="0"/>
          <w:sz w:val="24"/>
          <w:szCs w:val="24"/>
          <w:highlight w:val="none"/>
          <w:lang w:val="en-US" w:eastAsia="zh-CN"/>
        </w:rPr>
        <w:t>、行贿等违法行为的；</w:t>
      </w:r>
    </w:p>
    <w:p w14:paraId="59B9B621">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7.两个（含两个）以上的投标人加密打包的电子投标文件电脑机器码一致的</w:t>
      </w:r>
      <w:r>
        <w:rPr>
          <w:rFonts w:hint="eastAsia" w:ascii="宋体" w:hAnsi="宋体" w:cs="宋体"/>
          <w:color w:val="auto"/>
          <w:kern w:val="0"/>
          <w:sz w:val="24"/>
          <w:szCs w:val="24"/>
          <w:highlight w:val="none"/>
          <w:lang w:val="en-US" w:eastAsia="zh-CN"/>
        </w:rPr>
        <w:t>；</w:t>
      </w:r>
    </w:p>
    <w:p w14:paraId="4FB8C44C">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.投标文件不符合招标文件评标办法中形式评审标准、资格评审标准、响应性评审标准的要求</w:t>
      </w:r>
      <w:r>
        <w:rPr>
          <w:rFonts w:hint="eastAsia" w:ascii="宋体" w:hAnsi="宋体" w:cs="宋体"/>
          <w:color w:val="auto"/>
          <w:kern w:val="0"/>
          <w:sz w:val="24"/>
          <w:szCs w:val="24"/>
          <w:highlight w:val="none"/>
          <w:lang w:val="en-US" w:eastAsia="zh-CN"/>
        </w:rPr>
        <w:t>；</w:t>
      </w:r>
    </w:p>
    <w:p w14:paraId="450C88B6">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 第二章“投标人须知”第1.4.3项规定的任何一种情形的；</w:t>
      </w:r>
    </w:p>
    <w:p w14:paraId="2B082802">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 评标委员会发现投标人的报价明显低于其他投标报价，使得其投标报价可能低于其个别成本的，要求该投标人作出书面说明并提供相应的证明材料</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投标人不能合理说明或者不能提供相应证明材料的；</w:t>
      </w:r>
    </w:p>
    <w:p w14:paraId="7021FA8E">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val="en-US" w:eastAsia="zh-CN"/>
        </w:rPr>
        <w:t>. 投标报价未按招标文件要求报价，或投标报价超过招标控制价；</w:t>
      </w:r>
    </w:p>
    <w:p w14:paraId="307D5F02">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.招标人根据规定要求投标人提交有关证明和证件的原件时，投标人未在规定时间内提交或提交的有关证明和证件的原件与投标文件不一致；</w:t>
      </w:r>
    </w:p>
    <w:p w14:paraId="5F945F57">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 xml:space="preserve">.评标委员会根据规定要求对投标报价进行修正，并要求投标人书面澄清确认时，投标人拒不澄清确认或不完全接受评标委员会要求其澄清确认的内容； </w:t>
      </w:r>
    </w:p>
    <w:p w14:paraId="74006496">
      <w:pPr>
        <w:widowControl w:val="0"/>
        <w:shd w:val="clear"/>
        <w:tabs>
          <w:tab w:val="left" w:pos="720"/>
        </w:tabs>
        <w:autoSpaceDE/>
        <w:autoSpaceDN/>
        <w:adjustRightInd/>
        <w:snapToGrid w:val="0"/>
        <w:spacing w:after="0" w:line="36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val="en-US" w:eastAsia="zh-CN"/>
        </w:rPr>
        <w:t>.评标委员会</w:t>
      </w:r>
      <w:r>
        <w:rPr>
          <w:rFonts w:hint="eastAsia" w:ascii="宋体" w:hAnsi="宋体" w:cs="宋体"/>
          <w:color w:val="auto"/>
          <w:kern w:val="0"/>
          <w:sz w:val="24"/>
          <w:szCs w:val="24"/>
          <w:highlight w:val="none"/>
          <w:lang w:val="en-US" w:eastAsia="zh-CN"/>
        </w:rPr>
        <w:t>根据规定</w:t>
      </w:r>
      <w:r>
        <w:rPr>
          <w:rFonts w:hint="eastAsia" w:ascii="宋体" w:hAnsi="宋体" w:eastAsia="宋体" w:cs="宋体"/>
          <w:color w:val="auto"/>
          <w:kern w:val="0"/>
          <w:sz w:val="24"/>
          <w:szCs w:val="24"/>
          <w:highlight w:val="none"/>
          <w:lang w:val="en-US" w:eastAsia="zh-CN"/>
        </w:rPr>
        <w:t>要求投标人在规定时间内对投标文件澄清、说明或补正时，投标人未在规定时间内提交或拒绝提交澄清、说明或补正资料</w:t>
      </w:r>
      <w:r>
        <w:rPr>
          <w:rFonts w:hint="eastAsia" w:ascii="宋体" w:hAnsi="宋体" w:cs="宋体"/>
          <w:color w:val="auto"/>
          <w:kern w:val="0"/>
          <w:sz w:val="24"/>
          <w:szCs w:val="24"/>
          <w:highlight w:val="none"/>
          <w:lang w:val="en-US" w:eastAsia="zh-CN"/>
        </w:rPr>
        <w:t>。</w:t>
      </w:r>
    </w:p>
    <w:p w14:paraId="1D2DA4A3">
      <w:pPr>
        <w:widowControl/>
        <w:autoSpaceDE/>
        <w:autoSpaceDN/>
        <w:adjustRightInd/>
        <w:spacing w:after="135" w:line="360" w:lineRule="auto"/>
        <w:ind w:firstLine="480" w:firstLineChars="200"/>
        <w:rPr>
          <w:rFonts w:hint="eastAsia" w:ascii="宋体" w:hAnsi="宋体" w:eastAsia="宋体" w:cs="宋体"/>
          <w:color w:val="auto"/>
          <w:kern w:val="21"/>
          <w:sz w:val="24"/>
          <w:szCs w:val="24"/>
          <w:highlight w:val="none"/>
        </w:rPr>
      </w:pPr>
    </w:p>
    <w:sectPr>
      <w:headerReference r:id="rId22" w:type="default"/>
      <w:footerReference r:id="rId23" w:type="default"/>
      <w:pgSz w:w="11905" w:h="16838"/>
      <w:pgMar w:top="1417" w:right="1417" w:bottom="1417" w:left="1417" w:header="992" w:footer="992"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9819">
    <w:pPr>
      <w:pStyle w:val="17"/>
      <w:rPr>
        <w:rFonts w:hint="default"/>
        <w:sz w:val="18"/>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3C38">
    <w:pPr>
      <w:pStyle w:val="13"/>
      <w:kinsoku w:val="0"/>
      <w:overflowPunct w:val="0"/>
      <w:spacing w:line="14" w:lineRule="auto"/>
      <w:ind w:left="0"/>
      <w:rPr>
        <w:sz w:val="20"/>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8AC732A">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7462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48AC732A">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B1F5">
    <w:pPr>
      <w:pStyle w:val="13"/>
      <w:kinsoku w:val="0"/>
      <w:overflowPunct w:val="0"/>
      <w:spacing w:line="14" w:lineRule="auto"/>
      <w:ind w:left="0"/>
      <w:rPr>
        <w:sz w:val="20"/>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C00B812">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7564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wxuMqMMBAACAAwAADgAAAAAAAAABACAAAAAiAQAAZHJzL2Uyb0RvYy54&#10;bWxQSwUGAAAAAAYABgBZAQAAVwUAAAAA&#10;">
              <v:fill on="f" focussize="0,0"/>
              <v:stroke on="f"/>
              <v:imagedata o:title=""/>
              <o:lock v:ext="edit" aspectratio="f"/>
              <v:textbox inset="0mm,0mm,0mm,0mm">
                <w:txbxContent>
                  <w:p w14:paraId="0C00B812">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E4EC">
    <w:pPr>
      <w:pStyle w:val="13"/>
      <w:kinsoku w:val="0"/>
      <w:overflowPunct w:val="0"/>
      <w:spacing w:line="14" w:lineRule="auto"/>
      <w:ind w:left="0"/>
      <w:rPr>
        <w:sz w:val="20"/>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67005" cy="139700"/>
              <wp:effectExtent l="0" t="0" r="0" b="0"/>
              <wp:wrapNone/>
              <wp:docPr id="14"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D175739">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7360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13vtvcMBAACBAwAADgAAAAAAAAABACAAAAAiAQAAZHJzL2Uyb0RvYy54&#10;bWxQSwUGAAAAAAYABgBZAQAAVwUAAAAA&#10;">
              <v:fill on="f" focussize="0,0"/>
              <v:stroke on="f"/>
              <v:imagedata o:title=""/>
              <o:lock v:ext="edit" aspectratio="f"/>
              <v:textbox inset="0mm,0mm,0mm,0mm">
                <w:txbxContent>
                  <w:p w14:paraId="7D175739">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7BFD">
    <w:pPr>
      <w:pStyle w:val="1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303530" cy="156845"/>
              <wp:effectExtent l="0" t="0" r="0" b="0"/>
              <wp:wrapNone/>
              <wp:docPr id="15" name="文本框 17"/>
              <wp:cNvGraphicFramePr/>
              <a:graphic xmlns:a="http://schemas.openxmlformats.org/drawingml/2006/main">
                <a:graphicData uri="http://schemas.microsoft.com/office/word/2010/wordprocessingShape">
                  <wps:wsp>
                    <wps:cNvSpPr txBox="1"/>
                    <wps:spPr>
                      <a:xfrm>
                        <a:off x="0" y="0"/>
                        <a:ext cx="303530" cy="156845"/>
                      </a:xfrm>
                      <a:prstGeom prst="rect">
                        <a:avLst/>
                      </a:prstGeom>
                      <a:noFill/>
                      <a:ln>
                        <a:noFill/>
                      </a:ln>
                    </wps:spPr>
                    <wps:txbx>
                      <w:txbxContent>
                        <w:p w14:paraId="2AD19C80">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2.35pt;width:23.9pt;mso-position-horizontal:center;mso-position-horizontal-relative:margin;z-index:251669504;mso-width-relative:page;mso-height-relative:page;" filled="f" stroked="f" coordsize="21600,21600" o:gfxdata="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UJ4EfUAAAAAwEAAA8AAAAAAAAAAQAgAAAAIgAAAGRycy9kb3ducmV2Lnht&#10;bFBLAQIUABQAAAAIAIdO4kAOqJDWxAEAAIEDAAAOAAAAAAAAAAEAIAAAACMBAABkcnMvZTJvRG9j&#10;LnhtbFBLBQYAAAAABgAGAFkBAABZBQAAAAA=&#10;">
              <v:fill on="f" focussize="0,0"/>
              <v:stroke on="f"/>
              <v:imagedata o:title=""/>
              <o:lock v:ext="edit" aspectratio="f"/>
              <v:textbox inset="0mm,0mm,0mm,0mm">
                <w:txbxContent>
                  <w:p w14:paraId="2AD19C80">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A4DB3">
    <w:pPr>
      <w:pStyle w:val="17"/>
      <w:rPr>
        <w:rFonts w:hint="default"/>
        <w:sz w:val="18"/>
        <w:szCs w:val="24"/>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7053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D7053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90D2">
    <w:pPr>
      <w:pStyle w:val="13"/>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59DC24C5">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59DC24C5">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CD1E">
    <w:pPr>
      <w:pStyle w:val="1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6F5AB09">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26F5AB09">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5FC9">
    <w:pPr>
      <w:pStyle w:val="13"/>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66065" cy="147955"/>
              <wp:effectExtent l="0" t="0" r="0" b="0"/>
              <wp:wrapNone/>
              <wp:docPr id="8" name="文本框 7"/>
              <wp:cNvGraphicFramePr/>
              <a:graphic xmlns:a="http://schemas.openxmlformats.org/drawingml/2006/main">
                <a:graphicData uri="http://schemas.microsoft.com/office/word/2010/wordprocessingShape">
                  <wps:wsp>
                    <wps:cNvSpPr txBox="1"/>
                    <wps:spPr>
                      <a:xfrm>
                        <a:off x="0" y="0"/>
                        <a:ext cx="266065" cy="147955"/>
                      </a:xfrm>
                      <a:prstGeom prst="rect">
                        <a:avLst/>
                      </a:prstGeom>
                      <a:noFill/>
                      <a:ln>
                        <a:noFill/>
                      </a:ln>
                    </wps:spPr>
                    <wps:txbx>
                      <w:txbxContent>
                        <w:p w14:paraId="46859367">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65pt;width:20.95pt;mso-position-horizontal:center;mso-position-horizontal-relative:margin;z-index:251662336;mso-width-relative:page;mso-height-relative:page;" filled="f" stroked="f" coordsize="21600,21600" o:gfxdata="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u3/CTUAAAAAwEAAA8AAAAAAAAAAQAgAAAAIgAAAGRycy9kb3ducmV2Lnht&#10;bFBLAQIUABQAAAAIAIdO4kAbRj+lxAEAAH8DAAAOAAAAAAAAAAEAIAAAACMBAABkcnMvZTJvRG9j&#10;LnhtbFBLBQYAAAAABgAGAFkBAABZBQAAAAA=&#10;">
              <v:fill on="f" focussize="0,0"/>
              <v:stroke on="f"/>
              <v:imagedata o:title=""/>
              <o:lock v:ext="edit" aspectratio="f"/>
              <v:textbox inset="0mm,0mm,0mm,0mm">
                <w:txbxContent>
                  <w:p w14:paraId="46859367">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CBAE">
    <w:pPr>
      <w:pStyle w:val="1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57810" cy="130175"/>
              <wp:effectExtent l="0" t="0" r="0" b="0"/>
              <wp:wrapNone/>
              <wp:docPr id="4" name="文本框 15"/>
              <wp:cNvGraphicFramePr/>
              <a:graphic xmlns:a="http://schemas.openxmlformats.org/drawingml/2006/main">
                <a:graphicData uri="http://schemas.microsoft.com/office/word/2010/wordprocessingShape">
                  <wps:wsp>
                    <wps:cNvSpPr txBox="1"/>
                    <wps:spPr>
                      <a:xfrm>
                        <a:off x="0" y="0"/>
                        <a:ext cx="257810" cy="130175"/>
                      </a:xfrm>
                      <a:prstGeom prst="rect">
                        <a:avLst/>
                      </a:prstGeom>
                      <a:noFill/>
                      <a:ln>
                        <a:noFill/>
                      </a:ln>
                    </wps:spPr>
                    <wps:txbx>
                      <w:txbxContent>
                        <w:p w14:paraId="056D53DF">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0.25pt;width:20.3pt;mso-position-horizontal:center;mso-position-horizontal-relative:margin;z-index:251661312;mso-width-relative:page;mso-height-relative:page;" filled="f" stroked="f" coordsize="21600,21600" o:gfxdata="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DnGsH1AAAAAMBAAAPAAAAAAAAAAEA&#10;IAAAACIAAABkcnMvZG93bnJldi54bWxQSwECFAAUAAAACACHTuJAI7Wt6doBAAClAwAADgAAAAAA&#10;AAABACAAAAAjAQAAZHJzL2Uyb0RvYy54bWxQSwUGAAAAAAYABgBZAQAAbwUAAAAA&#10;">
              <v:fill on="f" focussize="0,0"/>
              <v:stroke on="f"/>
              <v:imagedata o:title=""/>
              <o:lock v:ext="edit" aspectratio="f"/>
              <v:textbox inset="0mm,0mm,0mm,0mm">
                <w:txbxContent>
                  <w:p w14:paraId="056D53DF">
                    <w:pPr>
                      <w:pStyle w:val="13"/>
                      <w:kinsoku w:val="0"/>
                      <w:overflowPunct w:val="0"/>
                      <w:spacing w:line="203" w:lineRule="exact"/>
                      <w:ind w:left="40"/>
                      <w:rPr>
                        <w:rFonts w:hint="default" w:ascii="Calibri" w:hAnsi="Calibri" w:eastAsia="Calibri"/>
                        <w:sz w:val="18"/>
                        <w:szCs w:val="24"/>
                      </w:rPr>
                    </w:pPr>
                    <w:r>
                      <w:rPr>
                        <w:rFonts w:hint="default" w:ascii="Calibri" w:hAnsi="Calibri" w:eastAsia="Calibri"/>
                        <w:sz w:val="18"/>
                        <w:szCs w:val="24"/>
                      </w:rPr>
                      <w:fldChar w:fldCharType="begin"/>
                    </w:r>
                    <w:r>
                      <w:rPr>
                        <w:rFonts w:hint="default" w:ascii="Calibri" w:hAnsi="Calibri" w:eastAsia="Calibri"/>
                        <w:sz w:val="18"/>
                        <w:szCs w:val="24"/>
                      </w:rPr>
                      <w:instrText xml:space="preserve"> PAGE  \* MERGEFORMAT </w:instrText>
                    </w:r>
                    <w:r>
                      <w:rPr>
                        <w:rFonts w:hint="default" w:ascii="Calibri" w:hAnsi="Calibri" w:eastAsia="Calibri"/>
                        <w:sz w:val="18"/>
                        <w:szCs w:val="24"/>
                      </w:rPr>
                      <w:fldChar w:fldCharType="separate"/>
                    </w:r>
                    <w:r>
                      <w:rPr>
                        <w:rFonts w:hint="default" w:ascii="Calibri" w:hAnsi="Calibri" w:eastAsia="Calibri"/>
                        <w:sz w:val="18"/>
                        <w:szCs w:val="24"/>
                      </w:rPr>
                      <w:t>1</w:t>
                    </w:r>
                    <w:r>
                      <w:rPr>
                        <w:rFonts w:hint="default" w:ascii="Calibri" w:hAnsi="Calibri" w:eastAsia="Calibri"/>
                        <w:sz w:val="18"/>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AF30">
    <w:pPr>
      <w:pStyle w:val="13"/>
      <w:kinsoku w:val="0"/>
      <w:overflowPunct w:val="0"/>
      <w:spacing w:line="14" w:lineRule="auto"/>
      <w:ind w:left="0"/>
      <w:rPr>
        <w:sz w:val="20"/>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2E4D5EB">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7769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42E4D5EB">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5047">
    <w:pPr>
      <w:pStyle w:val="13"/>
      <w:kinsoku w:val="0"/>
      <w:overflowPunct w:val="0"/>
      <w:spacing w:line="14" w:lineRule="auto"/>
      <w:ind w:left="0"/>
      <w:rPr>
        <w:sz w:val="20"/>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11EC1C">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6F11EC1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202A">
    <w:pPr>
      <w:pStyle w:val="13"/>
      <w:kinsoku w:val="0"/>
      <w:overflowPunct w:val="0"/>
      <w:spacing w:line="14" w:lineRule="auto"/>
      <w:ind w:left="0"/>
      <w:rPr>
        <w:sz w:val="20"/>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8EF8E86">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7667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68EF8E86">
                    <w:pPr>
                      <w:pStyle w:val="13"/>
                      <w:kinsoku w:val="0"/>
                      <w:overflowPunct w:val="0"/>
                      <w:spacing w:line="203" w:lineRule="exact"/>
                      <w:ind w:left="40"/>
                      <w:rPr>
                        <w:rFonts w:ascii="Calibri" w:hAnsi="Calibri" w:eastAsia="Calibri"/>
                        <w:sz w:val="18"/>
                      </w:rPr>
                    </w:pPr>
                    <w:r>
                      <w:rPr>
                        <w:rFonts w:ascii="Calibri" w:hAnsi="Calibri" w:eastAsia="Calibri"/>
                        <w:sz w:val="18"/>
                      </w:rPr>
                      <w:fldChar w:fldCharType="begin"/>
                    </w:r>
                    <w:r>
                      <w:rPr>
                        <w:rFonts w:ascii="Calibri" w:hAnsi="Calibri" w:eastAsia="Calibri"/>
                        <w:sz w:val="18"/>
                      </w:rPr>
                      <w:instrText xml:space="preserve"> PAGE  \* MERGEFORMAT </w:instrText>
                    </w:r>
                    <w:r>
                      <w:rPr>
                        <w:rFonts w:ascii="Calibri" w:hAnsi="Calibri" w:eastAsia="Calibri"/>
                        <w:sz w:val="18"/>
                      </w:rPr>
                      <w:fldChar w:fldCharType="separate"/>
                    </w:r>
                    <w:r>
                      <w:rPr>
                        <w:rFonts w:ascii="Calibri" w:hAnsi="Calibri" w:eastAsia="Calibri"/>
                        <w:sz w:val="18"/>
                      </w:rPr>
                      <w:t>1</w:t>
                    </w:r>
                    <w:r>
                      <w:rPr>
                        <w:rFonts w:ascii="Calibri" w:hAnsi="Calibri" w:eastAsia="Calibri"/>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206C">
    <w:pPr>
      <w:pStyle w:val="19"/>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1E8B">
    <w:pPr>
      <w:pStyle w:val="19"/>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5AE0">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72A9">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75A0">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9B55">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E70A">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6A6C">
    <w:pPr>
      <w:pStyle w:val="19"/>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 w:name="KSO_WPS_MARK_KEY" w:val="fe312a26-f38f-426e-80c3-b5219789301a"/>
  </w:docVars>
  <w:rsids>
    <w:rsidRoot w:val="00172A27"/>
    <w:rsid w:val="00434AD7"/>
    <w:rsid w:val="00841F61"/>
    <w:rsid w:val="00E02C4F"/>
    <w:rsid w:val="010F0DDB"/>
    <w:rsid w:val="014F2E8B"/>
    <w:rsid w:val="015F5C05"/>
    <w:rsid w:val="0176597C"/>
    <w:rsid w:val="01B83B52"/>
    <w:rsid w:val="01DD354A"/>
    <w:rsid w:val="020F624B"/>
    <w:rsid w:val="023E1659"/>
    <w:rsid w:val="028D352C"/>
    <w:rsid w:val="037109A0"/>
    <w:rsid w:val="03C12165"/>
    <w:rsid w:val="04590E88"/>
    <w:rsid w:val="055A6E6C"/>
    <w:rsid w:val="056A5F92"/>
    <w:rsid w:val="062322CB"/>
    <w:rsid w:val="06D81C65"/>
    <w:rsid w:val="070204F3"/>
    <w:rsid w:val="079D30DF"/>
    <w:rsid w:val="081809C3"/>
    <w:rsid w:val="08C473E5"/>
    <w:rsid w:val="09452310"/>
    <w:rsid w:val="09C27272"/>
    <w:rsid w:val="09D82D56"/>
    <w:rsid w:val="0A486323"/>
    <w:rsid w:val="0AA607E9"/>
    <w:rsid w:val="0B3C7B6E"/>
    <w:rsid w:val="0B4A356A"/>
    <w:rsid w:val="0C3D45A5"/>
    <w:rsid w:val="0C997CA3"/>
    <w:rsid w:val="0EE30407"/>
    <w:rsid w:val="0EE41EA4"/>
    <w:rsid w:val="0F302425"/>
    <w:rsid w:val="10770E8E"/>
    <w:rsid w:val="10824930"/>
    <w:rsid w:val="10844F42"/>
    <w:rsid w:val="11702C8D"/>
    <w:rsid w:val="12C14EC5"/>
    <w:rsid w:val="149B162E"/>
    <w:rsid w:val="15A7690F"/>
    <w:rsid w:val="15C9625B"/>
    <w:rsid w:val="15FA071C"/>
    <w:rsid w:val="163417C2"/>
    <w:rsid w:val="16385846"/>
    <w:rsid w:val="16BA32AD"/>
    <w:rsid w:val="17377029"/>
    <w:rsid w:val="17B71418"/>
    <w:rsid w:val="180546DD"/>
    <w:rsid w:val="184711C8"/>
    <w:rsid w:val="187237A6"/>
    <w:rsid w:val="189B1E31"/>
    <w:rsid w:val="18A15F9B"/>
    <w:rsid w:val="19377802"/>
    <w:rsid w:val="19823A95"/>
    <w:rsid w:val="19872486"/>
    <w:rsid w:val="1AE837D0"/>
    <w:rsid w:val="1B2D5DC5"/>
    <w:rsid w:val="1BA06518"/>
    <w:rsid w:val="1C3537A6"/>
    <w:rsid w:val="1D497DDC"/>
    <w:rsid w:val="1D7C2DFE"/>
    <w:rsid w:val="1D8B6EF6"/>
    <w:rsid w:val="1DC044E5"/>
    <w:rsid w:val="1DC46887"/>
    <w:rsid w:val="1DE17229"/>
    <w:rsid w:val="1DE76BF0"/>
    <w:rsid w:val="1EAE2913"/>
    <w:rsid w:val="1EF273EC"/>
    <w:rsid w:val="1F493040"/>
    <w:rsid w:val="1FB76ED1"/>
    <w:rsid w:val="20CE3F4B"/>
    <w:rsid w:val="21967DBF"/>
    <w:rsid w:val="21A27D50"/>
    <w:rsid w:val="21F42BC1"/>
    <w:rsid w:val="221729FA"/>
    <w:rsid w:val="2338257F"/>
    <w:rsid w:val="233F72E6"/>
    <w:rsid w:val="24C74F2D"/>
    <w:rsid w:val="250E263D"/>
    <w:rsid w:val="25A44C59"/>
    <w:rsid w:val="25C21E74"/>
    <w:rsid w:val="25CB331D"/>
    <w:rsid w:val="267243BD"/>
    <w:rsid w:val="26C640B4"/>
    <w:rsid w:val="26CF6181"/>
    <w:rsid w:val="27FD3962"/>
    <w:rsid w:val="288B74C9"/>
    <w:rsid w:val="2A661E9C"/>
    <w:rsid w:val="2AC24DB0"/>
    <w:rsid w:val="2C9F4DE6"/>
    <w:rsid w:val="2D07305C"/>
    <w:rsid w:val="2DA07759"/>
    <w:rsid w:val="2DF12D39"/>
    <w:rsid w:val="2E6508F1"/>
    <w:rsid w:val="2E974F69"/>
    <w:rsid w:val="2EAD14DA"/>
    <w:rsid w:val="2F4A16AB"/>
    <w:rsid w:val="2F8C4D20"/>
    <w:rsid w:val="300375DA"/>
    <w:rsid w:val="30AA12B2"/>
    <w:rsid w:val="30AE5C52"/>
    <w:rsid w:val="30E70F45"/>
    <w:rsid w:val="31B2323D"/>
    <w:rsid w:val="31C25E79"/>
    <w:rsid w:val="322B758E"/>
    <w:rsid w:val="324A2A66"/>
    <w:rsid w:val="326A3426"/>
    <w:rsid w:val="32D57EA5"/>
    <w:rsid w:val="32E37437"/>
    <w:rsid w:val="33471113"/>
    <w:rsid w:val="33997007"/>
    <w:rsid w:val="348A357D"/>
    <w:rsid w:val="35212C39"/>
    <w:rsid w:val="358913A6"/>
    <w:rsid w:val="36115F43"/>
    <w:rsid w:val="36564C74"/>
    <w:rsid w:val="367E0853"/>
    <w:rsid w:val="36BD312A"/>
    <w:rsid w:val="37090E2F"/>
    <w:rsid w:val="37865B8C"/>
    <w:rsid w:val="37C3364E"/>
    <w:rsid w:val="3823404B"/>
    <w:rsid w:val="38561A88"/>
    <w:rsid w:val="38AF6DED"/>
    <w:rsid w:val="39037C61"/>
    <w:rsid w:val="39750026"/>
    <w:rsid w:val="39AE2942"/>
    <w:rsid w:val="39BD7671"/>
    <w:rsid w:val="39F01EE0"/>
    <w:rsid w:val="3A636281"/>
    <w:rsid w:val="3A960DB6"/>
    <w:rsid w:val="3AE64F8C"/>
    <w:rsid w:val="3AE67A76"/>
    <w:rsid w:val="3B355606"/>
    <w:rsid w:val="3BE06595"/>
    <w:rsid w:val="3C2B4FD9"/>
    <w:rsid w:val="3C9D550F"/>
    <w:rsid w:val="419A6C47"/>
    <w:rsid w:val="41C71940"/>
    <w:rsid w:val="42671C2F"/>
    <w:rsid w:val="437E00E5"/>
    <w:rsid w:val="45684454"/>
    <w:rsid w:val="45DA39B8"/>
    <w:rsid w:val="45E8158B"/>
    <w:rsid w:val="463D7C2D"/>
    <w:rsid w:val="46D83BDD"/>
    <w:rsid w:val="477B36CA"/>
    <w:rsid w:val="47B67BBB"/>
    <w:rsid w:val="48381280"/>
    <w:rsid w:val="489C6820"/>
    <w:rsid w:val="49247828"/>
    <w:rsid w:val="49925471"/>
    <w:rsid w:val="49D50E39"/>
    <w:rsid w:val="4A2C3A58"/>
    <w:rsid w:val="4A445356"/>
    <w:rsid w:val="4A742A58"/>
    <w:rsid w:val="4A8717C2"/>
    <w:rsid w:val="4A914BA1"/>
    <w:rsid w:val="4AB1638A"/>
    <w:rsid w:val="4AC70B63"/>
    <w:rsid w:val="4B3E45F3"/>
    <w:rsid w:val="4C4714DC"/>
    <w:rsid w:val="4CAD1E26"/>
    <w:rsid w:val="4CF6032D"/>
    <w:rsid w:val="4D0369F0"/>
    <w:rsid w:val="4D903A6C"/>
    <w:rsid w:val="50170DDA"/>
    <w:rsid w:val="50CC58B0"/>
    <w:rsid w:val="519D0F6C"/>
    <w:rsid w:val="5223443E"/>
    <w:rsid w:val="52281A56"/>
    <w:rsid w:val="522C3C23"/>
    <w:rsid w:val="526000EE"/>
    <w:rsid w:val="529445A1"/>
    <w:rsid w:val="52A929CD"/>
    <w:rsid w:val="530C79D2"/>
    <w:rsid w:val="53EF77F2"/>
    <w:rsid w:val="54865CDB"/>
    <w:rsid w:val="54D675E4"/>
    <w:rsid w:val="55096426"/>
    <w:rsid w:val="56C42315"/>
    <w:rsid w:val="56CC4B10"/>
    <w:rsid w:val="574B3F4E"/>
    <w:rsid w:val="57793A41"/>
    <w:rsid w:val="57B718A4"/>
    <w:rsid w:val="57DA6E51"/>
    <w:rsid w:val="57E70337"/>
    <w:rsid w:val="586649A4"/>
    <w:rsid w:val="58D04D6C"/>
    <w:rsid w:val="58E533AC"/>
    <w:rsid w:val="59460673"/>
    <w:rsid w:val="5969359D"/>
    <w:rsid w:val="59E40473"/>
    <w:rsid w:val="5AE476C5"/>
    <w:rsid w:val="5B0F2724"/>
    <w:rsid w:val="5B775CE8"/>
    <w:rsid w:val="5C14194E"/>
    <w:rsid w:val="5C2011A9"/>
    <w:rsid w:val="5C9867C5"/>
    <w:rsid w:val="5DD4483E"/>
    <w:rsid w:val="5DFB0858"/>
    <w:rsid w:val="5E364D5F"/>
    <w:rsid w:val="5E653731"/>
    <w:rsid w:val="5EA5068C"/>
    <w:rsid w:val="5F1E3005"/>
    <w:rsid w:val="5F5F4C1E"/>
    <w:rsid w:val="5FD6033E"/>
    <w:rsid w:val="604F09E7"/>
    <w:rsid w:val="60545B6A"/>
    <w:rsid w:val="611C19BC"/>
    <w:rsid w:val="61EA613C"/>
    <w:rsid w:val="620078ED"/>
    <w:rsid w:val="62105334"/>
    <w:rsid w:val="62AB097F"/>
    <w:rsid w:val="62C12D55"/>
    <w:rsid w:val="62E11EA1"/>
    <w:rsid w:val="62FF0538"/>
    <w:rsid w:val="63AF29A7"/>
    <w:rsid w:val="63DB2CB0"/>
    <w:rsid w:val="63E130AC"/>
    <w:rsid w:val="654A3E4B"/>
    <w:rsid w:val="65883AA5"/>
    <w:rsid w:val="65C634F9"/>
    <w:rsid w:val="65D76672"/>
    <w:rsid w:val="65DC748F"/>
    <w:rsid w:val="662B3F4A"/>
    <w:rsid w:val="66CA3897"/>
    <w:rsid w:val="67AA652A"/>
    <w:rsid w:val="689F564B"/>
    <w:rsid w:val="68E1710D"/>
    <w:rsid w:val="695925AC"/>
    <w:rsid w:val="698407DF"/>
    <w:rsid w:val="69B47845"/>
    <w:rsid w:val="6AC8299D"/>
    <w:rsid w:val="6B0646F8"/>
    <w:rsid w:val="6BC61AD7"/>
    <w:rsid w:val="6E2969EF"/>
    <w:rsid w:val="6F585C48"/>
    <w:rsid w:val="6F793B2D"/>
    <w:rsid w:val="6FB6545E"/>
    <w:rsid w:val="6FDC5A0F"/>
    <w:rsid w:val="70211CEE"/>
    <w:rsid w:val="702B37BF"/>
    <w:rsid w:val="70E32432"/>
    <w:rsid w:val="710070EB"/>
    <w:rsid w:val="71F52C76"/>
    <w:rsid w:val="730C671E"/>
    <w:rsid w:val="731E0F50"/>
    <w:rsid w:val="74B14156"/>
    <w:rsid w:val="751E2F84"/>
    <w:rsid w:val="757635DC"/>
    <w:rsid w:val="76A25114"/>
    <w:rsid w:val="76FC0DBB"/>
    <w:rsid w:val="772B3BD0"/>
    <w:rsid w:val="77563D2B"/>
    <w:rsid w:val="77F34C42"/>
    <w:rsid w:val="7811525D"/>
    <w:rsid w:val="78326DC3"/>
    <w:rsid w:val="7838546B"/>
    <w:rsid w:val="784210E3"/>
    <w:rsid w:val="78AC2972"/>
    <w:rsid w:val="79B21906"/>
    <w:rsid w:val="79BF259A"/>
    <w:rsid w:val="7B14343C"/>
    <w:rsid w:val="7B8A5777"/>
    <w:rsid w:val="7C7F7771"/>
    <w:rsid w:val="7C916325"/>
    <w:rsid w:val="7CCF38AD"/>
    <w:rsid w:val="7CE9256D"/>
    <w:rsid w:val="7D4B3C28"/>
    <w:rsid w:val="7DCE4049"/>
    <w:rsid w:val="7DE75A04"/>
    <w:rsid w:val="7DF629C5"/>
    <w:rsid w:val="7DFF0750"/>
    <w:rsid w:val="7E172BF9"/>
    <w:rsid w:val="7E8D2B2E"/>
    <w:rsid w:val="7F6D3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4">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5">
    <w:name w:val="heading 2"/>
    <w:basedOn w:val="4"/>
    <w:next w:val="1"/>
    <w:link w:val="40"/>
    <w:unhideWhenUsed/>
    <w:qFormat/>
    <w:uiPriority w:val="1"/>
    <w:pPr>
      <w:ind w:left="3"/>
      <w:jc w:val="center"/>
      <w:outlineLvl w:val="1"/>
    </w:pPr>
    <w:rPr>
      <w:rFonts w:hint="default" w:ascii="宋体" w:hAnsi="宋体" w:eastAsia="宋体"/>
      <w:sz w:val="30"/>
      <w:szCs w:val="24"/>
    </w:rPr>
  </w:style>
  <w:style w:type="paragraph" w:styleId="6">
    <w:name w:val="heading 3"/>
    <w:basedOn w:val="1"/>
    <w:next w:val="1"/>
    <w:link w:val="32"/>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7">
    <w:name w:val="heading 4"/>
    <w:basedOn w:val="1"/>
    <w:next w:val="1"/>
    <w:unhideWhenUsed/>
    <w:qFormat/>
    <w:uiPriority w:val="1"/>
    <w:pPr>
      <w:outlineLvl w:val="3"/>
    </w:pPr>
    <w:rPr>
      <w:rFonts w:hint="default" w:ascii="宋体" w:hAnsi="宋体" w:eastAsia="宋体"/>
      <w:sz w:val="28"/>
      <w:szCs w:val="24"/>
    </w:rPr>
  </w:style>
  <w:style w:type="paragraph" w:styleId="8">
    <w:name w:val="heading 5"/>
    <w:basedOn w:val="1"/>
    <w:next w:val="1"/>
    <w:unhideWhenUsed/>
    <w:qFormat/>
    <w:uiPriority w:val="1"/>
    <w:pPr>
      <w:ind w:left="237"/>
      <w:outlineLvl w:val="4"/>
    </w:pPr>
    <w:rPr>
      <w:rFonts w:hint="default" w:ascii="宋体" w:hAnsi="宋体" w:eastAsia="宋体"/>
      <w:sz w:val="28"/>
      <w:szCs w:val="24"/>
    </w:rPr>
  </w:style>
  <w:style w:type="paragraph" w:styleId="9">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8">
    <w:name w:val="Default Paragraph Font"/>
    <w:unhideWhenUsed/>
    <w:qFormat/>
    <w:uiPriority w:val="99"/>
    <w:rPr>
      <w:rFonts w:hint="default"/>
      <w:sz w:val="24"/>
      <w:szCs w:val="24"/>
    </w:rPr>
  </w:style>
  <w:style w:type="table" w:default="1" w:styleId="26">
    <w:name w:val="Normal Table"/>
    <w:qFormat/>
    <w:uiPriority w:val="0"/>
    <w:tblPr>
      <w:tblCellMar>
        <w:top w:w="0" w:type="dxa"/>
        <w:left w:w="108" w:type="dxa"/>
        <w:bottom w:w="0" w:type="dxa"/>
        <w:right w:w="108" w:type="dxa"/>
      </w:tblCellMar>
    </w:tblPr>
  </w:style>
  <w:style w:type="paragraph" w:styleId="2">
    <w:name w:val="Plain Text"/>
    <w:basedOn w:val="1"/>
    <w:next w:val="3"/>
    <w:unhideWhenUsed/>
    <w:qFormat/>
    <w:uiPriority w:val="0"/>
    <w:rPr>
      <w:rFonts w:hint="default" w:ascii="宋体" w:hAnsi="Courier New" w:eastAsia="宋体"/>
      <w:sz w:val="24"/>
      <w:szCs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Normal Indent"/>
    <w:basedOn w:val="1"/>
    <w:next w:val="1"/>
    <w:unhideWhenUsed/>
    <w:qFormat/>
    <w:uiPriority w:val="99"/>
    <w:pPr>
      <w:ind w:firstLine="420"/>
    </w:pPr>
    <w:rPr>
      <w:rFonts w:ascii="Times New Roman" w:hAnsi="Times New Roman" w:eastAsia="楷体_GB2312" w:cs="Times New Roman"/>
      <w:lang w:val="en-US" w:eastAsia="zh-CN" w:bidi="ar-SA"/>
    </w:rPr>
  </w:style>
  <w:style w:type="paragraph" w:styleId="11">
    <w:name w:val="annotation text"/>
    <w:basedOn w:val="1"/>
    <w:next w:val="1"/>
    <w:unhideWhenUsed/>
    <w:qFormat/>
    <w:uiPriority w:val="99"/>
    <w:pPr>
      <w:jc w:val="left"/>
    </w:pPr>
  </w:style>
  <w:style w:type="paragraph" w:styleId="12">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3">
    <w:name w:val="Body Text"/>
    <w:basedOn w:val="1"/>
    <w:unhideWhenUsed/>
    <w:qFormat/>
    <w:uiPriority w:val="1"/>
    <w:pPr>
      <w:ind w:left="520"/>
    </w:pPr>
    <w:rPr>
      <w:rFonts w:hint="default" w:ascii="宋体" w:hAnsi="宋体" w:eastAsia="宋体"/>
      <w:sz w:val="21"/>
      <w:szCs w:val="24"/>
    </w:rPr>
  </w:style>
  <w:style w:type="paragraph" w:styleId="14">
    <w:name w:val="Body Text Indent"/>
    <w:basedOn w:val="1"/>
    <w:next w:val="3"/>
    <w:unhideWhenUsed/>
    <w:qFormat/>
    <w:uiPriority w:val="99"/>
    <w:pPr>
      <w:spacing w:after="120"/>
      <w:ind w:left="420" w:leftChars="200"/>
    </w:pPr>
  </w:style>
  <w:style w:type="paragraph" w:styleId="15">
    <w:name w:val="toc 3"/>
    <w:basedOn w:val="1"/>
    <w:next w:val="1"/>
    <w:qFormat/>
    <w:uiPriority w:val="99"/>
    <w:pPr>
      <w:ind w:left="840" w:leftChars="400"/>
    </w:pPr>
  </w:style>
  <w:style w:type="paragraph" w:styleId="16">
    <w:name w:val="Body Text Indent 2"/>
    <w:basedOn w:val="1"/>
    <w:unhideWhenUsed/>
    <w:qFormat/>
    <w:uiPriority w:val="99"/>
    <w:pPr>
      <w:spacing w:after="120" w:line="480" w:lineRule="auto"/>
      <w:ind w:left="420" w:leftChars="200"/>
    </w:pPr>
    <w:rPr>
      <w:rFonts w:ascii="Times New Roman" w:hAnsi="Times New Roman" w:eastAsia="宋体" w:cs="Times New Roman"/>
      <w:lang w:val="en-US" w:eastAsia="zh-CN" w:bidi="ar-SA"/>
    </w:rPr>
  </w:style>
  <w:style w:type="paragraph" w:styleId="17">
    <w:name w:val="footer"/>
    <w:basedOn w:val="1"/>
    <w:unhideWhenUsed/>
    <w:qFormat/>
    <w:uiPriority w:val="99"/>
    <w:pPr>
      <w:tabs>
        <w:tab w:val="center" w:pos="4153"/>
        <w:tab w:val="right" w:pos="8306"/>
      </w:tabs>
      <w:snapToGrid w:val="0"/>
    </w:pPr>
    <w:rPr>
      <w:rFonts w:hint="default"/>
      <w:sz w:val="18"/>
      <w:szCs w:val="24"/>
    </w:rPr>
  </w:style>
  <w:style w:type="paragraph" w:styleId="18">
    <w:name w:val="envelope return"/>
    <w:basedOn w:val="1"/>
    <w:qFormat/>
    <w:uiPriority w:val="0"/>
    <w:pPr>
      <w:snapToGrid w:val="0"/>
    </w:pPr>
    <w:rPr>
      <w:rFonts w:ascii="Arial" w:hAnsi="Arial"/>
    </w:rPr>
  </w:style>
  <w:style w:type="paragraph" w:styleId="19">
    <w:name w:val="header"/>
    <w:basedOn w:val="1"/>
    <w:unhideWhenUsed/>
    <w:qFormat/>
    <w:uiPriority w:val="99"/>
    <w:pPr>
      <w:tabs>
        <w:tab w:val="center" w:pos="4153"/>
        <w:tab w:val="right" w:pos="8306"/>
      </w:tabs>
      <w:snapToGrid w:val="0"/>
      <w:jc w:val="both"/>
    </w:pPr>
    <w:rPr>
      <w:rFonts w:hint="default"/>
      <w:sz w:val="18"/>
      <w:szCs w:val="24"/>
    </w:rPr>
  </w:style>
  <w:style w:type="paragraph" w:styleId="20">
    <w:name w:val="toc 1"/>
    <w:basedOn w:val="1"/>
    <w:next w:val="1"/>
    <w:qFormat/>
    <w:uiPriority w:val="99"/>
  </w:style>
  <w:style w:type="paragraph" w:styleId="21">
    <w:name w:val="footnote text"/>
    <w:basedOn w:val="1"/>
    <w:qFormat/>
    <w:uiPriority w:val="0"/>
    <w:pPr>
      <w:snapToGrid w:val="0"/>
      <w:jc w:val="left"/>
    </w:pPr>
    <w:rPr>
      <w:sz w:val="18"/>
    </w:rPr>
  </w:style>
  <w:style w:type="paragraph" w:styleId="22">
    <w:name w:val="toc 2"/>
    <w:basedOn w:val="1"/>
    <w:next w:val="1"/>
    <w:qFormat/>
    <w:uiPriority w:val="99"/>
    <w:pPr>
      <w:ind w:left="420" w:leftChars="200"/>
    </w:pPr>
  </w:style>
  <w:style w:type="paragraph" w:styleId="23">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4">
    <w:name w:val="Body Text First Indent"/>
    <w:basedOn w:val="13"/>
    <w:unhideWhenUsed/>
    <w:qFormat/>
    <w:uiPriority w:val="0"/>
    <w:pPr>
      <w:ind w:firstLine="420"/>
    </w:pPr>
    <w:rPr>
      <w:rFonts w:hint="eastAsia" w:ascii="Times New Roman" w:hAnsi="Times New Roman" w:eastAsia="楷体_GB2312"/>
      <w:sz w:val="20"/>
      <w:szCs w:val="24"/>
    </w:rPr>
  </w:style>
  <w:style w:type="paragraph" w:styleId="25">
    <w:name w:val="Body Text First Indent 2"/>
    <w:basedOn w:val="14"/>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basedOn w:val="28"/>
    <w:unhideWhenUsed/>
    <w:qFormat/>
    <w:uiPriority w:val="99"/>
    <w:rPr>
      <w:rFonts w:hint="default" w:ascii="Arial" w:hAnsi="Arial" w:eastAsia="黑体"/>
      <w:color w:val="0000FF"/>
      <w:kern w:val="2"/>
      <w:sz w:val="21"/>
      <w:szCs w:val="24"/>
      <w:u w:val="single"/>
      <w:lang w:val="en-US" w:eastAsia="zh-CN" w:bidi="ar-SA"/>
    </w:rPr>
  </w:style>
  <w:style w:type="paragraph" w:customStyle="1" w:styleId="30">
    <w:name w:val="正文缩进1"/>
    <w:basedOn w:val="31"/>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31">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2">
    <w:name w:val="标题 3 Char"/>
    <w:link w:val="6"/>
    <w:unhideWhenUsed/>
    <w:qFormat/>
    <w:uiPriority w:val="1"/>
    <w:rPr>
      <w:rFonts w:hint="default" w:ascii="宋体" w:hAnsi="宋体" w:eastAsia="宋体"/>
      <w:b/>
      <w:sz w:val="24"/>
      <w:szCs w:val="24"/>
    </w:rPr>
  </w:style>
  <w:style w:type="paragraph" w:customStyle="1" w:styleId="33">
    <w:name w:val="Table Paragraph"/>
    <w:basedOn w:val="1"/>
    <w:unhideWhenUsed/>
    <w:qFormat/>
    <w:uiPriority w:val="1"/>
    <w:rPr>
      <w:rFonts w:hint="default"/>
      <w:sz w:val="24"/>
      <w:szCs w:val="24"/>
    </w:rPr>
  </w:style>
  <w:style w:type="paragraph" w:customStyle="1" w:styleId="34">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5">
    <w:name w:val="p0"/>
    <w:basedOn w:val="1"/>
    <w:unhideWhenUsed/>
    <w:qFormat/>
    <w:uiPriority w:val="0"/>
    <w:pPr>
      <w:widowControl/>
      <w:spacing w:before="75" w:after="75"/>
    </w:pPr>
    <w:rPr>
      <w:rFonts w:hint="default" w:ascii="宋体" w:hAnsi="宋体" w:eastAsia="宋体" w:cs="宋体"/>
      <w:sz w:val="24"/>
      <w:szCs w:val="24"/>
    </w:rPr>
  </w:style>
  <w:style w:type="paragraph" w:styleId="36">
    <w:name w:val="List Paragraph"/>
    <w:basedOn w:val="1"/>
    <w:unhideWhenUsed/>
    <w:qFormat/>
    <w:uiPriority w:val="1"/>
    <w:rPr>
      <w:rFonts w:hint="default"/>
      <w:sz w:val="24"/>
      <w:szCs w:val="24"/>
    </w:rPr>
  </w:style>
  <w:style w:type="paragraph" w:customStyle="1" w:styleId="37">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8">
    <w:name w:val="样式 宋体 行距: 1.5 倍行距"/>
    <w:basedOn w:val="1"/>
    <w:unhideWhenUsed/>
    <w:qFormat/>
    <w:uiPriority w:val="0"/>
    <w:pPr>
      <w:jc w:val="center"/>
    </w:pPr>
    <w:rPr>
      <w:rFonts w:hint="default"/>
      <w:b/>
      <w:sz w:val="24"/>
      <w:szCs w:val="24"/>
    </w:rPr>
  </w:style>
  <w:style w:type="paragraph" w:customStyle="1" w:styleId="39">
    <w:name w:val="发文落款"/>
    <w:basedOn w:val="34"/>
    <w:unhideWhenUsed/>
    <w:qFormat/>
    <w:uiPriority w:val="99"/>
    <w:pPr>
      <w:ind w:left="4094" w:right="607" w:firstLine="0"/>
      <w:jc w:val="center"/>
    </w:pPr>
    <w:rPr>
      <w:rFonts w:hint="eastAsia" w:cs="仿宋_GB2312"/>
      <w:sz w:val="32"/>
      <w:szCs w:val="32"/>
    </w:rPr>
  </w:style>
  <w:style w:type="character" w:customStyle="1" w:styleId="40">
    <w:name w:val="标题 2 Char"/>
    <w:link w:val="5"/>
    <w:unhideWhenUsed/>
    <w:qFormat/>
    <w:uiPriority w:val="1"/>
    <w:rPr>
      <w:rFonts w:hint="default" w:ascii="宋体" w:hAnsi="宋体" w:eastAsia="宋体"/>
      <w:b/>
      <w:sz w:val="30"/>
      <w:szCs w:val="24"/>
    </w:rPr>
  </w:style>
  <w:style w:type="character" w:customStyle="1" w:styleId="41">
    <w:name w:val="NormalCharacter"/>
    <w:unhideWhenUsed/>
    <w:qFormat/>
    <w:uiPriority w:val="0"/>
    <w:rPr>
      <w:rFonts w:hint="default"/>
      <w:sz w:val="24"/>
      <w:szCs w:val="24"/>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 w:type="paragraph" w:customStyle="1" w:styleId="45">
    <w:name w:val="文二"/>
    <w:basedOn w:val="1"/>
    <w:qFormat/>
    <w:uiPriority w:val="0"/>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14205</Words>
  <Characters>15212</Characters>
  <TotalTime>2</TotalTime>
  <ScaleCrop>false</ScaleCrop>
  <LinksUpToDate>false</LinksUpToDate>
  <CharactersWithSpaces>15722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WPS_656918978</cp:lastModifiedBy>
  <dcterms:modified xsi:type="dcterms:W3CDTF">2025-09-12T00:58:57Z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A1F5804ECB4E4899909007837DB623A9</vt:lpwstr>
  </property>
  <property fmtid="{D5CDD505-2E9C-101B-9397-08002B2CF9AE}" pid="4" name="KSOTemplateDocerSaveRecord">
    <vt:lpwstr>eyJoZGlkIjoiOTM1NzhiNTU1NTg1N2I0N2UzYmE4YjY1NDEyMGZkOWUiLCJ1c2VySWQiOiI2NTY5MTg5NzgifQ==</vt:lpwstr>
  </property>
</Properties>
</file>