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EB2EE">
      <w:pPr>
        <w:wordWrap w:val="0"/>
        <w:autoSpaceDE w:val="0"/>
        <w:autoSpaceDN w:val="0"/>
        <w:spacing w:line="360" w:lineRule="auto"/>
        <w:ind w:firstLine="0" w:firstLineChars="0"/>
        <w:jc w:val="right"/>
        <w:rPr>
          <w:rFonts w:hint="default" w:ascii="宋体" w:hAnsi="宋体"/>
          <w:b/>
          <w:color w:val="auto"/>
          <w:sz w:val="24"/>
          <w:szCs w:val="24"/>
          <w:highlight w:val="none"/>
          <w:u w:val="single"/>
        </w:rPr>
      </w:pPr>
      <w:r>
        <w:rPr>
          <w:rFonts w:hint="eastAsia" w:ascii="宋体" w:hAnsi="宋体"/>
          <w:b/>
          <w:color w:val="auto"/>
          <w:sz w:val="24"/>
          <w:szCs w:val="24"/>
          <w:highlight w:val="none"/>
          <w:u w:val="single"/>
        </w:rPr>
        <w:t>合同编号：</w:t>
      </w:r>
      <w:r>
        <w:rPr>
          <w:rFonts w:hint="eastAsia" w:ascii="宋体" w:hAnsi="宋体"/>
          <w:b/>
          <w:color w:val="auto"/>
          <w:sz w:val="24"/>
          <w:szCs w:val="24"/>
          <w:highlight w:val="none"/>
          <w:u w:val="single"/>
          <w:lang w:val="en-US" w:eastAsia="zh-CN"/>
        </w:rPr>
        <w:t xml:space="preserve">               </w:t>
      </w:r>
    </w:p>
    <w:p w14:paraId="0370940E">
      <w:pPr>
        <w:wordWrap w:val="0"/>
        <w:autoSpaceDE w:val="0"/>
        <w:autoSpaceDN w:val="0"/>
        <w:spacing w:line="360" w:lineRule="auto"/>
        <w:ind w:firstLine="0" w:firstLineChars="0"/>
        <w:jc w:val="right"/>
        <w:rPr>
          <w:rFonts w:hint="default" w:ascii="宋体" w:hAnsi="宋体" w:eastAsia="宋体"/>
          <w:b/>
          <w:color w:val="auto"/>
          <w:sz w:val="24"/>
          <w:szCs w:val="24"/>
          <w:highlight w:val="none"/>
          <w:u w:val="single"/>
          <w:lang w:val="en-US" w:eastAsia="zh-CN"/>
        </w:rPr>
      </w:pPr>
      <w:r>
        <w:rPr>
          <w:rFonts w:hint="eastAsia" w:ascii="宋体" w:hAnsi="宋体"/>
          <w:b/>
          <w:color w:val="auto"/>
          <w:sz w:val="24"/>
          <w:szCs w:val="24"/>
          <w:highlight w:val="none"/>
          <w:u w:val="single"/>
          <w:lang w:val="en-US" w:eastAsia="zh-CN"/>
        </w:rPr>
        <w:t xml:space="preserve">中标通知书编号：               </w:t>
      </w:r>
    </w:p>
    <w:p w14:paraId="6044142C">
      <w:pPr>
        <w:jc w:val="center"/>
        <w:rPr>
          <w:rFonts w:hint="eastAsia" w:ascii="宋体" w:hAnsi="宋体" w:cs="宋体"/>
          <w:b/>
          <w:color w:val="auto"/>
          <w:sz w:val="32"/>
          <w:highlight w:val="none"/>
          <w:u w:val="single"/>
          <w:lang w:val="en-US" w:eastAsia="zh-CN"/>
        </w:rPr>
      </w:pPr>
      <w:bookmarkStart w:id="0" w:name="_Toc184971573"/>
      <w:bookmarkStart w:id="1" w:name="_Toc184813759"/>
      <w:bookmarkStart w:id="2" w:name="_Toc185732531"/>
    </w:p>
    <w:p w14:paraId="568BA9F5">
      <w:pPr>
        <w:jc w:val="center"/>
        <w:rPr>
          <w:rFonts w:hint="eastAsia" w:ascii="方正小标宋_GBK" w:hAnsi="方正小标宋_GBK" w:eastAsia="方正小标宋_GBK" w:cs="方正小标宋_GBK"/>
          <w:b w:val="0"/>
          <w:bCs/>
          <w:color w:val="auto"/>
          <w:sz w:val="48"/>
          <w:szCs w:val="48"/>
          <w:highlight w:val="none"/>
          <w:lang w:val="en-US" w:eastAsia="zh-CN"/>
        </w:rPr>
      </w:pPr>
      <w:r>
        <w:rPr>
          <w:rFonts w:hint="eastAsia" w:ascii="方正小标宋_GBK" w:hAnsi="方正小标宋_GBK" w:eastAsia="方正小标宋_GBK" w:cs="方正小标宋_GBK"/>
          <w:b w:val="0"/>
          <w:bCs/>
          <w:color w:val="auto"/>
          <w:sz w:val="48"/>
          <w:szCs w:val="48"/>
          <w:highlight w:val="none"/>
          <w:lang w:val="en-US" w:eastAsia="zh-CN"/>
        </w:rPr>
        <w:t xml:space="preserve">天河区居民用户老旧共用用水设施改造工程（片区二）第三方检测 </w:t>
      </w:r>
    </w:p>
    <w:p w14:paraId="75975682">
      <w:pPr>
        <w:jc w:val="center"/>
        <w:rPr>
          <w:rFonts w:hint="eastAsia" w:ascii="方正小标宋_GBK" w:hAnsi="方正小标宋_GBK" w:eastAsia="方正小标宋_GBK" w:cs="方正小标宋_GBK"/>
          <w:b w:val="0"/>
          <w:bCs/>
          <w:color w:val="auto"/>
          <w:sz w:val="48"/>
          <w:szCs w:val="48"/>
          <w:highlight w:val="none"/>
        </w:rPr>
      </w:pPr>
      <w:r>
        <w:rPr>
          <w:rFonts w:hint="eastAsia" w:ascii="方正小标宋_GBK" w:hAnsi="方正小标宋_GBK" w:eastAsia="方正小标宋_GBK" w:cs="方正小标宋_GBK"/>
          <w:b w:val="0"/>
          <w:bCs/>
          <w:color w:val="auto"/>
          <w:sz w:val="48"/>
          <w:szCs w:val="48"/>
          <w:highlight w:val="none"/>
        </w:rPr>
        <w:t>技术服务合同</w:t>
      </w:r>
    </w:p>
    <w:p w14:paraId="1F8A1D8C">
      <w:pPr>
        <w:pStyle w:val="4"/>
        <w:rPr>
          <w:rFonts w:hint="eastAsia" w:ascii="宋体" w:hAnsi="宋体" w:cs="宋体"/>
          <w:b/>
          <w:color w:val="auto"/>
          <w:sz w:val="48"/>
          <w:szCs w:val="48"/>
          <w:highlight w:val="none"/>
        </w:rPr>
      </w:pPr>
    </w:p>
    <w:p w14:paraId="6811167C"/>
    <w:p w14:paraId="67FF77F8">
      <w:pPr>
        <w:tabs>
          <w:tab w:val="left" w:pos="630"/>
        </w:tabs>
        <w:spacing w:line="360" w:lineRule="auto"/>
        <w:ind w:firstLine="964" w:firstLineChars="300"/>
        <w:rPr>
          <w:rFonts w:hint="eastAsia" w:ascii="宋体" w:hAnsi="宋体" w:cs="宋体"/>
          <w:b/>
          <w:color w:val="auto"/>
          <w:sz w:val="32"/>
          <w:highlight w:val="none"/>
        </w:rPr>
      </w:pPr>
    </w:p>
    <w:p w14:paraId="65BAA9D6">
      <w:pPr>
        <w:tabs>
          <w:tab w:val="left" w:pos="630"/>
        </w:tabs>
        <w:spacing w:line="360" w:lineRule="auto"/>
        <w:ind w:left="2883" w:leftChars="608" w:hanging="1606" w:hangingChars="500"/>
        <w:rPr>
          <w:rFonts w:hint="eastAsia" w:ascii="宋体" w:hAnsi="宋体" w:eastAsia="宋体" w:cs="宋体"/>
          <w:b/>
          <w:color w:val="auto"/>
          <w:sz w:val="32"/>
          <w:highlight w:val="none"/>
          <w:u w:val="single"/>
          <w:lang w:eastAsia="zh-CN"/>
        </w:rPr>
      </w:pPr>
      <w:r>
        <w:rPr>
          <w:rFonts w:hint="eastAsia" w:ascii="宋体" w:hAnsi="宋体" w:cs="宋体"/>
          <w:b/>
          <w:color w:val="auto"/>
          <w:sz w:val="32"/>
          <w:highlight w:val="none"/>
        </w:rPr>
        <w:t>工程名称：</w:t>
      </w:r>
      <w:r>
        <w:rPr>
          <w:rFonts w:hint="eastAsia" w:ascii="宋体" w:hAnsi="宋体" w:cs="宋体"/>
          <w:b/>
          <w:color w:val="auto"/>
          <w:sz w:val="32"/>
          <w:highlight w:val="none"/>
          <w:u w:val="single"/>
          <w:lang w:eastAsia="zh-CN"/>
        </w:rPr>
        <w:t xml:space="preserve">天河区居民用户老旧共用用水设施改造工程（片区二）第三方检测 </w:t>
      </w:r>
    </w:p>
    <w:p w14:paraId="24456970">
      <w:pPr>
        <w:tabs>
          <w:tab w:val="left" w:pos="630"/>
        </w:tabs>
        <w:spacing w:line="360" w:lineRule="auto"/>
        <w:ind w:firstLine="1285" w:firstLineChars="400"/>
        <w:rPr>
          <w:rFonts w:ascii="宋体" w:hAnsi="宋体" w:cs="宋体"/>
          <w:color w:val="auto"/>
          <w:sz w:val="32"/>
          <w:szCs w:val="32"/>
          <w:highlight w:val="none"/>
        </w:rPr>
      </w:pPr>
      <w:r>
        <w:rPr>
          <w:rFonts w:hint="eastAsia" w:ascii="宋体" w:hAnsi="宋体" w:cs="宋体"/>
          <w:b/>
          <w:color w:val="auto"/>
          <w:sz w:val="32"/>
          <w:szCs w:val="32"/>
          <w:highlight w:val="none"/>
        </w:rPr>
        <w:t>工程地点：</w:t>
      </w:r>
      <w:r>
        <w:rPr>
          <w:rFonts w:hint="eastAsia" w:ascii="宋体" w:hAnsi="宋体" w:cs="宋体"/>
          <w:b/>
          <w:color w:val="auto"/>
          <w:sz w:val="32"/>
          <w:szCs w:val="32"/>
          <w:highlight w:val="none"/>
          <w:u w:val="single"/>
        </w:rPr>
        <w:t>广州市天河区</w:t>
      </w:r>
    </w:p>
    <w:p w14:paraId="67C8A07B">
      <w:pPr>
        <w:spacing w:line="360" w:lineRule="auto"/>
        <w:ind w:firstLine="1280" w:firstLineChars="400"/>
        <w:rPr>
          <w:rFonts w:ascii="宋体" w:hAnsi="宋体" w:cs="宋体"/>
          <w:color w:val="auto"/>
          <w:sz w:val="32"/>
          <w:szCs w:val="32"/>
          <w:highlight w:val="none"/>
        </w:rPr>
      </w:pPr>
    </w:p>
    <w:p w14:paraId="14794F99">
      <w:pPr>
        <w:spacing w:line="360" w:lineRule="auto"/>
        <w:ind w:firstLine="1285" w:firstLineChars="400"/>
        <w:rPr>
          <w:rFonts w:ascii="宋体" w:hAnsi="宋体" w:cs="宋体"/>
          <w:color w:val="auto"/>
          <w:sz w:val="32"/>
          <w:szCs w:val="32"/>
          <w:highlight w:val="none"/>
          <w:u w:val="single"/>
        </w:rPr>
      </w:pPr>
      <w:r>
        <w:rPr>
          <w:rFonts w:hint="eastAsia" w:ascii="宋体" w:hAnsi="宋体" w:cs="宋体"/>
          <w:b/>
          <w:color w:val="auto"/>
          <w:sz w:val="32"/>
          <w:szCs w:val="32"/>
          <w:highlight w:val="none"/>
        </w:rPr>
        <w:t>委托人（甲方）：</w:t>
      </w:r>
      <w:r>
        <w:rPr>
          <w:rFonts w:hint="eastAsia" w:ascii="宋体" w:hAnsi="宋体" w:cs="宋体"/>
          <w:b/>
          <w:bCs/>
          <w:color w:val="auto"/>
          <w:sz w:val="32"/>
          <w:szCs w:val="32"/>
          <w:highlight w:val="none"/>
          <w:u w:val="single"/>
        </w:rPr>
        <w:t>广州市天河区水务设施建设中心</w:t>
      </w:r>
    </w:p>
    <w:p w14:paraId="48CC7CF6">
      <w:pPr>
        <w:tabs>
          <w:tab w:val="left" w:pos="7140"/>
          <w:tab w:val="left" w:pos="7350"/>
        </w:tabs>
        <w:spacing w:line="360" w:lineRule="auto"/>
        <w:ind w:firstLine="1285" w:firstLineChars="4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受托人（乙方）：</w:t>
      </w:r>
      <w:r>
        <w:rPr>
          <w:rFonts w:hint="eastAsia" w:ascii="宋体" w:hAnsi="宋体" w:cs="宋体"/>
          <w:b/>
          <w:color w:val="auto"/>
          <w:sz w:val="32"/>
          <w:szCs w:val="32"/>
          <w:highlight w:val="none"/>
          <w:u w:val="single"/>
          <w:lang w:val="en-US" w:eastAsia="zh-CN"/>
        </w:rPr>
        <w:t xml:space="preserve">                           </w:t>
      </w:r>
    </w:p>
    <w:p w14:paraId="580FD1C4">
      <w:pPr>
        <w:pStyle w:val="10"/>
        <w:spacing w:after="0" w:line="360" w:lineRule="auto"/>
        <w:ind w:firstLine="840" w:firstLineChars="400"/>
        <w:rPr>
          <w:color w:val="auto"/>
          <w:highlight w:val="none"/>
        </w:rPr>
      </w:pPr>
    </w:p>
    <w:p w14:paraId="2AC13AE8">
      <w:pPr>
        <w:pStyle w:val="10"/>
        <w:spacing w:after="0" w:line="360" w:lineRule="auto"/>
        <w:ind w:firstLine="840" w:firstLineChars="400"/>
        <w:rPr>
          <w:color w:val="auto"/>
          <w:highlight w:val="none"/>
        </w:rPr>
      </w:pPr>
    </w:p>
    <w:p w14:paraId="6ADAFC4A">
      <w:pPr>
        <w:tabs>
          <w:tab w:val="left" w:pos="630"/>
        </w:tabs>
        <w:spacing w:line="360" w:lineRule="auto"/>
        <w:ind w:firstLine="1285" w:firstLineChars="400"/>
        <w:rPr>
          <w:rFonts w:hint="eastAsia"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签订地点：</w:t>
      </w:r>
      <w:r>
        <w:rPr>
          <w:rFonts w:hint="eastAsia" w:ascii="宋体" w:hAnsi="宋体" w:cs="宋体"/>
          <w:b/>
          <w:color w:val="auto"/>
          <w:sz w:val="32"/>
          <w:szCs w:val="32"/>
          <w:highlight w:val="none"/>
          <w:u w:val="single"/>
        </w:rPr>
        <w:t>广州市天河区</w:t>
      </w:r>
    </w:p>
    <w:p w14:paraId="75C52D80">
      <w:pPr>
        <w:tabs>
          <w:tab w:val="left" w:pos="630"/>
        </w:tabs>
        <w:spacing w:line="360" w:lineRule="auto"/>
        <w:ind w:firstLine="1285" w:firstLineChars="400"/>
        <w:rPr>
          <w:rFonts w:ascii="宋体" w:hAnsi="宋体"/>
          <w:b/>
          <w:color w:val="auto"/>
          <w:sz w:val="44"/>
          <w:highlight w:val="none"/>
        </w:rPr>
      </w:pPr>
      <w:r>
        <w:rPr>
          <w:rFonts w:hint="eastAsia" w:ascii="宋体" w:hAnsi="宋体" w:cs="宋体"/>
          <w:b/>
          <w:color w:val="auto"/>
          <w:sz w:val="32"/>
          <w:szCs w:val="32"/>
          <w:highlight w:val="none"/>
        </w:rPr>
        <w:t>签订日期：</w:t>
      </w:r>
      <w:r>
        <w:rPr>
          <w:rFonts w:hint="eastAsia" w:ascii="宋体" w:hAnsi="宋体" w:cs="宋体"/>
          <w:b/>
          <w:color w:val="auto"/>
          <w:sz w:val="32"/>
          <w:szCs w:val="32"/>
          <w:highlight w:val="none"/>
          <w:lang w:val="en-US" w:eastAsia="zh-CN"/>
        </w:rPr>
        <w:t>2025年   月    日</w:t>
      </w:r>
    </w:p>
    <w:p w14:paraId="4059308F">
      <w:pPr>
        <w:pStyle w:val="10"/>
        <w:ind w:firstLine="210"/>
        <w:rPr>
          <w:color w:val="auto"/>
          <w:highlight w:val="none"/>
        </w:rPr>
        <w:sectPr>
          <w:footerReference r:id="rId4" w:type="first"/>
          <w:footerReference r:id="rId3" w:type="default"/>
          <w:pgSz w:w="11850" w:h="16783"/>
          <w:pgMar w:top="1417" w:right="1417" w:bottom="1134" w:left="1417" w:header="851" w:footer="992" w:gutter="0"/>
          <w:pgNumType w:fmt="decimal" w:chapStyle="1"/>
          <w:cols w:space="720" w:num="1"/>
          <w:titlePg/>
          <w:docGrid w:type="lines" w:linePitch="312" w:charSpace="0"/>
        </w:sectPr>
      </w:pPr>
    </w:p>
    <w:p w14:paraId="113F9C84">
      <w:pPr>
        <w:adjustRightInd w:val="0"/>
        <w:spacing w:line="360" w:lineRule="auto"/>
        <w:ind w:firstLine="0" w:firstLineChars="0"/>
        <w:jc w:val="center"/>
        <w:rPr>
          <w:rFonts w:hint="eastAsia" w:ascii="宋体" w:hAnsi="宋体"/>
          <w:b/>
          <w:bCs w:val="0"/>
          <w:color w:val="auto"/>
          <w:sz w:val="48"/>
          <w:szCs w:val="44"/>
          <w:highlight w:val="none"/>
          <w:lang w:val="en-US" w:eastAsia="zh-CN"/>
        </w:rPr>
      </w:pPr>
      <w:r>
        <w:rPr>
          <w:rFonts w:hint="eastAsia" w:ascii="宋体" w:hAnsi="宋体"/>
          <w:b/>
          <w:bCs w:val="0"/>
          <w:color w:val="auto"/>
          <w:sz w:val="48"/>
          <w:szCs w:val="44"/>
          <w:highlight w:val="none"/>
          <w:lang w:val="en-US" w:eastAsia="zh-CN"/>
        </w:rPr>
        <w:t>合同协议书</w:t>
      </w:r>
    </w:p>
    <w:p w14:paraId="56C78BA2">
      <w:pPr>
        <w:adjustRightInd w:val="0"/>
        <w:spacing w:line="360" w:lineRule="auto"/>
        <w:ind w:firstLine="562" w:firstLineChars="200"/>
        <w:rPr>
          <w:rFonts w:ascii="宋体" w:hAnsi="宋体"/>
          <w:b/>
          <w:color w:val="auto"/>
          <w:sz w:val="28"/>
          <w:highlight w:val="none"/>
          <w:u w:val="single"/>
        </w:rPr>
      </w:pPr>
      <w:r>
        <w:rPr>
          <w:rFonts w:hint="eastAsia" w:ascii="宋体" w:hAnsi="宋体"/>
          <w:b/>
          <w:color w:val="auto"/>
          <w:sz w:val="28"/>
          <w:highlight w:val="none"/>
        </w:rPr>
        <w:t>委托人（甲方）：</w:t>
      </w:r>
      <w:r>
        <w:rPr>
          <w:rFonts w:hint="eastAsia" w:ascii="宋体" w:hAnsi="宋体"/>
          <w:b/>
          <w:color w:val="auto"/>
          <w:sz w:val="28"/>
          <w:highlight w:val="none"/>
          <w:u w:val="single"/>
        </w:rPr>
        <w:t>广州市天河区水务设施建设中心</w:t>
      </w:r>
    </w:p>
    <w:p w14:paraId="5EDA6C58">
      <w:pPr>
        <w:tabs>
          <w:tab w:val="left" w:pos="7140"/>
          <w:tab w:val="left" w:pos="7350"/>
        </w:tabs>
        <w:spacing w:line="360" w:lineRule="auto"/>
        <w:ind w:firstLine="562" w:firstLineChars="200"/>
        <w:rPr>
          <w:rFonts w:hint="default" w:ascii="宋体" w:hAnsi="宋体" w:eastAsia="宋体" w:cs="宋体"/>
          <w:b/>
          <w:bCs/>
          <w:color w:val="auto"/>
          <w:sz w:val="28"/>
          <w:szCs w:val="28"/>
          <w:highlight w:val="none"/>
          <w:u w:val="single"/>
          <w:lang w:val="en-US" w:eastAsia="zh-CN"/>
        </w:rPr>
      </w:pPr>
      <w:r>
        <w:rPr>
          <w:rFonts w:hint="eastAsia" w:ascii="宋体" w:hAnsi="宋体"/>
          <w:b/>
          <w:color w:val="auto"/>
          <w:sz w:val="28"/>
          <w:highlight w:val="none"/>
        </w:rPr>
        <w:t>受托人（乙方）：</w:t>
      </w:r>
      <w:r>
        <w:rPr>
          <w:rFonts w:hint="eastAsia" w:ascii="宋体" w:hAnsi="宋体" w:cs="Times New Roman"/>
          <w:b/>
          <w:color w:val="auto"/>
          <w:sz w:val="28"/>
          <w:highlight w:val="none"/>
          <w:u w:val="single"/>
          <w:lang w:val="en-US" w:eastAsia="zh-CN"/>
        </w:rPr>
        <w:t xml:space="preserve">                            </w:t>
      </w:r>
    </w:p>
    <w:p w14:paraId="75CD680E">
      <w:pPr>
        <w:spacing w:beforeLines="50"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根据《中华人民共和国民法典》及国家有关法律、法规的规定，甲、乙双方在平等、自愿、等价有偿、公平、诚实信用的基础上，经公开招标确定，甲方委托乙方承担</w:t>
      </w:r>
      <w:r>
        <w:rPr>
          <w:rFonts w:hint="eastAsia" w:ascii="宋体" w:hAnsi="宋体" w:cs="宋体"/>
          <w:b w:val="0"/>
          <w:bCs/>
          <w:color w:val="auto"/>
          <w:sz w:val="24"/>
          <w:szCs w:val="24"/>
          <w:highlight w:val="none"/>
          <w:u w:val="single"/>
          <w:lang w:val="en-US" w:eastAsia="zh-CN"/>
        </w:rPr>
        <w:t xml:space="preserve"> 天河区居民用户老旧共用用水设施改造工程（片区二）第三方检测 </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工作达成一致意见，特签订本合同，以资信守。</w:t>
      </w:r>
    </w:p>
    <w:p w14:paraId="25C6914B">
      <w:pPr>
        <w:adjustRightInd w:val="0"/>
        <w:spacing w:line="360" w:lineRule="auto"/>
        <w:ind w:firstLine="482" w:firstLineChars="200"/>
        <w:outlineLvl w:val="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第一条  工程概况</w:t>
      </w:r>
    </w:p>
    <w:p w14:paraId="38A6D0A3">
      <w:pPr>
        <w:adjustRightInd w:val="0"/>
        <w:spacing w:line="360" w:lineRule="auto"/>
        <w:ind w:firstLine="480" w:firstLineChars="200"/>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1、工程名称：</w:t>
      </w:r>
      <w:r>
        <w:rPr>
          <w:rFonts w:hint="eastAsia" w:ascii="宋体" w:hAnsi="宋体" w:cs="宋体"/>
          <w:b w:val="0"/>
          <w:bCs/>
          <w:color w:val="auto"/>
          <w:sz w:val="24"/>
          <w:szCs w:val="24"/>
          <w:highlight w:val="none"/>
          <w:u w:val="single"/>
          <w:lang w:val="en-US" w:eastAsia="zh-CN"/>
        </w:rPr>
        <w:t xml:space="preserve"> 天河区居民用户老旧共用用水设施改造工程（片区二）第三方检测 </w:t>
      </w:r>
    </w:p>
    <w:p w14:paraId="320D726B">
      <w:pPr>
        <w:adjustRightIn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2、工程地点：广州市天河区</w:t>
      </w:r>
    </w:p>
    <w:p w14:paraId="340CD514">
      <w:pPr>
        <w:adjustRightInd w:val="0"/>
        <w:spacing w:line="360" w:lineRule="auto"/>
        <w:ind w:firstLine="482" w:firstLineChars="200"/>
        <w:outlineLvl w:val="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第二条  服务范围</w:t>
      </w:r>
      <w:r>
        <w:rPr>
          <w:rFonts w:hint="eastAsia" w:ascii="宋体" w:hAnsi="宋体" w:cs="宋体"/>
          <w:b/>
          <w:color w:val="auto"/>
          <w:sz w:val="24"/>
          <w:highlight w:val="none"/>
          <w:lang w:val="en-US" w:eastAsia="zh-CN"/>
        </w:rPr>
        <w:t>及质量要求</w:t>
      </w:r>
    </w:p>
    <w:p w14:paraId="7DF5EAC1">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承担对本工程由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cs="宋体"/>
          <w:bCs/>
          <w:color w:val="auto"/>
          <w:sz w:val="24"/>
          <w:highlight w:val="none"/>
        </w:rPr>
        <w:t>工作</w:t>
      </w:r>
      <w:r>
        <w:rPr>
          <w:rFonts w:hint="eastAsia" w:ascii="宋体" w:hAnsi="宋体" w:cs="宋体"/>
          <w:color w:val="auto"/>
          <w:sz w:val="24"/>
          <w:highlight w:val="none"/>
        </w:rPr>
        <w:t>，检测数据</w:t>
      </w:r>
      <w:bookmarkStart w:id="3" w:name="_Hlk82701294"/>
      <w:r>
        <w:rPr>
          <w:rFonts w:hint="eastAsia" w:ascii="宋体" w:hAnsi="宋体" w:cs="宋体"/>
          <w:color w:val="auto"/>
          <w:sz w:val="24"/>
          <w:highlight w:val="none"/>
        </w:rPr>
        <w:t>信息连接广州市水务监管系统，并进行传输报送等工作，应承担的检</w:t>
      </w:r>
      <w:r>
        <w:rPr>
          <w:rFonts w:hint="eastAsia" w:ascii="宋体" w:hAnsi="宋体" w:cs="宋体"/>
          <w:color w:val="auto"/>
          <w:sz w:val="24"/>
          <w:highlight w:val="none"/>
          <w:lang w:val="en-US" w:eastAsia="zh-CN"/>
        </w:rPr>
        <w:t>验监测</w:t>
      </w:r>
      <w:r>
        <w:rPr>
          <w:rFonts w:hint="eastAsia" w:ascii="宋体" w:hAnsi="宋体" w:cs="宋体"/>
          <w:color w:val="auto"/>
          <w:sz w:val="24"/>
          <w:highlight w:val="none"/>
        </w:rPr>
        <w:t>主要内容包括但不限于：</w:t>
      </w:r>
      <w:bookmarkEnd w:id="3"/>
    </w:p>
    <w:p w14:paraId="513CDF9D">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按国家现行的规范及规定，代表招标人对天河区居民用户老旧共用用水设施改造工程（片区二）开展材料（抽样）检测、中间产品检测、实体结构检测、基础检测、金属结构检测、机械电气检测、基坑监测、量测测量、水压功能性检测等（不含水质检测）,为业主提供工程质量、安全方面的检测数据等服务工作。（实际检测项目及数量以施工图纸和相关规范确定并经甲方确认的检测方案为准）</w:t>
      </w:r>
    </w:p>
    <w:p w14:paraId="5A786E03">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服务范围除以上工程检测监测、试验工作外，还包括但不限于以下内容：</w:t>
      </w:r>
    </w:p>
    <w:p w14:paraId="4D5AC889">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①与工程所在行政区域的相关水务行政主管部门和监督部门进行检测工作的沟通协调；及时出具检测数据、成果，确保检测工作不影响工程项目的建设进度和竣工验收。</w:t>
      </w:r>
    </w:p>
    <w:p w14:paraId="596B321F">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②在进行检测监测任务的过程中与该工程相关的施工单位、监理单位、设计单位、行业主管部门等相关单位的协调工作，投标人需在投标报价中综合考虑该项协调工作的费用。</w:t>
      </w:r>
    </w:p>
    <w:p w14:paraId="0A9CDA45">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③检测数据通过“广州市水务工程质量检测监管系统”进行传输报送，确保不因传输报送工作影响本工程项目的建设进度和竣工验收。</w:t>
      </w:r>
    </w:p>
    <w:p w14:paraId="4594D150">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检测监测的要求：依据《建设工程质量检测管理办法》（建设部令第141号）及国家现行有关规范要求，根据本项目检测监测服务内容，中标人制定检测监测方案（含细化工程量清单），并报监理和招标人审批同意后，方可实施。各专业项目进行实际检测监测前，需将具体检测监测方案和工程量报监理和招标人审批同意后方可进行。未经招标人审批同意擅自检测监测的，产生的相关检测监测费招标人不予认可，由中标单位自负。中标人按照审批同意的工程量检测监测清单进场检测监测，实施过程中做好现场拍照留底记录，实际发生的检测监测工程量须由监理和招标人现场负责人书面确认，否则不予结算。招标人有权根据行业主管部门要求增加或减少计划表所列检测监测方法和数量。</w:t>
      </w:r>
    </w:p>
    <w:p w14:paraId="3D34BB06">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w:t>
      </w:r>
    </w:p>
    <w:p w14:paraId="4583688A">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注：以上3点工作</w:t>
      </w:r>
      <w:r>
        <w:rPr>
          <w:rFonts w:hint="eastAsia" w:ascii="宋体" w:hAnsi="宋体" w:cs="宋体"/>
          <w:color w:val="auto"/>
          <w:sz w:val="24"/>
          <w:highlight w:val="none"/>
        </w:rPr>
        <w:t>具体以检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监测相关法律、法规、地方或行业规定应由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lang w:val="en-US" w:eastAsia="zh-CN"/>
        </w:rPr>
        <w:t>本工程</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含三维雷达探测，包含检测监测清单没有列明或数量超过的项目需要检验监测项</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工程图纸</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以及后续的相关资料和现场条件为准</w:t>
      </w:r>
      <w:r>
        <w:rPr>
          <w:rFonts w:hint="eastAsia" w:ascii="宋体" w:hAnsi="宋体" w:cs="宋体"/>
          <w:color w:val="auto"/>
          <w:sz w:val="24"/>
          <w:highlight w:val="none"/>
          <w:lang w:eastAsia="zh-CN"/>
        </w:rPr>
        <w:t>。</w:t>
      </w:r>
    </w:p>
    <w:p w14:paraId="519874B0">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服务范围除以上</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外，还包括：</w:t>
      </w:r>
    </w:p>
    <w:p w14:paraId="77F47B43">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与工程所在行政区域的相关建设行政主管部门（或水行政主管部门）和监督部门进行检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监测工作的协调，申报检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监测技术成果的审批。保证技术成果能够通过相关部门认可，确保不因检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监测工作和建筑物主体沉降监测工作而影响本工程项目的建设进度和竣工验收。</w:t>
      </w:r>
    </w:p>
    <w:p w14:paraId="382E5269">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做好与施工单位、监理单位、设计单位、咨询单位等相关单位的协调工作，该项协调工作的费用已在投标报价中综合考虑，乙方不得要求甲方另行支付。</w:t>
      </w:r>
    </w:p>
    <w:p w14:paraId="3FF5DA23">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监测数据信息须连接广州市水务监管系统，并进行传输报送。</w:t>
      </w:r>
    </w:p>
    <w:p w14:paraId="434ADC15">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234D5B0C">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w:t>
      </w:r>
    </w:p>
    <w:p w14:paraId="34A6E852">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⑥</w:t>
      </w:r>
      <w:r>
        <w:rPr>
          <w:rFonts w:hint="eastAsia" w:ascii="宋体" w:hAnsi="宋体" w:cs="宋体"/>
          <w:color w:val="auto"/>
          <w:sz w:val="24"/>
          <w:highlight w:val="none"/>
        </w:rPr>
        <w:t>检验监测合同签订后，检测单位应按相关规范要求，结合设计图纸、施工方案制定检验监测实施计划（方案），并确保检测内容满足项目验收要求。实施计划（方案）应征求施工单位意见，经监理单位、</w:t>
      </w:r>
      <w:r>
        <w:rPr>
          <w:rFonts w:hint="eastAsia" w:ascii="宋体" w:hAnsi="宋体" w:cs="宋体"/>
          <w:color w:val="auto"/>
          <w:sz w:val="24"/>
          <w:highlight w:val="none"/>
          <w:lang w:eastAsia="zh-CN"/>
        </w:rPr>
        <w:t>甲方</w:t>
      </w:r>
      <w:r>
        <w:rPr>
          <w:rFonts w:hint="eastAsia" w:ascii="宋体" w:hAnsi="宋体" w:cs="宋体"/>
          <w:color w:val="auto"/>
          <w:sz w:val="24"/>
          <w:highlight w:val="none"/>
        </w:rPr>
        <w:t>单位审批同意方可实施。实施计划（方案）应包含检测工作的全部工作明细和费用预算，检测总费用不得超过合同约定费用。</w:t>
      </w:r>
    </w:p>
    <w:p w14:paraId="30B264CD">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eastAsia="宋体" w:cs="宋体"/>
          <w:color w:val="auto"/>
          <w:sz w:val="24"/>
          <w:highlight w:val="none"/>
          <w:u w:val="none"/>
          <w:lang w:val="en-US" w:eastAsia="zh-CN"/>
        </w:rPr>
        <w:t>⑦</w:t>
      </w:r>
      <w:r>
        <w:rPr>
          <w:rFonts w:hint="eastAsia" w:ascii="宋体" w:hAnsi="宋体" w:cs="宋体"/>
          <w:color w:val="auto"/>
          <w:sz w:val="24"/>
          <w:highlight w:val="none"/>
        </w:rPr>
        <w:t>对于“危险性较大的分部分项工程安全管理规定”中的危大工程，乙方应当按规定编制监测方案</w:t>
      </w:r>
      <w:r>
        <w:rPr>
          <w:rFonts w:hint="eastAsia" w:ascii="宋体" w:hAnsi="宋体" w:cs="宋体"/>
          <w:color w:val="auto"/>
          <w:sz w:val="24"/>
          <w:highlight w:val="none"/>
          <w:lang w:eastAsia="zh-CN"/>
        </w:rPr>
        <w:t>，</w:t>
      </w:r>
      <w:r>
        <w:rPr>
          <w:rFonts w:hint="eastAsia" w:ascii="宋体" w:hAnsi="宋体" w:cs="宋体"/>
          <w:color w:val="auto"/>
          <w:sz w:val="24"/>
          <w:highlight w:val="none"/>
        </w:rPr>
        <w:t>进行第三方监测的危大工程监测方案的主要内容应当包括工程概况、监测依据、监测内容、监测方法、人员及设备、测点布置与保护、监测频次、预警标准及监测成果报送等。监测方案由乙方技术负责人审核签字并加盖单位公章，报送监理单位</w:t>
      </w:r>
      <w:r>
        <w:rPr>
          <w:rFonts w:hint="eastAsia" w:ascii="宋体" w:hAnsi="宋体" w:cs="宋体"/>
          <w:color w:val="auto"/>
          <w:sz w:val="24"/>
          <w:highlight w:val="none"/>
          <w:lang w:val="en-US" w:eastAsia="zh-CN"/>
        </w:rPr>
        <w:t>和甲方书面确认后</w:t>
      </w:r>
      <w:r>
        <w:rPr>
          <w:rFonts w:hint="eastAsia" w:ascii="宋体" w:hAnsi="宋体" w:cs="宋体"/>
          <w:color w:val="auto"/>
          <w:sz w:val="24"/>
          <w:highlight w:val="none"/>
        </w:rPr>
        <w:t>后方可实施。乙方应当按照监测方案开展监测，及时向甲方报送监测成果，并对监测成果负责；发现异常时，及时向建设、设计、施工、监理单位报告，并配合甲方组织相关单位采取处置措施。</w:t>
      </w:r>
    </w:p>
    <w:p w14:paraId="07356EC7">
      <w:pPr>
        <w:adjustRightInd w:val="0"/>
        <w:spacing w:line="360" w:lineRule="auto"/>
        <w:ind w:firstLine="480" w:firstLineChars="200"/>
        <w:outlineLvl w:val="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u w:val="none"/>
          <w:lang w:val="en-US" w:eastAsia="zh-CN"/>
        </w:rPr>
        <w:t>甲方根据上级主管部门有关要求，结合项目实施进展情况，有权按照相关规范要求对检验监测内容进行调</w:t>
      </w:r>
      <w:bookmarkStart w:id="7" w:name="_GoBack"/>
      <w:bookmarkEnd w:id="7"/>
      <w:r>
        <w:rPr>
          <w:rFonts w:hint="eastAsia" w:ascii="宋体" w:hAnsi="宋体" w:eastAsia="宋体" w:cs="宋体"/>
          <w:color w:val="auto"/>
          <w:sz w:val="24"/>
          <w:highlight w:val="none"/>
          <w:u w:val="none"/>
          <w:lang w:val="en-US" w:eastAsia="zh-CN"/>
        </w:rPr>
        <w:t>整，</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须积极配合甲方的调整工作并快速响应开展检验监测任务。不得以工作量大小或预算金额大小为由拒绝提供服务，否则甲方有权提前终止检验监测服务合同并要求</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赔偿甲方相关经济损失。</w:t>
      </w:r>
    </w:p>
    <w:p w14:paraId="10B1A240">
      <w:pPr>
        <w:adjustRightInd w:val="0"/>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⑨</w:t>
      </w:r>
      <w:r>
        <w:rPr>
          <w:rFonts w:hint="eastAsia" w:ascii="宋体" w:hAnsi="宋体" w:eastAsia="宋体" w:cs="宋体"/>
          <w:color w:val="auto"/>
          <w:sz w:val="24"/>
          <w:szCs w:val="24"/>
          <w:highlight w:val="none"/>
          <w:lang w:val="en-US" w:eastAsia="zh-CN"/>
        </w:rPr>
        <w:t>如因设计变更、现场条件发生变化等原因导致检测工作内容或检测费用与实施计划（方案）不同，检测单位应提前以书面形式报告监理、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单位，并需经监理、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单位审批同意方可实施。</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代表应将需变化调整情况及时报告中心副主任、主任，如需变更则及时办理变更手续。</w:t>
      </w:r>
    </w:p>
    <w:p w14:paraId="2D44ED5C">
      <w:pPr>
        <w:spacing w:line="360" w:lineRule="auto"/>
        <w:ind w:firstLine="482"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质量要求：</w:t>
      </w:r>
      <w:r>
        <w:rPr>
          <w:rFonts w:hint="eastAsia" w:ascii="宋体" w:hAnsi="宋体" w:cs="宋体"/>
          <w:b/>
          <w:bCs/>
          <w:color w:val="auto"/>
          <w:sz w:val="24"/>
          <w:highlight w:val="none"/>
        </w:rPr>
        <w:t>检</w:t>
      </w:r>
      <w:r>
        <w:rPr>
          <w:rFonts w:hint="eastAsia" w:ascii="宋体" w:hAnsi="宋体" w:eastAsia="宋体" w:cs="宋体"/>
          <w:b/>
          <w:bCs/>
          <w:color w:val="auto"/>
          <w:sz w:val="24"/>
          <w:szCs w:val="24"/>
          <w:highlight w:val="none"/>
          <w:lang w:val="en-US" w:eastAsia="zh-CN"/>
        </w:rPr>
        <w:t>验监测</w:t>
      </w:r>
      <w:r>
        <w:rPr>
          <w:rFonts w:hint="eastAsia" w:ascii="宋体" w:hAnsi="宋体" w:cs="宋体"/>
          <w:color w:val="auto"/>
          <w:sz w:val="24"/>
          <w:highlight w:val="none"/>
          <w:u w:val="none"/>
          <w:lang w:val="en-US" w:eastAsia="zh-CN"/>
        </w:rPr>
        <w:t>符合国家</w:t>
      </w:r>
      <w:r>
        <w:rPr>
          <w:rFonts w:hint="eastAsia" w:ascii="宋体" w:hAnsi="宋体" w:eastAsia="宋体" w:cs="宋体"/>
          <w:color w:val="auto"/>
          <w:sz w:val="24"/>
          <w:highlight w:val="none"/>
          <w:u w:val="none"/>
          <w:lang w:val="en-US" w:eastAsia="zh-CN"/>
        </w:rPr>
        <w:t>法律法规要求，并且符合甲方发布的《</w:t>
      </w:r>
      <w:r>
        <w:rPr>
          <w:rFonts w:hint="eastAsia" w:ascii="宋体" w:hAnsi="宋体" w:eastAsia="宋体" w:cs="宋体"/>
          <w:b w:val="0"/>
          <w:color w:val="auto"/>
          <w:sz w:val="24"/>
          <w:szCs w:val="24"/>
          <w:highlight w:val="none"/>
          <w:lang w:val="en-US" w:eastAsia="zh-CN"/>
        </w:rPr>
        <w:t>水务工程</w:t>
      </w:r>
      <w:r>
        <w:rPr>
          <w:rFonts w:hint="eastAsia" w:ascii="宋体" w:hAnsi="宋体" w:eastAsia="宋体" w:cs="宋体"/>
          <w:b w:val="0"/>
          <w:color w:val="auto"/>
          <w:sz w:val="24"/>
          <w:szCs w:val="24"/>
          <w:highlight w:val="none"/>
        </w:rPr>
        <w:t>检验监测工作</w:t>
      </w:r>
      <w:r>
        <w:rPr>
          <w:rFonts w:hint="eastAsia" w:ascii="宋体" w:hAnsi="宋体" w:eastAsia="宋体" w:cs="宋体"/>
          <w:b w:val="0"/>
          <w:color w:val="auto"/>
          <w:sz w:val="24"/>
          <w:szCs w:val="24"/>
          <w:highlight w:val="none"/>
          <w:lang w:val="en-US" w:eastAsia="zh-CN"/>
        </w:rPr>
        <w:t>管理制度</w:t>
      </w:r>
      <w:r>
        <w:rPr>
          <w:rFonts w:hint="eastAsia" w:ascii="宋体" w:hAnsi="宋体" w:eastAsia="宋体" w:cs="宋体"/>
          <w:color w:val="auto"/>
          <w:sz w:val="24"/>
          <w:highlight w:val="none"/>
          <w:u w:val="none"/>
          <w:lang w:val="en-US" w:eastAsia="zh-CN"/>
        </w:rPr>
        <w:t>》要求。</w:t>
      </w:r>
    </w:p>
    <w:p w14:paraId="16F2250F">
      <w:pPr>
        <w:rPr>
          <w:rFonts w:hint="eastAsia"/>
          <w:lang w:val="en-US" w:eastAsia="zh-CN"/>
        </w:rPr>
      </w:pPr>
    </w:p>
    <w:p w14:paraId="243BF757">
      <w:pPr>
        <w:widowControl/>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第三条 </w:t>
      </w:r>
      <w:r>
        <w:rPr>
          <w:rFonts w:hint="eastAsia" w:ascii="宋体" w:hAnsi="宋体" w:cs="宋体"/>
          <w:b/>
          <w:color w:val="auto"/>
          <w:sz w:val="24"/>
          <w:highlight w:val="none"/>
          <w:lang w:eastAsia="zh-CN"/>
        </w:rPr>
        <w:t>检验监测</w:t>
      </w:r>
      <w:r>
        <w:rPr>
          <w:rFonts w:hint="eastAsia" w:ascii="宋体" w:hAnsi="宋体" w:cs="宋体"/>
          <w:b/>
          <w:color w:val="auto"/>
          <w:sz w:val="24"/>
          <w:highlight w:val="none"/>
        </w:rPr>
        <w:t>服务期</w:t>
      </w:r>
    </w:p>
    <w:p w14:paraId="54C4F4B2">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从合同签订之日起至所有检验项目完成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暂定为 </w:t>
      </w:r>
      <w:r>
        <w:rPr>
          <w:rFonts w:hint="eastAsia" w:ascii="宋体" w:hAnsi="宋体" w:cs="宋体"/>
          <w:color w:val="auto"/>
          <w:sz w:val="24"/>
          <w:highlight w:val="none"/>
          <w:u w:val="single"/>
          <w:lang w:val="en-US" w:eastAsia="zh-CN"/>
        </w:rPr>
        <w:t xml:space="preserve">2025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至 202  年月   日</w:t>
      </w:r>
      <w:r>
        <w:rPr>
          <w:rFonts w:hint="eastAsia" w:ascii="宋体" w:hAnsi="宋体" w:cs="宋体"/>
          <w:color w:val="auto"/>
          <w:sz w:val="24"/>
          <w:highlight w:val="none"/>
          <w:lang w:val="en-US" w:eastAsia="zh-CN"/>
        </w:rPr>
        <w:t>，具体以本项目竣工验收时间为准</w:t>
      </w:r>
      <w:r>
        <w:rPr>
          <w:rFonts w:hint="eastAsia" w:ascii="宋体" w:hAnsi="宋体" w:cs="宋体"/>
          <w:color w:val="auto"/>
          <w:sz w:val="24"/>
          <w:highlight w:val="none"/>
          <w:lang w:eastAsia="zh-CN"/>
        </w:rPr>
        <w:t>）</w:t>
      </w:r>
      <w:r>
        <w:rPr>
          <w:rFonts w:hint="eastAsia" w:ascii="宋体" w:hAnsi="宋体" w:cs="宋体"/>
          <w:color w:val="auto"/>
          <w:sz w:val="24"/>
          <w:highlight w:val="none"/>
        </w:rPr>
        <w:t>，服务周期必须满足实际施工要求。进场日期以甲方通知时间为准</w:t>
      </w:r>
      <w:r>
        <w:rPr>
          <w:rFonts w:hint="eastAsia" w:ascii="宋体" w:hAnsi="宋体" w:cs="宋体"/>
          <w:color w:val="auto"/>
          <w:sz w:val="24"/>
          <w:highlight w:val="none"/>
          <w:lang w:eastAsia="zh-CN"/>
        </w:rPr>
        <w:t>。</w:t>
      </w:r>
    </w:p>
    <w:p w14:paraId="05B6234D">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第四条  检测费用、结算方式及付款方式</w:t>
      </w:r>
    </w:p>
    <w:p w14:paraId="03AC79A9">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（一）检测费用</w:t>
      </w:r>
    </w:p>
    <w:p w14:paraId="4696AFFE">
      <w:pPr>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Cs/>
          <w:color w:val="auto"/>
          <w:sz w:val="24"/>
          <w:highlight w:val="none"/>
          <w:lang w:val="en-US" w:eastAsia="zh-CN"/>
        </w:rPr>
        <w:t>暂定</w:t>
      </w:r>
      <w:r>
        <w:rPr>
          <w:rFonts w:hint="eastAsia" w:ascii="宋体" w:hAnsi="宋体" w:cs="宋体"/>
          <w:bCs/>
          <w:color w:val="auto"/>
          <w:sz w:val="24"/>
          <w:highlight w:val="none"/>
        </w:rPr>
        <w:t>服务费总额为</w:t>
      </w:r>
      <w:r>
        <w:rPr>
          <w:rFonts w:hint="eastAsia" w:ascii="宋体" w:hAnsi="宋体" w:eastAsia="宋体" w:cs="宋体"/>
          <w:bCs/>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eastAsia="宋体" w:cs="宋体"/>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大写：</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none"/>
        </w:rPr>
        <w:t>）</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投标</w:t>
      </w:r>
      <w:r>
        <w:rPr>
          <w:rFonts w:hint="eastAsia" w:ascii="宋体" w:hAnsi="宋体" w:cs="宋体"/>
          <w:bCs/>
          <w:color w:val="auto"/>
          <w:sz w:val="24"/>
          <w:highlight w:val="none"/>
        </w:rPr>
        <w:t>下浮率为</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下浮率=（最高限价总价-</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总价）/最高限价总价*100%）</w:t>
      </w:r>
      <w:r>
        <w:rPr>
          <w:rFonts w:hint="eastAsia" w:ascii="宋体" w:hAnsi="宋体" w:cs="宋体"/>
          <w:color w:val="auto"/>
          <w:sz w:val="24"/>
          <w:highlight w:val="none"/>
        </w:rPr>
        <w:t>，</w:t>
      </w:r>
      <w:r>
        <w:rPr>
          <w:rFonts w:hint="eastAsia" w:ascii="宋体" w:hAnsi="宋体" w:cs="宋体"/>
          <w:bCs/>
          <w:color w:val="auto"/>
          <w:sz w:val="24"/>
          <w:highlight w:val="none"/>
        </w:rPr>
        <w:t>该费用已包含所有实物工作收费、技术工作收费、取样、试验、利润、税金等全部费用。</w:t>
      </w:r>
      <w:r>
        <w:rPr>
          <w:rFonts w:hint="eastAsia" w:ascii="宋体" w:hAnsi="宋体" w:cs="宋体"/>
          <w:bCs/>
          <w:color w:val="auto"/>
          <w:sz w:val="24"/>
          <w:highlight w:val="none"/>
          <w:lang w:val="en-US" w:eastAsia="zh-CN"/>
        </w:rPr>
        <w:t>原则上，乙方应统筹使用本项目检验监测费用，确保项目顺利完成竣工验收且费用控制在合同价内，</w:t>
      </w:r>
      <w:r>
        <w:rPr>
          <w:rFonts w:hint="eastAsia" w:ascii="宋体" w:hAnsi="宋体" w:cs="宋体"/>
          <w:bCs/>
          <w:color w:val="auto"/>
          <w:sz w:val="24"/>
          <w:highlight w:val="none"/>
        </w:rPr>
        <w:t>除上述</w:t>
      </w:r>
      <w:r>
        <w:rPr>
          <w:rFonts w:hint="eastAsia" w:ascii="宋体" w:hAnsi="宋体" w:cs="宋体"/>
          <w:bCs/>
          <w:color w:val="auto"/>
          <w:sz w:val="24"/>
          <w:highlight w:val="none"/>
          <w:lang w:val="en-US" w:eastAsia="zh-CN"/>
        </w:rPr>
        <w:t>检验监测</w:t>
      </w:r>
      <w:r>
        <w:rPr>
          <w:rFonts w:hint="eastAsia" w:ascii="宋体" w:hAnsi="宋体" w:cs="宋体"/>
          <w:bCs/>
          <w:color w:val="auto"/>
          <w:sz w:val="24"/>
          <w:highlight w:val="none"/>
        </w:rPr>
        <w:t>外，乙方不得以任何理由取消检测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内容，乙方不得以任何理由再要求甲方支付任何费用。</w:t>
      </w:r>
    </w:p>
    <w:p w14:paraId="21FA8041">
      <w:pPr>
        <w:pStyle w:val="10"/>
        <w:adjustRightInd w:val="0"/>
        <w:spacing w:after="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（二）结算方式</w:t>
      </w:r>
    </w:p>
    <w:p w14:paraId="67BC314B">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（1）中标总价仅作为签订合同的依据，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作为拨付进度款的依据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w:t>
      </w:r>
      <w:r>
        <w:rPr>
          <w:rFonts w:hint="eastAsia" w:ascii="宋体" w:hAnsi="宋体" w:cs="宋体"/>
          <w:color w:val="auto"/>
          <w:sz w:val="24"/>
          <w:highlight w:val="none"/>
        </w:rPr>
        <w:t>不作为结算的依据</w:t>
      </w:r>
      <w:r>
        <w:rPr>
          <w:rFonts w:hint="eastAsia" w:ascii="宋体" w:hAnsi="宋体" w:cs="宋体"/>
          <w:color w:val="auto"/>
          <w:sz w:val="24"/>
          <w:highlight w:val="none"/>
          <w:lang w:eastAsia="zh-CN"/>
        </w:rPr>
        <w:t>。</w:t>
      </w:r>
    </w:p>
    <w:p w14:paraId="10CB1126">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工程量根据经甲方或质量监督部门审批确认的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方案并经监理单位、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确认的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成果报告</w:t>
      </w:r>
      <w:r>
        <w:rPr>
          <w:rFonts w:hint="eastAsia" w:ascii="宋体" w:hAnsi="宋体" w:cs="宋体"/>
          <w:color w:val="auto"/>
          <w:sz w:val="24"/>
          <w:highlight w:val="none"/>
          <w:lang w:val="en-US" w:eastAsia="zh-CN"/>
        </w:rPr>
        <w:t>及相对应的检验监测工作牌等</w:t>
      </w:r>
      <w:r>
        <w:rPr>
          <w:rFonts w:hint="eastAsia" w:ascii="宋体" w:hAnsi="宋体" w:cs="宋体"/>
          <w:color w:val="auto"/>
          <w:sz w:val="24"/>
          <w:highlight w:val="none"/>
        </w:rPr>
        <w:t>为依据计算的实际完成的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工程量，项目结算单价根据国家发展计划委员会、建设部颁发的《工程勘察设计收费标准》（2002年修订本）及《广东省建设工程计价依据（2018）》等现行国家、地方相关计费规定标准计价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并考虑投标下浮率</w:t>
      </w:r>
      <w:r>
        <w:rPr>
          <w:rFonts w:hint="eastAsia" w:ascii="宋体" w:hAnsi="宋体" w:cs="宋体"/>
          <w:color w:val="auto"/>
          <w:sz w:val="24"/>
          <w:highlight w:val="none"/>
        </w:rPr>
        <w:t>。对于前述规定没有列明的项目类别工程检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监测可参照现行行业规定标准并根据施工期市场情况</w:t>
      </w:r>
      <w:r>
        <w:rPr>
          <w:rFonts w:hint="eastAsia" w:ascii="宋体" w:hAnsi="宋体" w:cs="宋体"/>
          <w:color w:val="auto"/>
          <w:sz w:val="24"/>
          <w:highlight w:val="none"/>
          <w:u w:val="single"/>
          <w:lang w:val="en-US" w:eastAsia="zh-CN"/>
        </w:rPr>
        <w:t>下浮20%</w:t>
      </w:r>
      <w:r>
        <w:rPr>
          <w:rFonts w:hint="eastAsia" w:ascii="宋体" w:hAnsi="宋体" w:cs="宋体"/>
          <w:color w:val="auto"/>
          <w:sz w:val="24"/>
          <w:highlight w:val="none"/>
          <w:u w:val="single"/>
        </w:rPr>
        <w:t>并考虑</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下浮率后</w:t>
      </w:r>
      <w:r>
        <w:rPr>
          <w:rFonts w:hint="eastAsia" w:ascii="宋体" w:hAnsi="宋体" w:cs="宋体"/>
          <w:color w:val="auto"/>
          <w:sz w:val="24"/>
          <w:highlight w:val="none"/>
          <w:u w:val="single"/>
        </w:rPr>
        <w:t>作为该项目的结算单价</w:t>
      </w:r>
      <w:r>
        <w:rPr>
          <w:rFonts w:hint="eastAsia" w:ascii="宋体" w:hAnsi="宋体" w:cs="宋体"/>
          <w:color w:val="auto"/>
          <w:sz w:val="24"/>
          <w:highlight w:val="none"/>
        </w:rPr>
        <w:t>，上述单价均为全费用单价。最终合同结算价以</w:t>
      </w:r>
      <w:r>
        <w:rPr>
          <w:rFonts w:hint="eastAsia" w:ascii="宋体" w:hAnsi="宋体" w:cs="宋体"/>
          <w:color w:val="auto"/>
          <w:sz w:val="24"/>
          <w:highlight w:val="none"/>
          <w:lang w:val="en-US" w:eastAsia="zh-CN"/>
        </w:rPr>
        <w:t>财政部门或主管部门</w:t>
      </w:r>
      <w:r>
        <w:rPr>
          <w:rFonts w:hint="eastAsia" w:ascii="宋体" w:hAnsi="宋体" w:cs="宋体"/>
          <w:color w:val="auto"/>
          <w:sz w:val="24"/>
          <w:highlight w:val="none"/>
        </w:rPr>
        <w:t>委托的第三方审核机构审核的结算价为准，且最终结算价不得超过概算批复对应的费用。</w:t>
      </w:r>
    </w:p>
    <w:p w14:paraId="31074336">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）甲方有权根据实际情况对建设内容进行调整（检测工作量也随之调整）。减少的项目无论有无替代（在规定的时间内，如未能完成相关工作，甲方有权另行委托单位完成，从乙方的合同内扣除相应费用），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都不予补偿，乙方必须按相应要求完成检测任务直至到项目服务期限完成为止。</w:t>
      </w:r>
      <w:r>
        <w:rPr>
          <w:rFonts w:hint="eastAsia" w:ascii="宋体" w:hAnsi="宋体" w:cs="宋体"/>
          <w:color w:val="auto"/>
          <w:sz w:val="24"/>
          <w:highlight w:val="none"/>
          <w:lang w:val="en-US" w:eastAsia="zh-CN"/>
        </w:rPr>
        <w:t xml:space="preserve"> </w:t>
      </w:r>
    </w:p>
    <w:p w14:paraId="7FE27FC4">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（4）甲方对本项目</w:t>
      </w:r>
      <w:r>
        <w:rPr>
          <w:rFonts w:hint="eastAsia" w:ascii="宋体" w:hAnsi="宋体" w:eastAsia="宋体" w:cs="宋体"/>
          <w:b w:val="0"/>
          <w:color w:val="auto"/>
          <w:sz w:val="24"/>
          <w:highlight w:val="none"/>
          <w:u w:val="none"/>
          <w:lang w:val="en-US" w:eastAsia="zh-CN"/>
        </w:rPr>
        <w:t>检验监测服务合同</w:t>
      </w:r>
      <w:r>
        <w:rPr>
          <w:rFonts w:hint="eastAsia" w:ascii="宋体" w:hAnsi="宋体" w:cs="宋体"/>
          <w:color w:val="auto"/>
          <w:sz w:val="24"/>
          <w:highlight w:val="none"/>
          <w:lang w:val="en-US" w:eastAsia="zh-CN"/>
        </w:rPr>
        <w:t>结算的特殊要求：当项目完成财务竣工决算经财政部门审定后，检验监测服务的竣工决算价与检验监测服务的结算价不一致时，以财局审定的检验监测服务财务竣工决算价作为合同最终结算价，乙方应无条件配合甲方多退少补。</w:t>
      </w:r>
    </w:p>
    <w:p w14:paraId="0385751E">
      <w:pPr>
        <w:pStyle w:val="9"/>
        <w:rPr>
          <w:rFonts w:hint="default" w:eastAsia="宋体"/>
          <w:color w:val="auto"/>
          <w:highlight w:val="none"/>
          <w:lang w:val="en-US" w:eastAsia="zh-CN"/>
        </w:rPr>
      </w:pPr>
    </w:p>
    <w:p w14:paraId="53DA0B0F">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（三）付款方式（资金到位后支付）</w:t>
      </w:r>
    </w:p>
    <w:p w14:paraId="3DDBD7EB">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1、乙方指定收款账户：</w:t>
      </w:r>
    </w:p>
    <w:tbl>
      <w:tblPr>
        <w:tblStyle w:val="11"/>
        <w:tblW w:w="8269" w:type="dxa"/>
        <w:jc w:val="center"/>
        <w:tblLayout w:type="fixed"/>
        <w:tblCellMar>
          <w:top w:w="0" w:type="dxa"/>
          <w:left w:w="108" w:type="dxa"/>
          <w:bottom w:w="0" w:type="dxa"/>
          <w:right w:w="108" w:type="dxa"/>
        </w:tblCellMar>
      </w:tblPr>
      <w:tblGrid>
        <w:gridCol w:w="8269"/>
      </w:tblGrid>
      <w:tr w14:paraId="5EE2BC3D">
        <w:tblPrEx>
          <w:tblCellMar>
            <w:top w:w="0" w:type="dxa"/>
            <w:left w:w="108" w:type="dxa"/>
            <w:bottom w:w="0" w:type="dxa"/>
            <w:right w:w="108" w:type="dxa"/>
          </w:tblCellMar>
        </w:tblPrEx>
        <w:trPr>
          <w:trHeight w:val="2328" w:hRule="atLeast"/>
          <w:jc w:val="center"/>
        </w:trPr>
        <w:tc>
          <w:tcPr>
            <w:tcW w:w="8269" w:type="dxa"/>
            <w:vAlign w:val="top"/>
          </w:tcPr>
          <w:p w14:paraId="6C10E1E6">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开户名称：</w:t>
            </w:r>
            <w:r>
              <w:rPr>
                <w:rFonts w:hint="eastAsia" w:asciiTheme="minorEastAsia" w:hAnsiTheme="minorEastAsia" w:eastAsiaTheme="minorEastAsia" w:cstheme="minorEastAsia"/>
                <w:sz w:val="24"/>
                <w:u w:val="single"/>
                <w:lang w:val="en-US" w:eastAsia="zh-CN"/>
              </w:rPr>
              <w:t xml:space="preserve">                   </w:t>
            </w:r>
          </w:p>
          <w:p w14:paraId="6BC23CC6">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纳税人识别号：</w:t>
            </w:r>
            <w:r>
              <w:rPr>
                <w:rFonts w:hint="eastAsia" w:asciiTheme="minorEastAsia" w:hAnsiTheme="minorEastAsia" w:eastAsiaTheme="minorEastAsia" w:cstheme="minorEastAsia"/>
                <w:sz w:val="24"/>
                <w:u w:val="single"/>
                <w:lang w:val="en-US" w:eastAsia="zh-CN"/>
              </w:rPr>
              <w:t xml:space="preserve">               </w:t>
            </w:r>
          </w:p>
          <w:p w14:paraId="60373DFA">
            <w:pPr>
              <w:adjustRightInd w:val="0"/>
              <w:spacing w:line="360" w:lineRule="auto"/>
              <w:ind w:left="479" w:leftChars="228"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sz w:val="24"/>
                <w:u w:val="single"/>
                <w:lang w:val="en-US" w:eastAsia="zh-CN"/>
              </w:rPr>
              <w:t xml:space="preserve">                       </w:t>
            </w:r>
          </w:p>
          <w:p w14:paraId="45DC7F65">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电话：</w:t>
            </w:r>
            <w:r>
              <w:rPr>
                <w:rFonts w:hint="eastAsia" w:asciiTheme="minorEastAsia" w:hAnsiTheme="minorEastAsia" w:eastAsiaTheme="minorEastAsia" w:cstheme="minorEastAsia"/>
                <w:sz w:val="24"/>
                <w:u w:val="single"/>
                <w:lang w:val="en-US" w:eastAsia="zh-CN"/>
              </w:rPr>
              <w:t xml:space="preserve">                       </w:t>
            </w:r>
          </w:p>
          <w:p w14:paraId="4CD305A3">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rPr>
              <w:t>开户行：</w:t>
            </w:r>
            <w:r>
              <w:rPr>
                <w:rFonts w:hint="eastAsia" w:asciiTheme="minorEastAsia" w:hAnsiTheme="minorEastAsia" w:eastAsiaTheme="minorEastAsia" w:cstheme="minorEastAsia"/>
                <w:sz w:val="24"/>
                <w:u w:val="single"/>
                <w:lang w:val="en-US" w:eastAsia="zh-CN"/>
              </w:rPr>
              <w:t xml:space="preserve">                     </w:t>
            </w:r>
          </w:p>
          <w:p w14:paraId="2F8B2990">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lang w:val="en-US" w:eastAsia="zh-CN"/>
              </w:rPr>
              <w:t>银行账号：</w:t>
            </w:r>
            <w:r>
              <w:rPr>
                <w:rFonts w:hint="eastAsia" w:asciiTheme="minorEastAsia" w:hAnsiTheme="minorEastAsia" w:eastAsiaTheme="minorEastAsia" w:cstheme="minorEastAsia"/>
                <w:sz w:val="24"/>
                <w:u w:val="single"/>
                <w:lang w:val="en-US" w:eastAsia="zh-CN"/>
              </w:rPr>
              <w:t xml:space="preserve">                   </w:t>
            </w:r>
          </w:p>
        </w:tc>
      </w:tr>
    </w:tbl>
    <w:p w14:paraId="5BB08D01">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eastAsia="宋体" w:cs="宋体"/>
          <w:b/>
          <w:color w:val="auto"/>
          <w:sz w:val="24"/>
          <w:highlight w:val="none"/>
          <w:lang w:val="en-US" w:eastAsia="zh-CN"/>
        </w:rPr>
        <w:t>检验监测</w:t>
      </w:r>
      <w:r>
        <w:rPr>
          <w:rFonts w:hint="eastAsia" w:ascii="宋体" w:hAnsi="宋体" w:cs="宋体"/>
          <w:b/>
          <w:color w:val="auto"/>
          <w:sz w:val="24"/>
          <w:highlight w:val="none"/>
        </w:rPr>
        <w:t>预付款、进度款支付方式和时间</w:t>
      </w:r>
    </w:p>
    <w:p w14:paraId="3B7BC5FB">
      <w:pPr>
        <w:adjustRightIn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sz w:val="24"/>
          <w:highlight w:val="none"/>
          <w:lang w:val="en-US" w:eastAsia="zh-CN"/>
        </w:rPr>
        <w:t>乙方中标后，在项目开工前，应结合项目实际情况编制</w:t>
      </w:r>
      <w:r>
        <w:rPr>
          <w:rFonts w:hint="eastAsia" w:ascii="宋体" w:hAnsi="宋体" w:cs="宋体"/>
          <w:color w:val="auto"/>
          <w:kern w:val="0"/>
          <w:sz w:val="24"/>
          <w:highlight w:val="none"/>
          <w:lang w:val="en-US" w:eastAsia="zh-CN"/>
        </w:rPr>
        <w:t>检验监测实施计划（方案），检验监测实施计划（方案）</w:t>
      </w:r>
      <w:r>
        <w:rPr>
          <w:rFonts w:hint="eastAsia" w:ascii="宋体" w:hAnsi="宋体" w:cs="宋体"/>
          <w:color w:val="auto"/>
          <w:sz w:val="24"/>
          <w:highlight w:val="none"/>
          <w:lang w:val="en-US" w:eastAsia="zh-CN"/>
        </w:rPr>
        <w:t>需</w:t>
      </w:r>
      <w:r>
        <w:rPr>
          <w:rFonts w:hint="eastAsia" w:ascii="宋体" w:hAnsi="宋体" w:cs="宋体"/>
          <w:color w:val="auto"/>
          <w:kern w:val="0"/>
          <w:sz w:val="24"/>
          <w:highlight w:val="none"/>
          <w:lang w:val="en-US" w:eastAsia="zh-CN"/>
        </w:rPr>
        <w:t>经监理单位、甲方审批同意后，作为拨付进度款的依据。</w:t>
      </w:r>
    </w:p>
    <w:p w14:paraId="769AEC56">
      <w:pPr>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（2）财政资金到位后，乙方提供经监理单位、甲方审批同意检验监测实施计划（方案）</w:t>
      </w:r>
      <w:r>
        <w:rPr>
          <w:rFonts w:hint="eastAsia" w:ascii="宋体" w:hAnsi="宋体" w:eastAsia="宋体" w:cs="宋体"/>
          <w:color w:val="auto"/>
          <w:kern w:val="0"/>
          <w:sz w:val="24"/>
          <w:highlight w:val="none"/>
          <w:u w:val="single"/>
          <w:lang w:val="en-US" w:eastAsia="zh-CN"/>
        </w:rPr>
        <w:t>和完整的请款资料后</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甲方向乙方支付合同暂定总价的</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作为</w:t>
      </w:r>
      <w:r>
        <w:rPr>
          <w:rFonts w:hint="eastAsia" w:ascii="宋体" w:hAnsi="宋体" w:cs="宋体"/>
          <w:color w:val="auto"/>
          <w:kern w:val="0"/>
          <w:sz w:val="24"/>
          <w:highlight w:val="none"/>
          <w:u w:val="single"/>
          <w:lang w:val="en-US" w:eastAsia="zh-CN"/>
        </w:rPr>
        <w:t>预付款，当甲方</w:t>
      </w:r>
      <w:r>
        <w:rPr>
          <w:rFonts w:hint="eastAsia" w:ascii="宋体" w:hAnsi="宋体" w:eastAsia="宋体" w:cs="宋体"/>
          <w:color w:val="auto"/>
          <w:sz w:val="24"/>
          <w:szCs w:val="24"/>
          <w:highlight w:val="none"/>
          <w:u w:val="single"/>
        </w:rPr>
        <w:t>累计</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确认检验监测</w:t>
      </w:r>
      <w:r>
        <w:rPr>
          <w:rFonts w:hint="eastAsia" w:ascii="宋体" w:hAnsi="宋体" w:eastAsia="宋体" w:cs="宋体"/>
          <w:color w:val="auto"/>
          <w:sz w:val="24"/>
          <w:szCs w:val="24"/>
          <w:highlight w:val="none"/>
          <w:u w:val="single"/>
          <w:lang w:val="en-US" w:eastAsia="zh-CN"/>
        </w:rPr>
        <w:t>产值</w:t>
      </w:r>
      <w:r>
        <w:rPr>
          <w:rFonts w:hint="eastAsia" w:ascii="宋体" w:hAnsi="宋体" w:eastAsia="宋体" w:cs="宋体"/>
          <w:color w:val="auto"/>
          <w:sz w:val="24"/>
          <w:szCs w:val="24"/>
          <w:highlight w:val="none"/>
          <w:u w:val="single"/>
        </w:rPr>
        <w:t>占</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rPr>
        <w:t>暂定合同价</w:t>
      </w:r>
      <w:r>
        <w:rPr>
          <w:rFonts w:hint="eastAsia" w:ascii="宋体" w:hAnsi="宋体" w:eastAsia="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比例超过</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0%时，</w:t>
      </w:r>
      <w:r>
        <w:rPr>
          <w:rFonts w:hint="eastAsia" w:ascii="宋体" w:hAnsi="宋体" w:eastAsia="宋体" w:cs="宋体"/>
          <w:color w:val="auto"/>
          <w:sz w:val="24"/>
          <w:szCs w:val="24"/>
          <w:highlight w:val="none"/>
          <w:u w:val="single"/>
          <w:lang w:val="en-US" w:eastAsia="zh-CN"/>
        </w:rPr>
        <w:t>预付款作为</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lang w:val="en-US" w:eastAsia="zh-CN"/>
        </w:rPr>
        <w:t>进度款一次性扣回</w:t>
      </w:r>
      <w:r>
        <w:rPr>
          <w:rFonts w:hint="eastAsia" w:ascii="宋体" w:hAnsi="宋体" w:cs="宋体"/>
          <w:color w:val="auto"/>
          <w:kern w:val="0"/>
          <w:sz w:val="24"/>
          <w:highlight w:val="none"/>
          <w:u w:val="single"/>
        </w:rPr>
        <w:t>。</w:t>
      </w:r>
    </w:p>
    <w:p w14:paraId="5CB4D5A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color w:val="auto"/>
          <w:sz w:val="24"/>
          <w:szCs w:val="24"/>
          <w:highlight w:val="none"/>
          <w:u w:val="single"/>
          <w:lang w:val="en-US" w:eastAsia="zh-CN"/>
        </w:rPr>
        <w:t>检验监测费</w:t>
      </w:r>
      <w:r>
        <w:rPr>
          <w:rFonts w:hint="eastAsia" w:ascii="宋体" w:hAnsi="宋体" w:cs="宋体"/>
          <w:color w:val="auto"/>
          <w:sz w:val="24"/>
          <w:highlight w:val="none"/>
        </w:rPr>
        <w:t>用每</w:t>
      </w:r>
      <w:r>
        <w:rPr>
          <w:rFonts w:hint="eastAsia" w:ascii="宋体" w:hAnsi="宋体" w:cs="宋体"/>
          <w:color w:val="auto"/>
          <w:sz w:val="24"/>
          <w:highlight w:val="none"/>
          <w:lang w:val="en-US" w:eastAsia="zh-CN"/>
        </w:rPr>
        <w:t>月</w:t>
      </w:r>
      <w:r>
        <w:rPr>
          <w:rFonts w:hint="eastAsia" w:ascii="宋体" w:hAnsi="宋体" w:cs="宋体"/>
          <w:color w:val="auto"/>
          <w:sz w:val="24"/>
          <w:highlight w:val="none"/>
        </w:rPr>
        <w:t>办理支付手续一次，乙方按</w:t>
      </w:r>
      <w:r>
        <w:rPr>
          <w:rFonts w:hint="eastAsia" w:ascii="宋体" w:hAnsi="宋体" w:cs="宋体"/>
          <w:color w:val="auto"/>
          <w:kern w:val="0"/>
          <w:sz w:val="24"/>
          <w:highlight w:val="none"/>
          <w:lang w:val="en-US" w:eastAsia="zh-CN"/>
        </w:rPr>
        <w:t>经监理单位、甲方审批后的检验监测实施计划（方案）实施，</w:t>
      </w:r>
      <w:r>
        <w:rPr>
          <w:rFonts w:hint="eastAsia" w:ascii="宋体" w:hAnsi="宋体" w:cs="宋体"/>
          <w:color w:val="auto"/>
          <w:sz w:val="24"/>
          <w:highlight w:val="none"/>
        </w:rPr>
        <w:t>每</w:t>
      </w:r>
      <w:r>
        <w:rPr>
          <w:rFonts w:hint="eastAsia" w:ascii="宋体" w:hAnsi="宋体" w:cs="宋体"/>
          <w:color w:val="auto"/>
          <w:sz w:val="24"/>
          <w:highlight w:val="none"/>
          <w:lang w:val="en-US" w:eastAsia="zh-CN"/>
        </w:rPr>
        <w:t>月提供经</w:t>
      </w:r>
      <w:r>
        <w:rPr>
          <w:rFonts w:hint="eastAsia" w:ascii="宋体" w:hAnsi="宋体" w:cs="宋体"/>
          <w:color w:val="auto"/>
          <w:sz w:val="24"/>
          <w:highlight w:val="none"/>
        </w:rPr>
        <w:t>甲方及监理工程师书面确认</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已完成</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内容提供工作清单（实际完成的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工程量乘以</w:t>
      </w:r>
      <w:r>
        <w:rPr>
          <w:rFonts w:hint="eastAsia" w:ascii="宋体" w:hAnsi="宋体" w:cs="宋体"/>
          <w:color w:val="auto"/>
          <w:kern w:val="0"/>
          <w:sz w:val="24"/>
          <w:highlight w:val="none"/>
          <w:lang w:val="en-US" w:eastAsia="zh-CN"/>
        </w:rPr>
        <w:t>经监理单位、甲方审批后的检验监测实施计划（方案）中的</w:t>
      </w:r>
      <w:r>
        <w:rPr>
          <w:rFonts w:hint="eastAsia" w:ascii="宋体" w:hAnsi="宋体" w:cs="宋体"/>
          <w:color w:val="auto"/>
          <w:sz w:val="24"/>
          <w:highlight w:val="none"/>
        </w:rPr>
        <w:t>全费用单价），工作清单</w:t>
      </w:r>
      <w:r>
        <w:rPr>
          <w:rFonts w:hint="eastAsia" w:ascii="宋体" w:hAnsi="宋体" w:cs="宋体"/>
          <w:color w:val="auto"/>
          <w:sz w:val="24"/>
          <w:highlight w:val="none"/>
          <w:lang w:val="en-US" w:eastAsia="zh-CN"/>
        </w:rPr>
        <w:t>应按附件3检验监测工程量清单计价表要求填报。</w:t>
      </w:r>
      <w:r>
        <w:rPr>
          <w:rFonts w:hint="eastAsia" w:ascii="宋体" w:hAnsi="宋体" w:eastAsia="宋体" w:cs="宋体"/>
          <w:color w:val="auto"/>
          <w:sz w:val="24"/>
          <w:szCs w:val="24"/>
          <w:highlight w:val="none"/>
          <w:lang w:val="en-US" w:eastAsia="zh-CN"/>
        </w:rPr>
        <w:t>如因设计变更、现场条件发生变化等原因导致</w:t>
      </w:r>
      <w:r>
        <w:rPr>
          <w:rFonts w:hint="eastAsia" w:ascii="宋体" w:hAnsi="宋体" w:cs="宋体"/>
          <w:color w:val="auto"/>
          <w:sz w:val="24"/>
          <w:highlight w:val="none"/>
          <w:lang w:val="en-US" w:eastAsia="zh-CN"/>
        </w:rPr>
        <w:t>申请进度款的工程量清单中</w:t>
      </w:r>
      <w:r>
        <w:rPr>
          <w:rFonts w:hint="eastAsia" w:ascii="宋体" w:hAnsi="宋体" w:cs="宋体"/>
          <w:color w:val="auto"/>
          <w:sz w:val="24"/>
          <w:szCs w:val="24"/>
          <w:highlight w:val="none"/>
          <w:lang w:val="en-US" w:eastAsia="zh-CN"/>
        </w:rPr>
        <w:t>新增</w:t>
      </w:r>
      <w:r>
        <w:rPr>
          <w:rFonts w:hint="eastAsia" w:ascii="宋体" w:hAnsi="宋体" w:cs="宋体"/>
          <w:color w:val="auto"/>
          <w:sz w:val="24"/>
          <w:highlight w:val="none"/>
          <w:lang w:eastAsia="zh-CN"/>
        </w:rPr>
        <w:t>检验监测</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工程量</w:t>
      </w:r>
      <w:r>
        <w:rPr>
          <w:rFonts w:hint="eastAsia" w:ascii="宋体" w:hAnsi="宋体" w:cs="宋体"/>
          <w:color w:val="auto"/>
          <w:sz w:val="24"/>
          <w:highlight w:val="none"/>
          <w:lang w:val="en-US" w:eastAsia="zh-CN"/>
        </w:rPr>
        <w:t>相比</w:t>
      </w:r>
      <w:r>
        <w:rPr>
          <w:rFonts w:hint="eastAsia" w:ascii="宋体" w:hAnsi="宋体" w:cs="宋体"/>
          <w:color w:val="auto"/>
          <w:sz w:val="24"/>
          <w:highlight w:val="none"/>
          <w:lang w:eastAsia="zh-CN"/>
        </w:rPr>
        <w:t>检验监</w:t>
      </w:r>
      <w:r>
        <w:rPr>
          <w:rFonts w:hint="eastAsia" w:ascii="宋体" w:hAnsi="宋体" w:eastAsia="宋体" w:cs="宋体"/>
          <w:color w:val="auto"/>
          <w:kern w:val="0"/>
          <w:sz w:val="24"/>
          <w:szCs w:val="24"/>
          <w:highlight w:val="none"/>
          <w:u w:val="single"/>
          <w:lang w:val="en-US" w:eastAsia="zh-CN" w:bidi="ar"/>
        </w:rPr>
        <w:t>测实施计划（方案）</w:t>
      </w:r>
      <w:r>
        <w:rPr>
          <w:rFonts w:hint="eastAsia" w:ascii="宋体" w:hAnsi="宋体" w:cs="宋体"/>
          <w:color w:val="auto"/>
          <w:sz w:val="24"/>
          <w:highlight w:val="none"/>
          <w:lang w:val="en-US" w:eastAsia="zh-CN"/>
        </w:rPr>
        <w:t>中对应工程量超20%的</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单位应提前以书面形式报告监理、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，并需经监理、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审批同意、办理变更手续后再办理支付。</w:t>
      </w:r>
      <w:r>
        <w:rPr>
          <w:rFonts w:hint="eastAsia" w:ascii="宋体" w:hAnsi="宋体" w:cs="宋体"/>
          <w:color w:val="auto"/>
          <w:sz w:val="24"/>
          <w:highlight w:val="none"/>
        </w:rPr>
        <w:t>甲方在收到已检产品样品正式检测报告及工作清单后向乙方支付该已完成</w:t>
      </w:r>
      <w:r>
        <w:rPr>
          <w:rFonts w:hint="eastAsia" w:ascii="宋体" w:hAnsi="宋体" w:cs="宋体"/>
          <w:b w:val="0"/>
          <w:bCs/>
          <w:color w:val="auto"/>
          <w:sz w:val="24"/>
          <w:szCs w:val="24"/>
          <w:highlight w:val="none"/>
          <w:u w:val="single"/>
          <w:lang w:val="en-US" w:eastAsia="zh-CN"/>
        </w:rPr>
        <w:t>检验监测</w:t>
      </w:r>
      <w:r>
        <w:rPr>
          <w:rFonts w:hint="eastAsia" w:ascii="宋体" w:hAnsi="宋体" w:cs="宋体"/>
          <w:color w:val="auto"/>
          <w:sz w:val="24"/>
          <w:highlight w:val="none"/>
        </w:rPr>
        <w:t>内容对应费用的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14:paraId="464C80F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项目完工后，</w:t>
      </w:r>
      <w:r>
        <w:rPr>
          <w:rFonts w:hint="eastAsia" w:ascii="宋体" w:hAnsi="宋体" w:cs="宋体"/>
          <w:b w:val="0"/>
          <w:bCs/>
          <w:color w:val="auto"/>
          <w:sz w:val="24"/>
          <w:szCs w:val="24"/>
          <w:highlight w:val="none"/>
          <w:u w:val="single"/>
          <w:lang w:val="en-US" w:eastAsia="zh-CN"/>
        </w:rPr>
        <w:t>检验监测费用</w:t>
      </w:r>
      <w:r>
        <w:rPr>
          <w:rFonts w:hint="eastAsia" w:ascii="宋体" w:hAnsi="宋体" w:cs="宋体"/>
          <w:color w:val="auto"/>
          <w:sz w:val="24"/>
          <w:highlight w:val="none"/>
          <w:lang w:val="en-US" w:eastAsia="zh-CN"/>
        </w:rPr>
        <w:t>最多支付实际已完成</w:t>
      </w:r>
      <w:r>
        <w:rPr>
          <w:rFonts w:hint="eastAsia" w:ascii="宋体" w:hAnsi="宋体" w:cs="宋体"/>
          <w:b w:val="0"/>
          <w:bCs/>
          <w:color w:val="auto"/>
          <w:sz w:val="24"/>
          <w:szCs w:val="24"/>
          <w:highlight w:val="none"/>
          <w:u w:val="single"/>
          <w:lang w:val="en-US" w:eastAsia="zh-CN"/>
        </w:rPr>
        <w:t>检验监测内容对应费用的70</w:t>
      </w:r>
      <w:r>
        <w:rPr>
          <w:rFonts w:hint="eastAsia" w:ascii="宋体" w:hAnsi="宋体" w:eastAsia="宋体" w:cs="宋体"/>
          <w:b w:val="0"/>
          <w:bCs/>
          <w:color w:val="auto"/>
          <w:sz w:val="24"/>
          <w:szCs w:val="24"/>
          <w:highlight w:val="none"/>
          <w:u w:val="single"/>
          <w:lang w:val="en-US" w:eastAsia="zh-CN"/>
        </w:rPr>
        <w:t>%，累计支付金额不超合同暂定价的70%，且不超批复概算中对应的检验监测费用的70%。</w:t>
      </w:r>
    </w:p>
    <w:p w14:paraId="2DEB9DA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当乙方完成合同约定的所有工作内容，并且整个项目竣工验收合格后，乙方向甲方提出结算申请并提供完整的结算资料，合同结算价经甲方委托的第三方审核机构或财政部门审定后，甲方向乙方支付至最终合同结算审定金额的</w:t>
      </w:r>
      <w:r>
        <w:rPr>
          <w:rFonts w:hint="eastAsia" w:ascii="宋体" w:hAnsi="宋体" w:cs="宋体"/>
          <w:color w:val="auto"/>
          <w:sz w:val="24"/>
          <w:highlight w:val="none"/>
          <w:lang w:val="en-US" w:eastAsia="zh-CN"/>
        </w:rPr>
        <w:t>97</w:t>
      </w:r>
      <w:r>
        <w:rPr>
          <w:rFonts w:hint="eastAsia" w:ascii="宋体" w:hAnsi="宋体" w:cs="宋体"/>
          <w:color w:val="auto"/>
          <w:sz w:val="24"/>
          <w:highlight w:val="none"/>
        </w:rPr>
        <w:t>%。</w:t>
      </w:r>
    </w:p>
    <w:p w14:paraId="1AF9B712">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当项目的</w:t>
      </w:r>
      <w:r>
        <w:rPr>
          <w:rFonts w:hint="eastAsia" w:ascii="宋体" w:hAnsi="宋体" w:eastAsia="宋体" w:cs="宋体"/>
          <w:color w:val="auto"/>
          <w:sz w:val="24"/>
          <w:highlight w:val="none"/>
          <w:u w:val="none"/>
        </w:rPr>
        <w:t>缺陷责任期满后，</w:t>
      </w:r>
      <w:r>
        <w:rPr>
          <w:rFonts w:hint="eastAsia" w:ascii="宋体" w:hAnsi="宋体" w:eastAsia="宋体" w:cs="宋体"/>
          <w:color w:val="auto"/>
          <w:sz w:val="24"/>
          <w:highlight w:val="none"/>
          <w:u w:val="none"/>
          <w:lang w:val="en-US" w:eastAsia="zh-CN"/>
        </w:rPr>
        <w:t>乙方</w:t>
      </w:r>
      <w:r>
        <w:rPr>
          <w:rFonts w:hint="eastAsia" w:ascii="宋体" w:hAnsi="宋体" w:cs="宋体"/>
          <w:color w:val="auto"/>
          <w:sz w:val="24"/>
          <w:highlight w:val="none"/>
          <w:u w:val="none"/>
          <w:lang w:val="en-US" w:eastAsia="zh-CN"/>
        </w:rPr>
        <w:t>按城市档案馆的要求整理好</w:t>
      </w:r>
      <w:r>
        <w:rPr>
          <w:rFonts w:hint="eastAsia" w:ascii="宋体" w:hAnsi="宋体" w:eastAsia="宋体" w:cs="宋体"/>
          <w:color w:val="auto"/>
          <w:sz w:val="24"/>
          <w:highlight w:val="none"/>
          <w:u w:val="none"/>
          <w:lang w:val="en-US" w:eastAsia="zh-CN"/>
        </w:rPr>
        <w:t>本项目检测</w:t>
      </w:r>
      <w:r>
        <w:rPr>
          <w:rFonts w:hint="eastAsia" w:ascii="宋体" w:hAnsi="宋体" w:cs="宋体"/>
          <w:color w:val="auto"/>
          <w:sz w:val="24"/>
          <w:highlight w:val="none"/>
          <w:u w:val="none"/>
          <w:lang w:val="en-US" w:eastAsia="zh-CN"/>
        </w:rPr>
        <w:t>资料原件经监理单位审核后，移交给</w:t>
      </w:r>
      <w:r>
        <w:rPr>
          <w:rFonts w:hint="eastAsia" w:ascii="宋体" w:hAnsi="宋体" w:eastAsia="宋体" w:cs="宋体"/>
          <w:color w:val="auto"/>
          <w:sz w:val="24"/>
          <w:highlight w:val="none"/>
          <w:u w:val="none"/>
          <w:lang w:val="en-US" w:eastAsia="zh-CN"/>
        </w:rPr>
        <w:t>总承包单位</w:t>
      </w:r>
      <w:r>
        <w:rPr>
          <w:rFonts w:hint="eastAsia" w:ascii="宋体" w:hAnsi="宋体" w:cs="宋体"/>
          <w:color w:val="auto"/>
          <w:sz w:val="24"/>
          <w:highlight w:val="none"/>
          <w:u w:val="none"/>
          <w:lang w:val="en-US" w:eastAsia="zh-CN"/>
        </w:rPr>
        <w:t>一并</w:t>
      </w:r>
      <w:r>
        <w:rPr>
          <w:rFonts w:hint="eastAsia" w:ascii="宋体" w:hAnsi="宋体" w:eastAsia="宋体" w:cs="宋体"/>
          <w:color w:val="auto"/>
          <w:sz w:val="24"/>
          <w:highlight w:val="none"/>
          <w:u w:val="none"/>
        </w:rPr>
        <w:t>移交至广州市城建档案馆，并取得</w:t>
      </w:r>
      <w:r>
        <w:rPr>
          <w:rFonts w:hint="eastAsia" w:ascii="宋体" w:hAnsi="宋体" w:eastAsia="宋体" w:cs="宋体"/>
          <w:color w:val="auto"/>
          <w:sz w:val="24"/>
          <w:highlight w:val="none"/>
          <w:u w:val="none"/>
          <w:lang w:val="en-US" w:eastAsia="zh-CN"/>
        </w:rPr>
        <w:t>项目整体的</w:t>
      </w:r>
      <w:r>
        <w:rPr>
          <w:rFonts w:hint="eastAsia" w:ascii="宋体" w:hAnsi="宋体" w:eastAsia="宋体" w:cs="宋体"/>
          <w:color w:val="auto"/>
          <w:sz w:val="24"/>
          <w:highlight w:val="none"/>
          <w:u w:val="none"/>
        </w:rPr>
        <w:t>广州市城建档案馆</w:t>
      </w:r>
      <w:r>
        <w:rPr>
          <w:rFonts w:hint="eastAsia" w:ascii="宋体" w:hAnsi="宋体" w:eastAsia="宋体" w:cs="宋体"/>
          <w:color w:val="auto"/>
          <w:sz w:val="24"/>
          <w:highlight w:val="none"/>
          <w:u w:val="none"/>
          <w:lang w:val="en-US" w:eastAsia="zh-CN"/>
        </w:rPr>
        <w:t>回执后</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eastAsia="zh-CN"/>
        </w:rPr>
        <w:t>甲方</w:t>
      </w:r>
      <w:r>
        <w:rPr>
          <w:rFonts w:hint="eastAsia" w:ascii="宋体" w:hAnsi="宋体" w:eastAsia="宋体" w:cs="宋体"/>
          <w:color w:val="auto"/>
          <w:sz w:val="24"/>
          <w:highlight w:val="none"/>
          <w:u w:val="none"/>
        </w:rPr>
        <w:t>累计支付至经</w:t>
      </w:r>
      <w:r>
        <w:rPr>
          <w:rFonts w:hint="eastAsia" w:ascii="宋体" w:hAnsi="宋体" w:cs="宋体"/>
          <w:color w:val="auto"/>
          <w:sz w:val="24"/>
          <w:highlight w:val="none"/>
          <w:u w:val="none"/>
          <w:lang w:val="en-US" w:eastAsia="zh-CN"/>
        </w:rPr>
        <w:t>合同</w:t>
      </w:r>
      <w:r>
        <w:rPr>
          <w:rFonts w:hint="eastAsia" w:ascii="宋体" w:hAnsi="宋体" w:eastAsia="宋体" w:cs="宋体"/>
          <w:color w:val="auto"/>
          <w:sz w:val="24"/>
          <w:highlight w:val="none"/>
          <w:u w:val="none"/>
        </w:rPr>
        <w:t>结算价100%</w:t>
      </w:r>
      <w:r>
        <w:rPr>
          <w:rFonts w:hint="eastAsia" w:ascii="宋体" w:hAnsi="宋体" w:cs="宋体"/>
          <w:color w:val="auto"/>
          <w:sz w:val="24"/>
          <w:highlight w:val="none"/>
        </w:rPr>
        <w:t>。</w:t>
      </w:r>
    </w:p>
    <w:p w14:paraId="1A59D007">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kern w:val="0"/>
          <w:sz w:val="24"/>
          <w:highlight w:val="none"/>
        </w:rPr>
        <w:t>以上分期支付乙方可视实际情况合并申请。在每次支付前，乙方必须向甲方开具与支付费用等额的合法有效的发票，方可办理相关申报支付手续。</w:t>
      </w:r>
    </w:p>
    <w:p w14:paraId="2F0D548A">
      <w:pPr>
        <w:tabs>
          <w:tab w:val="left" w:pos="1276"/>
        </w:tabs>
        <w:adjustRightInd w:val="0"/>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由于本项目资金来源为财政性资金，须执行国库集中支付的相关程序。以上付款时间是指甲方完成向财政部门申报支付手续的时间，财政部门审查及实际支付可能造成的时间延误不视为甲方违约。由于财政资金拨款不到位导致甲方逾期申报支付手续的，甲方不承担违约责任，并且此情况不能成为乙方造成违约行为的理由。</w:t>
      </w:r>
      <w:r>
        <w:rPr>
          <w:rFonts w:hint="eastAsia" w:ascii="宋体" w:hAnsi="宋体" w:cs="宋体"/>
          <w:color w:val="auto"/>
          <w:sz w:val="24"/>
          <w:szCs w:val="32"/>
          <w:highlight w:val="none"/>
          <w:lang w:val="en-US" w:eastAsia="zh-CN"/>
        </w:rPr>
        <w:t xml:space="preserve"> </w:t>
      </w:r>
    </w:p>
    <w:p w14:paraId="1ABBCAC4">
      <w:pPr>
        <w:widowControl/>
        <w:tabs>
          <w:tab w:val="left" w:pos="1276"/>
        </w:tabs>
        <w:adjustRightInd w:val="0"/>
        <w:spacing w:line="360" w:lineRule="auto"/>
        <w:ind w:firstLine="480" w:firstLineChars="200"/>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w:t>
      </w:r>
      <w:r>
        <w:rPr>
          <w:rFonts w:hint="eastAsia" w:ascii="宋体" w:hAnsi="宋体" w:cs="宋体"/>
          <w:color w:val="auto"/>
          <w:sz w:val="24"/>
          <w:szCs w:val="32"/>
          <w:highlight w:val="none"/>
          <w:lang w:val="en-US" w:eastAsia="zh-CN"/>
        </w:rPr>
        <w:t>8</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kern w:val="2"/>
          <w:sz w:val="24"/>
          <w:szCs w:val="32"/>
          <w:highlight w:val="none"/>
          <w:lang w:bidi="ar"/>
        </w:rPr>
        <w:t>甲方对本合同结算的特殊要求：当项目完成财务竣工决算</w:t>
      </w:r>
      <w:r>
        <w:rPr>
          <w:rFonts w:hint="eastAsia" w:ascii="宋体" w:hAnsi="宋体" w:eastAsia="宋体" w:cs="宋体"/>
          <w:color w:val="auto"/>
          <w:kern w:val="2"/>
          <w:sz w:val="24"/>
          <w:szCs w:val="32"/>
          <w:highlight w:val="none"/>
          <w:lang w:val="en-US" w:eastAsia="zh-CN" w:bidi="ar"/>
        </w:rPr>
        <w:t>后，</w:t>
      </w:r>
      <w:r>
        <w:rPr>
          <w:rFonts w:hint="eastAsia" w:ascii="宋体" w:hAnsi="宋体" w:eastAsia="宋体" w:cs="宋体"/>
          <w:color w:val="auto"/>
          <w:kern w:val="2"/>
          <w:sz w:val="24"/>
          <w:szCs w:val="32"/>
          <w:highlight w:val="none"/>
          <w:lang w:bidi="ar"/>
        </w:rPr>
        <w:t>经财政部门审定的竣工决算价与结算价不一致时，以财局审定的决算价作为合同最终结算价，乙方应无条件配合甲方多退少补。</w:t>
      </w:r>
    </w:p>
    <w:p w14:paraId="714570F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双方义务</w:t>
      </w:r>
    </w:p>
    <w:p w14:paraId="5C824CD1">
      <w:pPr>
        <w:tabs>
          <w:tab w:val="left" w:pos="2540"/>
        </w:tabs>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（一）甲方义务</w:t>
      </w:r>
    </w:p>
    <w:p w14:paraId="56EA986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1.委派</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工作进行全面管理，解决</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过程中出现的需要甲方协调的相关问题，并参与</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和签证工作。如变更</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代表应及时通知乙方。</w:t>
      </w:r>
    </w:p>
    <w:p w14:paraId="759ACD94">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2.提供有关工程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需要的设计、施工及场地的岩土和地质等资料，并协调乙方与其他各承包单位的关系。</w:t>
      </w:r>
    </w:p>
    <w:p w14:paraId="083B7D40">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3.在收到乙方提交的正式报告和相关文件资料后七日内予以确认，并按合同约定支付</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费用。</w:t>
      </w:r>
    </w:p>
    <w:p w14:paraId="77DF24A8">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4.委托本工程监理单位，督促乙方按经审批的工程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方案实施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，及时掌握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过程出现问题而影响工程质量或进度。</w:t>
      </w:r>
    </w:p>
    <w:p w14:paraId="073E948B">
      <w:pPr>
        <w:tabs>
          <w:tab w:val="left" w:pos="2540"/>
        </w:tabs>
        <w:adjustRightInd w:val="0"/>
        <w:spacing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（二）乙方义务</w:t>
      </w:r>
    </w:p>
    <w:p w14:paraId="2FC117C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负责本项目</w:t>
      </w:r>
      <w:r>
        <w:rPr>
          <w:rFonts w:hint="eastAsia" w:ascii="宋体" w:hAnsi="宋体" w:cs="宋体"/>
          <w:color w:val="auto"/>
          <w:sz w:val="24"/>
          <w:highlight w:val="none"/>
          <w:lang w:val="en-US" w:eastAsia="zh-CN"/>
        </w:rPr>
        <w:t>实施所需所有</w:t>
      </w:r>
      <w:r>
        <w:rPr>
          <w:rFonts w:hint="eastAsia" w:ascii="宋体" w:hAnsi="宋体" w:cs="宋体"/>
          <w:color w:val="auto"/>
          <w:sz w:val="24"/>
          <w:highlight w:val="none"/>
        </w:rPr>
        <w:t>检验检测、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等业务。</w:t>
      </w:r>
    </w:p>
    <w:p w14:paraId="1F91B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2.合同签订后三天内乙方应将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工作的主要负责人报甲方确认、备案，该负责人须持有与本</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项目相适应的资格证书，如须更换</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工作主要负责人，应事先征得甲方的书面同意。乙方进行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前须将</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报监理单位、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审批通过后实施。</w:t>
      </w:r>
    </w:p>
    <w:p w14:paraId="21E9677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3.及时组织</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设备及</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人员进入现场，具体实施本项目的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工作，如相关人员必须进行更换时，必须征得甲方的书面同意后方可更换。</w:t>
      </w:r>
    </w:p>
    <w:p w14:paraId="2A25C0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4.严格按照</w:t>
      </w:r>
      <w:r>
        <w:rPr>
          <w:rFonts w:hint="eastAsia" w:ascii="宋体" w:hAnsi="宋体" w:cs="宋体"/>
          <w:color w:val="auto"/>
          <w:sz w:val="24"/>
          <w:highlight w:val="none"/>
          <w:lang w:val="en-US" w:eastAsia="zh-CN"/>
        </w:rPr>
        <w:t>经施工单位、监理单位和</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共同确定</w:t>
      </w:r>
      <w:r>
        <w:rPr>
          <w:rFonts w:hint="eastAsia" w:ascii="宋体" w:hAnsi="宋体" w:cs="宋体"/>
          <w:color w:val="auto"/>
          <w:sz w:val="24"/>
          <w:highlight w:val="none"/>
        </w:rPr>
        <w:t>审批同意的</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及相关技术标准进行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每次检测均须监理单位见证，</w:t>
      </w:r>
      <w:r>
        <w:rPr>
          <w:rFonts w:hint="eastAsia" w:ascii="宋体" w:hAnsi="宋体" w:cs="宋体"/>
          <w:color w:val="auto"/>
          <w:sz w:val="24"/>
          <w:highlight w:val="none"/>
        </w:rPr>
        <w:t>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结果的公正性、科学性、规划性、可靠性负责。不得与本合同项下工程有利害关系的第三人恶意串通，损害甲方的合法权益。</w:t>
      </w:r>
    </w:p>
    <w:p w14:paraId="5349068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5.乙方须按甲方确认的具体数量进行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，每次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前须报甲方同意，并按时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甲方通知后10日内）</w:t>
      </w:r>
      <w:r>
        <w:rPr>
          <w:rFonts w:hint="eastAsia" w:ascii="宋体" w:hAnsi="宋体" w:cs="宋体"/>
          <w:color w:val="auto"/>
          <w:sz w:val="24"/>
          <w:highlight w:val="none"/>
        </w:rPr>
        <w:t>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w:t>
      </w:r>
      <w:r>
        <w:rPr>
          <w:rFonts w:hint="eastAsia" w:ascii="宋体" w:hAnsi="宋体" w:cs="宋体"/>
          <w:color w:val="auto"/>
          <w:sz w:val="24"/>
          <w:highlight w:val="none"/>
          <w:lang w:eastAsia="zh-CN"/>
        </w:rPr>
        <w:t>规范要求龄期除外，</w:t>
      </w:r>
      <w:r>
        <w:rPr>
          <w:rFonts w:hint="eastAsia" w:ascii="宋体" w:hAnsi="宋体" w:cs="宋体"/>
          <w:color w:val="auto"/>
          <w:sz w:val="24"/>
          <w:highlight w:val="none"/>
        </w:rPr>
        <w:t>且对其提交成果报告的真实性、有效性、准确性负责。</w:t>
      </w:r>
    </w:p>
    <w:p w14:paraId="7DAFB3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6.检测数据等有关信息通过广州市水务监管系统进行传输报送。</w:t>
      </w:r>
    </w:p>
    <w:p w14:paraId="47868A8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过程中如发现设计和施工错误或不合理时，应立即书面通知甲方。</w:t>
      </w:r>
    </w:p>
    <w:p w14:paraId="4A7D093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8.负责</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资料的整理、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结果报告的编写及装订工作，并提交给监理单位和甲方确认。</w:t>
      </w:r>
    </w:p>
    <w:p w14:paraId="1B089F5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9.在甲方下达</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通知书后</w:t>
      </w:r>
      <w:r>
        <w:rPr>
          <w:rFonts w:ascii="宋体" w:hAnsi="宋体" w:cs="宋体"/>
          <w:color w:val="auto"/>
          <w:sz w:val="24"/>
          <w:highlight w:val="none"/>
        </w:rPr>
        <w:t>3</w:t>
      </w:r>
      <w:r>
        <w:rPr>
          <w:rFonts w:hint="eastAsia" w:ascii="宋体" w:hAnsi="宋体" w:cs="宋体"/>
          <w:color w:val="auto"/>
          <w:sz w:val="24"/>
          <w:highlight w:val="none"/>
        </w:rPr>
        <w:t>天内进场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或到施工现场采集待检样品，在承诺日期内完成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具体时间以双方确认时间为准）</w:t>
      </w:r>
      <w:r>
        <w:rPr>
          <w:rFonts w:hint="eastAsia" w:ascii="宋体" w:hAnsi="宋体" w:cs="宋体"/>
          <w:color w:val="auto"/>
          <w:sz w:val="24"/>
          <w:highlight w:val="none"/>
        </w:rPr>
        <w:t>，并出具正式</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报告一式十份。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报告需装订成册，并通知甲方确认签收。报告书盖有</w:t>
      </w:r>
      <w:r>
        <w:rPr>
          <w:rFonts w:hint="eastAsia" w:ascii="宋体" w:hAnsi="宋体" w:cs="宋体"/>
          <w:color w:val="auto"/>
          <w:sz w:val="24"/>
          <w:highlight w:val="none"/>
          <w:lang w:val="en-US" w:eastAsia="zh-CN"/>
        </w:rPr>
        <w:t>省级</w:t>
      </w:r>
      <w:r>
        <w:rPr>
          <w:rFonts w:hint="eastAsia" w:ascii="宋体" w:hAnsi="宋体" w:cs="宋体"/>
          <w:color w:val="auto"/>
          <w:sz w:val="24"/>
          <w:highlight w:val="none"/>
        </w:rPr>
        <w:t>质量技术监督部门核准的计量认证合格“CMA”标志。盖章后的检测报告具有法律效力。</w:t>
      </w:r>
    </w:p>
    <w:p w14:paraId="43C41E3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10.达到本合同约定的付款条件并经甲方确认后应向甲方发出付款申请并提供相关资料。若乙方未及时提供前述资料，甲方可相应顺延付款时间。</w:t>
      </w:r>
    </w:p>
    <w:p w14:paraId="0E8542B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11.按相关安全法规进行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工作，遵守甲方施工现场管理的有关规定，承担在工作过程中的防火、防盗、防止意外事故发生等安全责任。若由于乙方原因发生安全事故，责任由乙方自行承担。</w:t>
      </w:r>
    </w:p>
    <w:p w14:paraId="0F70033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12.乙方如在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过程中损坏甲方现场的其他工程成品或半成品，乙方应赔偿给甲方，甲方有权在结算款中扣除。</w:t>
      </w:r>
    </w:p>
    <w:p w14:paraId="179C35D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13.未经甲方的书面同意，乙方不得泄露与本项目、本工程、本试验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合同有关的资</w:t>
      </w:r>
      <w:r>
        <w:rPr>
          <w:rFonts w:hint="eastAsia" w:ascii="宋体" w:hAnsi="宋体" w:eastAsia="宋体" w:cs="宋体"/>
          <w:color w:val="auto"/>
          <w:sz w:val="24"/>
          <w:highlight w:val="none"/>
        </w:rPr>
        <w:t>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否则，甲方有权解除合同，按本合同约定追究违约责任；情节严重的，移送司法机关处理</w:t>
      </w:r>
      <w:r>
        <w:rPr>
          <w:rFonts w:hint="eastAsia" w:ascii="宋体" w:hAnsi="宋体" w:cs="宋体"/>
          <w:color w:val="auto"/>
          <w:sz w:val="24"/>
          <w:highlight w:val="none"/>
        </w:rPr>
        <w:t>。</w:t>
      </w:r>
    </w:p>
    <w:p w14:paraId="38EEF537">
      <w:pPr>
        <w:pStyle w:val="4"/>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eastAsia="宋体" w:cs="宋体"/>
          <w:color w:val="auto"/>
          <w:sz w:val="24"/>
          <w:szCs w:val="24"/>
          <w:highlight w:val="none"/>
        </w:rPr>
        <w:t>配合甲方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竣工备案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档案归档工作</w:t>
      </w:r>
    </w:p>
    <w:p w14:paraId="0C4FF4D0">
      <w:pPr>
        <w:pStyle w:val="4"/>
      </w:pPr>
    </w:p>
    <w:p w14:paraId="59A2C439">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违约责任</w:t>
      </w:r>
    </w:p>
    <w:p w14:paraId="67931D5A">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1.甲方未能按本合同约定提供</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场地的，工期相应顺延。</w:t>
      </w:r>
    </w:p>
    <w:p w14:paraId="51F84D4D">
      <w:pPr>
        <w:adjustRightIn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乙方未按规定时间提交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报告书或未按规定时间进场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或到施工现场采集待检产品样品，每逾期一日，乙方</w:t>
      </w:r>
      <w:r>
        <w:rPr>
          <w:rFonts w:hint="eastAsia" w:ascii="宋体" w:hAnsi="宋体" w:cs="宋体"/>
          <w:color w:val="auto"/>
          <w:spacing w:val="6"/>
          <w:kern w:val="28"/>
          <w:sz w:val="24"/>
          <w:highlight w:val="none"/>
        </w:rPr>
        <w:t>按每日千分之一合同总价款标准</w:t>
      </w:r>
      <w:r>
        <w:rPr>
          <w:rFonts w:hint="eastAsia" w:ascii="宋体" w:hAnsi="宋体" w:cs="宋体"/>
          <w:color w:val="auto"/>
          <w:spacing w:val="6"/>
          <w:sz w:val="24"/>
          <w:highlight w:val="none"/>
        </w:rPr>
        <w:t>向甲方支付违约金。</w:t>
      </w:r>
    </w:p>
    <w:p w14:paraId="6B7D14D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3.乙方逾期</w:t>
      </w:r>
      <w:r>
        <w:rPr>
          <w:rFonts w:ascii="宋体" w:hAnsi="宋体" w:cs="宋体"/>
          <w:color w:val="auto"/>
          <w:sz w:val="24"/>
          <w:highlight w:val="none"/>
        </w:rPr>
        <w:t>1</w:t>
      </w:r>
      <w:r>
        <w:rPr>
          <w:rFonts w:hint="eastAsia" w:ascii="宋体" w:hAnsi="宋体" w:cs="宋体"/>
          <w:color w:val="auto"/>
          <w:sz w:val="24"/>
          <w:highlight w:val="none"/>
        </w:rPr>
        <w:t>0个工作日未能提交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报告的，甲方有权向乙方解除本合同，且甲方无需向乙方支付本合同任何费用，乙方应立即返还全部已经收取款项，同时乙方需向甲方赔偿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万元的违约金。</w:t>
      </w:r>
    </w:p>
    <w:p w14:paraId="0AEC2104">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4.若乙方所提交的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报告及有关资料不完整，不齐全，</w:t>
      </w:r>
      <w:r>
        <w:rPr>
          <w:rFonts w:hint="eastAsia" w:ascii="宋体" w:hAnsi="宋体" w:cs="宋体"/>
          <w:color w:val="auto"/>
          <w:sz w:val="24"/>
          <w:highlight w:val="none"/>
          <w:lang w:val="en-US" w:eastAsia="zh-CN"/>
        </w:rPr>
        <w:t>未经监理见证</w:t>
      </w:r>
      <w:r>
        <w:rPr>
          <w:rFonts w:hint="eastAsia" w:ascii="宋体" w:hAnsi="宋体" w:cs="宋体"/>
          <w:color w:val="auto"/>
          <w:sz w:val="24"/>
          <w:highlight w:val="none"/>
        </w:rPr>
        <w:t>或内容不符合甲方要求的，乙方应按甲方要求补充或重新进行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作业，并补齐有关资料。由此造成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延误的，乙方应当承担逾期履行的违约责任，增加的费用由乙方自行承担。</w:t>
      </w:r>
    </w:p>
    <w:p w14:paraId="0D5AED33">
      <w:pPr>
        <w:tabs>
          <w:tab w:val="left" w:pos="786"/>
        </w:tabs>
        <w:spacing w:line="360" w:lineRule="auto"/>
        <w:ind w:left="42" w:firstLine="420" w:firstLineChars="175"/>
        <w:rPr>
          <w:rFonts w:ascii="宋体" w:hAnsi="宋体"/>
          <w:color w:val="auto"/>
          <w:sz w:val="24"/>
          <w:highlight w:val="none"/>
        </w:rPr>
      </w:pPr>
      <w:r>
        <w:rPr>
          <w:rFonts w:hint="eastAsia" w:ascii="宋体" w:hAnsi="宋体" w:cs="宋体"/>
          <w:color w:val="auto"/>
          <w:sz w:val="24"/>
          <w:highlight w:val="none"/>
        </w:rPr>
        <w:t>5.由乙方原因造成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成果质量不合格，造成重大经济损失或工程事故时，乙方除应负法律责任外，还应赔偿甲方相应损失。由</w:t>
      </w:r>
      <w:r>
        <w:rPr>
          <w:rFonts w:hint="eastAsia" w:ascii="宋体" w:hAnsi="宋体"/>
          <w:color w:val="auto"/>
          <w:sz w:val="24"/>
          <w:highlight w:val="none"/>
        </w:rPr>
        <w:t>甲方提供的检验产品经乙方根据国家相关试验规程检验出结论为不合格而产生的复检或其他损失，乙方不承担任何责任，该次检验不合格的检验费纳入本合同结算范围内，而复检费用不纳入本合同内。</w:t>
      </w:r>
    </w:p>
    <w:p w14:paraId="75A6638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6.因乙方原因导致</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报告信息错误、未按照约定</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依据进行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或者</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结论判断错误的，乙方应进行更正或免费重新进行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。造成重大经济损失或工程事故时，乙方除应负法律责任外，还应赔偿甲方相应损失。</w:t>
      </w:r>
    </w:p>
    <w:p w14:paraId="6E7C169E">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7.乙方在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过程中，除不可抗力或甲方原因外不得以任何理由停工，非上述原因连续停工五个工作日以上的，乙方除应</w:t>
      </w:r>
      <w:r>
        <w:rPr>
          <w:rFonts w:hint="eastAsia" w:ascii="宋体" w:hAnsi="宋体" w:cs="宋体"/>
          <w:color w:val="auto"/>
          <w:spacing w:val="6"/>
          <w:sz w:val="24"/>
          <w:highlight w:val="none"/>
        </w:rPr>
        <w:t>按本合同总价款的5％向甲方支付违约金外，甲方有权与乙方解除合同，另行选择</w:t>
      </w:r>
      <w:r>
        <w:rPr>
          <w:rFonts w:hint="eastAsia" w:ascii="宋体" w:hAnsi="宋体" w:cs="宋体"/>
          <w:color w:val="auto"/>
          <w:sz w:val="24"/>
          <w:highlight w:val="none"/>
          <w:lang w:eastAsia="zh-CN"/>
        </w:rPr>
        <w:t>检验监测</w:t>
      </w:r>
      <w:r>
        <w:rPr>
          <w:rFonts w:hint="eastAsia" w:ascii="宋体" w:hAnsi="宋体" w:cs="宋体"/>
          <w:color w:val="auto"/>
          <w:spacing w:val="6"/>
          <w:sz w:val="24"/>
          <w:highlight w:val="none"/>
        </w:rPr>
        <w:t>单位。</w:t>
      </w:r>
    </w:p>
    <w:p w14:paraId="02068189">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w:t>
      </w:r>
      <w:r>
        <w:rPr>
          <w:rFonts w:hint="eastAsia" w:ascii="宋体" w:hAnsi="宋体" w:cs="宋体"/>
          <w:color w:val="auto"/>
          <w:sz w:val="24"/>
          <w:highlight w:val="none"/>
          <w:lang w:val="en-US" w:eastAsia="zh-CN"/>
        </w:rPr>
        <w:t>违约</w:t>
      </w:r>
      <w:r>
        <w:rPr>
          <w:rFonts w:hint="eastAsia" w:ascii="宋体" w:hAnsi="宋体" w:cs="宋体"/>
          <w:color w:val="auto"/>
          <w:sz w:val="24"/>
          <w:highlight w:val="none"/>
        </w:rPr>
        <w:t>转包或者分包的，一经查证属实，甲方有权解除本合同，且甲方无需向乙方支付本合同任何费用，乙方应立即返还全部已经收取款项，同时乙方需向甲方赔偿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万元的违约金。</w:t>
      </w:r>
    </w:p>
    <w:p w14:paraId="00E941C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对于“</w:t>
      </w:r>
      <w:r>
        <w:rPr>
          <w:rFonts w:hint="eastAsia" w:ascii="宋体" w:hAnsi="宋体" w:cs="宋体"/>
          <w:color w:val="auto"/>
          <w:sz w:val="24"/>
          <w:highlight w:val="none"/>
        </w:rPr>
        <w:t>危险性较大的分部分项工程安全管理规定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中的法律责任，乙方</w:t>
      </w:r>
      <w:r>
        <w:rPr>
          <w:rFonts w:hint="eastAsia" w:ascii="宋体" w:hAnsi="宋体" w:cs="宋体"/>
          <w:color w:val="auto"/>
          <w:sz w:val="24"/>
          <w:highlight w:val="none"/>
        </w:rPr>
        <w:t>有下列行为之一的，</w:t>
      </w:r>
      <w:r>
        <w:rPr>
          <w:rFonts w:hint="eastAsia" w:ascii="宋体" w:hAnsi="宋体" w:cs="宋体"/>
          <w:color w:val="auto"/>
          <w:sz w:val="24"/>
          <w:highlight w:val="none"/>
          <w:lang w:val="en-US" w:eastAsia="zh-CN"/>
        </w:rPr>
        <w:t>有关行政单位</w:t>
      </w:r>
      <w:r>
        <w:rPr>
          <w:rFonts w:hint="eastAsia" w:ascii="宋体" w:hAnsi="宋体" w:cs="宋体"/>
          <w:color w:val="auto"/>
          <w:sz w:val="24"/>
          <w:highlight w:val="none"/>
        </w:rPr>
        <w:t>责令限期改正，并处1万元以上3万元以下的罚款；对直接负责的主管人员和其他直接责任人员处1000元以上5000元以下的罚款：</w:t>
      </w:r>
    </w:p>
    <w:p w14:paraId="2F5A2578">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未取得相应勘察资质从事第三方监测的；</w:t>
      </w:r>
    </w:p>
    <w:p w14:paraId="048E48C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未按照本规定编制监测方案的；</w:t>
      </w:r>
    </w:p>
    <w:p w14:paraId="28C7D547">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szCs w:val="24"/>
          <w:highlight w:val="none"/>
        </w:rPr>
        <w:t>未按照监测方案开展监测的；</w:t>
      </w:r>
    </w:p>
    <w:p w14:paraId="118A0413">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发现异常未及时报告的。</w:t>
      </w:r>
    </w:p>
    <w:p w14:paraId="4DD960D5">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除上述行政罚款外还需承担违约责任，</w:t>
      </w:r>
      <w:r>
        <w:rPr>
          <w:rFonts w:hint="eastAsia" w:ascii="宋体" w:hAnsi="宋体" w:cs="宋体"/>
          <w:color w:val="auto"/>
          <w:sz w:val="24"/>
          <w:highlight w:val="none"/>
        </w:rPr>
        <w:t>同时乙方需向甲方赔偿</w:t>
      </w:r>
      <w:r>
        <w:rPr>
          <w:rFonts w:hint="eastAsia" w:ascii="宋体" w:hAnsi="宋体" w:cs="宋体"/>
          <w:color w:val="auto"/>
          <w:sz w:val="24"/>
          <w:highlight w:val="none"/>
          <w:lang w:val="en-US" w:eastAsia="zh-CN"/>
        </w:rPr>
        <w:t>1万元以上至3</w:t>
      </w:r>
      <w:r>
        <w:rPr>
          <w:rFonts w:hint="eastAsia" w:ascii="宋体" w:hAnsi="宋体" w:cs="宋体"/>
          <w:color w:val="auto"/>
          <w:sz w:val="24"/>
          <w:highlight w:val="none"/>
        </w:rPr>
        <w:t>万元</w:t>
      </w:r>
      <w:r>
        <w:rPr>
          <w:rFonts w:hint="eastAsia" w:ascii="宋体" w:hAnsi="宋体" w:cs="宋体"/>
          <w:color w:val="auto"/>
          <w:sz w:val="24"/>
          <w:highlight w:val="none"/>
          <w:lang w:val="en-US" w:eastAsia="zh-CN"/>
        </w:rPr>
        <w:t>以下</w:t>
      </w:r>
      <w:r>
        <w:rPr>
          <w:rFonts w:hint="eastAsia" w:ascii="宋体" w:hAnsi="宋体" w:cs="宋体"/>
          <w:color w:val="auto"/>
          <w:sz w:val="24"/>
          <w:highlight w:val="none"/>
        </w:rPr>
        <w:t>的违约金。</w:t>
      </w:r>
    </w:p>
    <w:p w14:paraId="5C6C57C1">
      <w:pPr>
        <w:adjustRightIn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甲方依本合同</w:t>
      </w:r>
      <w:r>
        <w:rPr>
          <w:rFonts w:hint="eastAsia" w:ascii="宋体" w:hAnsi="宋体" w:cs="宋体"/>
          <w:color w:val="auto"/>
          <w:spacing w:val="6"/>
          <w:sz w:val="24"/>
          <w:highlight w:val="none"/>
        </w:rPr>
        <w:t>与乙方解除合同</w:t>
      </w:r>
      <w:r>
        <w:rPr>
          <w:rFonts w:hint="eastAsia" w:ascii="宋体" w:hAnsi="宋体" w:cs="宋体"/>
          <w:color w:val="auto"/>
          <w:sz w:val="24"/>
          <w:highlight w:val="none"/>
        </w:rPr>
        <w:t>时，乙方所有人员、设备必须在甲方书面通知送达之日起七个工作日内撤离工作现场并向甲方移交有关的所有</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资料，且在此期限内与甲方共同对已完成的工作量进行签认。甲方在上述期限之后有权安排新的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单位进场。</w:t>
      </w:r>
    </w:p>
    <w:p w14:paraId="1AFE8D64">
      <w:pPr>
        <w:adjustRightInd w:val="0"/>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.上述乙方应向甲方支付的违约金，甲方均有权直接在应付而未付款中扣除，违约金不足以弥补甲方损失的，甲方可继续向乙方追偿。</w:t>
      </w:r>
    </w:p>
    <w:p w14:paraId="5378E317">
      <w:pPr>
        <w:adjustRightInd w:val="0"/>
        <w:spacing w:line="360" w:lineRule="auto"/>
        <w:ind w:firstLine="504" w:firstLineChars="200"/>
        <w:rPr>
          <w:rFonts w:hint="default"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12.联合体内两单位对上述乙方“违约责任”承担连带责任。</w:t>
      </w:r>
    </w:p>
    <w:p w14:paraId="78523E1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转让、转包或者分包条款</w:t>
      </w:r>
    </w:p>
    <w:p w14:paraId="65B70CB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未经甲方书面同意，乙方不得全部或部分转让其在本合同项下的权利和义务。乙方不得将工程项目转包或者分包。</w:t>
      </w:r>
      <w:r>
        <w:rPr>
          <w:rFonts w:hint="eastAsia" w:ascii="宋体" w:hAnsi="宋体" w:cs="宋体"/>
          <w:color w:val="auto"/>
          <w:kern w:val="0"/>
          <w:sz w:val="24"/>
          <w:highlight w:val="none"/>
        </w:rPr>
        <w:t>本合同如有检测项目超出乙方检测资质范围，经甲方同意可</w:t>
      </w:r>
      <w:r>
        <w:rPr>
          <w:rFonts w:hint="eastAsia" w:ascii="宋体" w:hAnsi="宋体" w:cs="宋体"/>
          <w:color w:val="auto"/>
          <w:kern w:val="0"/>
          <w:sz w:val="24"/>
          <w:highlight w:val="none"/>
          <w:lang w:val="en-US" w:eastAsia="zh-CN"/>
        </w:rPr>
        <w:t>另行</w:t>
      </w:r>
      <w:r>
        <w:rPr>
          <w:rFonts w:hint="eastAsia" w:ascii="宋体" w:hAnsi="宋体" w:cs="宋体"/>
          <w:color w:val="auto"/>
          <w:kern w:val="0"/>
          <w:sz w:val="24"/>
          <w:highlight w:val="none"/>
        </w:rPr>
        <w:t>委托有资质的检测单位进行检测</w:t>
      </w:r>
      <w:r>
        <w:rPr>
          <w:rFonts w:hint="eastAsia" w:ascii="宋体" w:hAnsi="宋体" w:cs="宋体"/>
          <w:color w:val="auto"/>
          <w:sz w:val="24"/>
          <w:highlight w:val="none"/>
        </w:rPr>
        <w:t>。</w:t>
      </w:r>
    </w:p>
    <w:p w14:paraId="321104A9">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合同终止</w:t>
      </w:r>
    </w:p>
    <w:p w14:paraId="625D6647">
      <w:pPr>
        <w:adjustRightInd w:val="0"/>
        <w:spacing w:line="360"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（一）</w:t>
      </w:r>
      <w:r>
        <w:rPr>
          <w:rFonts w:hint="eastAsia" w:ascii="宋体" w:hAnsi="宋体" w:cs="宋体"/>
          <w:color w:val="auto"/>
          <w:spacing w:val="8"/>
          <w:sz w:val="24"/>
          <w:highlight w:val="none"/>
        </w:rPr>
        <w:t>因解除而终止</w:t>
      </w:r>
    </w:p>
    <w:p w14:paraId="36DF8F05">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1、合同一方依本合同其他条款约定行使解除权的，合同自解除通知送达之日起终止。违约方应当向另一方支付违约金或赔偿损失。</w:t>
      </w:r>
    </w:p>
    <w:p w14:paraId="74EAC0A1">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2、合同终止后，不妨碍一方向违约方追究违约责任。</w:t>
      </w:r>
    </w:p>
    <w:p w14:paraId="359B67BB">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（二）有下列情形之一的，合同权利义务终止：</w:t>
      </w:r>
    </w:p>
    <w:p w14:paraId="05282EA9">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1、本合同因已按约定履行完毕而自然终止；</w:t>
      </w:r>
    </w:p>
    <w:p w14:paraId="74EB29F9">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2、本合同经双方协商一致而终止；</w:t>
      </w:r>
    </w:p>
    <w:p w14:paraId="0AD6EDB8">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3、法律法规规定终止的其他情形。</w:t>
      </w:r>
    </w:p>
    <w:p w14:paraId="1E7DECA1">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保密条款</w:t>
      </w:r>
    </w:p>
    <w:p w14:paraId="11C7606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4D986D7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2、一方违反上述约定导致合同其他方遭受损失或不利影响的，责任方应按检测总价款的3%向合同其他方支付违约金，违约金不足以赔偿合同其他方损失的，应按合同其他方的实际损失赔偿。</w:t>
      </w:r>
    </w:p>
    <w:p w14:paraId="0C1E567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3</w:t>
      </w:r>
      <w:r>
        <w:rPr>
          <w:rFonts w:hint="eastAsia" w:ascii="宋体" w:hAnsi="宋体" w:cs="宋体"/>
          <w:color w:val="auto"/>
          <w:sz w:val="24"/>
          <w:highlight w:val="none"/>
        </w:rPr>
        <w:t>、甲方有义务为在交易的过程中所知悉的乙方尚未公开的知识产权信息或其他商业信息、技术信息事项进行保密。</w:t>
      </w:r>
    </w:p>
    <w:p w14:paraId="6A2AD1B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14:paraId="7AE9810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5、乙方应当采取严格的保密措施，严格限定乙方内部知悉人员的范围，确保甲方保密信息不泄漏。</w:t>
      </w:r>
    </w:p>
    <w:p w14:paraId="1F39B2B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6、合同所称的甲方保密信息是指涉及甲方的所有未正式公开的信息、资料和物品，无论其表现形式如何，无论乙方通过何种方式取得。</w:t>
      </w:r>
    </w:p>
    <w:p w14:paraId="27CA28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7、本合同终止后，乙方应当于甲方指定期间内返还甲方所有商业秘密资料、信息，不能返还的予以销毁。</w:t>
      </w:r>
    </w:p>
    <w:p w14:paraId="4EC408A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8、保密条款具有独立性，不受本合同的终止或解除的影响。</w:t>
      </w:r>
    </w:p>
    <w:p w14:paraId="54F15D9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免责条款</w:t>
      </w:r>
    </w:p>
    <w:p w14:paraId="5583ECD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14:paraId="78CF0F9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遭受不可抗力的一方未履行上述义务的，不能免除其违约责任。</w:t>
      </w:r>
    </w:p>
    <w:p w14:paraId="0DEBF511">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适用法律条款</w:t>
      </w:r>
    </w:p>
    <w:p w14:paraId="3F910BAB">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本合同的订立、效力、解释、履行和争议的解决均适用中华人民共和国法律法规。</w:t>
      </w:r>
    </w:p>
    <w:p w14:paraId="356928B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争议的解决</w:t>
      </w:r>
    </w:p>
    <w:p w14:paraId="10DA3E68">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凡因执行本合同所发生的或与本合同有关的一切争议，合同各方应通过友好协商解决；如果协商不能解决，任何一方均可向检测项目所在地</w:t>
      </w:r>
      <w:r>
        <w:rPr>
          <w:rFonts w:hint="eastAsia" w:ascii="宋体" w:hAnsi="宋体" w:cs="宋体"/>
          <w:color w:val="auto"/>
          <w:spacing w:val="8"/>
          <w:sz w:val="24"/>
          <w:highlight w:val="none"/>
          <w:u w:val="single"/>
        </w:rPr>
        <w:t>广州市天河区人民法院</w:t>
      </w:r>
      <w:r>
        <w:rPr>
          <w:rFonts w:hint="eastAsia" w:ascii="宋体" w:hAnsi="宋体" w:cs="宋体"/>
          <w:color w:val="auto"/>
          <w:spacing w:val="8"/>
          <w:sz w:val="24"/>
          <w:highlight w:val="none"/>
        </w:rPr>
        <w:t>起诉。因诉讼而产生的律师费、诉讼费和交通费等均由</w:t>
      </w:r>
      <w:r>
        <w:rPr>
          <w:rFonts w:hint="eastAsia" w:ascii="宋体" w:hAnsi="宋体" w:cs="宋体"/>
          <w:color w:val="auto"/>
          <w:spacing w:val="8"/>
          <w:sz w:val="24"/>
          <w:highlight w:val="none"/>
          <w:lang w:val="en-US" w:eastAsia="zh-CN"/>
        </w:rPr>
        <w:t>违约</w:t>
      </w:r>
      <w:r>
        <w:rPr>
          <w:rFonts w:hint="eastAsia" w:ascii="宋体" w:hAnsi="宋体" w:cs="宋体"/>
          <w:color w:val="auto"/>
          <w:spacing w:val="8"/>
          <w:sz w:val="24"/>
          <w:highlight w:val="none"/>
        </w:rPr>
        <w:t>一方承担。</w:t>
      </w:r>
    </w:p>
    <w:p w14:paraId="295B86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  其它</w:t>
      </w:r>
    </w:p>
    <w:p w14:paraId="1D7A34BA">
      <w:pPr>
        <w:adjustRightInd w:val="0"/>
        <w:spacing w:line="360" w:lineRule="auto"/>
        <w:ind w:firstLine="512" w:firstLineChars="200"/>
        <w:rPr>
          <w:rFonts w:ascii="宋体" w:hAnsi="宋体" w:cs="宋体"/>
          <w:color w:val="auto"/>
          <w:sz w:val="24"/>
          <w:highlight w:val="none"/>
        </w:rPr>
      </w:pPr>
      <w:r>
        <w:rPr>
          <w:rFonts w:hint="eastAsia" w:ascii="宋体" w:hAnsi="宋体" w:cs="宋体"/>
          <w:color w:val="auto"/>
          <w:spacing w:val="8"/>
          <w:sz w:val="24"/>
          <w:highlight w:val="none"/>
        </w:rPr>
        <w:t>1、</w:t>
      </w:r>
      <w:r>
        <w:rPr>
          <w:rFonts w:hint="eastAsia" w:ascii="宋体" w:hAnsi="宋体" w:cs="宋体"/>
          <w:color w:val="auto"/>
          <w:sz w:val="24"/>
          <w:highlight w:val="none"/>
        </w:rPr>
        <w:t>本合同未尽事宜，由甲乙双方友好协商，另签订补充协议。补充协议与本合同具同等法律效力。</w:t>
      </w:r>
    </w:p>
    <w:p w14:paraId="592BEFF2">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2、本合同一式</w:t>
      </w:r>
      <w:r>
        <w:rPr>
          <w:rFonts w:hint="eastAsia" w:ascii="宋体" w:hAnsi="宋体" w:cs="宋体"/>
          <w:color w:val="auto"/>
          <w:spacing w:val="8"/>
          <w:sz w:val="24"/>
          <w:highlight w:val="none"/>
          <w:lang w:val="en-US" w:eastAsia="zh-CN"/>
        </w:rPr>
        <w:t>陆</w:t>
      </w:r>
      <w:r>
        <w:rPr>
          <w:rFonts w:hint="eastAsia" w:ascii="宋体" w:hAnsi="宋体" w:cs="宋体"/>
          <w:color w:val="auto"/>
          <w:spacing w:val="8"/>
          <w:sz w:val="24"/>
          <w:highlight w:val="none"/>
        </w:rPr>
        <w:t>份，甲方执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份，乙方执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w:t>
      </w:r>
    </w:p>
    <w:p w14:paraId="6BCE53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3、本合同自双方签字盖章后生效。</w:t>
      </w:r>
    </w:p>
    <w:p w14:paraId="248BCDB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6272F3C8">
      <w:pPr>
        <w:pStyle w:val="10"/>
        <w:ind w:left="0" w:leftChars="0" w:firstLine="0" w:firstLineChars="0"/>
        <w:rPr>
          <w:rFonts w:ascii="宋体" w:hAnsi="宋体" w:cs="宋体"/>
          <w:color w:val="auto"/>
          <w:sz w:val="24"/>
          <w:highlight w:val="none"/>
        </w:rPr>
      </w:pPr>
      <w:r>
        <w:rPr>
          <w:rFonts w:hint="eastAsia" w:ascii="宋体" w:hAnsi="宋体" w:cs="宋体"/>
          <w:color w:val="auto"/>
          <w:sz w:val="24"/>
          <w:highlight w:val="none"/>
        </w:rPr>
        <w:br w:type="page"/>
      </w:r>
    </w:p>
    <w:p w14:paraId="6A3A38A9">
      <w:pPr>
        <w:spacing w:after="156" w:afterLines="50" w:line="480" w:lineRule="auto"/>
        <w:rPr>
          <w:rFonts w:ascii="宋体" w:hAnsi="宋体" w:cs="宋体"/>
          <w:color w:val="auto"/>
          <w:sz w:val="24"/>
          <w:highlight w:val="none"/>
        </w:rPr>
      </w:pPr>
      <w:r>
        <w:rPr>
          <w:rFonts w:hint="eastAsia" w:ascii="宋体" w:hAnsi="宋体" w:cs="宋体"/>
          <w:color w:val="auto"/>
          <w:sz w:val="24"/>
          <w:highlight w:val="none"/>
        </w:rPr>
        <w:t xml:space="preserve">甲方单位：广州市天河区水务设施建设中心   </w:t>
      </w:r>
    </w:p>
    <w:p w14:paraId="76D9E6E3">
      <w:pPr>
        <w:spacing w:after="156" w:afterLines="50" w:line="48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 xml:space="preserve">（盖章） </w:t>
      </w:r>
    </w:p>
    <w:p w14:paraId="62384EF5">
      <w:pPr>
        <w:tabs>
          <w:tab w:val="left" w:pos="4713"/>
        </w:tabs>
        <w:spacing w:line="480" w:lineRule="auto"/>
        <w:ind w:left="0" w:firstLine="0" w:firstLineChars="0"/>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法定代表人或授权代理人：                    </w:t>
      </w:r>
    </w:p>
    <w:p w14:paraId="05AA3E2C">
      <w:pPr>
        <w:spacing w:line="480" w:lineRule="auto"/>
        <w:ind w:left="5520" w:hanging="5520" w:hangingChars="2300"/>
        <w:jc w:val="left"/>
        <w:rPr>
          <w:rFonts w:ascii="宋体" w:hAnsi="宋体" w:cs="宋体"/>
          <w:color w:val="auto"/>
          <w:sz w:val="24"/>
          <w:highlight w:val="none"/>
        </w:rPr>
      </w:pPr>
      <w:r>
        <w:rPr>
          <w:rFonts w:hint="eastAsia" w:ascii="宋体" w:hAnsi="宋体" w:cs="宋体"/>
          <w:color w:val="auto"/>
          <w:sz w:val="24"/>
          <w:highlight w:val="none"/>
        </w:rPr>
        <w:t>经办人：</w:t>
      </w:r>
    </w:p>
    <w:p w14:paraId="7D41C0A6">
      <w:pPr>
        <w:spacing w:line="480" w:lineRule="auto"/>
        <w:ind w:left="5520" w:hanging="5520" w:hangingChars="2300"/>
        <w:jc w:val="left"/>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广州市天河区黄埔大道中168号</w:t>
      </w:r>
      <w:r>
        <w:rPr>
          <w:rFonts w:hint="eastAsia" w:ascii="宋体" w:hAnsi="宋体" w:cs="宋体"/>
          <w:color w:val="auto"/>
          <w:sz w:val="24"/>
          <w:highlight w:val="none"/>
        </w:rPr>
        <w:t xml:space="preserve">     </w:t>
      </w:r>
    </w:p>
    <w:p w14:paraId="1E2D2170">
      <w:pPr>
        <w:spacing w:line="48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电话：                               </w:t>
      </w:r>
    </w:p>
    <w:p w14:paraId="493CF456">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14:paraId="0D24D952">
      <w:pPr>
        <w:spacing w:line="480" w:lineRule="auto"/>
        <w:ind w:firstLine="840" w:firstLineChars="350"/>
        <w:rPr>
          <w:rFonts w:ascii="宋体" w:hAnsi="宋体" w:cs="宋体"/>
          <w:color w:val="auto"/>
          <w:sz w:val="24"/>
          <w:highlight w:val="none"/>
        </w:rPr>
      </w:pPr>
    </w:p>
    <w:p w14:paraId="3FCF9249">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（主）</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4CCB4E8E">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098C5515">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2B8F7229">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u w:val="single"/>
          <w:lang w:val="en-US" w:eastAsia="zh-CN"/>
        </w:rPr>
        <w:t xml:space="preserve">                 </w:t>
      </w:r>
    </w:p>
    <w:p w14:paraId="234FD54F">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r>
        <w:rPr>
          <w:rFonts w:hint="eastAsia" w:ascii="宋体" w:hAnsi="宋体" w:cs="宋体"/>
          <w:color w:val="auto"/>
          <w:spacing w:val="12"/>
          <w:kern w:val="10"/>
          <w:sz w:val="24"/>
          <w:highlight w:val="none"/>
          <w:u w:val="single"/>
          <w:lang w:val="en-US" w:eastAsia="zh-CN"/>
        </w:rPr>
        <w:t xml:space="preserve">              </w:t>
      </w:r>
    </w:p>
    <w:p w14:paraId="430EBB3A">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r>
        <w:rPr>
          <w:rFonts w:hint="eastAsia" w:ascii="宋体" w:hAnsi="宋体" w:cs="宋体"/>
          <w:color w:val="auto"/>
          <w:sz w:val="24"/>
          <w:highlight w:val="none"/>
        </w:rPr>
        <w:t xml:space="preserve"> </w:t>
      </w:r>
    </w:p>
    <w:p w14:paraId="06301EE0">
      <w:pPr>
        <w:spacing w:line="480" w:lineRule="auto"/>
        <w:ind w:left="6720" w:hanging="6720" w:hangingChars="2800"/>
        <w:rPr>
          <w:rFonts w:hint="eastAsia" w:ascii="宋体" w:hAnsi="宋体" w:eastAsia="宋体" w:cs="宋体"/>
          <w:color w:val="auto"/>
          <w:sz w:val="24"/>
          <w:highlight w:val="none"/>
        </w:rPr>
      </w:pPr>
    </w:p>
    <w:p w14:paraId="2235263C">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6761E5EF">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48A06C25">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175C9856">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 xml:space="preserve">   </w:t>
      </w:r>
    </w:p>
    <w:p w14:paraId="597E4F5A">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p>
    <w:p w14:paraId="0418A97A">
      <w:pPr>
        <w:pStyle w:val="10"/>
        <w:ind w:firstLine="0" w:firstLineChars="0"/>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p>
    <w:p w14:paraId="52E1A755">
      <w:pPr>
        <w:spacing w:line="480" w:lineRule="auto"/>
        <w:ind w:left="6120" w:hanging="6120" w:hangingChars="25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2E9C1E2">
      <w:pPr>
        <w:spacing w:line="240" w:lineRule="auto"/>
        <w:ind w:lef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63992483">
      <w:pPr>
        <w:rPr>
          <w:rFonts w:ascii="宋体" w:hAnsi="宋体" w:cs="宋体"/>
          <w:color w:val="auto"/>
          <w:spacing w:val="12"/>
          <w:kern w:val="10"/>
          <w:sz w:val="24"/>
          <w:highlight w:val="none"/>
        </w:rPr>
      </w:pPr>
      <w:r>
        <w:rPr>
          <w:rFonts w:hint="eastAsia" w:ascii="宋体" w:hAnsi="宋体" w:cs="宋体"/>
          <w:color w:val="auto"/>
          <w:spacing w:val="8"/>
          <w:sz w:val="24"/>
          <w:highlight w:val="none"/>
        </w:rPr>
        <w:t>附件1《廉政合同》</w:t>
      </w:r>
    </w:p>
    <w:p w14:paraId="1A08F42F">
      <w:pPr>
        <w:snapToGrid w:val="0"/>
        <w:spacing w:line="360" w:lineRule="auto"/>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廉 政 合 同</w:t>
      </w:r>
    </w:p>
    <w:p w14:paraId="3CC7F0F2">
      <w:pPr>
        <w:snapToGrid w:val="0"/>
        <w:spacing w:line="360" w:lineRule="auto"/>
        <w:ind w:firstLine="560" w:firstLineChars="200"/>
        <w:rPr>
          <w:rFonts w:ascii="宋体" w:hAnsi="宋体" w:cs="宋体"/>
          <w:bCs/>
          <w:color w:val="auto"/>
          <w:spacing w:val="20"/>
          <w:sz w:val="24"/>
          <w:highlight w:val="none"/>
          <w:u w:val="single"/>
        </w:rPr>
      </w:pPr>
      <w:r>
        <w:rPr>
          <w:rFonts w:hint="eastAsia" w:ascii="宋体" w:hAnsi="宋体" w:cs="宋体"/>
          <w:bCs/>
          <w:color w:val="auto"/>
          <w:spacing w:val="20"/>
          <w:sz w:val="24"/>
          <w:highlight w:val="none"/>
        </w:rPr>
        <w:t>委托人：（甲方）</w:t>
      </w:r>
      <w:r>
        <w:rPr>
          <w:rFonts w:hint="eastAsia" w:ascii="宋体" w:hAnsi="宋体" w:cs="宋体"/>
          <w:bCs/>
          <w:color w:val="auto"/>
          <w:spacing w:val="20"/>
          <w:sz w:val="24"/>
          <w:highlight w:val="none"/>
          <w:u w:val="single"/>
        </w:rPr>
        <w:t>广州市天河区水务设施建设中心</w:t>
      </w:r>
    </w:p>
    <w:p w14:paraId="35B42151">
      <w:pPr>
        <w:snapToGrid w:val="0"/>
        <w:spacing w:line="360" w:lineRule="auto"/>
        <w:ind w:firstLine="560" w:firstLineChars="200"/>
        <w:rPr>
          <w:rFonts w:hint="default" w:ascii="宋体" w:hAnsi="宋体" w:eastAsia="宋体" w:cs="宋体"/>
          <w:bCs/>
          <w:color w:val="auto"/>
          <w:spacing w:val="20"/>
          <w:sz w:val="24"/>
          <w:highlight w:val="none"/>
          <w:u w:val="single"/>
          <w:lang w:val="en-US" w:eastAsia="zh-CN"/>
        </w:rPr>
      </w:pPr>
      <w:r>
        <w:rPr>
          <w:rFonts w:hint="eastAsia" w:ascii="宋体" w:hAnsi="宋体" w:cs="宋体"/>
          <w:bCs/>
          <w:color w:val="auto"/>
          <w:spacing w:val="20"/>
          <w:sz w:val="24"/>
          <w:highlight w:val="none"/>
        </w:rPr>
        <w:t>受托人：（乙方）</w:t>
      </w:r>
      <w:r>
        <w:rPr>
          <w:rFonts w:hint="eastAsia" w:ascii="宋体" w:hAnsi="宋体" w:cs="宋体"/>
          <w:bCs/>
          <w:color w:val="auto"/>
          <w:spacing w:val="20"/>
          <w:sz w:val="24"/>
          <w:highlight w:val="none"/>
          <w:u w:val="single"/>
          <w:lang w:val="en-US" w:eastAsia="zh-CN"/>
        </w:rPr>
        <w:t xml:space="preserve">                            </w:t>
      </w:r>
    </w:p>
    <w:p w14:paraId="44658045">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根据国家、省有关廉政建设的规定，为做好合同工程的廉政建设，保证工程质量与施工安全，提高建设资金的有效使用和投资效益，合同</w:t>
      </w:r>
      <w:r>
        <w:rPr>
          <w:rFonts w:hint="eastAsia" w:ascii="宋体" w:hAnsi="宋体" w:cs="宋体"/>
          <w:color w:val="auto"/>
          <w:spacing w:val="8"/>
          <w:sz w:val="24"/>
          <w:highlight w:val="none"/>
          <w:lang w:val="en-US" w:eastAsia="zh-CN"/>
        </w:rPr>
        <w:t>甲</w:t>
      </w:r>
      <w:r>
        <w:rPr>
          <w:rFonts w:hint="eastAsia" w:ascii="宋体" w:hAnsi="宋体" w:cs="宋体"/>
          <w:color w:val="auto"/>
          <w:spacing w:val="8"/>
          <w:sz w:val="24"/>
          <w:highlight w:val="none"/>
        </w:rPr>
        <w:t>方</w:t>
      </w:r>
      <w:r>
        <w:rPr>
          <w:rFonts w:hint="eastAsia" w:ascii="宋体" w:hAnsi="宋体" w:cs="宋体"/>
          <w:color w:val="auto"/>
          <w:spacing w:val="8"/>
          <w:sz w:val="24"/>
          <w:highlight w:val="none"/>
          <w:lang w:eastAsia="zh-CN"/>
        </w:rPr>
        <w:t>、</w:t>
      </w:r>
      <w:r>
        <w:rPr>
          <w:rFonts w:hint="eastAsia" w:ascii="宋体" w:hAnsi="宋体" w:cs="宋体"/>
          <w:color w:val="auto"/>
          <w:spacing w:val="8"/>
          <w:sz w:val="24"/>
          <w:highlight w:val="none"/>
          <w:lang w:val="en-US" w:eastAsia="zh-CN"/>
        </w:rPr>
        <w:t>乙方</w:t>
      </w:r>
      <w:r>
        <w:rPr>
          <w:rFonts w:hint="eastAsia" w:ascii="宋体" w:hAnsi="宋体" w:cs="宋体"/>
          <w:color w:val="auto"/>
          <w:spacing w:val="8"/>
          <w:sz w:val="24"/>
          <w:highlight w:val="none"/>
        </w:rPr>
        <w:t>当事人就加强合同工程的廉政建设，订立本合同。</w:t>
      </w:r>
    </w:p>
    <w:p w14:paraId="14565D19">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1  双方权利和义务</w:t>
      </w:r>
    </w:p>
    <w:p w14:paraId="11C92B78">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1.1  严格遵守国家、省有关法律法规的规定。</w:t>
      </w:r>
    </w:p>
    <w:p w14:paraId="5805762E">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1.2  严格执行合同工程一切合同文件，自觉按合同办事。</w:t>
      </w:r>
    </w:p>
    <w:p w14:paraId="0C9CCF33">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1.3  合同双方当事人的业务活动应坚持公平、公开、公正和诚信的原则（法律认定的商业秘密和合同文件另有规定除外），不得损害国家和集体利益，不得违反工程建设管理规章制度。</w:t>
      </w:r>
    </w:p>
    <w:p w14:paraId="485AA510">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1.4  建立健全廉政制度，开展廉政教育，设立廉政告示牌，公布举报电话，监督并认真查处违法违纪行为。</w:t>
      </w:r>
    </w:p>
    <w:p w14:paraId="0BEF7FCD">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1.5  发现对方在业务活动中有违反廉政建设规定的行为，应及时给予提醒和纠正。</w:t>
      </w:r>
    </w:p>
    <w:p w14:paraId="4CD0BB8A">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1.6  发现对方严重违反合同的行为，有向其上级部门举报、建议给予处理并要求告知处理结果的权利。没有上级部门的，可按本合同第二部分《通用条款》第 87 条规定处。</w:t>
      </w:r>
    </w:p>
    <w:p w14:paraId="385DE855">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 xml:space="preserve">2  </w:t>
      </w:r>
      <w:r>
        <w:rPr>
          <w:rFonts w:hint="eastAsia" w:ascii="宋体" w:hAnsi="宋体" w:cs="宋体"/>
          <w:color w:val="auto"/>
          <w:sz w:val="24"/>
          <w:highlight w:val="none"/>
        </w:rPr>
        <w:t>甲</w:t>
      </w:r>
      <w:r>
        <w:rPr>
          <w:rFonts w:hint="eastAsia" w:ascii="宋体" w:hAnsi="宋体" w:cs="宋体"/>
          <w:color w:val="auto"/>
          <w:spacing w:val="8"/>
          <w:sz w:val="24"/>
          <w:highlight w:val="none"/>
        </w:rPr>
        <w:t>方义务</w:t>
      </w:r>
    </w:p>
    <w:p w14:paraId="6B7C31FE">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2.1  甲方及其工作人员不得索要或接受乙方的礼金、有价证券和贵重物品，不得在乙方报销任何应由甲方或工作人员个人支付的费用等。</w:t>
      </w:r>
    </w:p>
    <w:p w14:paraId="71153C77">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2.2  甲方及其工作人员不得参加乙方安排的宴请（工作餐除外）和娱乐活动；不得接受乙方提供的通讯工具、交通工具和高档办公用品等。</w:t>
      </w:r>
    </w:p>
    <w:p w14:paraId="7A86CB95">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2.3  甲方及其工作人员不得要求或者接受乙方为其住房装修、婚丧嫁娶活动、配偶子女的工作安排以及出国出境、旅游等提供方便等。</w:t>
      </w:r>
    </w:p>
    <w:p w14:paraId="3B0A6108">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2.4  甲方及其工作人员不得以任何理由向乙方推荐分包人、推销材料和工程设备，不得要求乙方购买合同以外的材料和工程设备。</w:t>
      </w:r>
    </w:p>
    <w:p w14:paraId="442D2C3A">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2.5  甲方及其工作人员要秉公办事，不准营私舞弊，不准利用职权私自为合同工程安排施工队伍，也不得从事与合同工程有关的各种有偿中介活动。</w:t>
      </w:r>
    </w:p>
    <w:p w14:paraId="7D1DD472">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2.6  甲方及其工作人员（含其配偶、子女）不得从事与合同工程有关的材料和工程设备供应、工程分包、劳务等经济活动。</w:t>
      </w:r>
    </w:p>
    <w:p w14:paraId="028D8B22">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3  乙方义务</w:t>
      </w:r>
    </w:p>
    <w:p w14:paraId="02B96C1D">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3.1  乙方不得以任何理由向甲方及其工作人员行贿或馈赠礼金、有价证券、贵重礼品。</w:t>
      </w:r>
    </w:p>
    <w:p w14:paraId="397AF4D6">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3.2  乙方不得以任何名义为甲方及其工作人员报销应由甲方或工作人员个人支付的任何费用。</w:t>
      </w:r>
    </w:p>
    <w:p w14:paraId="4316122D">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3.3  乙方不得以任何理由安排甲方及其工作人员参加宴请（工作餐除外）及娱乐活动。</w:t>
      </w:r>
    </w:p>
    <w:p w14:paraId="61D04486">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3.4  乙方不得为甲方和个人购置或提供通讯工具、交通工具和高档办公用品等。</w:t>
      </w:r>
    </w:p>
    <w:p w14:paraId="5BDE8290">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3.5  乙方不得为甲方及其工作人员的住房装修、婚丧嫁娶活动、配偶子女工作安排以及出国出境、旅游等提供方便。</w:t>
      </w:r>
    </w:p>
    <w:p w14:paraId="32CC0081">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4  违约责任</w:t>
      </w:r>
    </w:p>
    <w:p w14:paraId="1219BDB2">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4.1  甲方及其工作人员违反本合同第1条和第2条规定，应依据有关规定给予廉政建设规定的处分；涉嫌犯罪的，移交司法机关追究刑事责任；给乙方造成经济损失的，应予赔偿。</w:t>
      </w:r>
    </w:p>
    <w:p w14:paraId="53DA1F54">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w:t>
      </w:r>
      <w:r>
        <w:rPr>
          <w:rFonts w:hint="eastAsia" w:ascii="宋体" w:hAnsi="宋体" w:cs="宋体"/>
          <w:color w:val="auto"/>
          <w:sz w:val="24"/>
          <w:highlight w:val="none"/>
        </w:rPr>
        <w:t>、丙</w:t>
      </w:r>
      <w:r>
        <w:rPr>
          <w:rFonts w:hint="eastAsia" w:ascii="宋体" w:hAnsi="宋体" w:cs="宋体"/>
          <w:color w:val="auto"/>
          <w:spacing w:val="8"/>
          <w:sz w:val="24"/>
          <w:highlight w:val="none"/>
        </w:rPr>
        <w:t>方造成损失的，应予赔偿；</w:t>
      </w:r>
    </w:p>
    <w:p w14:paraId="280CF1B7">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5  双方约定</w:t>
      </w:r>
    </w:p>
    <w:p w14:paraId="5B1B8655">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本合同由合同双方当事人或其上级部门负责监督执行，并由合同双方当事人或其上级部门相互约请对本合同执行情况进行检查。</w:t>
      </w:r>
    </w:p>
    <w:p w14:paraId="3E0C3892">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6  合同生效</w:t>
      </w:r>
    </w:p>
    <w:p w14:paraId="05500CBE">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本合同的有效期，自双方签署之日起至本合同双方权利义务履行完毕之日止。</w:t>
      </w:r>
    </w:p>
    <w:p w14:paraId="78788CB9">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7  合同法律效力</w:t>
      </w:r>
    </w:p>
    <w:p w14:paraId="1F39AB3F">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本合同作为天河区居民用户老旧共用用水设施改造工程（片区二）第三方检测合同的附件，与招标代理合同具有同等的法律效力，经双方签署后生效。</w:t>
      </w:r>
    </w:p>
    <w:p w14:paraId="5C6AC675">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8  合同份数</w:t>
      </w:r>
    </w:p>
    <w:p w14:paraId="4E0ADC34">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双方约定本合同共 6份，其中，</w:t>
      </w:r>
      <w:r>
        <w:rPr>
          <w:rFonts w:hint="eastAsia" w:ascii="宋体" w:hAnsi="宋体" w:cs="宋体"/>
          <w:color w:val="auto"/>
          <w:spacing w:val="8"/>
          <w:sz w:val="24"/>
          <w:highlight w:val="none"/>
          <w:lang w:val="en-US" w:eastAsia="zh-CN"/>
        </w:rPr>
        <w:t>甲方</w:t>
      </w:r>
      <w:r>
        <w:rPr>
          <w:rFonts w:hint="eastAsia" w:ascii="宋体" w:hAnsi="宋体" w:cs="宋体"/>
          <w:color w:val="auto"/>
          <w:spacing w:val="8"/>
          <w:sz w:val="24"/>
          <w:highlight w:val="none"/>
        </w:rPr>
        <w:t>3 份，</w:t>
      </w:r>
      <w:r>
        <w:rPr>
          <w:rFonts w:hint="eastAsia" w:ascii="宋体" w:hAnsi="宋体" w:cs="宋体"/>
          <w:color w:val="auto"/>
          <w:spacing w:val="8"/>
          <w:sz w:val="24"/>
          <w:highlight w:val="none"/>
          <w:lang w:val="en-US" w:eastAsia="zh-CN"/>
        </w:rPr>
        <w:t>乙方</w:t>
      </w:r>
      <w:r>
        <w:rPr>
          <w:rFonts w:hint="eastAsia" w:ascii="宋体" w:hAnsi="宋体" w:cs="宋体"/>
          <w:color w:val="auto"/>
          <w:spacing w:val="8"/>
          <w:sz w:val="24"/>
          <w:highlight w:val="none"/>
        </w:rPr>
        <w:t>3 份。有上级部门的，双方应送交其上级部门各一份。</w:t>
      </w:r>
    </w:p>
    <w:p w14:paraId="4B01A11D">
      <w:pPr>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0D4F2280">
      <w:pPr>
        <w:pStyle w:val="10"/>
        <w:ind w:firstLine="210"/>
        <w:rPr>
          <w:color w:val="auto"/>
          <w:highlight w:val="none"/>
        </w:rPr>
      </w:pPr>
    </w:p>
    <w:p w14:paraId="1E67762C">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甲方单位：（盖章）  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主</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成</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w:t>
      </w:r>
    </w:p>
    <w:p w14:paraId="5EC64CAF">
      <w:pPr>
        <w:pStyle w:val="10"/>
        <w:ind w:firstLine="264"/>
        <w:rPr>
          <w:color w:val="auto"/>
          <w:szCs w:val="21"/>
          <w:highlight w:val="none"/>
        </w:rPr>
      </w:pPr>
      <w:r>
        <w:rPr>
          <w:rFonts w:hint="eastAsia" w:ascii="宋体" w:hAnsi="宋体" w:cs="宋体"/>
          <w:color w:val="auto"/>
          <w:spacing w:val="12"/>
          <w:kern w:val="10"/>
          <w:sz w:val="24"/>
          <w:highlight w:val="none"/>
        </w:rPr>
        <w:t xml:space="preserve">                              </w:t>
      </w:r>
      <w:r>
        <w:rPr>
          <w:rFonts w:ascii="宋体" w:hAnsi="宋体" w:cs="宋体"/>
          <w:color w:val="auto"/>
          <w:spacing w:val="12"/>
          <w:kern w:val="10"/>
          <w:szCs w:val="21"/>
          <w:highlight w:val="none"/>
        </w:rPr>
        <w:t xml:space="preserve"> </w:t>
      </w:r>
    </w:p>
    <w:p w14:paraId="3A989ADE">
      <w:pPr>
        <w:snapToGrid w:val="0"/>
        <w:spacing w:line="360" w:lineRule="auto"/>
        <w:rPr>
          <w:rFonts w:ascii="宋体" w:hAnsi="宋体" w:cs="宋体"/>
          <w:color w:val="auto"/>
          <w:spacing w:val="12"/>
          <w:kern w:val="10"/>
          <w:sz w:val="20"/>
          <w:szCs w:val="20"/>
          <w:highlight w:val="none"/>
        </w:rPr>
      </w:pPr>
    </w:p>
    <w:p w14:paraId="07F2E77F">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  </w:t>
      </w:r>
      <w:r>
        <w:rPr>
          <w:rFonts w:hint="eastAsia" w:ascii="宋体" w:hAnsi="宋体" w:cs="宋体"/>
          <w:color w:val="auto"/>
          <w:spacing w:val="12"/>
          <w:kern w:val="10"/>
          <w:sz w:val="24"/>
          <w:highlight w:val="none"/>
          <w:lang w:val="en-US" w:eastAsia="zh-CN"/>
        </w:rPr>
        <w:t xml:space="preserve">      </w:t>
      </w:r>
      <w:r>
        <w:rPr>
          <w:rFonts w:hint="eastAsia" w:ascii="宋体" w:hAnsi="宋体" w:cs="宋体"/>
          <w:color w:val="auto"/>
          <w:spacing w:val="12"/>
          <w:kern w:val="10"/>
          <w:sz w:val="24"/>
          <w:highlight w:val="none"/>
        </w:rPr>
        <w:t>法定代表人：         法定代表人：</w:t>
      </w:r>
    </w:p>
    <w:p w14:paraId="09408380">
      <w:pPr>
        <w:tabs>
          <w:tab w:val="left" w:pos="4140"/>
        </w:tabs>
        <w:spacing w:line="360" w:lineRule="auto"/>
        <w:rPr>
          <w:rFonts w:ascii="宋体" w:hAnsi="宋体" w:cs="宋体"/>
          <w:color w:val="auto"/>
          <w:spacing w:val="12"/>
          <w:kern w:val="10"/>
          <w:sz w:val="24"/>
          <w:highlight w:val="none"/>
        </w:rPr>
      </w:pPr>
    </w:p>
    <w:p w14:paraId="01E467B6">
      <w:pPr>
        <w:spacing w:line="360" w:lineRule="auto"/>
        <w:jc w:val="center"/>
        <w:rPr>
          <w:rFonts w:hint="default" w:ascii="宋体" w:hAnsi="宋体" w:eastAsia="宋体" w:cs="宋体"/>
          <w:color w:val="auto"/>
          <w:kern w:val="10"/>
          <w:sz w:val="24"/>
          <w:highlight w:val="none"/>
          <w:lang w:val="en-US" w:eastAsia="zh-CN"/>
        </w:rPr>
      </w:pPr>
      <w:r>
        <w:rPr>
          <w:rFonts w:hint="eastAsia" w:ascii="宋体" w:hAnsi="宋体" w:cs="宋体"/>
          <w:color w:val="auto"/>
          <w:kern w:val="10"/>
          <w:sz w:val="24"/>
          <w:highlight w:val="none"/>
          <w:lang w:val="en-US" w:eastAsia="zh-CN"/>
        </w:rPr>
        <w:t>签订</w:t>
      </w:r>
      <w:r>
        <w:rPr>
          <w:rFonts w:hint="eastAsia" w:ascii="宋体" w:hAnsi="宋体" w:cs="宋体"/>
          <w:color w:val="auto"/>
          <w:kern w:val="10"/>
          <w:sz w:val="24"/>
          <w:highlight w:val="none"/>
        </w:rPr>
        <w:t>日期：</w:t>
      </w:r>
      <w:bookmarkEnd w:id="0"/>
      <w:bookmarkEnd w:id="1"/>
      <w:bookmarkEnd w:id="2"/>
      <w:r>
        <w:rPr>
          <w:rFonts w:hint="eastAsia" w:ascii="宋体" w:hAnsi="宋体" w:cs="宋体"/>
          <w:color w:val="auto"/>
          <w:kern w:val="10"/>
          <w:sz w:val="24"/>
          <w:highlight w:val="none"/>
          <w:lang w:val="en-US" w:eastAsia="zh-CN"/>
        </w:rPr>
        <w:t>2025年   月    日</w:t>
      </w:r>
    </w:p>
    <w:p w14:paraId="6255CD06">
      <w:pPr>
        <w:rPr>
          <w:rFonts w:hint="eastAsia" w:ascii="宋体" w:hAnsi="宋体" w:cs="宋体"/>
          <w:color w:val="auto"/>
          <w:kern w:val="10"/>
          <w:sz w:val="24"/>
          <w:highlight w:val="none"/>
        </w:rPr>
        <w:sectPr>
          <w:footerReference r:id="rId6" w:type="first"/>
          <w:footerReference r:id="rId5" w:type="default"/>
          <w:pgSz w:w="11906" w:h="16838"/>
          <w:pgMar w:top="1417" w:right="1417" w:bottom="1417" w:left="1797" w:header="851" w:footer="850" w:gutter="0"/>
          <w:pgBorders>
            <w:top w:val="none" w:sz="0" w:space="0"/>
            <w:left w:val="none" w:sz="0" w:space="0"/>
            <w:bottom w:val="none" w:sz="0" w:space="0"/>
            <w:right w:val="none" w:sz="0" w:space="0"/>
          </w:pgBorders>
          <w:pgNumType w:fmt="decimal" w:start="1"/>
          <w:cols w:space="720" w:num="1"/>
          <w:titlePg/>
        </w:sectPr>
      </w:pPr>
    </w:p>
    <w:p w14:paraId="7346C3D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附件2：资质证书（建设工程质量检测资质证书、监测资质证书、CMA检验检测资质认定证书）、营业执照、开户许可证或基本存款账户信息、配备人员表、中标通知书</w:t>
      </w:r>
    </w:p>
    <w:p w14:paraId="13EE090A">
      <w:pPr>
        <w:numPr>
          <w:ilvl w:val="0"/>
          <w:numId w:val="1"/>
        </w:numPr>
        <w:jc w:val="left"/>
        <w:rPr>
          <w:rFonts w:hint="eastAsia"/>
          <w:b/>
          <w:bCs/>
          <w:color w:val="auto"/>
          <w:sz w:val="28"/>
          <w:szCs w:val="28"/>
          <w:highlight w:val="none"/>
          <w:lang w:val="en-US" w:eastAsia="zh-CN"/>
        </w:rPr>
      </w:pPr>
      <w:r>
        <w:rPr>
          <w:rFonts w:hint="eastAsia"/>
          <w:b/>
          <w:bCs/>
          <w:color w:val="auto"/>
          <w:sz w:val="28"/>
          <w:szCs w:val="28"/>
          <w:highlight w:val="none"/>
          <w:lang w:val="en-US" w:eastAsia="zh-CN"/>
        </w:rPr>
        <w:t>建设工程质量检测资质证书</w:t>
      </w:r>
    </w:p>
    <w:p w14:paraId="18498CED">
      <w:pPr>
        <w:pStyle w:val="4"/>
        <w:numPr>
          <w:ilvl w:val="0"/>
          <w:numId w:val="0"/>
        </w:numPr>
        <w:rPr>
          <w:rFonts w:hint="eastAsia"/>
          <w:lang w:val="en-US" w:eastAsia="zh-CN"/>
        </w:rPr>
      </w:pPr>
    </w:p>
    <w:p w14:paraId="28609A6A">
      <w:pPr>
        <w:rPr>
          <w:rFonts w:hint="eastAsia"/>
          <w:lang w:val="en-US" w:eastAsia="zh-CN"/>
        </w:rPr>
      </w:pPr>
      <w:r>
        <w:rPr>
          <w:rFonts w:hint="eastAsia"/>
          <w:lang w:val="en-US" w:eastAsia="zh-CN"/>
        </w:rPr>
        <w:br w:type="page"/>
      </w:r>
    </w:p>
    <w:p w14:paraId="4138547F">
      <w:pPr>
        <w:numPr>
          <w:ilvl w:val="0"/>
          <w:numId w:val="1"/>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监测资质证书</w:t>
      </w:r>
    </w:p>
    <w:p w14:paraId="55D7BF83">
      <w:pPr>
        <w:pStyle w:val="4"/>
        <w:numPr>
          <w:ilvl w:val="0"/>
          <w:numId w:val="0"/>
        </w:numPr>
        <w:ind w:leftChars="0"/>
        <w:rPr>
          <w:rFonts w:hint="default"/>
          <w:lang w:val="en-US" w:eastAsia="zh-CN"/>
        </w:rPr>
      </w:pPr>
    </w:p>
    <w:p w14:paraId="1EEECAEB">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br w:type="page"/>
      </w:r>
    </w:p>
    <w:p w14:paraId="3CCE34A7">
      <w:pPr>
        <w:numPr>
          <w:ilvl w:val="0"/>
          <w:numId w:val="1"/>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CMA检验检测资质认定证书</w:t>
      </w:r>
    </w:p>
    <w:p w14:paraId="1679C60A">
      <w:pPr>
        <w:numPr>
          <w:ilvl w:val="-1"/>
          <w:numId w:val="0"/>
        </w:numPr>
        <w:ind w:left="0" w:leftChars="0" w:firstLine="0" w:firstLineChars="0"/>
        <w:jc w:val="left"/>
      </w:pPr>
    </w:p>
    <w:p w14:paraId="749F9D79">
      <w:pPr>
        <w:numPr>
          <w:ilvl w:val="-1"/>
          <w:numId w:val="0"/>
        </w:numPr>
        <w:ind w:left="0" w:leftChars="0" w:firstLine="0" w:firstLineChars="0"/>
        <w:jc w:val="left"/>
      </w:pPr>
    </w:p>
    <w:p w14:paraId="21B39155">
      <w:pPr>
        <w:numPr>
          <w:ilvl w:val="-1"/>
          <w:numId w:val="0"/>
        </w:numPr>
        <w:ind w:left="0" w:leftChars="0" w:firstLine="0" w:firstLineChars="0"/>
        <w:jc w:val="left"/>
        <w:rPr>
          <w:rFonts w:hint="eastAsia"/>
          <w:b/>
          <w:bCs/>
          <w:color w:val="auto"/>
          <w:sz w:val="28"/>
          <w:szCs w:val="28"/>
          <w:lang w:val="en-US" w:eastAsia="zh-CN"/>
        </w:rPr>
      </w:pPr>
      <w:r>
        <w:rPr>
          <w:rFonts w:hint="eastAsia"/>
          <w:b/>
          <w:bCs/>
          <w:color w:val="auto"/>
          <w:sz w:val="28"/>
          <w:szCs w:val="28"/>
          <w:lang w:val="en-US" w:eastAsia="zh-CN"/>
        </w:rPr>
        <w:br w:type="page"/>
      </w:r>
    </w:p>
    <w:p w14:paraId="40D0109E">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b/>
          <w:bCs/>
          <w:color w:val="auto"/>
          <w:sz w:val="28"/>
          <w:szCs w:val="28"/>
          <w:lang w:val="en-US" w:eastAsia="zh-CN"/>
        </w:rPr>
        <w:t>4、</w:t>
      </w:r>
      <w:r>
        <w:rPr>
          <w:rFonts w:hint="eastAsia" w:ascii="Times New Roman" w:hAnsi="Times New Roman" w:cs="Times New Roman"/>
          <w:b/>
          <w:bCs/>
          <w:color w:val="auto"/>
          <w:sz w:val="28"/>
          <w:szCs w:val="28"/>
          <w:lang w:val="en-US" w:eastAsia="zh-CN"/>
        </w:rPr>
        <w:t>营业执照</w:t>
      </w:r>
    </w:p>
    <w:p w14:paraId="20322196">
      <w:pPr>
        <w:pStyle w:val="4"/>
        <w:numPr>
          <w:ilvl w:val="0"/>
          <w:numId w:val="0"/>
        </w:numPr>
        <w:ind w:leftChars="0"/>
        <w:rPr>
          <w:rFonts w:hint="eastAsia"/>
          <w:lang w:val="en-US" w:eastAsia="zh-CN"/>
        </w:rPr>
      </w:pPr>
    </w:p>
    <w:p w14:paraId="58E22031">
      <w:pPr>
        <w:rPr>
          <w:rFonts w:hint="eastAsia"/>
          <w:lang w:val="en-US" w:eastAsia="zh-CN"/>
        </w:rPr>
      </w:pPr>
      <w:r>
        <w:rPr>
          <w:rFonts w:hint="eastAsia"/>
          <w:lang w:val="en-US" w:eastAsia="zh-CN"/>
        </w:rPr>
        <w:br w:type="page"/>
      </w:r>
    </w:p>
    <w:p w14:paraId="43E2CA55">
      <w:pPr>
        <w:numPr>
          <w:ilvl w:val="0"/>
          <w:numId w:val="0"/>
        </w:num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5、开户许可证</w:t>
      </w:r>
    </w:p>
    <w:p w14:paraId="18DB7239">
      <w:pPr>
        <w:numPr>
          <w:ilvl w:val="-1"/>
          <w:numId w:val="0"/>
        </w:numPr>
        <w:jc w:val="center"/>
        <w:rPr>
          <w:rFonts w:hint="eastAsia"/>
          <w:b/>
          <w:bCs/>
          <w:color w:val="auto"/>
          <w:sz w:val="28"/>
          <w:szCs w:val="28"/>
          <w:highlight w:val="none"/>
          <w:lang w:val="en-US" w:eastAsia="zh-CN"/>
        </w:rPr>
      </w:pPr>
    </w:p>
    <w:p w14:paraId="69644F6D">
      <w:pPr>
        <w:numPr>
          <w:ilvl w:val="0"/>
          <w:numId w:val="0"/>
        </w:numPr>
        <w:jc w:val="center"/>
        <w:rPr>
          <w:rFonts w:hint="eastAsia" w:ascii="Times New Roman" w:hAnsi="Times New Roman" w:cs="Times New Roman"/>
          <w:b/>
          <w:bCs/>
          <w:color w:val="auto"/>
          <w:sz w:val="28"/>
          <w:szCs w:val="28"/>
          <w:lang w:val="en-US" w:eastAsia="zh-CN"/>
        </w:rPr>
        <w:sectPr>
          <w:pgSz w:w="11906" w:h="16838"/>
          <w:pgMar w:top="1440" w:right="1417" w:bottom="1440" w:left="1417" w:header="851" w:footer="992" w:gutter="0"/>
          <w:cols w:space="425" w:num="1"/>
          <w:docGrid w:type="lines" w:linePitch="312" w:charSpace="0"/>
        </w:sectPr>
      </w:pPr>
    </w:p>
    <w:p w14:paraId="5B909BA9">
      <w:pPr>
        <w:numPr>
          <w:ilvl w:val="-1"/>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6、项目主要技术</w:t>
      </w:r>
      <w:r>
        <w:rPr>
          <w:rFonts w:hint="eastAsia" w:ascii="Times New Roman" w:hAnsi="Times New Roman" w:cs="Times New Roman"/>
          <w:b/>
          <w:bCs/>
          <w:color w:val="auto"/>
          <w:sz w:val="28"/>
          <w:szCs w:val="28"/>
          <w:lang w:val="en-US" w:eastAsia="zh-CN"/>
        </w:rPr>
        <w:t>人员</w:t>
      </w:r>
      <w:r>
        <w:rPr>
          <w:rFonts w:hint="eastAsia" w:cs="Times New Roman"/>
          <w:b/>
          <w:bCs/>
          <w:color w:val="auto"/>
          <w:sz w:val="28"/>
          <w:szCs w:val="28"/>
          <w:lang w:val="en-US" w:eastAsia="zh-CN"/>
        </w:rPr>
        <w:t>一览</w:t>
      </w:r>
      <w:r>
        <w:rPr>
          <w:rFonts w:hint="eastAsia" w:ascii="Times New Roman" w:hAnsi="Times New Roman" w:cs="Times New Roman"/>
          <w:b/>
          <w:bCs/>
          <w:color w:val="auto"/>
          <w:sz w:val="28"/>
          <w:szCs w:val="28"/>
          <w:lang w:val="en-US" w:eastAsia="zh-CN"/>
        </w:rPr>
        <w:t>表</w:t>
      </w:r>
    </w:p>
    <w:tbl>
      <w:tblPr>
        <w:tblStyle w:val="11"/>
        <w:tblW w:w="102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5"/>
        <w:gridCol w:w="996"/>
        <w:gridCol w:w="643"/>
        <w:gridCol w:w="1201"/>
        <w:gridCol w:w="1289"/>
        <w:gridCol w:w="3019"/>
        <w:gridCol w:w="2558"/>
      </w:tblGrid>
      <w:tr w14:paraId="4C76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blHeader/>
        </w:trPr>
        <w:tc>
          <w:tcPr>
            <w:tcW w:w="535" w:type="dxa"/>
            <w:vAlign w:val="center"/>
          </w:tcPr>
          <w:p w14:paraId="06903ADB">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序号</w:t>
            </w:r>
          </w:p>
        </w:tc>
        <w:tc>
          <w:tcPr>
            <w:tcW w:w="996" w:type="dxa"/>
            <w:vAlign w:val="center"/>
          </w:tcPr>
          <w:p w14:paraId="70198502">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姓名</w:t>
            </w:r>
          </w:p>
        </w:tc>
        <w:tc>
          <w:tcPr>
            <w:tcW w:w="643" w:type="dxa"/>
            <w:vAlign w:val="center"/>
          </w:tcPr>
          <w:p w14:paraId="603917E7">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年龄</w:t>
            </w:r>
          </w:p>
        </w:tc>
        <w:tc>
          <w:tcPr>
            <w:tcW w:w="1201" w:type="dxa"/>
            <w:vAlign w:val="center"/>
          </w:tcPr>
          <w:p w14:paraId="55CF64D5">
            <w:pPr>
              <w:jc w:val="center"/>
              <w:rPr>
                <w:rFonts w:ascii="宋体" w:hAnsi="宋体"/>
                <w:color w:val="auto"/>
                <w:szCs w:val="21"/>
                <w:highlight w:val="none"/>
              </w:rPr>
            </w:pPr>
            <w:r>
              <w:rPr>
                <w:rFonts w:hint="eastAsia" w:ascii="宋体" w:hAnsi="宋体" w:cs="Times New Roman"/>
                <w:color w:val="auto"/>
                <w:szCs w:val="21"/>
                <w:highlight w:val="none"/>
                <w:lang w:val="en-US" w:eastAsia="zh-CN"/>
              </w:rPr>
              <w:t>专业</w:t>
            </w:r>
          </w:p>
        </w:tc>
        <w:tc>
          <w:tcPr>
            <w:tcW w:w="1289" w:type="dxa"/>
            <w:vAlign w:val="center"/>
          </w:tcPr>
          <w:p w14:paraId="314DB9D6">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在本项目担任职务</w:t>
            </w:r>
          </w:p>
        </w:tc>
        <w:tc>
          <w:tcPr>
            <w:tcW w:w="3019" w:type="dxa"/>
            <w:vAlign w:val="center"/>
          </w:tcPr>
          <w:p w14:paraId="47E30BAB">
            <w:pPr>
              <w:jc w:val="center"/>
              <w:rPr>
                <w:rFonts w:ascii="宋体" w:hAnsi="宋体"/>
                <w:color w:val="auto"/>
                <w:szCs w:val="21"/>
                <w:highlight w:val="none"/>
              </w:rPr>
            </w:pPr>
            <w:r>
              <w:rPr>
                <w:rFonts w:hint="eastAsia" w:ascii="宋体" w:hAnsi="宋体" w:cs="Times New Roman"/>
                <w:color w:val="auto"/>
                <w:szCs w:val="21"/>
                <w:highlight w:val="none"/>
                <w:lang w:val="en-US" w:eastAsia="zh-CN"/>
              </w:rPr>
              <w:t>职称</w:t>
            </w:r>
          </w:p>
        </w:tc>
        <w:tc>
          <w:tcPr>
            <w:tcW w:w="2558" w:type="dxa"/>
            <w:vAlign w:val="center"/>
          </w:tcPr>
          <w:p w14:paraId="0D9D874E">
            <w:pPr>
              <w:jc w:val="center"/>
              <w:rPr>
                <w:rFonts w:ascii="宋体" w:hAnsi="宋体"/>
                <w:color w:val="auto"/>
                <w:szCs w:val="21"/>
                <w:highlight w:val="none"/>
              </w:rPr>
            </w:pPr>
            <w:r>
              <w:rPr>
                <w:rFonts w:hint="eastAsia" w:ascii="宋体" w:hAnsi="宋体" w:cs="Times New Roman"/>
                <w:color w:val="auto"/>
                <w:szCs w:val="21"/>
                <w:highlight w:val="none"/>
                <w:lang w:val="en-US" w:eastAsia="zh-CN"/>
              </w:rPr>
              <w:t>证书名称</w:t>
            </w:r>
          </w:p>
        </w:tc>
      </w:tr>
      <w:tr w14:paraId="0469F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blHeader/>
        </w:trPr>
        <w:tc>
          <w:tcPr>
            <w:tcW w:w="535" w:type="dxa"/>
            <w:vAlign w:val="center"/>
          </w:tcPr>
          <w:p w14:paraId="7BB6DCD9">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p>
        </w:tc>
        <w:tc>
          <w:tcPr>
            <w:tcW w:w="996" w:type="dxa"/>
            <w:vAlign w:val="center"/>
          </w:tcPr>
          <w:p w14:paraId="51BACC7A">
            <w:pPr>
              <w:jc w:val="center"/>
              <w:rPr>
                <w:rFonts w:hint="eastAsia" w:ascii="宋体" w:hAnsi="宋体" w:eastAsia="宋体" w:cs="Times New Roman"/>
                <w:color w:val="auto"/>
                <w:szCs w:val="21"/>
                <w:highlight w:val="none"/>
                <w:lang w:val="en-US" w:eastAsia="zh-CN"/>
              </w:rPr>
            </w:pPr>
          </w:p>
        </w:tc>
        <w:tc>
          <w:tcPr>
            <w:tcW w:w="643" w:type="dxa"/>
            <w:vAlign w:val="center"/>
          </w:tcPr>
          <w:p w14:paraId="7F674F2E">
            <w:pPr>
              <w:jc w:val="center"/>
              <w:rPr>
                <w:rFonts w:hint="eastAsia" w:ascii="宋体" w:hAnsi="宋体" w:eastAsia="宋体" w:cs="Times New Roman"/>
                <w:color w:val="auto"/>
                <w:szCs w:val="21"/>
                <w:highlight w:val="none"/>
                <w:lang w:val="en-US" w:eastAsia="zh-CN"/>
              </w:rPr>
            </w:pPr>
          </w:p>
        </w:tc>
        <w:tc>
          <w:tcPr>
            <w:tcW w:w="1201" w:type="dxa"/>
            <w:vAlign w:val="center"/>
          </w:tcPr>
          <w:p w14:paraId="03C0B040">
            <w:pPr>
              <w:jc w:val="center"/>
              <w:rPr>
                <w:rFonts w:hint="default" w:ascii="宋体" w:hAnsi="宋体" w:eastAsia="宋体" w:cs="Times New Roman"/>
                <w:color w:val="auto"/>
                <w:szCs w:val="21"/>
                <w:highlight w:val="none"/>
                <w:lang w:val="en-US" w:eastAsia="zh-CN"/>
              </w:rPr>
            </w:pPr>
          </w:p>
        </w:tc>
        <w:tc>
          <w:tcPr>
            <w:tcW w:w="1289" w:type="dxa"/>
            <w:vAlign w:val="center"/>
          </w:tcPr>
          <w:p w14:paraId="6E05B298">
            <w:pPr>
              <w:jc w:val="center"/>
              <w:rPr>
                <w:rFonts w:hint="default" w:ascii="宋体" w:hAnsi="宋体" w:eastAsia="宋体" w:cs="Times New Roman"/>
                <w:color w:val="auto"/>
                <w:szCs w:val="21"/>
                <w:highlight w:val="none"/>
                <w:lang w:val="en-US" w:eastAsia="zh-CN"/>
              </w:rPr>
            </w:pPr>
          </w:p>
        </w:tc>
        <w:tc>
          <w:tcPr>
            <w:tcW w:w="3019" w:type="dxa"/>
            <w:vAlign w:val="center"/>
          </w:tcPr>
          <w:p w14:paraId="09335C25">
            <w:pPr>
              <w:jc w:val="center"/>
              <w:rPr>
                <w:rFonts w:hint="eastAsia" w:ascii="宋体" w:hAnsi="宋体" w:eastAsia="宋体" w:cs="Times New Roman"/>
                <w:color w:val="auto"/>
                <w:szCs w:val="21"/>
                <w:highlight w:val="none"/>
                <w:lang w:val="en-US" w:eastAsia="zh-CN"/>
              </w:rPr>
            </w:pPr>
          </w:p>
        </w:tc>
        <w:tc>
          <w:tcPr>
            <w:tcW w:w="2558" w:type="dxa"/>
            <w:vAlign w:val="center"/>
          </w:tcPr>
          <w:p w14:paraId="22CA3C7D">
            <w:pPr>
              <w:jc w:val="center"/>
              <w:rPr>
                <w:rFonts w:hint="default" w:ascii="宋体" w:hAnsi="宋体" w:eastAsia="宋体" w:cs="Times New Roman"/>
                <w:color w:val="auto"/>
                <w:szCs w:val="21"/>
                <w:highlight w:val="none"/>
                <w:lang w:val="en-US" w:eastAsia="zh-CN"/>
              </w:rPr>
            </w:pPr>
          </w:p>
        </w:tc>
      </w:tr>
      <w:tr w14:paraId="7487F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6BE18D7D">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p>
        </w:tc>
        <w:tc>
          <w:tcPr>
            <w:tcW w:w="996" w:type="dxa"/>
            <w:vAlign w:val="center"/>
          </w:tcPr>
          <w:p w14:paraId="5AB1DF82">
            <w:pPr>
              <w:jc w:val="center"/>
              <w:rPr>
                <w:rFonts w:hint="eastAsia" w:ascii="宋体" w:hAnsi="宋体" w:eastAsia="宋体" w:cs="Times New Roman"/>
                <w:color w:val="auto"/>
                <w:szCs w:val="21"/>
                <w:highlight w:val="none"/>
              </w:rPr>
            </w:pPr>
          </w:p>
        </w:tc>
        <w:tc>
          <w:tcPr>
            <w:tcW w:w="643" w:type="dxa"/>
            <w:shd w:val="clear" w:color="auto" w:fill="auto"/>
            <w:vAlign w:val="center"/>
          </w:tcPr>
          <w:p w14:paraId="7F5BBADE">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3ED4CB75">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2F02354F">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19D34FB7">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044D8BA0">
            <w:pPr>
              <w:jc w:val="center"/>
              <w:rPr>
                <w:rFonts w:hint="default" w:ascii="宋体" w:hAnsi="宋体" w:eastAsia="宋体" w:cs="Times New Roman"/>
                <w:color w:val="auto"/>
                <w:kern w:val="2"/>
                <w:sz w:val="21"/>
                <w:szCs w:val="21"/>
                <w:highlight w:val="none"/>
                <w:lang w:val="en-US" w:eastAsia="zh-CN" w:bidi="ar-SA"/>
              </w:rPr>
            </w:pPr>
          </w:p>
        </w:tc>
      </w:tr>
      <w:tr w14:paraId="589F2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5A458DD1">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p>
        </w:tc>
        <w:tc>
          <w:tcPr>
            <w:tcW w:w="996" w:type="dxa"/>
            <w:vAlign w:val="center"/>
          </w:tcPr>
          <w:p w14:paraId="589D388B">
            <w:pPr>
              <w:jc w:val="center"/>
              <w:rPr>
                <w:rFonts w:hint="eastAsia" w:ascii="宋体" w:hAnsi="宋体" w:eastAsia="宋体" w:cs="Times New Roman"/>
                <w:color w:val="auto"/>
                <w:szCs w:val="21"/>
                <w:highlight w:val="none"/>
              </w:rPr>
            </w:pPr>
          </w:p>
        </w:tc>
        <w:tc>
          <w:tcPr>
            <w:tcW w:w="643" w:type="dxa"/>
            <w:vAlign w:val="center"/>
          </w:tcPr>
          <w:p w14:paraId="74F3C25A">
            <w:pPr>
              <w:jc w:val="center"/>
              <w:rPr>
                <w:rFonts w:hint="eastAsia" w:ascii="宋体" w:hAnsi="宋体" w:eastAsia="宋体" w:cs="Times New Roman"/>
                <w:color w:val="auto"/>
                <w:szCs w:val="21"/>
                <w:highlight w:val="none"/>
              </w:rPr>
            </w:pPr>
          </w:p>
        </w:tc>
        <w:tc>
          <w:tcPr>
            <w:tcW w:w="1201" w:type="dxa"/>
            <w:vAlign w:val="center"/>
          </w:tcPr>
          <w:p w14:paraId="17DA8634">
            <w:pPr>
              <w:jc w:val="center"/>
              <w:rPr>
                <w:rFonts w:hint="eastAsia" w:ascii="宋体" w:hAnsi="宋体" w:eastAsia="宋体" w:cs="Times New Roman"/>
                <w:color w:val="auto"/>
                <w:szCs w:val="21"/>
                <w:highlight w:val="none"/>
                <w:lang w:val="en-US" w:eastAsia="zh-CN"/>
              </w:rPr>
            </w:pPr>
          </w:p>
        </w:tc>
        <w:tc>
          <w:tcPr>
            <w:tcW w:w="1289" w:type="dxa"/>
            <w:vAlign w:val="center"/>
          </w:tcPr>
          <w:p w14:paraId="3CA68A65">
            <w:pPr>
              <w:jc w:val="center"/>
              <w:rPr>
                <w:rFonts w:hint="eastAsia" w:ascii="宋体" w:hAnsi="宋体" w:eastAsia="宋体" w:cs="Times New Roman"/>
                <w:color w:val="auto"/>
                <w:szCs w:val="21"/>
                <w:highlight w:val="none"/>
                <w:lang w:val="en-US" w:eastAsia="zh-CN"/>
              </w:rPr>
            </w:pPr>
          </w:p>
        </w:tc>
        <w:tc>
          <w:tcPr>
            <w:tcW w:w="3019" w:type="dxa"/>
            <w:vAlign w:val="center"/>
          </w:tcPr>
          <w:p w14:paraId="4E9EF4CB">
            <w:pPr>
              <w:jc w:val="center"/>
              <w:rPr>
                <w:rFonts w:hint="eastAsia" w:ascii="宋体" w:hAnsi="宋体" w:eastAsia="宋体" w:cs="Times New Roman"/>
                <w:color w:val="auto"/>
                <w:szCs w:val="21"/>
                <w:highlight w:val="none"/>
                <w:lang w:val="en-US" w:eastAsia="zh-CN"/>
              </w:rPr>
            </w:pPr>
          </w:p>
        </w:tc>
        <w:tc>
          <w:tcPr>
            <w:tcW w:w="2558" w:type="dxa"/>
            <w:vAlign w:val="center"/>
          </w:tcPr>
          <w:p w14:paraId="46BC3497">
            <w:pPr>
              <w:jc w:val="center"/>
              <w:rPr>
                <w:rFonts w:hint="eastAsia" w:ascii="宋体" w:hAnsi="宋体" w:eastAsia="宋体" w:cs="Times New Roman"/>
                <w:color w:val="auto"/>
                <w:szCs w:val="21"/>
                <w:highlight w:val="none"/>
                <w:lang w:val="en-US" w:eastAsia="zh-CN"/>
              </w:rPr>
            </w:pPr>
          </w:p>
        </w:tc>
      </w:tr>
      <w:tr w14:paraId="7D308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0072026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4</w:t>
            </w:r>
          </w:p>
        </w:tc>
        <w:tc>
          <w:tcPr>
            <w:tcW w:w="996" w:type="dxa"/>
            <w:shd w:val="clear" w:color="auto" w:fill="auto"/>
            <w:vAlign w:val="center"/>
          </w:tcPr>
          <w:p w14:paraId="496D7439">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3093DA3B">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5B098429">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35EFE243">
            <w:pPr>
              <w:jc w:val="center"/>
              <w:rPr>
                <w:rFonts w:hint="default"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496544D5">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1A507E3D">
            <w:pPr>
              <w:jc w:val="center"/>
              <w:rPr>
                <w:rFonts w:hint="default" w:ascii="宋体" w:hAnsi="宋体" w:eastAsia="宋体" w:cs="Times New Roman"/>
                <w:color w:val="auto"/>
                <w:kern w:val="2"/>
                <w:sz w:val="21"/>
                <w:szCs w:val="21"/>
                <w:highlight w:val="none"/>
                <w:lang w:val="en-US" w:eastAsia="zh-CN" w:bidi="ar-SA"/>
              </w:rPr>
            </w:pPr>
          </w:p>
        </w:tc>
      </w:tr>
      <w:tr w14:paraId="7C5B0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5E443CA1">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5</w:t>
            </w:r>
          </w:p>
        </w:tc>
        <w:tc>
          <w:tcPr>
            <w:tcW w:w="996" w:type="dxa"/>
            <w:shd w:val="clear" w:color="auto" w:fill="auto"/>
            <w:vAlign w:val="center"/>
          </w:tcPr>
          <w:p w14:paraId="73AF92F2">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4660BCB9">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044FF3CE">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1D00AFB2">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53C3698A">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72C75460">
            <w:pPr>
              <w:jc w:val="center"/>
              <w:rPr>
                <w:rFonts w:hint="default" w:ascii="宋体" w:hAnsi="宋体" w:eastAsia="宋体" w:cs="Times New Roman"/>
                <w:color w:val="auto"/>
                <w:kern w:val="2"/>
                <w:sz w:val="21"/>
                <w:szCs w:val="21"/>
                <w:highlight w:val="none"/>
                <w:lang w:val="en-US" w:eastAsia="zh-CN" w:bidi="ar-SA"/>
              </w:rPr>
            </w:pPr>
          </w:p>
        </w:tc>
      </w:tr>
      <w:tr w14:paraId="45578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49C83B2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6</w:t>
            </w:r>
          </w:p>
        </w:tc>
        <w:tc>
          <w:tcPr>
            <w:tcW w:w="996" w:type="dxa"/>
            <w:shd w:val="clear" w:color="auto" w:fill="auto"/>
            <w:vAlign w:val="center"/>
          </w:tcPr>
          <w:p w14:paraId="0D2F3707">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49D70E95">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503B6A0D">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0302B003">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6B100BD0">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71926ADA">
            <w:pPr>
              <w:jc w:val="center"/>
              <w:rPr>
                <w:rFonts w:hint="eastAsia" w:ascii="宋体" w:hAnsi="宋体" w:eastAsia="宋体" w:cs="Times New Roman"/>
                <w:color w:val="auto"/>
                <w:kern w:val="2"/>
                <w:sz w:val="21"/>
                <w:szCs w:val="21"/>
                <w:highlight w:val="none"/>
                <w:lang w:val="en-US" w:eastAsia="zh-CN" w:bidi="ar-SA"/>
              </w:rPr>
            </w:pPr>
          </w:p>
        </w:tc>
      </w:tr>
      <w:tr w14:paraId="66147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7760D11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7</w:t>
            </w:r>
          </w:p>
        </w:tc>
        <w:tc>
          <w:tcPr>
            <w:tcW w:w="996" w:type="dxa"/>
            <w:vAlign w:val="center"/>
          </w:tcPr>
          <w:p w14:paraId="1EFBB931">
            <w:pPr>
              <w:jc w:val="center"/>
              <w:rPr>
                <w:rFonts w:hint="eastAsia" w:ascii="宋体" w:hAnsi="宋体" w:eastAsia="宋体" w:cs="Times New Roman"/>
                <w:color w:val="auto"/>
                <w:kern w:val="2"/>
                <w:sz w:val="21"/>
                <w:szCs w:val="21"/>
                <w:highlight w:val="none"/>
                <w:lang w:val="en-US" w:eastAsia="zh-CN" w:bidi="ar-SA"/>
              </w:rPr>
            </w:pPr>
          </w:p>
        </w:tc>
        <w:tc>
          <w:tcPr>
            <w:tcW w:w="643" w:type="dxa"/>
            <w:vAlign w:val="center"/>
          </w:tcPr>
          <w:p w14:paraId="687DC4DE">
            <w:pPr>
              <w:jc w:val="center"/>
              <w:rPr>
                <w:rFonts w:hint="default" w:ascii="宋体" w:hAnsi="宋体" w:eastAsia="宋体" w:cs="Times New Roman"/>
                <w:color w:val="auto"/>
                <w:kern w:val="2"/>
                <w:sz w:val="21"/>
                <w:szCs w:val="21"/>
                <w:highlight w:val="none"/>
                <w:lang w:val="en-US" w:eastAsia="zh-CN" w:bidi="ar-SA"/>
              </w:rPr>
            </w:pPr>
          </w:p>
        </w:tc>
        <w:tc>
          <w:tcPr>
            <w:tcW w:w="1201" w:type="dxa"/>
            <w:vAlign w:val="center"/>
          </w:tcPr>
          <w:p w14:paraId="412875D6">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0DB4B5E3">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52ED5E13">
            <w:pPr>
              <w:jc w:val="center"/>
              <w:rPr>
                <w:rFonts w:hint="default"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0BA716F4">
            <w:pPr>
              <w:jc w:val="center"/>
              <w:rPr>
                <w:rFonts w:hint="default" w:ascii="宋体" w:hAnsi="宋体" w:eastAsia="宋体" w:cs="Times New Roman"/>
                <w:color w:val="auto"/>
                <w:kern w:val="2"/>
                <w:sz w:val="21"/>
                <w:szCs w:val="21"/>
                <w:highlight w:val="none"/>
                <w:lang w:val="en-US" w:eastAsia="zh-CN" w:bidi="ar-SA"/>
              </w:rPr>
            </w:pPr>
          </w:p>
        </w:tc>
      </w:tr>
      <w:tr w14:paraId="7EFAF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2329C0D3">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8</w:t>
            </w:r>
          </w:p>
        </w:tc>
        <w:tc>
          <w:tcPr>
            <w:tcW w:w="996" w:type="dxa"/>
            <w:vAlign w:val="center"/>
          </w:tcPr>
          <w:p w14:paraId="50FD4213">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62ED1615">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482DB515">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2DDCFD62">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6BF109E7">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118A944F">
            <w:pPr>
              <w:jc w:val="center"/>
              <w:rPr>
                <w:rFonts w:hint="default" w:ascii="宋体" w:hAnsi="宋体" w:eastAsia="宋体" w:cs="Times New Roman"/>
                <w:color w:val="auto"/>
                <w:kern w:val="2"/>
                <w:sz w:val="21"/>
                <w:szCs w:val="21"/>
                <w:highlight w:val="none"/>
                <w:lang w:val="en-US" w:eastAsia="zh-CN" w:bidi="ar-SA"/>
              </w:rPr>
            </w:pPr>
          </w:p>
        </w:tc>
      </w:tr>
      <w:tr w14:paraId="0A303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38C29C8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9</w:t>
            </w:r>
          </w:p>
        </w:tc>
        <w:tc>
          <w:tcPr>
            <w:tcW w:w="996" w:type="dxa"/>
            <w:vAlign w:val="center"/>
          </w:tcPr>
          <w:p w14:paraId="5C842A30">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6B6FEB36">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118B37F1">
            <w:pPr>
              <w:jc w:val="center"/>
              <w:rPr>
                <w:rFonts w:hint="default"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2DC2FD5B">
            <w:pPr>
              <w:jc w:val="center"/>
              <w:rPr>
                <w:rFonts w:hint="eastAsia" w:ascii="宋体" w:hAnsi="宋体" w:eastAsia="宋体" w:cs="Times New Roman"/>
                <w:color w:val="auto"/>
                <w:kern w:val="2"/>
                <w:sz w:val="21"/>
                <w:szCs w:val="21"/>
                <w:highlight w:val="none"/>
                <w:lang w:val="en-US" w:eastAsia="zh-CN" w:bidi="ar-SA"/>
              </w:rPr>
            </w:pPr>
          </w:p>
        </w:tc>
        <w:tc>
          <w:tcPr>
            <w:tcW w:w="3019" w:type="dxa"/>
            <w:vAlign w:val="center"/>
          </w:tcPr>
          <w:p w14:paraId="1171C26A">
            <w:pPr>
              <w:jc w:val="center"/>
              <w:rPr>
                <w:rFonts w:hint="eastAsia" w:ascii="宋体" w:hAnsi="宋体" w:eastAsia="宋体" w:cs="Times New Roman"/>
                <w:color w:val="auto"/>
                <w:kern w:val="2"/>
                <w:sz w:val="21"/>
                <w:szCs w:val="21"/>
                <w:highlight w:val="none"/>
                <w:lang w:val="en-US" w:eastAsia="zh-CN" w:bidi="ar-SA"/>
              </w:rPr>
            </w:pPr>
          </w:p>
        </w:tc>
        <w:tc>
          <w:tcPr>
            <w:tcW w:w="2558" w:type="dxa"/>
            <w:vAlign w:val="center"/>
          </w:tcPr>
          <w:p w14:paraId="7AFD0F72">
            <w:pPr>
              <w:jc w:val="center"/>
              <w:rPr>
                <w:rFonts w:hint="default" w:ascii="宋体" w:hAnsi="宋体" w:eastAsia="宋体" w:cs="Times New Roman"/>
                <w:color w:val="auto"/>
                <w:kern w:val="2"/>
                <w:sz w:val="21"/>
                <w:szCs w:val="21"/>
                <w:highlight w:val="none"/>
                <w:lang w:val="en-US" w:eastAsia="zh-CN" w:bidi="ar-SA"/>
              </w:rPr>
            </w:pPr>
          </w:p>
        </w:tc>
      </w:tr>
    </w:tbl>
    <w:p w14:paraId="5AC69A4C">
      <w:pPr>
        <w:numPr>
          <w:ilvl w:val="0"/>
          <w:numId w:val="0"/>
        </w:numPr>
        <w:jc w:val="left"/>
        <w:rPr>
          <w:rFonts w:hint="eastAsia" w:cs="Times New Roman"/>
          <w:b/>
          <w:bCs/>
          <w:color w:val="auto"/>
          <w:sz w:val="28"/>
          <w:szCs w:val="28"/>
          <w:lang w:val="en-US" w:eastAsia="zh-CN"/>
        </w:rPr>
      </w:pPr>
    </w:p>
    <w:p w14:paraId="6833FE73">
      <w:pPr>
        <w:numPr>
          <w:ilvl w:val="-1"/>
          <w:numId w:val="0"/>
        </w:numPr>
        <w:jc w:val="left"/>
        <w:rPr>
          <w:rFonts w:hint="eastAsia" w:ascii="宋体" w:hAnsi="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br w:type="page"/>
      </w:r>
    </w:p>
    <w:p w14:paraId="55F0A269">
      <w:pPr>
        <w:numPr>
          <w:ilvl w:val="0"/>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7</w:t>
      </w:r>
      <w:r>
        <w:rPr>
          <w:rFonts w:hint="eastAsia" w:ascii="Times New Roman" w:hAnsi="Times New Roman" w:cs="Times New Roman"/>
          <w:b/>
          <w:bCs/>
          <w:color w:val="auto"/>
          <w:sz w:val="28"/>
          <w:szCs w:val="28"/>
          <w:lang w:val="en-US" w:eastAsia="zh-CN"/>
        </w:rPr>
        <w:t>、</w:t>
      </w:r>
      <w:r>
        <w:rPr>
          <w:rFonts w:hint="eastAsia" w:cs="Times New Roman"/>
          <w:b/>
          <w:bCs/>
          <w:color w:val="auto"/>
          <w:sz w:val="28"/>
          <w:szCs w:val="28"/>
          <w:lang w:val="en-US" w:eastAsia="zh-CN"/>
        </w:rPr>
        <w:t>联合体协议书</w:t>
      </w:r>
    </w:p>
    <w:p w14:paraId="685583D2">
      <w:pPr>
        <w:numPr>
          <w:ilvl w:val="-1"/>
          <w:numId w:val="0"/>
        </w:numPr>
        <w:jc w:val="center"/>
      </w:pPr>
    </w:p>
    <w:p w14:paraId="40143F65">
      <w:pPr>
        <w:numPr>
          <w:ilvl w:val="-1"/>
          <w:numId w:val="0"/>
        </w:numPr>
        <w:jc w:val="center"/>
      </w:pPr>
      <w:r>
        <w:br w:type="page"/>
      </w:r>
    </w:p>
    <w:p w14:paraId="6965DBF8">
      <w:pPr>
        <w:numPr>
          <w:ilvl w:val="-1"/>
          <w:numId w:val="0"/>
        </w:numPr>
        <w:jc w:val="center"/>
        <w:rPr>
          <w:rFonts w:hint="eastAsia" w:ascii="宋体" w:hAnsi="宋体" w:eastAsia="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t>附件</w:t>
      </w:r>
      <w:r>
        <w:rPr>
          <w:rFonts w:hint="eastAsia" w:ascii="宋体" w:hAnsi="宋体" w:cs="宋体"/>
          <w:b/>
          <w:bCs/>
          <w:color w:val="auto"/>
          <w:kern w:val="0"/>
          <w:sz w:val="32"/>
          <w:szCs w:val="32"/>
          <w:highlight w:val="none"/>
          <w:lang w:val="en-US" w:eastAsia="zh-CN" w:bidi="ar"/>
        </w:rPr>
        <w:t>3   天河区居民用户老旧共用用水设施改造工程（片区二）第三方检测 （含三维雷达探测）检测</w:t>
      </w:r>
      <w:r>
        <w:rPr>
          <w:rFonts w:hint="eastAsia" w:ascii="宋体" w:hAnsi="宋体" w:eastAsia="宋体" w:cs="宋体"/>
          <w:b/>
          <w:bCs/>
          <w:color w:val="auto"/>
          <w:kern w:val="0"/>
          <w:sz w:val="32"/>
          <w:szCs w:val="32"/>
          <w:highlight w:val="none"/>
          <w:lang w:bidi="ar"/>
        </w:rPr>
        <w:t>费用清单</w:t>
      </w:r>
      <w:r>
        <w:rPr>
          <w:rFonts w:hint="eastAsia" w:ascii="宋体" w:hAnsi="宋体" w:eastAsia="宋体" w:cs="宋体"/>
          <w:b/>
          <w:bCs/>
          <w:color w:val="auto"/>
          <w:kern w:val="0"/>
          <w:sz w:val="32"/>
          <w:szCs w:val="32"/>
          <w:highlight w:val="none"/>
          <w:lang w:eastAsia="zh-CN" w:bidi="ar"/>
        </w:rPr>
        <w:t>、检测清单、监测清单</w:t>
      </w:r>
    </w:p>
    <w:p w14:paraId="3D65591E">
      <w:pPr>
        <w:pStyle w:val="4"/>
        <w:ind w:left="0" w:leftChars="0" w:firstLine="0" w:firstLineChars="0"/>
      </w:pPr>
    </w:p>
    <w:p w14:paraId="32E75926">
      <w:pPr>
        <w:ind w:left="0" w:leftChars="0" w:firstLine="0" w:firstLineChars="0"/>
      </w:pPr>
    </w:p>
    <w:p w14:paraId="6D00EB02">
      <w:pPr>
        <w:widowControl/>
        <w:jc w:val="left"/>
        <w:outlineLvl w:val="9"/>
        <w:rPr>
          <w:rFonts w:hint="eastAsia" w:cs="宋体"/>
          <w:b/>
          <w:bCs/>
          <w:color w:val="000000"/>
          <w:kern w:val="0"/>
          <w:sz w:val="21"/>
          <w:szCs w:val="21"/>
          <w14:ligatures w14:val="none"/>
        </w:rPr>
      </w:pPr>
      <w:bookmarkStart w:id="4" w:name="_Toc32509"/>
      <w:r>
        <w:rPr>
          <w:rFonts w:hint="eastAsia" w:cs="宋体"/>
          <w:b/>
          <w:bCs/>
          <w:color w:val="000000"/>
          <w:kern w:val="0"/>
          <w:sz w:val="21"/>
          <w:szCs w:val="21"/>
          <w14:ligatures w14:val="none"/>
        </w:rPr>
        <w:br w:type="page"/>
      </w:r>
    </w:p>
    <w:p w14:paraId="261C489E">
      <w:pPr>
        <w:widowControl w:val="0"/>
        <w:jc w:val="center"/>
        <w:outlineLvl w:val="2"/>
        <w:rPr>
          <w:rFonts w:hint="eastAsia" w:cs="宋体" w:eastAsiaTheme="minorEastAsia"/>
          <w:b/>
          <w:bCs/>
          <w:color w:val="000000"/>
          <w:kern w:val="0"/>
          <w:sz w:val="21"/>
          <w:szCs w:val="21"/>
          <w:lang w:eastAsia="zh-CN"/>
          <w14:ligatures w14:val="none"/>
        </w:rPr>
      </w:pPr>
      <w:r>
        <w:rPr>
          <w:rFonts w:hint="eastAsia" w:cs="宋体"/>
          <w:b/>
          <w:bCs/>
          <w:color w:val="000000"/>
          <w:kern w:val="0"/>
          <w:sz w:val="21"/>
          <w:szCs w:val="21"/>
          <w14:ligatures w14:val="none"/>
        </w:rPr>
        <w:t>表1-1  原材料检测</w:t>
      </w:r>
      <w:r>
        <w:rPr>
          <w:rFonts w:hint="eastAsia" w:cs="宋体"/>
          <w:b/>
          <w:bCs/>
          <w:color w:val="000000"/>
          <w:kern w:val="0"/>
          <w:sz w:val="21"/>
          <w:szCs w:val="21"/>
          <w:lang w:eastAsia="zh-CN"/>
          <w14:ligatures w14:val="none"/>
        </w:rPr>
        <w:t>费用表</w:t>
      </w:r>
      <w:bookmarkEnd w:id="4"/>
    </w:p>
    <w:p w14:paraId="430CC714">
      <w:pPr>
        <w:jc w:val="left"/>
        <w:rPr>
          <w:rFonts w:hint="default" w:cs="宋体" w:eastAsiaTheme="minorEastAsia"/>
          <w:color w:val="000000"/>
          <w:kern w:val="0"/>
          <w:sz w:val="21"/>
          <w:szCs w:val="21"/>
          <w:lang w:val="en-US" w:eastAsia="zh-CN"/>
          <w14:ligatures w14:val="none"/>
        </w:rPr>
      </w:pPr>
      <w:r>
        <w:rPr>
          <w:rFonts w:hint="eastAsia" w:cs="宋体"/>
          <w:color w:val="000000"/>
          <w:kern w:val="0"/>
          <w:sz w:val="21"/>
          <w:szCs w:val="21"/>
          <w:lang w:val="en-US" w:eastAsia="zh-CN"/>
          <w14:ligatures w14:val="none"/>
        </w:rPr>
        <w:t>说明：检测数量为暂定数量，最终按实际数量结算。</w:t>
      </w:r>
    </w:p>
    <w:p w14:paraId="52EB09AE">
      <w:pPr>
        <w:pageBreakBefore/>
        <w:widowControl w:val="0"/>
        <w:jc w:val="center"/>
        <w:outlineLvl w:val="2"/>
        <w:rPr>
          <w:rFonts w:hint="eastAsia" w:cs="宋体" w:eastAsiaTheme="minorEastAsia"/>
          <w:b/>
          <w:bCs/>
          <w:color w:val="000000"/>
          <w:kern w:val="0"/>
          <w:sz w:val="21"/>
          <w:szCs w:val="21"/>
          <w:lang w:eastAsia="zh-CN"/>
          <w14:ligatures w14:val="none"/>
        </w:rPr>
      </w:pPr>
      <w:bookmarkStart w:id="5" w:name="_Toc19378"/>
      <w:r>
        <w:rPr>
          <w:rFonts w:hint="eastAsia" w:cs="宋体"/>
          <w:b/>
          <w:bCs/>
          <w:color w:val="000000"/>
          <w:kern w:val="0"/>
          <w:sz w:val="21"/>
          <w:szCs w:val="21"/>
          <w14:ligatures w14:val="none"/>
        </w:rPr>
        <w:t>表1-2  现场检测</w:t>
      </w:r>
      <w:r>
        <w:rPr>
          <w:rFonts w:hint="eastAsia" w:cs="宋体"/>
          <w:b/>
          <w:bCs/>
          <w:color w:val="000000"/>
          <w:kern w:val="0"/>
          <w:sz w:val="21"/>
          <w:szCs w:val="21"/>
          <w:lang w:eastAsia="zh-CN"/>
          <w14:ligatures w14:val="none"/>
        </w:rPr>
        <w:t>费用表</w:t>
      </w:r>
      <w:bookmarkEnd w:id="5"/>
    </w:p>
    <w:p w14:paraId="3867819E">
      <w:pPr>
        <w:jc w:val="left"/>
        <w:rPr>
          <w:rFonts w:hint="default" w:cs="宋体" w:eastAsiaTheme="minorEastAsia"/>
          <w:color w:val="000000"/>
          <w:kern w:val="0"/>
          <w:sz w:val="21"/>
          <w:szCs w:val="21"/>
          <w:lang w:val="en-US" w:eastAsia="zh-CN"/>
          <w14:ligatures w14:val="none"/>
        </w:rPr>
      </w:pPr>
      <w:r>
        <w:rPr>
          <w:rFonts w:hint="eastAsia" w:cs="宋体"/>
          <w:color w:val="000000"/>
          <w:kern w:val="0"/>
          <w:sz w:val="21"/>
          <w:szCs w:val="21"/>
          <w:lang w:val="en-US" w:eastAsia="zh-CN"/>
          <w14:ligatures w14:val="none"/>
        </w:rPr>
        <w:t>说明：检测数量为暂定数量，最终按实际数量结算。</w:t>
      </w:r>
    </w:p>
    <w:p w14:paraId="407A13D2">
      <w:pPr>
        <w:pageBreakBefore/>
        <w:widowControl w:val="0"/>
        <w:jc w:val="center"/>
        <w:outlineLvl w:val="2"/>
        <w:rPr>
          <w:rFonts w:hint="eastAsia" w:cs="宋体" w:eastAsiaTheme="minorEastAsia"/>
          <w:b/>
          <w:bCs/>
          <w:color w:val="000000"/>
          <w:kern w:val="0"/>
          <w:sz w:val="21"/>
          <w:szCs w:val="21"/>
          <w:lang w:eastAsia="zh-CN"/>
          <w14:ligatures w14:val="none"/>
        </w:rPr>
      </w:pPr>
      <w:bookmarkStart w:id="6" w:name="_Toc5754"/>
      <w:r>
        <w:rPr>
          <w:rFonts w:hint="eastAsia" w:cs="宋体"/>
          <w:b/>
          <w:bCs/>
          <w:color w:val="000000"/>
          <w:kern w:val="0"/>
          <w:sz w:val="21"/>
          <w:szCs w:val="21"/>
          <w14:ligatures w14:val="none"/>
        </w:rPr>
        <w:t>表1-3  现场监测</w:t>
      </w:r>
      <w:r>
        <w:rPr>
          <w:rFonts w:hint="eastAsia" w:cs="宋体"/>
          <w:b/>
          <w:bCs/>
          <w:color w:val="000000"/>
          <w:kern w:val="0"/>
          <w:sz w:val="21"/>
          <w:szCs w:val="21"/>
          <w:lang w:eastAsia="zh-CN"/>
          <w14:ligatures w14:val="none"/>
        </w:rPr>
        <w:t>费用表</w:t>
      </w:r>
      <w:bookmarkEnd w:id="6"/>
    </w:p>
    <w:p w14:paraId="0479448D">
      <w:pPr>
        <w:jc w:val="left"/>
        <w:rPr>
          <w:rFonts w:hint="default" w:cs="宋体" w:eastAsiaTheme="minorEastAsia"/>
          <w:color w:val="000000"/>
          <w:kern w:val="0"/>
          <w:sz w:val="21"/>
          <w:szCs w:val="21"/>
          <w:lang w:val="en-US" w:eastAsia="zh-CN"/>
          <w14:ligatures w14:val="none"/>
        </w:rPr>
      </w:pPr>
      <w:r>
        <w:rPr>
          <w:rFonts w:hint="eastAsia" w:cs="宋体"/>
          <w:color w:val="000000"/>
          <w:kern w:val="0"/>
          <w:sz w:val="21"/>
          <w:szCs w:val="21"/>
          <w:lang w:val="en-US" w:eastAsia="zh-CN"/>
          <w14:ligatures w14:val="none"/>
        </w:rPr>
        <w:t>说明：检测数量为暂定数量，最终按实际数量结算。</w:t>
      </w:r>
    </w:p>
    <w:p w14:paraId="6CEF2A02">
      <w:pPr>
        <w:jc w:val="center"/>
        <w:rPr>
          <w:rFonts w:hint="eastAsia"/>
          <w:sz w:val="21"/>
          <w:szCs w:val="21"/>
        </w:rPr>
      </w:pPr>
    </w:p>
    <w:p w14:paraId="035B103B">
      <w:pPr>
        <w:rPr>
          <w:rFonts w:hint="eastAsia"/>
          <w:b/>
          <w:bCs/>
          <w:sz w:val="28"/>
          <w:szCs w:val="28"/>
        </w:rPr>
      </w:pPr>
    </w:p>
    <w:p w14:paraId="0C436646">
      <w:pPr>
        <w:rPr>
          <w:rFonts w:hint="eastAsia" w:ascii="仿宋_GB2312" w:hAnsi="仿宋" w:eastAsia="仿宋_GB2312" w:cs="仿宋"/>
          <w:b/>
          <w:sz w:val="28"/>
          <w:szCs w:val="28"/>
          <w:lang w:bidi="en-US"/>
        </w:rPr>
      </w:pPr>
      <w:r>
        <w:rPr>
          <w:rFonts w:hint="eastAsia"/>
          <w:b/>
          <w:bCs/>
          <w:sz w:val="28"/>
          <w:szCs w:val="28"/>
          <w:lang w:eastAsia="zh-CN"/>
        </w:rPr>
        <w:br w:type="page"/>
      </w:r>
      <w:r>
        <w:rPr>
          <w:rFonts w:hint="eastAsia" w:ascii="仿宋_GB2312" w:hAnsi="仿宋" w:eastAsia="仿宋_GB2312" w:cs="仿宋"/>
          <w:b/>
          <w:sz w:val="28"/>
          <w:szCs w:val="28"/>
          <w:lang w:bidi="en-US"/>
        </w:rPr>
        <w:t>附件</w:t>
      </w:r>
      <w:r>
        <w:rPr>
          <w:rFonts w:hint="eastAsia" w:ascii="仿宋_GB2312" w:hAnsi="仿宋" w:eastAsia="仿宋_GB2312" w:cs="仿宋"/>
          <w:b/>
          <w:sz w:val="28"/>
          <w:szCs w:val="28"/>
          <w:lang w:val="en-US" w:eastAsia="zh-CN" w:bidi="en-US"/>
        </w:rPr>
        <w:t>4</w:t>
      </w:r>
      <w:r>
        <w:rPr>
          <w:rFonts w:hint="eastAsia" w:ascii="仿宋_GB2312" w:hAnsi="仿宋" w:eastAsia="仿宋_GB2312" w:cs="仿宋"/>
          <w:b/>
          <w:sz w:val="28"/>
          <w:szCs w:val="28"/>
          <w:lang w:bidi="en-US"/>
        </w:rPr>
        <w:t xml:space="preserve">： </w:t>
      </w:r>
      <w:r>
        <w:rPr>
          <w:rFonts w:hint="eastAsia" w:ascii="仿宋_GB2312" w:hAnsi="仿宋" w:eastAsia="仿宋_GB2312" w:cs="仿宋"/>
          <w:b/>
          <w:sz w:val="36"/>
          <w:szCs w:val="28"/>
          <w:lang w:val="en-US" w:eastAsia="zh-CN" w:bidi="en-US"/>
        </w:rPr>
        <w:t>乙方单位</w:t>
      </w:r>
      <w:r>
        <w:rPr>
          <w:rFonts w:hint="eastAsia" w:ascii="仿宋_GB2312" w:hAnsi="仿宋" w:eastAsia="仿宋_GB2312" w:cs="仿宋"/>
          <w:b/>
          <w:sz w:val="36"/>
          <w:szCs w:val="28"/>
          <w:lang w:bidi="en-US"/>
        </w:rPr>
        <w:t>印章及</w:t>
      </w:r>
      <w:r>
        <w:rPr>
          <w:rFonts w:hint="eastAsia" w:ascii="仿宋_GB2312" w:hAnsi="仿宋" w:eastAsia="仿宋_GB2312" w:cs="仿宋"/>
          <w:b/>
          <w:sz w:val="36"/>
          <w:szCs w:val="28"/>
          <w:lang w:val="en-US" w:eastAsia="zh-CN" w:bidi="en-US"/>
        </w:rPr>
        <w:t>项目负责人</w:t>
      </w:r>
      <w:r>
        <w:rPr>
          <w:rFonts w:hint="eastAsia" w:ascii="仿宋_GB2312" w:hAnsi="仿宋" w:eastAsia="仿宋_GB2312" w:cs="仿宋"/>
          <w:b/>
          <w:sz w:val="36"/>
          <w:szCs w:val="28"/>
          <w:lang w:bidi="en-US"/>
        </w:rPr>
        <w:t>签名样式</w:t>
      </w:r>
    </w:p>
    <w:tbl>
      <w:tblPr>
        <w:tblStyle w:val="11"/>
        <w:tblpPr w:leftFromText="180" w:rightFromText="180" w:vertAnchor="text" w:horzAnchor="page" w:tblpX="1643" w:tblpY="461"/>
        <w:tblOverlap w:val="never"/>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5248"/>
      </w:tblGrid>
      <w:tr w14:paraId="10C2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3631" w:type="dxa"/>
            <w:vAlign w:val="center"/>
          </w:tcPr>
          <w:p w14:paraId="7925BFDD">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val="en-US" w:eastAsia="zh-CN" w:bidi="en-US"/>
              </w:rPr>
              <w:t>乙方</w:t>
            </w:r>
            <w:r>
              <w:rPr>
                <w:rFonts w:hint="eastAsia" w:ascii="仿宋_GB2312" w:hAnsi="仿宋" w:eastAsia="仿宋_GB2312" w:cs="仿宋"/>
                <w:bCs/>
                <w:kern w:val="2"/>
                <w:sz w:val="36"/>
                <w:szCs w:val="28"/>
                <w:lang w:bidi="en-US"/>
              </w:rPr>
              <w:t>单位</w:t>
            </w:r>
          </w:p>
          <w:p w14:paraId="1CC83E8E">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eastAsia="zh-CN" w:bidi="en-US"/>
              </w:rPr>
            </w:pPr>
            <w:r>
              <w:rPr>
                <w:rFonts w:hint="eastAsia" w:ascii="仿宋_GB2312" w:hAnsi="仿宋" w:eastAsia="仿宋_GB2312" w:cs="仿宋"/>
                <w:bCs/>
                <w:kern w:val="2"/>
                <w:sz w:val="36"/>
                <w:szCs w:val="28"/>
                <w:lang w:val="en-US" w:eastAsia="zh-CN" w:bidi="en-US"/>
              </w:rPr>
              <w:t>公章</w:t>
            </w:r>
          </w:p>
        </w:tc>
        <w:tc>
          <w:tcPr>
            <w:tcW w:w="5248" w:type="dxa"/>
            <w:vAlign w:val="center"/>
          </w:tcPr>
          <w:p w14:paraId="2182B458">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p>
        </w:tc>
      </w:tr>
      <w:tr w14:paraId="364C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631" w:type="dxa"/>
            <w:vAlign w:val="center"/>
          </w:tcPr>
          <w:p w14:paraId="50D99278">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val="en-US" w:eastAsia="zh-CN" w:bidi="en-US"/>
              </w:rPr>
              <w:t>乙方</w:t>
            </w:r>
            <w:r>
              <w:rPr>
                <w:rFonts w:hint="eastAsia" w:ascii="仿宋_GB2312" w:hAnsi="仿宋" w:eastAsia="仿宋_GB2312" w:cs="仿宋"/>
                <w:bCs/>
                <w:kern w:val="2"/>
                <w:sz w:val="36"/>
                <w:szCs w:val="28"/>
                <w:lang w:bidi="en-US"/>
              </w:rPr>
              <w:t>单位</w:t>
            </w:r>
          </w:p>
          <w:p w14:paraId="6EA14238">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bidi="en-US"/>
              </w:rPr>
              <w:t>项目负责人签名</w:t>
            </w:r>
          </w:p>
        </w:tc>
        <w:tc>
          <w:tcPr>
            <w:tcW w:w="5248" w:type="dxa"/>
            <w:vAlign w:val="center"/>
          </w:tcPr>
          <w:p w14:paraId="3D6BA683">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p>
        </w:tc>
      </w:tr>
    </w:tbl>
    <w:p w14:paraId="366B063E"/>
    <w:p w14:paraId="09B07E98"/>
    <w:p w14:paraId="6CBF39C5"/>
    <w:sectPr>
      <w:pgSz w:w="11906" w:h="16838"/>
      <w:pgMar w:top="1440" w:right="1191" w:bottom="144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187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5D58A">
    <w:pPr>
      <w:tabs>
        <w:tab w:val="center" w:pos="4346"/>
        <w:tab w:val="left" w:pos="531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D8AF">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CB462B">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48CB462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8D81">
    <w:pPr>
      <w:tabs>
        <w:tab w:val="center" w:pos="4346"/>
        <w:tab w:val="left" w:pos="5317"/>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04FF5C">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0A04FF5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C0494"/>
    <w:multiLevelType w:val="singleLevel"/>
    <w:tmpl w:val="4A8C04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2EwNzJkZmQ2M2VmYzg1MTkzNzkwZjg0OTA4NTgifQ=="/>
  </w:docVars>
  <w:rsids>
    <w:rsidRoot w:val="050E1859"/>
    <w:rsid w:val="00800F95"/>
    <w:rsid w:val="01000855"/>
    <w:rsid w:val="01AE3368"/>
    <w:rsid w:val="050E1859"/>
    <w:rsid w:val="06B163A1"/>
    <w:rsid w:val="07D443A0"/>
    <w:rsid w:val="08544BB8"/>
    <w:rsid w:val="0E9E25AD"/>
    <w:rsid w:val="107D1C46"/>
    <w:rsid w:val="10E11354"/>
    <w:rsid w:val="12BC1B8C"/>
    <w:rsid w:val="17CD50B6"/>
    <w:rsid w:val="1811244B"/>
    <w:rsid w:val="18795B9D"/>
    <w:rsid w:val="18F75CAD"/>
    <w:rsid w:val="1A002621"/>
    <w:rsid w:val="1A145A99"/>
    <w:rsid w:val="1DB130CA"/>
    <w:rsid w:val="20E70546"/>
    <w:rsid w:val="229665CD"/>
    <w:rsid w:val="22D202E2"/>
    <w:rsid w:val="259D6D50"/>
    <w:rsid w:val="25E95D51"/>
    <w:rsid w:val="2AEC1AFB"/>
    <w:rsid w:val="2BE062FB"/>
    <w:rsid w:val="2E67693E"/>
    <w:rsid w:val="2E8C0AD4"/>
    <w:rsid w:val="3044176E"/>
    <w:rsid w:val="319A79F8"/>
    <w:rsid w:val="33E43167"/>
    <w:rsid w:val="354217EE"/>
    <w:rsid w:val="37472214"/>
    <w:rsid w:val="386E487C"/>
    <w:rsid w:val="3C094E26"/>
    <w:rsid w:val="3E667EE8"/>
    <w:rsid w:val="42965511"/>
    <w:rsid w:val="432F3830"/>
    <w:rsid w:val="439F17C6"/>
    <w:rsid w:val="44F81C3C"/>
    <w:rsid w:val="48083DDF"/>
    <w:rsid w:val="49C2583A"/>
    <w:rsid w:val="4B8C794C"/>
    <w:rsid w:val="4CF40969"/>
    <w:rsid w:val="4E674F05"/>
    <w:rsid w:val="54D07995"/>
    <w:rsid w:val="58EA2775"/>
    <w:rsid w:val="5AA616BE"/>
    <w:rsid w:val="5AB833B7"/>
    <w:rsid w:val="5B1575E1"/>
    <w:rsid w:val="5DA65112"/>
    <w:rsid w:val="5E627A08"/>
    <w:rsid w:val="613477E4"/>
    <w:rsid w:val="61CF0DF4"/>
    <w:rsid w:val="66D5474D"/>
    <w:rsid w:val="6A890F99"/>
    <w:rsid w:val="6A93223D"/>
    <w:rsid w:val="6AAE17B9"/>
    <w:rsid w:val="6B140CFE"/>
    <w:rsid w:val="6B5A3442"/>
    <w:rsid w:val="6DAD24E8"/>
    <w:rsid w:val="6DC27E1F"/>
    <w:rsid w:val="6DED7568"/>
    <w:rsid w:val="6FBC64DE"/>
    <w:rsid w:val="70EB02B8"/>
    <w:rsid w:val="712A65DE"/>
    <w:rsid w:val="72EC4DCF"/>
    <w:rsid w:val="733210A6"/>
    <w:rsid w:val="74F263B1"/>
    <w:rsid w:val="78B5745C"/>
    <w:rsid w:val="7BE9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eastAsia="宋体" w:asciiTheme="minorAscii" w:hAnsiTheme="minorAscii"/>
      <w:b/>
      <w:kern w:val="44"/>
      <w:sz w:val="32"/>
    </w:rPr>
  </w:style>
  <w:style w:type="paragraph" w:styleId="3">
    <w:name w:val="heading 4"/>
    <w:basedOn w:val="1"/>
    <w:next w:val="1"/>
    <w:unhideWhenUsed/>
    <w:qFormat/>
    <w:uiPriority w:val="0"/>
    <w:pPr>
      <w:keepNext/>
      <w:keepLines/>
      <w:spacing w:beforeLines="0" w:beforeAutospacing="0" w:afterLines="0" w:afterAutospacing="0" w:line="360" w:lineRule="auto"/>
      <w:jc w:val="center"/>
      <w:outlineLvl w:val="3"/>
    </w:pPr>
    <w:rPr>
      <w:rFonts w:ascii="Arial" w:hAnsi="Arial" w:eastAsia="宋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jc w:val="center"/>
    </w:pPr>
    <w:rPr>
      <w:b/>
      <w:bCs/>
      <w:sz w:val="7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footnote text"/>
    <w:basedOn w:val="1"/>
    <w:next w:val="8"/>
    <w:qFormat/>
    <w:uiPriority w:val="0"/>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10">
    <w:name w:val="Body Text First Indent"/>
    <w:basedOn w:val="6"/>
    <w:next w:val="1"/>
    <w:qFormat/>
    <w:uiPriority w:val="0"/>
    <w:pPr>
      <w:spacing w:after="120"/>
      <w:ind w:firstLine="420" w:firstLineChars="100"/>
      <w:jc w:val="both"/>
    </w:pPr>
    <w:rPr>
      <w:b w:val="0"/>
      <w:bCs w:val="0"/>
      <w:sz w:val="21"/>
    </w:rPr>
  </w:style>
  <w:style w:type="character" w:customStyle="1" w:styleId="13">
    <w:name w:val="font181"/>
    <w:basedOn w:val="12"/>
    <w:qFormat/>
    <w:uiPriority w:val="0"/>
    <w:rPr>
      <w:rFonts w:hint="eastAsia" w:ascii="宋体" w:hAnsi="宋体" w:eastAsia="宋体" w:cs="宋体"/>
      <w:b/>
      <w:bCs/>
      <w:color w:val="000000"/>
      <w:sz w:val="20"/>
      <w:szCs w:val="20"/>
      <w:u w:val="none"/>
    </w:rPr>
  </w:style>
  <w:style w:type="character" w:customStyle="1" w:styleId="14">
    <w:name w:val="font191"/>
    <w:basedOn w:val="12"/>
    <w:qFormat/>
    <w:uiPriority w:val="0"/>
    <w:rPr>
      <w:rFonts w:ascii="等线 Light" w:hAnsi="等线 Light" w:eastAsia="等线 Light" w:cs="等线 Light"/>
      <w:b/>
      <w:bCs/>
      <w:color w:val="000000"/>
      <w:sz w:val="20"/>
      <w:szCs w:val="20"/>
      <w:u w:val="none"/>
    </w:rPr>
  </w:style>
  <w:style w:type="character" w:customStyle="1" w:styleId="15">
    <w:name w:val="font201"/>
    <w:basedOn w:val="12"/>
    <w:qFormat/>
    <w:uiPriority w:val="0"/>
    <w:rPr>
      <w:rFonts w:hint="eastAsia" w:ascii="宋体" w:hAnsi="宋体" w:eastAsia="宋体" w:cs="宋体"/>
      <w:b/>
      <w:bCs/>
      <w:color w:val="000000"/>
      <w:sz w:val="20"/>
      <w:szCs w:val="20"/>
      <w:u w:val="none"/>
    </w:rPr>
  </w:style>
  <w:style w:type="character" w:customStyle="1" w:styleId="16">
    <w:name w:val="font91"/>
    <w:basedOn w:val="12"/>
    <w:qFormat/>
    <w:uiPriority w:val="0"/>
    <w:rPr>
      <w:rFonts w:hint="default" w:ascii="Times New Roman" w:hAnsi="Times New Roman" w:cs="Times New Roman"/>
      <w:color w:val="000000"/>
      <w:sz w:val="20"/>
      <w:szCs w:val="20"/>
      <w:u w:val="none"/>
    </w:rPr>
  </w:style>
  <w:style w:type="character" w:customStyle="1" w:styleId="17">
    <w:name w:val="font122"/>
    <w:basedOn w:val="12"/>
    <w:qFormat/>
    <w:uiPriority w:val="0"/>
    <w:rPr>
      <w:rFonts w:hint="eastAsia" w:ascii="宋体" w:hAnsi="宋体" w:eastAsia="宋体" w:cs="宋体"/>
      <w:color w:val="000000"/>
      <w:sz w:val="20"/>
      <w:szCs w:val="20"/>
      <w:u w:val="none"/>
    </w:rPr>
  </w:style>
  <w:style w:type="character" w:customStyle="1" w:styleId="18">
    <w:name w:val="font131"/>
    <w:basedOn w:val="12"/>
    <w:qFormat/>
    <w:uiPriority w:val="0"/>
    <w:rPr>
      <w:rFonts w:hint="eastAsia" w:ascii="宋体" w:hAnsi="宋体" w:eastAsia="宋体" w:cs="宋体"/>
      <w:color w:val="000000"/>
      <w:sz w:val="20"/>
      <w:szCs w:val="20"/>
      <w:u w:val="none"/>
    </w:rPr>
  </w:style>
  <w:style w:type="character" w:customStyle="1" w:styleId="19">
    <w:name w:val="font141"/>
    <w:basedOn w:val="12"/>
    <w:qFormat/>
    <w:uiPriority w:val="0"/>
    <w:rPr>
      <w:rFonts w:hint="default" w:ascii="Times New Roman" w:hAnsi="Times New Roman" w:cs="Times New Roman"/>
      <w:color w:val="000000"/>
      <w:sz w:val="20"/>
      <w:szCs w:val="20"/>
      <w:u w:val="none"/>
    </w:rPr>
  </w:style>
  <w:style w:type="character" w:customStyle="1" w:styleId="20">
    <w:name w:val="font212"/>
    <w:basedOn w:val="12"/>
    <w:qFormat/>
    <w:uiPriority w:val="0"/>
    <w:rPr>
      <w:rFonts w:ascii="宋体" w:hAnsi="宋体" w:eastAsia="宋体" w:cs="宋体"/>
      <w:color w:val="000000"/>
      <w:sz w:val="20"/>
      <w:szCs w:val="20"/>
      <w:u w:val="none"/>
    </w:rPr>
  </w:style>
  <w:style w:type="character" w:customStyle="1" w:styleId="21">
    <w:name w:val="font12"/>
    <w:basedOn w:val="12"/>
    <w:qFormat/>
    <w:uiPriority w:val="0"/>
    <w:rPr>
      <w:rFonts w:hint="eastAsia" w:ascii="宋体" w:hAnsi="宋体" w:eastAsia="宋体" w:cs="宋体"/>
      <w:color w:val="000000"/>
      <w:sz w:val="20"/>
      <w:szCs w:val="20"/>
      <w:u w:val="none"/>
    </w:rPr>
  </w:style>
  <w:style w:type="character" w:customStyle="1" w:styleId="22">
    <w:name w:val="font161"/>
    <w:basedOn w:val="12"/>
    <w:qFormat/>
    <w:uiPriority w:val="0"/>
    <w:rPr>
      <w:rFonts w:hint="default" w:ascii="Times New Roman" w:hAnsi="Times New Roman" w:cs="Times New Roman"/>
      <w:color w:val="000000"/>
      <w:sz w:val="20"/>
      <w:szCs w:val="20"/>
      <w:u w:val="none"/>
    </w:rPr>
  </w:style>
  <w:style w:type="character" w:customStyle="1" w:styleId="23">
    <w:name w:val="font11"/>
    <w:basedOn w:val="12"/>
    <w:qFormat/>
    <w:uiPriority w:val="0"/>
    <w:rPr>
      <w:rFonts w:ascii="Calibri" w:hAnsi="Calibri" w:cs="Calibri"/>
      <w:color w:val="000000"/>
      <w:sz w:val="20"/>
      <w:szCs w:val="20"/>
      <w:u w:val="none"/>
    </w:rPr>
  </w:style>
  <w:style w:type="character" w:customStyle="1" w:styleId="24">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10139</Words>
  <Characters>10372</Characters>
  <Lines>0</Lines>
  <Paragraphs>0</Paragraphs>
  <TotalTime>10</TotalTime>
  <ScaleCrop>false</ScaleCrop>
  <LinksUpToDate>false</LinksUpToDate>
  <CharactersWithSpaces>10996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2024-10-16T07:10:00Z</dcterms:created>
  <dc:creator>Shy酱 ❌</dc:creator>
  <cp:lastModifiedBy>WPS_656918978</cp:lastModifiedBy>
  <cp:lastPrinted>2025-04-01T03:14:00Z</cp:lastPrinted>
  <dcterms:modified xsi:type="dcterms:W3CDTF">2025-09-11T10:36:20Z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440F86C21305429280075A90E88E02C1</vt:lpwstr>
  </property>
  <property fmtid="{D5CDD505-2E9C-101B-9397-08002B2CF9AE}" pid="4" name="KSOTemplateDocerSaveRecord">
    <vt:lpwstr>eyJoZGlkIjoiOTM1NzhiNTU1NTg1N2I0N2UzYmE4YjY1NDEyMGZkOWUiLCJ1c2VySWQiOiI2NTY5MTg5NzgifQ==</vt:lpwstr>
  </property>
</Properties>
</file>