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B75AA">
      <w:pPr>
        <w:spacing w:before="232" w:line="253" w:lineRule="auto"/>
        <w:ind w:right="1215"/>
        <w:jc w:val="center"/>
        <w:rPr>
          <w:rFonts w:hint="eastAsia" w:ascii="华文宋体" w:hAnsi="华文宋体" w:eastAsia="华文宋体" w:cs="华文宋体"/>
          <w:color w:val="auto"/>
          <w:lang w:eastAsia="zh-CN"/>
        </w:rPr>
      </w:pPr>
      <w:r>
        <w:rPr>
          <w:rFonts w:hint="eastAsia" w:ascii="华文宋体" w:hAnsi="华文宋体" w:eastAsia="华文宋体" w:cs="华文宋体"/>
          <w:b/>
          <w:bCs/>
          <w:color w:val="auto"/>
          <w:spacing w:val="-3"/>
          <w:sz w:val="28"/>
          <w:szCs w:val="28"/>
          <w:lang w:eastAsia="zh-CN"/>
        </w:rPr>
        <w:t>罗定市环市南路消防救援站建设项目监理</w:t>
      </w:r>
      <w:r>
        <w:rPr>
          <w:rFonts w:hint="eastAsia" w:ascii="华文宋体" w:hAnsi="华文宋体" w:eastAsia="华文宋体" w:cs="华文宋体"/>
          <w:b/>
          <w:bCs/>
          <w:color w:val="auto"/>
          <w:spacing w:val="-4"/>
          <w:sz w:val="28"/>
          <w:szCs w:val="28"/>
          <w:lang w:eastAsia="zh-CN"/>
        </w:rPr>
        <w:t>招标公告</w:t>
      </w:r>
    </w:p>
    <w:tbl>
      <w:tblPr>
        <w:tblStyle w:val="8"/>
        <w:tblW w:w="97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824"/>
        <w:gridCol w:w="1493"/>
        <w:gridCol w:w="574"/>
        <w:gridCol w:w="491"/>
        <w:gridCol w:w="434"/>
        <w:gridCol w:w="761"/>
        <w:gridCol w:w="3561"/>
      </w:tblGrid>
      <w:tr w14:paraId="66CE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596" w:type="dxa"/>
          </w:tcPr>
          <w:p w14:paraId="45BBC011">
            <w:pPr>
              <w:pStyle w:val="7"/>
              <w:spacing w:before="180" w:line="221" w:lineRule="auto"/>
              <w:ind w:left="173"/>
              <w:rPr>
                <w:rFonts w:hint="eastAsia" w:ascii="仿宋" w:hAnsi="仿宋" w:eastAsia="仿宋" w:cs="仿宋"/>
                <w:color w:val="auto"/>
                <w:highlight w:val="none"/>
              </w:rPr>
            </w:pPr>
            <w:r>
              <w:rPr>
                <w:rFonts w:hint="eastAsia" w:ascii="仿宋" w:hAnsi="仿宋" w:eastAsia="仿宋" w:cs="仿宋"/>
                <w:b/>
                <w:bCs/>
                <w:color w:val="auto"/>
                <w:spacing w:val="-3"/>
                <w:highlight w:val="none"/>
              </w:rPr>
              <w:t>投资项目代码</w:t>
            </w:r>
          </w:p>
        </w:tc>
        <w:tc>
          <w:tcPr>
            <w:tcW w:w="8138" w:type="dxa"/>
            <w:gridSpan w:val="7"/>
            <w:vAlign w:val="center"/>
          </w:tcPr>
          <w:p w14:paraId="5FF3AD9E">
            <w:pPr>
              <w:jc w:val="both"/>
              <w:rPr>
                <w:rFonts w:hint="eastAsia" w:ascii="仿宋" w:hAnsi="仿宋" w:eastAsia="仿宋" w:cs="仿宋"/>
                <w:color w:val="auto"/>
                <w:highlight w:val="none"/>
              </w:rPr>
            </w:pPr>
            <w:r>
              <w:rPr>
                <w:rFonts w:hint="eastAsia" w:ascii="仿宋" w:hAnsi="仿宋" w:eastAsia="仿宋" w:cs="仿宋"/>
                <w:color w:val="auto"/>
                <w:highlight w:val="none"/>
              </w:rPr>
              <w:t>2404-445381-04-01-197567</w:t>
            </w:r>
          </w:p>
        </w:tc>
      </w:tr>
      <w:tr w14:paraId="575E3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96" w:type="dxa"/>
          </w:tcPr>
          <w:p w14:paraId="4679FEA7">
            <w:pPr>
              <w:pStyle w:val="7"/>
              <w:spacing w:before="173" w:line="221" w:lineRule="auto"/>
              <w:ind w:left="173"/>
              <w:rPr>
                <w:rFonts w:hint="eastAsia" w:ascii="仿宋" w:hAnsi="仿宋" w:eastAsia="仿宋" w:cs="仿宋"/>
                <w:color w:val="auto"/>
                <w:highlight w:val="none"/>
              </w:rPr>
            </w:pPr>
            <w:r>
              <w:rPr>
                <w:rFonts w:hint="eastAsia" w:ascii="仿宋" w:hAnsi="仿宋" w:eastAsia="仿宋" w:cs="仿宋"/>
                <w:b/>
                <w:bCs/>
                <w:color w:val="auto"/>
                <w:spacing w:val="-3"/>
                <w:highlight w:val="none"/>
              </w:rPr>
              <w:t>投资项目名称</w:t>
            </w:r>
          </w:p>
        </w:tc>
        <w:tc>
          <w:tcPr>
            <w:tcW w:w="8138" w:type="dxa"/>
            <w:gridSpan w:val="7"/>
            <w:vAlign w:val="center"/>
          </w:tcPr>
          <w:p w14:paraId="0CED77E2">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罗定市环市南路消防救援站建设项目</w:t>
            </w:r>
          </w:p>
        </w:tc>
      </w:tr>
      <w:tr w14:paraId="324D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596" w:type="dxa"/>
          </w:tcPr>
          <w:p w14:paraId="6ADAB8E9">
            <w:pPr>
              <w:pStyle w:val="7"/>
              <w:spacing w:before="176" w:line="221" w:lineRule="auto"/>
              <w:ind w:left="172"/>
              <w:rPr>
                <w:rFonts w:hint="eastAsia" w:ascii="仿宋" w:hAnsi="仿宋" w:eastAsia="仿宋" w:cs="仿宋"/>
                <w:color w:val="auto"/>
                <w:highlight w:val="none"/>
              </w:rPr>
            </w:pPr>
            <w:r>
              <w:rPr>
                <w:rFonts w:hint="eastAsia" w:ascii="仿宋" w:hAnsi="仿宋" w:eastAsia="仿宋" w:cs="仿宋"/>
                <w:b/>
                <w:bCs/>
                <w:color w:val="auto"/>
                <w:spacing w:val="-3"/>
                <w:highlight w:val="none"/>
              </w:rPr>
              <w:t>招标项目名称</w:t>
            </w:r>
          </w:p>
        </w:tc>
        <w:tc>
          <w:tcPr>
            <w:tcW w:w="8138" w:type="dxa"/>
            <w:gridSpan w:val="7"/>
            <w:vAlign w:val="center"/>
          </w:tcPr>
          <w:p w14:paraId="35E15DF9">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罗定市环市南路消防救援站建设项目监理</w:t>
            </w:r>
          </w:p>
        </w:tc>
      </w:tr>
      <w:tr w14:paraId="6B22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596" w:type="dxa"/>
          </w:tcPr>
          <w:p w14:paraId="2B9FC31F">
            <w:pPr>
              <w:spacing w:line="424" w:lineRule="auto"/>
              <w:rPr>
                <w:rFonts w:hint="eastAsia" w:ascii="仿宋" w:hAnsi="仿宋" w:eastAsia="仿宋" w:cs="仿宋"/>
                <w:color w:val="auto"/>
                <w:highlight w:val="none"/>
                <w:lang w:eastAsia="zh-CN"/>
              </w:rPr>
            </w:pPr>
          </w:p>
          <w:p w14:paraId="1417CB70">
            <w:pPr>
              <w:pStyle w:val="7"/>
              <w:spacing w:before="68" w:line="221" w:lineRule="auto"/>
              <w:ind w:left="116"/>
              <w:rPr>
                <w:rFonts w:hint="eastAsia" w:ascii="仿宋" w:hAnsi="仿宋" w:eastAsia="仿宋" w:cs="仿宋"/>
                <w:color w:val="auto"/>
                <w:highlight w:val="none"/>
              </w:rPr>
            </w:pPr>
            <w:r>
              <w:rPr>
                <w:rFonts w:hint="eastAsia" w:ascii="仿宋" w:hAnsi="仿宋" w:eastAsia="仿宋" w:cs="仿宋"/>
                <w:b/>
                <w:bCs/>
                <w:color w:val="auto"/>
                <w:spacing w:val="-17"/>
                <w:highlight w:val="none"/>
              </w:rPr>
              <w:t>标段（包）名称</w:t>
            </w:r>
          </w:p>
        </w:tc>
        <w:tc>
          <w:tcPr>
            <w:tcW w:w="2891" w:type="dxa"/>
            <w:gridSpan w:val="3"/>
            <w:vAlign w:val="center"/>
          </w:tcPr>
          <w:p w14:paraId="1F7FF9F9">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罗定市环市南路消防救援站建设项目监理</w:t>
            </w:r>
          </w:p>
        </w:tc>
        <w:tc>
          <w:tcPr>
            <w:tcW w:w="1686" w:type="dxa"/>
            <w:gridSpan w:val="3"/>
          </w:tcPr>
          <w:p w14:paraId="5CCAC644">
            <w:pPr>
              <w:spacing w:line="424" w:lineRule="auto"/>
              <w:rPr>
                <w:rFonts w:hint="eastAsia" w:ascii="仿宋" w:hAnsi="仿宋" w:eastAsia="仿宋" w:cs="仿宋"/>
                <w:color w:val="auto"/>
                <w:highlight w:val="none"/>
                <w:lang w:eastAsia="zh-CN"/>
              </w:rPr>
            </w:pPr>
          </w:p>
          <w:p w14:paraId="3B472E7C">
            <w:pPr>
              <w:pStyle w:val="7"/>
              <w:spacing w:before="68" w:line="219" w:lineRule="auto"/>
              <w:ind w:left="451"/>
              <w:rPr>
                <w:rFonts w:hint="eastAsia" w:ascii="仿宋" w:hAnsi="仿宋" w:eastAsia="仿宋" w:cs="仿宋"/>
                <w:color w:val="auto"/>
                <w:highlight w:val="none"/>
              </w:rPr>
            </w:pPr>
            <w:r>
              <w:rPr>
                <w:rFonts w:hint="eastAsia" w:ascii="仿宋" w:hAnsi="仿宋" w:eastAsia="仿宋" w:cs="仿宋"/>
                <w:b/>
                <w:bCs/>
                <w:color w:val="auto"/>
                <w:spacing w:val="-5"/>
                <w:highlight w:val="none"/>
              </w:rPr>
              <w:t>公告性质</w:t>
            </w:r>
          </w:p>
        </w:tc>
        <w:tc>
          <w:tcPr>
            <w:tcW w:w="3561" w:type="dxa"/>
            <w:vAlign w:val="center"/>
          </w:tcPr>
          <w:p w14:paraId="21A73179">
            <w:pPr>
              <w:pStyle w:val="7"/>
              <w:spacing w:before="148" w:line="220" w:lineRule="auto"/>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正常</w:t>
            </w:r>
          </w:p>
        </w:tc>
      </w:tr>
      <w:tr w14:paraId="61FA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596" w:type="dxa"/>
          </w:tcPr>
          <w:p w14:paraId="7BC625EA">
            <w:pPr>
              <w:pStyle w:val="7"/>
              <w:spacing w:before="176" w:line="221" w:lineRule="auto"/>
              <w:ind w:left="180"/>
              <w:rPr>
                <w:rFonts w:hint="eastAsia" w:ascii="仿宋" w:hAnsi="仿宋" w:eastAsia="仿宋" w:cs="仿宋"/>
                <w:color w:val="auto"/>
                <w:highlight w:val="none"/>
              </w:rPr>
            </w:pPr>
            <w:r>
              <w:rPr>
                <w:rFonts w:hint="eastAsia" w:ascii="仿宋" w:hAnsi="仿宋" w:eastAsia="仿宋" w:cs="仿宋"/>
                <w:b/>
                <w:bCs/>
                <w:color w:val="auto"/>
                <w:spacing w:val="-4"/>
                <w:highlight w:val="none"/>
              </w:rPr>
              <w:t>资格审查方式</w:t>
            </w:r>
          </w:p>
        </w:tc>
        <w:tc>
          <w:tcPr>
            <w:tcW w:w="8138" w:type="dxa"/>
            <w:gridSpan w:val="7"/>
          </w:tcPr>
          <w:p w14:paraId="74939F07">
            <w:pPr>
              <w:pStyle w:val="7"/>
              <w:spacing w:before="176" w:line="221" w:lineRule="auto"/>
              <w:jc w:val="center"/>
              <w:rPr>
                <w:rFonts w:hint="eastAsia" w:ascii="仿宋" w:hAnsi="仿宋" w:eastAsia="仿宋" w:cs="仿宋"/>
                <w:color w:val="auto"/>
                <w:highlight w:val="none"/>
              </w:rPr>
            </w:pPr>
            <w:r>
              <w:rPr>
                <w:rFonts w:hint="eastAsia" w:ascii="仿宋" w:hAnsi="仿宋" w:eastAsia="仿宋" w:cs="仿宋"/>
                <w:color w:val="auto"/>
                <w:spacing w:val="-1"/>
                <w:highlight w:val="none"/>
              </w:rPr>
              <w:t>资格后审</w:t>
            </w:r>
          </w:p>
        </w:tc>
      </w:tr>
      <w:tr w14:paraId="0CAD1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596" w:type="dxa"/>
          </w:tcPr>
          <w:p w14:paraId="79B2DCFB">
            <w:pPr>
              <w:pStyle w:val="7"/>
              <w:spacing w:before="94" w:line="307" w:lineRule="auto"/>
              <w:ind w:left="593" w:right="161" w:hanging="421"/>
              <w:rPr>
                <w:rFonts w:hint="eastAsia" w:ascii="仿宋" w:hAnsi="仿宋" w:eastAsia="仿宋" w:cs="仿宋"/>
                <w:color w:val="auto"/>
                <w:highlight w:val="none"/>
              </w:rPr>
            </w:pPr>
            <w:r>
              <w:rPr>
                <w:rFonts w:hint="eastAsia" w:ascii="仿宋" w:hAnsi="仿宋" w:eastAsia="仿宋" w:cs="仿宋"/>
                <w:b/>
                <w:bCs/>
                <w:color w:val="auto"/>
                <w:spacing w:val="-3"/>
                <w:highlight w:val="none"/>
              </w:rPr>
              <w:t>招标项目实施</w:t>
            </w:r>
            <w:r>
              <w:rPr>
                <w:rFonts w:hint="eastAsia" w:ascii="仿宋" w:hAnsi="仿宋" w:eastAsia="仿宋" w:cs="仿宋"/>
                <w:b/>
                <w:bCs/>
                <w:color w:val="auto"/>
                <w:spacing w:val="-4"/>
                <w:highlight w:val="none"/>
              </w:rPr>
              <w:t>地点</w:t>
            </w:r>
          </w:p>
        </w:tc>
        <w:tc>
          <w:tcPr>
            <w:tcW w:w="8138" w:type="dxa"/>
            <w:gridSpan w:val="7"/>
            <w:vAlign w:val="center"/>
          </w:tcPr>
          <w:p w14:paraId="54D5BADB">
            <w:pP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罗定市素龙街道罗定实验中学对面环市南路边。</w:t>
            </w:r>
          </w:p>
        </w:tc>
      </w:tr>
      <w:tr w14:paraId="76683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596" w:type="dxa"/>
          </w:tcPr>
          <w:p w14:paraId="72692625">
            <w:pPr>
              <w:pStyle w:val="7"/>
              <w:spacing w:before="177" w:line="221" w:lineRule="auto"/>
              <w:ind w:left="391"/>
              <w:rPr>
                <w:rFonts w:hint="eastAsia" w:ascii="仿宋" w:hAnsi="仿宋" w:eastAsia="仿宋" w:cs="仿宋"/>
                <w:color w:val="auto"/>
                <w:highlight w:val="none"/>
              </w:rPr>
            </w:pPr>
            <w:r>
              <w:rPr>
                <w:rFonts w:hint="eastAsia" w:ascii="仿宋" w:hAnsi="仿宋" w:eastAsia="仿宋" w:cs="仿宋"/>
                <w:b/>
                <w:bCs/>
                <w:color w:val="auto"/>
                <w:spacing w:val="-5"/>
                <w:highlight w:val="none"/>
              </w:rPr>
              <w:t>资金来源</w:t>
            </w:r>
          </w:p>
        </w:tc>
        <w:tc>
          <w:tcPr>
            <w:tcW w:w="2891" w:type="dxa"/>
            <w:gridSpan w:val="3"/>
            <w:vAlign w:val="center"/>
          </w:tcPr>
          <w:p w14:paraId="7EE86E0D">
            <w:pPr>
              <w:pStyle w:val="7"/>
              <w:spacing w:before="177" w:line="221"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项目建设所需资金通过争取上级资金和市财政统筹解决。</w:t>
            </w:r>
          </w:p>
        </w:tc>
        <w:tc>
          <w:tcPr>
            <w:tcW w:w="1686" w:type="dxa"/>
            <w:gridSpan w:val="3"/>
          </w:tcPr>
          <w:p w14:paraId="43412541">
            <w:pPr>
              <w:pStyle w:val="7"/>
              <w:spacing w:before="177" w:line="221" w:lineRule="auto"/>
              <w:ind w:left="209"/>
              <w:rPr>
                <w:rFonts w:hint="eastAsia" w:ascii="仿宋" w:hAnsi="仿宋" w:eastAsia="仿宋" w:cs="仿宋"/>
                <w:color w:val="auto"/>
                <w:highlight w:val="none"/>
              </w:rPr>
            </w:pPr>
            <w:r>
              <w:rPr>
                <w:rFonts w:hint="eastAsia" w:ascii="仿宋" w:hAnsi="仿宋" w:eastAsia="仿宋" w:cs="仿宋"/>
                <w:b/>
                <w:bCs/>
                <w:color w:val="auto"/>
                <w:spacing w:val="-4"/>
                <w:highlight w:val="none"/>
              </w:rPr>
              <w:t>资金来源构成</w:t>
            </w:r>
          </w:p>
        </w:tc>
        <w:tc>
          <w:tcPr>
            <w:tcW w:w="3561" w:type="dxa"/>
          </w:tcPr>
          <w:p w14:paraId="015D401B">
            <w:pPr>
              <w:pStyle w:val="7"/>
              <w:spacing w:before="177" w:line="221" w:lineRule="auto"/>
              <w:ind w:left="743"/>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w:t>
            </w:r>
          </w:p>
        </w:tc>
      </w:tr>
      <w:tr w14:paraId="43D84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596" w:type="dxa"/>
          </w:tcPr>
          <w:p w14:paraId="545AA76F">
            <w:pPr>
              <w:pStyle w:val="7"/>
              <w:spacing w:before="96" w:line="306" w:lineRule="auto"/>
              <w:ind w:left="698" w:right="161" w:hanging="526"/>
              <w:rPr>
                <w:rFonts w:hint="eastAsia" w:ascii="仿宋" w:hAnsi="仿宋" w:eastAsia="仿宋" w:cs="仿宋"/>
                <w:color w:val="auto"/>
                <w:highlight w:val="none"/>
              </w:rPr>
            </w:pPr>
            <w:r>
              <w:rPr>
                <w:rFonts w:hint="eastAsia" w:ascii="仿宋" w:hAnsi="仿宋" w:eastAsia="仿宋" w:cs="仿宋"/>
                <w:b/>
                <w:bCs/>
                <w:color w:val="auto"/>
                <w:spacing w:val="-3"/>
                <w:highlight w:val="none"/>
              </w:rPr>
              <w:t>招标范围及规模</w:t>
            </w:r>
          </w:p>
        </w:tc>
        <w:tc>
          <w:tcPr>
            <w:tcW w:w="8138" w:type="dxa"/>
            <w:gridSpan w:val="7"/>
            <w:vAlign w:val="center"/>
          </w:tcPr>
          <w:p w14:paraId="4F1E0B4D">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项目总用地面积23503.84平方米，总建筑面积13155.42平方米，主要建设内容包括指挥中心、执勤站用房、备勤楼、值班室、训练塔、综合体能训练馆、附属设施及营区绿化等。不含消防配套设备设施购置。</w:t>
            </w:r>
          </w:p>
        </w:tc>
      </w:tr>
      <w:tr w14:paraId="7A085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596" w:type="dxa"/>
          </w:tcPr>
          <w:p w14:paraId="094CCCF3">
            <w:pPr>
              <w:pStyle w:val="7"/>
              <w:spacing w:before="178" w:line="221" w:lineRule="auto"/>
              <w:ind w:left="383"/>
              <w:rPr>
                <w:rFonts w:hint="eastAsia" w:ascii="仿宋" w:hAnsi="仿宋" w:eastAsia="仿宋" w:cs="仿宋"/>
                <w:color w:val="auto"/>
                <w:highlight w:val="none"/>
              </w:rPr>
            </w:pPr>
            <w:r>
              <w:rPr>
                <w:rFonts w:hint="eastAsia" w:ascii="仿宋" w:hAnsi="仿宋" w:eastAsia="仿宋" w:cs="仿宋"/>
                <w:b/>
                <w:bCs/>
                <w:color w:val="auto"/>
                <w:spacing w:val="-4"/>
                <w:highlight w:val="none"/>
              </w:rPr>
              <w:t>招标内容</w:t>
            </w:r>
          </w:p>
        </w:tc>
        <w:tc>
          <w:tcPr>
            <w:tcW w:w="8138" w:type="dxa"/>
            <w:gridSpan w:val="7"/>
            <w:vAlign w:val="center"/>
          </w:tcPr>
          <w:p w14:paraId="74E41426">
            <w:pPr>
              <w:jc w:val="both"/>
              <w:rPr>
                <w:rFonts w:hint="eastAsia" w:ascii="仿宋" w:hAnsi="仿宋" w:eastAsia="仿宋" w:cs="仿宋"/>
                <w:color w:val="auto"/>
                <w:highlight w:val="none"/>
                <w:lang w:eastAsia="zh-CN"/>
              </w:rPr>
            </w:pPr>
            <w:r>
              <w:rPr>
                <w:rFonts w:hint="eastAsia" w:ascii="仿宋" w:hAnsi="仿宋" w:eastAsia="仿宋" w:cs="仿宋"/>
                <w:color w:val="auto"/>
                <w:spacing w:val="10"/>
                <w:highlight w:val="none"/>
                <w:lang w:eastAsia="zh-CN"/>
              </w:rPr>
              <w:t>包括工程的前期工作阶段、勘察、设计、施工准备阶段、施</w:t>
            </w:r>
            <w:r>
              <w:rPr>
                <w:rFonts w:hint="eastAsia" w:ascii="仿宋" w:hAnsi="仿宋" w:eastAsia="仿宋" w:cs="仿宋"/>
                <w:color w:val="auto"/>
                <w:spacing w:val="9"/>
                <w:highlight w:val="none"/>
                <w:lang w:eastAsia="zh-CN"/>
              </w:rPr>
              <w:t>工阶段、工程收尾阶段(包括但不限于竣工验收及竣工验收资料移交城建档案、整改、工程移交及实物移交工程结算</w:t>
            </w:r>
            <w:r>
              <w:rPr>
                <w:rFonts w:hint="eastAsia" w:ascii="仿宋" w:hAnsi="仿宋" w:eastAsia="仿宋" w:cs="仿宋"/>
                <w:color w:val="auto"/>
                <w:spacing w:val="8"/>
                <w:highlight w:val="none"/>
                <w:lang w:eastAsia="zh-CN"/>
              </w:rPr>
              <w:t>、竣工备案等)及工程质量保修阶段的质量控制、进度控制、投资控制、安全生产监督管理、</w:t>
            </w:r>
            <w:r>
              <w:rPr>
                <w:rFonts w:hint="eastAsia" w:ascii="仿宋" w:hAnsi="仿宋" w:eastAsia="仿宋" w:cs="仿宋"/>
                <w:color w:val="auto"/>
                <w:spacing w:val="9"/>
                <w:highlight w:val="none"/>
                <w:lang w:eastAsia="zh-CN"/>
              </w:rPr>
              <w:t>合同管理、信息管理及组织协调等监理工作；按委托人的要求提前进场参与开工前</w:t>
            </w:r>
            <w:r>
              <w:rPr>
                <w:rFonts w:hint="eastAsia" w:ascii="仿宋" w:hAnsi="仿宋" w:eastAsia="仿宋" w:cs="仿宋"/>
                <w:color w:val="auto"/>
                <w:spacing w:val="8"/>
                <w:highlight w:val="none"/>
                <w:lang w:eastAsia="zh-CN"/>
              </w:rPr>
              <w:t>期的</w:t>
            </w:r>
            <w:r>
              <w:rPr>
                <w:rFonts w:hint="eastAsia" w:ascii="仿宋" w:hAnsi="仿宋" w:eastAsia="仿宋" w:cs="仿宋"/>
                <w:color w:val="auto"/>
                <w:spacing w:val="9"/>
                <w:highlight w:val="none"/>
                <w:lang w:eastAsia="zh-CN"/>
              </w:rPr>
              <w:t>准备和筹划工作，协助委托人对施工图纸提出意见，制定工程管理办法、各参建方</w:t>
            </w:r>
            <w:r>
              <w:rPr>
                <w:rFonts w:hint="eastAsia" w:ascii="仿宋" w:hAnsi="仿宋" w:eastAsia="仿宋" w:cs="仿宋"/>
                <w:color w:val="auto"/>
                <w:spacing w:val="8"/>
                <w:highlight w:val="none"/>
                <w:lang w:eastAsia="zh-CN"/>
              </w:rPr>
              <w:t>职责及有关事务性工作；配合委托人的审计和审计调查等工作。(招标人在实施过程中根据</w:t>
            </w:r>
            <w:r>
              <w:rPr>
                <w:rFonts w:hint="eastAsia" w:ascii="仿宋" w:hAnsi="仿宋" w:eastAsia="仿宋" w:cs="仿宋"/>
                <w:color w:val="auto"/>
                <w:spacing w:val="9"/>
                <w:highlight w:val="none"/>
                <w:lang w:eastAsia="zh-CN"/>
              </w:rPr>
              <w:t>本工程实际情况有权增减、调整部分内容，中标人不能拒绝执行)</w:t>
            </w:r>
          </w:p>
        </w:tc>
      </w:tr>
      <w:tr w14:paraId="156FF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96" w:type="dxa"/>
          </w:tcPr>
          <w:p w14:paraId="5F3ADC76">
            <w:pPr>
              <w:pStyle w:val="7"/>
              <w:spacing w:before="175" w:line="221" w:lineRule="auto"/>
              <w:ind w:left="172"/>
              <w:rPr>
                <w:rFonts w:hint="eastAsia" w:ascii="仿宋" w:hAnsi="仿宋" w:eastAsia="仿宋" w:cs="仿宋"/>
                <w:color w:val="auto"/>
                <w:highlight w:val="none"/>
              </w:rPr>
            </w:pPr>
            <w:r>
              <w:rPr>
                <w:rFonts w:hint="eastAsia" w:ascii="仿宋" w:hAnsi="仿宋" w:eastAsia="仿宋" w:cs="仿宋"/>
                <w:b/>
                <w:bCs/>
                <w:color w:val="auto"/>
                <w:spacing w:val="-3"/>
                <w:highlight w:val="none"/>
              </w:rPr>
              <w:t>监理服务期限</w:t>
            </w:r>
          </w:p>
        </w:tc>
        <w:tc>
          <w:tcPr>
            <w:tcW w:w="8138" w:type="dxa"/>
            <w:gridSpan w:val="7"/>
          </w:tcPr>
          <w:p w14:paraId="21154106">
            <w:pPr>
              <w:pStyle w:val="7"/>
              <w:spacing w:before="219" w:line="221"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（1）施工准备阶段监理服务期：从中标通知书发放之日起至招标人下达开工令为止。</w:t>
            </w:r>
          </w:p>
          <w:p w14:paraId="2ADDF1B8">
            <w:pPr>
              <w:pStyle w:val="7"/>
              <w:spacing w:before="219" w:line="221"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（2）施工阶段监理服务期：600个日历天（从下达开工令起至项目竣工止）。</w:t>
            </w:r>
          </w:p>
          <w:p w14:paraId="090D41C4">
            <w:pPr>
              <w:pStyle w:val="7"/>
              <w:spacing w:before="219" w:line="221"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（3）工程质量保修期：从工程竣工验收合格之日起到完成结算和保修期服务为止。</w:t>
            </w:r>
          </w:p>
        </w:tc>
      </w:tr>
      <w:tr w14:paraId="1869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596" w:type="dxa"/>
          </w:tcPr>
          <w:p w14:paraId="4DE10909">
            <w:pPr>
              <w:pStyle w:val="7"/>
              <w:spacing w:before="178" w:line="219" w:lineRule="auto"/>
              <w:ind w:left="173"/>
              <w:rPr>
                <w:rFonts w:hint="eastAsia" w:ascii="仿宋" w:hAnsi="仿宋" w:eastAsia="仿宋" w:cs="仿宋"/>
                <w:color w:val="auto"/>
                <w:highlight w:val="none"/>
              </w:rPr>
            </w:pPr>
            <w:r>
              <w:rPr>
                <w:rFonts w:hint="eastAsia" w:ascii="仿宋" w:hAnsi="仿宋" w:eastAsia="仿宋" w:cs="仿宋"/>
                <w:b/>
                <w:bCs/>
                <w:color w:val="auto"/>
                <w:spacing w:val="-3"/>
                <w:highlight w:val="none"/>
              </w:rPr>
              <w:t>最高投标限价</w:t>
            </w:r>
          </w:p>
        </w:tc>
        <w:tc>
          <w:tcPr>
            <w:tcW w:w="8138" w:type="dxa"/>
            <w:gridSpan w:val="7"/>
            <w:vAlign w:val="center"/>
          </w:tcPr>
          <w:p w14:paraId="781CDE0C">
            <w:pP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00.0</w:t>
            </w:r>
            <w:r>
              <w:rPr>
                <w:rFonts w:hint="eastAsia" w:ascii="仿宋" w:hAnsi="仿宋" w:eastAsia="仿宋" w:cs="仿宋"/>
                <w:color w:val="auto"/>
                <w:highlight w:val="none"/>
                <w:lang w:eastAsia="zh-CN"/>
              </w:rPr>
              <w:t>万元</w:t>
            </w:r>
          </w:p>
        </w:tc>
      </w:tr>
      <w:tr w14:paraId="01054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596" w:type="dxa"/>
          </w:tcPr>
          <w:p w14:paraId="38730CF7">
            <w:pPr>
              <w:pStyle w:val="7"/>
              <w:spacing w:before="96" w:line="306" w:lineRule="auto"/>
              <w:ind w:left="487" w:right="161" w:hanging="313"/>
              <w:rPr>
                <w:rFonts w:hint="eastAsia" w:ascii="仿宋" w:hAnsi="仿宋" w:eastAsia="仿宋" w:cs="仿宋"/>
                <w:color w:val="auto"/>
                <w:highlight w:val="none"/>
              </w:rPr>
            </w:pPr>
            <w:r>
              <w:rPr>
                <w:rFonts w:hint="eastAsia" w:ascii="仿宋" w:hAnsi="仿宋" w:eastAsia="仿宋" w:cs="仿宋"/>
                <w:b/>
                <w:bCs/>
                <w:color w:val="auto"/>
                <w:spacing w:val="-3"/>
                <w:highlight w:val="none"/>
              </w:rPr>
              <w:t>是否接受联合</w:t>
            </w:r>
            <w:r>
              <w:rPr>
                <w:rFonts w:hint="eastAsia" w:ascii="仿宋" w:hAnsi="仿宋" w:eastAsia="仿宋" w:cs="仿宋"/>
                <w:b/>
                <w:bCs/>
                <w:color w:val="auto"/>
                <w:spacing w:val="-4"/>
                <w:highlight w:val="none"/>
              </w:rPr>
              <w:t>体投标</w:t>
            </w:r>
          </w:p>
        </w:tc>
        <w:tc>
          <w:tcPr>
            <w:tcW w:w="8138" w:type="dxa"/>
            <w:gridSpan w:val="7"/>
            <w:vAlign w:val="center"/>
          </w:tcPr>
          <w:p w14:paraId="598F7DAA">
            <w:pPr>
              <w:pStyle w:val="7"/>
              <w:spacing w:before="296" w:line="221"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否</w:t>
            </w:r>
          </w:p>
        </w:tc>
      </w:tr>
      <w:tr w14:paraId="5638E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7" w:hRule="atLeast"/>
          <w:jc w:val="center"/>
        </w:trPr>
        <w:tc>
          <w:tcPr>
            <w:tcW w:w="1596" w:type="dxa"/>
            <w:vMerge w:val="restart"/>
            <w:tcBorders>
              <w:bottom w:val="nil"/>
            </w:tcBorders>
          </w:tcPr>
          <w:p w14:paraId="4598161F">
            <w:pPr>
              <w:spacing w:line="432" w:lineRule="auto"/>
              <w:rPr>
                <w:rFonts w:hint="eastAsia" w:ascii="仿宋" w:hAnsi="仿宋" w:eastAsia="仿宋" w:cs="仿宋"/>
                <w:color w:val="auto"/>
                <w:highlight w:val="none"/>
                <w:lang w:eastAsia="zh-CN"/>
              </w:rPr>
            </w:pPr>
          </w:p>
          <w:p w14:paraId="0A9B93AB">
            <w:pPr>
              <w:pStyle w:val="7"/>
              <w:spacing w:before="68" w:line="345" w:lineRule="auto"/>
              <w:ind w:left="116" w:right="37" w:firstLine="56"/>
              <w:jc w:val="both"/>
              <w:rPr>
                <w:rFonts w:hint="eastAsia" w:ascii="仿宋" w:hAnsi="仿宋" w:eastAsia="仿宋" w:cs="仿宋"/>
                <w:color w:val="auto"/>
                <w:highlight w:val="none"/>
                <w:lang w:eastAsia="zh-CN"/>
              </w:rPr>
            </w:pPr>
            <w:r>
              <w:rPr>
                <w:rFonts w:hint="eastAsia" w:ascii="仿宋" w:hAnsi="仿宋" w:eastAsia="仿宋" w:cs="仿宋"/>
                <w:b/>
                <w:bCs/>
                <w:color w:val="auto"/>
                <w:spacing w:val="-3"/>
                <w:highlight w:val="none"/>
                <w:lang w:eastAsia="zh-CN"/>
              </w:rPr>
              <w:t>投标资格能力</w:t>
            </w:r>
            <w:r>
              <w:rPr>
                <w:rFonts w:hint="eastAsia" w:ascii="仿宋" w:hAnsi="仿宋" w:eastAsia="仿宋" w:cs="仿宋"/>
                <w:b/>
                <w:bCs/>
                <w:color w:val="auto"/>
                <w:spacing w:val="-19"/>
                <w:highlight w:val="none"/>
                <w:lang w:eastAsia="zh-CN"/>
              </w:rPr>
              <w:t>要求（包括但不</w:t>
            </w:r>
            <w:r>
              <w:rPr>
                <w:rFonts w:hint="eastAsia" w:ascii="仿宋" w:hAnsi="仿宋" w:eastAsia="仿宋" w:cs="仿宋"/>
                <w:b/>
                <w:bCs/>
                <w:color w:val="auto"/>
                <w:spacing w:val="-7"/>
                <w:highlight w:val="none"/>
                <w:lang w:eastAsia="zh-CN"/>
              </w:rPr>
              <w:t>限于资质人员、</w:t>
            </w:r>
            <w:r>
              <w:rPr>
                <w:rFonts w:hint="eastAsia" w:ascii="仿宋" w:hAnsi="仿宋" w:eastAsia="仿宋" w:cs="仿宋"/>
                <w:b/>
                <w:bCs/>
                <w:color w:val="auto"/>
                <w:spacing w:val="4"/>
                <w:highlight w:val="none"/>
                <w:lang w:eastAsia="zh-CN"/>
              </w:rPr>
              <w:t>业绩等要求）</w:t>
            </w:r>
          </w:p>
        </w:tc>
        <w:tc>
          <w:tcPr>
            <w:tcW w:w="824" w:type="dxa"/>
          </w:tcPr>
          <w:p w14:paraId="02D941E8">
            <w:pPr>
              <w:pStyle w:val="7"/>
              <w:spacing w:before="98" w:line="221" w:lineRule="auto"/>
              <w:ind w:left="182"/>
              <w:rPr>
                <w:rFonts w:hint="eastAsia" w:ascii="仿宋" w:hAnsi="仿宋" w:eastAsia="仿宋" w:cs="仿宋"/>
                <w:color w:val="auto"/>
                <w:highlight w:val="none"/>
              </w:rPr>
            </w:pPr>
            <w:r>
              <w:rPr>
                <w:rFonts w:hint="eastAsia" w:ascii="仿宋" w:hAnsi="仿宋" w:eastAsia="仿宋" w:cs="仿宋"/>
                <w:b/>
                <w:bCs/>
                <w:color w:val="auto"/>
                <w:spacing w:val="-4"/>
                <w:highlight w:val="none"/>
              </w:rPr>
              <w:t>投标人</w:t>
            </w:r>
          </w:p>
          <w:p w14:paraId="19C3B605">
            <w:pPr>
              <w:pStyle w:val="7"/>
              <w:spacing w:before="148" w:line="221" w:lineRule="auto"/>
              <w:ind w:left="188"/>
              <w:rPr>
                <w:rFonts w:hint="eastAsia" w:ascii="仿宋" w:hAnsi="仿宋" w:eastAsia="仿宋" w:cs="仿宋"/>
                <w:color w:val="auto"/>
                <w:highlight w:val="none"/>
              </w:rPr>
            </w:pPr>
            <w:r>
              <w:rPr>
                <w:rFonts w:hint="eastAsia" w:ascii="仿宋" w:hAnsi="仿宋" w:eastAsia="仿宋" w:cs="仿宋"/>
                <w:b/>
                <w:bCs/>
                <w:color w:val="auto"/>
                <w:spacing w:val="-6"/>
                <w:highlight w:val="none"/>
              </w:rPr>
              <w:t>资格要</w:t>
            </w:r>
          </w:p>
          <w:p w14:paraId="6BFC8DDD">
            <w:pPr>
              <w:pStyle w:val="7"/>
              <w:spacing w:before="149" w:line="222" w:lineRule="auto"/>
              <w:ind w:left="392"/>
              <w:rPr>
                <w:rFonts w:hint="eastAsia" w:ascii="仿宋" w:hAnsi="仿宋" w:eastAsia="仿宋" w:cs="仿宋"/>
                <w:color w:val="auto"/>
                <w:highlight w:val="none"/>
              </w:rPr>
            </w:pPr>
            <w:r>
              <w:rPr>
                <w:rFonts w:hint="eastAsia" w:ascii="仿宋" w:hAnsi="仿宋" w:eastAsia="仿宋" w:cs="仿宋"/>
                <w:b/>
                <w:bCs/>
                <w:color w:val="auto"/>
                <w:spacing w:val="-3"/>
                <w:highlight w:val="none"/>
              </w:rPr>
              <w:t>求</w:t>
            </w:r>
          </w:p>
        </w:tc>
        <w:tc>
          <w:tcPr>
            <w:tcW w:w="7314" w:type="dxa"/>
            <w:gridSpan w:val="6"/>
          </w:tcPr>
          <w:p w14:paraId="431E0546">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1、投标人具备独立法人资格，持有事业单位登记管理部门核发的事业单位法人证书或工商行政管理部门核发的企业法人营业执照，且在有效期限内。</w:t>
            </w:r>
          </w:p>
          <w:p w14:paraId="719234C0">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2、投标人须具备建设行政主管部门颁发的工程监理综合资质，或具备房屋建筑工程监理乙级或以上资质。</w:t>
            </w:r>
          </w:p>
          <w:p w14:paraId="3B473CD7">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3、拟派项目总监理工程师须具有注册在投标人单位的建设部核发的监理工程师注册证书（注册专业为房屋建筑工程）。</w:t>
            </w:r>
          </w:p>
          <w:p w14:paraId="074855EB">
            <w:pPr>
              <w:pStyle w:val="7"/>
              <w:spacing w:before="32" w:line="372" w:lineRule="auto"/>
              <w:ind w:left="109" w:right="37" w:firstLine="420"/>
              <w:jc w:val="both"/>
              <w:rPr>
                <w:rFonts w:hint="eastAsia" w:ascii="仿宋" w:hAnsi="仿宋" w:eastAsia="仿宋" w:cs="仿宋"/>
                <w:color w:val="auto"/>
                <w:spacing w:val="10"/>
                <w:highlight w:val="none"/>
                <w:lang w:eastAsia="zh-CN"/>
              </w:rPr>
            </w:pPr>
            <w:bookmarkStart w:id="0" w:name="_GoBack"/>
            <w:bookmarkEnd w:id="0"/>
          </w:p>
          <w:p w14:paraId="1B5D5B1C">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4、其他主要人员要求：</w:t>
            </w:r>
          </w:p>
          <w:p w14:paraId="47863137">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（1）总监理工程师代表（1人）：具有注册在投标人单位的建设部颁发的国家注册监理工程师证书。</w:t>
            </w:r>
          </w:p>
          <w:p w14:paraId="38CED488">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（2）专业监理工程师（3人）：持有省部级专业监理工程师或以上证书，且证书在有效期内。（至少含有房建和市政专业监理工程师各一名）</w:t>
            </w:r>
          </w:p>
          <w:p w14:paraId="296D43C3">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（3）监理员（2人）：持有监理员证书，且证书在有效期内。</w:t>
            </w:r>
          </w:p>
          <w:p w14:paraId="54A16A6E">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（4）其它人员：投标人根据项目需要自行配置。</w:t>
            </w:r>
          </w:p>
          <w:p w14:paraId="02B73C20">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监理机构人员（含项目总监和其他监理人员）中标后不得擅自变更，确需变更的，应按照监理合同要求，且须经招标人同意后方可变更。</w:t>
            </w:r>
          </w:p>
          <w:p w14:paraId="587D7840">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投标时本工程监理机构最少配置人数为7人。监理机构人员必须施工全过程驻场工作。项目监理机构的监理人员在建设工程施工阶段监理中，必须对关键部位、关键工序的施工质量实施全过程现场跟班监督。</w:t>
            </w:r>
          </w:p>
          <w:p w14:paraId="2F682B18">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5、投标人须是未被有关部门明令取消投标资格或暂停承接业务，须按云建通〔2024〕20号文和云建市[2021]18号等有关规定办理好登记手续，企业参加工程投标、勘察、设计、施工、监理、项目管理等建筑活动的各类注册人员和相关从业人员，应当在“云浮市智慧建筑管理服务信息平台”登记。广东省以外的投标人须按广东省住房和城乡建设厅（粤建市〔2015〕52号文）的规定，持有在广东建设信息网“进粤企业和人员诚信信息登记平台”专栏关于投标人进粤企业及人员信息录入的网页截图。</w:t>
            </w:r>
          </w:p>
          <w:p w14:paraId="3982E095">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6、关于联合体投标：本次招标不允许联合体投标。</w:t>
            </w:r>
          </w:p>
          <w:p w14:paraId="44653E2B">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7、信誉要求：</w:t>
            </w:r>
          </w:p>
          <w:p w14:paraId="6CC3D7C3">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（1）投标人没有处于责令停业，财产被接管、冻结，破产状况等；具有相应的项目管理体系和项目管理能力、财务和风险承担能力。</w:t>
            </w:r>
          </w:p>
          <w:p w14:paraId="451BC322">
            <w:pPr>
              <w:pStyle w:val="7"/>
              <w:spacing w:before="32" w:line="372" w:lineRule="auto"/>
              <w:ind w:left="109" w:right="37" w:firstLine="420"/>
              <w:jc w:val="both"/>
              <w:rPr>
                <w:rFonts w:hint="eastAsia" w:ascii="仿宋" w:hAnsi="仿宋" w:eastAsia="仿宋" w:cs="仿宋"/>
                <w:color w:val="auto"/>
                <w:spacing w:val="10"/>
                <w:highlight w:val="none"/>
              </w:rPr>
            </w:pPr>
            <w:r>
              <w:rPr>
                <w:rFonts w:hint="eastAsia" w:ascii="仿宋" w:hAnsi="仿宋" w:eastAsia="仿宋" w:cs="仿宋"/>
                <w:color w:val="auto"/>
                <w:spacing w:val="10"/>
                <w:highlight w:val="none"/>
              </w:rPr>
              <w:t>（2）投标人没有被列入失信被执行人黑名单，须具备在“中国执行信息公开网”（http://zxgk.court.gov.cn/shixin/）的网页截图。</w:t>
            </w:r>
          </w:p>
          <w:p w14:paraId="1C877E1F">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3）投标人近3年内（从发布招标公告当日往前顺推三年）不得发生在处罚有效期内以下情况：①因监管失误而导致的重大工程质量问题或重大安全事故，或围标串标，或骗取中标，或提供虚假投标材料，或严重违约等违法违纪行为（严重违约情况、重大工程质量问题均以司法仲裁机构或行政主管部门等出具的认定文件为准）；②被建设行政主管部门明令取消、暂停、禁止参与投标。【特别提示：投标人如被查实有在处罚有效期内的以上违法违纪行为的，无论在何地受到处罚，除其对本项目的投标按无效处理外，其投标行为还须按“提供虚假投标材料”上报相关的建设行政主管部门，不予退还本项目的投标保证金。】</w:t>
            </w:r>
          </w:p>
          <w:p w14:paraId="214D942D">
            <w:pPr>
              <w:pStyle w:val="7"/>
              <w:spacing w:before="32" w:line="372" w:lineRule="auto"/>
              <w:ind w:left="109" w:right="37" w:firstLine="42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8、与招标人存在利害关系可能影响招标公正性的法人、其他组织或者个人，不得参加投标。单位负责人为同一人或者存在控股、管理关系的不同单位，不得参加同一标段投标或者未划分标段的同一招标项目投标。</w:t>
            </w:r>
          </w:p>
          <w:p w14:paraId="575013A7">
            <w:pPr>
              <w:pStyle w:val="7"/>
              <w:spacing w:before="32" w:line="372" w:lineRule="auto"/>
              <w:ind w:left="109" w:right="37" w:firstLine="420"/>
              <w:jc w:val="both"/>
              <w:rPr>
                <w:rFonts w:hint="eastAsia" w:ascii="仿宋" w:hAnsi="仿宋" w:eastAsia="仿宋" w:cs="仿宋"/>
                <w:color w:val="auto"/>
                <w:highlight w:val="none"/>
                <w:lang w:eastAsia="zh-CN"/>
              </w:rPr>
            </w:pPr>
            <w:r>
              <w:rPr>
                <w:rFonts w:hint="eastAsia" w:ascii="仿宋" w:hAnsi="仿宋" w:eastAsia="仿宋" w:cs="仿宋"/>
                <w:color w:val="auto"/>
                <w:spacing w:val="10"/>
                <w:highlight w:val="none"/>
                <w:lang w:eastAsia="zh-CN"/>
              </w:rPr>
              <w:t>9、提供对参与本次建设工程项目招标投标活动中提交的证明资料（包括但不限于营业执照、资质、业绩、获奖、人员、财务、社保、纳税、各类证书等）的真实性、有效性签署的承诺书（格式见投标文件格式中的投标人声明及投标人承诺书）。</w:t>
            </w:r>
          </w:p>
        </w:tc>
      </w:tr>
      <w:tr w14:paraId="60F8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596" w:type="dxa"/>
            <w:vMerge w:val="continue"/>
            <w:tcBorders>
              <w:top w:val="nil"/>
            </w:tcBorders>
          </w:tcPr>
          <w:p w14:paraId="06E07389">
            <w:pPr>
              <w:rPr>
                <w:rFonts w:hint="eastAsia" w:ascii="仿宋" w:hAnsi="仿宋" w:eastAsia="仿宋" w:cs="仿宋"/>
                <w:color w:val="auto"/>
                <w:highlight w:val="none"/>
                <w:lang w:eastAsia="zh-CN"/>
              </w:rPr>
            </w:pPr>
          </w:p>
        </w:tc>
        <w:tc>
          <w:tcPr>
            <w:tcW w:w="824" w:type="dxa"/>
          </w:tcPr>
          <w:p w14:paraId="261C56ED">
            <w:pPr>
              <w:pStyle w:val="7"/>
              <w:spacing w:before="98" w:line="221" w:lineRule="auto"/>
              <w:ind w:left="182"/>
              <w:rPr>
                <w:rFonts w:hint="eastAsia" w:ascii="仿宋" w:hAnsi="仿宋" w:eastAsia="仿宋" w:cs="仿宋"/>
                <w:color w:val="auto"/>
                <w:highlight w:val="none"/>
              </w:rPr>
            </w:pPr>
            <w:r>
              <w:rPr>
                <w:rFonts w:hint="eastAsia" w:ascii="仿宋" w:hAnsi="仿宋" w:eastAsia="仿宋" w:cs="仿宋"/>
                <w:b/>
                <w:bCs/>
                <w:color w:val="auto"/>
                <w:spacing w:val="-4"/>
                <w:highlight w:val="none"/>
              </w:rPr>
              <w:t>投标人</w:t>
            </w:r>
          </w:p>
          <w:p w14:paraId="2AD1F9FF">
            <w:pPr>
              <w:pStyle w:val="7"/>
              <w:spacing w:before="149" w:line="221" w:lineRule="auto"/>
              <w:ind w:left="178"/>
              <w:rPr>
                <w:rFonts w:hint="eastAsia" w:ascii="仿宋" w:hAnsi="仿宋" w:eastAsia="仿宋" w:cs="仿宋"/>
                <w:color w:val="auto"/>
                <w:highlight w:val="none"/>
              </w:rPr>
            </w:pPr>
            <w:r>
              <w:rPr>
                <w:rFonts w:hint="eastAsia" w:ascii="仿宋" w:hAnsi="仿宋" w:eastAsia="仿宋" w:cs="仿宋"/>
                <w:b/>
                <w:bCs/>
                <w:color w:val="auto"/>
                <w:spacing w:val="-4"/>
                <w:highlight w:val="none"/>
              </w:rPr>
              <w:t>业绩要</w:t>
            </w:r>
          </w:p>
          <w:p w14:paraId="37467FBA">
            <w:pPr>
              <w:pStyle w:val="7"/>
              <w:spacing w:before="149" w:line="222" w:lineRule="auto"/>
              <w:ind w:left="392"/>
              <w:rPr>
                <w:rFonts w:hint="eastAsia" w:ascii="仿宋" w:hAnsi="仿宋" w:eastAsia="仿宋" w:cs="仿宋"/>
                <w:color w:val="auto"/>
                <w:highlight w:val="none"/>
              </w:rPr>
            </w:pPr>
            <w:r>
              <w:rPr>
                <w:rFonts w:hint="eastAsia" w:ascii="仿宋" w:hAnsi="仿宋" w:eastAsia="仿宋" w:cs="仿宋"/>
                <w:b/>
                <w:bCs/>
                <w:color w:val="auto"/>
                <w:spacing w:val="-3"/>
                <w:highlight w:val="none"/>
              </w:rPr>
              <w:t>求</w:t>
            </w:r>
          </w:p>
        </w:tc>
        <w:tc>
          <w:tcPr>
            <w:tcW w:w="7314" w:type="dxa"/>
            <w:gridSpan w:val="6"/>
            <w:vAlign w:val="center"/>
          </w:tcPr>
          <w:p w14:paraId="4AABFDBD">
            <w:pPr>
              <w:jc w:val="center"/>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w:t>
            </w:r>
          </w:p>
        </w:tc>
      </w:tr>
      <w:tr w14:paraId="1EB88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5" w:hRule="atLeast"/>
          <w:jc w:val="center"/>
        </w:trPr>
        <w:tc>
          <w:tcPr>
            <w:tcW w:w="1596" w:type="dxa"/>
            <w:vMerge w:val="restart"/>
            <w:vAlign w:val="center"/>
          </w:tcPr>
          <w:p w14:paraId="64254827">
            <w:pPr>
              <w:pStyle w:val="7"/>
              <w:spacing w:before="68" w:line="337" w:lineRule="auto"/>
              <w:ind w:left="172" w:right="161" w:firstLine="2"/>
              <w:jc w:val="center"/>
              <w:rPr>
                <w:rFonts w:hint="eastAsia" w:ascii="仿宋" w:hAnsi="仿宋" w:eastAsia="仿宋" w:cs="仿宋"/>
                <w:color w:val="auto"/>
                <w:highlight w:val="none"/>
                <w:lang w:eastAsia="zh-CN"/>
              </w:rPr>
            </w:pPr>
            <w:r>
              <w:rPr>
                <w:rFonts w:hint="eastAsia" w:ascii="仿宋" w:hAnsi="仿宋" w:eastAsia="仿宋" w:cs="仿宋"/>
                <w:b/>
                <w:bCs/>
                <w:color w:val="auto"/>
                <w:spacing w:val="-3"/>
                <w:highlight w:val="none"/>
                <w:lang w:eastAsia="zh-CN"/>
              </w:rPr>
              <w:t>是否采用电子招标投标方式</w:t>
            </w:r>
          </w:p>
        </w:tc>
        <w:tc>
          <w:tcPr>
            <w:tcW w:w="2317" w:type="dxa"/>
            <w:gridSpan w:val="2"/>
            <w:vMerge w:val="restart"/>
            <w:vAlign w:val="center"/>
          </w:tcPr>
          <w:p w14:paraId="7E2A8515">
            <w:pPr>
              <w:pStyle w:val="7"/>
              <w:spacing w:before="69" w:line="224"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是</w:t>
            </w:r>
          </w:p>
        </w:tc>
        <w:tc>
          <w:tcPr>
            <w:tcW w:w="1065" w:type="dxa"/>
            <w:gridSpan w:val="2"/>
            <w:vAlign w:val="center"/>
          </w:tcPr>
          <w:p w14:paraId="1A0334B0">
            <w:pPr>
              <w:pStyle w:val="7"/>
              <w:spacing w:before="69" w:line="221" w:lineRule="auto"/>
              <w:ind w:left="122"/>
              <w:jc w:val="both"/>
              <w:rPr>
                <w:rFonts w:hint="eastAsia" w:ascii="仿宋" w:hAnsi="仿宋" w:eastAsia="仿宋" w:cs="仿宋"/>
                <w:color w:val="auto"/>
                <w:highlight w:val="none"/>
              </w:rPr>
            </w:pPr>
            <w:r>
              <w:rPr>
                <w:rFonts w:hint="eastAsia" w:ascii="仿宋" w:hAnsi="仿宋" w:eastAsia="仿宋" w:cs="仿宋"/>
                <w:b/>
                <w:bCs/>
                <w:color w:val="auto"/>
                <w:spacing w:val="-4"/>
                <w:highlight w:val="none"/>
              </w:rPr>
              <w:t>获取招标</w:t>
            </w:r>
          </w:p>
          <w:p w14:paraId="333AE0DC">
            <w:pPr>
              <w:pStyle w:val="7"/>
              <w:spacing w:before="149" w:line="221" w:lineRule="auto"/>
              <w:ind w:left="120"/>
              <w:jc w:val="both"/>
              <w:rPr>
                <w:rFonts w:hint="eastAsia" w:ascii="仿宋" w:hAnsi="仿宋" w:eastAsia="仿宋" w:cs="仿宋"/>
                <w:color w:val="auto"/>
                <w:highlight w:val="none"/>
              </w:rPr>
            </w:pPr>
            <w:r>
              <w:rPr>
                <w:rFonts w:hint="eastAsia" w:ascii="仿宋" w:hAnsi="仿宋" w:eastAsia="仿宋" w:cs="仿宋"/>
                <w:b/>
                <w:bCs/>
                <w:color w:val="auto"/>
                <w:spacing w:val="-4"/>
                <w:highlight w:val="none"/>
              </w:rPr>
              <w:t>文件的方</w:t>
            </w:r>
          </w:p>
          <w:p w14:paraId="26EFEE73">
            <w:pPr>
              <w:pStyle w:val="7"/>
              <w:spacing w:before="149" w:line="222" w:lineRule="auto"/>
              <w:ind w:left="437"/>
              <w:jc w:val="both"/>
              <w:rPr>
                <w:rFonts w:hint="eastAsia" w:ascii="仿宋" w:hAnsi="仿宋" w:eastAsia="仿宋" w:cs="仿宋"/>
                <w:color w:val="auto"/>
                <w:highlight w:val="none"/>
              </w:rPr>
            </w:pPr>
            <w:r>
              <w:rPr>
                <w:rFonts w:hint="eastAsia" w:ascii="仿宋" w:hAnsi="仿宋" w:eastAsia="仿宋" w:cs="仿宋"/>
                <w:b/>
                <w:bCs/>
                <w:color w:val="auto"/>
                <w:spacing w:val="-3"/>
                <w:highlight w:val="none"/>
              </w:rPr>
              <w:t>式</w:t>
            </w:r>
          </w:p>
        </w:tc>
        <w:tc>
          <w:tcPr>
            <w:tcW w:w="1195" w:type="dxa"/>
            <w:gridSpan w:val="2"/>
            <w:vAlign w:val="center"/>
          </w:tcPr>
          <w:p w14:paraId="5F6A8475">
            <w:pPr>
              <w:spacing w:line="256" w:lineRule="auto"/>
              <w:jc w:val="both"/>
              <w:rPr>
                <w:rFonts w:hint="eastAsia" w:ascii="仿宋" w:hAnsi="仿宋" w:eastAsia="仿宋" w:cs="仿宋"/>
                <w:color w:val="auto"/>
                <w:highlight w:val="none"/>
                <w:lang w:eastAsia="zh-CN"/>
              </w:rPr>
            </w:pPr>
          </w:p>
          <w:p w14:paraId="001C77D8">
            <w:pPr>
              <w:spacing w:line="256" w:lineRule="auto"/>
              <w:jc w:val="both"/>
              <w:rPr>
                <w:rFonts w:hint="eastAsia" w:ascii="仿宋" w:hAnsi="仿宋" w:eastAsia="仿宋" w:cs="仿宋"/>
                <w:color w:val="auto"/>
                <w:highlight w:val="none"/>
                <w:lang w:eastAsia="zh-CN"/>
              </w:rPr>
            </w:pPr>
          </w:p>
          <w:p w14:paraId="6B39A0A8">
            <w:pPr>
              <w:spacing w:line="256" w:lineRule="auto"/>
              <w:jc w:val="both"/>
              <w:rPr>
                <w:rFonts w:hint="eastAsia" w:ascii="仿宋" w:hAnsi="仿宋" w:eastAsia="仿宋" w:cs="仿宋"/>
                <w:color w:val="auto"/>
                <w:highlight w:val="none"/>
                <w:lang w:eastAsia="zh-CN"/>
              </w:rPr>
            </w:pPr>
          </w:p>
          <w:p w14:paraId="5982E724">
            <w:pPr>
              <w:spacing w:line="256" w:lineRule="auto"/>
              <w:jc w:val="both"/>
              <w:rPr>
                <w:rFonts w:hint="eastAsia" w:ascii="仿宋" w:hAnsi="仿宋" w:eastAsia="仿宋" w:cs="仿宋"/>
                <w:color w:val="auto"/>
                <w:highlight w:val="none"/>
                <w:lang w:eastAsia="zh-CN"/>
              </w:rPr>
            </w:pPr>
          </w:p>
          <w:p w14:paraId="1DA9619D">
            <w:pPr>
              <w:pStyle w:val="7"/>
              <w:spacing w:before="68" w:line="345" w:lineRule="auto"/>
              <w:ind w:left="118" w:right="98" w:firstLine="5"/>
              <w:jc w:val="both"/>
              <w:rPr>
                <w:rFonts w:hint="eastAsia" w:ascii="仿宋" w:hAnsi="仿宋" w:eastAsia="仿宋" w:cs="仿宋"/>
                <w:color w:val="auto"/>
                <w:highlight w:val="none"/>
                <w:lang w:eastAsia="zh-CN"/>
              </w:rPr>
            </w:pPr>
            <w:r>
              <w:rPr>
                <w:rFonts w:hint="eastAsia" w:ascii="仿宋" w:hAnsi="仿宋" w:eastAsia="仿宋" w:cs="仿宋"/>
                <w:b/>
                <w:bCs/>
                <w:color w:val="auto"/>
                <w:spacing w:val="29"/>
                <w:highlight w:val="none"/>
                <w:lang w:eastAsia="zh-CN"/>
              </w:rPr>
              <w:t>下载招标</w:t>
            </w:r>
            <w:r>
              <w:rPr>
                <w:rFonts w:hint="eastAsia" w:ascii="仿宋" w:hAnsi="仿宋" w:eastAsia="仿宋" w:cs="仿宋"/>
                <w:b/>
                <w:bCs/>
                <w:color w:val="auto"/>
                <w:spacing w:val="30"/>
                <w:highlight w:val="none"/>
                <w:lang w:eastAsia="zh-CN"/>
              </w:rPr>
              <w:t>文件的网</w:t>
            </w:r>
            <w:r>
              <w:rPr>
                <w:rFonts w:hint="eastAsia" w:ascii="仿宋" w:hAnsi="仿宋" w:eastAsia="仿宋" w:cs="仿宋"/>
                <w:b/>
                <w:bCs/>
                <w:color w:val="auto"/>
                <w:spacing w:val="-4"/>
                <w:highlight w:val="none"/>
                <w:lang w:eastAsia="zh-CN"/>
              </w:rPr>
              <w:t>络地址</w:t>
            </w:r>
          </w:p>
        </w:tc>
        <w:tc>
          <w:tcPr>
            <w:tcW w:w="3561" w:type="dxa"/>
            <w:vAlign w:val="center"/>
          </w:tcPr>
          <w:p w14:paraId="1CA026E8">
            <w:pPr>
              <w:pStyle w:val="7"/>
              <w:spacing w:before="40" w:line="320" w:lineRule="auto"/>
              <w:ind w:firstLine="437"/>
              <w:rPr>
                <w:rFonts w:hint="eastAsia" w:ascii="仿宋" w:hAnsi="仿宋" w:eastAsia="仿宋" w:cs="仿宋"/>
                <w:color w:val="auto"/>
                <w:highlight w:val="none"/>
              </w:rPr>
            </w:pPr>
            <w:r>
              <w:rPr>
                <w:rFonts w:hint="eastAsia" w:ascii="仿宋" w:hAnsi="仿宋" w:eastAsia="仿宋" w:cs="仿宋"/>
                <w:color w:val="auto"/>
                <w:spacing w:val="-1"/>
                <w:highlight w:val="none"/>
              </w:rPr>
              <w:t>凡有意参加投标的投标人，请于招标公告发布之日起至投标截止时间前在广东省招标投标监管网（网址：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Fonts w:hint="eastAsia" w:ascii="仿宋" w:hAnsi="仿宋" w:eastAsia="仿宋" w:cs="仿宋"/>
                <w:color w:val="auto"/>
                <w:highlight w:val="none"/>
              </w:rPr>
              <w:t>http://zbtb.gd.gov.cn/login</w:t>
            </w:r>
            <w:r>
              <w:rPr>
                <w:rFonts w:hint="eastAsia" w:ascii="仿宋" w:hAnsi="仿宋" w:eastAsia="仿宋" w:cs="仿宋"/>
                <w:color w:val="auto"/>
                <w:highlight w:val="none"/>
              </w:rPr>
              <w:fldChar w:fldCharType="end"/>
            </w:r>
            <w:r>
              <w:rPr>
                <w:rFonts w:hint="eastAsia" w:ascii="仿宋" w:hAnsi="仿宋" w:eastAsia="仿宋" w:cs="仿宋"/>
                <w:color w:val="auto"/>
                <w:spacing w:val="-1"/>
                <w:highlight w:val="none"/>
              </w:rPr>
              <w:t>）、广东省公共资源交易平台（网址：</w:t>
            </w:r>
            <w:r>
              <w:rPr>
                <w:color w:val="auto"/>
                <w:highlight w:val="none"/>
              </w:rPr>
              <w:fldChar w:fldCharType="begin"/>
            </w:r>
            <w:r>
              <w:rPr>
                <w:color w:val="auto"/>
                <w:highlight w:val="none"/>
              </w:rPr>
              <w:instrText xml:space="preserve"> HYPERLINK "https://ygp.gdzwfw.gov.cn/ggz" </w:instrText>
            </w:r>
            <w:r>
              <w:rPr>
                <w:color w:val="auto"/>
                <w:highlight w:val="none"/>
              </w:rPr>
              <w:fldChar w:fldCharType="separate"/>
            </w:r>
            <w:r>
              <w:rPr>
                <w:rFonts w:hint="eastAsia" w:ascii="仿宋" w:hAnsi="仿宋" w:eastAsia="仿宋" w:cs="仿宋"/>
                <w:color w:val="auto"/>
                <w:highlight w:val="none"/>
              </w:rPr>
              <w:t>https://ygp.gdzwfw.gov.cn/ggz</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y-portal/index.html#/445300/index）</w:t>
            </w:r>
            <w:r>
              <w:rPr>
                <w:rFonts w:hint="eastAsia" w:ascii="仿宋" w:hAnsi="仿宋" w:eastAsia="仿宋" w:cs="仿宋"/>
                <w:color w:val="auto"/>
                <w:spacing w:val="-1"/>
                <w:highlight w:val="none"/>
              </w:rPr>
              <w:t>、广州交易集团有限公司（广州公共资源交易中心）平台（网址：http://www.gzggzy.cn）下载招标文件及其附件、答疑文件、修正文件（如有）等。</w:t>
            </w:r>
          </w:p>
        </w:tc>
      </w:tr>
      <w:tr w14:paraId="1E46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jc w:val="center"/>
        </w:trPr>
        <w:tc>
          <w:tcPr>
            <w:tcW w:w="1596" w:type="dxa"/>
            <w:vMerge w:val="continue"/>
          </w:tcPr>
          <w:p w14:paraId="2189DC3F">
            <w:pPr>
              <w:rPr>
                <w:rFonts w:hint="eastAsia" w:ascii="仿宋" w:hAnsi="仿宋" w:eastAsia="仿宋" w:cs="仿宋"/>
                <w:color w:val="auto"/>
                <w:highlight w:val="none"/>
              </w:rPr>
            </w:pPr>
          </w:p>
        </w:tc>
        <w:tc>
          <w:tcPr>
            <w:tcW w:w="2317" w:type="dxa"/>
            <w:gridSpan w:val="2"/>
            <w:vMerge w:val="continue"/>
          </w:tcPr>
          <w:p w14:paraId="687FF8A0">
            <w:pPr>
              <w:rPr>
                <w:rFonts w:hint="eastAsia" w:ascii="仿宋" w:hAnsi="仿宋" w:eastAsia="仿宋" w:cs="仿宋"/>
                <w:color w:val="auto"/>
                <w:highlight w:val="none"/>
              </w:rPr>
            </w:pPr>
          </w:p>
        </w:tc>
        <w:tc>
          <w:tcPr>
            <w:tcW w:w="1065" w:type="dxa"/>
            <w:gridSpan w:val="2"/>
          </w:tcPr>
          <w:p w14:paraId="00527177">
            <w:pPr>
              <w:rPr>
                <w:rFonts w:hint="eastAsia" w:ascii="仿宋" w:hAnsi="仿宋" w:eastAsia="仿宋" w:cs="仿宋"/>
                <w:color w:val="auto"/>
                <w:highlight w:val="none"/>
              </w:rPr>
            </w:pPr>
          </w:p>
        </w:tc>
        <w:tc>
          <w:tcPr>
            <w:tcW w:w="1195" w:type="dxa"/>
            <w:gridSpan w:val="2"/>
          </w:tcPr>
          <w:p w14:paraId="2C8C1724">
            <w:pPr>
              <w:pStyle w:val="7"/>
              <w:spacing w:before="95" w:line="322" w:lineRule="auto"/>
              <w:ind w:left="118" w:right="98" w:firstLine="1"/>
              <w:jc w:val="both"/>
              <w:rPr>
                <w:rFonts w:hint="eastAsia" w:ascii="仿宋" w:hAnsi="仿宋" w:eastAsia="仿宋" w:cs="仿宋"/>
                <w:color w:val="auto"/>
                <w:highlight w:val="none"/>
              </w:rPr>
            </w:pPr>
            <w:r>
              <w:rPr>
                <w:rFonts w:hint="eastAsia" w:ascii="仿宋" w:hAnsi="仿宋" w:eastAsia="仿宋" w:cs="仿宋"/>
                <w:b/>
                <w:bCs/>
                <w:color w:val="auto"/>
                <w:spacing w:val="30"/>
                <w:highlight w:val="none"/>
              </w:rPr>
              <w:t>获取招标文件的方</w:t>
            </w:r>
            <w:r>
              <w:rPr>
                <w:rFonts w:hint="eastAsia" w:ascii="仿宋" w:hAnsi="仿宋" w:eastAsia="仿宋" w:cs="仿宋"/>
                <w:b/>
                <w:bCs/>
                <w:color w:val="auto"/>
                <w:spacing w:val="-3"/>
                <w:highlight w:val="none"/>
              </w:rPr>
              <w:t>式</w:t>
            </w:r>
          </w:p>
        </w:tc>
        <w:tc>
          <w:tcPr>
            <w:tcW w:w="3561" w:type="dxa"/>
            <w:vAlign w:val="center"/>
          </w:tcPr>
          <w:p w14:paraId="411194C6">
            <w:pP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r>
      <w:tr w14:paraId="54DC3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596" w:type="dxa"/>
          </w:tcPr>
          <w:p w14:paraId="23BBDA28">
            <w:pPr>
              <w:pStyle w:val="7"/>
              <w:spacing w:before="298" w:line="337" w:lineRule="auto"/>
              <w:ind w:left="382" w:right="161" w:hanging="208"/>
              <w:rPr>
                <w:rFonts w:hint="eastAsia" w:ascii="仿宋" w:hAnsi="仿宋" w:eastAsia="仿宋" w:cs="仿宋"/>
                <w:color w:val="auto"/>
                <w:highlight w:val="none"/>
                <w:lang w:eastAsia="zh-CN"/>
              </w:rPr>
            </w:pPr>
            <w:r>
              <w:rPr>
                <w:rFonts w:hint="eastAsia" w:ascii="仿宋" w:hAnsi="仿宋" w:eastAsia="仿宋" w:cs="仿宋"/>
                <w:b/>
                <w:bCs/>
                <w:color w:val="auto"/>
                <w:spacing w:val="-3"/>
                <w:highlight w:val="none"/>
                <w:lang w:eastAsia="zh-CN"/>
              </w:rPr>
              <w:t>获取招标文件</w:t>
            </w:r>
            <w:r>
              <w:rPr>
                <w:rFonts w:hint="eastAsia" w:ascii="仿宋" w:hAnsi="仿宋" w:eastAsia="仿宋" w:cs="仿宋"/>
                <w:b/>
                <w:bCs/>
                <w:color w:val="auto"/>
                <w:spacing w:val="-4"/>
                <w:highlight w:val="none"/>
                <w:lang w:eastAsia="zh-CN"/>
              </w:rPr>
              <w:t>开始时间</w:t>
            </w:r>
          </w:p>
        </w:tc>
        <w:tc>
          <w:tcPr>
            <w:tcW w:w="2317" w:type="dxa"/>
            <w:gridSpan w:val="2"/>
          </w:tcPr>
          <w:p w14:paraId="5F8DD6DE">
            <w:pPr>
              <w:spacing w:line="270" w:lineRule="auto"/>
              <w:rPr>
                <w:rFonts w:hint="eastAsia" w:ascii="仿宋" w:hAnsi="仿宋" w:eastAsia="仿宋" w:cs="仿宋"/>
                <w:color w:val="auto"/>
                <w:highlight w:val="none"/>
                <w:lang w:eastAsia="zh-CN"/>
              </w:rPr>
            </w:pPr>
          </w:p>
          <w:p w14:paraId="214CDF6B">
            <w:pPr>
              <w:pStyle w:val="7"/>
              <w:spacing w:before="68" w:line="221" w:lineRule="auto"/>
              <w:ind w:left="483"/>
              <w:rPr>
                <w:rFonts w:hint="eastAsia" w:ascii="仿宋" w:hAnsi="仿宋" w:eastAsia="仿宋" w:cs="仿宋"/>
                <w:color w:val="auto"/>
                <w:highlight w:val="none"/>
              </w:rPr>
            </w:pPr>
            <w:r>
              <w:rPr>
                <w:rFonts w:hint="eastAsia" w:ascii="仿宋" w:hAnsi="仿宋" w:eastAsia="仿宋" w:cs="仿宋"/>
                <w:color w:val="auto"/>
                <w:spacing w:val="-16"/>
                <w:highlight w:val="none"/>
              </w:rPr>
              <w:t>年</w:t>
            </w:r>
            <w:r>
              <w:rPr>
                <w:rFonts w:hint="eastAsia" w:ascii="仿宋" w:hAnsi="仿宋" w:eastAsia="仿宋" w:cs="仿宋"/>
                <w:color w:val="auto"/>
                <w:spacing w:val="-16"/>
                <w:highlight w:val="none"/>
                <w:lang w:eastAsia="zh-CN"/>
              </w:rPr>
              <w:t xml:space="preserve">  </w:t>
            </w:r>
            <w:r>
              <w:rPr>
                <w:rFonts w:hint="eastAsia" w:ascii="仿宋" w:hAnsi="仿宋" w:eastAsia="仿宋" w:cs="仿宋"/>
                <w:color w:val="auto"/>
                <w:spacing w:val="-16"/>
                <w:highlight w:val="none"/>
              </w:rPr>
              <w:t>月</w:t>
            </w:r>
            <w:r>
              <w:rPr>
                <w:rFonts w:hint="eastAsia" w:ascii="仿宋" w:hAnsi="仿宋" w:eastAsia="仿宋" w:cs="仿宋"/>
                <w:color w:val="auto"/>
                <w:spacing w:val="-16"/>
                <w:highlight w:val="none"/>
                <w:lang w:eastAsia="zh-CN"/>
              </w:rPr>
              <w:t xml:space="preserve">  </w:t>
            </w:r>
            <w:r>
              <w:rPr>
                <w:rFonts w:hint="eastAsia" w:ascii="仿宋" w:hAnsi="仿宋" w:eastAsia="仿宋" w:cs="仿宋"/>
                <w:color w:val="auto"/>
                <w:spacing w:val="-16"/>
                <w:highlight w:val="none"/>
              </w:rPr>
              <w:t>日</w:t>
            </w:r>
            <w:r>
              <w:rPr>
                <w:rFonts w:hint="eastAsia" w:ascii="仿宋" w:hAnsi="仿宋" w:eastAsia="仿宋" w:cs="仿宋"/>
                <w:color w:val="auto"/>
                <w:spacing w:val="-16"/>
                <w:highlight w:val="none"/>
                <w:lang w:eastAsia="zh-CN"/>
              </w:rPr>
              <w:t xml:space="preserve">  </w:t>
            </w:r>
            <w:r>
              <w:rPr>
                <w:rFonts w:hint="eastAsia" w:ascii="仿宋" w:hAnsi="仿宋" w:eastAsia="仿宋" w:cs="仿宋"/>
                <w:color w:val="auto"/>
                <w:spacing w:val="-16"/>
                <w:highlight w:val="none"/>
              </w:rPr>
              <w:t>时</w:t>
            </w:r>
            <w:r>
              <w:rPr>
                <w:rFonts w:hint="eastAsia" w:ascii="仿宋" w:hAnsi="仿宋" w:eastAsia="仿宋" w:cs="仿宋"/>
                <w:color w:val="auto"/>
                <w:spacing w:val="-16"/>
                <w:highlight w:val="none"/>
                <w:lang w:eastAsia="zh-CN"/>
              </w:rPr>
              <w:t xml:space="preserve">  </w:t>
            </w:r>
            <w:r>
              <w:rPr>
                <w:rFonts w:hint="eastAsia" w:ascii="仿宋" w:hAnsi="仿宋" w:eastAsia="仿宋" w:cs="仿宋"/>
                <w:color w:val="auto"/>
                <w:highlight w:val="none"/>
              </w:rPr>
              <w:t>分</w:t>
            </w:r>
          </w:p>
        </w:tc>
        <w:tc>
          <w:tcPr>
            <w:tcW w:w="1065" w:type="dxa"/>
            <w:gridSpan w:val="2"/>
          </w:tcPr>
          <w:p w14:paraId="06F04B69">
            <w:pPr>
              <w:pStyle w:val="7"/>
              <w:spacing w:before="95" w:line="221" w:lineRule="auto"/>
              <w:ind w:left="122"/>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lang w:eastAsia="zh-CN"/>
              </w:rPr>
              <w:t>获取招标</w:t>
            </w:r>
          </w:p>
          <w:p w14:paraId="780F2B0E">
            <w:pPr>
              <w:pStyle w:val="7"/>
              <w:spacing w:before="149" w:line="221" w:lineRule="auto"/>
              <w:ind w:left="120"/>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lang w:eastAsia="zh-CN"/>
              </w:rPr>
              <w:t>文件截止</w:t>
            </w:r>
          </w:p>
          <w:p w14:paraId="6E626DA4">
            <w:pPr>
              <w:pStyle w:val="7"/>
              <w:spacing w:before="149" w:line="223" w:lineRule="auto"/>
              <w:ind w:left="337"/>
              <w:rPr>
                <w:rFonts w:hint="eastAsia" w:ascii="仿宋" w:hAnsi="仿宋" w:eastAsia="仿宋" w:cs="仿宋"/>
                <w:color w:val="auto"/>
                <w:highlight w:val="none"/>
                <w:lang w:eastAsia="zh-CN"/>
              </w:rPr>
            </w:pPr>
            <w:r>
              <w:rPr>
                <w:rFonts w:hint="eastAsia" w:ascii="仿宋" w:hAnsi="仿宋" w:eastAsia="仿宋" w:cs="仿宋"/>
                <w:b/>
                <w:bCs/>
                <w:color w:val="auto"/>
                <w:spacing w:val="-7"/>
                <w:highlight w:val="none"/>
                <w:lang w:eastAsia="zh-CN"/>
              </w:rPr>
              <w:t>时间</w:t>
            </w:r>
          </w:p>
        </w:tc>
        <w:tc>
          <w:tcPr>
            <w:tcW w:w="4756" w:type="dxa"/>
            <w:gridSpan w:val="3"/>
          </w:tcPr>
          <w:p w14:paraId="3E7B7B5F">
            <w:pPr>
              <w:spacing w:line="468" w:lineRule="auto"/>
              <w:rPr>
                <w:rFonts w:hint="eastAsia" w:ascii="仿宋" w:hAnsi="仿宋" w:eastAsia="仿宋" w:cs="仿宋"/>
                <w:color w:val="auto"/>
                <w:highlight w:val="none"/>
                <w:lang w:eastAsia="zh-CN"/>
              </w:rPr>
            </w:pPr>
          </w:p>
          <w:p w14:paraId="40B85867">
            <w:pPr>
              <w:pStyle w:val="7"/>
              <w:spacing w:before="68" w:line="221" w:lineRule="auto"/>
              <w:ind w:left="483"/>
              <w:rPr>
                <w:rFonts w:hint="eastAsia" w:ascii="仿宋" w:hAnsi="仿宋" w:eastAsia="仿宋" w:cs="仿宋"/>
                <w:color w:val="auto"/>
                <w:highlight w:val="none"/>
              </w:rPr>
            </w:pPr>
            <w:r>
              <w:rPr>
                <w:rFonts w:hint="eastAsia" w:ascii="仿宋" w:hAnsi="仿宋" w:eastAsia="仿宋" w:cs="仿宋"/>
                <w:color w:val="auto"/>
                <w:spacing w:val="-16"/>
                <w:highlight w:val="none"/>
              </w:rPr>
              <w:t>年</w:t>
            </w:r>
            <w:r>
              <w:rPr>
                <w:rFonts w:hint="eastAsia" w:ascii="仿宋" w:hAnsi="仿宋" w:eastAsia="仿宋" w:cs="仿宋"/>
                <w:color w:val="auto"/>
                <w:spacing w:val="-16"/>
                <w:highlight w:val="none"/>
                <w:lang w:eastAsia="zh-CN"/>
              </w:rPr>
              <w:t xml:space="preserve">  </w:t>
            </w:r>
            <w:r>
              <w:rPr>
                <w:rFonts w:hint="eastAsia" w:ascii="仿宋" w:hAnsi="仿宋" w:eastAsia="仿宋" w:cs="仿宋"/>
                <w:color w:val="auto"/>
                <w:spacing w:val="-16"/>
                <w:highlight w:val="none"/>
              </w:rPr>
              <w:t>月</w:t>
            </w:r>
            <w:r>
              <w:rPr>
                <w:rFonts w:hint="eastAsia" w:ascii="仿宋" w:hAnsi="仿宋" w:eastAsia="仿宋" w:cs="仿宋"/>
                <w:color w:val="auto"/>
                <w:spacing w:val="-16"/>
                <w:highlight w:val="none"/>
                <w:lang w:eastAsia="zh-CN"/>
              </w:rPr>
              <w:t xml:space="preserve">  </w:t>
            </w:r>
            <w:r>
              <w:rPr>
                <w:rFonts w:hint="eastAsia" w:ascii="仿宋" w:hAnsi="仿宋" w:eastAsia="仿宋" w:cs="仿宋"/>
                <w:color w:val="auto"/>
                <w:spacing w:val="-16"/>
                <w:highlight w:val="none"/>
              </w:rPr>
              <w:t>日</w:t>
            </w:r>
            <w:r>
              <w:rPr>
                <w:rFonts w:hint="eastAsia" w:ascii="仿宋" w:hAnsi="仿宋" w:eastAsia="仿宋" w:cs="仿宋"/>
                <w:color w:val="auto"/>
                <w:spacing w:val="-16"/>
                <w:highlight w:val="none"/>
                <w:lang w:eastAsia="zh-CN"/>
              </w:rPr>
              <w:t xml:space="preserve">  </w:t>
            </w:r>
            <w:r>
              <w:rPr>
                <w:rFonts w:hint="eastAsia" w:ascii="仿宋" w:hAnsi="仿宋" w:eastAsia="仿宋" w:cs="仿宋"/>
                <w:color w:val="auto"/>
                <w:spacing w:val="-16"/>
                <w:highlight w:val="none"/>
              </w:rPr>
              <w:t>时</w:t>
            </w:r>
            <w:r>
              <w:rPr>
                <w:rFonts w:hint="eastAsia" w:ascii="仿宋" w:hAnsi="仿宋" w:eastAsia="仿宋" w:cs="仿宋"/>
                <w:color w:val="auto"/>
                <w:spacing w:val="-16"/>
                <w:highlight w:val="none"/>
                <w:lang w:eastAsia="zh-CN"/>
              </w:rPr>
              <w:t xml:space="preserve">  </w:t>
            </w:r>
            <w:r>
              <w:rPr>
                <w:rFonts w:hint="eastAsia" w:ascii="仿宋" w:hAnsi="仿宋" w:eastAsia="仿宋" w:cs="仿宋"/>
                <w:color w:val="auto"/>
                <w:highlight w:val="none"/>
              </w:rPr>
              <w:t>分</w:t>
            </w:r>
          </w:p>
        </w:tc>
      </w:tr>
      <w:tr w14:paraId="76A31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jc w:val="center"/>
        </w:trPr>
        <w:tc>
          <w:tcPr>
            <w:tcW w:w="1596" w:type="dxa"/>
          </w:tcPr>
          <w:p w14:paraId="5986AD67">
            <w:pPr>
              <w:spacing w:line="275" w:lineRule="auto"/>
              <w:rPr>
                <w:rFonts w:hint="eastAsia" w:ascii="仿宋" w:hAnsi="仿宋" w:eastAsia="仿宋" w:cs="仿宋"/>
                <w:color w:val="auto"/>
                <w:highlight w:val="none"/>
                <w:lang w:eastAsia="zh-CN"/>
              </w:rPr>
            </w:pPr>
          </w:p>
          <w:p w14:paraId="729D4D2F">
            <w:pPr>
              <w:spacing w:line="275" w:lineRule="auto"/>
              <w:rPr>
                <w:rFonts w:hint="eastAsia" w:ascii="仿宋" w:hAnsi="仿宋" w:eastAsia="仿宋" w:cs="仿宋"/>
                <w:color w:val="auto"/>
                <w:highlight w:val="none"/>
                <w:lang w:eastAsia="zh-CN"/>
              </w:rPr>
            </w:pPr>
          </w:p>
          <w:p w14:paraId="3CBED08A">
            <w:pPr>
              <w:spacing w:line="275" w:lineRule="auto"/>
              <w:rPr>
                <w:rFonts w:hint="eastAsia" w:ascii="仿宋" w:hAnsi="仿宋" w:eastAsia="仿宋" w:cs="仿宋"/>
                <w:color w:val="auto"/>
                <w:highlight w:val="none"/>
                <w:lang w:eastAsia="zh-CN"/>
              </w:rPr>
            </w:pPr>
          </w:p>
          <w:p w14:paraId="63508AD2">
            <w:pPr>
              <w:pStyle w:val="7"/>
              <w:spacing w:before="68" w:line="337" w:lineRule="auto"/>
              <w:ind w:left="381" w:right="161" w:hanging="209"/>
              <w:rPr>
                <w:rFonts w:hint="eastAsia" w:ascii="仿宋" w:hAnsi="仿宋" w:eastAsia="仿宋" w:cs="仿宋"/>
                <w:color w:val="auto"/>
                <w:highlight w:val="none"/>
                <w:lang w:eastAsia="zh-CN"/>
              </w:rPr>
            </w:pPr>
            <w:r>
              <w:rPr>
                <w:rFonts w:hint="eastAsia" w:ascii="仿宋" w:hAnsi="仿宋" w:eastAsia="仿宋" w:cs="仿宋"/>
                <w:b/>
                <w:bCs/>
                <w:color w:val="auto"/>
                <w:spacing w:val="-3"/>
                <w:highlight w:val="none"/>
                <w:lang w:eastAsia="zh-CN"/>
              </w:rPr>
              <w:t>递交投标文件截止时间</w:t>
            </w:r>
          </w:p>
        </w:tc>
        <w:tc>
          <w:tcPr>
            <w:tcW w:w="2317" w:type="dxa"/>
            <w:gridSpan w:val="2"/>
            <w:vAlign w:val="center"/>
          </w:tcPr>
          <w:p w14:paraId="4843670A">
            <w:pPr>
              <w:spacing w:line="333" w:lineRule="auto"/>
              <w:jc w:val="both"/>
              <w:rPr>
                <w:rFonts w:hint="eastAsia" w:ascii="仿宋" w:hAnsi="仿宋" w:eastAsia="仿宋" w:cs="仿宋"/>
                <w:color w:val="auto"/>
                <w:highlight w:val="none"/>
                <w:lang w:eastAsia="zh-CN"/>
              </w:rPr>
            </w:pPr>
          </w:p>
          <w:p w14:paraId="51AB856C">
            <w:pPr>
              <w:spacing w:line="333" w:lineRule="auto"/>
              <w:jc w:val="both"/>
              <w:rPr>
                <w:rFonts w:hint="eastAsia" w:ascii="仿宋" w:hAnsi="仿宋" w:eastAsia="仿宋" w:cs="仿宋"/>
                <w:color w:val="auto"/>
                <w:highlight w:val="none"/>
                <w:lang w:eastAsia="zh-CN"/>
              </w:rPr>
            </w:pPr>
          </w:p>
          <w:p w14:paraId="1B7B7EDD">
            <w:pPr>
              <w:pStyle w:val="7"/>
              <w:spacing w:before="150" w:line="221" w:lineRule="auto"/>
              <w:ind w:left="115"/>
              <w:jc w:val="both"/>
              <w:rPr>
                <w:rFonts w:hint="eastAsia" w:ascii="仿宋" w:hAnsi="仿宋" w:eastAsia="仿宋" w:cs="仿宋"/>
                <w:color w:val="auto"/>
                <w:highlight w:val="none"/>
                <w:lang w:eastAsia="zh-CN"/>
              </w:rPr>
            </w:pPr>
            <w:r>
              <w:rPr>
                <w:rFonts w:hint="eastAsia" w:ascii="仿宋" w:hAnsi="仿宋" w:eastAsia="仿宋" w:cs="仿宋"/>
                <w:color w:val="auto"/>
                <w:spacing w:val="-16"/>
                <w:highlight w:val="none"/>
                <w:lang w:eastAsia="zh-CN"/>
              </w:rPr>
              <w:t xml:space="preserve">年  月  日  时  </w:t>
            </w:r>
            <w:r>
              <w:rPr>
                <w:rFonts w:hint="eastAsia" w:ascii="仿宋" w:hAnsi="仿宋" w:eastAsia="仿宋" w:cs="仿宋"/>
                <w:color w:val="auto"/>
                <w:highlight w:val="none"/>
                <w:lang w:eastAsia="zh-CN"/>
              </w:rPr>
              <w:t>分</w:t>
            </w:r>
            <w:r>
              <w:rPr>
                <w:rFonts w:hint="eastAsia" w:ascii="仿宋" w:hAnsi="仿宋" w:eastAsia="仿宋" w:cs="仿宋"/>
                <w:color w:val="auto"/>
                <w:spacing w:val="-2"/>
                <w:highlight w:val="none"/>
                <w:lang w:eastAsia="zh-CN"/>
              </w:rPr>
              <w:t>（与投标截止时间为</w:t>
            </w:r>
            <w:r>
              <w:rPr>
                <w:rFonts w:hint="eastAsia" w:ascii="仿宋" w:hAnsi="仿宋" w:eastAsia="仿宋" w:cs="仿宋"/>
                <w:color w:val="auto"/>
                <w:spacing w:val="-7"/>
                <w:highlight w:val="none"/>
                <w:lang w:eastAsia="zh-CN"/>
              </w:rPr>
              <w:t>同一时间）</w:t>
            </w:r>
          </w:p>
        </w:tc>
        <w:tc>
          <w:tcPr>
            <w:tcW w:w="1065" w:type="dxa"/>
            <w:gridSpan w:val="2"/>
          </w:tcPr>
          <w:p w14:paraId="6191972E">
            <w:pPr>
              <w:spacing w:line="275" w:lineRule="auto"/>
              <w:rPr>
                <w:rFonts w:hint="eastAsia" w:ascii="仿宋" w:hAnsi="仿宋" w:eastAsia="仿宋" w:cs="仿宋"/>
                <w:color w:val="auto"/>
                <w:highlight w:val="none"/>
                <w:lang w:eastAsia="zh-CN"/>
              </w:rPr>
            </w:pPr>
          </w:p>
          <w:p w14:paraId="5E01770B">
            <w:pPr>
              <w:spacing w:line="275" w:lineRule="auto"/>
              <w:rPr>
                <w:rFonts w:hint="eastAsia" w:ascii="仿宋" w:hAnsi="仿宋" w:eastAsia="仿宋" w:cs="仿宋"/>
                <w:color w:val="auto"/>
                <w:highlight w:val="none"/>
                <w:lang w:eastAsia="zh-CN"/>
              </w:rPr>
            </w:pPr>
          </w:p>
          <w:p w14:paraId="79766D49">
            <w:pPr>
              <w:spacing w:line="275" w:lineRule="auto"/>
              <w:rPr>
                <w:rFonts w:hint="eastAsia" w:ascii="仿宋" w:hAnsi="仿宋" w:eastAsia="仿宋" w:cs="仿宋"/>
                <w:color w:val="auto"/>
                <w:highlight w:val="none"/>
                <w:lang w:eastAsia="zh-CN"/>
              </w:rPr>
            </w:pPr>
          </w:p>
          <w:p w14:paraId="27FCD3EB">
            <w:pPr>
              <w:pStyle w:val="7"/>
              <w:spacing w:before="69" w:line="337" w:lineRule="auto"/>
              <w:ind w:left="119" w:right="104" w:firstLine="1"/>
              <w:rPr>
                <w:rFonts w:hint="eastAsia" w:ascii="仿宋" w:hAnsi="仿宋" w:eastAsia="仿宋" w:cs="仿宋"/>
                <w:color w:val="auto"/>
                <w:highlight w:val="none"/>
              </w:rPr>
            </w:pPr>
            <w:r>
              <w:rPr>
                <w:rFonts w:hint="eastAsia" w:ascii="仿宋" w:hAnsi="仿宋" w:eastAsia="仿宋" w:cs="仿宋"/>
                <w:b/>
                <w:bCs/>
                <w:color w:val="auto"/>
                <w:spacing w:val="-4"/>
                <w:highlight w:val="none"/>
              </w:rPr>
              <w:t>投标文件递交方式</w:t>
            </w:r>
          </w:p>
        </w:tc>
        <w:tc>
          <w:tcPr>
            <w:tcW w:w="4756" w:type="dxa"/>
            <w:gridSpan w:val="3"/>
          </w:tcPr>
          <w:p w14:paraId="333AF3F8">
            <w:pPr>
              <w:pStyle w:val="7"/>
              <w:spacing w:before="139" w:line="319" w:lineRule="auto"/>
              <w:ind w:left="116" w:right="103" w:firstLine="435"/>
              <w:rPr>
                <w:rFonts w:hint="eastAsia" w:ascii="仿宋" w:hAnsi="仿宋" w:eastAsia="仿宋" w:cs="仿宋"/>
                <w:color w:val="auto"/>
                <w:highlight w:val="none"/>
              </w:rPr>
            </w:pPr>
            <w:r>
              <w:rPr>
                <w:rFonts w:hint="eastAsia" w:ascii="仿宋" w:hAnsi="仿宋" w:eastAsia="仿宋" w:cs="仿宋"/>
                <w:color w:val="auto"/>
                <w:spacing w:val="-1"/>
                <w:highlight w:val="none"/>
              </w:rPr>
              <w:t>1、投标文件全部采用电子文档，投标人应</w:t>
            </w:r>
            <w:r>
              <w:rPr>
                <w:rFonts w:hint="eastAsia" w:ascii="仿宋" w:hAnsi="仿宋" w:eastAsia="仿宋" w:cs="仿宋"/>
                <w:color w:val="auto"/>
                <w:spacing w:val="6"/>
                <w:highlight w:val="none"/>
              </w:rPr>
              <w:t>在截止时间前通过广州交易集团有限公司（广州公共资源交易中心）平台（网址：http://www.gzggzy.cn）</w:t>
            </w:r>
            <w:r>
              <w:rPr>
                <w:rFonts w:hint="eastAsia" w:ascii="仿宋" w:hAnsi="仿宋" w:eastAsia="仿宋" w:cs="仿宋"/>
                <w:color w:val="auto"/>
                <w:spacing w:val="-3"/>
                <w:highlight w:val="none"/>
              </w:rPr>
              <w:t>递交电子投标文件。</w:t>
            </w:r>
          </w:p>
          <w:p w14:paraId="446F91EB">
            <w:pPr>
              <w:pStyle w:val="7"/>
              <w:spacing w:before="151" w:line="286" w:lineRule="auto"/>
              <w:ind w:left="118" w:right="111" w:firstLine="416"/>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2、投标截止时间后送达的投标文件，电子</w:t>
            </w:r>
            <w:r>
              <w:rPr>
                <w:rFonts w:hint="eastAsia" w:ascii="仿宋" w:hAnsi="仿宋" w:eastAsia="仿宋" w:cs="仿宋"/>
                <w:color w:val="auto"/>
                <w:spacing w:val="-2"/>
                <w:highlight w:val="none"/>
                <w:lang w:eastAsia="zh-CN"/>
              </w:rPr>
              <w:t>招标投标交易平台将予以拒收。</w:t>
            </w:r>
          </w:p>
        </w:tc>
      </w:tr>
      <w:tr w14:paraId="371E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jc w:val="center"/>
        </w:trPr>
        <w:tc>
          <w:tcPr>
            <w:tcW w:w="1596" w:type="dxa"/>
          </w:tcPr>
          <w:p w14:paraId="23E9CD73">
            <w:pPr>
              <w:spacing w:line="427" w:lineRule="auto"/>
              <w:rPr>
                <w:rFonts w:hint="eastAsia" w:ascii="仿宋" w:hAnsi="仿宋" w:eastAsia="仿宋" w:cs="仿宋"/>
                <w:color w:val="auto"/>
                <w:highlight w:val="none"/>
                <w:lang w:eastAsia="zh-CN"/>
              </w:rPr>
            </w:pPr>
          </w:p>
          <w:p w14:paraId="5A7272E0">
            <w:pPr>
              <w:pStyle w:val="7"/>
              <w:spacing w:before="68" w:line="221" w:lineRule="auto"/>
              <w:ind w:left="383"/>
              <w:rPr>
                <w:rFonts w:hint="eastAsia" w:ascii="仿宋" w:hAnsi="仿宋" w:eastAsia="仿宋" w:cs="仿宋"/>
                <w:color w:val="auto"/>
                <w:highlight w:val="none"/>
              </w:rPr>
            </w:pPr>
            <w:r>
              <w:rPr>
                <w:rFonts w:hint="eastAsia" w:ascii="仿宋" w:hAnsi="仿宋" w:eastAsia="仿宋" w:cs="仿宋"/>
                <w:b/>
                <w:bCs/>
                <w:color w:val="auto"/>
                <w:spacing w:val="-4"/>
                <w:highlight w:val="none"/>
              </w:rPr>
              <w:t>开标时间</w:t>
            </w:r>
          </w:p>
        </w:tc>
        <w:tc>
          <w:tcPr>
            <w:tcW w:w="2317" w:type="dxa"/>
            <w:gridSpan w:val="2"/>
            <w:vAlign w:val="center"/>
          </w:tcPr>
          <w:p w14:paraId="59EC8E88">
            <w:pPr>
              <w:pStyle w:val="7"/>
              <w:spacing w:before="148" w:line="223" w:lineRule="auto"/>
              <w:ind w:left="659"/>
              <w:jc w:val="both"/>
              <w:rPr>
                <w:rFonts w:hint="eastAsia" w:ascii="仿宋" w:hAnsi="仿宋" w:eastAsia="仿宋" w:cs="仿宋"/>
                <w:color w:val="auto"/>
                <w:highlight w:val="none"/>
                <w:lang w:eastAsia="zh-CN"/>
              </w:rPr>
            </w:pPr>
            <w:r>
              <w:rPr>
                <w:rFonts w:hint="eastAsia" w:ascii="仿宋" w:hAnsi="仿宋" w:eastAsia="仿宋" w:cs="仿宋"/>
                <w:color w:val="auto"/>
                <w:spacing w:val="-16"/>
                <w:highlight w:val="none"/>
                <w:lang w:eastAsia="zh-CN"/>
              </w:rPr>
              <w:t xml:space="preserve">年  月  日  时  </w:t>
            </w:r>
            <w:r>
              <w:rPr>
                <w:rFonts w:hint="eastAsia" w:ascii="仿宋" w:hAnsi="仿宋" w:eastAsia="仿宋" w:cs="仿宋"/>
                <w:color w:val="auto"/>
                <w:highlight w:val="none"/>
                <w:lang w:eastAsia="zh-CN"/>
              </w:rPr>
              <w:t>分</w:t>
            </w:r>
            <w:r>
              <w:rPr>
                <w:rFonts w:hint="eastAsia" w:ascii="仿宋" w:hAnsi="仿宋" w:eastAsia="仿宋" w:cs="仿宋"/>
                <w:color w:val="auto"/>
                <w:spacing w:val="-2"/>
                <w:highlight w:val="none"/>
                <w:lang w:eastAsia="zh-CN"/>
              </w:rPr>
              <w:t>（与投标截止时间为</w:t>
            </w:r>
            <w:r>
              <w:rPr>
                <w:rFonts w:hint="eastAsia" w:ascii="仿宋" w:hAnsi="仿宋" w:eastAsia="仿宋" w:cs="仿宋"/>
                <w:color w:val="auto"/>
                <w:spacing w:val="-7"/>
                <w:highlight w:val="none"/>
                <w:lang w:eastAsia="zh-CN"/>
              </w:rPr>
              <w:t>同一时间）</w:t>
            </w:r>
          </w:p>
        </w:tc>
        <w:tc>
          <w:tcPr>
            <w:tcW w:w="1065" w:type="dxa"/>
            <w:gridSpan w:val="2"/>
          </w:tcPr>
          <w:p w14:paraId="51367507">
            <w:pPr>
              <w:spacing w:line="427" w:lineRule="auto"/>
              <w:rPr>
                <w:rFonts w:hint="eastAsia" w:ascii="仿宋" w:hAnsi="仿宋" w:eastAsia="仿宋" w:cs="仿宋"/>
                <w:color w:val="auto"/>
                <w:highlight w:val="none"/>
                <w:lang w:eastAsia="zh-CN"/>
              </w:rPr>
            </w:pPr>
          </w:p>
          <w:p w14:paraId="08E12315">
            <w:pPr>
              <w:pStyle w:val="7"/>
              <w:spacing w:before="68" w:line="221" w:lineRule="auto"/>
              <w:ind w:left="119"/>
              <w:rPr>
                <w:rFonts w:hint="eastAsia" w:ascii="仿宋" w:hAnsi="仿宋" w:eastAsia="仿宋" w:cs="仿宋"/>
                <w:color w:val="auto"/>
                <w:highlight w:val="none"/>
              </w:rPr>
            </w:pPr>
            <w:r>
              <w:rPr>
                <w:rFonts w:hint="eastAsia" w:ascii="仿宋" w:hAnsi="仿宋" w:eastAsia="仿宋" w:cs="仿宋"/>
                <w:b/>
                <w:bCs/>
                <w:color w:val="auto"/>
                <w:spacing w:val="-4"/>
                <w:highlight w:val="none"/>
              </w:rPr>
              <w:t>开标地点</w:t>
            </w:r>
          </w:p>
        </w:tc>
        <w:tc>
          <w:tcPr>
            <w:tcW w:w="4756" w:type="dxa"/>
            <w:gridSpan w:val="3"/>
          </w:tcPr>
          <w:p w14:paraId="1884AC38">
            <w:pPr>
              <w:spacing w:line="426" w:lineRule="auto"/>
              <w:rPr>
                <w:rFonts w:hint="eastAsia" w:ascii="仿宋" w:hAnsi="仿宋" w:eastAsia="仿宋" w:cs="仿宋"/>
                <w:color w:val="auto"/>
                <w:highlight w:val="none"/>
                <w:lang w:eastAsia="zh-CN"/>
              </w:rPr>
            </w:pPr>
          </w:p>
          <w:p w14:paraId="020E8A94">
            <w:pPr>
              <w:pStyle w:val="7"/>
              <w:spacing w:before="68" w:line="221" w:lineRule="auto"/>
              <w:ind w:left="39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w:t>
            </w:r>
            <w:r>
              <w:rPr>
                <w:rFonts w:hint="eastAsia" w:ascii="仿宋" w:hAnsi="仿宋" w:eastAsia="仿宋" w:cs="仿宋"/>
                <w:color w:val="auto"/>
                <w:highlight w:val="none"/>
                <w:u w:val="single"/>
                <w:lang w:eastAsia="zh-CN"/>
              </w:rPr>
              <w:t>　　</w:t>
            </w:r>
            <w:r>
              <w:rPr>
                <w:rFonts w:hint="eastAsia" w:ascii="仿宋" w:hAnsi="仿宋" w:eastAsia="仿宋" w:cs="仿宋"/>
                <w:color w:val="auto"/>
                <w:highlight w:val="none"/>
                <w:lang w:eastAsia="zh-CN"/>
              </w:rPr>
              <w:t>开标室（天润路333号），本项目日程安排及地点信息可在广州公共资源交易中心网站进行查询。</w:t>
            </w:r>
          </w:p>
        </w:tc>
      </w:tr>
      <w:tr w14:paraId="4640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1596" w:type="dxa"/>
          </w:tcPr>
          <w:p w14:paraId="45C207B6">
            <w:pPr>
              <w:pStyle w:val="7"/>
              <w:spacing w:before="295" w:line="219" w:lineRule="auto"/>
              <w:ind w:left="174"/>
              <w:rPr>
                <w:rFonts w:hint="eastAsia" w:ascii="仿宋" w:hAnsi="仿宋" w:eastAsia="仿宋" w:cs="仿宋"/>
                <w:color w:val="auto"/>
                <w:highlight w:val="none"/>
              </w:rPr>
            </w:pPr>
            <w:r>
              <w:rPr>
                <w:rFonts w:hint="eastAsia" w:ascii="仿宋" w:hAnsi="仿宋" w:eastAsia="仿宋" w:cs="仿宋"/>
                <w:b/>
                <w:bCs/>
                <w:color w:val="auto"/>
                <w:spacing w:val="-3"/>
                <w:highlight w:val="none"/>
              </w:rPr>
              <w:t>发布公告媒介</w:t>
            </w:r>
          </w:p>
        </w:tc>
        <w:tc>
          <w:tcPr>
            <w:tcW w:w="8138" w:type="dxa"/>
            <w:gridSpan w:val="7"/>
          </w:tcPr>
          <w:p w14:paraId="5151C399">
            <w:pPr>
              <w:pStyle w:val="7"/>
              <w:spacing w:before="294" w:line="221" w:lineRule="auto"/>
              <w:ind w:left="112"/>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广东省招标投标监管网、广东省公共资源交易平台、广州交易集团有限公司（广州公共资源交易中心）平台</w:t>
            </w:r>
          </w:p>
        </w:tc>
      </w:tr>
      <w:tr w14:paraId="299C9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596" w:type="dxa"/>
          </w:tcPr>
          <w:p w14:paraId="3BA766BE">
            <w:pPr>
              <w:pStyle w:val="7"/>
              <w:spacing w:before="177" w:line="221" w:lineRule="auto"/>
              <w:ind w:left="488"/>
              <w:rPr>
                <w:rFonts w:hint="eastAsia" w:ascii="仿宋" w:hAnsi="仿宋" w:eastAsia="仿宋" w:cs="仿宋"/>
                <w:color w:val="auto"/>
                <w:highlight w:val="none"/>
              </w:rPr>
            </w:pPr>
            <w:r>
              <w:rPr>
                <w:rFonts w:hint="eastAsia" w:ascii="仿宋" w:hAnsi="仿宋" w:eastAsia="仿宋" w:cs="仿宋"/>
                <w:b/>
                <w:bCs/>
                <w:color w:val="auto"/>
                <w:spacing w:val="-4"/>
                <w:highlight w:val="none"/>
              </w:rPr>
              <w:t>招标人</w:t>
            </w:r>
          </w:p>
        </w:tc>
        <w:tc>
          <w:tcPr>
            <w:tcW w:w="2317" w:type="dxa"/>
            <w:gridSpan w:val="2"/>
            <w:vAlign w:val="center"/>
          </w:tcPr>
          <w:p w14:paraId="70DB7C07">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罗定市建昊工程管理有限公司</w:t>
            </w:r>
          </w:p>
        </w:tc>
        <w:tc>
          <w:tcPr>
            <w:tcW w:w="1499" w:type="dxa"/>
            <w:gridSpan w:val="3"/>
            <w:vAlign w:val="center"/>
          </w:tcPr>
          <w:p w14:paraId="3DB8C6AE">
            <w:pPr>
              <w:pStyle w:val="3"/>
              <w:jc w:val="center"/>
              <w:rPr>
                <w:rFonts w:hint="eastAsia" w:ascii="仿宋" w:hAnsi="仿宋" w:eastAsia="仿宋" w:cs="仿宋"/>
                <w:color w:val="auto"/>
                <w:highlight w:val="none"/>
              </w:rPr>
            </w:pPr>
            <w:r>
              <w:rPr>
                <w:rFonts w:hint="eastAsia" w:ascii="仿宋" w:hAnsi="仿宋" w:eastAsia="仿宋" w:cs="仿宋"/>
                <w:b/>
                <w:bCs/>
                <w:color w:val="auto"/>
                <w:sz w:val="22"/>
                <w:szCs w:val="22"/>
                <w:highlight w:val="none"/>
              </w:rPr>
              <w:t>联系地址</w:t>
            </w:r>
          </w:p>
        </w:tc>
        <w:tc>
          <w:tcPr>
            <w:tcW w:w="4322" w:type="dxa"/>
            <w:gridSpan w:val="2"/>
            <w:vAlign w:val="center"/>
          </w:tcPr>
          <w:p w14:paraId="1BBBD587">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罗定市罗城街道龙华东路251号内之一一楼</w:t>
            </w:r>
          </w:p>
        </w:tc>
      </w:tr>
      <w:tr w14:paraId="7C725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596" w:type="dxa"/>
          </w:tcPr>
          <w:p w14:paraId="4F72ED2B">
            <w:pPr>
              <w:pStyle w:val="7"/>
              <w:spacing w:before="180" w:line="221" w:lineRule="auto"/>
              <w:ind w:left="172"/>
              <w:rPr>
                <w:rFonts w:hint="eastAsia" w:ascii="仿宋" w:hAnsi="仿宋" w:eastAsia="仿宋" w:cs="仿宋"/>
                <w:color w:val="auto"/>
                <w:highlight w:val="none"/>
              </w:rPr>
            </w:pPr>
            <w:r>
              <w:rPr>
                <w:rFonts w:hint="eastAsia" w:ascii="仿宋" w:hAnsi="仿宋" w:eastAsia="仿宋" w:cs="仿宋"/>
                <w:b/>
                <w:bCs/>
                <w:color w:val="auto"/>
                <w:spacing w:val="-3"/>
                <w:highlight w:val="none"/>
              </w:rPr>
              <w:t>招标人联系人</w:t>
            </w:r>
          </w:p>
        </w:tc>
        <w:tc>
          <w:tcPr>
            <w:tcW w:w="2317" w:type="dxa"/>
            <w:gridSpan w:val="2"/>
            <w:vAlign w:val="center"/>
          </w:tcPr>
          <w:p w14:paraId="5FF0F9A2">
            <w:pPr>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何</w:t>
            </w:r>
            <w:r>
              <w:rPr>
                <w:rFonts w:hint="eastAsia" w:ascii="仿宋" w:hAnsi="仿宋" w:eastAsia="仿宋" w:cs="仿宋"/>
                <w:color w:val="auto"/>
                <w:highlight w:val="none"/>
              </w:rPr>
              <w:t>先生</w:t>
            </w:r>
          </w:p>
        </w:tc>
        <w:tc>
          <w:tcPr>
            <w:tcW w:w="1499" w:type="dxa"/>
            <w:gridSpan w:val="3"/>
            <w:vAlign w:val="center"/>
          </w:tcPr>
          <w:p w14:paraId="19A61F3E">
            <w:pPr>
              <w:pStyle w:val="7"/>
              <w:spacing w:before="162" w:line="223" w:lineRule="auto"/>
              <w:jc w:val="center"/>
              <w:rPr>
                <w:rFonts w:hint="eastAsia" w:ascii="仿宋" w:hAnsi="仿宋" w:eastAsia="仿宋" w:cs="仿宋"/>
                <w:color w:val="auto"/>
                <w:highlight w:val="none"/>
              </w:rPr>
            </w:pPr>
            <w:r>
              <w:rPr>
                <w:rFonts w:hint="eastAsia" w:ascii="仿宋" w:hAnsi="仿宋" w:eastAsia="仿宋" w:cs="仿宋"/>
                <w:b/>
                <w:bCs/>
                <w:color w:val="auto"/>
                <w:spacing w:val="-4"/>
                <w:highlight w:val="none"/>
              </w:rPr>
              <w:t>联系电话</w:t>
            </w:r>
          </w:p>
        </w:tc>
        <w:tc>
          <w:tcPr>
            <w:tcW w:w="4322" w:type="dxa"/>
            <w:gridSpan w:val="2"/>
            <w:vAlign w:val="center"/>
          </w:tcPr>
          <w:p w14:paraId="260BC90C">
            <w:pPr>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0766-3839338</w:t>
            </w:r>
          </w:p>
        </w:tc>
      </w:tr>
      <w:tr w14:paraId="509B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96" w:type="dxa"/>
          </w:tcPr>
          <w:p w14:paraId="02E45A9F">
            <w:pPr>
              <w:pStyle w:val="7"/>
              <w:spacing w:before="178" w:line="220" w:lineRule="auto"/>
              <w:ind w:left="172"/>
              <w:rPr>
                <w:rFonts w:hint="eastAsia" w:ascii="仿宋" w:hAnsi="仿宋" w:eastAsia="仿宋" w:cs="仿宋"/>
                <w:color w:val="auto"/>
                <w:highlight w:val="none"/>
              </w:rPr>
            </w:pPr>
            <w:r>
              <w:rPr>
                <w:rFonts w:hint="eastAsia" w:ascii="仿宋" w:hAnsi="仿宋" w:eastAsia="仿宋" w:cs="仿宋"/>
                <w:b/>
                <w:bCs/>
                <w:color w:val="auto"/>
                <w:spacing w:val="-3"/>
                <w:highlight w:val="none"/>
              </w:rPr>
              <w:t>招标代理机构</w:t>
            </w:r>
          </w:p>
        </w:tc>
        <w:tc>
          <w:tcPr>
            <w:tcW w:w="2317" w:type="dxa"/>
            <w:gridSpan w:val="2"/>
            <w:vAlign w:val="center"/>
          </w:tcPr>
          <w:p w14:paraId="2F0682C8">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广州万安建设监理有限公司</w:t>
            </w:r>
          </w:p>
        </w:tc>
        <w:tc>
          <w:tcPr>
            <w:tcW w:w="1499" w:type="dxa"/>
            <w:gridSpan w:val="3"/>
            <w:vAlign w:val="center"/>
          </w:tcPr>
          <w:p w14:paraId="071C3C0D">
            <w:pPr>
              <w:pStyle w:val="7"/>
              <w:spacing w:before="68" w:line="223" w:lineRule="auto"/>
              <w:jc w:val="center"/>
              <w:rPr>
                <w:rFonts w:hint="eastAsia" w:ascii="仿宋" w:hAnsi="仿宋" w:eastAsia="仿宋" w:cs="仿宋"/>
                <w:color w:val="auto"/>
                <w:highlight w:val="none"/>
              </w:rPr>
            </w:pPr>
            <w:r>
              <w:rPr>
                <w:rFonts w:hint="eastAsia" w:ascii="仿宋" w:hAnsi="仿宋" w:eastAsia="仿宋" w:cs="仿宋"/>
                <w:b/>
                <w:bCs/>
                <w:color w:val="auto"/>
                <w:spacing w:val="-4"/>
                <w:highlight w:val="none"/>
              </w:rPr>
              <w:t>联系地址</w:t>
            </w:r>
          </w:p>
        </w:tc>
        <w:tc>
          <w:tcPr>
            <w:tcW w:w="4322" w:type="dxa"/>
            <w:gridSpan w:val="2"/>
            <w:vAlign w:val="center"/>
          </w:tcPr>
          <w:p w14:paraId="76311841">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广州市天河区建中路64号、66号西501-1</w:t>
            </w:r>
          </w:p>
        </w:tc>
      </w:tr>
      <w:tr w14:paraId="17604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596" w:type="dxa"/>
          </w:tcPr>
          <w:p w14:paraId="23F41B2E">
            <w:pPr>
              <w:pStyle w:val="7"/>
              <w:spacing w:before="99" w:line="306" w:lineRule="auto"/>
              <w:ind w:left="700" w:right="161" w:hanging="528"/>
              <w:rPr>
                <w:rFonts w:hint="eastAsia" w:ascii="仿宋" w:hAnsi="仿宋" w:eastAsia="仿宋" w:cs="仿宋"/>
                <w:color w:val="auto"/>
                <w:highlight w:val="none"/>
              </w:rPr>
            </w:pPr>
            <w:r>
              <w:rPr>
                <w:rFonts w:hint="eastAsia" w:ascii="仿宋" w:hAnsi="仿宋" w:eastAsia="仿宋" w:cs="仿宋"/>
                <w:b/>
                <w:bCs/>
                <w:color w:val="auto"/>
                <w:spacing w:val="-3"/>
                <w:highlight w:val="none"/>
              </w:rPr>
              <w:t>招标代理联系人</w:t>
            </w:r>
          </w:p>
        </w:tc>
        <w:tc>
          <w:tcPr>
            <w:tcW w:w="2317" w:type="dxa"/>
            <w:gridSpan w:val="2"/>
            <w:vAlign w:val="center"/>
          </w:tcPr>
          <w:p w14:paraId="66CFE5EA">
            <w:pPr>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张先生</w:t>
            </w:r>
          </w:p>
        </w:tc>
        <w:tc>
          <w:tcPr>
            <w:tcW w:w="1499" w:type="dxa"/>
            <w:gridSpan w:val="3"/>
          </w:tcPr>
          <w:p w14:paraId="78C9C809">
            <w:pPr>
              <w:pStyle w:val="7"/>
              <w:spacing w:before="162" w:line="223" w:lineRule="auto"/>
              <w:jc w:val="center"/>
              <w:rPr>
                <w:rFonts w:hint="eastAsia" w:ascii="仿宋" w:hAnsi="仿宋" w:eastAsia="仿宋" w:cs="仿宋"/>
                <w:color w:val="auto"/>
                <w:highlight w:val="none"/>
              </w:rPr>
            </w:pPr>
            <w:r>
              <w:rPr>
                <w:rFonts w:hint="eastAsia" w:ascii="仿宋" w:hAnsi="仿宋" w:eastAsia="仿宋" w:cs="仿宋"/>
                <w:b/>
                <w:bCs/>
                <w:color w:val="auto"/>
                <w:spacing w:val="-4"/>
                <w:highlight w:val="none"/>
              </w:rPr>
              <w:t>联系电话</w:t>
            </w:r>
          </w:p>
        </w:tc>
        <w:tc>
          <w:tcPr>
            <w:tcW w:w="4322" w:type="dxa"/>
            <w:gridSpan w:val="2"/>
            <w:vAlign w:val="center"/>
          </w:tcPr>
          <w:p w14:paraId="4FBCB5A7">
            <w:pPr>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020-85573161</w:t>
            </w:r>
          </w:p>
        </w:tc>
      </w:tr>
      <w:tr w14:paraId="2C06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96" w:type="dxa"/>
          </w:tcPr>
          <w:p w14:paraId="548C5182">
            <w:pPr>
              <w:pStyle w:val="7"/>
              <w:spacing w:before="178" w:line="220" w:lineRule="auto"/>
              <w:ind w:left="172"/>
              <w:rPr>
                <w:rFonts w:hint="eastAsia" w:ascii="仿宋" w:hAnsi="仿宋" w:eastAsia="仿宋" w:cs="仿宋"/>
                <w:color w:val="auto"/>
                <w:highlight w:val="none"/>
              </w:rPr>
            </w:pPr>
            <w:r>
              <w:rPr>
                <w:rFonts w:hint="eastAsia" w:ascii="仿宋" w:hAnsi="仿宋" w:eastAsia="仿宋" w:cs="仿宋"/>
                <w:b/>
                <w:bCs/>
                <w:color w:val="auto"/>
                <w:spacing w:val="-3"/>
                <w:highlight w:val="none"/>
              </w:rPr>
              <w:t>招标监督机构</w:t>
            </w:r>
          </w:p>
        </w:tc>
        <w:tc>
          <w:tcPr>
            <w:tcW w:w="2317" w:type="dxa"/>
            <w:gridSpan w:val="2"/>
            <w:vAlign w:val="center"/>
          </w:tcPr>
          <w:p w14:paraId="3E5673C3">
            <w:pPr>
              <w:pStyle w:val="7"/>
              <w:spacing w:before="239" w:line="228"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罗定市住房和城乡建设局</w:t>
            </w:r>
          </w:p>
        </w:tc>
        <w:tc>
          <w:tcPr>
            <w:tcW w:w="1499" w:type="dxa"/>
            <w:gridSpan w:val="3"/>
          </w:tcPr>
          <w:p w14:paraId="189878DB">
            <w:pPr>
              <w:pStyle w:val="7"/>
              <w:spacing w:before="178" w:line="223" w:lineRule="auto"/>
              <w:ind w:left="335"/>
              <w:rPr>
                <w:rFonts w:hint="eastAsia" w:ascii="仿宋" w:hAnsi="仿宋" w:eastAsia="仿宋" w:cs="仿宋"/>
                <w:color w:val="auto"/>
                <w:highlight w:val="none"/>
              </w:rPr>
            </w:pPr>
            <w:r>
              <w:rPr>
                <w:rFonts w:hint="eastAsia" w:ascii="仿宋" w:hAnsi="仿宋" w:eastAsia="仿宋" w:cs="仿宋"/>
                <w:b/>
                <w:bCs/>
                <w:color w:val="auto"/>
                <w:spacing w:val="-4"/>
                <w:highlight w:val="none"/>
              </w:rPr>
              <w:t>联系电话</w:t>
            </w:r>
          </w:p>
        </w:tc>
        <w:tc>
          <w:tcPr>
            <w:tcW w:w="4322" w:type="dxa"/>
            <w:gridSpan w:val="2"/>
            <w:vAlign w:val="center"/>
          </w:tcPr>
          <w:p w14:paraId="0923E871">
            <w:pPr>
              <w:pStyle w:val="7"/>
              <w:spacing w:before="272" w:line="189"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0766-3882762</w:t>
            </w:r>
          </w:p>
        </w:tc>
      </w:tr>
      <w:tr w14:paraId="4F0FC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jc w:val="center"/>
        </w:trPr>
        <w:tc>
          <w:tcPr>
            <w:tcW w:w="1596" w:type="dxa"/>
          </w:tcPr>
          <w:p w14:paraId="1F269FF9">
            <w:pPr>
              <w:spacing w:line="275" w:lineRule="auto"/>
              <w:rPr>
                <w:rFonts w:hint="eastAsia" w:ascii="仿宋" w:hAnsi="仿宋" w:eastAsia="仿宋" w:cs="仿宋"/>
                <w:color w:val="auto"/>
                <w:highlight w:val="none"/>
                <w:lang w:eastAsia="zh-CN"/>
              </w:rPr>
            </w:pPr>
          </w:p>
          <w:p w14:paraId="6C2D8AA9">
            <w:pPr>
              <w:spacing w:line="275" w:lineRule="auto"/>
              <w:rPr>
                <w:rFonts w:hint="eastAsia" w:ascii="仿宋" w:hAnsi="仿宋" w:eastAsia="仿宋" w:cs="仿宋"/>
                <w:color w:val="auto"/>
                <w:highlight w:val="none"/>
                <w:lang w:eastAsia="zh-CN"/>
              </w:rPr>
            </w:pPr>
          </w:p>
          <w:p w14:paraId="0D771322">
            <w:pPr>
              <w:spacing w:line="276" w:lineRule="auto"/>
              <w:rPr>
                <w:rFonts w:hint="eastAsia" w:ascii="仿宋" w:hAnsi="仿宋" w:eastAsia="仿宋" w:cs="仿宋"/>
                <w:color w:val="auto"/>
                <w:highlight w:val="none"/>
                <w:lang w:eastAsia="zh-CN"/>
              </w:rPr>
            </w:pPr>
          </w:p>
          <w:p w14:paraId="05685E78">
            <w:pPr>
              <w:pStyle w:val="7"/>
              <w:spacing w:before="68" w:line="337" w:lineRule="auto"/>
              <w:ind w:left="277" w:right="161" w:hanging="105"/>
              <w:rPr>
                <w:rFonts w:hint="eastAsia" w:ascii="仿宋" w:hAnsi="仿宋" w:eastAsia="仿宋" w:cs="仿宋"/>
                <w:color w:val="auto"/>
                <w:highlight w:val="none"/>
                <w:lang w:eastAsia="zh-CN"/>
              </w:rPr>
            </w:pPr>
            <w:r>
              <w:rPr>
                <w:rFonts w:hint="eastAsia" w:ascii="仿宋" w:hAnsi="仿宋" w:eastAsia="仿宋" w:cs="仿宋"/>
                <w:b/>
                <w:bCs/>
                <w:color w:val="auto"/>
                <w:spacing w:val="-3"/>
                <w:highlight w:val="none"/>
                <w:lang w:eastAsia="zh-CN"/>
              </w:rPr>
              <w:t>其他依法应当载明的内容</w:t>
            </w:r>
          </w:p>
        </w:tc>
        <w:tc>
          <w:tcPr>
            <w:tcW w:w="8138" w:type="dxa"/>
            <w:gridSpan w:val="7"/>
          </w:tcPr>
          <w:p w14:paraId="6454C4CF">
            <w:pPr>
              <w:pStyle w:val="7"/>
              <w:numPr>
                <w:ilvl w:val="0"/>
                <w:numId w:val="1"/>
              </w:numPr>
              <w:spacing w:before="32" w:line="372" w:lineRule="auto"/>
              <w:ind w:right="37" w:firstLine="230" w:firstLineChars="100"/>
              <w:jc w:val="both"/>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本招标项目</w:t>
            </w:r>
            <w:r>
              <w:rPr>
                <w:rFonts w:hint="eastAsia" w:ascii="仿宋" w:hAnsi="仿宋" w:eastAsia="仿宋" w:cs="仿宋"/>
                <w:color w:val="auto"/>
                <w:spacing w:val="15"/>
                <w:highlight w:val="none"/>
                <w:u w:val="single"/>
                <w:lang w:eastAsia="zh-CN"/>
              </w:rPr>
              <w:t>罗定市环市南路消防救援站建设项目</w:t>
            </w:r>
            <w:r>
              <w:rPr>
                <w:rFonts w:hint="eastAsia" w:ascii="仿宋" w:hAnsi="仿宋" w:eastAsia="仿宋" w:cs="仿宋"/>
                <w:color w:val="auto"/>
                <w:spacing w:val="10"/>
                <w:highlight w:val="none"/>
                <w:lang w:eastAsia="zh-CN"/>
              </w:rPr>
              <w:t>由</w:t>
            </w:r>
            <w:r>
              <w:rPr>
                <w:rFonts w:hint="eastAsia" w:ascii="仿宋" w:hAnsi="仿宋" w:eastAsia="仿宋" w:cs="仿宋"/>
                <w:color w:val="auto"/>
                <w:spacing w:val="10"/>
                <w:highlight w:val="none"/>
                <w:u w:val="single"/>
                <w:lang w:eastAsia="zh-CN"/>
              </w:rPr>
              <w:t>罗定市</w:t>
            </w:r>
            <w:r>
              <w:rPr>
                <w:rFonts w:hint="eastAsia" w:ascii="仿宋" w:hAnsi="仿宋" w:eastAsia="仿宋" w:cs="仿宋"/>
                <w:color w:val="auto"/>
                <w:spacing w:val="10"/>
                <w:highlight w:val="none"/>
                <w:lang w:eastAsia="zh-CN"/>
              </w:rPr>
              <w:t>发展和改革局以</w:t>
            </w:r>
            <w:r>
              <w:rPr>
                <w:rFonts w:hint="eastAsia" w:ascii="仿宋" w:hAnsi="仿宋" w:eastAsia="仿宋" w:cs="仿宋"/>
                <w:color w:val="auto"/>
                <w:spacing w:val="-1"/>
                <w:highlight w:val="none"/>
                <w:u w:val="single"/>
                <w:lang w:eastAsia="zh-CN"/>
              </w:rPr>
              <w:t>罗发改投审〔2024〕73 号</w:t>
            </w:r>
            <w:r>
              <w:rPr>
                <w:rFonts w:hint="eastAsia" w:ascii="仿宋" w:hAnsi="仿宋" w:eastAsia="仿宋" w:cs="仿宋"/>
                <w:color w:val="auto"/>
                <w:spacing w:val="10"/>
                <w:highlight w:val="none"/>
                <w:lang w:eastAsia="zh-CN"/>
              </w:rPr>
              <w:t>文批准建设，项目已具备招标条件，招标计划已于</w:t>
            </w:r>
            <w:r>
              <w:rPr>
                <w:rFonts w:hint="eastAsia" w:ascii="仿宋" w:hAnsi="仿宋" w:eastAsia="仿宋" w:cs="仿宋"/>
                <w:color w:val="auto"/>
                <w:spacing w:val="10"/>
                <w:highlight w:val="none"/>
                <w:u w:val="single"/>
                <w:lang w:val="en-US" w:eastAsia="zh-CN"/>
              </w:rPr>
              <w:t>2024</w:t>
            </w:r>
            <w:r>
              <w:rPr>
                <w:rFonts w:hint="eastAsia" w:ascii="仿宋" w:hAnsi="仿宋" w:eastAsia="仿宋" w:cs="仿宋"/>
                <w:color w:val="auto"/>
                <w:spacing w:val="10"/>
                <w:highlight w:val="none"/>
                <w:lang w:eastAsia="zh-CN"/>
              </w:rPr>
              <w:t>年</w:t>
            </w:r>
            <w:r>
              <w:rPr>
                <w:rFonts w:hint="eastAsia" w:ascii="仿宋" w:hAnsi="仿宋" w:eastAsia="仿宋" w:cs="仿宋"/>
                <w:color w:val="auto"/>
                <w:spacing w:val="10"/>
                <w:highlight w:val="none"/>
                <w:u w:val="single"/>
                <w:lang w:val="en-US" w:eastAsia="zh-CN"/>
              </w:rPr>
              <w:t>6</w:t>
            </w:r>
            <w:r>
              <w:rPr>
                <w:rFonts w:hint="eastAsia" w:ascii="仿宋" w:hAnsi="仿宋" w:eastAsia="仿宋" w:cs="仿宋"/>
                <w:color w:val="auto"/>
                <w:spacing w:val="10"/>
                <w:highlight w:val="none"/>
                <w:lang w:eastAsia="zh-CN"/>
              </w:rPr>
              <w:t>月</w:t>
            </w:r>
            <w:r>
              <w:rPr>
                <w:rFonts w:hint="eastAsia" w:ascii="仿宋" w:hAnsi="仿宋" w:eastAsia="仿宋" w:cs="仿宋"/>
                <w:color w:val="auto"/>
                <w:spacing w:val="10"/>
                <w:highlight w:val="none"/>
                <w:u w:val="single"/>
                <w:lang w:val="en-US" w:eastAsia="zh-CN"/>
              </w:rPr>
              <w:t>17</w:t>
            </w:r>
            <w:r>
              <w:rPr>
                <w:rFonts w:hint="eastAsia" w:ascii="仿宋" w:hAnsi="仿宋" w:eastAsia="仿宋" w:cs="仿宋"/>
                <w:color w:val="auto"/>
                <w:spacing w:val="10"/>
                <w:highlight w:val="none"/>
                <w:lang w:eastAsia="zh-CN"/>
              </w:rPr>
              <w:t>日在广东省招标投标监管网发布。</w:t>
            </w:r>
          </w:p>
          <w:p w14:paraId="6A5D5452">
            <w:pPr>
              <w:pStyle w:val="7"/>
              <w:spacing w:before="69" w:line="221" w:lineRule="auto"/>
              <w:ind w:left="53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2、注意事项（按最新法律法规文件自行更新）</w:t>
            </w:r>
          </w:p>
          <w:p w14:paraId="69D3D793">
            <w:pPr>
              <w:pStyle w:val="7"/>
              <w:spacing w:before="149" w:line="319" w:lineRule="auto"/>
              <w:ind w:left="111" w:right="101" w:firstLine="427"/>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1）根据《电子招标投标办法》（2013年2月4日国家发展改革委、工业和信息化部、监察部、住房城乡建设部、交通运输部、铁道部、水利部、商务部令第20号发布）、国家发展改革委等13部门印发的《关于严格执行招标投标法规制度进一步规范招标投标主体行为的若干意见》（发改法规规〔2022〕1117号）、广东省发展改革委等7部门《关于加快推进招标投标全流程电子化工作的通知》（粤发改法规函〔2022〕1484号）、云浮市农业农村局等6个部门印发的《关于深入推进招标投标全流程电子化的通知》（云发改体改函〔2023〕26号）、云浮市住房和城乡建设局《关于转发《关于严格执行招标投标法规制度进一步规范招标投标主体行为的若干意见》的通知》（云建市〔2022〕26号）、广东省发展和改革委员会等8部门《关于印发广东省工程建设项目电子招标投标交易规则的通知》（粤发改规〔2023〕1号）、《关于全面推进招标投标全流程电子化工作的通知》（云政数公资函〔2023〕1号）等相关文件要求，该项目实行全流程电子化交易（即线上开标、评标），投标人需于投标截止时间前在广州交易集团有限公司（广州公共资源交易中心）平台、广东省公共资源交易平台填写投标信息，下载招标文件，并于投标截止时间前将制作完成的电子投标文件上传到广州交易集团有限公司（广州公共资源交易中心）平台（无须提交纸质投标文件）。电子版投标文件制作过程中，如有技术问题请于投标截止时间前的每天工作时间，联系广州交易集团有限公司（广州公共资源交易中心），联系电话：020-28866000。</w:t>
            </w:r>
          </w:p>
          <w:p w14:paraId="07307724">
            <w:pPr>
              <w:pStyle w:val="7"/>
              <w:spacing w:before="149" w:line="319" w:lineRule="auto"/>
              <w:ind w:left="111" w:right="101" w:firstLine="427"/>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（2）投标人需用单位的CA锁对电子投标文件进行电子签章并在投标截止时间前成功上传到广州交易集团有限公司（广州公共资源交易中心）平台。</w:t>
            </w:r>
          </w:p>
          <w:p w14:paraId="2B78564E">
            <w:pPr>
              <w:pStyle w:val="7"/>
              <w:spacing w:before="149" w:line="319" w:lineRule="auto"/>
              <w:ind w:left="111" w:right="101" w:firstLine="427"/>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3）电子开标按照招标文件确定的时间进行开标，在广州交易集团有限公司（广州公共资源交易中心）平台公开进行，所有投标人均应当准时参加线上开标。不参加线上开标会议的，致使其投标文件无法有效解密（包括按【投标文件解密失败的补救方案和约定】有效提交的投标文件）的，视为投标人撤销其投标文件和放弃投标文件解密失败补救权利。</w:t>
            </w:r>
          </w:p>
          <w:p w14:paraId="593B3A04">
            <w:pPr>
              <w:pStyle w:val="7"/>
              <w:spacing w:before="149" w:line="319" w:lineRule="auto"/>
              <w:ind w:left="111" w:right="101" w:firstLine="427"/>
              <w:rPr>
                <w:rFonts w:hint="eastAsia" w:ascii="仿宋" w:hAnsi="仿宋" w:eastAsia="仿宋" w:cs="仿宋"/>
                <w:color w:val="auto"/>
                <w:spacing w:val="10"/>
                <w:highlight w:val="none"/>
                <w:lang w:eastAsia="zh-CN"/>
              </w:rPr>
            </w:pPr>
            <w:r>
              <w:rPr>
                <w:rFonts w:hint="eastAsia" w:ascii="仿宋" w:hAnsi="仿宋" w:eastAsia="仿宋" w:cs="仿宋"/>
                <w:color w:val="auto"/>
                <w:spacing w:val="10"/>
                <w:highlight w:val="none"/>
                <w:lang w:eastAsia="zh-CN"/>
              </w:rPr>
              <w:t>（4）参与电子投标，可能会出现未知的风险，存在的一切问题由投标人自行承担。</w:t>
            </w:r>
          </w:p>
        </w:tc>
      </w:tr>
    </w:tbl>
    <w:p w14:paraId="7AEA56F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B"/>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12F3429-5B74-4DD9-BE8A-635B08D02458}"/>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2000019F" w:csb1="4F010000"/>
  </w:font>
  <w:font w:name="华文宋体">
    <w:panose1 w:val="02010600040101010101"/>
    <w:charset w:val="86"/>
    <w:family w:val="auto"/>
    <w:pitch w:val="default"/>
    <w:sig w:usb0="00000287" w:usb1="080F0000" w:usb2="00000000" w:usb3="00000000" w:csb0="0004009F" w:csb1="DFD70000"/>
    <w:embedRegular r:id="rId2" w:fontKey="{B58A99E9-64A0-4312-99AA-B8A8627CF117}"/>
  </w:font>
  <w:font w:name="仿宋">
    <w:panose1 w:val="02010609060101010101"/>
    <w:charset w:val="86"/>
    <w:family w:val="modern"/>
    <w:pitch w:val="default"/>
    <w:sig w:usb0="800002BF" w:usb1="38CF7CFA" w:usb2="00000016" w:usb3="00000000" w:csb0="00040001" w:csb1="00000000"/>
    <w:embedRegular r:id="rId3" w:fontKey="{167BEB10-AE87-450F-B13D-E811A5A2E226}"/>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4472">
    <w:pPr>
      <w:spacing w:line="186"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68E05">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D268E05">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3CA35"/>
    <w:multiLevelType w:val="singleLevel"/>
    <w:tmpl w:val="3A73CA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70EAC"/>
    <w:rsid w:val="11570EAC"/>
    <w:rsid w:val="4E1E0078"/>
    <w:rsid w:val="6F4D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Plain Text"/>
    <w:basedOn w:val="1"/>
    <w:next w:val="1"/>
    <w:qFormat/>
    <w:uiPriority w:val="0"/>
    <w:rPr>
      <w:rFonts w:ascii="宋体" w:hAnsi="宋体" w:cs="Times New Roman"/>
      <w:sz w:val="20"/>
      <w:szCs w:val="20"/>
      <w:lang w:val="zh-CN"/>
    </w:rPr>
  </w:style>
  <w:style w:type="paragraph" w:styleId="4">
    <w:name w:val="footer"/>
    <w:basedOn w:val="1"/>
    <w:qFormat/>
    <w:uiPriority w:val="0"/>
    <w:pPr>
      <w:tabs>
        <w:tab w:val="center" w:pos="4153"/>
        <w:tab w:val="right" w:pos="8306"/>
      </w:tabs>
    </w:pPr>
    <w:rPr>
      <w:sz w:val="18"/>
    </w:rPr>
  </w:style>
  <w:style w:type="paragraph" w:customStyle="1" w:styleId="7">
    <w:name w:val="Table Text"/>
    <w:basedOn w:val="1"/>
    <w:autoRedefine/>
    <w:semiHidden/>
    <w:qFormat/>
    <w:uiPriority w:val="0"/>
    <w:rPr>
      <w:rFonts w:ascii="宋体" w:hAnsi="宋体" w:eastAsia="宋体" w:cs="宋体"/>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p1"/>
    <w:basedOn w:val="1"/>
    <w:autoRedefine/>
    <w:qFormat/>
    <w:uiPriority w:val="0"/>
    <w:rPr>
      <w:rFonts w:ascii="Helvetica" w:hAnsi="Helvetica" w:eastAsia="Helvetica" w:cs="Times New Roman"/>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3616</Words>
  <Characters>3924</Characters>
  <Lines>0</Lines>
  <Paragraphs>0</Paragraphs>
  <TotalTime>41</TotalTime>
  <ScaleCrop>false</ScaleCrop>
  <LinksUpToDate>false</LinksUpToDate>
  <CharactersWithSpaces>3959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2025-09-08T09:14:00Z</dcterms:created>
  <dc:creator>杜某</dc:creator>
  <cp:lastModifiedBy>杜某</cp:lastModifiedBy>
  <dcterms:modified xsi:type="dcterms:W3CDTF">2025-09-10T02:36:41Z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08DBA4CC5DCC49BC8F7AAD5549AD32EF_11</vt:lpwstr>
  </property>
  <property fmtid="{D5CDD505-2E9C-101B-9397-08002B2CF9AE}" pid="4" name="KSOTemplateDocerSaveRecord">
    <vt:lpwstr>eyJoZGlkIjoiZjY5ZGJmN2UyZTRlNjdkNjQwOTQ4M2ExZDlhODRjNTAiLCJ1c2VySWQiOiIzMDU3OTc3NjEifQ==</vt:lpwstr>
  </property>
</Properties>
</file>