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cs="宋体"/>
          <w:b/>
          <w:sz w:val="48"/>
          <w:szCs w:val="46"/>
          <w:highlight w:val="none"/>
        </w:rPr>
      </w:pPr>
    </w:p>
    <w:p>
      <w:pPr>
        <w:spacing w:line="480" w:lineRule="auto"/>
        <w:jc w:val="center"/>
        <w:rPr>
          <w:rFonts w:hint="eastAsia" w:ascii="宋体" w:hAnsi="宋体" w:cs="宋体"/>
          <w:b/>
          <w:sz w:val="48"/>
          <w:szCs w:val="46"/>
          <w:highlight w:val="none"/>
        </w:rPr>
      </w:pPr>
    </w:p>
    <w:p>
      <w:pPr>
        <w:adjustRightInd w:val="0"/>
        <w:snapToGrid w:val="0"/>
        <w:spacing w:line="1000" w:lineRule="exact"/>
        <w:jc w:val="center"/>
        <w:rPr>
          <w:rFonts w:hint="eastAsia" w:ascii="宋体" w:hAnsi="宋体" w:cs="宋体"/>
          <w:b/>
          <w:bCs/>
          <w:snapToGrid w:val="0"/>
          <w:w w:val="90"/>
          <w:sz w:val="52"/>
          <w:szCs w:val="52"/>
          <w:highlight w:val="none"/>
        </w:rPr>
      </w:pPr>
      <w:r>
        <w:rPr>
          <w:rFonts w:hint="eastAsia" w:ascii="宋体" w:hAnsi="宋体" w:cs="宋体"/>
          <w:b/>
          <w:bCs/>
          <w:snapToGrid w:val="0"/>
          <w:w w:val="90"/>
          <w:sz w:val="52"/>
          <w:szCs w:val="52"/>
          <w:highlight w:val="none"/>
        </w:rPr>
        <w:t>“海上丝绸之路”·印象越</w:t>
      </w:r>
      <w:bookmarkStart w:id="54" w:name="_GoBack"/>
      <w:bookmarkEnd w:id="54"/>
      <w:r>
        <w:rPr>
          <w:rFonts w:hint="eastAsia" w:ascii="宋体" w:hAnsi="宋体" w:cs="宋体"/>
          <w:b/>
          <w:bCs/>
          <w:snapToGrid w:val="0"/>
          <w:w w:val="90"/>
          <w:sz w:val="52"/>
          <w:szCs w:val="52"/>
          <w:highlight w:val="none"/>
        </w:rPr>
        <w:t>秀国家AAAA旅游区配套基础设施建设项目</w:t>
      </w:r>
    </w:p>
    <w:p>
      <w:pPr>
        <w:adjustRightInd w:val="0"/>
        <w:snapToGrid w:val="0"/>
        <w:spacing w:line="1000" w:lineRule="exact"/>
        <w:jc w:val="center"/>
        <w:rPr>
          <w:rFonts w:hint="eastAsia" w:ascii="宋体" w:hAnsi="宋体" w:cs="宋体"/>
          <w:b/>
          <w:bCs/>
          <w:snapToGrid w:val="0"/>
          <w:w w:val="90"/>
          <w:sz w:val="52"/>
          <w:szCs w:val="52"/>
          <w:highlight w:val="none"/>
        </w:rPr>
      </w:pPr>
      <w:r>
        <w:rPr>
          <w:rFonts w:hint="eastAsia" w:ascii="宋体" w:hAnsi="宋体" w:cs="宋体"/>
          <w:b/>
          <w:bCs/>
          <w:snapToGrid w:val="0"/>
          <w:w w:val="90"/>
          <w:sz w:val="52"/>
          <w:szCs w:val="52"/>
          <w:highlight w:val="none"/>
        </w:rPr>
        <w:t>——海丝智慧街区改造项目施工总承包</w:t>
      </w: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b/>
          <w:bCs/>
          <w:spacing w:val="26"/>
          <w:sz w:val="110"/>
          <w:szCs w:val="110"/>
          <w:highlight w:val="none"/>
        </w:rPr>
      </w:pPr>
      <w:r>
        <w:rPr>
          <w:rFonts w:hint="eastAsia" w:ascii="宋体" w:hAnsi="宋体" w:cs="宋体"/>
          <w:b/>
          <w:bCs/>
          <w:spacing w:val="26"/>
          <w:sz w:val="96"/>
          <w:szCs w:val="110"/>
          <w:highlight w:val="none"/>
        </w:rPr>
        <w:t>招标文件</w:t>
      </w:r>
    </w:p>
    <w:p>
      <w:pPr>
        <w:spacing w:line="360" w:lineRule="auto"/>
        <w:jc w:val="center"/>
        <w:rPr>
          <w:rFonts w:hint="eastAsia" w:ascii="宋体" w:hAnsi="宋体" w:cs="宋体"/>
          <w:sz w:val="32"/>
          <w:highlight w:val="none"/>
        </w:rPr>
      </w:pPr>
    </w:p>
    <w:p>
      <w:pPr>
        <w:spacing w:line="360" w:lineRule="auto"/>
        <w:ind w:firstLine="2560" w:firstLineChars="800"/>
        <w:rPr>
          <w:rFonts w:hint="eastAsia" w:ascii="宋体" w:hAnsi="宋体" w:cs="宋体"/>
          <w:sz w:val="32"/>
          <w:highlight w:val="none"/>
        </w:rPr>
      </w:pPr>
    </w:p>
    <w:p>
      <w:pPr>
        <w:spacing w:line="360" w:lineRule="auto"/>
        <w:ind w:firstLine="2560" w:firstLineChars="800"/>
        <w:rPr>
          <w:rFonts w:hint="eastAsia" w:ascii="宋体" w:hAnsi="宋体" w:cs="宋体"/>
          <w:sz w:val="32"/>
          <w:highlight w:val="none"/>
        </w:rPr>
      </w:pPr>
    </w:p>
    <w:p>
      <w:pPr>
        <w:spacing w:line="360" w:lineRule="auto"/>
        <w:ind w:firstLine="2560" w:firstLineChars="800"/>
        <w:rPr>
          <w:rFonts w:hint="eastAsia" w:ascii="宋体" w:hAnsi="宋体" w:cs="宋体"/>
          <w:sz w:val="32"/>
          <w:highlight w:val="none"/>
        </w:rPr>
      </w:pPr>
    </w:p>
    <w:p>
      <w:pPr>
        <w:tabs>
          <w:tab w:val="left" w:pos="2513"/>
        </w:tabs>
        <w:spacing w:line="360" w:lineRule="auto"/>
        <w:rPr>
          <w:rFonts w:hint="eastAsia" w:ascii="宋体" w:hAnsi="宋体" w:cs="宋体"/>
          <w:sz w:val="52"/>
          <w:highlight w:val="none"/>
        </w:rPr>
      </w:pPr>
      <w:r>
        <w:rPr>
          <w:rFonts w:hint="eastAsia" w:ascii="宋体" w:hAnsi="宋体" w:cs="宋体"/>
          <w:sz w:val="52"/>
          <w:highlight w:val="none"/>
        </w:rPr>
        <w:tab/>
      </w:r>
    </w:p>
    <w:p>
      <w:pPr>
        <w:spacing w:line="360" w:lineRule="auto"/>
        <w:ind w:left="1050" w:leftChars="500"/>
        <w:jc w:val="left"/>
        <w:rPr>
          <w:rFonts w:hint="eastAsia" w:ascii="宋体" w:hAnsi="宋体" w:cs="宋体"/>
          <w:b/>
          <w:bCs/>
          <w:sz w:val="30"/>
          <w:szCs w:val="30"/>
          <w:highlight w:val="none"/>
        </w:rPr>
      </w:pPr>
      <w:r>
        <w:rPr>
          <w:rFonts w:hint="eastAsia" w:ascii="宋体" w:hAnsi="宋体" w:cs="宋体"/>
          <w:b/>
          <w:bCs/>
          <w:sz w:val="30"/>
          <w:szCs w:val="30"/>
          <w:highlight w:val="none"/>
        </w:rPr>
        <w:t>招 标 单 位：广州市越秀区文化广电旅游体育局</w:t>
      </w:r>
    </w:p>
    <w:p>
      <w:pPr>
        <w:spacing w:line="360" w:lineRule="auto"/>
        <w:ind w:left="1050" w:leftChars="500"/>
        <w:jc w:val="left"/>
        <w:rPr>
          <w:rFonts w:hint="eastAsia" w:ascii="宋体" w:hAnsi="宋体" w:cs="宋体"/>
          <w:b/>
          <w:bCs/>
          <w:sz w:val="30"/>
          <w:szCs w:val="30"/>
          <w:highlight w:val="none"/>
        </w:rPr>
      </w:pPr>
      <w:r>
        <w:rPr>
          <w:rFonts w:hint="eastAsia" w:ascii="宋体" w:hAnsi="宋体" w:cs="宋体"/>
          <w:b/>
          <w:bCs/>
          <w:sz w:val="30"/>
          <w:szCs w:val="30"/>
          <w:highlight w:val="none"/>
        </w:rPr>
        <w:t>招标代理单位：广东省国际工程咨询有限公司</w:t>
      </w:r>
    </w:p>
    <w:p>
      <w:pPr>
        <w:spacing w:line="360" w:lineRule="auto"/>
        <w:ind w:left="1050" w:leftChars="500"/>
        <w:jc w:val="left"/>
        <w:rPr>
          <w:rFonts w:hint="eastAsia" w:ascii="宋体" w:hAnsi="宋体" w:cs="宋体"/>
          <w:b/>
          <w:bCs/>
          <w:sz w:val="30"/>
          <w:szCs w:val="30"/>
          <w:highlight w:val="none"/>
        </w:rPr>
      </w:pPr>
      <w:r>
        <w:rPr>
          <w:rFonts w:hint="eastAsia" w:ascii="宋体" w:hAnsi="宋体" w:cs="宋体"/>
          <w:b/>
          <w:bCs/>
          <w:sz w:val="30"/>
          <w:szCs w:val="30"/>
          <w:highlight w:val="none"/>
        </w:rPr>
        <w:t>日       期：2025年9月</w:t>
      </w:r>
    </w:p>
    <w:p>
      <w:pPr>
        <w:spacing w:line="360" w:lineRule="auto"/>
        <w:ind w:firstLine="960" w:firstLineChars="300"/>
        <w:rPr>
          <w:rStyle w:val="59"/>
          <w:rFonts w:hint="eastAsia" w:ascii="宋体" w:hAnsi="宋体"/>
          <w:sz w:val="32"/>
          <w:highlight w:val="none"/>
        </w:rPr>
      </w:pPr>
    </w:p>
    <w:p>
      <w:pPr>
        <w:spacing w:line="360" w:lineRule="auto"/>
        <w:ind w:firstLine="632" w:firstLineChars="300"/>
        <w:jc w:val="center"/>
        <w:rPr>
          <w:rStyle w:val="33"/>
          <w:rFonts w:hint="eastAsia" w:ascii="宋体" w:hAnsi="宋体" w:eastAsia="宋体" w:cs="微软雅黑"/>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803" w:bottom="1440" w:left="1803" w:header="851" w:footer="907" w:gutter="0"/>
          <w:pgNumType w:start="0"/>
          <w:cols w:space="720" w:num="1"/>
          <w:titlePg/>
          <w:docGrid w:type="lines" w:linePitch="312" w:charSpace="0"/>
        </w:sectPr>
      </w:pPr>
    </w:p>
    <w:p>
      <w:pPr>
        <w:spacing w:line="360" w:lineRule="auto"/>
        <w:ind w:firstLine="632" w:firstLineChars="300"/>
        <w:jc w:val="center"/>
        <w:rPr>
          <w:rStyle w:val="33"/>
          <w:rFonts w:hint="eastAsia" w:ascii="宋体" w:hAnsi="宋体" w:eastAsia="宋体" w:cs="微软雅黑"/>
          <w:b/>
          <w:bCs/>
          <w:color w:val="auto"/>
          <w:highlight w:val="none"/>
        </w:rPr>
      </w:pPr>
    </w:p>
    <w:p>
      <w:pPr>
        <w:spacing w:line="480" w:lineRule="auto"/>
        <w:jc w:val="center"/>
        <w:rPr>
          <w:rStyle w:val="33"/>
          <w:rFonts w:hint="eastAsia" w:ascii="宋体" w:hAnsi="宋体" w:eastAsia="宋体" w:cs="宋体"/>
          <w:b/>
          <w:bCs/>
          <w:color w:val="auto"/>
          <w:sz w:val="28"/>
          <w:szCs w:val="28"/>
          <w:highlight w:val="none"/>
        </w:rPr>
      </w:pPr>
      <w:r>
        <w:rPr>
          <w:rStyle w:val="33"/>
          <w:rFonts w:ascii="宋体" w:hAnsi="宋体" w:eastAsia="宋体" w:cs="宋体"/>
          <w:b/>
          <w:bCs/>
          <w:color w:val="auto"/>
          <w:sz w:val="28"/>
          <w:szCs w:val="28"/>
          <w:highlight w:val="none"/>
        </w:rPr>
        <w:t>目录</w:t>
      </w:r>
    </w:p>
    <w:p>
      <w:pPr>
        <w:pStyle w:val="21"/>
        <w:tabs>
          <w:tab w:val="right" w:leader="dot" w:pos="9060"/>
        </w:tabs>
        <w:spacing w:line="480" w:lineRule="auto"/>
        <w:rPr>
          <w:rFonts w:hint="eastAsia" w:ascii="宋体" w:hAnsi="宋体"/>
          <w:highlight w:val="none"/>
        </w:rPr>
      </w:pPr>
      <w:r>
        <w:rPr>
          <w:rFonts w:ascii="宋体" w:hAnsi="宋体"/>
          <w:sz w:val="32"/>
          <w:highlight w:val="none"/>
        </w:rPr>
        <w:fldChar w:fldCharType="begin"/>
      </w:r>
      <w:r>
        <w:rPr>
          <w:rFonts w:ascii="宋体" w:hAnsi="宋体"/>
          <w:sz w:val="32"/>
          <w:highlight w:val="none"/>
        </w:rPr>
        <w:instrText xml:space="preserve"> TOC \o "1-3" \h \z \u </w:instrText>
      </w:r>
      <w:r>
        <w:rPr>
          <w:rFonts w:ascii="宋体" w:hAnsi="宋体"/>
          <w:sz w:val="32"/>
          <w:highlight w:val="none"/>
        </w:rPr>
        <w:fldChar w:fldCharType="separate"/>
      </w:r>
      <w:r>
        <w:rPr>
          <w:highlight w:val="none"/>
        </w:rPr>
        <w:fldChar w:fldCharType="begin"/>
      </w:r>
      <w:r>
        <w:rPr>
          <w:highlight w:val="none"/>
        </w:rPr>
        <w:instrText xml:space="preserve"> HYPERLINK \l "_Toc105014619" </w:instrText>
      </w:r>
      <w:r>
        <w:rPr>
          <w:highlight w:val="none"/>
        </w:rPr>
        <w:fldChar w:fldCharType="separate"/>
      </w:r>
      <w:r>
        <w:rPr>
          <w:rStyle w:val="33"/>
          <w:rFonts w:hint="eastAsia" w:ascii="宋体" w:hAnsi="宋体" w:eastAsia="宋体"/>
          <w:color w:val="auto"/>
          <w:highlight w:val="none"/>
        </w:rPr>
        <w:t>第一章</w:t>
      </w:r>
      <w:r>
        <w:rPr>
          <w:rStyle w:val="33"/>
          <w:rFonts w:ascii="宋体" w:hAnsi="宋体" w:eastAsia="宋体"/>
          <w:color w:val="auto"/>
          <w:highlight w:val="none"/>
        </w:rPr>
        <w:t xml:space="preserve">  </w:t>
      </w:r>
      <w:r>
        <w:rPr>
          <w:rStyle w:val="33"/>
          <w:rFonts w:hint="eastAsia" w:ascii="宋体" w:hAnsi="宋体" w:eastAsia="宋体"/>
          <w:color w:val="auto"/>
          <w:highlight w:val="none"/>
        </w:rPr>
        <w:t>投标须知</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_Toc105014619 \h </w:instrText>
      </w:r>
      <w:r>
        <w:rPr>
          <w:rFonts w:ascii="宋体" w:hAnsi="宋体"/>
          <w:highlight w:val="none"/>
        </w:rPr>
        <w:fldChar w:fldCharType="separate"/>
      </w:r>
      <w:r>
        <w:rPr>
          <w:rFonts w:ascii="宋体" w:hAnsi="宋体"/>
          <w:highlight w:val="none"/>
        </w:rPr>
        <w:t>2</w:t>
      </w:r>
      <w:r>
        <w:rPr>
          <w:rFonts w:ascii="宋体" w:hAnsi="宋体"/>
          <w:highlight w:val="none"/>
        </w:rPr>
        <w:fldChar w:fldCharType="end"/>
      </w:r>
      <w:r>
        <w:rPr>
          <w:rFonts w:ascii="宋体" w:hAnsi="宋体"/>
          <w:highlight w:val="none"/>
        </w:rPr>
        <w:fldChar w:fldCharType="end"/>
      </w:r>
    </w:p>
    <w:p>
      <w:pPr>
        <w:pStyle w:val="22"/>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"_Toc105014620" </w:instrText>
      </w:r>
      <w:r>
        <w:rPr>
          <w:highlight w:val="none"/>
        </w:rPr>
        <w:fldChar w:fldCharType="separate"/>
      </w:r>
      <w:r>
        <w:rPr>
          <w:rStyle w:val="33"/>
          <w:rFonts w:hint="eastAsia" w:ascii="宋体" w:hAnsi="宋体" w:eastAsia="宋体"/>
          <w:b/>
          <w:color w:val="auto"/>
          <w:highlight w:val="none"/>
        </w:rPr>
        <w:t>一、投标须知前附表</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_Toc105014620 \h </w:instrText>
      </w:r>
      <w:r>
        <w:rPr>
          <w:rFonts w:ascii="宋体" w:hAnsi="宋体"/>
          <w:highlight w:val="none"/>
        </w:rPr>
        <w:fldChar w:fldCharType="separate"/>
      </w:r>
      <w:r>
        <w:rPr>
          <w:rFonts w:ascii="宋体" w:hAnsi="宋体"/>
          <w:highlight w:val="none"/>
        </w:rPr>
        <w:t>2</w:t>
      </w:r>
      <w:r>
        <w:rPr>
          <w:rFonts w:ascii="宋体" w:hAnsi="宋体"/>
          <w:highlight w:val="none"/>
        </w:rPr>
        <w:fldChar w:fldCharType="end"/>
      </w:r>
      <w:r>
        <w:rPr>
          <w:rFonts w:ascii="宋体" w:hAnsi="宋体"/>
          <w:highlight w:val="none"/>
        </w:rPr>
        <w:fldChar w:fldCharType="end"/>
      </w:r>
    </w:p>
    <w:p>
      <w:pPr>
        <w:pStyle w:val="22"/>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"_Toc105014622" </w:instrText>
      </w:r>
      <w:r>
        <w:rPr>
          <w:highlight w:val="none"/>
        </w:rPr>
        <w:fldChar w:fldCharType="separate"/>
      </w:r>
      <w:r>
        <w:rPr>
          <w:rStyle w:val="33"/>
          <w:rFonts w:hint="eastAsia" w:ascii="宋体" w:hAnsi="宋体" w:eastAsia="宋体"/>
          <w:b/>
          <w:color w:val="auto"/>
          <w:highlight w:val="none"/>
        </w:rPr>
        <w:t>二、投标须知修改表</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_Toc105014622 \h </w:instrText>
      </w:r>
      <w:r>
        <w:rPr>
          <w:rFonts w:ascii="宋体" w:hAnsi="宋体"/>
          <w:highlight w:val="none"/>
        </w:rPr>
        <w:fldChar w:fldCharType="separate"/>
      </w:r>
      <w:r>
        <w:rPr>
          <w:rFonts w:ascii="宋体" w:hAnsi="宋体"/>
          <w:highlight w:val="none"/>
        </w:rPr>
        <w:t>9</w:t>
      </w:r>
      <w:r>
        <w:rPr>
          <w:rFonts w:ascii="宋体" w:hAnsi="宋体"/>
          <w:highlight w:val="none"/>
        </w:rPr>
        <w:fldChar w:fldCharType="end"/>
      </w:r>
      <w:r>
        <w:rPr>
          <w:rFonts w:ascii="宋体" w:hAnsi="宋体"/>
          <w:highlight w:val="none"/>
        </w:rPr>
        <w:fldChar w:fldCharType="end"/>
      </w:r>
    </w:p>
    <w:p>
      <w:pPr>
        <w:pStyle w:val="22"/>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"_Toc105014623" </w:instrText>
      </w:r>
      <w:r>
        <w:rPr>
          <w:highlight w:val="none"/>
        </w:rPr>
        <w:fldChar w:fldCharType="separate"/>
      </w:r>
      <w:r>
        <w:rPr>
          <w:rStyle w:val="33"/>
          <w:rFonts w:hint="eastAsia" w:ascii="宋体" w:hAnsi="宋体" w:eastAsia="宋体"/>
          <w:b/>
          <w:color w:val="auto"/>
          <w:highlight w:val="none"/>
        </w:rPr>
        <w:t>三、投标须知通用条款</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_Toc105014623 \h </w:instrText>
      </w:r>
      <w:r>
        <w:rPr>
          <w:rFonts w:ascii="宋体" w:hAnsi="宋体"/>
          <w:highlight w:val="none"/>
        </w:rPr>
        <w:fldChar w:fldCharType="separate"/>
      </w:r>
      <w:r>
        <w:rPr>
          <w:rFonts w:ascii="宋体" w:hAnsi="宋体"/>
          <w:highlight w:val="none"/>
        </w:rPr>
        <w:t>21</w:t>
      </w:r>
      <w:r>
        <w:rPr>
          <w:rFonts w:ascii="宋体" w:hAnsi="宋体"/>
          <w:highlight w:val="none"/>
        </w:rPr>
        <w:fldChar w:fldCharType="end"/>
      </w:r>
      <w:r>
        <w:rPr>
          <w:rFonts w:ascii="宋体" w:hAnsi="宋体"/>
          <w:highlight w:val="none"/>
        </w:rPr>
        <w:fldChar w:fldCharType="end"/>
      </w:r>
    </w:p>
    <w:p>
      <w:pPr>
        <w:pStyle w:val="21"/>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"_Toc105014629" </w:instrText>
      </w:r>
      <w:r>
        <w:rPr>
          <w:highlight w:val="none"/>
        </w:rPr>
        <w:fldChar w:fldCharType="separate"/>
      </w:r>
      <w:r>
        <w:rPr>
          <w:rStyle w:val="33"/>
          <w:rFonts w:hint="eastAsia" w:ascii="宋体" w:hAnsi="宋体" w:eastAsia="宋体"/>
          <w:color w:val="auto"/>
          <w:highlight w:val="none"/>
        </w:rPr>
        <w:t>第二章</w:t>
      </w:r>
      <w:r>
        <w:rPr>
          <w:rStyle w:val="33"/>
          <w:rFonts w:ascii="宋体" w:hAnsi="宋体" w:eastAsia="宋体"/>
          <w:color w:val="auto"/>
          <w:highlight w:val="none"/>
        </w:rPr>
        <w:t xml:space="preserve">  </w:t>
      </w:r>
      <w:r>
        <w:rPr>
          <w:rStyle w:val="33"/>
          <w:rFonts w:hint="eastAsia" w:ascii="宋体" w:hAnsi="宋体" w:eastAsia="宋体"/>
          <w:color w:val="auto"/>
          <w:highlight w:val="none"/>
        </w:rPr>
        <w:t>开标、评标及定标办法</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_Toc105014629 \h </w:instrText>
      </w:r>
      <w:r>
        <w:rPr>
          <w:rFonts w:ascii="宋体" w:hAnsi="宋体"/>
          <w:highlight w:val="none"/>
        </w:rPr>
        <w:fldChar w:fldCharType="separate"/>
      </w:r>
      <w:r>
        <w:rPr>
          <w:rFonts w:ascii="宋体" w:hAnsi="宋体"/>
          <w:highlight w:val="none"/>
        </w:rPr>
        <w:t>34</w:t>
      </w:r>
      <w:r>
        <w:rPr>
          <w:rFonts w:ascii="宋体" w:hAnsi="宋体"/>
          <w:highlight w:val="none"/>
        </w:rPr>
        <w:fldChar w:fldCharType="end"/>
      </w:r>
      <w:r>
        <w:rPr>
          <w:rFonts w:ascii="宋体" w:hAnsi="宋体"/>
          <w:highlight w:val="none"/>
        </w:rPr>
        <w:fldChar w:fldCharType="end"/>
      </w:r>
    </w:p>
    <w:p>
      <w:pPr>
        <w:pStyle w:val="22"/>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"_Toc105014630" </w:instrText>
      </w:r>
      <w:r>
        <w:rPr>
          <w:highlight w:val="none"/>
        </w:rPr>
        <w:fldChar w:fldCharType="separate"/>
      </w:r>
      <w:r>
        <w:rPr>
          <w:rStyle w:val="33"/>
          <w:rFonts w:hint="eastAsia" w:ascii="宋体" w:hAnsi="宋体" w:eastAsia="宋体"/>
          <w:b/>
          <w:color w:val="auto"/>
          <w:highlight w:val="none"/>
        </w:rPr>
        <w:t>一、开标、评标及定标办法修改表</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_Toc105014630 \h </w:instrText>
      </w:r>
      <w:r>
        <w:rPr>
          <w:rFonts w:ascii="宋体" w:hAnsi="宋体"/>
          <w:highlight w:val="none"/>
        </w:rPr>
        <w:fldChar w:fldCharType="separate"/>
      </w:r>
      <w:r>
        <w:rPr>
          <w:rFonts w:ascii="宋体" w:hAnsi="宋体"/>
          <w:highlight w:val="none"/>
        </w:rPr>
        <w:t>34</w:t>
      </w:r>
      <w:r>
        <w:rPr>
          <w:rFonts w:ascii="宋体" w:hAnsi="宋体"/>
          <w:highlight w:val="none"/>
        </w:rPr>
        <w:fldChar w:fldCharType="end"/>
      </w:r>
      <w:r>
        <w:rPr>
          <w:rFonts w:ascii="宋体" w:hAnsi="宋体"/>
          <w:highlight w:val="none"/>
        </w:rPr>
        <w:fldChar w:fldCharType="end"/>
      </w:r>
    </w:p>
    <w:p>
      <w:pPr>
        <w:pStyle w:val="22"/>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"_Toc105014631" </w:instrText>
      </w:r>
      <w:r>
        <w:rPr>
          <w:highlight w:val="none"/>
        </w:rPr>
        <w:fldChar w:fldCharType="separate"/>
      </w:r>
      <w:r>
        <w:rPr>
          <w:rStyle w:val="33"/>
          <w:rFonts w:hint="eastAsia" w:ascii="宋体" w:hAnsi="宋体" w:eastAsia="宋体"/>
          <w:b/>
          <w:color w:val="auto"/>
          <w:highlight w:val="none"/>
        </w:rPr>
        <w:t>二、开标、评标及定标办法通用条款</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_Toc105014631 \h </w:instrText>
      </w:r>
      <w:r>
        <w:rPr>
          <w:rFonts w:ascii="宋体" w:hAnsi="宋体"/>
          <w:highlight w:val="none"/>
        </w:rPr>
        <w:fldChar w:fldCharType="separate"/>
      </w:r>
      <w:r>
        <w:rPr>
          <w:rFonts w:ascii="宋体" w:hAnsi="宋体"/>
          <w:highlight w:val="none"/>
        </w:rPr>
        <w:t>42</w:t>
      </w:r>
      <w:r>
        <w:rPr>
          <w:rFonts w:ascii="宋体" w:hAnsi="宋体"/>
          <w:highlight w:val="none"/>
        </w:rPr>
        <w:fldChar w:fldCharType="end"/>
      </w:r>
      <w:r>
        <w:rPr>
          <w:rFonts w:ascii="宋体" w:hAnsi="宋体"/>
          <w:highlight w:val="none"/>
        </w:rPr>
        <w:fldChar w:fldCharType="end"/>
      </w:r>
    </w:p>
    <w:p>
      <w:pPr>
        <w:pStyle w:val="15"/>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"_Toc105014634" </w:instrText>
      </w:r>
      <w:r>
        <w:rPr>
          <w:highlight w:val="none"/>
        </w:rPr>
        <w:fldChar w:fldCharType="separate"/>
      </w:r>
      <w:r>
        <w:rPr>
          <w:rStyle w:val="33"/>
          <w:rFonts w:hint="eastAsia" w:ascii="宋体" w:hAnsi="宋体" w:eastAsia="宋体"/>
          <w:b/>
          <w:bCs/>
          <w:color w:val="auto"/>
          <w:highlight w:val="none"/>
        </w:rPr>
        <w:t>可选办法六（适合综合评分法三，技术标与经济标同时开启）</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_Toc105014631 \h </w:instrText>
      </w:r>
      <w:r>
        <w:rPr>
          <w:rFonts w:ascii="宋体" w:hAnsi="宋体"/>
          <w:highlight w:val="none"/>
        </w:rPr>
        <w:fldChar w:fldCharType="separate"/>
      </w:r>
      <w:r>
        <w:rPr>
          <w:rFonts w:ascii="宋体" w:hAnsi="宋体"/>
          <w:highlight w:val="none"/>
        </w:rPr>
        <w:t>42</w:t>
      </w:r>
      <w:r>
        <w:rPr>
          <w:rFonts w:ascii="宋体" w:hAnsi="宋体"/>
          <w:highlight w:val="none"/>
        </w:rPr>
        <w:fldChar w:fldCharType="end"/>
      </w:r>
      <w:r>
        <w:rPr>
          <w:rFonts w:ascii="宋体" w:hAnsi="宋体"/>
          <w:highlight w:val="none"/>
        </w:rPr>
        <w:fldChar w:fldCharType="end"/>
      </w:r>
    </w:p>
    <w:p>
      <w:pPr>
        <w:pStyle w:val="21"/>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"_Toc105014636" </w:instrText>
      </w:r>
      <w:r>
        <w:rPr>
          <w:highlight w:val="none"/>
        </w:rPr>
        <w:fldChar w:fldCharType="separate"/>
      </w:r>
      <w:r>
        <w:rPr>
          <w:rStyle w:val="33"/>
          <w:rFonts w:hint="eastAsia" w:ascii="宋体" w:hAnsi="宋体" w:eastAsia="宋体"/>
          <w:color w:val="auto"/>
          <w:highlight w:val="none"/>
        </w:rPr>
        <w:t>第三章</w:t>
      </w:r>
      <w:r>
        <w:rPr>
          <w:rStyle w:val="33"/>
          <w:rFonts w:ascii="宋体" w:hAnsi="宋体" w:eastAsia="宋体"/>
          <w:color w:val="auto"/>
          <w:highlight w:val="none"/>
        </w:rPr>
        <w:t xml:space="preserve">  </w:t>
      </w:r>
      <w:r>
        <w:rPr>
          <w:rStyle w:val="33"/>
          <w:rFonts w:hint="eastAsia" w:ascii="宋体" w:hAnsi="宋体" w:eastAsia="宋体"/>
          <w:color w:val="auto"/>
          <w:highlight w:val="none"/>
        </w:rPr>
        <w:t>合同条款</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_Toc105014636 \h </w:instrText>
      </w:r>
      <w:r>
        <w:rPr>
          <w:rFonts w:ascii="宋体" w:hAnsi="宋体"/>
          <w:highlight w:val="none"/>
        </w:rPr>
        <w:fldChar w:fldCharType="separate"/>
      </w:r>
      <w:r>
        <w:rPr>
          <w:rFonts w:ascii="宋体" w:hAnsi="宋体"/>
          <w:highlight w:val="none"/>
        </w:rPr>
        <w:t>64</w:t>
      </w:r>
      <w:r>
        <w:rPr>
          <w:rFonts w:ascii="宋体" w:hAnsi="宋体"/>
          <w:highlight w:val="none"/>
        </w:rPr>
        <w:fldChar w:fldCharType="end"/>
      </w:r>
      <w:r>
        <w:rPr>
          <w:rFonts w:ascii="宋体" w:hAnsi="宋体"/>
          <w:highlight w:val="none"/>
        </w:rPr>
        <w:fldChar w:fldCharType="end"/>
      </w:r>
    </w:p>
    <w:p>
      <w:pPr>
        <w:pStyle w:val="21"/>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"_Toc105014637" </w:instrText>
      </w:r>
      <w:r>
        <w:rPr>
          <w:highlight w:val="none"/>
        </w:rPr>
        <w:fldChar w:fldCharType="separate"/>
      </w:r>
      <w:r>
        <w:rPr>
          <w:rStyle w:val="33"/>
          <w:rFonts w:hint="eastAsia" w:ascii="宋体" w:hAnsi="宋体" w:eastAsia="宋体"/>
          <w:color w:val="auto"/>
          <w:highlight w:val="none"/>
        </w:rPr>
        <w:t>第四章</w:t>
      </w:r>
      <w:r>
        <w:rPr>
          <w:rStyle w:val="33"/>
          <w:rFonts w:ascii="宋体" w:hAnsi="宋体" w:eastAsia="宋体"/>
          <w:color w:val="auto"/>
          <w:highlight w:val="none"/>
        </w:rPr>
        <w:t xml:space="preserve">  </w:t>
      </w:r>
      <w:r>
        <w:rPr>
          <w:rStyle w:val="33"/>
          <w:rFonts w:hint="eastAsia" w:ascii="宋体" w:hAnsi="宋体" w:eastAsia="宋体"/>
          <w:color w:val="auto"/>
          <w:highlight w:val="none"/>
        </w:rPr>
        <w:t>投标文件格式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_Toc105014637 \h </w:instrText>
      </w:r>
      <w:r>
        <w:rPr>
          <w:rFonts w:ascii="宋体" w:hAnsi="宋体"/>
          <w:highlight w:val="none"/>
        </w:rPr>
        <w:fldChar w:fldCharType="separate"/>
      </w:r>
      <w:r>
        <w:rPr>
          <w:rFonts w:ascii="宋体" w:hAnsi="宋体"/>
          <w:highlight w:val="none"/>
        </w:rPr>
        <w:t>65</w:t>
      </w:r>
      <w:r>
        <w:rPr>
          <w:rFonts w:ascii="宋体" w:hAnsi="宋体"/>
          <w:highlight w:val="none"/>
        </w:rPr>
        <w:fldChar w:fldCharType="end"/>
      </w:r>
      <w:r>
        <w:rPr>
          <w:rFonts w:ascii="宋体" w:hAnsi="宋体"/>
          <w:highlight w:val="none"/>
        </w:rPr>
        <w:fldChar w:fldCharType="end"/>
      </w:r>
    </w:p>
    <w:p>
      <w:pPr>
        <w:pStyle w:val="21"/>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"_Toc105014638" </w:instrText>
      </w:r>
      <w:r>
        <w:rPr>
          <w:highlight w:val="none"/>
        </w:rPr>
        <w:fldChar w:fldCharType="separate"/>
      </w:r>
      <w:r>
        <w:rPr>
          <w:rStyle w:val="33"/>
          <w:rFonts w:hint="eastAsia" w:ascii="宋体" w:hAnsi="宋体" w:eastAsia="宋体"/>
          <w:color w:val="auto"/>
          <w:highlight w:val="none"/>
        </w:rPr>
        <w:t>第五章</w:t>
      </w:r>
      <w:r>
        <w:rPr>
          <w:rStyle w:val="33"/>
          <w:rFonts w:ascii="宋体" w:hAnsi="宋体" w:eastAsia="宋体"/>
          <w:color w:val="auto"/>
          <w:highlight w:val="none"/>
        </w:rPr>
        <w:t xml:space="preserve">  </w:t>
      </w:r>
      <w:r>
        <w:rPr>
          <w:rStyle w:val="33"/>
          <w:rFonts w:hint="eastAsia" w:ascii="宋体" w:hAnsi="宋体" w:eastAsia="宋体"/>
          <w:color w:val="auto"/>
          <w:highlight w:val="none"/>
        </w:rPr>
        <w:t>技术条件（工程建设标准）</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_Toc105014638 \h </w:instrText>
      </w:r>
      <w:r>
        <w:rPr>
          <w:rFonts w:ascii="宋体" w:hAnsi="宋体"/>
          <w:highlight w:val="none"/>
        </w:rPr>
        <w:fldChar w:fldCharType="separate"/>
      </w:r>
      <w:r>
        <w:rPr>
          <w:rFonts w:ascii="宋体" w:hAnsi="宋体"/>
          <w:highlight w:val="none"/>
        </w:rPr>
        <w:t>83</w:t>
      </w:r>
      <w:r>
        <w:rPr>
          <w:rFonts w:ascii="宋体" w:hAnsi="宋体"/>
          <w:highlight w:val="none"/>
        </w:rPr>
        <w:fldChar w:fldCharType="end"/>
      </w:r>
      <w:r>
        <w:rPr>
          <w:rFonts w:ascii="宋体" w:hAnsi="宋体"/>
          <w:highlight w:val="none"/>
        </w:rPr>
        <w:fldChar w:fldCharType="end"/>
      </w:r>
    </w:p>
    <w:p>
      <w:pPr>
        <w:pStyle w:val="21"/>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"_Toc105014639" </w:instrText>
      </w:r>
      <w:r>
        <w:rPr>
          <w:highlight w:val="none"/>
        </w:rPr>
        <w:fldChar w:fldCharType="separate"/>
      </w:r>
      <w:r>
        <w:rPr>
          <w:rStyle w:val="33"/>
          <w:rFonts w:hint="eastAsia" w:ascii="宋体" w:hAnsi="宋体" w:eastAsia="宋体"/>
          <w:color w:val="auto"/>
          <w:highlight w:val="none"/>
        </w:rPr>
        <w:t>第六章</w:t>
      </w:r>
      <w:r>
        <w:rPr>
          <w:rStyle w:val="33"/>
          <w:rFonts w:ascii="宋体" w:hAnsi="宋体" w:eastAsia="宋体"/>
          <w:color w:val="auto"/>
          <w:highlight w:val="none"/>
        </w:rPr>
        <w:t xml:space="preserve">  </w:t>
      </w:r>
      <w:r>
        <w:rPr>
          <w:rStyle w:val="33"/>
          <w:rFonts w:hint="eastAsia" w:ascii="宋体" w:hAnsi="宋体" w:eastAsia="宋体"/>
          <w:color w:val="auto"/>
          <w:highlight w:val="none"/>
        </w:rPr>
        <w:t>图纸及勘察资料</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_Toc105014639 \h </w:instrText>
      </w:r>
      <w:r>
        <w:rPr>
          <w:rFonts w:ascii="宋体" w:hAnsi="宋体"/>
          <w:highlight w:val="none"/>
        </w:rPr>
        <w:fldChar w:fldCharType="separate"/>
      </w:r>
      <w:r>
        <w:rPr>
          <w:rFonts w:ascii="宋体" w:hAnsi="宋体"/>
          <w:highlight w:val="none"/>
        </w:rPr>
        <w:t>98</w:t>
      </w:r>
      <w:r>
        <w:rPr>
          <w:rFonts w:ascii="宋体" w:hAnsi="宋体"/>
          <w:highlight w:val="none"/>
        </w:rPr>
        <w:fldChar w:fldCharType="end"/>
      </w:r>
      <w:r>
        <w:rPr>
          <w:rFonts w:ascii="宋体" w:hAnsi="宋体"/>
          <w:highlight w:val="none"/>
        </w:rPr>
        <w:fldChar w:fldCharType="end"/>
      </w:r>
    </w:p>
    <w:p>
      <w:pPr>
        <w:pStyle w:val="21"/>
        <w:tabs>
          <w:tab w:val="right" w:leader="dot" w:pos="9060"/>
        </w:tabs>
        <w:spacing w:line="480" w:lineRule="auto"/>
        <w:rPr>
          <w:rFonts w:hint="eastAsia" w:ascii="宋体" w:hAnsi="宋体"/>
          <w:highlight w:val="none"/>
        </w:rPr>
      </w:pPr>
      <w:r>
        <w:rPr>
          <w:highlight w:val="none"/>
        </w:rPr>
        <w:fldChar w:fldCharType="begin"/>
      </w:r>
      <w:r>
        <w:rPr>
          <w:highlight w:val="none"/>
        </w:rPr>
        <w:instrText xml:space="preserve"> HYPERLINK \l "_Toc105014640" </w:instrText>
      </w:r>
      <w:r>
        <w:rPr>
          <w:highlight w:val="none"/>
        </w:rPr>
        <w:fldChar w:fldCharType="separate"/>
      </w:r>
      <w:r>
        <w:rPr>
          <w:rStyle w:val="33"/>
          <w:rFonts w:hint="eastAsia" w:ascii="宋体" w:hAnsi="宋体" w:eastAsia="宋体"/>
          <w:color w:val="auto"/>
          <w:highlight w:val="none"/>
        </w:rPr>
        <w:t>第七章</w:t>
      </w:r>
      <w:r>
        <w:rPr>
          <w:rStyle w:val="33"/>
          <w:rFonts w:ascii="宋体" w:hAnsi="宋体" w:eastAsia="宋体"/>
          <w:color w:val="auto"/>
          <w:highlight w:val="none"/>
        </w:rPr>
        <w:t xml:space="preserve">  </w:t>
      </w:r>
      <w:r>
        <w:rPr>
          <w:rStyle w:val="33"/>
          <w:rFonts w:hint="eastAsia" w:ascii="宋体" w:hAnsi="宋体" w:eastAsia="宋体"/>
          <w:color w:val="auto"/>
          <w:highlight w:val="none"/>
        </w:rPr>
        <w:t>工程量清单</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_Toc105014640 \h </w:instrText>
      </w:r>
      <w:r>
        <w:rPr>
          <w:rFonts w:ascii="宋体" w:hAnsi="宋体"/>
          <w:highlight w:val="none"/>
        </w:rPr>
        <w:fldChar w:fldCharType="separate"/>
      </w:r>
      <w:r>
        <w:rPr>
          <w:rFonts w:ascii="宋体" w:hAnsi="宋体"/>
          <w:highlight w:val="none"/>
        </w:rPr>
        <w:t>98</w:t>
      </w:r>
      <w:r>
        <w:rPr>
          <w:rFonts w:ascii="宋体" w:hAnsi="宋体"/>
          <w:highlight w:val="none"/>
        </w:rPr>
        <w:fldChar w:fldCharType="end"/>
      </w:r>
      <w:r>
        <w:rPr>
          <w:rFonts w:ascii="宋体" w:hAnsi="宋体"/>
          <w:highlight w:val="none"/>
        </w:rPr>
        <w:fldChar w:fldCharType="end"/>
      </w:r>
    </w:p>
    <w:p>
      <w:pPr>
        <w:pStyle w:val="21"/>
        <w:tabs>
          <w:tab w:val="right" w:leader="dot" w:pos="9060"/>
        </w:tabs>
        <w:spacing w:line="480" w:lineRule="auto"/>
        <w:rPr>
          <w:highlight w:val="none"/>
        </w:rPr>
      </w:pPr>
      <w:r>
        <w:rPr>
          <w:highlight w:val="none"/>
        </w:rPr>
        <w:fldChar w:fldCharType="begin"/>
      </w:r>
      <w:r>
        <w:rPr>
          <w:highlight w:val="none"/>
        </w:rPr>
        <w:instrText xml:space="preserve"> HYPERLINK \l "_Toc105014641" </w:instrText>
      </w:r>
      <w:r>
        <w:rPr>
          <w:highlight w:val="none"/>
        </w:rPr>
        <w:fldChar w:fldCharType="separate"/>
      </w:r>
      <w:r>
        <w:rPr>
          <w:rStyle w:val="33"/>
          <w:rFonts w:hint="eastAsia" w:ascii="宋体" w:hAnsi="宋体" w:eastAsia="宋体"/>
          <w:color w:val="auto"/>
          <w:highlight w:val="none"/>
        </w:rPr>
        <w:t>第八章</w:t>
      </w:r>
      <w:r>
        <w:rPr>
          <w:rStyle w:val="33"/>
          <w:rFonts w:ascii="宋体" w:hAnsi="宋体" w:eastAsia="宋体"/>
          <w:color w:val="auto"/>
          <w:highlight w:val="none"/>
        </w:rPr>
        <w:t xml:space="preserve">  </w:t>
      </w:r>
      <w:r>
        <w:rPr>
          <w:rStyle w:val="33"/>
          <w:rFonts w:hint="eastAsia" w:ascii="宋体" w:hAnsi="宋体" w:eastAsia="宋体"/>
          <w:color w:val="auto"/>
          <w:highlight w:val="none"/>
        </w:rPr>
        <w:t>最高投标限价</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_Toc105014641 \h </w:instrText>
      </w:r>
      <w:r>
        <w:rPr>
          <w:rFonts w:ascii="宋体" w:hAnsi="宋体"/>
          <w:highlight w:val="none"/>
        </w:rPr>
        <w:fldChar w:fldCharType="separate"/>
      </w:r>
      <w:r>
        <w:rPr>
          <w:rFonts w:ascii="宋体" w:hAnsi="宋体"/>
          <w:highlight w:val="none"/>
        </w:rPr>
        <w:t>98</w:t>
      </w:r>
      <w:r>
        <w:rPr>
          <w:rFonts w:ascii="宋体" w:hAnsi="宋体"/>
          <w:highlight w:val="none"/>
        </w:rPr>
        <w:fldChar w:fldCharType="end"/>
      </w:r>
      <w:r>
        <w:rPr>
          <w:rFonts w:ascii="宋体" w:hAnsi="宋体"/>
          <w:highlight w:val="none"/>
        </w:rPr>
        <w:fldChar w:fldCharType="end"/>
      </w:r>
    </w:p>
    <w:p>
      <w:pPr>
        <w:pStyle w:val="135"/>
        <w:spacing w:line="480" w:lineRule="auto"/>
        <w:rPr>
          <w:rFonts w:hint="eastAsia" w:ascii="宋体" w:hAnsi="宋体"/>
          <w:highlight w:val="none"/>
        </w:rPr>
      </w:pPr>
      <w:r>
        <w:rPr>
          <w:rFonts w:ascii="宋体" w:hAnsi="宋体"/>
          <w:sz w:val="32"/>
          <w:highlight w:val="none"/>
        </w:rPr>
        <w:fldChar w:fldCharType="end"/>
      </w:r>
    </w:p>
    <w:p>
      <w:pPr>
        <w:pStyle w:val="139"/>
        <w:spacing w:line="276" w:lineRule="auto"/>
        <w:outlineLvl w:val="0"/>
        <w:rPr>
          <w:rStyle w:val="59"/>
          <w:rFonts w:hint="eastAsia" w:ascii="宋体" w:hAnsi="宋体"/>
          <w:bCs/>
          <w:highlight w:val="none"/>
        </w:rPr>
      </w:pPr>
      <w:r>
        <w:rPr>
          <w:rStyle w:val="59"/>
          <w:rFonts w:ascii="宋体" w:hAnsi="宋体"/>
          <w:b w:val="0"/>
          <w:highlight w:val="none"/>
        </w:rPr>
        <w:br w:type="page"/>
      </w:r>
      <w:bookmarkStart w:id="0" w:name="_Toc105014619"/>
      <w:r>
        <w:rPr>
          <w:rStyle w:val="59"/>
          <w:rFonts w:ascii="宋体" w:hAnsi="宋体"/>
          <w:bCs/>
          <w:highlight w:val="none"/>
        </w:rPr>
        <w:t>第一章  投标须知</w:t>
      </w:r>
      <w:bookmarkEnd w:id="0"/>
    </w:p>
    <w:p>
      <w:pPr>
        <w:pStyle w:val="151"/>
        <w:spacing w:line="276" w:lineRule="auto"/>
        <w:outlineLvl w:val="1"/>
        <w:rPr>
          <w:rStyle w:val="59"/>
          <w:rFonts w:hint="eastAsia" w:ascii="宋体" w:hAnsi="宋体"/>
          <w:b/>
          <w:color w:val="auto"/>
          <w:sz w:val="21"/>
          <w:szCs w:val="21"/>
          <w:highlight w:val="none"/>
        </w:rPr>
      </w:pPr>
      <w:bookmarkStart w:id="1" w:name="_Toc105014620"/>
      <w:r>
        <w:rPr>
          <w:rStyle w:val="59"/>
          <w:rFonts w:ascii="宋体" w:hAnsi="宋体"/>
          <w:b/>
          <w:color w:val="auto"/>
          <w:sz w:val="21"/>
          <w:szCs w:val="21"/>
          <w:highlight w:val="none"/>
        </w:rPr>
        <w:t>一、投标须知前附表</w:t>
      </w:r>
      <w:bookmarkEnd w:id="1"/>
    </w:p>
    <w:p>
      <w:pPr>
        <w:pStyle w:val="55"/>
        <w:spacing w:line="276" w:lineRule="auto"/>
        <w:ind w:firstLine="0"/>
        <w:rPr>
          <w:rStyle w:val="59"/>
          <w:rFonts w:hint="eastAsia" w:ascii="宋体" w:hAnsi="宋体"/>
          <w:b/>
          <w:szCs w:val="21"/>
          <w:highlight w:val="none"/>
        </w:rPr>
      </w:pPr>
      <w:r>
        <w:rPr>
          <w:rStyle w:val="59"/>
          <w:rFonts w:ascii="宋体" w:hAnsi="宋体"/>
          <w:b/>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8"/>
        <w:tblW w:w="8760"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33"/>
        <w:gridCol w:w="944"/>
        <w:gridCol w:w="1494"/>
        <w:gridCol w:w="56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b/>
                <w:szCs w:val="21"/>
                <w:highlight w:val="none"/>
              </w:rPr>
            </w:pPr>
            <w:r>
              <w:rPr>
                <w:rStyle w:val="59"/>
                <w:rFonts w:ascii="宋体" w:hAnsi="宋体"/>
                <w:b/>
                <w:szCs w:val="21"/>
                <w:highlight w:val="none"/>
              </w:rPr>
              <w:t>项目</w:t>
            </w:r>
          </w:p>
        </w:tc>
        <w:tc>
          <w:tcPr>
            <w:tcW w:w="944" w:type="dxa"/>
            <w:vAlign w:val="center"/>
          </w:tcPr>
          <w:p>
            <w:pPr>
              <w:spacing w:line="276" w:lineRule="auto"/>
              <w:jc w:val="center"/>
              <w:rPr>
                <w:rStyle w:val="59"/>
                <w:rFonts w:hint="eastAsia" w:ascii="宋体" w:hAnsi="宋体"/>
                <w:b/>
                <w:szCs w:val="21"/>
                <w:highlight w:val="none"/>
              </w:rPr>
            </w:pPr>
            <w:r>
              <w:rPr>
                <w:rStyle w:val="59"/>
                <w:rFonts w:ascii="宋体" w:hAnsi="宋体"/>
                <w:b/>
                <w:szCs w:val="21"/>
                <w:highlight w:val="none"/>
              </w:rPr>
              <w:t>条款号</w:t>
            </w:r>
          </w:p>
        </w:tc>
        <w:tc>
          <w:tcPr>
            <w:tcW w:w="1494" w:type="dxa"/>
            <w:vAlign w:val="center"/>
          </w:tcPr>
          <w:p>
            <w:pPr>
              <w:spacing w:line="276" w:lineRule="auto"/>
              <w:jc w:val="center"/>
              <w:rPr>
                <w:rStyle w:val="59"/>
                <w:rFonts w:hint="eastAsia" w:ascii="宋体" w:hAnsi="宋体"/>
                <w:b/>
                <w:szCs w:val="21"/>
                <w:highlight w:val="none"/>
              </w:rPr>
            </w:pPr>
            <w:r>
              <w:rPr>
                <w:rStyle w:val="59"/>
                <w:rFonts w:ascii="宋体" w:hAnsi="宋体"/>
                <w:b/>
                <w:szCs w:val="21"/>
                <w:highlight w:val="none"/>
              </w:rPr>
              <w:t>内容</w:t>
            </w:r>
          </w:p>
        </w:tc>
        <w:tc>
          <w:tcPr>
            <w:tcW w:w="5689" w:type="dxa"/>
            <w:vAlign w:val="center"/>
          </w:tcPr>
          <w:p>
            <w:pPr>
              <w:pStyle w:val="17"/>
              <w:spacing w:line="276" w:lineRule="auto"/>
              <w:ind w:firstLine="17"/>
              <w:jc w:val="center"/>
              <w:rPr>
                <w:rStyle w:val="59"/>
                <w:rFonts w:hint="eastAsia" w:ascii="宋体" w:hAnsi="宋体"/>
                <w:b/>
                <w:kern w:val="2"/>
                <w:sz w:val="21"/>
                <w:szCs w:val="21"/>
                <w:highlight w:val="none"/>
              </w:rPr>
            </w:pPr>
            <w:r>
              <w:rPr>
                <w:rStyle w:val="59"/>
                <w:rFonts w:ascii="宋体" w:hAnsi="宋体"/>
                <w:b/>
                <w:kern w:val="2"/>
                <w:sz w:val="21"/>
                <w:szCs w:val="21"/>
                <w:highlight w:val="none"/>
              </w:rPr>
              <w:t>说明与要求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定义</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招标人：</w:t>
            </w:r>
            <w:r>
              <w:rPr>
                <w:rStyle w:val="59"/>
                <w:rFonts w:hint="eastAsia" w:ascii="宋体" w:hAnsi="宋体"/>
                <w:szCs w:val="21"/>
                <w:highlight w:val="none"/>
              </w:rPr>
              <w:t>广州市越秀区文化广电旅游体育局</w:t>
            </w:r>
          </w:p>
          <w:p>
            <w:pPr>
              <w:spacing w:line="276" w:lineRule="auto"/>
              <w:rPr>
                <w:rFonts w:hint="eastAsia" w:ascii="宋体" w:hAnsi="宋体"/>
                <w:szCs w:val="21"/>
                <w:highlight w:val="none"/>
              </w:rPr>
            </w:pPr>
            <w:r>
              <w:rPr>
                <w:rStyle w:val="59"/>
                <w:rFonts w:ascii="宋体" w:hAnsi="宋体"/>
                <w:szCs w:val="21"/>
                <w:highlight w:val="none"/>
              </w:rPr>
              <w:t>招标代理：</w:t>
            </w:r>
            <w:r>
              <w:rPr>
                <w:rFonts w:hint="eastAsia" w:ascii="宋体" w:hAnsi="宋体"/>
                <w:szCs w:val="21"/>
                <w:highlight w:val="none"/>
              </w:rPr>
              <w:t>广东省国际工程咨询有限公司</w:t>
            </w:r>
          </w:p>
          <w:p>
            <w:pPr>
              <w:spacing w:line="276" w:lineRule="auto"/>
              <w:rPr>
                <w:rFonts w:hint="eastAsia" w:ascii="宋体" w:hAnsi="宋体"/>
                <w:szCs w:val="21"/>
                <w:highlight w:val="none"/>
              </w:rPr>
            </w:pPr>
            <w:r>
              <w:rPr>
                <w:rFonts w:hint="eastAsia" w:ascii="宋体" w:hAnsi="宋体"/>
                <w:szCs w:val="21"/>
                <w:highlight w:val="none"/>
              </w:rPr>
              <w:t>设计单位：华南创图设计有限公司</w:t>
            </w:r>
          </w:p>
          <w:p>
            <w:pPr>
              <w:spacing w:line="276" w:lineRule="auto"/>
              <w:rPr>
                <w:rStyle w:val="59"/>
                <w:highlight w:val="none"/>
              </w:rPr>
            </w:pPr>
            <w:r>
              <w:rPr>
                <w:rStyle w:val="59"/>
                <w:rFonts w:hint="eastAsia"/>
                <w:highlight w:val="none"/>
              </w:rPr>
              <w:t>监理单位：广东建科建设咨询有限公司</w:t>
            </w:r>
          </w:p>
          <w:p>
            <w:pPr>
              <w:pStyle w:val="135"/>
              <w:spacing w:line="276" w:lineRule="auto"/>
              <w:rPr>
                <w:rStyle w:val="59"/>
                <w:highlight w:val="none"/>
              </w:rPr>
            </w:pPr>
            <w:r>
              <w:rPr>
                <w:rStyle w:val="59"/>
                <w:rFonts w:hint="eastAsia"/>
                <w:highlight w:val="none"/>
              </w:rPr>
              <w:t>检测机构：</w:t>
            </w:r>
            <w:r>
              <w:rPr>
                <w:rFonts w:hint="eastAsia" w:ascii="宋体" w:hAnsi="宋体" w:cs="Times New Roman"/>
                <w:sz w:val="21"/>
                <w:szCs w:val="21"/>
                <w:highlight w:val="none"/>
              </w:rPr>
              <w:t>国检测试控股集团（广东）有限公司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2.2</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工程名称</w:t>
            </w:r>
          </w:p>
        </w:tc>
        <w:tc>
          <w:tcPr>
            <w:tcW w:w="5689" w:type="dxa"/>
            <w:vAlign w:val="center"/>
          </w:tcPr>
          <w:p>
            <w:pPr>
              <w:spacing w:line="276" w:lineRule="auto"/>
              <w:rPr>
                <w:rStyle w:val="59"/>
                <w:rFonts w:hint="eastAsia" w:ascii="宋体" w:hAnsi="宋体"/>
                <w:szCs w:val="21"/>
                <w:highlight w:val="none"/>
              </w:rPr>
            </w:pPr>
            <w:r>
              <w:rPr>
                <w:rStyle w:val="59"/>
                <w:rFonts w:hint="eastAsia" w:ascii="宋体" w:hAnsi="宋体"/>
                <w:szCs w:val="21"/>
                <w:highlight w:val="none"/>
              </w:rPr>
              <w:t>“海上丝绸之路”·印象越秀国家AAAA旅游区配套基础设施建设项目——海丝智慧街区改造项目施工总承包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2.2</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建设地点</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4</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2.2</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建设规模</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5</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2.2</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承包方式</w:t>
            </w:r>
          </w:p>
        </w:tc>
        <w:tc>
          <w:tcPr>
            <w:tcW w:w="5689" w:type="dxa"/>
            <w:vAlign w:val="center"/>
          </w:tcPr>
          <w:p>
            <w:pPr>
              <w:widowControl w:val="0"/>
              <w:rPr>
                <w:highlight w:val="none"/>
              </w:rPr>
            </w:pPr>
            <w:r>
              <w:rPr>
                <w:rFonts w:hint="eastAsia"/>
                <w:highlight w:val="none"/>
              </w:rPr>
              <w:t>（1）投标人根据招标人的招标文件、合同文件、施工图纸、工程量清单等规定的范围内的工程内容。</w:t>
            </w:r>
          </w:p>
          <w:p>
            <w:pPr>
              <w:widowControl w:val="0"/>
              <w:rPr>
                <w:highlight w:val="none"/>
              </w:rPr>
            </w:pPr>
            <w:r>
              <w:rPr>
                <w:rFonts w:hint="eastAsia"/>
                <w:highlight w:val="none"/>
              </w:rPr>
              <w:t>（2）包括但不限于包工、包料、包工期、包质量、包安全生产、包文明施工，包施工措施（含场地准备及临时设施费）、包承包范围内工程验收通过（含包协助配合消防验收等所涉及各专项验收合格，包通过竣工验收）、包照管、包移交、包竣工备案、包结算、包保修、包资料整理移交档案、包总承包管理和现场整体组织、包专业协调及配合等。按招标文件和合同规定的范围以分部分项工程及单价措施项目综合单价包干，项目内措施费包干、工程量按实结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6</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2.2</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质量标准</w:t>
            </w:r>
          </w:p>
        </w:tc>
        <w:tc>
          <w:tcPr>
            <w:tcW w:w="5689" w:type="dxa"/>
            <w:vAlign w:val="center"/>
          </w:tcPr>
          <w:p>
            <w:pPr>
              <w:spacing w:line="276" w:lineRule="auto"/>
              <w:rPr>
                <w:rStyle w:val="59"/>
                <w:rFonts w:hint="eastAsia" w:ascii="宋体" w:hAnsi="宋体"/>
                <w:szCs w:val="21"/>
                <w:highlight w:val="none"/>
                <w:u w:val="single"/>
              </w:rPr>
            </w:pPr>
            <w:r>
              <w:rPr>
                <w:rStyle w:val="59"/>
                <w:rFonts w:hint="eastAsia"/>
                <w:highlight w:val="none"/>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7</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2.2</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招标范围</w:t>
            </w:r>
          </w:p>
        </w:tc>
        <w:tc>
          <w:tcPr>
            <w:tcW w:w="5689" w:type="dxa"/>
            <w:vAlign w:val="center"/>
          </w:tcPr>
          <w:p>
            <w:pPr>
              <w:spacing w:line="276" w:lineRule="auto"/>
              <w:rPr>
                <w:rStyle w:val="59"/>
                <w:rFonts w:hint="eastAsia" w:ascii="宋体" w:hAnsi="宋体"/>
                <w:szCs w:val="21"/>
                <w:highlight w:val="none"/>
                <w:u w:val="single"/>
              </w:rPr>
            </w:pPr>
            <w:r>
              <w:rPr>
                <w:rStyle w:val="59"/>
                <w:rFonts w:ascii="宋体" w:hAnsi="宋体"/>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8</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2.2</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工期要求</w:t>
            </w:r>
          </w:p>
        </w:tc>
        <w:tc>
          <w:tcPr>
            <w:tcW w:w="5689" w:type="dxa"/>
            <w:vAlign w:val="center"/>
          </w:tcPr>
          <w:p>
            <w:pPr>
              <w:spacing w:line="276" w:lineRule="auto"/>
              <w:jc w:val="left"/>
              <w:rPr>
                <w:rStyle w:val="59"/>
                <w:highlight w:val="none"/>
              </w:rPr>
            </w:pPr>
            <w:r>
              <w:rPr>
                <w:rStyle w:val="59"/>
                <w:rFonts w:ascii="宋体" w:hAnsi="宋体"/>
                <w:highlight w:val="none"/>
              </w:rPr>
              <w:t>工程合同工期总日历天数：</w:t>
            </w:r>
            <w:r>
              <w:rPr>
                <w:rStyle w:val="59"/>
                <w:rFonts w:hint="eastAsia"/>
                <w:highlight w:val="none"/>
                <w:lang w:val="en-US" w:eastAsia="zh-CN"/>
              </w:rPr>
              <w:t>420</w:t>
            </w:r>
            <w:r>
              <w:rPr>
                <w:rStyle w:val="59"/>
                <w:highlight w:val="none"/>
              </w:rPr>
              <w:t>天</w:t>
            </w:r>
            <w:r>
              <w:rPr>
                <w:rStyle w:val="59"/>
                <w:rFonts w:ascii="宋体" w:hAnsi="宋体"/>
                <w:highlight w:val="none"/>
              </w:rPr>
              <w:t>。</w:t>
            </w:r>
          </w:p>
          <w:p>
            <w:pPr>
              <w:spacing w:line="276" w:lineRule="auto"/>
              <w:jc w:val="left"/>
              <w:rPr>
                <w:highlight w:val="none"/>
              </w:rPr>
            </w:pPr>
            <w:r>
              <w:rPr>
                <w:rStyle w:val="59"/>
                <w:rFonts w:ascii="宋体" w:hAnsi="宋体"/>
                <w:highlight w:val="none"/>
              </w:rPr>
              <w:t>暂定从</w:t>
            </w:r>
            <w:r>
              <w:rPr>
                <w:rStyle w:val="59"/>
                <w:highlight w:val="none"/>
              </w:rPr>
              <w:t>2025</w:t>
            </w:r>
            <w:r>
              <w:rPr>
                <w:rStyle w:val="59"/>
                <w:rFonts w:ascii="宋体" w:hAnsi="宋体"/>
                <w:highlight w:val="none"/>
              </w:rPr>
              <w:t>年</w:t>
            </w:r>
            <w:r>
              <w:rPr>
                <w:rStyle w:val="59"/>
                <w:rFonts w:hint="eastAsia"/>
                <w:highlight w:val="none"/>
                <w:lang w:val="en-US" w:eastAsia="zh-CN"/>
              </w:rPr>
              <w:t>10</w:t>
            </w:r>
            <w:r>
              <w:rPr>
                <w:rStyle w:val="59"/>
                <w:rFonts w:ascii="宋体" w:hAnsi="宋体"/>
                <w:highlight w:val="none"/>
              </w:rPr>
              <w:t>月</w:t>
            </w:r>
            <w:r>
              <w:rPr>
                <w:rStyle w:val="59"/>
                <w:rFonts w:hint="eastAsia"/>
                <w:highlight w:val="none"/>
                <w:lang w:val="en-US" w:eastAsia="zh-CN"/>
              </w:rPr>
              <w:t>20</w:t>
            </w:r>
            <w:r>
              <w:rPr>
                <w:rStyle w:val="59"/>
                <w:rFonts w:ascii="宋体" w:hAnsi="宋体"/>
                <w:highlight w:val="none"/>
              </w:rPr>
              <w:t>日开始施工，至</w:t>
            </w:r>
            <w:r>
              <w:rPr>
                <w:rStyle w:val="59"/>
                <w:highlight w:val="none"/>
              </w:rPr>
              <w:t>2026</w:t>
            </w:r>
            <w:r>
              <w:rPr>
                <w:rStyle w:val="59"/>
                <w:rFonts w:ascii="宋体" w:hAnsi="宋体"/>
                <w:highlight w:val="none"/>
              </w:rPr>
              <w:t>年</w:t>
            </w:r>
            <w:r>
              <w:rPr>
                <w:rStyle w:val="59"/>
                <w:rFonts w:hint="eastAsia"/>
                <w:highlight w:val="none"/>
                <w:lang w:val="en-US" w:eastAsia="zh-CN"/>
              </w:rPr>
              <w:t>12</w:t>
            </w:r>
            <w:r>
              <w:rPr>
                <w:rStyle w:val="59"/>
                <w:rFonts w:ascii="宋体" w:hAnsi="宋体"/>
                <w:highlight w:val="none"/>
              </w:rPr>
              <w:t>月</w:t>
            </w:r>
            <w:r>
              <w:rPr>
                <w:rStyle w:val="59"/>
                <w:rFonts w:hint="eastAsia"/>
                <w:highlight w:val="none"/>
                <w:lang w:val="en-US" w:eastAsia="zh-CN"/>
              </w:rPr>
              <w:t>13</w:t>
            </w:r>
            <w:r>
              <w:rPr>
                <w:rStyle w:val="59"/>
                <w:rFonts w:ascii="宋体" w:hAnsi="宋体"/>
                <w:highlight w:val="none"/>
              </w:rPr>
              <w:t>日工完成，具体开工日期以监理单位颁发开工令为准。工期总日历天数与根据前述计划开竣工日期计算的工期天数不一致的，以工期总日历天数为准。发包人有权根据现场情况，调整各期具体进场开工时间。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9</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资金来源</w:t>
            </w:r>
          </w:p>
        </w:tc>
        <w:tc>
          <w:tcPr>
            <w:tcW w:w="5689" w:type="dxa"/>
            <w:vAlign w:val="center"/>
          </w:tcPr>
          <w:p>
            <w:pPr>
              <w:spacing w:line="276" w:lineRule="auto"/>
              <w:rPr>
                <w:rStyle w:val="59"/>
                <w:rFonts w:hint="eastAsia" w:ascii="宋体" w:hAnsi="宋体"/>
                <w:szCs w:val="21"/>
                <w:highlight w:val="none"/>
                <w:u w:val="single"/>
              </w:rPr>
            </w:pPr>
            <w:r>
              <w:rPr>
                <w:rStyle w:val="59"/>
                <w:rFonts w:ascii="宋体" w:hAnsi="宋体"/>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10</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4.1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投标人资质等级及项目负责人等级要求</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11</w:t>
            </w:r>
          </w:p>
        </w:tc>
        <w:tc>
          <w:tcPr>
            <w:tcW w:w="944" w:type="dxa"/>
            <w:vAlign w:val="center"/>
          </w:tcPr>
          <w:p>
            <w:pPr>
              <w:spacing w:line="276" w:lineRule="auto"/>
              <w:ind w:firstLine="458"/>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资格审查方式</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12</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13.1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报价以及单价和总价计算方式</w:t>
            </w:r>
          </w:p>
        </w:tc>
        <w:tc>
          <w:tcPr>
            <w:tcW w:w="5689" w:type="dxa"/>
            <w:vAlign w:val="center"/>
          </w:tcPr>
          <w:p>
            <w:pPr>
              <w:widowControl w:val="0"/>
              <w:rPr>
                <w:rStyle w:val="59"/>
                <w:rFonts w:hint="eastAsia" w:ascii="宋体" w:hAnsi="宋体"/>
                <w:szCs w:val="21"/>
                <w:highlight w:val="none"/>
              </w:rPr>
            </w:pPr>
            <w:r>
              <w:rPr>
                <w:rStyle w:val="59"/>
                <w:rFonts w:ascii="宋体" w:hAnsi="宋体"/>
                <w:szCs w:val="21"/>
                <w:highlight w:val="none"/>
              </w:rPr>
              <w:t>工程量清单计价。</w:t>
            </w:r>
            <w:r>
              <w:rPr>
                <w:rFonts w:hint="eastAsia" w:ascii="宋体" w:hAnsi="宋体" w:cs="宋体"/>
                <w:szCs w:val="21"/>
                <w:highlight w:val="none"/>
                <w:u w:val="single"/>
                <w:lang w:bidi="ar"/>
              </w:rPr>
              <w:t>按国家、广东省、广州市有关计价规范执行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13</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15.1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投标有效期</w:t>
            </w:r>
          </w:p>
        </w:tc>
        <w:tc>
          <w:tcPr>
            <w:tcW w:w="5689" w:type="dxa"/>
            <w:vAlign w:val="center"/>
          </w:tcPr>
          <w:p>
            <w:pPr>
              <w:spacing w:line="276" w:lineRule="auto"/>
              <w:rPr>
                <w:rStyle w:val="59"/>
                <w:rFonts w:hint="eastAsia" w:ascii="宋体" w:hAnsi="宋体"/>
                <w:szCs w:val="21"/>
                <w:highlight w:val="none"/>
                <w:u w:val="single"/>
              </w:rPr>
            </w:pPr>
            <w:r>
              <w:rPr>
                <w:rStyle w:val="59"/>
                <w:rFonts w:ascii="宋体" w:hAnsi="宋体"/>
                <w:szCs w:val="21"/>
                <w:highlight w:val="none"/>
                <w:u w:val="single"/>
              </w:rPr>
              <w:t>90</w:t>
            </w:r>
            <w:r>
              <w:rPr>
                <w:rStyle w:val="59"/>
                <w:rFonts w:ascii="宋体" w:hAnsi="宋体"/>
                <w:szCs w:val="21"/>
                <w:highlight w:val="none"/>
              </w:rPr>
              <w:t>日历天。（从投标截止之日计起）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14</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16.1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投标保证金</w:t>
            </w:r>
          </w:p>
        </w:tc>
        <w:tc>
          <w:tcPr>
            <w:tcW w:w="5689" w:type="dxa"/>
            <w:vAlign w:val="center"/>
          </w:tcPr>
          <w:p>
            <w:pPr>
              <w:spacing w:line="276" w:lineRule="auto"/>
              <w:ind w:left="420" w:hanging="420" w:hangingChars="200"/>
              <w:rPr>
                <w:rFonts w:hint="eastAsia" w:ascii="宋体" w:hAnsi="宋体"/>
                <w:szCs w:val="21"/>
                <w:highlight w:val="none"/>
              </w:rPr>
            </w:pPr>
            <w:r>
              <w:rPr>
                <w:rFonts w:hint="eastAsia" w:ascii="宋体" w:hAnsi="宋体"/>
                <w:szCs w:val="21"/>
                <w:highlight w:val="none"/>
              </w:rPr>
              <w:t>是否要求投标人递交投标保证金：</w:t>
            </w:r>
          </w:p>
          <w:p>
            <w:pPr>
              <w:spacing w:line="276" w:lineRule="auto"/>
              <w:ind w:left="420" w:hanging="420" w:hangingChars="200"/>
              <w:rPr>
                <w:rFonts w:hint="eastAsia" w:ascii="宋体" w:hAnsi="宋体"/>
                <w:szCs w:val="21"/>
                <w:highlight w:val="none"/>
              </w:rPr>
            </w:pPr>
            <w:r>
              <w:rPr>
                <w:rFonts w:hint="eastAsia" w:ascii="宋体" w:hAnsi="宋体"/>
                <w:szCs w:val="21"/>
                <w:highlight w:val="none"/>
              </w:rPr>
              <w:t>■不要求递交投标保证金。</w:t>
            </w:r>
          </w:p>
          <w:p>
            <w:pPr>
              <w:pStyle w:val="135"/>
              <w:spacing w:line="276" w:lineRule="auto"/>
              <w:rPr>
                <w:rFonts w:hint="eastAsia" w:ascii="宋体" w:hAnsi="宋体"/>
                <w:bCs/>
                <w:szCs w:val="21"/>
                <w:highlight w:val="none"/>
              </w:rPr>
            </w:pPr>
            <w:r>
              <w:rPr>
                <w:rFonts w:hint="eastAsia" w:ascii="宋体" w:hAnsi="宋体"/>
                <w:szCs w:val="21"/>
                <w:highlight w:val="none"/>
              </w:rPr>
              <w:t>□要求递交投标保证金。投标保证金的金额：</w:t>
            </w:r>
            <w:r>
              <w:rPr>
                <w:rFonts w:hint="eastAsia" w:ascii="宋体" w:hAnsi="宋体"/>
                <w:szCs w:val="21"/>
                <w:highlight w:val="none"/>
                <w:u w:val="single"/>
              </w:rPr>
              <w:t xml:space="preserve">   </w:t>
            </w:r>
            <w:r>
              <w:rPr>
                <w:rFonts w:ascii="宋体" w:hAnsi="宋体"/>
                <w:szCs w:val="21"/>
                <w:highlight w:val="none"/>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15</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5</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踏勘现场</w:t>
            </w:r>
          </w:p>
        </w:tc>
        <w:tc>
          <w:tcPr>
            <w:tcW w:w="5689" w:type="dxa"/>
            <w:vAlign w:val="center"/>
          </w:tcPr>
          <w:p>
            <w:pPr>
              <w:pStyle w:val="17"/>
              <w:spacing w:line="276" w:lineRule="auto"/>
              <w:rPr>
                <w:rStyle w:val="59"/>
                <w:rFonts w:hint="eastAsia" w:ascii="宋体" w:hAnsi="宋体"/>
                <w:kern w:val="2"/>
                <w:sz w:val="21"/>
                <w:szCs w:val="21"/>
                <w:highlight w:val="none"/>
              </w:rPr>
            </w:pPr>
            <w:r>
              <w:rPr>
                <w:rStyle w:val="59"/>
                <w:rFonts w:ascii="宋体" w:hAnsi="宋体"/>
                <w:kern w:val="2"/>
                <w:sz w:val="21"/>
                <w:szCs w:val="21"/>
                <w:highlight w:val="none"/>
              </w:rPr>
              <w:t>招标人不集中组织，由投标人自行踏勘。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16</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8</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投标答疑</w:t>
            </w:r>
          </w:p>
        </w:tc>
        <w:tc>
          <w:tcPr>
            <w:tcW w:w="5689" w:type="dxa"/>
            <w:vAlign w:val="center"/>
          </w:tcPr>
          <w:p>
            <w:pPr>
              <w:spacing w:line="276" w:lineRule="auto"/>
              <w:rPr>
                <w:rFonts w:hint="eastAsia" w:ascii="宋体" w:hAnsi="宋体" w:cs="宋体"/>
                <w:bCs/>
                <w:highlight w:val="none"/>
              </w:rPr>
            </w:pPr>
            <w:r>
              <w:rPr>
                <w:rStyle w:val="59"/>
                <w:rFonts w:ascii="宋体" w:hAnsi="宋体"/>
                <w:szCs w:val="21"/>
                <w:highlight w:val="none"/>
              </w:rPr>
              <w:t>疑问提</w:t>
            </w:r>
            <w:r>
              <w:rPr>
                <w:rStyle w:val="59"/>
                <w:rFonts w:hint="eastAsia" w:ascii="宋体" w:hAnsi="宋体" w:cs="宋体"/>
                <w:szCs w:val="21"/>
                <w:highlight w:val="none"/>
              </w:rPr>
              <w:t>交时间：</w:t>
            </w:r>
            <w:r>
              <w:rPr>
                <w:rStyle w:val="59"/>
                <w:rFonts w:hint="eastAsia" w:ascii="宋体" w:hAnsi="宋体" w:cs="宋体"/>
                <w:szCs w:val="21"/>
                <w:highlight w:val="none"/>
                <w:u w:val="single"/>
              </w:rPr>
              <w:t>在提交投标文件截止时间18天前。</w:t>
            </w:r>
          </w:p>
          <w:p>
            <w:pPr>
              <w:spacing w:line="276" w:lineRule="auto"/>
              <w:rPr>
                <w:rStyle w:val="59"/>
                <w:bCs/>
                <w:highlight w:val="none"/>
              </w:rPr>
            </w:pPr>
            <w:r>
              <w:rPr>
                <w:rStyle w:val="59"/>
                <w:rFonts w:ascii="宋体" w:hAnsi="宋体"/>
                <w:szCs w:val="21"/>
                <w:highlight w:val="none"/>
              </w:rPr>
              <w:t>形式：投标人的疑问通过</w:t>
            </w:r>
            <w:r>
              <w:rPr>
                <w:rFonts w:hint="eastAsia" w:ascii="宋体" w:hAnsi="宋体"/>
                <w:szCs w:val="21"/>
                <w:highlight w:val="none"/>
                <w:u w:val="single"/>
              </w:rPr>
              <w:t>广州交易集团有限公司（广州公共资源交易中心）</w:t>
            </w:r>
            <w:r>
              <w:rPr>
                <w:rStyle w:val="59"/>
                <w:rFonts w:ascii="宋体" w:hAnsi="宋体"/>
                <w:szCs w:val="21"/>
                <w:highlight w:val="none"/>
              </w:rPr>
              <w:t>交易平台提交。</w:t>
            </w:r>
          </w:p>
          <w:p>
            <w:pPr>
              <w:pStyle w:val="135"/>
              <w:spacing w:line="276" w:lineRule="auto"/>
              <w:rPr>
                <w:rStyle w:val="59"/>
                <w:rFonts w:hint="eastAsia" w:ascii="宋体" w:hAnsi="宋体"/>
                <w:szCs w:val="21"/>
                <w:highlight w:val="none"/>
                <w:u w:val="single"/>
              </w:rPr>
            </w:pPr>
            <w:r>
              <w:rPr>
                <w:rStyle w:val="59"/>
                <w:rFonts w:hint="eastAsia" w:ascii="宋体" w:hAnsi="宋体"/>
                <w:szCs w:val="21"/>
                <w:highlight w:val="none"/>
                <w:u w:val="single"/>
              </w:rPr>
              <w:t>网上答疑的操作指南为：登陆广州交易集团有限公司（广州公共资源交易中心）官网交易系统→进入“我的投标”专区→进入“招标答疑”选项→通过项目编号或名称找到所需的项目→在答疑时间内点击“答疑提问-新增提问”→提出问题（提问一律不得署名)。</w:t>
            </w:r>
          </w:p>
          <w:p>
            <w:pPr>
              <w:pStyle w:val="135"/>
              <w:spacing w:line="276" w:lineRule="auto"/>
              <w:rPr>
                <w:rStyle w:val="59"/>
                <w:rFonts w:hint="eastAsia" w:ascii="宋体" w:hAnsi="宋体"/>
                <w:szCs w:val="21"/>
                <w:highlight w:val="none"/>
              </w:rPr>
            </w:pPr>
            <w:r>
              <w:rPr>
                <w:rStyle w:val="59"/>
                <w:rFonts w:hint="eastAsia" w:ascii="宋体" w:hAnsi="宋体"/>
                <w:szCs w:val="21"/>
                <w:highlight w:val="none"/>
              </w:rPr>
              <w:t>具体要求：按照交易平台关于全流程电子化项目的相关指南进行操作，详见：</w:t>
            </w:r>
            <w:r>
              <w:rPr>
                <w:rStyle w:val="59"/>
                <w:rFonts w:hint="eastAsia" w:ascii="宋体" w:hAnsi="宋体"/>
                <w:szCs w:val="21"/>
                <w:highlight w:val="none"/>
                <w:u w:val="single"/>
              </w:rPr>
              <w:t>广州交易集团有限公司（广州公共资源交易中心）官网</w:t>
            </w:r>
            <w:r>
              <w:rPr>
                <w:rStyle w:val="59"/>
                <w:rFonts w:hint="eastAsia" w:ascii="宋体" w:hAnsi="宋体"/>
                <w:szCs w:val="21"/>
                <w:highlight w:val="none"/>
              </w:rPr>
              <w:t>。提问一律不得署名。</w:t>
            </w:r>
          </w:p>
          <w:p>
            <w:pPr>
              <w:pStyle w:val="135"/>
              <w:spacing w:line="276" w:lineRule="auto"/>
              <w:rPr>
                <w:rFonts w:hint="eastAsia" w:ascii="宋体" w:hAnsi="宋体"/>
                <w:szCs w:val="21"/>
                <w:highlight w:val="none"/>
              </w:rPr>
            </w:pPr>
            <w:r>
              <w:rPr>
                <w:rFonts w:hint="eastAsia" w:ascii="宋体" w:hAnsi="宋体"/>
                <w:szCs w:val="21"/>
                <w:highlight w:val="none"/>
              </w:rPr>
              <w:t>招标人澄清、修补或答疑期限：在递交投标文件截止日期</w:t>
            </w:r>
            <w:r>
              <w:rPr>
                <w:rFonts w:ascii="宋体" w:hAnsi="宋体"/>
                <w:szCs w:val="21"/>
                <w:highlight w:val="none"/>
                <w:u w:val="single"/>
              </w:rPr>
              <w:t>15</w:t>
            </w:r>
            <w:r>
              <w:rPr>
                <w:rFonts w:hint="eastAsia" w:ascii="宋体" w:hAnsi="宋体"/>
                <w:szCs w:val="21"/>
                <w:highlight w:val="none"/>
              </w:rPr>
              <w:t>日前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17</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20.1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投标截止时间</w:t>
            </w:r>
          </w:p>
        </w:tc>
        <w:tc>
          <w:tcPr>
            <w:tcW w:w="5689" w:type="dxa"/>
            <w:vAlign w:val="center"/>
          </w:tcPr>
          <w:p>
            <w:pPr>
              <w:spacing w:line="276" w:lineRule="auto"/>
              <w:rPr>
                <w:rStyle w:val="59"/>
                <w:rFonts w:hint="eastAsia" w:ascii="宋体" w:hAnsi="宋体"/>
                <w:strike/>
                <w:szCs w:val="21"/>
                <w:highlight w:val="none"/>
              </w:rPr>
            </w:pPr>
            <w:r>
              <w:rPr>
                <w:rStyle w:val="59"/>
                <w:rFonts w:ascii="宋体" w:hAnsi="宋体"/>
                <w:szCs w:val="21"/>
                <w:highlight w:val="none"/>
                <w:u w:val="single"/>
              </w:rPr>
              <w:t>202</w:t>
            </w:r>
            <w:r>
              <w:rPr>
                <w:rStyle w:val="59"/>
                <w:rFonts w:hint="eastAsia" w:ascii="宋体" w:hAnsi="宋体"/>
                <w:szCs w:val="21"/>
                <w:highlight w:val="none"/>
                <w:u w:val="single"/>
              </w:rPr>
              <w:t>5</w:t>
            </w:r>
            <w:r>
              <w:rPr>
                <w:rStyle w:val="59"/>
                <w:rFonts w:ascii="宋体" w:hAnsi="宋体"/>
                <w:szCs w:val="21"/>
                <w:highlight w:val="none"/>
              </w:rPr>
              <w:t>年</w:t>
            </w:r>
            <w:r>
              <w:rPr>
                <w:rStyle w:val="59"/>
                <w:rFonts w:ascii="宋体" w:hAnsi="宋体"/>
                <w:szCs w:val="21"/>
                <w:highlight w:val="none"/>
                <w:u w:val="single"/>
              </w:rPr>
              <w:t xml:space="preserve">  </w:t>
            </w:r>
            <w:r>
              <w:rPr>
                <w:rStyle w:val="59"/>
                <w:rFonts w:ascii="宋体" w:hAnsi="宋体"/>
                <w:szCs w:val="21"/>
                <w:highlight w:val="none"/>
              </w:rPr>
              <w:t>月</w:t>
            </w:r>
            <w:r>
              <w:rPr>
                <w:rStyle w:val="59"/>
                <w:rFonts w:ascii="宋体" w:hAnsi="宋体"/>
                <w:szCs w:val="21"/>
                <w:highlight w:val="none"/>
                <w:u w:val="single"/>
              </w:rPr>
              <w:t xml:space="preserve"> </w:t>
            </w:r>
            <w:r>
              <w:rPr>
                <w:rStyle w:val="59"/>
                <w:highlight w:val="none"/>
                <w:u w:val="single"/>
              </w:rPr>
              <w:t xml:space="preserve"> </w:t>
            </w:r>
            <w:r>
              <w:rPr>
                <w:rStyle w:val="59"/>
                <w:rFonts w:ascii="宋体" w:hAnsi="宋体"/>
                <w:szCs w:val="21"/>
                <w:highlight w:val="none"/>
              </w:rPr>
              <w:t>日</w:t>
            </w:r>
            <w:r>
              <w:rPr>
                <w:rStyle w:val="59"/>
                <w:rFonts w:ascii="宋体" w:hAnsi="宋体"/>
                <w:szCs w:val="21"/>
                <w:highlight w:val="none"/>
                <w:u w:val="single"/>
              </w:rPr>
              <w:t xml:space="preserve"> </w:t>
            </w:r>
            <w:r>
              <w:rPr>
                <w:rStyle w:val="59"/>
                <w:highlight w:val="none"/>
                <w:u w:val="single"/>
              </w:rPr>
              <w:t xml:space="preserve"> </w:t>
            </w:r>
            <w:r>
              <w:rPr>
                <w:rStyle w:val="59"/>
                <w:rFonts w:ascii="宋体" w:hAnsi="宋体"/>
                <w:szCs w:val="21"/>
                <w:highlight w:val="none"/>
              </w:rPr>
              <w:t>时（北京时间）。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18</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20.1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开标开始时间和地点</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（技术标和经济标同时开标）</w:t>
            </w:r>
          </w:p>
          <w:p>
            <w:pPr>
              <w:spacing w:line="276" w:lineRule="auto"/>
              <w:rPr>
                <w:rStyle w:val="59"/>
                <w:rFonts w:hint="eastAsia" w:ascii="宋体" w:hAnsi="宋体"/>
                <w:szCs w:val="21"/>
                <w:highlight w:val="none"/>
              </w:rPr>
            </w:pPr>
            <w:r>
              <w:rPr>
                <w:rStyle w:val="59"/>
                <w:rFonts w:hint="eastAsia" w:ascii="宋体" w:hAnsi="宋体"/>
                <w:szCs w:val="21"/>
                <w:highlight w:val="none"/>
              </w:rPr>
              <w:t>1</w:t>
            </w:r>
            <w:r>
              <w:rPr>
                <w:rStyle w:val="59"/>
                <w:rFonts w:ascii="宋体" w:hAnsi="宋体"/>
                <w:szCs w:val="21"/>
                <w:highlight w:val="none"/>
              </w:rPr>
              <w:t>.开标开始时间：</w:t>
            </w:r>
            <w:r>
              <w:rPr>
                <w:rStyle w:val="59"/>
                <w:rFonts w:ascii="宋体" w:hAnsi="宋体"/>
                <w:szCs w:val="21"/>
                <w:highlight w:val="none"/>
                <w:u w:val="single"/>
              </w:rPr>
              <w:t>202</w:t>
            </w:r>
            <w:r>
              <w:rPr>
                <w:rStyle w:val="59"/>
                <w:rFonts w:hint="eastAsia" w:ascii="宋体" w:hAnsi="宋体"/>
                <w:szCs w:val="21"/>
                <w:highlight w:val="none"/>
                <w:u w:val="single"/>
              </w:rPr>
              <w:t>5</w:t>
            </w:r>
            <w:r>
              <w:rPr>
                <w:rStyle w:val="59"/>
                <w:rFonts w:ascii="宋体" w:hAnsi="宋体"/>
                <w:szCs w:val="21"/>
                <w:highlight w:val="none"/>
              </w:rPr>
              <w:t>年</w:t>
            </w:r>
            <w:r>
              <w:rPr>
                <w:rStyle w:val="59"/>
                <w:rFonts w:ascii="宋体" w:hAnsi="宋体"/>
                <w:szCs w:val="21"/>
                <w:highlight w:val="none"/>
                <w:u w:val="single"/>
              </w:rPr>
              <w:t xml:space="preserve">  </w:t>
            </w:r>
            <w:r>
              <w:rPr>
                <w:rStyle w:val="59"/>
                <w:rFonts w:ascii="宋体" w:hAnsi="宋体"/>
                <w:szCs w:val="21"/>
                <w:highlight w:val="none"/>
              </w:rPr>
              <w:t>月</w:t>
            </w:r>
            <w:r>
              <w:rPr>
                <w:rStyle w:val="59"/>
                <w:rFonts w:ascii="宋体" w:hAnsi="宋体"/>
                <w:szCs w:val="21"/>
                <w:highlight w:val="none"/>
                <w:u w:val="single"/>
              </w:rPr>
              <w:t xml:space="preserve">  </w:t>
            </w:r>
            <w:r>
              <w:rPr>
                <w:rStyle w:val="59"/>
                <w:rFonts w:ascii="宋体" w:hAnsi="宋体"/>
                <w:szCs w:val="21"/>
                <w:highlight w:val="none"/>
              </w:rPr>
              <w:t>日</w:t>
            </w:r>
            <w:r>
              <w:rPr>
                <w:rStyle w:val="59"/>
                <w:rFonts w:ascii="宋体" w:hAnsi="宋体"/>
                <w:szCs w:val="21"/>
                <w:highlight w:val="none"/>
                <w:u w:val="single"/>
              </w:rPr>
              <w:t xml:space="preserve">  </w:t>
            </w:r>
            <w:r>
              <w:rPr>
                <w:rStyle w:val="59"/>
                <w:rFonts w:ascii="宋体" w:hAnsi="宋体"/>
                <w:szCs w:val="21"/>
                <w:highlight w:val="none"/>
              </w:rPr>
              <w:t>时</w:t>
            </w:r>
            <w:r>
              <w:rPr>
                <w:rStyle w:val="59"/>
                <w:rFonts w:ascii="宋体" w:hAnsi="宋体"/>
                <w:szCs w:val="21"/>
                <w:highlight w:val="none"/>
                <w:u w:val="single"/>
              </w:rPr>
              <w:t xml:space="preserve">  </w:t>
            </w:r>
            <w:r>
              <w:rPr>
                <w:rStyle w:val="59"/>
                <w:rFonts w:ascii="宋体" w:hAnsi="宋体"/>
                <w:szCs w:val="21"/>
                <w:highlight w:val="none"/>
              </w:rPr>
              <w:t>分（与投标截止时间为同一时间），地点：</w:t>
            </w:r>
            <w:r>
              <w:rPr>
                <w:rStyle w:val="59"/>
                <w:rFonts w:hint="eastAsia" w:ascii="宋体" w:hAnsi="宋体"/>
                <w:szCs w:val="21"/>
                <w:highlight w:val="none"/>
                <w:u w:val="single"/>
              </w:rPr>
              <w:t>广州交易集团有限公司（广州公共资源交易中心）开标室（具体详见本项目公告的日程安排）</w:t>
            </w:r>
            <w:r>
              <w:rPr>
                <w:rStyle w:val="59"/>
                <w:rFonts w:hint="eastAsia" w:ascii="宋体" w:hAnsi="宋体"/>
                <w:szCs w:val="21"/>
                <w:highlight w:val="none"/>
              </w:rPr>
              <w:t>。投标人也可选择参加在线开标，具体按照交易平台相关指南进行操作。详见：</w:t>
            </w:r>
            <w:r>
              <w:rPr>
                <w:rStyle w:val="59"/>
                <w:rFonts w:hint="eastAsia" w:ascii="宋体" w:hAnsi="宋体"/>
                <w:szCs w:val="21"/>
                <w:highlight w:val="none"/>
                <w:u w:val="single"/>
              </w:rPr>
              <w:t>广州交易集团有限公司（广州公共资源交易中心）官网最新指引</w:t>
            </w:r>
            <w:r>
              <w:rPr>
                <w:rStyle w:val="59"/>
                <w:rFonts w:hint="eastAsia" w:ascii="宋体" w:hAnsi="宋体"/>
                <w:szCs w:val="21"/>
                <w:highlight w:val="none"/>
              </w:rPr>
              <w:t>。</w:t>
            </w:r>
          </w:p>
          <w:p>
            <w:pPr>
              <w:spacing w:line="276" w:lineRule="auto"/>
              <w:rPr>
                <w:rStyle w:val="59"/>
                <w:rFonts w:hint="eastAsia" w:ascii="宋体" w:hAnsi="宋体"/>
                <w:szCs w:val="21"/>
                <w:highlight w:val="none"/>
              </w:rPr>
            </w:pPr>
            <w:r>
              <w:rPr>
                <w:rStyle w:val="59"/>
                <w:rFonts w:ascii="宋体" w:hAnsi="宋体"/>
                <w:szCs w:val="21"/>
                <w:highlight w:val="none"/>
              </w:rPr>
              <w:t>注：投标文件解密问题。投标人只用执行一次解密，招标人执行解密次数根据招标文件开标次数确定。</w:t>
            </w:r>
          </w:p>
          <w:p>
            <w:pPr>
              <w:spacing w:line="276" w:lineRule="auto"/>
              <w:rPr>
                <w:rStyle w:val="59"/>
                <w:rFonts w:hint="eastAsia" w:ascii="宋体" w:hAnsi="宋体"/>
                <w:szCs w:val="21"/>
                <w:highlight w:val="none"/>
              </w:rPr>
            </w:pPr>
            <w:r>
              <w:rPr>
                <w:rStyle w:val="59"/>
                <w:rFonts w:ascii="宋体" w:hAnsi="宋体"/>
                <w:szCs w:val="21"/>
                <w:highlight w:val="none"/>
              </w:rPr>
              <w:t>2.递交投标文件备用光盘时间：</w:t>
            </w:r>
            <w:r>
              <w:rPr>
                <w:rStyle w:val="59"/>
                <w:rFonts w:ascii="宋体" w:hAnsi="宋体"/>
                <w:szCs w:val="21"/>
                <w:highlight w:val="none"/>
                <w:u w:val="single"/>
              </w:rPr>
              <w:t>202</w:t>
            </w:r>
            <w:r>
              <w:rPr>
                <w:rStyle w:val="59"/>
                <w:rFonts w:hint="eastAsia" w:ascii="宋体" w:hAnsi="宋体"/>
                <w:szCs w:val="21"/>
                <w:highlight w:val="none"/>
                <w:u w:val="single"/>
              </w:rPr>
              <w:t>5</w:t>
            </w:r>
            <w:r>
              <w:rPr>
                <w:rStyle w:val="59"/>
                <w:rFonts w:ascii="宋体" w:hAnsi="宋体"/>
                <w:szCs w:val="21"/>
                <w:highlight w:val="none"/>
              </w:rPr>
              <w:t>年</w:t>
            </w:r>
            <w:r>
              <w:rPr>
                <w:rStyle w:val="59"/>
                <w:rFonts w:ascii="宋体" w:hAnsi="宋体"/>
                <w:szCs w:val="21"/>
                <w:highlight w:val="none"/>
                <w:u w:val="single"/>
              </w:rPr>
              <w:t xml:space="preserve">  </w:t>
            </w:r>
            <w:r>
              <w:rPr>
                <w:rStyle w:val="59"/>
                <w:rFonts w:ascii="宋体" w:hAnsi="宋体"/>
                <w:szCs w:val="21"/>
                <w:highlight w:val="none"/>
              </w:rPr>
              <w:t>月</w:t>
            </w:r>
            <w:r>
              <w:rPr>
                <w:rStyle w:val="59"/>
                <w:rFonts w:ascii="宋体" w:hAnsi="宋体"/>
                <w:szCs w:val="21"/>
                <w:highlight w:val="none"/>
                <w:u w:val="single"/>
              </w:rPr>
              <w:t xml:space="preserve">  </w:t>
            </w:r>
            <w:r>
              <w:rPr>
                <w:rStyle w:val="59"/>
                <w:rFonts w:ascii="宋体" w:hAnsi="宋体"/>
                <w:szCs w:val="21"/>
                <w:highlight w:val="none"/>
              </w:rPr>
              <w:t>日</w:t>
            </w:r>
            <w:r>
              <w:rPr>
                <w:rStyle w:val="59"/>
                <w:rFonts w:ascii="宋体" w:hAnsi="宋体"/>
                <w:szCs w:val="21"/>
                <w:highlight w:val="none"/>
                <w:u w:val="single"/>
              </w:rPr>
              <w:t xml:space="preserve">  </w:t>
            </w:r>
            <w:r>
              <w:rPr>
                <w:rStyle w:val="59"/>
                <w:rFonts w:ascii="宋体" w:hAnsi="宋体"/>
                <w:szCs w:val="21"/>
                <w:highlight w:val="none"/>
              </w:rPr>
              <w:t>时</w:t>
            </w:r>
            <w:r>
              <w:rPr>
                <w:rStyle w:val="59"/>
                <w:rFonts w:ascii="宋体" w:hAnsi="宋体"/>
                <w:szCs w:val="21"/>
                <w:highlight w:val="none"/>
                <w:u w:val="single"/>
              </w:rPr>
              <w:t xml:space="preserve">  </w:t>
            </w:r>
            <w:r>
              <w:rPr>
                <w:rStyle w:val="59"/>
                <w:rFonts w:ascii="宋体" w:hAnsi="宋体"/>
                <w:szCs w:val="21"/>
                <w:highlight w:val="none"/>
              </w:rPr>
              <w:t>分至</w:t>
            </w:r>
            <w:r>
              <w:rPr>
                <w:rStyle w:val="59"/>
                <w:rFonts w:ascii="宋体" w:hAnsi="宋体"/>
                <w:szCs w:val="21"/>
                <w:highlight w:val="none"/>
                <w:u w:val="single"/>
              </w:rPr>
              <w:t>202</w:t>
            </w:r>
            <w:r>
              <w:rPr>
                <w:rStyle w:val="59"/>
                <w:rFonts w:hint="eastAsia" w:ascii="宋体" w:hAnsi="宋体"/>
                <w:szCs w:val="21"/>
                <w:highlight w:val="none"/>
                <w:u w:val="single"/>
              </w:rPr>
              <w:t>5</w:t>
            </w:r>
            <w:r>
              <w:rPr>
                <w:rStyle w:val="59"/>
                <w:rFonts w:ascii="宋体" w:hAnsi="宋体"/>
                <w:szCs w:val="21"/>
                <w:highlight w:val="none"/>
              </w:rPr>
              <w:t>年</w:t>
            </w:r>
            <w:r>
              <w:rPr>
                <w:rStyle w:val="59"/>
                <w:rFonts w:ascii="宋体" w:hAnsi="宋体"/>
                <w:szCs w:val="21"/>
                <w:highlight w:val="none"/>
                <w:u w:val="single"/>
              </w:rPr>
              <w:t xml:space="preserve">  </w:t>
            </w:r>
            <w:r>
              <w:rPr>
                <w:rStyle w:val="59"/>
                <w:rFonts w:ascii="宋体" w:hAnsi="宋体"/>
                <w:szCs w:val="21"/>
                <w:highlight w:val="none"/>
              </w:rPr>
              <w:t>月</w:t>
            </w:r>
            <w:r>
              <w:rPr>
                <w:rStyle w:val="59"/>
                <w:rFonts w:ascii="宋体" w:hAnsi="宋体"/>
                <w:szCs w:val="21"/>
                <w:highlight w:val="none"/>
                <w:u w:val="single"/>
              </w:rPr>
              <w:t xml:space="preserve">  </w:t>
            </w:r>
            <w:r>
              <w:rPr>
                <w:rStyle w:val="59"/>
                <w:rFonts w:ascii="宋体" w:hAnsi="宋体"/>
                <w:szCs w:val="21"/>
                <w:highlight w:val="none"/>
              </w:rPr>
              <w:t>日</w:t>
            </w:r>
            <w:r>
              <w:rPr>
                <w:rStyle w:val="59"/>
                <w:rFonts w:ascii="宋体" w:hAnsi="宋体"/>
                <w:szCs w:val="21"/>
                <w:highlight w:val="none"/>
                <w:u w:val="single"/>
              </w:rPr>
              <w:t xml:space="preserve">  </w:t>
            </w:r>
            <w:r>
              <w:rPr>
                <w:rStyle w:val="59"/>
                <w:rFonts w:ascii="宋体" w:hAnsi="宋体"/>
                <w:szCs w:val="21"/>
                <w:highlight w:val="none"/>
              </w:rPr>
              <w:t>时</w:t>
            </w:r>
            <w:r>
              <w:rPr>
                <w:rStyle w:val="59"/>
                <w:rFonts w:ascii="宋体" w:hAnsi="宋体"/>
                <w:szCs w:val="21"/>
                <w:highlight w:val="none"/>
                <w:u w:val="single"/>
              </w:rPr>
              <w:t xml:space="preserve">  </w:t>
            </w:r>
            <w:r>
              <w:rPr>
                <w:rStyle w:val="59"/>
                <w:rFonts w:ascii="宋体" w:hAnsi="宋体"/>
                <w:szCs w:val="21"/>
                <w:highlight w:val="none"/>
              </w:rPr>
              <w:t>分；递交地点：</w:t>
            </w:r>
            <w:r>
              <w:rPr>
                <w:rStyle w:val="59"/>
                <w:rFonts w:hint="eastAsia" w:ascii="宋体" w:hAnsi="宋体"/>
                <w:szCs w:val="21"/>
                <w:highlight w:val="none"/>
                <w:u w:val="single"/>
              </w:rPr>
              <w:t>广州交易集团有限公司（广州公共资源交易中心）（广州市天河区天润路333号）开标室（具体详见本项目公告的日程安排）</w:t>
            </w:r>
            <w:r>
              <w:rPr>
                <w:rStyle w:val="59"/>
                <w:rFonts w:ascii="宋体" w:hAnsi="宋体"/>
                <w:szCs w:val="21"/>
                <w:highlight w:val="none"/>
              </w:rPr>
              <w:t>。</w:t>
            </w:r>
          </w:p>
          <w:p>
            <w:pPr>
              <w:spacing w:line="276" w:lineRule="auto"/>
              <w:rPr>
                <w:rStyle w:val="59"/>
                <w:rFonts w:hint="eastAsia" w:ascii="宋体" w:hAnsi="宋体"/>
                <w:szCs w:val="21"/>
                <w:highlight w:val="none"/>
              </w:rPr>
            </w:pPr>
            <w:r>
              <w:rPr>
                <w:rStyle w:val="59"/>
                <w:rFonts w:hint="eastAsia" w:ascii="宋体" w:hAnsi="宋体"/>
                <w:szCs w:val="21"/>
                <w:highlight w:val="none"/>
              </w:rPr>
              <w:t>3.</w:t>
            </w:r>
            <w:r>
              <w:rPr>
                <w:rStyle w:val="59"/>
                <w:rFonts w:hint="eastAsia" w:ascii="宋体" w:hAnsi="宋体"/>
                <w:szCs w:val="21"/>
                <w:highlight w:val="none"/>
                <w:u w:val="single"/>
              </w:rPr>
              <w:t>投标人应在投标文件或定标文件递交截止时间前通过广州交易集团有限公司（广州公共资源交易中心）电子招标投标交易平台递交电子投标文件、电子定标文件。</w:t>
            </w:r>
          </w:p>
          <w:p>
            <w:pPr>
              <w:spacing w:line="276" w:lineRule="auto"/>
              <w:rPr>
                <w:rStyle w:val="59"/>
                <w:rFonts w:hint="eastAsia" w:ascii="宋体" w:hAnsi="宋体"/>
                <w:szCs w:val="21"/>
                <w:highlight w:val="none"/>
              </w:rPr>
            </w:pPr>
            <w:r>
              <w:rPr>
                <w:rFonts w:hint="eastAsia" w:ascii="宋体" w:hAnsi="宋体"/>
                <w:szCs w:val="21"/>
                <w:highlight w:val="none"/>
              </w:rPr>
              <w:t>注：</w:t>
            </w:r>
            <w:r>
              <w:rPr>
                <w:rStyle w:val="59"/>
                <w:rFonts w:ascii="宋体" w:hAnsi="宋体"/>
                <w:szCs w:val="21"/>
                <w:highlight w:val="none"/>
              </w:rPr>
              <w:t>上述时间及地点是否有改变，请密切留意招标答疑纪要的相关信息。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19</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26</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开标评标办法</w:t>
            </w:r>
          </w:p>
        </w:tc>
        <w:tc>
          <w:tcPr>
            <w:tcW w:w="5689" w:type="dxa"/>
            <w:vAlign w:val="center"/>
          </w:tcPr>
          <w:p>
            <w:pPr>
              <w:spacing w:line="276" w:lineRule="auto"/>
              <w:rPr>
                <w:rFonts w:hint="eastAsia" w:ascii="宋体" w:hAnsi="宋体"/>
                <w:szCs w:val="21"/>
                <w:highlight w:val="none"/>
              </w:rPr>
            </w:pPr>
            <w:r>
              <w:rPr>
                <w:rFonts w:hint="eastAsia" w:ascii="宋体" w:hAnsi="宋体"/>
                <w:szCs w:val="21"/>
                <w:highlight w:val="none"/>
              </w:rPr>
              <w:t>方式一：选取方法办法六（适合综合评分法三，技术标与经济标同时开启）；</w:t>
            </w:r>
          </w:p>
          <w:p>
            <w:pPr>
              <w:spacing w:line="276" w:lineRule="auto"/>
              <w:rPr>
                <w:rFonts w:hint="eastAsia" w:ascii="宋体" w:hAnsi="宋体"/>
                <w:szCs w:val="21"/>
                <w:highlight w:val="none"/>
              </w:rPr>
            </w:pPr>
            <w:r>
              <w:rPr>
                <w:rFonts w:hint="eastAsia" w:ascii="宋体" w:hAnsi="宋体"/>
                <w:szCs w:val="21"/>
                <w:highlight w:val="none"/>
              </w:rPr>
              <w:t>第一阶段得分=技术得分</w:t>
            </w:r>
          </w:p>
          <w:p>
            <w:pPr>
              <w:spacing w:line="276" w:lineRule="auto"/>
              <w:rPr>
                <w:rStyle w:val="59"/>
                <w:rFonts w:hint="eastAsia" w:ascii="宋体" w:hAnsi="宋体"/>
                <w:szCs w:val="21"/>
                <w:highlight w:val="none"/>
              </w:rPr>
            </w:pPr>
            <w:r>
              <w:rPr>
                <w:rFonts w:hint="eastAsia" w:ascii="宋体" w:hAnsi="宋体"/>
                <w:szCs w:val="21"/>
                <w:highlight w:val="none"/>
              </w:rPr>
              <w:t>第二阶段得分（总分）=技术得分（100分）×技术得分权重（20%）＋经济得分（100分）×经济得分权重（80%）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20</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29.1</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履约担保</w:t>
            </w:r>
          </w:p>
        </w:tc>
        <w:tc>
          <w:tcPr>
            <w:tcW w:w="5689" w:type="dxa"/>
            <w:vAlign w:val="center"/>
          </w:tcPr>
          <w:p>
            <w:pPr>
              <w:pStyle w:val="11"/>
              <w:topLinePunct/>
              <w:adjustRightInd w:val="0"/>
              <w:spacing w:after="0" w:line="276" w:lineRule="auto"/>
              <w:rPr>
                <w:rStyle w:val="59"/>
                <w:rFonts w:hint="eastAsia" w:ascii="宋体" w:hAnsi="宋体"/>
                <w:sz w:val="21"/>
                <w:szCs w:val="21"/>
                <w:highlight w:val="none"/>
              </w:rPr>
            </w:pPr>
            <w:r>
              <w:rPr>
                <w:rStyle w:val="59"/>
                <w:rFonts w:ascii="宋体" w:hAnsi="宋体"/>
                <w:sz w:val="21"/>
                <w:szCs w:val="21"/>
                <w:highlight w:val="none"/>
              </w:rPr>
              <w:t>方式一：</w:t>
            </w:r>
          </w:p>
          <w:p>
            <w:pPr>
              <w:pStyle w:val="11"/>
              <w:topLinePunct/>
              <w:adjustRightInd w:val="0"/>
              <w:spacing w:after="0" w:line="276" w:lineRule="auto"/>
              <w:rPr>
                <w:rStyle w:val="59"/>
                <w:rFonts w:hint="eastAsia" w:ascii="宋体" w:hAnsi="宋体"/>
                <w:sz w:val="21"/>
                <w:szCs w:val="21"/>
                <w:highlight w:val="none"/>
                <w:u w:val="single"/>
              </w:rPr>
            </w:pPr>
            <w:r>
              <w:rPr>
                <w:rStyle w:val="59"/>
                <w:rFonts w:ascii="宋体" w:hAnsi="宋体"/>
                <w:sz w:val="21"/>
                <w:szCs w:val="21"/>
                <w:highlight w:val="none"/>
                <w:u w:val="single"/>
              </w:rPr>
              <w:t>依据《政府采购促进中小企业发展管理办法》（财库﹝2020﹞46 号）有关规定，如中标人为大型企业，提供的履约保证金为中标价款的10%；如中标人为中小企业，履约保证金为中标价款的5%，且须在签订合同时出具《中小企业声明函》，并对声明内容的真实性负责，如有虚假，将依法承担相应责任。</w:t>
            </w:r>
          </w:p>
          <w:p>
            <w:pPr>
              <w:pStyle w:val="11"/>
              <w:topLinePunct/>
              <w:adjustRightInd w:val="0"/>
              <w:spacing w:after="0" w:line="276" w:lineRule="auto"/>
              <w:rPr>
                <w:rFonts w:hint="eastAsia" w:ascii="宋体" w:hAnsi="宋体"/>
                <w:sz w:val="21"/>
                <w:szCs w:val="21"/>
                <w:highlight w:val="none"/>
              </w:rPr>
            </w:pPr>
            <w:r>
              <w:rPr>
                <w:rFonts w:hint="eastAsia" w:ascii="宋体" w:hAnsi="宋体"/>
                <w:sz w:val="21"/>
                <w:szCs w:val="21"/>
                <w:highlight w:val="none"/>
              </w:rPr>
              <w:t>履约保证金的形式：</w:t>
            </w:r>
            <w:r>
              <w:rPr>
                <w:rFonts w:hint="eastAsia" w:ascii="宋体" w:hAnsi="宋体"/>
                <w:sz w:val="21"/>
                <w:szCs w:val="21"/>
                <w:highlight w:val="none"/>
                <w:u w:val="single"/>
              </w:rPr>
              <w:t>转账或银行保函或保证保险或担保保函。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21</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最高投标限价</w:t>
            </w:r>
          </w:p>
        </w:tc>
        <w:tc>
          <w:tcPr>
            <w:tcW w:w="5689" w:type="dxa"/>
            <w:vAlign w:val="center"/>
          </w:tcPr>
          <w:p>
            <w:pPr>
              <w:spacing w:line="276" w:lineRule="auto"/>
              <w:rPr>
                <w:rStyle w:val="59"/>
                <w:rFonts w:hint="eastAsia" w:ascii="宋体" w:hAnsi="宋体"/>
                <w:szCs w:val="21"/>
                <w:highlight w:val="none"/>
              </w:rPr>
            </w:pPr>
            <w:r>
              <w:rPr>
                <w:rStyle w:val="59"/>
                <w:rFonts w:hint="eastAsia" w:ascii="宋体" w:hAnsi="宋体"/>
                <w:szCs w:val="21"/>
                <w:highlight w:val="none"/>
              </w:rPr>
              <w:t>本项目最高投标限价为</w:t>
            </w:r>
            <w:r>
              <w:rPr>
                <w:rStyle w:val="59"/>
                <w:rFonts w:hint="eastAsia" w:ascii="宋体" w:hAnsi="宋体"/>
                <w:szCs w:val="21"/>
                <w:highlight w:val="none"/>
                <w:u w:val="single"/>
              </w:rPr>
              <w:t xml:space="preserve"> </w:t>
            </w:r>
            <w:r>
              <w:rPr>
                <w:rStyle w:val="59"/>
                <w:rFonts w:ascii="宋体" w:hAnsi="宋体"/>
                <w:szCs w:val="21"/>
                <w:highlight w:val="none"/>
                <w:u w:val="single"/>
              </w:rPr>
              <w:t>131625883.37</w:t>
            </w:r>
            <w:r>
              <w:rPr>
                <w:rStyle w:val="59"/>
                <w:rFonts w:hint="eastAsia" w:ascii="宋体" w:hAnsi="宋体"/>
                <w:szCs w:val="21"/>
                <w:highlight w:val="none"/>
                <w:u w:val="single"/>
              </w:rPr>
              <w:t xml:space="preserve"> 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22</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非竞争费用</w:t>
            </w:r>
          </w:p>
        </w:tc>
        <w:tc>
          <w:tcPr>
            <w:tcW w:w="5689" w:type="dxa"/>
            <w:vAlign w:val="center"/>
          </w:tcPr>
          <w:p>
            <w:pPr>
              <w:spacing w:line="276" w:lineRule="auto"/>
              <w:rPr>
                <w:rStyle w:val="59"/>
                <w:rFonts w:hint="eastAsia" w:ascii="宋体" w:hAnsi="宋体"/>
                <w:szCs w:val="21"/>
                <w:highlight w:val="none"/>
              </w:rPr>
            </w:pPr>
            <w:r>
              <w:rPr>
                <w:rFonts w:hint="eastAsia" w:ascii="宋体" w:hAnsi="宋体" w:cs="宋体"/>
                <w:szCs w:val="21"/>
                <w:highlight w:val="none"/>
              </w:rPr>
              <w:t>本项目绿色施工安全防护措施费为</w:t>
            </w:r>
            <w:r>
              <w:rPr>
                <w:rFonts w:hint="eastAsia" w:ascii="宋体" w:hAnsi="宋体" w:cs="宋体"/>
                <w:szCs w:val="21"/>
                <w:highlight w:val="none"/>
                <w:u w:val="single"/>
              </w:rPr>
              <w:t xml:space="preserve"> </w:t>
            </w:r>
            <w:r>
              <w:rPr>
                <w:rFonts w:hint="eastAsia" w:ascii="宋体" w:hAnsi="宋体" w:cs="宋体"/>
                <w:szCs w:val="21"/>
                <w:highlight w:val="none"/>
                <w:u w:val="single"/>
              </w:rPr>
              <w:t>7991147.42</w:t>
            </w:r>
            <w:r>
              <w:rPr>
                <w:rFonts w:hint="eastAsia" w:ascii="宋体" w:hAnsi="宋体" w:cs="宋体"/>
                <w:szCs w:val="21"/>
                <w:highlight w:val="none"/>
                <w:u w:val="single"/>
              </w:rPr>
              <w:t xml:space="preserve"> </w:t>
            </w:r>
            <w:r>
              <w:rPr>
                <w:rFonts w:hint="eastAsia" w:ascii="宋体" w:hAnsi="宋体" w:cs="宋体"/>
                <w:szCs w:val="21"/>
                <w:highlight w:val="none"/>
              </w:rPr>
              <w:t>元；暂列金额为</w:t>
            </w:r>
            <w:r>
              <w:rPr>
                <w:rFonts w:hint="eastAsia" w:ascii="宋体" w:hAnsi="宋体" w:cs="宋体"/>
                <w:szCs w:val="21"/>
                <w:highlight w:val="none"/>
                <w:u w:val="single"/>
              </w:rPr>
              <w:t xml:space="preserve"> </w:t>
            </w:r>
            <w:r>
              <w:rPr>
                <w:rFonts w:hint="eastAsia" w:ascii="宋体" w:hAnsi="宋体" w:cs="宋体"/>
                <w:highlight w:val="none"/>
                <w:u w:val="single"/>
              </w:rPr>
              <w:t>8421137.78</w:t>
            </w:r>
            <w:r>
              <w:rPr>
                <w:rFonts w:hint="eastAsia" w:ascii="宋体" w:hAnsi="宋体" w:cs="宋体"/>
                <w:szCs w:val="21"/>
                <w:highlight w:val="none"/>
              </w:rPr>
              <w:t xml:space="preserve"> 元；暂估价为</w:t>
            </w:r>
            <w:r>
              <w:rPr>
                <w:rFonts w:hint="eastAsia" w:ascii="宋体" w:hAnsi="宋体" w:cs="宋体"/>
                <w:szCs w:val="21"/>
                <w:highlight w:val="none"/>
                <w:u w:val="single"/>
              </w:rPr>
              <w:t xml:space="preserve"> </w:t>
            </w:r>
            <w:r>
              <w:rPr>
                <w:rFonts w:hint="eastAsia" w:ascii="宋体" w:hAnsi="宋体" w:cs="宋体"/>
                <w:szCs w:val="21"/>
                <w:highlight w:val="none"/>
                <w:u w:val="single"/>
              </w:rPr>
              <w:t>11633673.75</w:t>
            </w:r>
            <w:r>
              <w:rPr>
                <w:rFonts w:hint="eastAsia" w:ascii="宋体" w:hAnsi="宋体" w:cs="宋体"/>
                <w:szCs w:val="21"/>
                <w:highlight w:val="none"/>
              </w:rPr>
              <w:t xml:space="preserve"> 元。（未按招标文件规定的金额填写的，由评标委员会按照招标文件规定的金额进行修正</w:t>
            </w:r>
            <w:r>
              <w:rPr>
                <w:rFonts w:hint="eastAsia" w:ascii="宋体" w:hAnsi="宋体" w:cs="宋体"/>
                <w:szCs w:val="21"/>
                <w:highlight w:val="none"/>
                <w:u w:val="single"/>
              </w:rPr>
              <w:t>，投标人拒绝接受修正的，其投标无效。</w:t>
            </w:r>
            <w:r>
              <w:rPr>
                <w:rFonts w:hint="eastAsia" w:ascii="宋体" w:hAnsi="宋体" w:cs="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23</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pStyle w:val="126"/>
              <w:spacing w:after="0" w:line="276" w:lineRule="auto"/>
              <w:ind w:firstLine="0"/>
              <w:jc w:val="center"/>
              <w:rPr>
                <w:rStyle w:val="59"/>
                <w:rFonts w:hint="eastAsia" w:ascii="宋体" w:hAnsi="宋体"/>
                <w:kern w:val="2"/>
                <w:sz w:val="21"/>
                <w:szCs w:val="21"/>
                <w:highlight w:val="none"/>
              </w:rPr>
            </w:pPr>
            <w:r>
              <w:rPr>
                <w:rStyle w:val="59"/>
                <w:rFonts w:ascii="宋体" w:hAnsi="宋体"/>
                <w:kern w:val="2"/>
                <w:sz w:val="21"/>
                <w:szCs w:val="21"/>
                <w:highlight w:val="none"/>
              </w:rPr>
              <w:t>保修期</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按照《建设工程质量管理条例》规定</w:t>
            </w:r>
            <w:r>
              <w:rPr>
                <w:rFonts w:hint="eastAsia" w:ascii="宋体" w:hAnsi="宋体"/>
                <w:szCs w:val="21"/>
                <w:highlight w:val="none"/>
                <w:u w:val="single"/>
              </w:rPr>
              <w:t>及合同约定执行</w:t>
            </w:r>
            <w:r>
              <w:rPr>
                <w:rStyle w:val="59"/>
                <w:rFonts w:ascii="宋体"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24</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计算评标参考价的等分点值</w:t>
            </w:r>
          </w:p>
        </w:tc>
        <w:tc>
          <w:tcPr>
            <w:tcW w:w="5689" w:type="dxa"/>
            <w:vAlign w:val="center"/>
          </w:tcPr>
          <w:p>
            <w:pPr>
              <w:spacing w:line="276" w:lineRule="auto"/>
              <w:rPr>
                <w:rStyle w:val="59"/>
                <w:rFonts w:hint="eastAsia" w:ascii="宋体" w:hAnsi="宋体"/>
                <w:szCs w:val="21"/>
                <w:highlight w:val="none"/>
              </w:rPr>
            </w:pPr>
            <w:r>
              <w:rPr>
                <w:rStyle w:val="59"/>
                <w:rFonts w:hint="eastAsia"/>
                <w:highlight w:val="none"/>
              </w:rPr>
              <w:t>计算评标参考价的等分点值X在开标前从【0，100】的整数中随机抽取。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25</w:t>
            </w:r>
          </w:p>
        </w:tc>
        <w:tc>
          <w:tcPr>
            <w:tcW w:w="944" w:type="dxa"/>
            <w:vAlign w:val="center"/>
          </w:tcPr>
          <w:p>
            <w:pPr>
              <w:spacing w:line="276" w:lineRule="auto"/>
              <w:ind w:firstLine="458"/>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进入第二阶段评审的家数</w:t>
            </w:r>
          </w:p>
        </w:tc>
        <w:tc>
          <w:tcPr>
            <w:tcW w:w="5689" w:type="dxa"/>
            <w:vAlign w:val="center"/>
          </w:tcPr>
          <w:p>
            <w:pPr>
              <w:spacing w:line="276" w:lineRule="auto"/>
              <w:rPr>
                <w:rFonts w:hint="eastAsia" w:ascii="宋体" w:hAnsi="宋体"/>
                <w:szCs w:val="21"/>
                <w:highlight w:val="none"/>
              </w:rPr>
            </w:pPr>
            <w:r>
              <w:rPr>
                <w:rFonts w:hint="eastAsia" w:ascii="宋体" w:hAnsi="宋体"/>
                <w:szCs w:val="21"/>
                <w:highlight w:val="none"/>
              </w:rPr>
              <w:t>①通过技术有效性审查的投标人均进入第二阶段（适用于通过技术有效性审查家数在[3,7]中的）。</w:t>
            </w:r>
          </w:p>
          <w:p>
            <w:pPr>
              <w:spacing w:line="276" w:lineRule="auto"/>
              <w:rPr>
                <w:rStyle w:val="59"/>
                <w:rFonts w:hint="eastAsia" w:ascii="宋体" w:hAnsi="宋体"/>
                <w:szCs w:val="21"/>
                <w:highlight w:val="none"/>
              </w:rPr>
            </w:pPr>
            <w:r>
              <w:rPr>
                <w:rFonts w:hint="eastAsia" w:ascii="宋体" w:hAnsi="宋体"/>
                <w:szCs w:val="21"/>
                <w:highlight w:val="none"/>
              </w:rPr>
              <w:t>②将第一阶段得分由高至低排序，前7名投标人进入第二阶段评审，若投标人得分相同的，则名次并列，占用名次。最后名次发生并列的，则所有并列的投标人均进入第二阶段（适用于通过技术有效性审查家数大于7家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26</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工程成本警戒价</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工程成本警戒价为</w:t>
            </w:r>
            <w:r>
              <w:rPr>
                <w:rStyle w:val="59"/>
                <w:rFonts w:hint="eastAsia" w:ascii="宋体" w:hAnsi="宋体"/>
                <w:szCs w:val="21"/>
                <w:highlight w:val="none"/>
                <w:u w:val="single"/>
              </w:rPr>
              <w:t xml:space="preserve"> </w:t>
            </w:r>
            <w:r>
              <w:rPr>
                <w:rStyle w:val="59"/>
                <w:rFonts w:ascii="宋体" w:hAnsi="宋体"/>
                <w:szCs w:val="21"/>
                <w:highlight w:val="none"/>
                <w:u w:val="single"/>
              </w:rPr>
              <w:t>118463295.03‬‬</w:t>
            </w:r>
            <w:r>
              <w:rPr>
                <w:rStyle w:val="59"/>
                <w:rFonts w:hint="eastAsia" w:ascii="宋体" w:hAnsi="宋体"/>
                <w:szCs w:val="21"/>
                <w:highlight w:val="none"/>
                <w:u w:val="single"/>
              </w:rPr>
              <w:t xml:space="preserve"> </w:t>
            </w:r>
            <w:r>
              <w:rPr>
                <w:rStyle w:val="59"/>
                <w:rFonts w:ascii="宋体" w:hAnsi="宋体"/>
                <w:b/>
                <w:bCs/>
                <w:szCs w:val="21"/>
                <w:highlight w:val="none"/>
                <w:u w:val="single"/>
              </w:rPr>
              <w:t>元</w:t>
            </w:r>
            <w:r>
              <w:rPr>
                <w:rStyle w:val="59"/>
                <w:rFonts w:ascii="宋体" w:hAnsi="宋体"/>
                <w:b/>
                <w:bCs/>
                <w:szCs w:val="21"/>
                <w:highlight w:val="none"/>
              </w:rPr>
              <w:t>（招标控制价的</w:t>
            </w:r>
            <w:r>
              <w:rPr>
                <w:rStyle w:val="59"/>
                <w:rFonts w:hint="eastAsia" w:ascii="宋体" w:hAnsi="宋体"/>
                <w:b/>
                <w:bCs/>
                <w:szCs w:val="21"/>
                <w:highlight w:val="none"/>
                <w:u w:val="single"/>
              </w:rPr>
              <w:t>90</w:t>
            </w:r>
            <w:r>
              <w:rPr>
                <w:rStyle w:val="59"/>
                <w:rFonts w:ascii="宋体" w:hAnsi="宋体"/>
                <w:b/>
                <w:bCs/>
                <w:szCs w:val="21"/>
                <w:highlight w:val="none"/>
              </w:rPr>
              <w:t>%）</w:t>
            </w:r>
            <w:r>
              <w:rPr>
                <w:rStyle w:val="59"/>
                <w:rFonts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276" w:lineRule="auto"/>
              <w:rPr>
                <w:rStyle w:val="59"/>
                <w:rFonts w:hint="eastAsia" w:ascii="宋体" w:hAnsi="宋体"/>
                <w:szCs w:val="21"/>
                <w:highlight w:val="none"/>
                <w:u w:val="single"/>
              </w:rPr>
            </w:pPr>
            <w:r>
              <w:rPr>
                <w:rStyle w:val="59"/>
                <w:rFonts w:ascii="宋体" w:hAnsi="宋体"/>
                <w:szCs w:val="21"/>
                <w:highlight w:val="none"/>
              </w:rPr>
              <w:t>注：为充分体现招标人意愿及落实项目招标人负责制，警戒价由招标人决定。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27</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第一阶段各分值的权重</w:t>
            </w:r>
          </w:p>
        </w:tc>
        <w:tc>
          <w:tcPr>
            <w:tcW w:w="5689" w:type="dxa"/>
            <w:vAlign w:val="center"/>
          </w:tcPr>
          <w:p>
            <w:pPr>
              <w:jc w:val="left"/>
              <w:rPr>
                <w:rFonts w:hint="eastAsia" w:ascii="宋体" w:hAnsi="宋体" w:cs="宋体"/>
                <w:szCs w:val="21"/>
                <w:highlight w:val="none"/>
              </w:rPr>
            </w:pPr>
            <w:r>
              <w:rPr>
                <w:rFonts w:hint="eastAsia" w:ascii="宋体" w:hAnsi="宋体" w:cs="宋体"/>
                <w:szCs w:val="21"/>
                <w:highlight w:val="none"/>
              </w:rPr>
              <w:t>方式一：选取</w:t>
            </w:r>
            <w:r>
              <w:rPr>
                <w:rFonts w:hint="eastAsia" w:ascii="宋体" w:hAnsi="宋体" w:cs="宋体"/>
                <w:szCs w:val="21"/>
                <w:highlight w:val="none"/>
                <w:u w:val="single"/>
              </w:rPr>
              <w:t>办法六（适合综合评分法三，技术标与经济标同时开启）</w:t>
            </w:r>
          </w:p>
          <w:p>
            <w:pPr>
              <w:spacing w:line="276" w:lineRule="auto"/>
              <w:rPr>
                <w:rStyle w:val="59"/>
                <w:rFonts w:hint="eastAsia" w:ascii="宋体" w:hAnsi="宋体"/>
                <w:szCs w:val="21"/>
                <w:highlight w:val="none"/>
              </w:rPr>
            </w:pPr>
            <w:r>
              <w:rPr>
                <w:rFonts w:hint="eastAsia" w:ascii="宋体" w:hAnsi="宋体" w:cs="宋体"/>
                <w:b/>
                <w:kern w:val="0"/>
                <w:szCs w:val="21"/>
                <w:highlight w:val="none"/>
                <w:u w:val="single"/>
                <w:lang w:bidi="ar"/>
              </w:rPr>
              <w:t>第一阶段得分=技术标得分。</w:t>
            </w:r>
            <w:r>
              <w:rPr>
                <w:rFonts w:hint="eastAsia" w:ascii="宋体" w:hAnsi="宋体" w:cs="宋体"/>
                <w:b/>
                <w:szCs w:val="21"/>
                <w:highlight w:val="none"/>
                <w:u w:val="single"/>
                <w:lang w:bidi="ar"/>
              </w:rPr>
              <w:t>技术标得分权重为100%。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28</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评标委员会人数</w:t>
            </w:r>
          </w:p>
        </w:tc>
        <w:tc>
          <w:tcPr>
            <w:tcW w:w="5689" w:type="dxa"/>
            <w:vAlign w:val="center"/>
          </w:tcPr>
          <w:p>
            <w:pPr>
              <w:spacing w:line="276" w:lineRule="auto"/>
              <w:rPr>
                <w:rStyle w:val="59"/>
                <w:rFonts w:hint="eastAsia" w:ascii="宋体" w:hAnsi="宋体"/>
                <w:szCs w:val="21"/>
                <w:highlight w:val="none"/>
              </w:rPr>
            </w:pPr>
            <w:r>
              <w:rPr>
                <w:rStyle w:val="59"/>
                <w:rFonts w:ascii="宋体" w:hAnsi="宋体"/>
                <w:szCs w:val="21"/>
                <w:highlight w:val="none"/>
              </w:rPr>
              <w:t>评标委员会由招标人依法组建。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29</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企业综合诚信评价分数</w:t>
            </w:r>
          </w:p>
        </w:tc>
        <w:tc>
          <w:tcPr>
            <w:tcW w:w="5689" w:type="dxa"/>
            <w:vAlign w:val="center"/>
          </w:tcPr>
          <w:p>
            <w:pPr>
              <w:pStyle w:val="18"/>
              <w:spacing w:line="276" w:lineRule="auto"/>
              <w:rPr>
                <w:highlight w:val="none"/>
              </w:rPr>
            </w:pPr>
            <w:r>
              <w:rPr>
                <w:rStyle w:val="59"/>
                <w:rFonts w:hint="eastAsia" w:ascii="宋体" w:hAnsi="宋体"/>
                <w:sz w:val="21"/>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30</w:t>
            </w:r>
          </w:p>
        </w:tc>
        <w:tc>
          <w:tcPr>
            <w:tcW w:w="944" w:type="dxa"/>
            <w:vAlign w:val="center"/>
          </w:tcPr>
          <w:p>
            <w:pPr>
              <w:spacing w:line="276" w:lineRule="auto"/>
              <w:ind w:firstLine="458"/>
              <w:jc w:val="center"/>
              <w:rPr>
                <w:rStyle w:val="59"/>
                <w:rFonts w:hint="eastAsia" w:ascii="宋体" w:hAnsi="宋体"/>
                <w:strike/>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第二阶段投标人名次的排序方法（适用于办法一、办法二）</w:t>
            </w:r>
          </w:p>
        </w:tc>
        <w:tc>
          <w:tcPr>
            <w:tcW w:w="5689" w:type="dxa"/>
            <w:vAlign w:val="center"/>
          </w:tcPr>
          <w:p>
            <w:pPr>
              <w:spacing w:line="276" w:lineRule="auto"/>
              <w:rPr>
                <w:rStyle w:val="59"/>
                <w:rFonts w:hint="eastAsia" w:ascii="宋体" w:hAnsi="宋体"/>
                <w:szCs w:val="21"/>
                <w:highlight w:val="none"/>
              </w:rPr>
            </w:pPr>
            <w:r>
              <w:rPr>
                <w:rFonts w:hint="eastAsia" w:ascii="宋体" w:hAnsi="宋体"/>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31</w:t>
            </w:r>
          </w:p>
        </w:tc>
        <w:tc>
          <w:tcPr>
            <w:tcW w:w="944" w:type="dxa"/>
            <w:vAlign w:val="center"/>
          </w:tcPr>
          <w:p>
            <w:pPr>
              <w:spacing w:line="276" w:lineRule="auto"/>
              <w:ind w:firstLine="458"/>
              <w:jc w:val="center"/>
              <w:rPr>
                <w:rStyle w:val="59"/>
                <w:rFonts w:hint="eastAsia" w:ascii="宋体" w:hAnsi="宋体"/>
                <w:strike/>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经济分相同情况下的排序方法（适用于办法三、办法四）</w:t>
            </w:r>
          </w:p>
        </w:tc>
        <w:tc>
          <w:tcPr>
            <w:tcW w:w="5689" w:type="dxa"/>
            <w:vAlign w:val="center"/>
          </w:tcPr>
          <w:p>
            <w:pPr>
              <w:spacing w:line="276" w:lineRule="auto"/>
              <w:rPr>
                <w:rStyle w:val="59"/>
                <w:rFonts w:hint="eastAsia" w:ascii="宋体" w:hAnsi="宋体"/>
                <w:szCs w:val="21"/>
                <w:highlight w:val="none"/>
              </w:rPr>
            </w:pPr>
            <w:r>
              <w:rPr>
                <w:rFonts w:hint="eastAsia" w:ascii="宋体" w:hAnsi="宋体"/>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32</w:t>
            </w:r>
          </w:p>
        </w:tc>
        <w:tc>
          <w:tcPr>
            <w:tcW w:w="944" w:type="dxa"/>
            <w:vAlign w:val="center"/>
          </w:tcPr>
          <w:p>
            <w:pPr>
              <w:spacing w:line="276" w:lineRule="auto"/>
              <w:ind w:firstLine="458"/>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第二阶段投标人名次的排序方法（适用于办法五、办法六）</w:t>
            </w:r>
          </w:p>
        </w:tc>
        <w:tc>
          <w:tcPr>
            <w:tcW w:w="5689" w:type="dxa"/>
            <w:vAlign w:val="center"/>
          </w:tcPr>
          <w:p>
            <w:pPr>
              <w:rPr>
                <w:rFonts w:hint="eastAsia" w:ascii="宋体" w:hAnsi="宋体" w:cs="宋体"/>
                <w:szCs w:val="21"/>
                <w:highlight w:val="none"/>
              </w:rPr>
            </w:pPr>
            <w:r>
              <w:rPr>
                <w:rFonts w:hint="eastAsia" w:ascii="宋体" w:hAnsi="宋体" w:cs="宋体"/>
                <w:szCs w:val="21"/>
                <w:highlight w:val="none"/>
                <w:lang w:bidi="ar"/>
              </w:rPr>
              <w:t>评标委员会按照</w:t>
            </w:r>
            <w:r>
              <w:rPr>
                <w:rFonts w:hint="eastAsia" w:ascii="宋体" w:hAnsi="宋体" w:cs="宋体"/>
                <w:szCs w:val="21"/>
                <w:highlight w:val="none"/>
                <w:u w:val="single"/>
                <w:lang w:bidi="ar"/>
              </w:rPr>
              <w:t>“</w:t>
            </w:r>
            <w:r>
              <w:rPr>
                <w:rFonts w:hint="eastAsia" w:ascii="宋体" w:hAnsi="宋体" w:cs="宋体"/>
                <w:b/>
                <w:szCs w:val="21"/>
                <w:highlight w:val="none"/>
                <w:u w:val="single"/>
                <w:lang w:bidi="ar"/>
              </w:rPr>
              <w:t>总分</w:t>
            </w:r>
            <w:r>
              <w:rPr>
                <w:rFonts w:hint="eastAsia" w:ascii="宋体" w:hAnsi="宋体" w:cs="宋体"/>
                <w:b/>
                <w:kern w:val="0"/>
                <w:szCs w:val="21"/>
                <w:highlight w:val="none"/>
                <w:u w:val="single"/>
                <w:lang w:bidi="ar"/>
              </w:rPr>
              <w:t>=第一阶段技术得分（100分）×技术得分权重（20%）＋经济得分（100分）×经济得分权重（80%）</w:t>
            </w:r>
            <w:r>
              <w:rPr>
                <w:rFonts w:hint="eastAsia" w:ascii="宋体" w:hAnsi="宋体" w:cs="宋体"/>
                <w:szCs w:val="21"/>
                <w:highlight w:val="none"/>
                <w:u w:val="single"/>
                <w:lang w:bidi="ar"/>
              </w:rPr>
              <w:t>”</w:t>
            </w:r>
            <w:r>
              <w:rPr>
                <w:rFonts w:hint="eastAsia" w:ascii="宋体" w:hAnsi="宋体" w:cs="宋体"/>
                <w:szCs w:val="21"/>
                <w:highlight w:val="none"/>
                <w:lang w:bidi="ar"/>
              </w:rPr>
              <w:t>的公式，计算各有效投标文件的总分，并按照总分从高到低排序。</w:t>
            </w:r>
          </w:p>
          <w:p>
            <w:pPr>
              <w:rPr>
                <w:rStyle w:val="59"/>
                <w:rFonts w:hint="eastAsia" w:ascii="宋体" w:hAnsi="宋体"/>
                <w:szCs w:val="21"/>
                <w:highlight w:val="none"/>
              </w:rPr>
            </w:pPr>
            <w:r>
              <w:rPr>
                <w:rFonts w:hint="eastAsia" w:ascii="宋体" w:hAnsi="宋体"/>
                <w:szCs w:val="21"/>
                <w:highlight w:val="none"/>
              </w:rPr>
              <w:t>总得分相同情况下的排序方法：总得分相同情况下的排序方法：总得分相同的投标文件，以技术分高的排前；总得分、技术分均相同的投标文件，以投标总报价低的排前；如仍存在相同情况，则对具有相同情况的投标人，由评标委员会采用记名投票方式，确定投标人的排序。投票方式确定排序的具体操作步骤为：由评标委员会对出现该情况的投标人进行编号，然后通过投票方式依次确定投标人的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33</w:t>
            </w:r>
          </w:p>
        </w:tc>
        <w:tc>
          <w:tcPr>
            <w:tcW w:w="94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13.4、13.5.2</w:t>
            </w:r>
          </w:p>
        </w:tc>
        <w:tc>
          <w:tcPr>
            <w:tcW w:w="1494"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合同价款的调整办法</w:t>
            </w:r>
          </w:p>
        </w:tc>
        <w:tc>
          <w:tcPr>
            <w:tcW w:w="5689" w:type="dxa"/>
            <w:vAlign w:val="center"/>
          </w:tcPr>
          <w:p>
            <w:pPr>
              <w:spacing w:line="276" w:lineRule="auto"/>
              <w:rPr>
                <w:rStyle w:val="59"/>
                <w:rFonts w:hint="eastAsia" w:ascii="宋体" w:hAnsi="宋体"/>
                <w:szCs w:val="21"/>
                <w:highlight w:val="none"/>
                <w:u w:val="single"/>
              </w:rPr>
            </w:pPr>
            <w:r>
              <w:rPr>
                <w:highlight w:val="none"/>
              </w:rPr>
              <w:t>按合同条款相关约定调整。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34</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hint="eastAsia" w:ascii="宋体" w:hAnsi="宋体"/>
                <w:kern w:val="0"/>
                <w:szCs w:val="21"/>
                <w:highlight w:val="none"/>
                <w:lang w:val="zh-CN"/>
              </w:rPr>
              <w:t>建设工程质量检测单位</w:t>
            </w:r>
          </w:p>
        </w:tc>
        <w:tc>
          <w:tcPr>
            <w:tcW w:w="5689" w:type="dxa"/>
            <w:vAlign w:val="center"/>
          </w:tcPr>
          <w:p>
            <w:pPr>
              <w:spacing w:line="276" w:lineRule="auto"/>
              <w:rPr>
                <w:rStyle w:val="59"/>
                <w:rFonts w:hint="eastAsia" w:ascii="宋体" w:hAnsi="宋体"/>
                <w:kern w:val="0"/>
                <w:szCs w:val="21"/>
                <w:highlight w:val="none"/>
                <w:u w:val="single"/>
                <w:lang w:val="zh-CN"/>
              </w:rPr>
            </w:pPr>
            <w:r>
              <w:rPr>
                <w:rStyle w:val="59"/>
                <w:rFonts w:hint="eastAsia" w:ascii="宋体" w:hAnsi="宋体"/>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35</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kern w:val="0"/>
                <w:szCs w:val="21"/>
                <w:highlight w:val="none"/>
                <w:lang w:val="zh-CN"/>
              </w:rPr>
            </w:pPr>
            <w:r>
              <w:rPr>
                <w:rStyle w:val="59"/>
                <w:rFonts w:ascii="宋体" w:hAnsi="宋体"/>
                <w:kern w:val="0"/>
                <w:szCs w:val="21"/>
                <w:highlight w:val="none"/>
                <w:lang w:val="zh-CN"/>
              </w:rPr>
              <w:t>分包</w:t>
            </w:r>
          </w:p>
        </w:tc>
        <w:tc>
          <w:tcPr>
            <w:tcW w:w="5689" w:type="dxa"/>
            <w:vAlign w:val="center"/>
          </w:tcPr>
          <w:p>
            <w:pPr>
              <w:spacing w:line="276" w:lineRule="auto"/>
              <w:rPr>
                <w:highlight w:val="none"/>
                <w:lang w:val="zh-CN"/>
              </w:rPr>
            </w:pPr>
            <w:r>
              <w:rPr>
                <w:rFonts w:hint="eastAsia"/>
                <w:highlight w:val="none"/>
                <w:lang w:val="zh-CN"/>
              </w:rPr>
              <w:t>□不允许；</w:t>
            </w:r>
          </w:p>
          <w:p>
            <w:pPr>
              <w:spacing w:line="276" w:lineRule="auto"/>
              <w:rPr>
                <w:highlight w:val="none"/>
                <w:lang w:val="zh-CN"/>
              </w:rPr>
            </w:pPr>
            <w:r>
              <w:rPr>
                <w:rFonts w:hint="eastAsia" w:ascii="宋体" w:cs="宋体"/>
                <w:kern w:val="0"/>
                <w:sz w:val="24"/>
                <w:highlight w:val="none"/>
              </w:rPr>
              <w:t>■</w:t>
            </w:r>
            <w:r>
              <w:rPr>
                <w:rFonts w:hint="eastAsia"/>
                <w:highlight w:val="none"/>
                <w:lang w:val="zh-CN"/>
              </w:rPr>
              <w:t>允许：建设工程的主体结构的工程施工必须由承包人自行完成,不得分包。经发包方同意，非主体结构或</w:t>
            </w:r>
            <w:r>
              <w:rPr>
                <w:rFonts w:hint="eastAsia" w:ascii="宋体" w:hAnsi="宋体" w:cs="宋体"/>
                <w:kern w:val="0"/>
                <w:szCs w:val="21"/>
                <w:highlight w:val="none"/>
                <w:u w:val="single"/>
                <w:lang w:bidi="ar"/>
              </w:rPr>
              <w:t>非关键性</w:t>
            </w:r>
            <w:r>
              <w:rPr>
                <w:rFonts w:hint="eastAsia"/>
                <w:highlight w:val="none"/>
                <w:lang w:val="zh-CN"/>
              </w:rPr>
              <w:t>的工程施工业务允许发包给具有相应资质的分包方。分包方</w:t>
            </w:r>
            <w:r>
              <w:rPr>
                <w:rFonts w:hint="eastAsia" w:ascii="宋体" w:hAnsi="宋体" w:cs="宋体"/>
                <w:kern w:val="0"/>
                <w:szCs w:val="21"/>
                <w:highlight w:val="none"/>
                <w:u w:val="single"/>
                <w:lang w:bidi="ar"/>
              </w:rPr>
              <w:t>不得再次分包。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36</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kern w:val="0"/>
                <w:szCs w:val="21"/>
                <w:highlight w:val="none"/>
                <w:lang w:val="zh-CN"/>
              </w:rPr>
            </w:pPr>
            <w:r>
              <w:rPr>
                <w:rStyle w:val="59"/>
                <w:rFonts w:ascii="宋体" w:hAnsi="宋体"/>
                <w:szCs w:val="21"/>
                <w:highlight w:val="none"/>
              </w:rPr>
              <w:t>电子招标投标解密失败及突发情况的补救</w:t>
            </w:r>
          </w:p>
        </w:tc>
        <w:tc>
          <w:tcPr>
            <w:tcW w:w="5689" w:type="dxa"/>
            <w:vAlign w:val="center"/>
          </w:tcPr>
          <w:p>
            <w:pPr>
              <w:spacing w:line="276" w:lineRule="auto"/>
              <w:rPr>
                <w:rStyle w:val="59"/>
                <w:rFonts w:hint="eastAsia" w:ascii="宋体" w:hAnsi="宋体"/>
                <w:szCs w:val="21"/>
                <w:highlight w:val="none"/>
              </w:rPr>
            </w:pPr>
            <w:r>
              <w:rPr>
                <w:rStyle w:val="59"/>
                <w:rFonts w:hint="eastAsia" w:ascii="宋体" w:hAnsi="宋体"/>
                <w:szCs w:val="21"/>
                <w:highlight w:val="none"/>
              </w:rPr>
              <w:t>1</w:t>
            </w:r>
            <w:r>
              <w:rPr>
                <w:rStyle w:val="59"/>
                <w:rFonts w:ascii="宋体" w:hAnsi="宋体"/>
                <w:szCs w:val="21"/>
                <w:highlight w:val="none"/>
              </w:rPr>
              <w:t>.按照交易平台关于全流程电子化项目的相关指南进行操作。详见：</w:t>
            </w:r>
            <w:r>
              <w:rPr>
                <w:rStyle w:val="59"/>
                <w:rFonts w:hint="eastAsia" w:ascii="宋体" w:hAnsi="宋体"/>
                <w:szCs w:val="21"/>
                <w:highlight w:val="none"/>
                <w:u w:val="single"/>
              </w:rPr>
              <w:t>广州交易集团有限公司（广州公共资源交易中心）网站最新指引</w:t>
            </w:r>
            <w:r>
              <w:rPr>
                <w:rStyle w:val="59"/>
                <w:rFonts w:ascii="宋体" w:hAnsi="宋体"/>
                <w:szCs w:val="21"/>
                <w:highlight w:val="none"/>
              </w:rPr>
              <w:t>。</w:t>
            </w:r>
          </w:p>
          <w:p>
            <w:pPr>
              <w:spacing w:line="276" w:lineRule="auto"/>
              <w:rPr>
                <w:rStyle w:val="59"/>
                <w:rFonts w:hint="eastAsia" w:ascii="宋体" w:hAnsi="宋体"/>
                <w:szCs w:val="21"/>
                <w:highlight w:val="none"/>
              </w:rPr>
            </w:pPr>
            <w:r>
              <w:rPr>
                <w:rStyle w:val="59"/>
                <w:rFonts w:hint="eastAsia" w:ascii="宋体" w:hAnsi="宋体"/>
                <w:szCs w:val="21"/>
                <w:highlight w:val="none"/>
              </w:rPr>
              <w:t>2</w:t>
            </w:r>
            <w:r>
              <w:rPr>
                <w:rStyle w:val="59"/>
                <w:rFonts w:ascii="宋体" w:hAnsi="宋体"/>
                <w:szCs w:val="21"/>
                <w:highlight w:val="none"/>
              </w:rPr>
              <w:t>.提交投标文件光盘备用</w:t>
            </w:r>
          </w:p>
          <w:p>
            <w:pPr>
              <w:spacing w:line="276" w:lineRule="auto"/>
              <w:rPr>
                <w:rStyle w:val="59"/>
                <w:rFonts w:hint="eastAsia" w:ascii="宋体" w:hAnsi="宋体"/>
                <w:szCs w:val="21"/>
                <w:highlight w:val="none"/>
              </w:rPr>
            </w:pPr>
            <w:r>
              <w:rPr>
                <w:rStyle w:val="59"/>
                <w:rFonts w:ascii="宋体" w:hAnsi="宋体"/>
                <w:szCs w:val="21"/>
                <w:highlight w:val="none"/>
              </w:rPr>
              <w:t>投标人可制作非加密的</w:t>
            </w:r>
            <w:r>
              <w:rPr>
                <w:rFonts w:hint="eastAsia" w:ascii="宋体" w:hAnsi="宋体" w:cs="Courier New"/>
                <w:szCs w:val="21"/>
                <w:highlight w:val="none"/>
                <w:u w:val="single"/>
              </w:rPr>
              <w:t>盖章签字后</w:t>
            </w:r>
            <w:r>
              <w:rPr>
                <w:rFonts w:hint="eastAsia" w:ascii="宋体" w:hAnsi="宋体" w:cs="Courier New"/>
                <w:szCs w:val="21"/>
                <w:highlight w:val="none"/>
              </w:rPr>
              <w:t>的</w:t>
            </w:r>
            <w:r>
              <w:rPr>
                <w:rStyle w:val="59"/>
                <w:rFonts w:ascii="宋体" w:hAnsi="宋体"/>
                <w:szCs w:val="21"/>
                <w:highlight w:val="none"/>
              </w:rPr>
              <w:t>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r>
              <w:rPr>
                <w:rStyle w:val="59"/>
                <w:rFonts w:hint="eastAsia" w:ascii="宋体" w:hAnsi="宋体"/>
                <w:szCs w:val="21"/>
                <w:highlight w:val="none"/>
              </w:rPr>
              <w:t>。</w:t>
            </w:r>
            <w:r>
              <w:rPr>
                <w:rFonts w:hint="eastAsia" w:ascii="宋体" w:cs="宋体"/>
                <w:szCs w:val="21"/>
                <w:highlight w:val="none"/>
                <w:u w:val="single"/>
              </w:rPr>
              <w:t>递交投标文件光盘备用时需提供法定人代表人证明书及法定代表人授权委托书。</w:t>
            </w:r>
          </w:p>
          <w:p>
            <w:pPr>
              <w:spacing w:line="276" w:lineRule="auto"/>
              <w:rPr>
                <w:rStyle w:val="59"/>
                <w:rFonts w:hint="eastAsia" w:ascii="宋体" w:hAnsi="宋体"/>
                <w:szCs w:val="21"/>
                <w:highlight w:val="none"/>
              </w:rPr>
            </w:pPr>
            <w:r>
              <w:rPr>
                <w:rStyle w:val="59"/>
                <w:rFonts w:hint="eastAsia" w:ascii="宋体" w:hAnsi="宋体"/>
                <w:szCs w:val="21"/>
                <w:highlight w:val="none"/>
              </w:rPr>
              <w:t>3</w:t>
            </w:r>
            <w:r>
              <w:rPr>
                <w:rStyle w:val="59"/>
                <w:rFonts w:ascii="宋体" w:hAnsi="宋体"/>
                <w:szCs w:val="21"/>
                <w:highlight w:val="none"/>
              </w:rPr>
              <w:t>.补救方案</w:t>
            </w:r>
          </w:p>
          <w:p>
            <w:pPr>
              <w:spacing w:line="276" w:lineRule="auto"/>
              <w:rPr>
                <w:rStyle w:val="59"/>
                <w:rFonts w:hint="eastAsia" w:ascii="宋体" w:hAnsi="宋体"/>
                <w:szCs w:val="21"/>
                <w:highlight w:val="none"/>
              </w:rPr>
            </w:pPr>
            <w:r>
              <w:rPr>
                <w:rStyle w:val="59"/>
                <w:rFonts w:ascii="宋体" w:hAnsi="宋体"/>
                <w:szCs w:val="21"/>
                <w:highlight w:val="none"/>
              </w:rPr>
              <w:t>（1）投标文件解密失败的补救方案：</w:t>
            </w:r>
          </w:p>
          <w:p>
            <w:pPr>
              <w:spacing w:line="276" w:lineRule="auto"/>
              <w:rPr>
                <w:rStyle w:val="59"/>
                <w:rFonts w:hint="eastAsia" w:ascii="宋体" w:hAnsi="宋体"/>
                <w:szCs w:val="21"/>
                <w:highlight w:val="none"/>
              </w:rPr>
            </w:pPr>
            <w:r>
              <w:rPr>
                <w:rStyle w:val="59"/>
                <w:rFonts w:ascii="宋体" w:hAnsi="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Style w:val="59"/>
                <w:rFonts w:hint="eastAsia" w:ascii="宋体" w:hAnsi="宋体"/>
                <w:szCs w:val="21"/>
                <w:highlight w:val="none"/>
              </w:rPr>
            </w:pPr>
            <w:r>
              <w:rPr>
                <w:rStyle w:val="59"/>
                <w:rFonts w:ascii="宋体" w:hAnsi="宋体"/>
                <w:szCs w:val="21"/>
                <w:highlight w:val="none"/>
              </w:rPr>
              <w:t>（2）评标时突发情况的补救方案</w:t>
            </w:r>
          </w:p>
          <w:p>
            <w:pPr>
              <w:spacing w:line="276" w:lineRule="auto"/>
              <w:rPr>
                <w:rStyle w:val="59"/>
                <w:rFonts w:hint="eastAsia" w:ascii="宋体" w:hAnsi="宋体"/>
                <w:szCs w:val="21"/>
                <w:highlight w:val="none"/>
              </w:rPr>
            </w:pPr>
            <w:r>
              <w:rPr>
                <w:rStyle w:val="59"/>
                <w:rFonts w:ascii="宋体" w:hAnsi="宋体"/>
                <w:szCs w:val="21"/>
                <w:highlight w:val="none"/>
              </w:rPr>
              <w:t>若遇不可抗力发生（指网络瘫痪、服务器损坏、交易系统故障短期无法恢复等因素），由评标委员会开启投标人递交的全部投标文件光盘，并按光盘内容进行评审。</w:t>
            </w:r>
          </w:p>
          <w:p>
            <w:pPr>
              <w:spacing w:line="276" w:lineRule="auto"/>
              <w:rPr>
                <w:rStyle w:val="59"/>
                <w:rFonts w:hint="eastAsia" w:ascii="宋体" w:hAnsi="宋体"/>
                <w:kern w:val="0"/>
                <w:szCs w:val="21"/>
                <w:highlight w:val="none"/>
                <w:lang w:val="zh-CN"/>
              </w:rPr>
            </w:pPr>
            <w:r>
              <w:rPr>
                <w:rStyle w:val="59"/>
                <w:rFonts w:ascii="宋体" w:hAnsi="宋体"/>
                <w:szCs w:val="21"/>
                <w:highlight w:val="none"/>
              </w:rPr>
              <w:t>（3）除发生上述情况外，开标评标均以投标人通过交易平台网上递交的电子投标文件为准。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3</w:t>
            </w:r>
            <w:r>
              <w:rPr>
                <w:rStyle w:val="59"/>
                <w:rFonts w:hint="eastAsia"/>
                <w:szCs w:val="21"/>
                <w:highlight w:val="none"/>
              </w:rPr>
              <w:t>7</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招标人对中标人参与“百千万工程”的具体要求</w:t>
            </w:r>
          </w:p>
        </w:tc>
        <w:tc>
          <w:tcPr>
            <w:tcW w:w="5689" w:type="dxa"/>
            <w:vAlign w:val="center"/>
          </w:tcPr>
          <w:p>
            <w:pPr>
              <w:spacing w:line="276" w:lineRule="auto"/>
              <w:rPr>
                <w:rStyle w:val="59"/>
                <w:rFonts w:hint="eastAsia" w:ascii="宋体" w:hAnsi="宋体"/>
                <w:szCs w:val="21"/>
                <w:highlight w:val="none"/>
              </w:rPr>
            </w:pPr>
            <w:r>
              <w:rPr>
                <w:rStyle w:val="59"/>
                <w:rFonts w:hint="eastAsia" w:ascii="宋体" w:hAnsi="宋体"/>
                <w:szCs w:val="21"/>
                <w:highlight w:val="none"/>
              </w:rPr>
              <w:t>说明与要求：</w:t>
            </w:r>
          </w:p>
          <w:p>
            <w:pPr>
              <w:spacing w:line="276" w:lineRule="auto"/>
              <w:rPr>
                <w:rStyle w:val="59"/>
                <w:rFonts w:hint="eastAsia" w:ascii="宋体" w:hAnsi="宋体"/>
                <w:szCs w:val="21"/>
                <w:highlight w:val="none"/>
              </w:rPr>
            </w:pPr>
            <w:r>
              <w:rPr>
                <w:rStyle w:val="59"/>
                <w:rFonts w:hint="eastAsia" w:ascii="宋体" w:hAnsi="宋体"/>
                <w:szCs w:val="21"/>
                <w:highlight w:val="none"/>
              </w:rPr>
              <w:t>█具体要求在中标后按照投标承诺和招标人的要求执行。</w:t>
            </w:r>
          </w:p>
          <w:p>
            <w:pPr>
              <w:spacing w:line="276" w:lineRule="auto"/>
              <w:rPr>
                <w:rStyle w:val="59"/>
                <w:rFonts w:hint="eastAsia" w:ascii="宋体" w:hAnsi="宋体"/>
                <w:szCs w:val="21"/>
                <w:highlight w:val="none"/>
              </w:rPr>
            </w:pPr>
            <w:r>
              <w:rPr>
                <w:rStyle w:val="59"/>
                <w:rFonts w:hint="eastAsia" w:ascii="宋体" w:hAnsi="宋体"/>
                <w:szCs w:val="21"/>
                <w:highlight w:val="none"/>
              </w:rPr>
              <w:t>□具体要求：</w:t>
            </w:r>
            <w:r>
              <w:rPr>
                <w:rStyle w:val="59"/>
                <w:rFonts w:hint="eastAsia" w:ascii="宋体" w:hAnsi="宋体"/>
                <w:szCs w:val="21"/>
                <w:highlight w:val="none"/>
                <w:u w:val="single"/>
              </w:rPr>
              <w:t>（由招标人填写）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38</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widowControl w:val="0"/>
              <w:snapToGrid w:val="0"/>
              <w:spacing w:line="360" w:lineRule="exact"/>
              <w:textAlignment w:val="auto"/>
              <w:rPr>
                <w:rFonts w:hint="eastAsia" w:ascii="宋体" w:hAnsi="宋体" w:eastAsia="宋体" w:cs="宋体"/>
                <w:szCs w:val="21"/>
                <w:highlight w:val="none"/>
                <w:u w:val="single"/>
                <w:lang w:eastAsia="zh-CN"/>
              </w:rPr>
            </w:pPr>
            <w:r>
              <w:rPr>
                <w:rFonts w:hint="eastAsia" w:ascii="宋体" w:hAnsi="宋体" w:cs="宋体"/>
                <w:szCs w:val="21"/>
                <w:highlight w:val="none"/>
                <w:u w:val="single"/>
              </w:rPr>
              <w:t>经济标评审优惠政策</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如有</w:t>
            </w:r>
            <w:r>
              <w:rPr>
                <w:rFonts w:hint="eastAsia" w:ascii="宋体" w:hAnsi="宋体" w:cs="宋体"/>
                <w:szCs w:val="21"/>
                <w:highlight w:val="none"/>
                <w:u w:val="single"/>
                <w:lang w:eastAsia="zh-CN"/>
              </w:rPr>
              <w:t>）</w:t>
            </w:r>
          </w:p>
        </w:tc>
        <w:tc>
          <w:tcPr>
            <w:tcW w:w="5689" w:type="dxa"/>
            <w:vAlign w:val="center"/>
          </w:tcPr>
          <w:p>
            <w:pPr>
              <w:widowControl w:val="0"/>
              <w:snapToGrid w:val="0"/>
              <w:spacing w:line="360" w:lineRule="exact"/>
              <w:textAlignment w:val="auto"/>
              <w:rPr>
                <w:rFonts w:hint="eastAsia" w:ascii="宋体" w:hAnsi="宋体" w:cs="宋体"/>
                <w:szCs w:val="21"/>
                <w:highlight w:val="none"/>
                <w:u w:val="single"/>
              </w:rPr>
            </w:pPr>
            <w:r>
              <w:rPr>
                <w:rFonts w:hint="eastAsia" w:ascii="宋体" w:hAnsi="宋体" w:cs="宋体"/>
                <w:szCs w:val="21"/>
                <w:highlight w:val="none"/>
                <w:u w:val="single"/>
              </w:rPr>
              <w:t>1.根据《广东省政府采购促进中小企业发展实施细则(试行)》要求，对符合《政府采购促进中小企业发展管理办法》的投标人，给予相应的价格评审优惠。</w:t>
            </w:r>
          </w:p>
          <w:p>
            <w:pPr>
              <w:widowControl w:val="0"/>
              <w:snapToGrid w:val="0"/>
              <w:spacing w:line="360" w:lineRule="exact"/>
              <w:textAlignment w:val="auto"/>
              <w:rPr>
                <w:rFonts w:hint="eastAsia" w:ascii="宋体" w:hAnsi="宋体" w:cs="宋体"/>
                <w:szCs w:val="21"/>
                <w:highlight w:val="none"/>
                <w:u w:val="single"/>
              </w:rPr>
            </w:pPr>
            <w:r>
              <w:rPr>
                <w:rFonts w:hint="eastAsia" w:ascii="宋体" w:hAnsi="宋体" w:cs="宋体"/>
                <w:szCs w:val="21"/>
                <w:highlight w:val="none"/>
                <w:u w:val="single"/>
              </w:rPr>
              <w:t>2.本招标项目评标计算价格分时，对小微企业投标的，在采用原报价进行评分的基础上增加其价格得分的5%作为其价格分；对大中型企业与小微企业组成联合体或者允许大中型企业向一家或者多家小微企业分包(联合协议或者分包意向协议约定小微企业的合同份额占到合同总金额30</w:t>
            </w:r>
            <w:r>
              <w:rPr>
                <w:rFonts w:ascii="宋体" w:hAnsi="宋体" w:cs="宋体"/>
                <w:szCs w:val="21"/>
                <w:highlight w:val="none"/>
                <w:u w:val="single"/>
              </w:rPr>
              <w:t>%</w:t>
            </w:r>
            <w:r>
              <w:rPr>
                <w:rFonts w:hint="eastAsia" w:ascii="宋体" w:hAnsi="宋体" w:cs="宋体"/>
                <w:szCs w:val="21"/>
                <w:highlight w:val="none"/>
                <w:u w:val="single"/>
              </w:rPr>
              <w:t>（含30</w:t>
            </w:r>
            <w:r>
              <w:rPr>
                <w:rFonts w:ascii="宋体" w:hAnsi="宋体" w:cs="宋体"/>
                <w:szCs w:val="21"/>
                <w:highlight w:val="none"/>
                <w:u w:val="single"/>
              </w:rPr>
              <w:t>%</w:t>
            </w:r>
            <w:r>
              <w:rPr>
                <w:rFonts w:hint="eastAsia" w:ascii="宋体" w:hAnsi="宋体" w:cs="宋体"/>
                <w:szCs w:val="21"/>
                <w:highlight w:val="none"/>
                <w:u w:val="single"/>
              </w:rPr>
              <w:t>）以上)的，在采用原报价进行评分的基础上增加其价格得分的2%作为其价格分。若原报价已满分，仍可突破满分上限继续享受加分优惠，以实际计算结果作为最终价格分。</w:t>
            </w:r>
          </w:p>
          <w:p>
            <w:pPr>
              <w:widowControl w:val="0"/>
              <w:snapToGrid w:val="0"/>
              <w:spacing w:line="360" w:lineRule="exact"/>
              <w:textAlignment w:val="auto"/>
              <w:rPr>
                <w:rFonts w:hint="eastAsia" w:ascii="宋体" w:hAnsi="宋体" w:cs="宋体"/>
                <w:szCs w:val="21"/>
                <w:highlight w:val="none"/>
                <w:u w:val="single"/>
              </w:rPr>
            </w:pPr>
            <w:r>
              <w:rPr>
                <w:rFonts w:hint="eastAsia" w:ascii="宋体" w:hAnsi="宋体" w:cs="宋体"/>
                <w:szCs w:val="21"/>
                <w:highlight w:val="none"/>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widowControl w:val="0"/>
              <w:snapToGrid w:val="0"/>
              <w:spacing w:line="360" w:lineRule="exact"/>
              <w:textAlignment w:val="auto"/>
              <w:rPr>
                <w:rFonts w:hint="eastAsia" w:ascii="宋体" w:hAnsi="宋体" w:cs="宋体"/>
                <w:szCs w:val="21"/>
                <w:highlight w:val="none"/>
                <w:u w:val="single"/>
              </w:rPr>
            </w:pPr>
            <w:r>
              <w:rPr>
                <w:rFonts w:hint="eastAsia" w:ascii="宋体" w:hAnsi="宋体" w:cs="宋体"/>
                <w:szCs w:val="21"/>
                <w:highlight w:val="none"/>
                <w:u w:val="single"/>
              </w:rPr>
              <w:t>4.小微企业划分标准按照《工业和信息化部国家统计局国家发展和改革委员会财政部关于印发中小企业划型标准规定的通知》(工信部联企业(2011)300号)执行。本招标项目属于建筑业，</w:t>
            </w:r>
            <w:r>
              <w:rPr>
                <w:rFonts w:hint="eastAsia" w:ascii="宋体" w:hAnsi="宋体" w:cs="宋体"/>
                <w:color w:val="auto"/>
                <w:szCs w:val="21"/>
                <w:highlight w:val="none"/>
              </w:rPr>
              <w:t>本项目中小企业划分标准所属行业为建筑业</w:t>
            </w:r>
            <w:r>
              <w:rPr>
                <w:rFonts w:hint="eastAsia" w:ascii="宋体" w:hAnsi="宋体" w:cs="宋体"/>
                <w:color w:val="auto"/>
                <w:szCs w:val="21"/>
                <w:highlight w:val="none"/>
                <w:lang w:eastAsia="zh-CN"/>
              </w:rPr>
              <w:t>，</w:t>
            </w:r>
            <w:r>
              <w:rPr>
                <w:rFonts w:hint="eastAsia" w:ascii="宋体" w:hAnsi="宋体" w:cs="宋体"/>
                <w:szCs w:val="21"/>
                <w:highlight w:val="none"/>
                <w:u w:val="singl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widowControl w:val="0"/>
              <w:snapToGrid w:val="0"/>
              <w:spacing w:line="360" w:lineRule="exact"/>
              <w:textAlignment w:val="auto"/>
              <w:rPr>
                <w:rFonts w:hint="eastAsia" w:ascii="宋体" w:hAnsi="宋体" w:cs="宋体"/>
                <w:szCs w:val="21"/>
                <w:highlight w:val="none"/>
                <w:u w:val="single"/>
              </w:rPr>
            </w:pPr>
            <w:r>
              <w:rPr>
                <w:rFonts w:hint="eastAsia" w:ascii="宋体" w:hAnsi="宋体" w:cs="宋体"/>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pPr>
              <w:widowControl w:val="0"/>
              <w:snapToGrid w:val="0"/>
              <w:spacing w:line="360" w:lineRule="exact"/>
              <w:textAlignment w:val="auto"/>
              <w:rPr>
                <w:rFonts w:ascii="宋体" w:hAnsi="宋体" w:cs="宋体"/>
                <w:szCs w:val="21"/>
                <w:highlight w:val="none"/>
                <w:u w:val="single"/>
              </w:rPr>
            </w:pPr>
            <w:r>
              <w:rPr>
                <w:rFonts w:hint="eastAsia" w:ascii="宋体" w:hAnsi="宋体" w:cs="宋体"/>
                <w:szCs w:val="21"/>
                <w:highlight w:val="none"/>
                <w:u w:val="single"/>
              </w:rPr>
              <w:t>(2)</w:t>
            </w:r>
            <w:r>
              <w:rPr>
                <w:rFonts w:hint="eastAsia" w:ascii="宋体" w:hAnsi="宋体" w:cs="宋体"/>
                <w:b w:val="0"/>
                <w:szCs w:val="21"/>
                <w:highlight w:val="none"/>
                <w:u w:val="single"/>
              </w:rPr>
              <w:t>监狱企业</w:t>
            </w:r>
            <w:r>
              <w:rPr>
                <w:rFonts w:hint="eastAsia" w:ascii="宋体" w:hAnsi="宋体" w:cs="宋体"/>
                <w:szCs w:val="21"/>
                <w:highlight w:val="none"/>
                <w:u w:val="single"/>
              </w:rPr>
              <w:t>、残疾人福利性单位</w:t>
            </w:r>
            <w:r>
              <w:rPr>
                <w:rFonts w:hint="eastAsia" w:ascii="宋体" w:hAnsi="宋体" w:cs="宋体"/>
                <w:b w:val="0"/>
                <w:szCs w:val="21"/>
                <w:highlight w:val="none"/>
                <w:u w:val="single"/>
              </w:rPr>
              <w:t>视同小微企业。</w:t>
            </w:r>
          </w:p>
          <w:p>
            <w:pPr>
              <w:widowControl w:val="0"/>
              <w:snapToGrid w:val="0"/>
              <w:spacing w:line="360" w:lineRule="exact"/>
              <w:textAlignment w:val="auto"/>
              <w:rPr>
                <w:rFonts w:hint="eastAsia" w:ascii="宋体" w:hAnsi="宋体" w:cs="宋体"/>
                <w:szCs w:val="21"/>
                <w:highlight w:val="none"/>
                <w:u w:val="single"/>
              </w:rPr>
            </w:pPr>
            <w:r>
              <w:rPr>
                <w:rFonts w:hint="eastAsia" w:ascii="宋体" w:hAnsi="宋体" w:cs="宋体"/>
                <w:szCs w:val="21"/>
                <w:highlight w:val="none"/>
                <w:u w:val="single"/>
              </w:rPr>
              <w:t>(3)组成联合体或者接受分包合同的小微企业与联合体内其他企业、分包企业之间存在直接控股、管理关系的，不享受价格评分优惠。</w:t>
            </w:r>
          </w:p>
          <w:p>
            <w:pPr>
              <w:widowControl w:val="0"/>
              <w:snapToGrid w:val="0"/>
              <w:spacing w:line="360" w:lineRule="exact"/>
              <w:textAlignment w:val="auto"/>
              <w:rPr>
                <w:rFonts w:hint="eastAsia" w:ascii="宋体" w:hAnsi="宋体" w:cs="宋体"/>
                <w:szCs w:val="21"/>
                <w:highlight w:val="none"/>
                <w:u w:val="single"/>
              </w:rPr>
            </w:pPr>
            <w:r>
              <w:rPr>
                <w:rFonts w:hint="eastAsia" w:ascii="宋体" w:hAnsi="宋体" w:cs="宋体"/>
                <w:szCs w:val="21"/>
                <w:highlight w:val="none"/>
                <w:u w:val="single"/>
              </w:rPr>
              <w:t>(4)公示期间如有异议、投诉的，被异议、投诉单位需提供注册登记所在地的县级以上人民政府中小企业主管部门规定的认定材料或联系方式。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33" w:type="dxa"/>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39</w:t>
            </w:r>
          </w:p>
        </w:tc>
        <w:tc>
          <w:tcPr>
            <w:tcW w:w="944" w:type="dxa"/>
            <w:vAlign w:val="center"/>
          </w:tcPr>
          <w:p>
            <w:pPr>
              <w:spacing w:line="276" w:lineRule="auto"/>
              <w:jc w:val="center"/>
              <w:rPr>
                <w:rStyle w:val="59"/>
                <w:rFonts w:hint="eastAsia" w:ascii="宋体" w:hAnsi="宋体"/>
                <w:szCs w:val="21"/>
                <w:highlight w:val="none"/>
              </w:rPr>
            </w:pPr>
          </w:p>
        </w:tc>
        <w:tc>
          <w:tcPr>
            <w:tcW w:w="1494" w:type="dxa"/>
            <w:vAlign w:val="center"/>
          </w:tcPr>
          <w:p>
            <w:pPr>
              <w:spacing w:line="276" w:lineRule="auto"/>
              <w:jc w:val="center"/>
              <w:rPr>
                <w:rStyle w:val="59"/>
                <w:rFonts w:hint="eastAsia" w:ascii="宋体" w:hAnsi="宋体"/>
                <w:szCs w:val="21"/>
                <w:highlight w:val="none"/>
              </w:rPr>
            </w:pPr>
            <w:r>
              <w:rPr>
                <w:rFonts w:hint="eastAsia" w:ascii="宋体" w:hAnsi="宋体"/>
                <w:highlight w:val="none"/>
              </w:rPr>
              <w:t>其他</w:t>
            </w:r>
          </w:p>
        </w:tc>
        <w:tc>
          <w:tcPr>
            <w:tcW w:w="5689" w:type="dxa"/>
            <w:vAlign w:val="center"/>
          </w:tcPr>
          <w:p>
            <w:pPr>
              <w:spacing w:line="276" w:lineRule="auto"/>
              <w:jc w:val="left"/>
              <w:rPr>
                <w:highlight w:val="none"/>
                <w:lang w:bidi="ar"/>
              </w:rPr>
            </w:pPr>
            <w:r>
              <w:rPr>
                <w:rFonts w:hint="eastAsia"/>
                <w:highlight w:val="none"/>
              </w:rPr>
              <w:t>（1）</w:t>
            </w:r>
            <w:r>
              <w:rPr>
                <w:rFonts w:hint="eastAsia"/>
                <w:highlight w:val="none"/>
                <w:lang w:bidi="ar"/>
              </w:rPr>
              <w:t>中标单位在本项目中标候选人公示结束后3天内，须提供与递交投标文件电子标书内容一致且每页加盖单位公章的纸质文件四套（一正三副）及电子文件一套；包括用Microsoft Excel软件、广联达软件、广州公共资源交易中心提供的投标书制作软件制作的工程量清单报价表和单价分析表。电子文件介质使用CD-R光盘和U盘，所有电子文件不能采用压缩处理。</w:t>
            </w:r>
          </w:p>
          <w:p>
            <w:pPr>
              <w:spacing w:line="276" w:lineRule="auto"/>
              <w:jc w:val="left"/>
              <w:rPr>
                <w:highlight w:val="none"/>
              </w:rPr>
            </w:pPr>
            <w:r>
              <w:rPr>
                <w:rFonts w:hint="eastAsia"/>
                <w:highlight w:val="none"/>
                <w:lang w:bidi="ar"/>
              </w:rPr>
              <w:t>（2）温馨提示：本项目拟派的项目负责人不得在其他在建项目中任施工单位项目负责人（或项目经理），本项目拟派的专职安全员不得在其他在建项目中任职。</w:t>
            </w:r>
          </w:p>
          <w:p>
            <w:pPr>
              <w:spacing w:line="276" w:lineRule="auto"/>
              <w:rPr>
                <w:highlight w:val="none"/>
              </w:rPr>
            </w:pPr>
            <w:r>
              <w:rPr>
                <w:rFonts w:hint="eastAsia"/>
                <w:highlight w:val="none"/>
              </w:rPr>
              <w:t>（3）本项目招标代理服务费由中标人在领取《中标通知书》前一次性向招标代理机构足额支付。招标代理服务费以中标价作为计算基价，参考国家颁布的《招标代理服务收费管理暂行办法》（计价格[2002]1980号）和发改价格[2011]534号规定的工程类招标项目按招标代理合同约定下浮20%计算。本费用由投标人自行考虑，招标人不再另行支付。</w:t>
            </w:r>
          </w:p>
          <w:p>
            <w:pPr>
              <w:spacing w:line="276" w:lineRule="auto"/>
              <w:rPr>
                <w:highlight w:val="none"/>
              </w:rPr>
            </w:pPr>
            <w:r>
              <w:rPr>
                <w:rFonts w:hint="eastAsia"/>
                <w:highlight w:val="none"/>
              </w:rPr>
              <w:t>（4）关键节点：2025年1</w:t>
            </w:r>
            <w:r>
              <w:rPr>
                <w:rFonts w:hint="eastAsia"/>
                <w:highlight w:val="none"/>
                <w:lang w:val="en-US" w:eastAsia="zh-CN"/>
              </w:rPr>
              <w:t>1</w:t>
            </w:r>
            <w:r>
              <w:rPr>
                <w:rFonts w:hint="eastAsia"/>
                <w:highlight w:val="none"/>
              </w:rPr>
              <w:t>月3</w:t>
            </w:r>
            <w:r>
              <w:rPr>
                <w:rFonts w:hint="eastAsia"/>
                <w:highlight w:val="none"/>
                <w:lang w:val="en-US" w:eastAsia="zh-CN"/>
              </w:rPr>
              <w:t>0</w:t>
            </w:r>
            <w:r>
              <w:rPr>
                <w:rFonts w:hint="eastAsia"/>
                <w:highlight w:val="none"/>
              </w:rPr>
              <w:t>日前完成招标人指定的街区工程施工</w:t>
            </w:r>
            <w:r>
              <w:rPr>
                <w:rFonts w:hint="eastAsia"/>
                <w:highlight w:val="none"/>
                <w:lang w:eastAsia="zh-CN"/>
              </w:rPr>
              <w:t>（约</w:t>
            </w:r>
            <w:r>
              <w:rPr>
                <w:rFonts w:hint="eastAsia"/>
                <w:highlight w:val="none"/>
                <w:lang w:val="en-US" w:eastAsia="zh-CN"/>
              </w:rPr>
              <w:t>2500万元工程量</w:t>
            </w:r>
            <w:r>
              <w:rPr>
                <w:rFonts w:hint="eastAsia"/>
                <w:highlight w:val="none"/>
                <w:lang w:eastAsia="zh-CN"/>
              </w:rPr>
              <w:t>）</w:t>
            </w:r>
            <w:r>
              <w:rPr>
                <w:rFonts w:hint="eastAsia"/>
                <w:highlight w:val="none"/>
              </w:rPr>
              <w:t>，中标单位需</w:t>
            </w:r>
            <w:r>
              <w:rPr>
                <w:rFonts w:hint="eastAsia"/>
                <w:highlight w:val="none"/>
                <w:lang w:eastAsia="zh-CN"/>
              </w:rPr>
              <w:t>使用高空工程作业车进行高空作业，并</w:t>
            </w:r>
            <w:r>
              <w:rPr>
                <w:rFonts w:hint="eastAsia"/>
                <w:highlight w:val="none"/>
              </w:rPr>
              <w:t>同时多点施工。</w:t>
            </w:r>
          </w:p>
          <w:p>
            <w:pPr>
              <w:spacing w:line="276" w:lineRule="auto"/>
              <w:rPr>
                <w:highlight w:val="none"/>
              </w:rPr>
            </w:pPr>
            <w:r>
              <w:rPr>
                <w:rFonts w:hint="eastAsia"/>
                <w:highlight w:val="none"/>
              </w:rPr>
              <w:t>（5）投标文件签字或盖章要求：投标文件中需个人签字或盖章的，应加盖个人电子印章或在线下完成后扫描上传。投标文件按招标文件要求加盖单位电子印章，具体操作详见广州交易集团有限公司（广州公共资源交易中心）网站相关指引。联合体投标时，除《联合体工作协议》必须联合体各方分别按要求进行签字或盖章外，法定代表人证明书及授权委托证明书由联合体牵头方出具，其他资料若需要签字或盖章的均可由联合体牵头方签字或盖章；投标文件封面及其他内容及落款中的“投标人”应填写联合体各方的单位全称【格式示例：(主)单位全称(成)单位全称】，可由联合体牵头方签字或盖章即可。</w:t>
            </w:r>
          </w:p>
        </w:tc>
      </w:tr>
    </w:tbl>
    <w:p>
      <w:pPr>
        <w:pStyle w:val="151"/>
        <w:spacing w:line="276" w:lineRule="auto"/>
        <w:ind w:left="0"/>
        <w:jc w:val="left"/>
        <w:outlineLvl w:val="1"/>
        <w:rPr>
          <w:rFonts w:hint="eastAsia" w:ascii="宋体" w:hAnsi="宋体" w:cs="Courier New"/>
          <w:strike/>
          <w:color w:val="auto"/>
          <w:sz w:val="21"/>
          <w:szCs w:val="21"/>
          <w:highlight w:val="none"/>
        </w:rPr>
      </w:pPr>
      <w:bookmarkStart w:id="2" w:name="_Toc105005587"/>
      <w:bookmarkStart w:id="3" w:name="_Toc105014621"/>
      <w:r>
        <w:rPr>
          <w:rFonts w:hint="eastAsia" w:ascii="宋体" w:hAnsi="宋体" w:cs="Courier New"/>
          <w:strike/>
          <w:color w:val="auto"/>
          <w:sz w:val="21"/>
          <w:szCs w:val="21"/>
          <w:highlight w:val="none"/>
        </w:rPr>
        <w:t>注：企业的诚信综合评价排名以开标当天广州市工程招标代理行业协会网站施工企业专栏上公布的企业</w:t>
      </w:r>
      <w:r>
        <w:rPr>
          <w:rFonts w:ascii="宋体" w:hAnsi="宋体" w:cs="Courier New"/>
          <w:strike/>
          <w:color w:val="auto"/>
          <w:sz w:val="21"/>
          <w:szCs w:val="21"/>
          <w:highlight w:val="none"/>
        </w:rPr>
        <w:t>60日诚信分排名为准</w:t>
      </w:r>
      <w:r>
        <w:rPr>
          <w:rFonts w:hint="eastAsia" w:ascii="宋体" w:hAnsi="宋体" w:cs="Courier New"/>
          <w:strike/>
          <w:color w:val="auto"/>
          <w:sz w:val="21"/>
          <w:szCs w:val="21"/>
          <w:highlight w:val="none"/>
        </w:rPr>
        <w:t>，以下同。</w:t>
      </w:r>
      <w:bookmarkEnd w:id="2"/>
      <w:bookmarkEnd w:id="3"/>
    </w:p>
    <w:p>
      <w:pPr>
        <w:pStyle w:val="151"/>
        <w:spacing w:line="360" w:lineRule="auto"/>
        <w:outlineLvl w:val="1"/>
        <w:rPr>
          <w:rStyle w:val="59"/>
          <w:rFonts w:hint="eastAsia" w:ascii="宋体" w:hAnsi="宋体"/>
          <w:b/>
          <w:color w:val="auto"/>
          <w:highlight w:val="none"/>
        </w:rPr>
      </w:pPr>
      <w:r>
        <w:rPr>
          <w:rStyle w:val="59"/>
          <w:rFonts w:ascii="宋体" w:hAnsi="宋体"/>
          <w:b/>
          <w:color w:val="auto"/>
          <w:highlight w:val="none"/>
        </w:rPr>
        <w:br w:type="page"/>
      </w:r>
      <w:bookmarkStart w:id="4" w:name="_Toc105014622"/>
      <w:r>
        <w:rPr>
          <w:rStyle w:val="59"/>
          <w:rFonts w:ascii="宋体" w:hAnsi="宋体"/>
          <w:b/>
          <w:color w:val="auto"/>
          <w:highlight w:val="none"/>
        </w:rPr>
        <w:t>二、投标须知修改表</w:t>
      </w:r>
      <w:bookmarkEnd w:id="4"/>
    </w:p>
    <w:p>
      <w:pPr>
        <w:pStyle w:val="126"/>
        <w:spacing w:line="360" w:lineRule="auto"/>
        <w:rPr>
          <w:rStyle w:val="59"/>
          <w:rFonts w:hint="eastAsia" w:ascii="宋体" w:hAnsi="宋体"/>
          <w:b/>
          <w:sz w:val="21"/>
          <w:szCs w:val="21"/>
          <w:highlight w:val="none"/>
        </w:rPr>
      </w:pPr>
      <w:r>
        <w:rPr>
          <w:rStyle w:val="59"/>
          <w:rFonts w:ascii="宋体" w:hAnsi="宋体"/>
          <w:b/>
          <w:sz w:val="21"/>
          <w:szCs w:val="21"/>
          <w:highlight w:val="none"/>
        </w:rPr>
        <w:t>声明：</w:t>
      </w:r>
      <w:r>
        <w:rPr>
          <w:rStyle w:val="59"/>
          <w:rFonts w:hint="eastAsia" w:ascii="宋体" w:hAnsi="宋体"/>
          <w:b/>
          <w:sz w:val="21"/>
          <w:szCs w:val="21"/>
          <w:highlight w:val="none"/>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widowControl w:val="0"/>
        <w:pBdr>
          <w:bottom w:val="single" w:color="auto" w:sz="6" w:space="1"/>
        </w:pBdr>
        <w:spacing w:line="360" w:lineRule="auto"/>
        <w:ind w:firstLine="472" w:firstLineChars="224"/>
        <w:rPr>
          <w:rFonts w:hint="eastAsia" w:ascii="宋体" w:hAnsi="宋体" w:cs="宋体"/>
          <w:bCs/>
          <w:szCs w:val="21"/>
          <w:highlight w:val="none"/>
          <w:lang w:bidi="ar"/>
        </w:rPr>
      </w:pPr>
      <w:r>
        <w:rPr>
          <w:rFonts w:hint="eastAsia" w:ascii="宋体" w:hAnsi="宋体" w:cs="宋体"/>
          <w:b/>
          <w:szCs w:val="21"/>
          <w:highlight w:val="none"/>
          <w:lang w:bidi="ar"/>
        </w:rPr>
        <w:t>条款号：5.1              修改类型：修改</w:t>
      </w:r>
    </w:p>
    <w:p>
      <w:pPr>
        <w:widowControl w:val="0"/>
        <w:pBdr>
          <w:bottom w:val="single" w:color="auto" w:sz="6" w:space="1"/>
        </w:pBdr>
        <w:spacing w:line="360" w:lineRule="auto"/>
        <w:ind w:firstLine="472" w:firstLineChars="224"/>
        <w:rPr>
          <w:rFonts w:hint="eastAsia" w:ascii="宋体" w:hAnsi="宋体" w:cs="宋体"/>
          <w:bCs/>
          <w:szCs w:val="21"/>
          <w:highlight w:val="none"/>
          <w:lang w:bidi="ar"/>
        </w:rPr>
      </w:pPr>
      <w:r>
        <w:rPr>
          <w:rFonts w:hint="eastAsia" w:ascii="宋体" w:hAnsi="宋体" w:cs="宋体"/>
          <w:b/>
          <w:szCs w:val="21"/>
          <w:highlight w:val="none"/>
          <w:lang w:bidi="ar"/>
        </w:rPr>
        <w:t>原文：</w:t>
      </w:r>
      <w:r>
        <w:rPr>
          <w:rFonts w:hint="eastAsia" w:ascii="宋体" w:hAnsi="宋体" w:cs="宋体"/>
          <w:bCs/>
          <w:szCs w:val="21"/>
          <w:highlight w:val="none"/>
          <w:lang w:bidi="ar"/>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widowControl w:val="0"/>
        <w:pBdr>
          <w:bottom w:val="single" w:color="auto" w:sz="6" w:space="1"/>
        </w:pBdr>
        <w:spacing w:line="360" w:lineRule="auto"/>
        <w:ind w:firstLine="472" w:firstLineChars="224"/>
        <w:rPr>
          <w:rFonts w:hint="eastAsia" w:ascii="宋体" w:hAnsi="宋体" w:cs="宋体"/>
          <w:bCs/>
          <w:szCs w:val="21"/>
          <w:highlight w:val="none"/>
          <w:lang w:bidi="ar"/>
        </w:rPr>
      </w:pPr>
      <w:r>
        <w:rPr>
          <w:rFonts w:hint="eastAsia" w:ascii="宋体" w:hAnsi="宋体" w:cs="宋体"/>
          <w:b/>
          <w:szCs w:val="21"/>
          <w:highlight w:val="none"/>
          <w:lang w:bidi="ar"/>
        </w:rPr>
        <w:t>现文：</w:t>
      </w:r>
      <w:r>
        <w:rPr>
          <w:rFonts w:hint="eastAsia" w:ascii="宋体" w:hAnsi="宋体" w:cs="宋体"/>
          <w:bCs/>
          <w:szCs w:val="21"/>
          <w:highlight w:val="none"/>
          <w:lang w:bidi="ar"/>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bCs/>
          <w:szCs w:val="21"/>
          <w:highlight w:val="none"/>
          <w:u w:val="single"/>
          <w:lang w:bidi="ar"/>
        </w:rPr>
        <w:t>且充分考虑了现场各种因素。招标人不受理因投标人缺乏对现场条件的了解或掌握而提出的任何索赔。</w:t>
      </w:r>
      <w:r>
        <w:rPr>
          <w:rFonts w:hint="eastAsia" w:ascii="宋体" w:hAnsi="宋体" w:cs="宋体"/>
          <w:bCs/>
          <w:szCs w:val="21"/>
          <w:highlight w:val="none"/>
          <w:lang w:bidi="ar"/>
        </w:rPr>
        <w:t>考察现场的费用由投标人自己承担。</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条款号：8.1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hint="eastAsia" w:ascii="宋体" w:hAnsi="宋体"/>
          <w:b/>
          <w:szCs w:val="21"/>
          <w:highlight w:val="none"/>
        </w:rPr>
        <w:t>：</w:t>
      </w:r>
      <w:r>
        <w:rPr>
          <w:rStyle w:val="59"/>
          <w:rFonts w:ascii="宋体" w:hAnsi="宋体"/>
          <w:szCs w:val="21"/>
          <w:highlight w:val="none"/>
        </w:rPr>
        <w:t>8.1投标人若对招标文件（包括招标图纸）中有疑问，可以书面形式通过</w:t>
      </w:r>
      <w:r>
        <w:rPr>
          <w:rStyle w:val="59"/>
          <w:rFonts w:ascii="宋体" w:hAnsi="宋体"/>
          <w:szCs w:val="21"/>
          <w:highlight w:val="none"/>
          <w:u w:val="single"/>
        </w:rPr>
        <w:t xml:space="preserve">        </w:t>
      </w:r>
      <w:r>
        <w:rPr>
          <w:rStyle w:val="59"/>
          <w:rFonts w:ascii="宋体" w:hAnsi="宋体"/>
          <w:szCs w:val="21"/>
          <w:highlight w:val="none"/>
        </w:rPr>
        <w:t>交易平台提交给招标人或招标代理人，提交形式见本须知前附表第16项。</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8.1投标人若对招标文件</w:t>
      </w:r>
      <w:r>
        <w:rPr>
          <w:rStyle w:val="59"/>
          <w:rFonts w:ascii="宋体" w:hAnsi="宋体"/>
          <w:szCs w:val="21"/>
          <w:highlight w:val="none"/>
          <w:u w:val="single"/>
        </w:rPr>
        <w:t>（包括招标图纸、</w:t>
      </w:r>
      <w:r>
        <w:rPr>
          <w:rStyle w:val="59"/>
          <w:rFonts w:hint="eastAsia" w:ascii="宋体" w:hAnsi="宋体"/>
          <w:szCs w:val="21"/>
          <w:highlight w:val="none"/>
          <w:u w:val="single"/>
        </w:rPr>
        <w:t>招标工程量</w:t>
      </w:r>
      <w:r>
        <w:rPr>
          <w:rStyle w:val="59"/>
          <w:rFonts w:ascii="宋体" w:hAnsi="宋体"/>
          <w:szCs w:val="21"/>
          <w:highlight w:val="none"/>
          <w:u w:val="single"/>
        </w:rPr>
        <w:t>清单、合同条款等）</w:t>
      </w:r>
      <w:r>
        <w:rPr>
          <w:rStyle w:val="59"/>
          <w:rFonts w:ascii="宋体" w:hAnsi="宋体"/>
          <w:szCs w:val="21"/>
          <w:highlight w:val="none"/>
        </w:rPr>
        <w:t>中有疑问，可以书面形式通过</w:t>
      </w:r>
      <w:r>
        <w:rPr>
          <w:rStyle w:val="59"/>
          <w:rFonts w:ascii="宋体" w:hAnsi="宋体"/>
          <w:szCs w:val="21"/>
          <w:highlight w:val="none"/>
          <w:u w:val="single"/>
        </w:rPr>
        <w:t>广州公共资源交易中心</w:t>
      </w:r>
      <w:r>
        <w:rPr>
          <w:rStyle w:val="59"/>
          <w:rFonts w:ascii="宋体" w:hAnsi="宋体"/>
          <w:szCs w:val="21"/>
          <w:highlight w:val="none"/>
        </w:rPr>
        <w:t>交易平台提交给招标人或招标代理人，提交形式见本须知前附表第16项。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条款号：8.2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8.2招标答疑会会议纪要将在提交投标文件截止时间15日前在</w:t>
      </w:r>
      <w:r>
        <w:rPr>
          <w:rStyle w:val="59"/>
          <w:rFonts w:ascii="宋体" w:hAnsi="宋体"/>
          <w:szCs w:val="21"/>
          <w:highlight w:val="none"/>
          <w:u w:val="single"/>
        </w:rPr>
        <w:t xml:space="preserve">   </w:t>
      </w:r>
      <w:r>
        <w:rPr>
          <w:rStyle w:val="59"/>
          <w:rFonts w:ascii="宋体" w:hAnsi="宋体"/>
          <w:szCs w:val="21"/>
          <w:highlight w:val="none"/>
        </w:rPr>
        <w:t>交易平台 “项目答疑纪要”专区公开发布。答疑纪要一经在</w:t>
      </w:r>
      <w:r>
        <w:rPr>
          <w:rStyle w:val="59"/>
          <w:rFonts w:ascii="宋体" w:hAnsi="宋体"/>
          <w:szCs w:val="21"/>
          <w:highlight w:val="none"/>
          <w:u w:val="single"/>
        </w:rPr>
        <w:t xml:space="preserve">   </w:t>
      </w:r>
      <w:r>
        <w:rPr>
          <w:rStyle w:val="59"/>
          <w:rFonts w:ascii="宋体" w:hAnsi="宋体"/>
          <w:szCs w:val="21"/>
          <w:highlight w:val="none"/>
        </w:rPr>
        <w:t>交易平台发布，视作已发放给所有投标人。</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8.2招标答疑会会议纪要将在提交投标文件截止时间15日前在</w:t>
      </w:r>
      <w:r>
        <w:rPr>
          <w:rStyle w:val="59"/>
          <w:rFonts w:hint="eastAsia" w:ascii="宋体" w:hAnsi="宋体"/>
          <w:szCs w:val="21"/>
          <w:highlight w:val="none"/>
          <w:u w:val="single"/>
        </w:rPr>
        <w:t>广州交易集团有限公司（广州公共资源交易中心）</w:t>
      </w:r>
      <w:r>
        <w:rPr>
          <w:rStyle w:val="59"/>
          <w:rFonts w:ascii="宋体" w:hAnsi="宋体"/>
          <w:szCs w:val="21"/>
          <w:highlight w:val="none"/>
        </w:rPr>
        <w:t>交易平台“项目答疑纪要”专区公开发布。答疑纪要一经在</w:t>
      </w:r>
      <w:r>
        <w:rPr>
          <w:rStyle w:val="59"/>
          <w:rFonts w:hint="eastAsia" w:ascii="宋体" w:hAnsi="宋体"/>
          <w:szCs w:val="21"/>
          <w:highlight w:val="none"/>
          <w:u w:val="single"/>
        </w:rPr>
        <w:t>广州交易集团有限公司（广州公共资源交易中心）</w:t>
      </w:r>
      <w:r>
        <w:rPr>
          <w:rStyle w:val="59"/>
          <w:rFonts w:ascii="宋体" w:hAnsi="宋体"/>
          <w:szCs w:val="21"/>
          <w:highlight w:val="none"/>
        </w:rPr>
        <w:t>交易平台发布，视作已发放给所有投标人。</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条款号：9.2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9.2招标文件的澄清或修改将在</w:t>
      </w:r>
      <w:r>
        <w:rPr>
          <w:rStyle w:val="59"/>
          <w:rFonts w:ascii="宋体" w:hAnsi="宋体"/>
          <w:szCs w:val="21"/>
          <w:highlight w:val="none"/>
          <w:u w:val="single"/>
        </w:rPr>
        <w:t xml:space="preserve">        </w:t>
      </w:r>
      <w:r>
        <w:rPr>
          <w:rStyle w:val="59"/>
          <w:rFonts w:ascii="宋体" w:hAnsi="宋体"/>
          <w:szCs w:val="21"/>
          <w:highlight w:val="none"/>
        </w:rPr>
        <w:t>交易平台“项目答疑纪要”专区公开发布。答疑纪要一经在</w:t>
      </w:r>
      <w:r>
        <w:rPr>
          <w:rStyle w:val="59"/>
          <w:rFonts w:ascii="宋体" w:hAnsi="宋体"/>
          <w:szCs w:val="21"/>
          <w:highlight w:val="none"/>
          <w:u w:val="single"/>
        </w:rPr>
        <w:t xml:space="preserve">        </w:t>
      </w:r>
      <w:r>
        <w:rPr>
          <w:rStyle w:val="59"/>
          <w:rFonts w:ascii="宋体" w:hAnsi="宋体"/>
          <w:szCs w:val="21"/>
          <w:highlight w:val="none"/>
        </w:rPr>
        <w:t>交易平台发布，视作已发放给所有投标人，以</w:t>
      </w:r>
      <w:r>
        <w:rPr>
          <w:rStyle w:val="59"/>
          <w:rFonts w:ascii="宋体" w:hAnsi="宋体"/>
          <w:szCs w:val="21"/>
          <w:highlight w:val="none"/>
          <w:u w:val="single"/>
        </w:rPr>
        <w:t xml:space="preserve">        </w:t>
      </w:r>
      <w:r>
        <w:rPr>
          <w:rStyle w:val="59"/>
          <w:rFonts w:ascii="宋体" w:hAnsi="宋体"/>
          <w:szCs w:val="21"/>
          <w:highlight w:val="none"/>
        </w:rPr>
        <w:t>交易平台上网发布时间作为送达时间。</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9.2招标文件的澄清或修改将在</w:t>
      </w:r>
      <w:r>
        <w:rPr>
          <w:rStyle w:val="59"/>
          <w:rFonts w:hint="eastAsia" w:ascii="宋体" w:hAnsi="宋体"/>
          <w:szCs w:val="21"/>
          <w:highlight w:val="none"/>
          <w:u w:val="single"/>
        </w:rPr>
        <w:t>广州交易集团有限公司（广州公共资源交易中心）</w:t>
      </w:r>
      <w:r>
        <w:rPr>
          <w:rStyle w:val="59"/>
          <w:rFonts w:ascii="宋体" w:hAnsi="宋体"/>
          <w:szCs w:val="21"/>
          <w:highlight w:val="none"/>
        </w:rPr>
        <w:t>交易平台“项目答疑纪要”专区公开发布。答疑纪要一经在</w:t>
      </w:r>
      <w:r>
        <w:rPr>
          <w:rStyle w:val="59"/>
          <w:rFonts w:hint="eastAsia" w:ascii="宋体" w:hAnsi="宋体"/>
          <w:szCs w:val="21"/>
          <w:highlight w:val="none"/>
          <w:u w:val="single"/>
        </w:rPr>
        <w:t>广州交易集团有限公司（广州公共资源交易中心）</w:t>
      </w:r>
      <w:r>
        <w:rPr>
          <w:rStyle w:val="59"/>
          <w:rFonts w:ascii="宋体" w:hAnsi="宋体"/>
          <w:szCs w:val="21"/>
          <w:highlight w:val="none"/>
        </w:rPr>
        <w:t>交易平台发布，视作已发放给所有投标人，以</w:t>
      </w:r>
      <w:r>
        <w:rPr>
          <w:rStyle w:val="59"/>
          <w:rFonts w:hint="eastAsia" w:ascii="宋体" w:hAnsi="宋体"/>
          <w:szCs w:val="21"/>
          <w:highlight w:val="none"/>
          <w:u w:val="single"/>
        </w:rPr>
        <w:t>广州交易集团有限公司（广州公共资源交易中心）</w:t>
      </w:r>
      <w:r>
        <w:rPr>
          <w:rStyle w:val="59"/>
          <w:rFonts w:ascii="宋体" w:hAnsi="宋体"/>
          <w:szCs w:val="21"/>
          <w:highlight w:val="none"/>
        </w:rPr>
        <w:t>交易平台上网发布时间作为送达时间。</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条款号：9.4          修改类型：修改</w:t>
      </w:r>
    </w:p>
    <w:p>
      <w:pP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原文：</w:t>
      </w:r>
      <w:r>
        <w:rPr>
          <w:rStyle w:val="59"/>
          <w:rFonts w:ascii="宋体" w:hAnsi="宋体"/>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bCs/>
          <w:szCs w:val="21"/>
          <w:highlight w:val="none"/>
        </w:rPr>
        <w:t>现文：</w:t>
      </w:r>
      <w:r>
        <w:rPr>
          <w:rStyle w:val="59"/>
          <w:rFonts w:ascii="宋体" w:hAnsi="宋体"/>
          <w:szCs w:val="21"/>
          <w:highlight w:val="none"/>
        </w:rPr>
        <w:t>9.4</w:t>
      </w:r>
      <w:r>
        <w:rPr>
          <w:rStyle w:val="59"/>
          <w:rFonts w:ascii="宋体" w:hAnsi="宋体"/>
          <w:szCs w:val="21"/>
          <w:highlight w:val="none"/>
          <w:u w:val="single"/>
        </w:rPr>
        <w:t>招标文件的澄清或修改将在</w:t>
      </w:r>
      <w:r>
        <w:rPr>
          <w:rStyle w:val="59"/>
          <w:rFonts w:hint="eastAsia" w:ascii="宋体" w:hAnsi="宋体"/>
          <w:szCs w:val="21"/>
          <w:highlight w:val="none"/>
          <w:u w:val="single"/>
        </w:rPr>
        <w:t>广州交易集团有限公司（广州公共资源交易中心）</w:t>
      </w:r>
      <w:r>
        <w:rPr>
          <w:rStyle w:val="59"/>
          <w:rFonts w:ascii="宋体" w:hAnsi="宋体"/>
          <w:szCs w:val="21"/>
          <w:highlight w:val="none"/>
          <w:u w:val="single"/>
        </w:rPr>
        <w:t>交易平台“项目答疑纪要”专区公开发布。</w:t>
      </w:r>
      <w:r>
        <w:rPr>
          <w:rStyle w:val="59"/>
          <w:rFonts w:ascii="宋体" w:hAnsi="宋体"/>
          <w:szCs w:val="21"/>
          <w:highlight w:val="none"/>
        </w:rPr>
        <w:t>当招标文件的澄清、修改、补充等在同一内容的表述不一致时，以最后发出的文件为准。</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条款号：11.2          修改类型：修改</w:t>
      </w:r>
    </w:p>
    <w:p>
      <w:pP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原文：</w:t>
      </w:r>
      <w:r>
        <w:rPr>
          <w:rStyle w:val="59"/>
          <w:rFonts w:ascii="宋体" w:hAnsi="宋体"/>
          <w:bCs/>
          <w:szCs w:val="21"/>
          <w:highlight w:val="none"/>
        </w:rPr>
        <w:t>11.2投标文件技术标部分主要包括下列内容</w:t>
      </w:r>
      <w:r>
        <w:rPr>
          <w:rStyle w:val="59"/>
          <w:rFonts w:hint="eastAsia" w:ascii="宋体" w:hAnsi="宋体"/>
          <w:bCs/>
          <w:szCs w:val="21"/>
          <w:highlight w:val="none"/>
        </w:rPr>
        <w:t>：</w:t>
      </w:r>
    </w:p>
    <w:p>
      <w:pPr>
        <w:spacing w:line="360" w:lineRule="auto"/>
        <w:ind w:firstLine="420" w:firstLineChars="200"/>
        <w:rPr>
          <w:rStyle w:val="59"/>
          <w:rFonts w:hint="eastAsia" w:ascii="宋体" w:hAnsi="宋体"/>
          <w:bCs/>
          <w:szCs w:val="21"/>
          <w:highlight w:val="none"/>
        </w:rPr>
      </w:pPr>
      <w:r>
        <w:rPr>
          <w:rStyle w:val="59"/>
          <w:rFonts w:ascii="宋体" w:hAnsi="宋体"/>
          <w:bCs/>
          <w:szCs w:val="21"/>
          <w:highlight w:val="none"/>
        </w:rPr>
        <w:t>11.2.1 技术投标文件</w:t>
      </w:r>
      <w:r>
        <w:rPr>
          <w:rStyle w:val="59"/>
          <w:rFonts w:ascii="宋体" w:hAnsi="宋体"/>
          <w:szCs w:val="21"/>
          <w:highlight w:val="none"/>
        </w:rPr>
        <w:t>(按招标文件的要求填写)</w:t>
      </w:r>
      <w:r>
        <w:rPr>
          <w:rStyle w:val="59"/>
          <w:rFonts w:ascii="宋体" w:hAnsi="宋体"/>
          <w:bCs/>
          <w:szCs w:val="21"/>
          <w:highlight w:val="none"/>
        </w:rPr>
        <w:t>；</w:t>
      </w:r>
    </w:p>
    <w:p>
      <w:pPr>
        <w:spacing w:line="360" w:lineRule="auto"/>
        <w:ind w:firstLine="420" w:firstLineChars="200"/>
        <w:rPr>
          <w:rStyle w:val="59"/>
          <w:rFonts w:hint="eastAsia" w:ascii="宋体" w:hAnsi="宋体"/>
          <w:bCs/>
          <w:szCs w:val="21"/>
          <w:highlight w:val="none"/>
        </w:rPr>
      </w:pPr>
      <w:r>
        <w:rPr>
          <w:rStyle w:val="59"/>
          <w:rFonts w:ascii="宋体" w:hAnsi="宋体"/>
          <w:bCs/>
          <w:szCs w:val="21"/>
          <w:highlight w:val="none"/>
        </w:rPr>
        <w:t>11.2.2 资格审查文件：</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（1）投标人声明；</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（2）法定代表人证明书、法定代表人签字或盖章的本投标文件授权委托证明书；</w:t>
      </w:r>
    </w:p>
    <w:p>
      <w:pPr>
        <w:spacing w:line="440" w:lineRule="exact"/>
        <w:ind w:firstLine="420" w:firstLineChars="200"/>
        <w:rPr>
          <w:rFonts w:hint="eastAsia" w:ascii="宋体" w:hAnsi="宋体"/>
          <w:bCs/>
          <w:szCs w:val="21"/>
          <w:highlight w:val="none"/>
        </w:rPr>
      </w:pPr>
      <w:r>
        <w:rPr>
          <w:rFonts w:hint="eastAsia" w:ascii="宋体" w:hAnsi="宋体"/>
          <w:bCs/>
          <w:szCs w:val="21"/>
          <w:highlight w:val="none"/>
        </w:rPr>
        <w:t>（3）企业营业执照扫描件或电子证照；</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（4）企业资质证书扫描件或电子证照；</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（5）建筑施工企业安全生产许可证扫描件或电子证照；</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（6）项目负责人（按网上投标登记时选择拟投入本项目的项目负责人）；</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（7）专职安全员（按网上投标登记时选择拟投入本项目的专职安全员）；</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（8）拟委托技术负责人的相关证书、资料（具体要求由招标人明确）；</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（9）拟委派项目负责人的有效期内的建造师注册证书扫描件或电子证书； </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（10）项目负责人在有效期内的安全生产考核合格证书（B类）或建筑施工企业项目负责人安全生产考核合格证书扫描件或电子证书；</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（11）专职安全员须具有在有效期内的安全生产考核合格证书（C类）或建筑施工企业专职安全生产管理人员安全生产考核合格证书扫描件或电子证书；</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（12）用于资格审查的业绩（设置业绩要求时选择此项，投标人</w:t>
      </w:r>
      <w:r>
        <w:rPr>
          <w:rFonts w:hint="eastAsia" w:ascii="宋体" w:hAnsi="宋体"/>
          <w:szCs w:val="21"/>
          <w:highlight w:val="none"/>
        </w:rPr>
        <w:t>须提供类似工程业绩的项目名称及项目编号，具体格式由招标人自定</w:t>
      </w:r>
      <w:r>
        <w:rPr>
          <w:rFonts w:hint="eastAsia" w:ascii="宋体" w:hAnsi="宋体"/>
          <w:bCs/>
          <w:szCs w:val="21"/>
          <w:highlight w:val="none"/>
        </w:rPr>
        <w:t>）；</w:t>
      </w:r>
    </w:p>
    <w:p>
      <w:pPr>
        <w:tabs>
          <w:tab w:val="left" w:pos="4410"/>
        </w:tabs>
        <w:spacing w:line="360" w:lineRule="auto"/>
        <w:ind w:firstLine="420" w:firstLineChars="200"/>
        <w:rPr>
          <w:rFonts w:hint="eastAsia" w:ascii="宋体" w:hAnsi="宋体"/>
          <w:bCs/>
          <w:szCs w:val="21"/>
          <w:highlight w:val="none"/>
        </w:rPr>
      </w:pPr>
      <w:r>
        <w:rPr>
          <w:rFonts w:hint="eastAsia" w:ascii="宋体" w:hAnsi="宋体"/>
          <w:bCs/>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注：1.相关电子证书按规定需打印后手写本人签名的，应按照规定手写本人签名后再扫描提交。</w:t>
      </w:r>
    </w:p>
    <w:p>
      <w:pPr>
        <w:spacing w:line="360" w:lineRule="auto"/>
        <w:ind w:firstLine="420" w:firstLineChars="200"/>
        <w:rPr>
          <w:rStyle w:val="59"/>
          <w:rFonts w:hint="eastAsia" w:ascii="宋体" w:hAnsi="宋体"/>
          <w:bCs/>
          <w:szCs w:val="21"/>
          <w:highlight w:val="none"/>
        </w:rPr>
      </w:pPr>
      <w:r>
        <w:rPr>
          <w:rFonts w:hint="eastAsia" w:ascii="宋体" w:hAnsi="宋体"/>
          <w:bCs/>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20" w:firstLineChars="200"/>
        <w:rPr>
          <w:rStyle w:val="59"/>
          <w:rFonts w:hint="eastAsia" w:ascii="宋体" w:hAnsi="宋体"/>
          <w:bCs/>
          <w:szCs w:val="21"/>
          <w:highlight w:val="none"/>
        </w:rPr>
      </w:pPr>
      <w:r>
        <w:rPr>
          <w:rStyle w:val="59"/>
          <w:rFonts w:ascii="宋体" w:hAnsi="宋体"/>
          <w:szCs w:val="21"/>
          <w:highlight w:val="none"/>
        </w:rPr>
        <w:t>11.2.3项目管理机构配备。</w:t>
      </w:r>
    </w:p>
    <w:p>
      <w:pPr>
        <w:spacing w:line="360" w:lineRule="auto"/>
        <w:ind w:firstLine="420" w:firstLineChars="200"/>
        <w:rPr>
          <w:rFonts w:hint="eastAsia" w:ascii="宋体" w:hAnsi="宋体"/>
          <w:bCs/>
          <w:szCs w:val="21"/>
          <w:highlight w:val="none"/>
        </w:rPr>
      </w:pPr>
      <w:r>
        <w:rPr>
          <w:rFonts w:hint="eastAsia" w:ascii="宋体" w:hAnsi="宋体"/>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bCs/>
          <w:szCs w:val="21"/>
          <w:highlight w:val="none"/>
        </w:rPr>
      </w:pPr>
      <w:r>
        <w:rPr>
          <w:rFonts w:hint="eastAsia" w:ascii="宋体" w:hAnsi="宋体"/>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Style w:val="59"/>
          <w:rFonts w:hint="eastAsia" w:ascii="宋体" w:hAnsi="宋体"/>
          <w:bCs/>
          <w:szCs w:val="21"/>
          <w:highlight w:val="none"/>
        </w:rPr>
      </w:pPr>
      <w:r>
        <w:rPr>
          <w:rFonts w:hint="eastAsia" w:ascii="宋体" w:hAnsi="宋体"/>
          <w:szCs w:val="21"/>
          <w:highlight w:val="none"/>
        </w:rPr>
        <w:t>（3）其他辅助说明资料。</w:t>
      </w:r>
    </w:p>
    <w:p>
      <w:pPr>
        <w:spacing w:line="360" w:lineRule="auto"/>
        <w:ind w:firstLine="420" w:firstLineChars="200"/>
        <w:rPr>
          <w:rStyle w:val="59"/>
          <w:rFonts w:hint="eastAsia" w:ascii="宋体" w:hAnsi="宋体"/>
          <w:bCs/>
          <w:szCs w:val="21"/>
          <w:highlight w:val="none"/>
        </w:rPr>
      </w:pPr>
      <w:r>
        <w:rPr>
          <w:rStyle w:val="59"/>
          <w:rFonts w:ascii="宋体" w:hAnsi="宋体"/>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Style w:val="59"/>
          <w:rFonts w:hint="eastAsia" w:ascii="宋体" w:hAnsi="宋体"/>
          <w:szCs w:val="21"/>
          <w:highlight w:val="none"/>
        </w:rPr>
      </w:pPr>
      <w:r>
        <w:rPr>
          <w:rStyle w:val="59"/>
          <w:rFonts w:ascii="宋体" w:hAnsi="宋体"/>
          <w:szCs w:val="21"/>
          <w:highlight w:val="none"/>
        </w:rPr>
        <w:t>11.2.5施工组织设计或施工方案。</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（1）投标人在编制施工组织设计或施工方案时应按照招标人提出的施工现场建筑垃圾源头减量的具体要求以及建筑垃圾综合利用产品的使用要求提供相应措施。</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spacing w:line="360" w:lineRule="auto"/>
        <w:ind w:firstLine="420" w:firstLineChars="200"/>
        <w:rPr>
          <w:rStyle w:val="59"/>
          <w:rFonts w:hint="eastAsia" w:ascii="宋体" w:hAnsi="宋体"/>
          <w:bCs/>
          <w:szCs w:val="21"/>
          <w:highlight w:val="none"/>
        </w:rPr>
      </w:pPr>
      <w:r>
        <w:rPr>
          <w:rStyle w:val="59"/>
          <w:rFonts w:ascii="宋体" w:hAnsi="宋体"/>
          <w:szCs w:val="21"/>
          <w:highlight w:val="none"/>
        </w:rPr>
        <w:t>11.2.6按照</w:t>
      </w:r>
      <w:r>
        <w:rPr>
          <w:rStyle w:val="59"/>
          <w:rFonts w:ascii="宋体" w:hAnsi="宋体"/>
          <w:bCs/>
          <w:szCs w:val="21"/>
          <w:highlight w:val="none"/>
        </w:rPr>
        <w:t>招标文件要求</w:t>
      </w:r>
      <w:r>
        <w:rPr>
          <w:rStyle w:val="59"/>
          <w:rFonts w:ascii="宋体" w:hAnsi="宋体"/>
          <w:szCs w:val="21"/>
          <w:highlight w:val="none"/>
        </w:rPr>
        <w:t>填写的《参与编制技术标投标文件人员名单》。</w:t>
      </w:r>
    </w:p>
    <w:p>
      <w:pP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现文：</w:t>
      </w:r>
      <w:r>
        <w:rPr>
          <w:rStyle w:val="59"/>
          <w:rFonts w:ascii="宋体" w:hAnsi="宋体"/>
          <w:bCs/>
          <w:szCs w:val="21"/>
          <w:highlight w:val="none"/>
        </w:rPr>
        <w:t>11.2投标文件技术标部分主要包括下列内容:</w:t>
      </w:r>
    </w:p>
    <w:p>
      <w:pPr>
        <w:spacing w:line="360" w:lineRule="auto"/>
        <w:ind w:firstLine="420" w:firstLineChars="200"/>
        <w:rPr>
          <w:rStyle w:val="59"/>
          <w:rFonts w:hint="eastAsia" w:ascii="宋体" w:hAnsi="宋体"/>
          <w:bCs/>
          <w:szCs w:val="21"/>
          <w:highlight w:val="none"/>
        </w:rPr>
      </w:pPr>
      <w:r>
        <w:rPr>
          <w:rStyle w:val="59"/>
          <w:rFonts w:ascii="宋体" w:hAnsi="宋体"/>
          <w:bCs/>
          <w:szCs w:val="21"/>
          <w:highlight w:val="none"/>
        </w:rPr>
        <w:t>11.2.1 技术投标文件</w:t>
      </w:r>
      <w:r>
        <w:rPr>
          <w:rStyle w:val="59"/>
          <w:rFonts w:ascii="宋体" w:hAnsi="宋体"/>
          <w:szCs w:val="21"/>
          <w:highlight w:val="none"/>
        </w:rPr>
        <w:t>(按招标文件的要求填写)</w:t>
      </w:r>
      <w:r>
        <w:rPr>
          <w:rStyle w:val="59"/>
          <w:rFonts w:ascii="宋体" w:hAnsi="宋体"/>
          <w:bCs/>
          <w:szCs w:val="21"/>
          <w:highlight w:val="none"/>
        </w:rPr>
        <w:t>；</w:t>
      </w:r>
    </w:p>
    <w:p>
      <w:pPr>
        <w:spacing w:line="360" w:lineRule="auto"/>
        <w:ind w:firstLine="420" w:firstLineChars="200"/>
        <w:rPr>
          <w:rStyle w:val="59"/>
          <w:rFonts w:hint="eastAsia" w:ascii="宋体" w:hAnsi="宋体"/>
          <w:bCs/>
          <w:szCs w:val="21"/>
          <w:highlight w:val="none"/>
          <w:u w:val="single"/>
        </w:rPr>
      </w:pPr>
      <w:r>
        <w:rPr>
          <w:rStyle w:val="59"/>
          <w:rFonts w:ascii="宋体" w:hAnsi="宋体"/>
          <w:bCs/>
          <w:szCs w:val="21"/>
          <w:highlight w:val="none"/>
          <w:u w:val="single"/>
        </w:rPr>
        <w:t>（1）广州建设工程施工招标投标书</w:t>
      </w:r>
      <w:r>
        <w:rPr>
          <w:rStyle w:val="59"/>
          <w:rFonts w:hint="eastAsia" w:ascii="宋体" w:hAnsi="宋体"/>
          <w:bCs/>
          <w:szCs w:val="21"/>
          <w:highlight w:val="none"/>
          <w:u w:val="single"/>
        </w:rPr>
        <w:t>（技术标）</w:t>
      </w:r>
      <w:r>
        <w:rPr>
          <w:rStyle w:val="59"/>
          <w:rFonts w:hint="eastAsia" w:ascii="宋体" w:hAnsi="宋体"/>
          <w:highlight w:val="none"/>
          <w:u w:val="single"/>
        </w:rPr>
        <w:t>（按招标文件第四章技术标投标文件格式）</w:t>
      </w:r>
      <w:r>
        <w:rPr>
          <w:rStyle w:val="59"/>
          <w:rFonts w:ascii="宋体" w:hAnsi="宋体"/>
          <w:bCs/>
          <w:szCs w:val="21"/>
          <w:highlight w:val="none"/>
          <w:u w:val="single"/>
        </w:rPr>
        <w:t>；</w:t>
      </w:r>
    </w:p>
    <w:p>
      <w:pPr>
        <w:spacing w:line="360" w:lineRule="auto"/>
        <w:ind w:firstLine="420" w:firstLineChars="200"/>
        <w:rPr>
          <w:rStyle w:val="59"/>
          <w:rFonts w:hint="eastAsia" w:ascii="宋体" w:hAnsi="宋体"/>
          <w:bCs/>
          <w:szCs w:val="21"/>
          <w:highlight w:val="none"/>
        </w:rPr>
      </w:pPr>
      <w:r>
        <w:rPr>
          <w:rStyle w:val="59"/>
          <w:rFonts w:ascii="宋体" w:hAnsi="宋体"/>
          <w:bCs/>
          <w:szCs w:val="21"/>
          <w:highlight w:val="none"/>
        </w:rPr>
        <w:t>11.2.2 资格审查文件：</w:t>
      </w:r>
    </w:p>
    <w:p>
      <w:pPr>
        <w:spacing w:line="360" w:lineRule="auto"/>
        <w:ind w:firstLine="420" w:firstLineChars="200"/>
        <w:rPr>
          <w:rStyle w:val="59"/>
          <w:rFonts w:hint="eastAsia" w:ascii="宋体" w:hAnsi="宋体"/>
          <w:highlight w:val="none"/>
        </w:rPr>
      </w:pPr>
      <w:r>
        <w:rPr>
          <w:rStyle w:val="59"/>
          <w:rFonts w:ascii="宋体" w:hAnsi="宋体"/>
          <w:bCs/>
          <w:szCs w:val="21"/>
          <w:highlight w:val="none"/>
        </w:rPr>
        <w:t>（1）投标人声</w:t>
      </w:r>
      <w:r>
        <w:rPr>
          <w:rStyle w:val="59"/>
          <w:rFonts w:ascii="宋体" w:hAnsi="宋体"/>
          <w:highlight w:val="none"/>
        </w:rPr>
        <w:t xml:space="preserve">明； </w:t>
      </w:r>
    </w:p>
    <w:p>
      <w:pPr>
        <w:spacing w:line="360" w:lineRule="auto"/>
        <w:ind w:firstLine="420" w:firstLineChars="200"/>
        <w:rPr>
          <w:rStyle w:val="59"/>
          <w:rFonts w:hint="eastAsia" w:ascii="宋体" w:hAnsi="宋体"/>
          <w:highlight w:val="none"/>
        </w:rPr>
      </w:pPr>
      <w:r>
        <w:rPr>
          <w:rStyle w:val="59"/>
          <w:rFonts w:ascii="宋体" w:hAnsi="宋体"/>
          <w:highlight w:val="none"/>
        </w:rPr>
        <w:t>（2）法定代表人证明书、法定代表人签字或盖章的本投标文件授权委托证明书</w:t>
      </w:r>
      <w:r>
        <w:rPr>
          <w:rFonts w:hint="eastAsia" w:ascii="宋体" w:hAnsi="宋体"/>
          <w:bCs/>
          <w:szCs w:val="21"/>
          <w:highlight w:val="none"/>
        </w:rPr>
        <w:t>（联合体投标的，由联合体牵头方提供）</w:t>
      </w:r>
      <w:r>
        <w:rPr>
          <w:rStyle w:val="59"/>
          <w:rFonts w:ascii="宋体" w:hAnsi="宋体"/>
          <w:highlight w:val="none"/>
        </w:rPr>
        <w:t>；</w:t>
      </w:r>
    </w:p>
    <w:p>
      <w:pPr>
        <w:spacing w:line="360" w:lineRule="auto"/>
        <w:ind w:firstLine="420" w:firstLineChars="200"/>
        <w:rPr>
          <w:rStyle w:val="59"/>
          <w:rFonts w:hint="eastAsia" w:ascii="宋体" w:hAnsi="宋体"/>
          <w:highlight w:val="none"/>
        </w:rPr>
      </w:pPr>
      <w:r>
        <w:rPr>
          <w:rStyle w:val="59"/>
          <w:rFonts w:ascii="宋体" w:hAnsi="宋体"/>
          <w:highlight w:val="none"/>
        </w:rPr>
        <w:t>（3）</w:t>
      </w:r>
      <w:r>
        <w:rPr>
          <w:rStyle w:val="59"/>
          <w:rFonts w:hint="eastAsia" w:ascii="宋体" w:hAnsi="宋体"/>
          <w:highlight w:val="none"/>
        </w:rPr>
        <w:t>企业营业执照扫描件或电子证照</w:t>
      </w:r>
      <w:r>
        <w:rPr>
          <w:rFonts w:hint="eastAsia" w:ascii="宋体" w:hAnsi="宋体"/>
          <w:bCs/>
          <w:szCs w:val="21"/>
          <w:highlight w:val="none"/>
        </w:rPr>
        <w:t>（联合体投标的，由联合体牵头方提供）</w:t>
      </w:r>
      <w:r>
        <w:rPr>
          <w:rStyle w:val="59"/>
          <w:rFonts w:ascii="宋体" w:hAnsi="宋体"/>
          <w:highlight w:val="none"/>
        </w:rPr>
        <w:t>；</w:t>
      </w:r>
    </w:p>
    <w:p>
      <w:pPr>
        <w:spacing w:line="360" w:lineRule="auto"/>
        <w:ind w:firstLine="420" w:firstLineChars="200"/>
        <w:rPr>
          <w:rStyle w:val="59"/>
          <w:rFonts w:hint="eastAsia" w:ascii="宋体" w:hAnsi="宋体"/>
          <w:highlight w:val="none"/>
        </w:rPr>
      </w:pPr>
      <w:r>
        <w:rPr>
          <w:rStyle w:val="59"/>
          <w:rFonts w:ascii="宋体" w:hAnsi="宋体"/>
          <w:highlight w:val="none"/>
        </w:rPr>
        <w:t>（4）</w:t>
      </w:r>
      <w:r>
        <w:rPr>
          <w:rStyle w:val="59"/>
          <w:rFonts w:hint="eastAsia" w:ascii="宋体" w:hAnsi="宋体"/>
          <w:highlight w:val="none"/>
        </w:rPr>
        <w:t>企业资质证书扫描件或电子证照</w:t>
      </w:r>
      <w:r>
        <w:rPr>
          <w:rFonts w:hint="eastAsia" w:ascii="宋体" w:hAnsi="宋体"/>
          <w:bCs/>
          <w:szCs w:val="21"/>
          <w:highlight w:val="none"/>
        </w:rPr>
        <w:t>（联合体投标的，由联合体牵头方提供）</w:t>
      </w:r>
      <w:r>
        <w:rPr>
          <w:rStyle w:val="59"/>
          <w:rFonts w:ascii="宋体" w:hAnsi="宋体"/>
          <w:highlight w:val="none"/>
        </w:rPr>
        <w:t>；</w:t>
      </w:r>
    </w:p>
    <w:p>
      <w:pPr>
        <w:spacing w:line="360" w:lineRule="auto"/>
        <w:ind w:firstLine="420" w:firstLineChars="200"/>
        <w:rPr>
          <w:rStyle w:val="59"/>
          <w:rFonts w:hint="eastAsia" w:ascii="宋体" w:hAnsi="宋体"/>
          <w:highlight w:val="none"/>
        </w:rPr>
      </w:pPr>
      <w:r>
        <w:rPr>
          <w:rStyle w:val="59"/>
          <w:rFonts w:ascii="宋体" w:hAnsi="宋体"/>
          <w:highlight w:val="none"/>
        </w:rPr>
        <w:t>（5）</w:t>
      </w:r>
      <w:r>
        <w:rPr>
          <w:rStyle w:val="59"/>
          <w:rFonts w:hint="eastAsia" w:ascii="宋体" w:hAnsi="宋体"/>
          <w:highlight w:val="none"/>
        </w:rPr>
        <w:t>建筑施工企业安全生产许可证扫描件或电子证照</w:t>
      </w:r>
      <w:r>
        <w:rPr>
          <w:rFonts w:hint="eastAsia" w:ascii="宋体" w:hAnsi="宋体"/>
          <w:bCs/>
          <w:szCs w:val="21"/>
          <w:highlight w:val="none"/>
        </w:rPr>
        <w:t>（联合体投标的，由联合体牵头方提供）</w:t>
      </w:r>
      <w:r>
        <w:rPr>
          <w:rStyle w:val="59"/>
          <w:rFonts w:ascii="宋体" w:hAnsi="宋体"/>
          <w:highlight w:val="none"/>
        </w:rPr>
        <w:t>；</w:t>
      </w:r>
    </w:p>
    <w:p>
      <w:pPr>
        <w:spacing w:line="360" w:lineRule="auto"/>
        <w:ind w:firstLine="420" w:firstLineChars="200"/>
        <w:rPr>
          <w:rStyle w:val="59"/>
          <w:rFonts w:hint="eastAsia" w:ascii="宋体" w:hAnsi="宋体"/>
          <w:highlight w:val="none"/>
        </w:rPr>
      </w:pPr>
      <w:r>
        <w:rPr>
          <w:rStyle w:val="59"/>
          <w:rFonts w:ascii="宋体" w:hAnsi="宋体"/>
          <w:highlight w:val="none"/>
        </w:rPr>
        <w:t>（6）</w:t>
      </w:r>
      <w:r>
        <w:rPr>
          <w:rStyle w:val="59"/>
          <w:rFonts w:hint="eastAsia" w:ascii="宋体" w:hAnsi="宋体"/>
          <w:highlight w:val="none"/>
        </w:rPr>
        <w:t>项目负责人（按网上投标登记时选择拟投入本项目的项目负责人</w:t>
      </w:r>
      <w:r>
        <w:rPr>
          <w:rFonts w:hint="eastAsia" w:ascii="宋体" w:hAnsi="宋体"/>
          <w:bCs/>
          <w:szCs w:val="21"/>
          <w:highlight w:val="none"/>
        </w:rPr>
        <w:t>，联合体投标的，由联合体牵头方提供</w:t>
      </w:r>
      <w:r>
        <w:rPr>
          <w:rStyle w:val="59"/>
          <w:rFonts w:hint="eastAsia" w:ascii="宋体" w:hAnsi="宋体"/>
          <w:highlight w:val="none"/>
        </w:rPr>
        <w:t>）</w:t>
      </w:r>
      <w:r>
        <w:rPr>
          <w:rStyle w:val="59"/>
          <w:rFonts w:ascii="宋体" w:hAnsi="宋体"/>
          <w:highlight w:val="none"/>
        </w:rPr>
        <w:t>；</w:t>
      </w:r>
    </w:p>
    <w:p>
      <w:pPr>
        <w:spacing w:line="360" w:lineRule="auto"/>
        <w:ind w:firstLine="420" w:firstLineChars="200"/>
        <w:rPr>
          <w:rStyle w:val="59"/>
          <w:rFonts w:hint="eastAsia" w:ascii="宋体" w:hAnsi="宋体"/>
          <w:highlight w:val="none"/>
        </w:rPr>
      </w:pPr>
      <w:r>
        <w:rPr>
          <w:rStyle w:val="59"/>
          <w:rFonts w:ascii="宋体" w:hAnsi="宋体"/>
          <w:highlight w:val="none"/>
        </w:rPr>
        <w:t>（7）专职安全员</w:t>
      </w:r>
      <w:r>
        <w:rPr>
          <w:rStyle w:val="59"/>
          <w:rFonts w:hint="eastAsia" w:ascii="宋体" w:hAnsi="宋体"/>
          <w:highlight w:val="none"/>
        </w:rPr>
        <w:t>（按网上投标登记时选择拟投入本项目的专职安全员</w:t>
      </w:r>
      <w:r>
        <w:rPr>
          <w:rFonts w:hint="eastAsia" w:ascii="宋体" w:hAnsi="宋体"/>
          <w:bCs/>
          <w:szCs w:val="21"/>
          <w:highlight w:val="none"/>
        </w:rPr>
        <w:t>，联合体投标的，由联合体牵头方提供</w:t>
      </w:r>
      <w:r>
        <w:rPr>
          <w:rStyle w:val="59"/>
          <w:rFonts w:hint="eastAsia" w:ascii="宋体" w:hAnsi="宋体"/>
          <w:highlight w:val="none"/>
        </w:rPr>
        <w:t>）</w:t>
      </w:r>
      <w:r>
        <w:rPr>
          <w:rStyle w:val="59"/>
          <w:rFonts w:ascii="宋体" w:hAnsi="宋体"/>
          <w:highlight w:val="none"/>
        </w:rPr>
        <w:t>；</w:t>
      </w:r>
    </w:p>
    <w:p>
      <w:pPr>
        <w:spacing w:line="360" w:lineRule="auto"/>
        <w:ind w:firstLine="420" w:firstLineChars="200"/>
        <w:rPr>
          <w:rStyle w:val="59"/>
          <w:rFonts w:hint="eastAsia" w:ascii="宋体" w:hAnsi="宋体"/>
          <w:highlight w:val="none"/>
        </w:rPr>
      </w:pPr>
      <w:r>
        <w:rPr>
          <w:rStyle w:val="59"/>
          <w:rFonts w:ascii="宋体" w:hAnsi="宋体"/>
          <w:highlight w:val="none"/>
        </w:rPr>
        <w:t>（8）拟委托技术负责人的相关证书、资料</w:t>
      </w:r>
      <w:r>
        <w:rPr>
          <w:rStyle w:val="59"/>
          <w:rFonts w:hint="eastAsia" w:ascii="宋体" w:hAnsi="宋体"/>
          <w:highlight w:val="none"/>
          <w:u w:val="single"/>
        </w:rPr>
        <w:t>（按招标公告要求</w:t>
      </w:r>
      <w:r>
        <w:rPr>
          <w:rFonts w:hint="eastAsia" w:ascii="宋体" w:hAnsi="宋体"/>
          <w:bCs/>
          <w:szCs w:val="21"/>
          <w:highlight w:val="none"/>
        </w:rPr>
        <w:t>，联合体投标的，由联合体牵头方提供</w:t>
      </w:r>
      <w:r>
        <w:rPr>
          <w:rStyle w:val="59"/>
          <w:rFonts w:hint="eastAsia" w:ascii="宋体" w:hAnsi="宋体"/>
          <w:highlight w:val="none"/>
          <w:u w:val="single"/>
        </w:rPr>
        <w:t>）</w:t>
      </w:r>
      <w:r>
        <w:rPr>
          <w:rStyle w:val="59"/>
          <w:rFonts w:ascii="宋体" w:hAnsi="宋体"/>
          <w:highlight w:val="none"/>
        </w:rPr>
        <w:t>；</w:t>
      </w:r>
    </w:p>
    <w:p>
      <w:pPr>
        <w:spacing w:line="360" w:lineRule="auto"/>
        <w:ind w:firstLine="420" w:firstLineChars="200"/>
        <w:rPr>
          <w:rStyle w:val="59"/>
          <w:rFonts w:hint="eastAsia" w:ascii="宋体" w:hAnsi="宋体"/>
          <w:bCs/>
          <w:szCs w:val="21"/>
          <w:highlight w:val="none"/>
        </w:rPr>
      </w:pPr>
      <w:r>
        <w:rPr>
          <w:rStyle w:val="59"/>
          <w:rFonts w:ascii="宋体" w:hAnsi="宋体"/>
          <w:bCs/>
          <w:szCs w:val="21"/>
          <w:highlight w:val="none"/>
        </w:rPr>
        <w:t>（</w:t>
      </w:r>
      <w:r>
        <w:rPr>
          <w:rStyle w:val="59"/>
          <w:rFonts w:hint="eastAsia" w:ascii="宋体" w:hAnsi="宋体"/>
          <w:bCs/>
          <w:szCs w:val="21"/>
          <w:highlight w:val="none"/>
        </w:rPr>
        <w:t>9</w:t>
      </w:r>
      <w:r>
        <w:rPr>
          <w:rStyle w:val="59"/>
          <w:rFonts w:ascii="宋体" w:hAnsi="宋体"/>
          <w:bCs/>
          <w:szCs w:val="21"/>
          <w:highlight w:val="none"/>
        </w:rPr>
        <w:t>）</w:t>
      </w:r>
      <w:r>
        <w:rPr>
          <w:rStyle w:val="59"/>
          <w:rFonts w:hint="eastAsia" w:ascii="宋体" w:hAnsi="宋体"/>
          <w:bCs/>
          <w:szCs w:val="21"/>
          <w:highlight w:val="none"/>
        </w:rPr>
        <w:t>拟委派项目负责人的有效期内的建造师注册证书扫描件或电子证书</w:t>
      </w:r>
      <w:r>
        <w:rPr>
          <w:rFonts w:hint="eastAsia" w:ascii="宋体" w:hAnsi="宋体"/>
          <w:bCs/>
          <w:szCs w:val="21"/>
          <w:highlight w:val="none"/>
        </w:rPr>
        <w:t>（联合体投标的，由联合体牵头方提供）</w:t>
      </w:r>
      <w:r>
        <w:rPr>
          <w:rStyle w:val="59"/>
          <w:rFonts w:ascii="宋体" w:hAnsi="宋体"/>
          <w:bCs/>
          <w:szCs w:val="21"/>
          <w:highlight w:val="none"/>
        </w:rPr>
        <w:t xml:space="preserve">； </w:t>
      </w:r>
    </w:p>
    <w:p>
      <w:pPr>
        <w:spacing w:line="360" w:lineRule="auto"/>
        <w:ind w:firstLine="420" w:firstLineChars="200"/>
        <w:rPr>
          <w:rStyle w:val="59"/>
          <w:rFonts w:hint="eastAsia" w:ascii="宋体" w:hAnsi="宋体"/>
          <w:bCs/>
          <w:szCs w:val="21"/>
          <w:highlight w:val="none"/>
        </w:rPr>
      </w:pPr>
      <w:r>
        <w:rPr>
          <w:rStyle w:val="59"/>
          <w:rFonts w:ascii="宋体" w:hAnsi="宋体"/>
          <w:bCs/>
          <w:szCs w:val="21"/>
          <w:highlight w:val="none"/>
        </w:rPr>
        <w:t>（1</w:t>
      </w:r>
      <w:r>
        <w:rPr>
          <w:rStyle w:val="59"/>
          <w:rFonts w:hint="eastAsia" w:ascii="宋体" w:hAnsi="宋体"/>
          <w:bCs/>
          <w:szCs w:val="21"/>
          <w:highlight w:val="none"/>
        </w:rPr>
        <w:t>0</w:t>
      </w:r>
      <w:r>
        <w:rPr>
          <w:rStyle w:val="59"/>
          <w:rFonts w:ascii="宋体" w:hAnsi="宋体"/>
          <w:bCs/>
          <w:szCs w:val="21"/>
          <w:highlight w:val="none"/>
        </w:rPr>
        <w:t>）</w:t>
      </w:r>
      <w:r>
        <w:rPr>
          <w:rStyle w:val="59"/>
          <w:rFonts w:hint="eastAsia" w:ascii="宋体" w:hAnsi="宋体"/>
          <w:bCs/>
          <w:szCs w:val="21"/>
          <w:highlight w:val="none"/>
        </w:rPr>
        <w:t>项目负责人在有效期内的安全生产考核合格证书（B类）或建筑施工企业项目负责人安全生产考核合格证书扫描件或电子证书</w:t>
      </w:r>
      <w:r>
        <w:rPr>
          <w:rFonts w:hint="eastAsia" w:ascii="宋体" w:hAnsi="宋体"/>
          <w:bCs/>
          <w:szCs w:val="21"/>
          <w:highlight w:val="none"/>
        </w:rPr>
        <w:t>（联合体投标的，由联合体牵头方提供）</w:t>
      </w:r>
      <w:r>
        <w:rPr>
          <w:rStyle w:val="59"/>
          <w:rFonts w:hint="eastAsia" w:ascii="宋体" w:hAnsi="宋体"/>
          <w:bCs/>
          <w:szCs w:val="21"/>
          <w:highlight w:val="none"/>
        </w:rPr>
        <w:t>；</w:t>
      </w:r>
    </w:p>
    <w:p>
      <w:pPr>
        <w:spacing w:line="360" w:lineRule="auto"/>
        <w:ind w:firstLine="420" w:firstLineChars="200"/>
        <w:jc w:val="left"/>
        <w:rPr>
          <w:rStyle w:val="59"/>
          <w:rFonts w:hint="eastAsia" w:ascii="宋体" w:hAnsi="宋体"/>
          <w:bCs/>
          <w:szCs w:val="21"/>
          <w:highlight w:val="none"/>
        </w:rPr>
      </w:pPr>
      <w:r>
        <w:rPr>
          <w:rStyle w:val="59"/>
          <w:rFonts w:hint="eastAsia" w:ascii="宋体" w:hAnsi="宋体"/>
          <w:bCs/>
          <w:szCs w:val="21"/>
          <w:highlight w:val="none"/>
        </w:rPr>
        <w:t>（11）专职安全员须具有在有效期内的安全生产考核合格证书（C类）或建筑施工企业专职安全生产管理人员安全生产考核合格证书（C3）扫描件或电子证书，</w:t>
      </w:r>
      <w:r>
        <w:rPr>
          <w:rStyle w:val="59"/>
          <w:rFonts w:ascii="宋体" w:hAnsi="宋体"/>
          <w:b/>
          <w:highlight w:val="none"/>
        </w:rPr>
        <w:t>项目负责人和专职安全员不为同一人</w:t>
      </w:r>
      <w:r>
        <w:rPr>
          <w:rFonts w:hint="eastAsia" w:ascii="宋体" w:hAnsi="宋体"/>
          <w:bCs/>
          <w:szCs w:val="21"/>
          <w:highlight w:val="none"/>
        </w:rPr>
        <w:t>（联合体投标的，由联合体牵头方提供）</w:t>
      </w:r>
      <w:r>
        <w:rPr>
          <w:rStyle w:val="59"/>
          <w:rFonts w:hint="eastAsia" w:ascii="宋体" w:hAnsi="宋体"/>
          <w:bCs/>
          <w:szCs w:val="21"/>
          <w:highlight w:val="none"/>
        </w:rPr>
        <w:t>；</w:t>
      </w:r>
    </w:p>
    <w:p>
      <w:pPr>
        <w:spacing w:line="360" w:lineRule="auto"/>
        <w:ind w:firstLine="420" w:firstLineChars="200"/>
        <w:jc w:val="left"/>
        <w:rPr>
          <w:rStyle w:val="59"/>
          <w:rFonts w:hint="eastAsia" w:ascii="宋体" w:hAnsi="宋体" w:cs="宋体"/>
          <w:bCs/>
          <w:szCs w:val="21"/>
          <w:highlight w:val="none"/>
        </w:rPr>
      </w:pPr>
      <w:r>
        <w:rPr>
          <w:rStyle w:val="59"/>
          <w:rFonts w:hint="eastAsia" w:ascii="宋体" w:hAnsi="宋体" w:cs="宋体"/>
          <w:bCs/>
          <w:szCs w:val="21"/>
          <w:highlight w:val="none"/>
        </w:rPr>
        <w:t>（12）资格审查前，投标人须在广州市住房和城乡建设局建立企业信用档案，拟担任本工程项目负责人、专职安全员须是本企业信用档案中的在册人员；</w:t>
      </w:r>
    </w:p>
    <w:p>
      <w:pPr>
        <w:spacing w:line="360" w:lineRule="auto"/>
        <w:ind w:firstLine="420" w:firstLineChars="200"/>
        <w:jc w:val="left"/>
        <w:rPr>
          <w:rStyle w:val="59"/>
          <w:rFonts w:hint="eastAsia" w:ascii="宋体" w:hAnsi="宋体" w:cs="宋体"/>
          <w:highlight w:val="none"/>
        </w:rPr>
      </w:pPr>
      <w:r>
        <w:rPr>
          <w:rStyle w:val="59"/>
          <w:rFonts w:ascii="宋体" w:hAnsi="宋体" w:cs="宋体"/>
          <w:highlight w:val="none"/>
        </w:rPr>
        <w:t>（</w:t>
      </w:r>
      <w:r>
        <w:rPr>
          <w:rStyle w:val="59"/>
          <w:rFonts w:hint="eastAsia" w:ascii="宋体" w:hAnsi="宋体" w:cs="宋体"/>
          <w:highlight w:val="none"/>
        </w:rPr>
        <w:t>13</w:t>
      </w:r>
      <w:r>
        <w:rPr>
          <w:rStyle w:val="59"/>
          <w:rFonts w:ascii="宋体" w:hAnsi="宋体" w:cs="宋体"/>
          <w:highlight w:val="none"/>
        </w:rPr>
        <w:t>）列明牵头单位的联合体工作协议（采用联合体投标时需递交，投标人拟任本工程项目负责人、专职安全员应为联合体牵头方信息登记中的在册人员，联合体工作协议应明确约定各方拟承担的工作和责任）；</w:t>
      </w:r>
    </w:p>
    <w:p>
      <w:pPr>
        <w:spacing w:line="360" w:lineRule="auto"/>
        <w:ind w:firstLine="420" w:firstLineChars="200"/>
        <w:jc w:val="left"/>
        <w:rPr>
          <w:rStyle w:val="59"/>
          <w:rFonts w:hint="eastAsia" w:ascii="宋体" w:hAnsi="宋体" w:cs="宋体"/>
          <w:highlight w:val="none"/>
        </w:rPr>
      </w:pPr>
      <w:r>
        <w:rPr>
          <w:rStyle w:val="59"/>
          <w:rFonts w:ascii="宋体" w:hAnsi="宋体" w:cs="宋体"/>
          <w:highlight w:val="none"/>
        </w:rPr>
        <w:t>（</w:t>
      </w:r>
      <w:r>
        <w:rPr>
          <w:rStyle w:val="59"/>
          <w:rFonts w:hint="eastAsia" w:ascii="宋体" w:hAnsi="宋体" w:cs="宋体"/>
          <w:highlight w:val="none"/>
        </w:rPr>
        <w:t>14</w:t>
      </w:r>
      <w:r>
        <w:rPr>
          <w:rStyle w:val="59"/>
          <w:rFonts w:ascii="宋体" w:hAnsi="宋体" w:cs="宋体"/>
          <w:highlight w:val="none"/>
        </w:rPr>
        <w:t>）投标人(如为联合体投标，指联合体各方)未出现以下情形：与其他投标人的单位负责人为同一人或者存在控股、管理关系的（按投标人提供的《投标人声明》第</w:t>
      </w:r>
      <w:r>
        <w:rPr>
          <w:rStyle w:val="59"/>
          <w:rFonts w:hint="eastAsia" w:ascii="宋体" w:hAnsi="宋体" w:cs="宋体"/>
          <w:highlight w:val="none"/>
        </w:rPr>
        <w:t>九</w:t>
      </w:r>
      <w:r>
        <w:rPr>
          <w:rStyle w:val="59"/>
          <w:rFonts w:ascii="宋体" w:hAnsi="宋体" w:cs="宋体"/>
          <w:highlight w:val="none"/>
        </w:rPr>
        <w:t>条内容进行评审）。如不同投标申请人出现单位负责人为同一人或者存在控股、管理关系的情形，则均按不符合投标人合格条件处理。</w:t>
      </w:r>
    </w:p>
    <w:p>
      <w:pPr>
        <w:spacing w:line="360" w:lineRule="auto"/>
        <w:ind w:firstLine="420" w:firstLineChars="200"/>
        <w:jc w:val="left"/>
        <w:rPr>
          <w:rStyle w:val="59"/>
          <w:rFonts w:hint="eastAsia" w:ascii="宋体" w:hAnsi="宋体" w:cs="宋体"/>
          <w:highlight w:val="none"/>
        </w:rPr>
      </w:pPr>
      <w:r>
        <w:rPr>
          <w:rStyle w:val="59"/>
          <w:rFonts w:ascii="宋体" w:hAnsi="宋体" w:cs="宋体"/>
          <w:highlight w:val="none"/>
        </w:rPr>
        <w:t>（15）投标人(如为联合体投标，指联合体各方)未被列入拖欠农民工工资失信联合惩戒对象名单</w:t>
      </w:r>
      <w:r>
        <w:rPr>
          <w:rStyle w:val="59"/>
          <w:rFonts w:hint="eastAsia" w:ascii="宋体" w:hAnsi="宋体" w:cs="宋体"/>
          <w:highlight w:val="none"/>
        </w:rPr>
        <w:t>和失信被执行人</w:t>
      </w:r>
      <w:r>
        <w:rPr>
          <w:rStyle w:val="59"/>
          <w:rFonts w:ascii="宋体" w:hAnsi="宋体" w:cs="宋体"/>
          <w:highlight w:val="none"/>
        </w:rPr>
        <w:t>；</w:t>
      </w:r>
    </w:p>
    <w:p>
      <w:pPr>
        <w:spacing w:line="360" w:lineRule="auto"/>
        <w:ind w:firstLine="420" w:firstLineChars="200"/>
        <w:rPr>
          <w:rStyle w:val="59"/>
          <w:rFonts w:hint="eastAsia" w:ascii="宋体" w:hAnsi="宋体" w:cs="宋体"/>
          <w:bCs/>
          <w:szCs w:val="21"/>
          <w:highlight w:val="none"/>
        </w:rPr>
      </w:pPr>
      <w:r>
        <w:rPr>
          <w:rStyle w:val="59"/>
          <w:rFonts w:hint="eastAsia" w:ascii="宋体" w:hAnsi="宋体" w:cs="宋体"/>
          <w:bCs/>
          <w:szCs w:val="21"/>
          <w:highlight w:val="none"/>
        </w:rPr>
        <w:t>（16）投标人认为应提供的其他资料。</w:t>
      </w:r>
    </w:p>
    <w:p>
      <w:pPr>
        <w:spacing w:line="360" w:lineRule="auto"/>
        <w:ind w:firstLine="420" w:firstLineChars="200"/>
        <w:rPr>
          <w:rFonts w:hint="eastAsia" w:ascii="宋体" w:hAnsi="宋体"/>
          <w:bCs/>
          <w:szCs w:val="21"/>
          <w:highlight w:val="none"/>
        </w:rPr>
      </w:pPr>
      <w:r>
        <w:rPr>
          <w:rFonts w:hint="eastAsia" w:ascii="宋体" w:hAnsi="宋体"/>
          <w:highlight w:val="none"/>
        </w:rPr>
        <w:t>注：1.相关电子证书按规定需打印后手写本人签名的，应按照规定手写本人签名后再扫描提交。</w:t>
      </w:r>
    </w:p>
    <w:p>
      <w:pPr>
        <w:spacing w:line="360" w:lineRule="auto"/>
        <w:ind w:firstLine="420" w:firstLineChars="200"/>
        <w:rPr>
          <w:rFonts w:hint="eastAsia" w:ascii="宋体" w:hAnsi="宋体"/>
          <w:bCs/>
          <w:szCs w:val="21"/>
          <w:highlight w:val="none"/>
          <w:u w:val="single"/>
        </w:rPr>
      </w:pPr>
      <w:r>
        <w:rPr>
          <w:rFonts w:hint="eastAsia" w:ascii="宋体" w:hAnsi="宋体"/>
          <w:highlight w:val="none"/>
        </w:rPr>
        <w:t>2.</w:t>
      </w:r>
      <w:r>
        <w:rPr>
          <w:rFonts w:hint="eastAsia" w:ascii="宋体" w:hAnsi="宋体"/>
          <w:highlight w:val="none"/>
          <w:u w:val="single"/>
        </w:rPr>
        <w:t>投标人在投标登记时选择了拟投入本项目的项目负责人、专职安全员，即已满足“资格审查前，投标人须在</w:t>
      </w:r>
      <w:r>
        <w:rPr>
          <w:rFonts w:hint="eastAsia" w:ascii="宋体" w:hAnsi="宋体"/>
          <w:highlight w:val="none"/>
          <w:lang w:bidi="ar"/>
        </w:rPr>
        <w:t>广州市住房和城乡建设局建立企业信用档案，拟担任</w:t>
      </w:r>
      <w:r>
        <w:rPr>
          <w:rFonts w:hint="eastAsia" w:ascii="宋体" w:hAnsi="宋体"/>
          <w:highlight w:val="none"/>
          <w:u w:val="single"/>
        </w:rPr>
        <w:t>本项目的项目负责人、专职安全员须是本企业</w:t>
      </w:r>
      <w:r>
        <w:rPr>
          <w:rFonts w:hint="eastAsia" w:ascii="宋体" w:hAnsi="宋体"/>
          <w:highlight w:val="none"/>
          <w:lang w:bidi="ar"/>
        </w:rPr>
        <w:t>信用档案</w:t>
      </w:r>
      <w:r>
        <w:rPr>
          <w:rFonts w:hint="eastAsia" w:ascii="宋体" w:hAnsi="宋体"/>
          <w:highlight w:val="none"/>
          <w:u w:val="single"/>
        </w:rPr>
        <w:t>中的在册人员”的要求，投标人无需提供证明材料。</w:t>
      </w:r>
    </w:p>
    <w:p>
      <w:pPr>
        <w:spacing w:line="360" w:lineRule="auto"/>
        <w:ind w:firstLine="420" w:firstLineChars="200"/>
        <w:rPr>
          <w:rStyle w:val="59"/>
          <w:rFonts w:hint="eastAsia" w:ascii="宋体" w:hAnsi="宋体"/>
          <w:szCs w:val="21"/>
          <w:highlight w:val="none"/>
          <w:u w:val="single"/>
        </w:rPr>
      </w:pPr>
      <w:r>
        <w:rPr>
          <w:rStyle w:val="59"/>
          <w:rFonts w:ascii="宋体" w:hAnsi="宋体"/>
          <w:szCs w:val="21"/>
          <w:highlight w:val="none"/>
          <w:u w:val="single"/>
        </w:rPr>
        <w:t>11.2.3</w:t>
      </w:r>
      <w:r>
        <w:rPr>
          <w:rStyle w:val="59"/>
          <w:rFonts w:hint="eastAsia" w:ascii="宋体" w:hAnsi="宋体"/>
          <w:szCs w:val="21"/>
          <w:highlight w:val="none"/>
          <w:u w:val="single"/>
        </w:rPr>
        <w:t>按照招标文件要求填写的《参与编制技术标投标文件人员名单》（格式按招标文件第四章技术标投标文件格式）；</w:t>
      </w:r>
    </w:p>
    <w:p>
      <w:pPr>
        <w:spacing w:line="360" w:lineRule="auto"/>
        <w:ind w:firstLine="420" w:firstLineChars="200"/>
        <w:rPr>
          <w:rStyle w:val="59"/>
          <w:rFonts w:hint="eastAsia" w:ascii="宋体" w:hAnsi="宋体"/>
          <w:szCs w:val="21"/>
          <w:highlight w:val="none"/>
          <w:u w:val="single"/>
        </w:rPr>
      </w:pPr>
      <w:r>
        <w:rPr>
          <w:rStyle w:val="59"/>
          <w:rFonts w:hint="eastAsia" w:ascii="宋体" w:hAnsi="宋体"/>
          <w:szCs w:val="21"/>
          <w:highlight w:val="none"/>
          <w:u w:val="single"/>
        </w:rPr>
        <w:t>11.2.</w:t>
      </w:r>
      <w:r>
        <w:rPr>
          <w:rStyle w:val="59"/>
          <w:rFonts w:ascii="宋体" w:hAnsi="宋体"/>
          <w:szCs w:val="21"/>
          <w:highlight w:val="none"/>
          <w:u w:val="single"/>
        </w:rPr>
        <w:t>4</w:t>
      </w:r>
      <w:r>
        <w:rPr>
          <w:rStyle w:val="59"/>
          <w:rFonts w:hint="eastAsia" w:ascii="宋体" w:hAnsi="宋体"/>
          <w:szCs w:val="21"/>
          <w:highlight w:val="none"/>
          <w:u w:val="single"/>
        </w:rPr>
        <w:t>《项目管理机构人员配备表》；</w:t>
      </w:r>
    </w:p>
    <w:p>
      <w:pPr>
        <w:spacing w:line="360" w:lineRule="auto"/>
        <w:ind w:firstLine="420" w:firstLineChars="200"/>
        <w:rPr>
          <w:rFonts w:hint="eastAsia" w:ascii="宋体" w:hAnsi="宋体"/>
          <w:highlight w:val="none"/>
          <w:u w:val="single"/>
        </w:rPr>
      </w:pPr>
      <w:r>
        <w:rPr>
          <w:rStyle w:val="59"/>
          <w:rFonts w:ascii="宋体" w:hAnsi="宋体"/>
          <w:szCs w:val="21"/>
          <w:highlight w:val="none"/>
          <w:u w:val="single"/>
        </w:rPr>
        <w:t>11.2.5</w:t>
      </w:r>
      <w:r>
        <w:rPr>
          <w:rFonts w:hint="eastAsia" w:ascii="宋体" w:hAnsi="宋体"/>
          <w:highlight w:val="none"/>
          <w:u w:val="single"/>
        </w:rPr>
        <w:t>按照招标文件《技术标详细审查评分标准》提供的证明材料（如有）；</w:t>
      </w:r>
    </w:p>
    <w:p>
      <w:pPr>
        <w:spacing w:line="360" w:lineRule="auto"/>
        <w:ind w:firstLine="420" w:firstLineChars="200"/>
        <w:rPr>
          <w:rFonts w:hint="eastAsia" w:ascii="宋体" w:hAnsi="宋体"/>
          <w:szCs w:val="21"/>
          <w:highlight w:val="none"/>
          <w:u w:val="single"/>
        </w:rPr>
      </w:pPr>
      <w:r>
        <w:rPr>
          <w:rFonts w:hint="eastAsia" w:ascii="宋体" w:hAnsi="宋体"/>
          <w:highlight w:val="none"/>
          <w:u w:val="single"/>
        </w:rPr>
        <w:t>11.2.6《危险性较大的分部分项工程清单及超过一定规模的危险性较大的分部分项工程清单》。</w:t>
      </w:r>
    </w:p>
    <w:p>
      <w:pPr>
        <w:pBdr>
          <w:bottom w:val="single" w:color="000000" w:sz="6" w:space="1"/>
        </w:pBdr>
        <w:spacing w:line="360" w:lineRule="auto"/>
        <w:ind w:firstLine="420" w:firstLineChars="200"/>
        <w:rPr>
          <w:rFonts w:hint="eastAsia" w:ascii="宋体" w:hAnsi="宋体"/>
          <w:highlight w:val="none"/>
        </w:rPr>
      </w:pPr>
      <w:r>
        <w:rPr>
          <w:rStyle w:val="59"/>
          <w:rFonts w:hint="eastAsia" w:ascii="宋体" w:hAnsi="宋体"/>
          <w:szCs w:val="21"/>
          <w:highlight w:val="none"/>
          <w:u w:val="single"/>
        </w:rPr>
        <w:t>11.2.7其他投</w:t>
      </w:r>
      <w:r>
        <w:rPr>
          <w:rFonts w:hint="eastAsia" w:ascii="宋体" w:hAnsi="宋体"/>
          <w:highlight w:val="none"/>
          <w:u w:val="single"/>
        </w:rPr>
        <w:t>标人认为应该提供的资料。</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条款号：11.3.3</w:t>
      </w:r>
      <w:r>
        <w:rPr>
          <w:rFonts w:ascii="宋体" w:hAnsi="宋体"/>
          <w:b/>
          <w:szCs w:val="21"/>
          <w:highlight w:val="none"/>
        </w:rPr>
        <w:t xml:space="preserve">          </w:t>
      </w:r>
      <w:r>
        <w:rPr>
          <w:rFonts w:hint="eastAsia" w:ascii="宋体" w:hAnsi="宋体"/>
          <w:b/>
          <w:szCs w:val="21"/>
          <w:highlight w:val="none"/>
        </w:rPr>
        <w:t>修改类型：修改</w:t>
      </w:r>
    </w:p>
    <w:p>
      <w:pPr>
        <w:pBdr>
          <w:bottom w:val="single" w:color="auto" w:sz="6" w:space="1"/>
        </w:pBdr>
        <w:tabs>
          <w:tab w:val="left" w:pos="6329"/>
        </w:tabs>
        <w:spacing w:line="360" w:lineRule="auto"/>
        <w:ind w:firstLine="422" w:firstLineChars="200"/>
        <w:rPr>
          <w:rFonts w:hint="eastAsia" w:ascii="宋体" w:hAnsi="宋体"/>
          <w:bCs/>
          <w:szCs w:val="21"/>
          <w:highlight w:val="none"/>
        </w:rPr>
      </w:pPr>
      <w:r>
        <w:rPr>
          <w:rFonts w:hint="eastAsia" w:ascii="宋体" w:hAnsi="宋体"/>
          <w:b/>
          <w:szCs w:val="21"/>
          <w:highlight w:val="none"/>
        </w:rPr>
        <w:t>原文：</w:t>
      </w:r>
      <w:r>
        <w:rPr>
          <w:rFonts w:hint="eastAsia" w:ascii="宋体" w:hAnsi="宋体"/>
          <w:bCs/>
          <w:szCs w:val="21"/>
          <w:highlight w:val="none"/>
        </w:rPr>
        <w:t>11.3.3按照招标文件要求填写的《参与编制经济标投标文件人员名单》。</w:t>
      </w:r>
    </w:p>
    <w:p>
      <w:pPr>
        <w:pBdr>
          <w:bottom w:val="single" w:color="auto" w:sz="6" w:space="1"/>
        </w:pBdr>
        <w:tabs>
          <w:tab w:val="left" w:pos="6329"/>
        </w:tabs>
        <w:spacing w:line="360" w:lineRule="auto"/>
        <w:ind w:firstLine="422" w:firstLineChars="200"/>
        <w:rPr>
          <w:rFonts w:hint="eastAsia" w:ascii="宋体" w:hAnsi="宋体"/>
          <w:bCs/>
          <w:szCs w:val="21"/>
          <w:highlight w:val="none"/>
        </w:rPr>
      </w:pPr>
      <w:r>
        <w:rPr>
          <w:rFonts w:hint="eastAsia" w:ascii="宋体" w:hAnsi="宋体"/>
          <w:b/>
          <w:szCs w:val="21"/>
          <w:highlight w:val="none"/>
        </w:rPr>
        <w:t>现文：</w:t>
      </w:r>
      <w:r>
        <w:rPr>
          <w:rFonts w:hint="eastAsia" w:ascii="宋体" w:hAnsi="宋体"/>
          <w:bCs/>
          <w:szCs w:val="21"/>
          <w:highlight w:val="none"/>
        </w:rPr>
        <w:t>11.3.3按照招标文件要求填写的《参与编制经济标投标文件人员名单》、《对投标文件编制的承诺》、</w:t>
      </w:r>
      <w:r>
        <w:rPr>
          <w:rFonts w:hint="eastAsia" w:ascii="宋体" w:hAnsi="宋体"/>
          <w:highlight w:val="none"/>
        </w:rPr>
        <w:t>《</w:t>
      </w:r>
      <w:r>
        <w:rPr>
          <w:rFonts w:ascii="宋体" w:hAnsi="宋体"/>
          <w:highlight w:val="none"/>
        </w:rPr>
        <w:t>广州建设工程施工招标投标书</w:t>
      </w:r>
      <w:r>
        <w:rPr>
          <w:rFonts w:hint="eastAsia" w:ascii="宋体" w:hAnsi="宋体"/>
          <w:highlight w:val="none"/>
        </w:rPr>
        <w:t>》（经济标）</w:t>
      </w:r>
      <w:r>
        <w:rPr>
          <w:rFonts w:hint="eastAsia" w:ascii="宋体" w:hAnsi="宋体"/>
          <w:bCs/>
          <w:szCs w:val="21"/>
          <w:highlight w:val="none"/>
        </w:rPr>
        <w:t>（按招标文件第四章经济标投标文件格式）。</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条款号：11.3.5</w:t>
      </w:r>
      <w:r>
        <w:rPr>
          <w:rFonts w:ascii="宋体" w:hAnsi="宋体"/>
          <w:b/>
          <w:szCs w:val="21"/>
          <w:highlight w:val="none"/>
        </w:rPr>
        <w:t xml:space="preserve">          </w:t>
      </w:r>
      <w:r>
        <w:rPr>
          <w:rFonts w:hint="eastAsia" w:ascii="宋体" w:hAnsi="宋体"/>
          <w:b/>
          <w:szCs w:val="21"/>
          <w:highlight w:val="none"/>
        </w:rPr>
        <w:t>修改类型：增加</w:t>
      </w:r>
    </w:p>
    <w:p>
      <w:pPr>
        <w:pBdr>
          <w:bottom w:val="single" w:color="auto" w:sz="6" w:space="1"/>
        </w:pBdr>
        <w:tabs>
          <w:tab w:val="left" w:pos="6329"/>
        </w:tabs>
        <w:spacing w:line="360" w:lineRule="auto"/>
        <w:ind w:firstLine="422" w:firstLineChars="200"/>
        <w:rPr>
          <w:rFonts w:hint="eastAsia" w:ascii="宋体" w:hAnsi="宋体"/>
          <w:bCs/>
          <w:szCs w:val="21"/>
          <w:highlight w:val="none"/>
        </w:rPr>
      </w:pPr>
      <w:r>
        <w:rPr>
          <w:rFonts w:hint="eastAsia" w:ascii="宋体" w:hAnsi="宋体"/>
          <w:b/>
          <w:szCs w:val="21"/>
          <w:highlight w:val="none"/>
        </w:rPr>
        <w:t>现文：</w:t>
      </w:r>
      <w:r>
        <w:rPr>
          <w:rFonts w:hint="eastAsia" w:ascii="宋体" w:hAnsi="宋体"/>
          <w:bCs/>
          <w:szCs w:val="21"/>
          <w:highlight w:val="none"/>
        </w:rPr>
        <w:t>11.3.5其他投标人认为应该提供的资料。</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条款号：</w:t>
      </w:r>
      <w:r>
        <w:rPr>
          <w:rFonts w:hint="eastAsia" w:ascii="宋体" w:hAnsi="宋体" w:cs="宋体"/>
          <w:b/>
          <w:szCs w:val="21"/>
          <w:highlight w:val="none"/>
        </w:rPr>
        <w:t xml:space="preserve">12.1 </w:t>
      </w:r>
      <w:r>
        <w:rPr>
          <w:rFonts w:ascii="宋体" w:hAnsi="宋体"/>
          <w:b/>
          <w:szCs w:val="21"/>
          <w:highlight w:val="none"/>
        </w:rPr>
        <w:t xml:space="preserve">         </w:t>
      </w:r>
      <w:r>
        <w:rPr>
          <w:rFonts w:hint="eastAsia" w:ascii="宋体" w:hAnsi="宋体"/>
          <w:b/>
          <w:szCs w:val="21"/>
          <w:highlight w:val="none"/>
        </w:rPr>
        <w:t>修改类型：</w:t>
      </w:r>
      <w:r>
        <w:rPr>
          <w:rFonts w:hint="eastAsia"/>
          <w:b/>
          <w:szCs w:val="21"/>
          <w:highlight w:val="none"/>
        </w:rPr>
        <w:t>修改</w:t>
      </w:r>
    </w:p>
    <w:p>
      <w:pPr>
        <w:pBdr>
          <w:bottom w:val="single" w:color="auto" w:sz="6" w:space="1"/>
        </w:pBdr>
        <w:tabs>
          <w:tab w:val="left" w:pos="1125"/>
        </w:tabs>
        <w:spacing w:line="360" w:lineRule="auto"/>
        <w:ind w:firstLine="420" w:firstLineChars="200"/>
        <w:rPr>
          <w:szCs w:val="21"/>
          <w:highlight w:val="none"/>
        </w:rPr>
      </w:pPr>
      <w:r>
        <w:rPr>
          <w:rFonts w:hint="eastAsia"/>
          <w:szCs w:val="21"/>
          <w:highlight w:val="none"/>
        </w:rPr>
        <w:t>原文：投标文件包括本须知第11条中规定的内容，投标人提交的投标文件应当使用招标文件所提供的投标文件全部格式（表格可以按同样格式扩展）。</w:t>
      </w:r>
    </w:p>
    <w:p>
      <w:pPr>
        <w:pBdr>
          <w:bottom w:val="single" w:color="auto" w:sz="6" w:space="1"/>
        </w:pBdr>
        <w:tabs>
          <w:tab w:val="left" w:pos="1125"/>
        </w:tabs>
        <w:spacing w:line="360" w:lineRule="auto"/>
        <w:ind w:firstLine="420" w:firstLineChars="200"/>
        <w:rPr>
          <w:szCs w:val="21"/>
          <w:highlight w:val="none"/>
        </w:rPr>
      </w:pPr>
      <w:r>
        <w:rPr>
          <w:rFonts w:hint="eastAsia"/>
          <w:szCs w:val="21"/>
          <w:highlight w:val="none"/>
        </w:rPr>
        <w:t>现文：投标文件包括本须知第11条中规定的内容，投标人提交的投标文件应当使用招标文件所提供的投标文件全部格式（表格可以按同样格式扩展）。</w:t>
      </w:r>
      <w:r>
        <w:rPr>
          <w:rFonts w:hint="eastAsia"/>
          <w:b/>
          <w:bCs/>
          <w:szCs w:val="21"/>
          <w:highlight w:val="none"/>
          <w:u w:val="single"/>
        </w:rPr>
        <w:t>注：若招标文件中有提供格式的，投标文件相应内容按格式填报；没有格式提供的资料，格式自拟。</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条款号：1</w:t>
      </w:r>
      <w:r>
        <w:rPr>
          <w:rFonts w:ascii="宋体" w:hAnsi="宋体"/>
          <w:b/>
          <w:szCs w:val="21"/>
          <w:highlight w:val="none"/>
        </w:rPr>
        <w:t xml:space="preserve">2.2          </w:t>
      </w:r>
      <w:r>
        <w:rPr>
          <w:rFonts w:hint="eastAsia" w:ascii="宋体" w:hAnsi="宋体"/>
          <w:b/>
          <w:szCs w:val="21"/>
          <w:highlight w:val="none"/>
        </w:rPr>
        <w:t>修改类型：</w:t>
      </w:r>
      <w:r>
        <w:rPr>
          <w:rStyle w:val="59"/>
          <w:rFonts w:ascii="宋体" w:hAnsi="宋体"/>
          <w:b/>
          <w:szCs w:val="21"/>
          <w:highlight w:val="none"/>
        </w:rPr>
        <w:t>修改</w:t>
      </w:r>
    </w:p>
    <w:p>
      <w:pPr>
        <w:pBdr>
          <w:bottom w:val="single" w:color="auto" w:sz="6" w:space="1"/>
        </w:pBdr>
        <w:tabs>
          <w:tab w:val="left" w:pos="6329"/>
        </w:tabs>
        <w:spacing w:line="360" w:lineRule="auto"/>
        <w:ind w:firstLine="422" w:firstLineChars="200"/>
        <w:rPr>
          <w:rFonts w:hint="eastAsia" w:ascii="宋体" w:hAnsi="宋体"/>
          <w:bCs/>
          <w:szCs w:val="21"/>
          <w:highlight w:val="none"/>
        </w:rPr>
      </w:pPr>
      <w:r>
        <w:rPr>
          <w:rFonts w:hint="eastAsia" w:ascii="宋体" w:hAnsi="宋体"/>
          <w:b/>
          <w:szCs w:val="21"/>
          <w:highlight w:val="none"/>
        </w:rPr>
        <w:t>原文：</w:t>
      </w:r>
      <w:r>
        <w:rPr>
          <w:rFonts w:ascii="宋体" w:hAnsi="宋体"/>
          <w:bCs/>
          <w:szCs w:val="21"/>
          <w:highlight w:val="none"/>
        </w:rPr>
        <w:t xml:space="preserve">12.2 </w:t>
      </w:r>
      <w:r>
        <w:rPr>
          <w:rFonts w:hint="eastAsia" w:ascii="宋体" w:hAnsi="宋体"/>
          <w:szCs w:val="21"/>
          <w:highlight w:val="non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bCs/>
          <w:szCs w:val="21"/>
          <w:highlight w:val="none"/>
        </w:rPr>
        <w:t>。</w:t>
      </w:r>
    </w:p>
    <w:p>
      <w:pPr>
        <w:pBdr>
          <w:bottom w:val="single" w:color="auto" w:sz="6" w:space="1"/>
        </w:pBdr>
        <w:tabs>
          <w:tab w:val="left" w:pos="6329"/>
        </w:tabs>
        <w:spacing w:line="360" w:lineRule="auto"/>
        <w:ind w:firstLine="420" w:firstLineChars="200"/>
        <w:rPr>
          <w:rFonts w:hint="eastAsia" w:ascii="宋体" w:hAnsi="宋体"/>
          <w:highlight w:val="none"/>
        </w:rPr>
      </w:pPr>
      <w:r>
        <w:rPr>
          <w:rFonts w:hint="eastAsia" w:ascii="宋体" w:hAnsi="宋体"/>
          <w:highlight w:val="none"/>
        </w:rPr>
        <w:t>注释：投标文件电子文档需要投标人单位盖章的材料，投标人加盖电子印章即可，不得将投标人未对电子文档加盖实物印章作为否决投标的情形。</w:t>
      </w:r>
    </w:p>
    <w:p>
      <w:pPr>
        <w:pBdr>
          <w:bottom w:val="single" w:color="auto" w:sz="6" w:space="1"/>
        </w:pBdr>
        <w:tabs>
          <w:tab w:val="left" w:pos="6329"/>
        </w:tabs>
        <w:spacing w:line="360" w:lineRule="auto"/>
        <w:ind w:firstLine="422" w:firstLineChars="200"/>
        <w:rPr>
          <w:rFonts w:hint="eastAsia" w:ascii="宋体" w:hAnsi="宋体" w:cs="宋体"/>
          <w:szCs w:val="21"/>
          <w:highlight w:val="none"/>
          <w:u w:val="single"/>
        </w:rPr>
      </w:pPr>
      <w:r>
        <w:rPr>
          <w:rFonts w:hint="eastAsia" w:ascii="宋体" w:hAnsi="宋体"/>
          <w:b/>
          <w:szCs w:val="21"/>
          <w:highlight w:val="none"/>
        </w:rPr>
        <w:t>现文：</w:t>
      </w:r>
      <w:r>
        <w:rPr>
          <w:rFonts w:hint="eastAsia" w:ascii="宋体" w:hAnsi="宋体" w:cs="宋体"/>
          <w:szCs w:val="21"/>
          <w:highlight w:val="none"/>
        </w:rPr>
        <w:t>1</w:t>
      </w:r>
      <w:r>
        <w:rPr>
          <w:rFonts w:ascii="宋体" w:hAnsi="宋体" w:cs="宋体"/>
          <w:szCs w:val="21"/>
          <w:highlight w:val="none"/>
        </w:rPr>
        <w:t xml:space="preserve">2.2 </w:t>
      </w:r>
      <w:r>
        <w:rPr>
          <w:rFonts w:hint="eastAsia" w:ascii="宋体" w:hAnsi="宋体" w:cs="宋体"/>
          <w:szCs w:val="21"/>
          <w:highlight w:val="none"/>
        </w:rPr>
        <w:t>投标文件全部采用电子文档，投标文件所附证书证件均为原件扫描件，并采用单位数字证书，对投标文件加盖电子印章。投标文件中需个人签字或盖章的，</w:t>
      </w:r>
      <w:r>
        <w:rPr>
          <w:rFonts w:hint="eastAsia" w:ascii="宋体" w:hAnsi="宋体"/>
          <w:szCs w:val="21"/>
          <w:highlight w:val="none"/>
          <w:u w:val="single"/>
        </w:rPr>
        <w:t>应加盖个人电子印章或在线下完成后扫描上传</w:t>
      </w:r>
      <w:r>
        <w:rPr>
          <w:rFonts w:hint="eastAsia" w:ascii="宋体" w:hAnsi="宋体" w:cs="宋体"/>
          <w:szCs w:val="21"/>
          <w:highlight w:val="none"/>
        </w:rPr>
        <w:t>。按照广州公共资源交易中心交易平台关于全流程电子化项目的相关指南进行操作。详见：</w:t>
      </w:r>
      <w:r>
        <w:rPr>
          <w:rFonts w:hint="eastAsia" w:ascii="宋体" w:hAnsi="宋体" w:cs="宋体"/>
          <w:szCs w:val="21"/>
          <w:highlight w:val="none"/>
          <w:u w:val="single"/>
        </w:rPr>
        <w:t>广州公共资源交易中心网站最新指引。</w:t>
      </w:r>
    </w:p>
    <w:p>
      <w:pPr>
        <w:pBdr>
          <w:bottom w:val="single" w:color="auto" w:sz="6" w:space="1"/>
        </w:pBdr>
        <w:tabs>
          <w:tab w:val="left" w:pos="6329"/>
        </w:tabs>
        <w:spacing w:line="360" w:lineRule="auto"/>
        <w:ind w:firstLine="420" w:firstLineChars="200"/>
        <w:rPr>
          <w:rFonts w:hint="eastAsia" w:ascii="宋体" w:hAnsi="宋体"/>
          <w:highlight w:val="none"/>
        </w:rPr>
      </w:pPr>
      <w:r>
        <w:rPr>
          <w:rFonts w:hint="eastAsia" w:ascii="宋体" w:hAnsi="宋体"/>
          <w:highlight w:val="none"/>
        </w:rPr>
        <w:t>注释：投标文件电子文档需要投标人单位盖章的材料，投标人加盖电子印章即可，不得将投标人未对电子文档加盖实物印章作为否决投标的情形。</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 xml:space="preserve">条款号：12.3          </w:t>
      </w:r>
      <w:r>
        <w:rPr>
          <w:rStyle w:val="59"/>
          <w:rFonts w:hint="eastAsia" w:ascii="宋体" w:hAnsi="宋体"/>
          <w:b/>
          <w:szCs w:val="21"/>
          <w:highlight w:val="none"/>
        </w:rPr>
        <w:t>修</w:t>
      </w:r>
      <w:r>
        <w:rPr>
          <w:rStyle w:val="59"/>
          <w:rFonts w:ascii="宋体" w:hAnsi="宋体"/>
          <w:b/>
          <w:szCs w:val="21"/>
          <w:highlight w:val="none"/>
        </w:rPr>
        <w:t>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12.3</w:t>
      </w:r>
      <w:r>
        <w:rPr>
          <w:rStyle w:val="59"/>
          <w:rFonts w:ascii="宋体" w:hAnsi="宋体"/>
          <w:bCs/>
          <w:szCs w:val="21"/>
          <w:highlight w:val="none"/>
        </w:rPr>
        <w:t>投标文件应按</w:t>
      </w:r>
      <w:r>
        <w:rPr>
          <w:rStyle w:val="59"/>
          <w:rFonts w:ascii="宋体" w:hAnsi="宋体"/>
          <w:szCs w:val="21"/>
          <w:highlight w:val="none"/>
        </w:rPr>
        <w:t>照交易平台关于全流程电子化项目的相关指南进行编制，详见：</w:t>
      </w:r>
      <w:r>
        <w:rPr>
          <w:rStyle w:val="59"/>
          <w:rFonts w:ascii="宋体" w:hAnsi="宋体"/>
          <w:szCs w:val="21"/>
          <w:highlight w:val="none"/>
          <w:u w:val="single"/>
        </w:rPr>
        <w:t xml:space="preserve">            </w:t>
      </w:r>
      <w:r>
        <w:rPr>
          <w:rStyle w:val="59"/>
          <w:rFonts w:ascii="宋体" w:hAnsi="宋体"/>
          <w:szCs w:val="21"/>
          <w:highlight w:val="none"/>
        </w:rPr>
        <w:t>。</w:t>
      </w:r>
    </w:p>
    <w:p>
      <w:pPr>
        <w:pBdr>
          <w:bottom w:val="single" w:color="000000" w:sz="6" w:space="1"/>
        </w:pBdr>
        <w:spacing w:line="360" w:lineRule="auto"/>
        <w:ind w:firstLine="422" w:firstLineChars="200"/>
        <w:rPr>
          <w:rFonts w:hint="eastAsia" w:ascii="宋体" w:hAnsi="宋体" w:cs="宋体"/>
          <w:highlight w:val="none"/>
        </w:rPr>
      </w:pPr>
      <w:r>
        <w:rPr>
          <w:rStyle w:val="59"/>
          <w:rFonts w:ascii="宋体" w:hAnsi="宋体"/>
          <w:b/>
          <w:szCs w:val="21"/>
          <w:highlight w:val="none"/>
        </w:rPr>
        <w:t>现文：</w:t>
      </w:r>
      <w:r>
        <w:rPr>
          <w:rStyle w:val="59"/>
          <w:rFonts w:ascii="宋体" w:hAnsi="宋体"/>
          <w:szCs w:val="21"/>
          <w:highlight w:val="none"/>
        </w:rPr>
        <w:t xml:space="preserve">12.3 </w:t>
      </w:r>
      <w:r>
        <w:rPr>
          <w:rStyle w:val="59"/>
          <w:rFonts w:ascii="宋体" w:hAnsi="宋体"/>
          <w:bCs/>
          <w:szCs w:val="21"/>
          <w:highlight w:val="none"/>
        </w:rPr>
        <w:t>投标文件应按</w:t>
      </w:r>
      <w:r>
        <w:rPr>
          <w:rStyle w:val="59"/>
          <w:rFonts w:ascii="宋体" w:hAnsi="宋体"/>
          <w:szCs w:val="21"/>
          <w:highlight w:val="none"/>
        </w:rPr>
        <w:t>照交易平台关于全流程电子化项目的相关指南进</w:t>
      </w:r>
      <w:r>
        <w:rPr>
          <w:rFonts w:ascii="宋体" w:hAnsi="宋体" w:cs="宋体"/>
          <w:highlight w:val="none"/>
        </w:rPr>
        <w:t>行编制，详见：</w:t>
      </w:r>
      <w:r>
        <w:rPr>
          <w:rFonts w:hint="eastAsia" w:ascii="宋体" w:hAnsi="宋体" w:cs="宋体"/>
          <w:highlight w:val="none"/>
          <w:u w:val="single"/>
        </w:rPr>
        <w:t>广州公共资源交易中心网站最新指引</w:t>
      </w:r>
      <w:r>
        <w:rPr>
          <w:rFonts w:ascii="宋体" w:hAnsi="宋体" w:cs="宋体"/>
          <w:highlight w:val="none"/>
          <w:u w:val="single"/>
        </w:rPr>
        <w:t>。</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条款号：13.1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13.1本工程的投标报价采用投标须知前附表第12项所规定的方式。投标报价（含单价及总价）精确到“分”。</w:t>
      </w:r>
    </w:p>
    <w:p>
      <w:pPr>
        <w:pBdr>
          <w:bottom w:val="single" w:color="000000" w:sz="6" w:space="1"/>
        </w:pBdr>
        <w:spacing w:line="360" w:lineRule="auto"/>
        <w:ind w:firstLine="422" w:firstLineChars="200"/>
        <w:rPr>
          <w:rStyle w:val="59"/>
          <w:rFonts w:hint="eastAsia" w:ascii="宋体" w:hAnsi="宋体"/>
          <w:szCs w:val="21"/>
          <w:highlight w:val="none"/>
          <w:u w:val="single"/>
        </w:rPr>
      </w:pPr>
      <w:r>
        <w:rPr>
          <w:rStyle w:val="59"/>
          <w:rFonts w:ascii="宋体" w:hAnsi="宋体"/>
          <w:b/>
          <w:szCs w:val="21"/>
          <w:highlight w:val="none"/>
        </w:rPr>
        <w:t>现文：</w:t>
      </w:r>
      <w:r>
        <w:rPr>
          <w:rStyle w:val="59"/>
          <w:rFonts w:ascii="宋体" w:hAnsi="宋体"/>
          <w:szCs w:val="21"/>
          <w:highlight w:val="none"/>
        </w:rPr>
        <w:t>13.1本工程的投标报价采用投标须知前附表第12项所规定的方式。投标报价（含单价及总价）精确到“分”。</w:t>
      </w:r>
      <w:r>
        <w:rPr>
          <w:rStyle w:val="59"/>
          <w:rFonts w:ascii="宋体" w:hAnsi="宋体"/>
          <w:szCs w:val="21"/>
          <w:highlight w:val="none"/>
          <w:u w:val="single"/>
        </w:rPr>
        <w:t>投标文件中的大写金额和小写金额不一致的，以大写金额为准。</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条款号：13.3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13.3</w:t>
      </w:r>
      <w:r>
        <w:rPr>
          <w:rStyle w:val="59"/>
          <w:rFonts w:hint="eastAsia" w:ascii="宋体" w:hAnsi="宋体"/>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13.3</w:t>
      </w:r>
      <w:r>
        <w:rPr>
          <w:rFonts w:hint="eastAsia" w:ascii="宋体" w:hAnsi="宋体" w:cs="宋体"/>
          <w:szCs w:val="21"/>
          <w:highlight w:val="none"/>
        </w:rPr>
        <w:t>投标人的投标报价，应是按照投标须知前附表第8项的工期要求，在投标须知前附表第3项的建设地点，完成投标须知前附表第7项的招标范围内已由招标</w:t>
      </w:r>
      <w:r>
        <w:rPr>
          <w:rStyle w:val="59"/>
          <w:rFonts w:hint="eastAsia" w:ascii="宋体" w:hAnsi="宋体"/>
          <w:highlight w:val="none"/>
        </w:rPr>
        <w:t>人</w:t>
      </w:r>
      <w:r>
        <w:rPr>
          <w:rStyle w:val="59"/>
          <w:rFonts w:hint="eastAsia" w:ascii="宋体" w:hAnsi="宋体"/>
          <w:highlight w:val="none"/>
          <w:u w:val="single"/>
        </w:rPr>
        <w:t>提供的招标图纸（包括有关于本项目招标的相关资料）及制定的工程量清单列明工作的全部费用</w:t>
      </w:r>
      <w:r>
        <w:rPr>
          <w:rStyle w:val="59"/>
          <w:rFonts w:hint="eastAsia" w:ascii="宋体" w:hAnsi="宋体"/>
          <w:highlight w:val="none"/>
        </w:rPr>
        <w:t>，包括但不限于完成工作的成本、利润、税金、技术措施费、大型机械进出场费、风险费以及政策性</w:t>
      </w:r>
      <w:r>
        <w:rPr>
          <w:rFonts w:hint="eastAsia" w:ascii="宋体" w:hAnsi="宋体" w:cs="宋体"/>
          <w:szCs w:val="21"/>
          <w:highlight w:val="none"/>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条款号：13.4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13.4</w:t>
      </w:r>
      <w:r>
        <w:rPr>
          <w:rStyle w:val="59"/>
          <w:rFonts w:hint="eastAsia" w:ascii="宋体" w:hAnsi="宋体"/>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000000" w:sz="6" w:space="1"/>
        </w:pBdr>
        <w:spacing w:line="360" w:lineRule="auto"/>
        <w:ind w:firstLine="422" w:firstLineChars="200"/>
        <w:rPr>
          <w:rStyle w:val="59"/>
          <w:rFonts w:hint="eastAsia" w:ascii="宋体" w:hAnsi="宋体"/>
          <w:szCs w:val="21"/>
          <w:highlight w:val="none"/>
          <w:u w:val="single"/>
        </w:rPr>
      </w:pPr>
      <w:r>
        <w:rPr>
          <w:rStyle w:val="59"/>
          <w:rFonts w:ascii="宋体" w:hAnsi="宋体"/>
          <w:b/>
          <w:szCs w:val="21"/>
          <w:highlight w:val="none"/>
        </w:rPr>
        <w:t>现文：</w:t>
      </w:r>
      <w:r>
        <w:rPr>
          <w:rStyle w:val="59"/>
          <w:rFonts w:ascii="宋体" w:hAnsi="宋体"/>
          <w:szCs w:val="21"/>
          <w:highlight w:val="none"/>
        </w:rPr>
        <w:t>13.4</w:t>
      </w:r>
      <w:r>
        <w:rPr>
          <w:rFonts w:hint="eastAsia" w:ascii="宋体" w:hAnsi="宋体" w:cs="宋体"/>
          <w:szCs w:val="21"/>
          <w:highlight w:val="none"/>
        </w:rPr>
        <w:t>投标人</w:t>
      </w:r>
      <w:r>
        <w:rPr>
          <w:rStyle w:val="59"/>
          <w:rFonts w:hint="eastAsia" w:ascii="宋体" w:hAnsi="宋体"/>
          <w:highlight w:val="none"/>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Style w:val="59"/>
          <w:rFonts w:hint="eastAsia" w:ascii="宋体" w:hAnsi="宋体"/>
          <w:highlight w:val="none"/>
          <w:u w:val="single"/>
        </w:rPr>
        <w:t>按合同条款相关约定调整。</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条款号：13.5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bCs/>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20" w:firstLineChars="200"/>
        <w:rPr>
          <w:rStyle w:val="59"/>
          <w:rFonts w:hint="eastAsia" w:ascii="宋体" w:hAnsi="宋体"/>
          <w:b/>
          <w:szCs w:val="21"/>
          <w:highlight w:val="none"/>
        </w:rPr>
      </w:pPr>
      <w:r>
        <w:rPr>
          <w:rStyle w:val="59"/>
          <w:rFonts w:ascii="宋体" w:hAnsi="宋体"/>
          <w:bCs/>
          <w:szCs w:val="21"/>
          <w:highlight w:val="none"/>
        </w:rPr>
        <w:t>13.5.1中标的投标文件工程量清单中已有相同项目的适用综合单价，则沿用；</w:t>
      </w:r>
    </w:p>
    <w:p>
      <w:pPr>
        <w:spacing w:line="360" w:lineRule="auto"/>
        <w:ind w:firstLine="420" w:firstLineChars="200"/>
        <w:rPr>
          <w:rStyle w:val="59"/>
          <w:rFonts w:hint="eastAsia" w:ascii="宋体" w:hAnsi="宋体"/>
          <w:b/>
          <w:szCs w:val="21"/>
          <w:highlight w:val="none"/>
        </w:rPr>
      </w:pPr>
      <w:r>
        <w:rPr>
          <w:rStyle w:val="59"/>
          <w:rFonts w:ascii="宋体" w:hAnsi="宋体"/>
          <w:bCs/>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r>
        <w:rPr>
          <w:rStyle w:val="59"/>
          <w:rFonts w:hint="eastAsia" w:ascii="宋体" w:hAnsi="宋体"/>
          <w:bCs/>
          <w:szCs w:val="21"/>
          <w:highlight w:val="none"/>
        </w:rPr>
        <w:t>；</w:t>
      </w:r>
    </w:p>
    <w:p>
      <w:pPr>
        <w:spacing w:line="360" w:lineRule="auto"/>
        <w:ind w:firstLine="420" w:firstLineChars="200"/>
        <w:rPr>
          <w:rStyle w:val="59"/>
          <w:rFonts w:hint="eastAsia" w:ascii="宋体" w:hAnsi="宋体"/>
          <w:bCs/>
          <w:szCs w:val="21"/>
          <w:highlight w:val="none"/>
        </w:rPr>
      </w:pPr>
      <w:r>
        <w:rPr>
          <w:rStyle w:val="59"/>
          <w:rFonts w:ascii="宋体" w:hAnsi="宋体"/>
          <w:bCs/>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r>
        <w:rPr>
          <w:rStyle w:val="59"/>
          <w:rFonts w:hint="eastAsia" w:ascii="宋体" w:hAnsi="宋体"/>
          <w:bCs/>
          <w:szCs w:val="21"/>
          <w:highlight w:val="none"/>
        </w:rPr>
        <w:t>；</w:t>
      </w:r>
    </w:p>
    <w:p>
      <w:pPr>
        <w:spacing w:line="360" w:lineRule="auto"/>
        <w:ind w:firstLine="420" w:firstLineChars="200"/>
        <w:rPr>
          <w:rStyle w:val="59"/>
          <w:rFonts w:hint="eastAsia" w:ascii="宋体" w:hAnsi="宋体"/>
          <w:b/>
          <w:szCs w:val="21"/>
          <w:highlight w:val="none"/>
        </w:rPr>
      </w:pPr>
      <w:r>
        <w:rPr>
          <w:rStyle w:val="59"/>
          <w:rFonts w:ascii="宋体" w:hAnsi="宋体"/>
          <w:bCs/>
          <w:szCs w:val="21"/>
          <w:highlight w:val="none"/>
        </w:rPr>
        <w:t>13.5.4 如相关定额没有相应子目的，其计价方式由招标人在本招标文件第三章中另行规定。未规定的，中标后双方协商约定。</w:t>
      </w:r>
    </w:p>
    <w:p>
      <w:pPr>
        <w:pBdr>
          <w:bottom w:val="single" w:color="000000" w:sz="6" w:space="1"/>
        </w:pBdr>
        <w:spacing w:line="360" w:lineRule="auto"/>
        <w:ind w:firstLine="422" w:firstLineChars="200"/>
        <w:rPr>
          <w:rStyle w:val="59"/>
          <w:rFonts w:hint="eastAsia" w:ascii="宋体" w:hAnsi="宋体"/>
          <w:bCs/>
          <w:szCs w:val="21"/>
          <w:highlight w:val="none"/>
          <w:u w:val="single"/>
        </w:rPr>
      </w:pPr>
      <w:r>
        <w:rPr>
          <w:rStyle w:val="59"/>
          <w:rFonts w:ascii="宋体" w:hAnsi="宋体"/>
          <w:b/>
          <w:szCs w:val="21"/>
          <w:highlight w:val="none"/>
        </w:rPr>
        <w:t>现文：</w:t>
      </w:r>
      <w:r>
        <w:rPr>
          <w:rStyle w:val="59"/>
          <w:rFonts w:hint="eastAsia" w:ascii="宋体" w:hAnsi="宋体"/>
          <w:bCs/>
          <w:szCs w:val="21"/>
          <w:highlight w:val="none"/>
          <w:u w:val="single"/>
        </w:rPr>
        <w:t>13.5 变更结算方式按招标文件及施工合同条款相关规定执行。</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条款号：16          修改类型：修改</w:t>
      </w:r>
    </w:p>
    <w:p>
      <w:pP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原文：</w:t>
      </w:r>
      <w:r>
        <w:rPr>
          <w:rStyle w:val="59"/>
          <w:rFonts w:hint="eastAsia" w:ascii="宋体" w:hAnsi="宋体"/>
          <w:bCs/>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16.1.1 采用现金或者支票形式提交的，投标保证金须从投标人的银行基本账户转出。</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16.1.3 采用电子形式的保函、担保或保证保险提交投标保证金的，应在招标文件中明确电子递交途径。</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16.3投标保证金应依据法律法规的相关规定退还。</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16.4如有下列情况之一的，招标人可以不予退还投标保证金（是否退还投标保证金由招标人在招标文件中规定）：</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16.4.1因投标人原因造成投标文件未解密的；</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16.4.2投标人在投标有效期内撤销投标文件；</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16.4.3中标人未能在规定期限内按要求提交履约担保；</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16.4.4中标人未能在规定期限内签署合同协议。</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16.5投标人如存在下列情况之一的，将被拒绝在一定时期内参与招标人后续工程投标（拒绝时限需在招标文件中明确）：</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16.5.1投标人存在16.4条款所列情形且投标人提交的保函、担保或保证保险无法兑付的；</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16.5.3按招标文件要求免于提供投标保证金的投标人存在16.4条款所列情形，且未按招标人要求补交投标保证金的；</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16.5.3按招标文件要求免于提供投标保证金的投标人存在16.4条款所列情形的。</w:t>
      </w:r>
    </w:p>
    <w:p>
      <w:pPr>
        <w:spacing w:line="360" w:lineRule="auto"/>
        <w:ind w:firstLine="420" w:firstLineChars="200"/>
        <w:rPr>
          <w:rStyle w:val="59"/>
          <w:rFonts w:hint="eastAsia" w:ascii="宋体" w:hAnsi="宋体"/>
          <w:bCs/>
          <w:szCs w:val="21"/>
          <w:highlight w:val="none"/>
        </w:rPr>
      </w:pPr>
      <w:r>
        <w:rPr>
          <w:rStyle w:val="59"/>
          <w:rFonts w:hint="eastAsia" w:ascii="宋体" w:hAnsi="宋体"/>
          <w:bCs/>
          <w:szCs w:val="21"/>
          <w:highlight w:val="none"/>
        </w:rPr>
        <w:t>注：16.5.3款由招标人二选一，需在招标文件中明确。</w:t>
      </w:r>
    </w:p>
    <w:p>
      <w:pPr>
        <w:pBdr>
          <w:bottom w:val="single" w:color="000000" w:sz="6" w:space="1"/>
        </w:pBdr>
        <w:spacing w:line="360" w:lineRule="auto"/>
        <w:ind w:firstLine="422" w:firstLineChars="200"/>
        <w:rPr>
          <w:rFonts w:hint="eastAsia" w:ascii="宋体" w:hAnsi="宋体"/>
          <w:bCs/>
          <w:szCs w:val="21"/>
          <w:highlight w:val="none"/>
          <w:u w:val="single"/>
        </w:rPr>
      </w:pPr>
      <w:r>
        <w:rPr>
          <w:rStyle w:val="59"/>
          <w:rFonts w:ascii="宋体" w:hAnsi="宋体"/>
          <w:b/>
          <w:szCs w:val="21"/>
          <w:highlight w:val="none"/>
        </w:rPr>
        <w:t>现文：</w:t>
      </w:r>
      <w:r>
        <w:rPr>
          <w:rStyle w:val="59"/>
          <w:rFonts w:hint="eastAsia" w:ascii="宋体" w:hAnsi="宋体"/>
          <w:bCs/>
          <w:szCs w:val="21"/>
          <w:highlight w:val="none"/>
          <w:u w:val="single"/>
        </w:rPr>
        <w:t>1</w:t>
      </w:r>
      <w:r>
        <w:rPr>
          <w:rStyle w:val="59"/>
          <w:rFonts w:ascii="宋体" w:hAnsi="宋体"/>
          <w:bCs/>
          <w:szCs w:val="21"/>
          <w:highlight w:val="none"/>
          <w:u w:val="single"/>
        </w:rPr>
        <w:t>6.1</w:t>
      </w:r>
      <w:r>
        <w:rPr>
          <w:rStyle w:val="59"/>
          <w:rFonts w:hint="eastAsia" w:ascii="宋体" w:hAnsi="宋体"/>
          <w:bCs/>
          <w:highlight w:val="none"/>
          <w:u w:val="single"/>
        </w:rPr>
        <w:t>本项目</w:t>
      </w:r>
      <w:r>
        <w:rPr>
          <w:rFonts w:hint="eastAsia" w:ascii="宋体" w:hAnsi="宋体" w:cs="宋体"/>
          <w:szCs w:val="21"/>
          <w:highlight w:val="none"/>
          <w:u w:val="single"/>
        </w:rPr>
        <w:t>不需要递交投标保证金</w:t>
      </w:r>
      <w:r>
        <w:rPr>
          <w:rFonts w:hint="eastAsia" w:ascii="宋体" w:hAnsi="宋体" w:cs="宋体"/>
          <w:szCs w:val="21"/>
          <w:highlight w:val="none"/>
        </w:rPr>
        <w:t>。</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条款号：17.1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Fonts w:hint="eastAsia" w:ascii="宋体" w:hAnsi="宋体"/>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 xml:space="preserve">            </w:t>
      </w:r>
      <w:r>
        <w:rPr>
          <w:rFonts w:hint="eastAsia" w:ascii="宋体" w:hAnsi="宋体"/>
          <w:szCs w:val="21"/>
          <w:highlight w:val="none"/>
        </w:rPr>
        <w:t xml:space="preserve"> 。</w:t>
      </w:r>
    </w:p>
    <w:p>
      <w:pPr>
        <w:pBdr>
          <w:bottom w:val="single" w:color="000000" w:sz="6" w:space="1"/>
        </w:pBdr>
        <w:spacing w:line="360" w:lineRule="auto"/>
        <w:ind w:firstLine="422" w:firstLineChars="200"/>
        <w:rPr>
          <w:rStyle w:val="59"/>
          <w:rFonts w:hint="eastAsia" w:ascii="宋体" w:hAnsi="宋体"/>
          <w:szCs w:val="21"/>
          <w:highlight w:val="none"/>
          <w:u w:val="single"/>
        </w:rPr>
      </w:pPr>
      <w:r>
        <w:rPr>
          <w:rStyle w:val="59"/>
          <w:rFonts w:ascii="宋体" w:hAnsi="宋体"/>
          <w:b/>
          <w:szCs w:val="21"/>
          <w:highlight w:val="none"/>
        </w:rPr>
        <w:t>现文：</w:t>
      </w:r>
      <w:r>
        <w:rPr>
          <w:rStyle w:val="59"/>
          <w:rFonts w:ascii="宋体" w:hAnsi="宋体"/>
          <w:szCs w:val="21"/>
          <w:highlight w:val="none"/>
        </w:rPr>
        <w:t>17.1投标人应采用单位数字证书，</w:t>
      </w:r>
      <w:r>
        <w:rPr>
          <w:rStyle w:val="59"/>
          <w:rFonts w:hint="eastAsia" w:ascii="宋体" w:hAnsi="宋体"/>
          <w:szCs w:val="21"/>
          <w:highlight w:val="none"/>
        </w:rPr>
        <w:t>对投标文件</w:t>
      </w:r>
      <w:r>
        <w:rPr>
          <w:rStyle w:val="59"/>
          <w:rFonts w:ascii="宋体" w:hAnsi="宋体"/>
          <w:szCs w:val="21"/>
          <w:highlight w:val="none"/>
        </w:rPr>
        <w:t>加盖电子印章。投标文件中需个人签字或盖章的，</w:t>
      </w:r>
      <w:r>
        <w:rPr>
          <w:rStyle w:val="59"/>
          <w:rFonts w:hint="eastAsia" w:ascii="宋体" w:hAnsi="宋体"/>
          <w:szCs w:val="21"/>
          <w:highlight w:val="none"/>
        </w:rPr>
        <w:t>应加盖个人电子印章或在线下完成后扫描上传</w:t>
      </w:r>
      <w:r>
        <w:rPr>
          <w:rStyle w:val="59"/>
          <w:rFonts w:ascii="宋体" w:hAnsi="宋体"/>
          <w:szCs w:val="21"/>
          <w:highlight w:val="none"/>
        </w:rPr>
        <w:t>。按照</w:t>
      </w:r>
      <w:r>
        <w:rPr>
          <w:rStyle w:val="59"/>
          <w:rFonts w:hint="eastAsia" w:ascii="宋体" w:hAnsi="宋体"/>
          <w:highlight w:val="none"/>
          <w:u w:val="single"/>
        </w:rPr>
        <w:t>广州交易集团有限公司（广州公共资源交易中心）</w:t>
      </w:r>
      <w:r>
        <w:rPr>
          <w:rStyle w:val="59"/>
          <w:rFonts w:ascii="宋体" w:hAnsi="宋体"/>
          <w:szCs w:val="21"/>
          <w:highlight w:val="none"/>
        </w:rPr>
        <w:t>交易平台关于全流程电子化项目的相关指南进行操作。详见：</w:t>
      </w:r>
      <w:r>
        <w:rPr>
          <w:rStyle w:val="59"/>
          <w:rFonts w:hint="eastAsia" w:ascii="宋体" w:hAnsi="宋体"/>
          <w:highlight w:val="none"/>
          <w:u w:val="single"/>
        </w:rPr>
        <w:t>广州公共资源交易中心网站最新指引</w:t>
      </w:r>
      <w:r>
        <w:rPr>
          <w:rStyle w:val="59"/>
          <w:rFonts w:ascii="宋体" w:hAnsi="宋体"/>
          <w:szCs w:val="21"/>
          <w:highlight w:val="none"/>
          <w:u w:val="single"/>
        </w:rPr>
        <w:t>。</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条款号：18.1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18.1</w:t>
      </w:r>
      <w:r>
        <w:rPr>
          <w:rStyle w:val="59"/>
          <w:rFonts w:ascii="宋体" w:hAnsi="宋体"/>
          <w:bCs/>
          <w:szCs w:val="21"/>
          <w:highlight w:val="none"/>
        </w:rPr>
        <w:t>递交的电子投标文件（不含备用光盘）必须进行加密。按照交易平台关于</w:t>
      </w:r>
      <w:r>
        <w:rPr>
          <w:rStyle w:val="59"/>
          <w:rFonts w:ascii="宋体" w:hAnsi="宋体"/>
          <w:szCs w:val="21"/>
          <w:highlight w:val="none"/>
        </w:rPr>
        <w:t>全流程电子化项目的相关指南进行操作。详见：</w:t>
      </w:r>
      <w:r>
        <w:rPr>
          <w:rStyle w:val="59"/>
          <w:rFonts w:ascii="宋体" w:hAnsi="宋体"/>
          <w:szCs w:val="21"/>
          <w:highlight w:val="none"/>
          <w:u w:val="single"/>
        </w:rPr>
        <w:t xml:space="preserve">           </w:t>
      </w:r>
      <w:r>
        <w:rPr>
          <w:rStyle w:val="59"/>
          <w:rFonts w:ascii="宋体" w:hAnsi="宋体"/>
          <w:szCs w:val="21"/>
          <w:highlight w:val="none"/>
        </w:rPr>
        <w:t xml:space="preserve"> 。</w:t>
      </w:r>
    </w:p>
    <w:p>
      <w:pPr>
        <w:pBdr>
          <w:bottom w:val="single" w:color="000000" w:sz="6" w:space="1"/>
        </w:pBdr>
        <w:spacing w:line="360" w:lineRule="auto"/>
        <w:ind w:firstLine="422" w:firstLineChars="200"/>
        <w:rPr>
          <w:rStyle w:val="59"/>
          <w:rFonts w:hint="eastAsia" w:ascii="宋体" w:hAnsi="宋体"/>
          <w:szCs w:val="21"/>
          <w:highlight w:val="none"/>
          <w:u w:val="single"/>
        </w:rPr>
      </w:pPr>
      <w:r>
        <w:rPr>
          <w:rStyle w:val="59"/>
          <w:rFonts w:ascii="宋体" w:hAnsi="宋体"/>
          <w:b/>
          <w:szCs w:val="21"/>
          <w:highlight w:val="none"/>
        </w:rPr>
        <w:t>现文：</w:t>
      </w:r>
      <w:r>
        <w:rPr>
          <w:rStyle w:val="59"/>
          <w:rFonts w:ascii="宋体" w:hAnsi="宋体"/>
          <w:szCs w:val="21"/>
          <w:highlight w:val="none"/>
        </w:rPr>
        <w:t>18.1</w:t>
      </w:r>
      <w:r>
        <w:rPr>
          <w:rStyle w:val="59"/>
          <w:rFonts w:ascii="宋体" w:hAnsi="宋体"/>
          <w:bCs/>
          <w:szCs w:val="21"/>
          <w:highlight w:val="none"/>
        </w:rPr>
        <w:t>递交的电子投标文件（不含备用光盘）必须进行加密。按照</w:t>
      </w:r>
      <w:r>
        <w:rPr>
          <w:rStyle w:val="59"/>
          <w:rFonts w:hint="eastAsia" w:ascii="宋体" w:hAnsi="宋体"/>
          <w:highlight w:val="none"/>
          <w:u w:val="single"/>
        </w:rPr>
        <w:t>广州交易集团有限公司（广州公共资源交易中心）</w:t>
      </w:r>
      <w:r>
        <w:rPr>
          <w:rStyle w:val="59"/>
          <w:rFonts w:ascii="宋体" w:hAnsi="宋体"/>
          <w:bCs/>
          <w:szCs w:val="21"/>
          <w:highlight w:val="none"/>
        </w:rPr>
        <w:t>交易平台关于</w:t>
      </w:r>
      <w:r>
        <w:rPr>
          <w:rStyle w:val="59"/>
          <w:rFonts w:ascii="宋体" w:hAnsi="宋体"/>
          <w:szCs w:val="21"/>
          <w:highlight w:val="none"/>
        </w:rPr>
        <w:t>全流程电子化项目的相关指南进行操作。详见：</w:t>
      </w:r>
      <w:r>
        <w:rPr>
          <w:rStyle w:val="59"/>
          <w:rFonts w:hint="eastAsia" w:ascii="宋体" w:hAnsi="宋体"/>
          <w:highlight w:val="none"/>
          <w:u w:val="single"/>
        </w:rPr>
        <w:t>广州公共资源交易中心网站最新指引</w:t>
      </w:r>
      <w:r>
        <w:rPr>
          <w:rStyle w:val="59"/>
          <w:rFonts w:ascii="宋体" w:hAnsi="宋体"/>
          <w:szCs w:val="21"/>
          <w:highlight w:val="none"/>
          <w:u w:val="single"/>
        </w:rPr>
        <w:t>。</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条款号：18.2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18.2</w:t>
      </w:r>
      <w:r>
        <w:rPr>
          <w:rStyle w:val="59"/>
          <w:rFonts w:ascii="宋体" w:hAnsi="宋体"/>
          <w:bCs/>
          <w:szCs w:val="21"/>
          <w:highlight w:val="none"/>
        </w:rPr>
        <w:t>未按要求加密的投标文件，</w:t>
      </w:r>
      <w:r>
        <w:rPr>
          <w:rStyle w:val="59"/>
          <w:rFonts w:ascii="宋体" w:hAnsi="宋体"/>
          <w:szCs w:val="21"/>
          <w:highlight w:val="none"/>
          <w:u w:val="single"/>
        </w:rPr>
        <w:t xml:space="preserve">        </w:t>
      </w:r>
      <w:r>
        <w:rPr>
          <w:rStyle w:val="59"/>
          <w:rFonts w:ascii="宋体" w:hAnsi="宋体"/>
          <w:szCs w:val="21"/>
          <w:highlight w:val="none"/>
        </w:rPr>
        <w:t>交易平台</w:t>
      </w:r>
      <w:r>
        <w:rPr>
          <w:rStyle w:val="59"/>
          <w:rFonts w:ascii="宋体" w:hAnsi="宋体"/>
          <w:bCs/>
          <w:szCs w:val="21"/>
          <w:highlight w:val="none"/>
        </w:rPr>
        <w:t>将予以拒收。</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18.2</w:t>
      </w:r>
      <w:r>
        <w:rPr>
          <w:rStyle w:val="59"/>
          <w:rFonts w:ascii="宋体" w:hAnsi="宋体"/>
          <w:bCs/>
          <w:szCs w:val="21"/>
          <w:highlight w:val="none"/>
        </w:rPr>
        <w:t>未按要求加密的投标文件，</w:t>
      </w:r>
      <w:r>
        <w:rPr>
          <w:rStyle w:val="59"/>
          <w:rFonts w:ascii="宋体" w:hAnsi="宋体"/>
          <w:bCs/>
          <w:szCs w:val="21"/>
          <w:highlight w:val="none"/>
          <w:u w:val="single"/>
        </w:rPr>
        <w:t>广州公共资源交易中心</w:t>
      </w:r>
      <w:r>
        <w:rPr>
          <w:rStyle w:val="59"/>
          <w:rFonts w:ascii="宋体" w:hAnsi="宋体"/>
          <w:bCs/>
          <w:szCs w:val="21"/>
          <w:highlight w:val="none"/>
        </w:rPr>
        <w:t>交易平</w:t>
      </w:r>
      <w:r>
        <w:rPr>
          <w:rStyle w:val="59"/>
          <w:rFonts w:ascii="宋体" w:hAnsi="宋体"/>
          <w:szCs w:val="21"/>
          <w:highlight w:val="none"/>
        </w:rPr>
        <w:t>台</w:t>
      </w:r>
      <w:r>
        <w:rPr>
          <w:rStyle w:val="59"/>
          <w:rFonts w:ascii="宋体" w:hAnsi="宋体"/>
          <w:bCs/>
          <w:szCs w:val="21"/>
          <w:highlight w:val="none"/>
        </w:rPr>
        <w:t>将予以拒收。</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条款号：19.1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19.1</w:t>
      </w:r>
      <w:r>
        <w:rPr>
          <w:rStyle w:val="59"/>
          <w:rFonts w:ascii="宋体" w:hAnsi="宋体"/>
          <w:bCs/>
          <w:szCs w:val="21"/>
          <w:highlight w:val="none"/>
        </w:rPr>
        <w:t>投标人通过</w:t>
      </w:r>
      <w:r>
        <w:rPr>
          <w:rStyle w:val="59"/>
          <w:rFonts w:ascii="宋体" w:hAnsi="宋体"/>
          <w:szCs w:val="21"/>
          <w:highlight w:val="none"/>
          <w:u w:val="single"/>
        </w:rPr>
        <w:t xml:space="preserve">        </w:t>
      </w:r>
      <w:r>
        <w:rPr>
          <w:rStyle w:val="59"/>
          <w:rFonts w:ascii="宋体" w:hAnsi="宋体"/>
          <w:szCs w:val="21"/>
          <w:highlight w:val="none"/>
        </w:rPr>
        <w:t>交易平台递交电子投标文件。</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19.1</w:t>
      </w:r>
      <w:r>
        <w:rPr>
          <w:rStyle w:val="59"/>
          <w:rFonts w:ascii="宋体" w:hAnsi="宋体"/>
          <w:bCs/>
          <w:szCs w:val="21"/>
          <w:highlight w:val="none"/>
        </w:rPr>
        <w:t>投标人通过</w:t>
      </w:r>
      <w:r>
        <w:rPr>
          <w:rStyle w:val="59"/>
          <w:rFonts w:hint="eastAsia" w:ascii="宋体" w:hAnsi="宋体"/>
          <w:highlight w:val="none"/>
          <w:u w:val="single"/>
        </w:rPr>
        <w:t>广州交易集团有限公司（广州公共资源交易中心）</w:t>
      </w:r>
      <w:r>
        <w:rPr>
          <w:rStyle w:val="59"/>
          <w:rFonts w:ascii="宋体" w:hAnsi="宋体"/>
          <w:bCs/>
          <w:szCs w:val="21"/>
          <w:highlight w:val="none"/>
        </w:rPr>
        <w:t>交易平</w:t>
      </w:r>
      <w:r>
        <w:rPr>
          <w:rStyle w:val="59"/>
          <w:rFonts w:ascii="宋体" w:hAnsi="宋体"/>
          <w:szCs w:val="21"/>
          <w:highlight w:val="none"/>
        </w:rPr>
        <w:t>台递交电子投标文件。</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条款号：19.2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19.2</w:t>
      </w:r>
      <w:r>
        <w:rPr>
          <w:rStyle w:val="59"/>
          <w:rFonts w:ascii="宋体" w:hAnsi="宋体"/>
          <w:bCs/>
          <w:szCs w:val="21"/>
          <w:highlight w:val="none"/>
        </w:rPr>
        <w:t>投标人完成电子</w:t>
      </w:r>
      <w:r>
        <w:rPr>
          <w:rStyle w:val="59"/>
          <w:rFonts w:ascii="宋体" w:hAnsi="宋体"/>
          <w:szCs w:val="21"/>
          <w:highlight w:val="none"/>
        </w:rPr>
        <w:t>投标文件</w:t>
      </w:r>
      <w:r>
        <w:rPr>
          <w:rStyle w:val="59"/>
          <w:rFonts w:ascii="宋体" w:hAnsi="宋体"/>
          <w:bCs/>
          <w:szCs w:val="21"/>
          <w:highlight w:val="none"/>
        </w:rPr>
        <w:t>上传后，</w:t>
      </w:r>
      <w:r>
        <w:rPr>
          <w:rStyle w:val="59"/>
          <w:rFonts w:ascii="宋体" w:hAnsi="宋体"/>
          <w:szCs w:val="21"/>
          <w:highlight w:val="none"/>
          <w:u w:val="single"/>
        </w:rPr>
        <w:t xml:space="preserve">        </w:t>
      </w:r>
      <w:r>
        <w:rPr>
          <w:rStyle w:val="59"/>
          <w:rFonts w:ascii="宋体" w:hAnsi="宋体"/>
          <w:szCs w:val="21"/>
          <w:highlight w:val="none"/>
        </w:rPr>
        <w:t>交易平台即时向投标人发出递交回执通知。递交时间以递交回执通知载明的传输完成时间为准。</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19.2</w:t>
      </w:r>
      <w:r>
        <w:rPr>
          <w:rStyle w:val="59"/>
          <w:rFonts w:ascii="宋体" w:hAnsi="宋体"/>
          <w:bCs/>
          <w:szCs w:val="21"/>
          <w:highlight w:val="none"/>
        </w:rPr>
        <w:t>投标人完成电子</w:t>
      </w:r>
      <w:r>
        <w:rPr>
          <w:rStyle w:val="59"/>
          <w:rFonts w:ascii="宋体" w:hAnsi="宋体"/>
          <w:szCs w:val="21"/>
          <w:highlight w:val="none"/>
        </w:rPr>
        <w:t>投标文件</w:t>
      </w:r>
      <w:r>
        <w:rPr>
          <w:rStyle w:val="59"/>
          <w:rFonts w:ascii="宋体" w:hAnsi="宋体"/>
          <w:bCs/>
          <w:szCs w:val="21"/>
          <w:highlight w:val="none"/>
        </w:rPr>
        <w:t>上传后，</w:t>
      </w:r>
      <w:r>
        <w:rPr>
          <w:rStyle w:val="59"/>
          <w:rFonts w:hint="eastAsia" w:ascii="宋体" w:hAnsi="宋体"/>
          <w:highlight w:val="none"/>
          <w:u w:val="single"/>
        </w:rPr>
        <w:t>广州交易集团有限公司（广州公共资源交易中心）</w:t>
      </w:r>
      <w:r>
        <w:rPr>
          <w:rStyle w:val="59"/>
          <w:rFonts w:ascii="宋体" w:hAnsi="宋体"/>
          <w:szCs w:val="21"/>
          <w:highlight w:val="none"/>
        </w:rPr>
        <w:t>交易平台即时向投标人发出递交回执通知。递交时间以递交回执通知载明的传输完成时间为准。</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条款号：19.3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bCs/>
          <w:szCs w:val="21"/>
          <w:highlight w:val="none"/>
        </w:rPr>
        <w:t>逾期送达的电子投标文件，</w:t>
      </w:r>
      <w:r>
        <w:rPr>
          <w:rStyle w:val="59"/>
          <w:rFonts w:ascii="宋体" w:hAnsi="宋体"/>
          <w:szCs w:val="21"/>
          <w:highlight w:val="none"/>
          <w:u w:val="single"/>
        </w:rPr>
        <w:t xml:space="preserve">        </w:t>
      </w:r>
      <w:r>
        <w:rPr>
          <w:rStyle w:val="59"/>
          <w:rFonts w:ascii="宋体" w:hAnsi="宋体"/>
          <w:szCs w:val="21"/>
          <w:highlight w:val="none"/>
        </w:rPr>
        <w:t>交易平台将予以拒收。</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bCs/>
          <w:szCs w:val="21"/>
          <w:highlight w:val="none"/>
        </w:rPr>
        <w:t>逾期送达的电子投标文件，</w:t>
      </w:r>
      <w:r>
        <w:rPr>
          <w:rStyle w:val="59"/>
          <w:rFonts w:hint="eastAsia" w:ascii="宋体" w:hAnsi="宋体"/>
          <w:highlight w:val="none"/>
          <w:u w:val="single"/>
        </w:rPr>
        <w:t>广州交易集团有限公司（广州公共资源交易中心）</w:t>
      </w:r>
      <w:r>
        <w:rPr>
          <w:rStyle w:val="59"/>
          <w:rFonts w:ascii="宋体" w:hAnsi="宋体"/>
          <w:szCs w:val="21"/>
          <w:highlight w:val="none"/>
        </w:rPr>
        <w:t>交易平台将予以拒收。</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条款号：19.5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19.5如技术标和经济标先后分别开启，</w:t>
      </w:r>
      <w:r>
        <w:rPr>
          <w:rStyle w:val="59"/>
          <w:rFonts w:ascii="宋体" w:hAnsi="宋体"/>
          <w:szCs w:val="21"/>
          <w:highlight w:val="none"/>
          <w:u w:val="single"/>
        </w:rPr>
        <w:t xml:space="preserve">        </w:t>
      </w:r>
      <w:r>
        <w:rPr>
          <w:rStyle w:val="59"/>
          <w:rFonts w:ascii="宋体" w:hAnsi="宋体"/>
          <w:szCs w:val="21"/>
          <w:highlight w:val="none"/>
        </w:rPr>
        <w:t>交易平台将按招标文件规定的时间分别开启技术标和经济标。</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19.5如技术标和经济标</w:t>
      </w:r>
      <w:r>
        <w:rPr>
          <w:rStyle w:val="59"/>
          <w:rFonts w:hint="eastAsia" w:ascii="宋体" w:hAnsi="宋体"/>
          <w:szCs w:val="21"/>
          <w:highlight w:val="none"/>
        </w:rPr>
        <w:t>同时</w:t>
      </w:r>
      <w:r>
        <w:rPr>
          <w:rStyle w:val="59"/>
          <w:rFonts w:ascii="宋体" w:hAnsi="宋体"/>
          <w:szCs w:val="21"/>
          <w:highlight w:val="none"/>
        </w:rPr>
        <w:t>开启，</w:t>
      </w:r>
      <w:r>
        <w:rPr>
          <w:rStyle w:val="59"/>
          <w:rFonts w:hint="eastAsia" w:ascii="宋体" w:hAnsi="宋体"/>
          <w:highlight w:val="none"/>
          <w:u w:val="single"/>
        </w:rPr>
        <w:t>广州交易集团有限公司（广州公共资源交易中心）</w:t>
      </w:r>
      <w:r>
        <w:rPr>
          <w:rStyle w:val="59"/>
          <w:rFonts w:ascii="宋体" w:hAnsi="宋体"/>
          <w:szCs w:val="21"/>
          <w:highlight w:val="none"/>
        </w:rPr>
        <w:t>交易平台将按招标文件规定的时间</w:t>
      </w:r>
      <w:r>
        <w:rPr>
          <w:rStyle w:val="59"/>
          <w:rFonts w:hint="eastAsia" w:ascii="宋体" w:hAnsi="宋体"/>
          <w:szCs w:val="21"/>
          <w:highlight w:val="none"/>
        </w:rPr>
        <w:t>同时</w:t>
      </w:r>
      <w:r>
        <w:rPr>
          <w:rStyle w:val="59"/>
          <w:rFonts w:ascii="宋体" w:hAnsi="宋体"/>
          <w:szCs w:val="21"/>
          <w:highlight w:val="none"/>
        </w:rPr>
        <w:t>开启技术标和经济标。</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条款号：20.3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000000" w:sz="6" w:space="1"/>
        </w:pBdr>
        <w:spacing w:line="360" w:lineRule="auto"/>
        <w:ind w:firstLine="422" w:firstLineChars="200"/>
        <w:rPr>
          <w:rStyle w:val="59"/>
          <w:rFonts w:hint="eastAsia" w:ascii="宋体" w:hAnsi="宋体"/>
          <w:szCs w:val="21"/>
          <w:highlight w:val="none"/>
          <w:u w:val="single"/>
        </w:rPr>
      </w:pPr>
      <w:r>
        <w:rPr>
          <w:rStyle w:val="59"/>
          <w:rFonts w:ascii="宋体" w:hAnsi="宋体"/>
          <w:b/>
          <w:szCs w:val="21"/>
          <w:highlight w:val="none"/>
        </w:rPr>
        <w:t>现文：</w:t>
      </w:r>
      <w:r>
        <w:rPr>
          <w:rStyle w:val="59"/>
          <w:rFonts w:ascii="宋体" w:hAnsi="宋体"/>
          <w:szCs w:val="21"/>
          <w:highlight w:val="none"/>
          <w:u w:val="single"/>
        </w:rPr>
        <w:t>20.3到投标截止时间止，招标人收到的投标文件少于3家的，招标人将重新组织招标。</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条款号：21.1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21.1本须知前附表第17项规定的投标截止时间</w:t>
      </w:r>
      <w:r>
        <w:rPr>
          <w:rStyle w:val="59"/>
          <w:rFonts w:ascii="宋体" w:hAnsi="宋体"/>
          <w:bCs/>
          <w:szCs w:val="21"/>
          <w:highlight w:val="none"/>
        </w:rPr>
        <w:t>后送达的电子投标文件，</w:t>
      </w:r>
      <w:r>
        <w:rPr>
          <w:rStyle w:val="59"/>
          <w:rFonts w:ascii="宋体" w:hAnsi="宋体"/>
          <w:szCs w:val="21"/>
          <w:highlight w:val="none"/>
          <w:u w:val="single"/>
        </w:rPr>
        <w:t xml:space="preserve">       </w:t>
      </w:r>
      <w:r>
        <w:rPr>
          <w:rStyle w:val="59"/>
          <w:rFonts w:ascii="宋体" w:hAnsi="宋体"/>
          <w:szCs w:val="21"/>
          <w:highlight w:val="none"/>
        </w:rPr>
        <w:t>交易平台将予以拒收。</w:t>
      </w:r>
    </w:p>
    <w:p>
      <w:pPr>
        <w:pBdr>
          <w:bottom w:val="single" w:color="000000" w:sz="6" w:space="1"/>
        </w:pBd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现文：</w:t>
      </w:r>
      <w:r>
        <w:rPr>
          <w:rStyle w:val="59"/>
          <w:rFonts w:ascii="宋体" w:hAnsi="宋体"/>
          <w:szCs w:val="21"/>
          <w:highlight w:val="none"/>
        </w:rPr>
        <w:t>21.1本须知前附表第17项规定的投标截止时间</w:t>
      </w:r>
      <w:r>
        <w:rPr>
          <w:rStyle w:val="59"/>
          <w:rFonts w:ascii="宋体" w:hAnsi="宋体"/>
          <w:bCs/>
          <w:szCs w:val="21"/>
          <w:highlight w:val="none"/>
        </w:rPr>
        <w:t>后送达的电子投标文件，</w:t>
      </w:r>
      <w:r>
        <w:rPr>
          <w:rStyle w:val="59"/>
          <w:rFonts w:hint="eastAsia" w:ascii="宋体" w:hAnsi="宋体"/>
          <w:highlight w:val="none"/>
          <w:u w:val="single"/>
        </w:rPr>
        <w:t>广州交易集团有限公司（广州公共资源交易中心）</w:t>
      </w:r>
      <w:r>
        <w:rPr>
          <w:rStyle w:val="59"/>
          <w:rFonts w:ascii="宋体" w:hAnsi="宋体"/>
          <w:bCs/>
          <w:szCs w:val="21"/>
          <w:highlight w:val="none"/>
        </w:rPr>
        <w:t>交易平台将予以拒收。</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条款号：27.1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27.1</w:t>
      </w:r>
      <w:r>
        <w:rPr>
          <w:rStyle w:val="59"/>
          <w:rFonts w:hint="eastAsia" w:ascii="宋体" w:hAnsi="宋体"/>
          <w:szCs w:val="21"/>
          <w:highlight w:val="none"/>
        </w:rPr>
        <w:t>招标人将在</w:t>
      </w:r>
      <w:r>
        <w:rPr>
          <w:rStyle w:val="59"/>
          <w:rFonts w:hint="eastAsia" w:ascii="宋体" w:hAnsi="宋体"/>
          <w:szCs w:val="21"/>
          <w:highlight w:val="none"/>
          <w:u w:val="single"/>
        </w:rPr>
        <w:t xml:space="preserve">    </w:t>
      </w:r>
      <w:r>
        <w:rPr>
          <w:rStyle w:val="59"/>
          <w:rFonts w:hint="eastAsia" w:ascii="宋体" w:hAnsi="宋体"/>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000000" w:sz="6" w:space="1"/>
        </w:pBdr>
        <w:spacing w:line="360" w:lineRule="auto"/>
        <w:ind w:firstLine="422" w:firstLineChars="200"/>
        <w:rPr>
          <w:rStyle w:val="59"/>
          <w:rFonts w:hint="eastAsia" w:ascii="宋体" w:hAnsi="宋体"/>
          <w:szCs w:val="21"/>
          <w:highlight w:val="none"/>
          <w:u w:val="single"/>
        </w:rPr>
      </w:pPr>
      <w:r>
        <w:rPr>
          <w:rStyle w:val="59"/>
          <w:rFonts w:ascii="宋体" w:hAnsi="宋体"/>
          <w:b/>
          <w:szCs w:val="21"/>
          <w:highlight w:val="none"/>
        </w:rPr>
        <w:t>现文：</w:t>
      </w:r>
      <w:r>
        <w:rPr>
          <w:rStyle w:val="59"/>
          <w:rFonts w:ascii="宋体" w:hAnsi="宋体"/>
          <w:szCs w:val="21"/>
          <w:highlight w:val="none"/>
        </w:rPr>
        <w:t>27.1招标人将在</w:t>
      </w:r>
      <w:r>
        <w:rPr>
          <w:rStyle w:val="59"/>
          <w:rFonts w:hint="eastAsia" w:ascii="宋体" w:hAnsi="宋体"/>
          <w:highlight w:val="none"/>
          <w:u w:val="single"/>
        </w:rPr>
        <w:t>广州交易集团有限公司（广州公共资源交易中心）</w:t>
      </w:r>
      <w:r>
        <w:rPr>
          <w:rStyle w:val="59"/>
          <w:rFonts w:hint="eastAsia" w:ascii="宋体" w:hAnsi="宋体"/>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条款号：27.4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27.4</w:t>
      </w:r>
      <w:r>
        <w:rPr>
          <w:rFonts w:hint="eastAsia" w:ascii="宋体" w:hAnsi="宋体"/>
          <w:szCs w:val="21"/>
          <w:highlight w:val="none"/>
        </w:rPr>
        <w:t>在产生中标候选人后，招标人将中标候选人的投标文件商务部分文件的所有内容（包括人员、业绩、奖项等资料）在</w:t>
      </w:r>
      <w:r>
        <w:rPr>
          <w:rFonts w:hint="eastAsia" w:ascii="宋体" w:hAnsi="宋体"/>
          <w:szCs w:val="21"/>
          <w:highlight w:val="none"/>
          <w:u w:val="single"/>
        </w:rPr>
        <w:t xml:space="preserve">       </w:t>
      </w:r>
      <w:r>
        <w:rPr>
          <w:rFonts w:hint="eastAsia" w:ascii="宋体" w:hAnsi="宋体"/>
          <w:szCs w:val="21"/>
          <w:highlight w:val="none"/>
        </w:rPr>
        <w:t xml:space="preserve"> 交易平台和广东省招标投标监管网公开。</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27.4</w:t>
      </w:r>
      <w:r>
        <w:rPr>
          <w:rFonts w:hint="eastAsia" w:ascii="宋体" w:hAnsi="宋体"/>
          <w:szCs w:val="21"/>
          <w:highlight w:val="none"/>
        </w:rPr>
        <w:t>在产生中标候选人后，招标人将中标候选人的投标文件商务部分文件的所有内容（包括人员、业绩、奖项等资料）</w:t>
      </w:r>
      <w:r>
        <w:rPr>
          <w:rFonts w:ascii="宋体" w:hAnsi="宋体"/>
          <w:szCs w:val="21"/>
          <w:highlight w:val="none"/>
        </w:rPr>
        <w:t>在</w:t>
      </w:r>
      <w:r>
        <w:rPr>
          <w:rStyle w:val="59"/>
          <w:rFonts w:hint="eastAsia" w:ascii="宋体" w:hAnsi="宋体"/>
          <w:highlight w:val="none"/>
          <w:u w:val="single"/>
        </w:rPr>
        <w:t>广州交易集团有限公司（广州公共资源交易中心）</w:t>
      </w:r>
      <w:r>
        <w:rPr>
          <w:rFonts w:ascii="宋体" w:hAnsi="宋体"/>
          <w:szCs w:val="21"/>
          <w:highlight w:val="none"/>
        </w:rPr>
        <w:t>交易平台和广东省招标投标监管网公开。</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条款号：2</w:t>
      </w:r>
      <w:r>
        <w:rPr>
          <w:rStyle w:val="59"/>
          <w:rFonts w:hint="eastAsia" w:ascii="宋体" w:hAnsi="宋体"/>
          <w:b/>
          <w:szCs w:val="21"/>
          <w:highlight w:val="none"/>
        </w:rPr>
        <w:t>8</w:t>
      </w:r>
      <w:r>
        <w:rPr>
          <w:rStyle w:val="59"/>
          <w:rFonts w:ascii="宋体" w:hAnsi="宋体"/>
          <w:b/>
          <w:szCs w:val="21"/>
          <w:highlight w:val="none"/>
        </w:rPr>
        <w:t>.</w:t>
      </w:r>
      <w:r>
        <w:rPr>
          <w:rStyle w:val="59"/>
          <w:rFonts w:hint="eastAsia" w:ascii="宋体" w:hAnsi="宋体"/>
          <w:b/>
          <w:szCs w:val="21"/>
          <w:highlight w:val="none"/>
        </w:rPr>
        <w:t>1</w:t>
      </w:r>
      <w:r>
        <w:rPr>
          <w:rStyle w:val="59"/>
          <w:rFonts w:ascii="宋体" w:hAnsi="宋体"/>
          <w:b/>
          <w:szCs w:val="21"/>
          <w:highlight w:val="none"/>
        </w:rPr>
        <w:t xml:space="preserve">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2</w:t>
      </w:r>
      <w:r>
        <w:rPr>
          <w:rStyle w:val="59"/>
          <w:rFonts w:hint="eastAsia" w:ascii="宋体" w:hAnsi="宋体"/>
          <w:szCs w:val="21"/>
          <w:highlight w:val="none"/>
        </w:rPr>
        <w:t>8</w:t>
      </w:r>
      <w:r>
        <w:rPr>
          <w:rStyle w:val="59"/>
          <w:rFonts w:ascii="宋体" w:hAnsi="宋体"/>
          <w:szCs w:val="21"/>
          <w:highlight w:val="none"/>
        </w:rPr>
        <w:t>.</w:t>
      </w:r>
      <w:r>
        <w:rPr>
          <w:rStyle w:val="59"/>
          <w:rFonts w:hint="eastAsia" w:ascii="宋体" w:hAnsi="宋体"/>
          <w:szCs w:val="21"/>
          <w:highlight w:val="none"/>
        </w:rPr>
        <w:t>1</w:t>
      </w:r>
      <w:r>
        <w:rPr>
          <w:rFonts w:hint="eastAsia" w:ascii="宋体" w:hAnsi="宋体"/>
          <w:szCs w:val="21"/>
          <w:highlight w:val="none"/>
        </w:rPr>
        <w:t>招标人与中标人将于中标通知书发出之日起30日内，按照招标文件和中标人的投标文件，招标人和中标人不得再行订立背离合同实质性内容的其他协议。</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Fonts w:hint="eastAsia" w:ascii="宋体" w:hAnsi="宋体"/>
          <w:szCs w:val="21"/>
          <w:highlight w:val="none"/>
        </w:rPr>
        <w:t>28.1招标人与中标人将于中标通知书发出之日起30日内，按照招标文件和中标人的投标文件</w:t>
      </w:r>
      <w:r>
        <w:rPr>
          <w:rFonts w:hint="eastAsia" w:ascii="宋体" w:hAnsi="宋体"/>
          <w:szCs w:val="21"/>
          <w:highlight w:val="none"/>
          <w:u w:val="single"/>
        </w:rPr>
        <w:t>在本招标文件公示的合同条款的基础上签订合同</w:t>
      </w:r>
      <w:r>
        <w:rPr>
          <w:rFonts w:hint="eastAsia" w:ascii="宋体" w:hAnsi="宋体"/>
          <w:szCs w:val="21"/>
          <w:highlight w:val="none"/>
        </w:rPr>
        <w:t>，招标人和中标人不得再行订立背离合同实质性内容的其他协议。</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条款号：31.1          修改类型：增加</w:t>
      </w:r>
    </w:p>
    <w:p>
      <w:pPr>
        <w:pBdr>
          <w:bottom w:val="single" w:color="000000" w:sz="6" w:space="1"/>
        </w:pBdr>
        <w:spacing w:line="360" w:lineRule="auto"/>
        <w:ind w:firstLine="422" w:firstLineChars="200"/>
        <w:rPr>
          <w:rStyle w:val="59"/>
          <w:rFonts w:hint="eastAsia" w:ascii="宋体" w:hAnsi="宋体"/>
          <w:szCs w:val="21"/>
          <w:highlight w:val="none"/>
          <w:u w:val="single"/>
        </w:rPr>
      </w:pPr>
      <w:r>
        <w:rPr>
          <w:rStyle w:val="59"/>
          <w:rFonts w:ascii="宋体" w:hAnsi="宋体"/>
          <w:b/>
          <w:szCs w:val="21"/>
          <w:highlight w:val="none"/>
        </w:rPr>
        <w:t>现文：</w:t>
      </w:r>
      <w:r>
        <w:rPr>
          <w:rStyle w:val="59"/>
          <w:rFonts w:hint="eastAsia" w:ascii="宋体" w:hAnsi="宋体"/>
          <w:szCs w:val="21"/>
          <w:highlight w:val="none"/>
          <w:u w:val="single"/>
        </w:rPr>
        <w:t>本项目招标代理服务费由中标人在领取《中标通知书》前一次性向招标代理机构足额支付。招标代理服务费以中标价作为计算基价，参考国家颁布的《招标代理服务收费管理暂行办法》（计价格[2002]1980号）和发改价格[2011]534号规定的工程类招标项目</w:t>
      </w:r>
      <w:r>
        <w:rPr>
          <w:rFonts w:hint="eastAsia"/>
          <w:highlight w:val="none"/>
        </w:rPr>
        <w:t>按招标代理合同</w:t>
      </w:r>
      <w:r>
        <w:rPr>
          <w:rStyle w:val="59"/>
          <w:rFonts w:hint="eastAsia" w:ascii="宋体" w:hAnsi="宋体"/>
          <w:szCs w:val="21"/>
          <w:highlight w:val="none"/>
          <w:u w:val="single"/>
        </w:rPr>
        <w:t>下浮20%计算。本费用由投标人自行考虑，招标人不再另行支付。</w:t>
      </w:r>
    </w:p>
    <w:p>
      <w:pPr>
        <w:spacing w:line="360" w:lineRule="auto"/>
        <w:ind w:firstLine="211" w:firstLineChars="100"/>
        <w:rPr>
          <w:rStyle w:val="59"/>
          <w:rFonts w:hint="eastAsia" w:ascii="宋体" w:hAnsi="宋体"/>
          <w:b/>
          <w:szCs w:val="21"/>
          <w:highlight w:val="none"/>
        </w:rPr>
      </w:pPr>
      <w:r>
        <w:rPr>
          <w:rStyle w:val="59"/>
          <w:rFonts w:ascii="宋体" w:hAnsi="宋体"/>
          <w:b/>
          <w:szCs w:val="21"/>
          <w:highlight w:val="none"/>
        </w:rPr>
        <w:t>注：以上修改，仅限于本范本中有可供选择条款的情形。</w:t>
      </w:r>
    </w:p>
    <w:p>
      <w:pPr>
        <w:spacing w:line="360" w:lineRule="auto"/>
        <w:rPr>
          <w:rStyle w:val="59"/>
          <w:rFonts w:hint="eastAsia" w:ascii="宋体" w:hAnsi="宋体"/>
          <w:szCs w:val="21"/>
          <w:highlight w:val="none"/>
        </w:rPr>
      </w:pPr>
      <w:r>
        <w:rPr>
          <w:rStyle w:val="59"/>
          <w:rFonts w:ascii="宋体" w:hAnsi="宋体"/>
          <w:b/>
          <w:szCs w:val="21"/>
          <w:highlight w:val="none"/>
        </w:rPr>
        <w:t>（以下无正文）</w:t>
      </w:r>
    </w:p>
    <w:p>
      <w:pPr>
        <w:pStyle w:val="151"/>
        <w:spacing w:line="360" w:lineRule="auto"/>
        <w:outlineLvl w:val="1"/>
        <w:rPr>
          <w:rStyle w:val="59"/>
          <w:rFonts w:hint="eastAsia" w:ascii="宋体" w:hAnsi="宋体"/>
          <w:b/>
          <w:color w:val="auto"/>
          <w:highlight w:val="none"/>
        </w:rPr>
      </w:pPr>
      <w:r>
        <w:rPr>
          <w:rStyle w:val="59"/>
          <w:rFonts w:ascii="宋体" w:hAnsi="宋体"/>
          <w:b/>
          <w:color w:val="auto"/>
          <w:highlight w:val="none"/>
        </w:rPr>
        <w:br w:type="page"/>
      </w:r>
      <w:bookmarkStart w:id="5" w:name="_Toc105014623"/>
      <w:r>
        <w:rPr>
          <w:rStyle w:val="59"/>
          <w:rFonts w:ascii="宋体" w:hAnsi="宋体"/>
          <w:b/>
          <w:color w:val="auto"/>
          <w:highlight w:val="none"/>
        </w:rPr>
        <w:t>三、投标须知通用条款</w:t>
      </w:r>
      <w:bookmarkEnd w:id="5"/>
    </w:p>
    <w:p>
      <w:pPr>
        <w:pStyle w:val="6"/>
        <w:spacing w:before="156" w:beforeAutospacing="0" w:after="156" w:afterAutospacing="0" w:line="360" w:lineRule="auto"/>
        <w:rPr>
          <w:rFonts w:hint="eastAsia"/>
          <w:b/>
          <w:bCs/>
          <w:sz w:val="21"/>
          <w:szCs w:val="21"/>
          <w:highlight w:val="none"/>
        </w:rPr>
      </w:pPr>
      <w:bookmarkStart w:id="6" w:name="_Toc105014624"/>
      <w:r>
        <w:rPr>
          <w:rFonts w:hint="eastAsia"/>
          <w:b/>
          <w:bCs/>
          <w:sz w:val="21"/>
          <w:szCs w:val="21"/>
          <w:highlight w:val="none"/>
        </w:rPr>
        <w:t>（一）总则</w:t>
      </w:r>
      <w:bookmarkEnd w:id="6"/>
    </w:p>
    <w:p>
      <w:pPr>
        <w:pStyle w:val="26"/>
        <w:spacing w:after="0" w:line="360" w:lineRule="auto"/>
        <w:ind w:firstLine="422" w:firstLineChars="200"/>
        <w:rPr>
          <w:rFonts w:hint="eastAsia" w:ascii="宋体" w:hAnsi="宋体"/>
          <w:b/>
          <w:bCs/>
          <w:sz w:val="21"/>
          <w:szCs w:val="21"/>
          <w:highlight w:val="none"/>
        </w:rPr>
      </w:pPr>
      <w:r>
        <w:rPr>
          <w:rFonts w:ascii="宋体" w:hAnsi="宋体"/>
          <w:b/>
          <w:bCs/>
          <w:sz w:val="21"/>
          <w:szCs w:val="21"/>
          <w:highlight w:val="none"/>
        </w:rPr>
        <w:t xml:space="preserve">1. </w:t>
      </w:r>
      <w:r>
        <w:rPr>
          <w:rFonts w:hint="eastAsia" w:ascii="宋体" w:hAnsi="宋体"/>
          <w:b/>
          <w:bCs/>
          <w:sz w:val="21"/>
          <w:szCs w:val="21"/>
          <w:highlight w:val="none"/>
        </w:rPr>
        <w:t>定义</w:t>
      </w:r>
    </w:p>
    <w:p>
      <w:pPr>
        <w:pStyle w:val="26"/>
        <w:spacing w:after="0" w:line="360" w:lineRule="auto"/>
        <w:ind w:firstLineChars="200"/>
        <w:rPr>
          <w:rFonts w:hint="eastAsia" w:ascii="宋体" w:hAnsi="宋体"/>
          <w:b/>
          <w:bCs/>
          <w:sz w:val="21"/>
          <w:szCs w:val="21"/>
          <w:highlight w:val="none"/>
        </w:rPr>
      </w:pPr>
      <w:r>
        <w:rPr>
          <w:rFonts w:hint="eastAsia" w:ascii="宋体" w:hAnsi="宋体"/>
          <w:sz w:val="21"/>
          <w:szCs w:val="21"/>
          <w:highlight w:val="none"/>
        </w:rPr>
        <w:t>本招标文件使用的下列词语具有如下规定的意义：</w:t>
      </w:r>
    </w:p>
    <w:p>
      <w:pPr>
        <w:pStyle w:val="26"/>
        <w:spacing w:after="0" w:line="360" w:lineRule="auto"/>
        <w:ind w:firstLineChars="200"/>
        <w:rPr>
          <w:rFonts w:hint="eastAsia" w:ascii="宋体" w:hAnsi="宋体"/>
          <w:b/>
          <w:bCs/>
          <w:sz w:val="21"/>
          <w:szCs w:val="21"/>
          <w:highlight w:val="none"/>
          <w:u w:val="single"/>
        </w:rPr>
      </w:pPr>
      <w:r>
        <w:rPr>
          <w:rFonts w:hint="eastAsia" w:ascii="宋体" w:hAnsi="宋体"/>
          <w:sz w:val="21"/>
          <w:szCs w:val="21"/>
          <w:highlight w:val="none"/>
        </w:rPr>
        <w:t>（1）“招标人”（即发包人）、“项目建设管理单位”（或称“项目代建单位”）、“招标代理”、“设计单位”、“监理单位”均已在投标须知前附表中列明。</w:t>
      </w:r>
    </w:p>
    <w:p>
      <w:pPr>
        <w:pStyle w:val="26"/>
        <w:spacing w:after="0" w:line="360" w:lineRule="auto"/>
        <w:ind w:firstLineChars="200"/>
        <w:rPr>
          <w:rFonts w:hint="eastAsia" w:ascii="宋体" w:hAnsi="宋体"/>
          <w:sz w:val="21"/>
          <w:szCs w:val="21"/>
          <w:highlight w:val="none"/>
          <w:u w:val="single"/>
        </w:rPr>
      </w:pPr>
      <w:r>
        <w:rPr>
          <w:rFonts w:hint="eastAsia" w:ascii="宋体" w:hAnsi="宋体"/>
          <w:sz w:val="21"/>
          <w:szCs w:val="21"/>
          <w:highlight w:val="none"/>
        </w:rPr>
        <w:t xml:space="preserve">（2）“投标人”指向招标人提交投标文件的当事人。   </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（3）“承包人”指其投标被招标人接受并与其签订承包合同的当事人。</w:t>
      </w:r>
    </w:p>
    <w:p>
      <w:pPr>
        <w:pStyle w:val="26"/>
        <w:spacing w:after="0" w:line="360" w:lineRule="auto"/>
        <w:ind w:firstLineChars="200"/>
        <w:rPr>
          <w:rFonts w:hint="eastAsia" w:ascii="宋体" w:hAnsi="宋体"/>
          <w:sz w:val="21"/>
          <w:szCs w:val="21"/>
          <w:highlight w:val="none"/>
          <w:u w:val="single"/>
        </w:rPr>
      </w:pPr>
      <w:r>
        <w:rPr>
          <w:rFonts w:hint="eastAsia" w:ascii="宋体" w:hAnsi="宋体"/>
          <w:sz w:val="21"/>
          <w:szCs w:val="21"/>
          <w:highlight w:val="none"/>
        </w:rPr>
        <w:t>（4）“招标文件”指由招标代理发出的本文件（包括全部章节、附件）及招标答疑会会议纪要和</w:t>
      </w:r>
      <w:r>
        <w:rPr>
          <w:rFonts w:hint="eastAsia" w:ascii="宋体" w:hAnsi="宋体"/>
          <w:bCs/>
          <w:sz w:val="21"/>
          <w:szCs w:val="21"/>
          <w:highlight w:val="none"/>
        </w:rPr>
        <w:t>招标文件的澄清与修改</w:t>
      </w:r>
      <w:r>
        <w:rPr>
          <w:rFonts w:hint="eastAsia" w:ascii="宋体" w:hAnsi="宋体"/>
          <w:sz w:val="21"/>
          <w:szCs w:val="21"/>
          <w:highlight w:val="none"/>
        </w:rPr>
        <w:t>文件。</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（5）“投标文件”指投标人根据本项目招标文件向招标人提交的全部文件。</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（6）“书面形式”指打字或印刷的文件和数据电文（包括电报、电传、传真、电子数据交换和电子邮件）。</w:t>
      </w:r>
    </w:p>
    <w:p>
      <w:pPr>
        <w:spacing w:line="360" w:lineRule="auto"/>
        <w:ind w:firstLine="422" w:firstLineChars="200"/>
        <w:rPr>
          <w:rFonts w:hint="eastAsia" w:ascii="宋体" w:hAnsi="宋体"/>
          <w:b/>
          <w:szCs w:val="21"/>
          <w:highlight w:val="none"/>
        </w:rPr>
      </w:pPr>
      <w:r>
        <w:rPr>
          <w:rFonts w:ascii="宋体" w:hAnsi="宋体"/>
          <w:b/>
          <w:szCs w:val="21"/>
          <w:highlight w:val="none"/>
        </w:rPr>
        <w:t xml:space="preserve">2. </w:t>
      </w:r>
      <w:r>
        <w:rPr>
          <w:rFonts w:hint="eastAsia" w:ascii="宋体" w:hAnsi="宋体"/>
          <w:b/>
          <w:szCs w:val="21"/>
          <w:highlight w:val="none"/>
        </w:rPr>
        <w:t>招标说明</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2.1本招标工程项目按照《中华人民共和国招标投标法》等有关法律、行政法规、规章和规范性文件，通过招标方式选定承包人。</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2.2工程名称、建设地点、建设规模、承包方式、质量标准、招标范围、工期要求等均在投标须知前附表中列明。</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2.3设计说明：详见招标图纸。</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2.4工程施工特点：详见招标图纸。</w:t>
      </w:r>
    </w:p>
    <w:p>
      <w:pPr>
        <w:spacing w:line="360" w:lineRule="auto"/>
        <w:ind w:firstLine="422" w:firstLineChars="200"/>
        <w:rPr>
          <w:rFonts w:hint="eastAsia" w:ascii="宋体" w:hAnsi="宋体"/>
          <w:b/>
          <w:szCs w:val="21"/>
          <w:highlight w:val="none"/>
        </w:rPr>
      </w:pPr>
      <w:r>
        <w:rPr>
          <w:rFonts w:ascii="宋体" w:hAnsi="宋体"/>
          <w:b/>
          <w:szCs w:val="21"/>
          <w:highlight w:val="none"/>
        </w:rPr>
        <w:t xml:space="preserve">3. </w:t>
      </w:r>
      <w:r>
        <w:rPr>
          <w:rFonts w:hint="eastAsia" w:ascii="宋体" w:hAnsi="宋体"/>
          <w:b/>
          <w:szCs w:val="21"/>
          <w:highlight w:val="none"/>
        </w:rPr>
        <w:t>资金来源</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3.1本招标工程项目资金来源见投标须知前附表第9项。</w:t>
      </w:r>
    </w:p>
    <w:p>
      <w:pPr>
        <w:spacing w:line="360" w:lineRule="auto"/>
        <w:ind w:firstLine="422" w:firstLineChars="200"/>
        <w:rPr>
          <w:rFonts w:hint="eastAsia" w:ascii="宋体" w:hAnsi="宋体"/>
          <w:b/>
          <w:szCs w:val="21"/>
          <w:highlight w:val="none"/>
        </w:rPr>
      </w:pPr>
      <w:r>
        <w:rPr>
          <w:rFonts w:ascii="宋体" w:hAnsi="宋体"/>
          <w:b/>
          <w:szCs w:val="21"/>
          <w:highlight w:val="none"/>
        </w:rPr>
        <w:t xml:space="preserve">4. </w:t>
      </w:r>
      <w:r>
        <w:rPr>
          <w:rFonts w:hint="eastAsia" w:ascii="宋体" w:hAnsi="宋体"/>
          <w:b/>
          <w:szCs w:val="21"/>
          <w:highlight w:val="none"/>
        </w:rPr>
        <w:t>合格投标人的条件</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4.1详见本项目招标公告</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5．踏勘现场</w:t>
      </w:r>
    </w:p>
    <w:p>
      <w:pPr>
        <w:spacing w:line="360" w:lineRule="auto"/>
        <w:ind w:firstLine="420" w:firstLineChars="200"/>
        <w:rPr>
          <w:rFonts w:hint="eastAsia" w:ascii="宋体" w:hAnsi="宋体"/>
          <w:bCs/>
          <w:szCs w:val="21"/>
          <w:highlight w:val="none"/>
          <w:u w:val="single"/>
        </w:rPr>
      </w:pPr>
      <w:r>
        <w:rPr>
          <w:rFonts w:hint="eastAsia" w:ascii="宋体" w:hAnsi="宋体"/>
          <w:bCs/>
          <w:szCs w:val="21"/>
          <w:highlight w:val="none"/>
        </w:rPr>
        <w:t>5.1 投标人应按本投标须知前附表第15项所述时间和要求对工程现场及周围环境进行踏勘，</w:t>
      </w:r>
      <w:r>
        <w:rPr>
          <w:rFonts w:hint="eastAsia" w:ascii="宋体" w:hAnsi="宋体"/>
          <w:szCs w:val="21"/>
          <w:highlight w:val="none"/>
        </w:rPr>
        <w:t>投标人应充分重视和仔细地进行这种考察，</w:t>
      </w:r>
      <w:r>
        <w:rPr>
          <w:rFonts w:hint="eastAsia" w:ascii="宋体" w:hAnsi="宋体"/>
          <w:bCs/>
          <w:szCs w:val="21"/>
          <w:highlight w:val="none"/>
        </w:rPr>
        <w:t>以便投标人获取</w:t>
      </w:r>
      <w:r>
        <w:rPr>
          <w:rFonts w:hint="eastAsia" w:ascii="宋体" w:hAnsi="宋体"/>
          <w:szCs w:val="21"/>
          <w:highlight w:val="none"/>
        </w:rPr>
        <w:t>那些须投标人自己负责的</w:t>
      </w:r>
      <w:r>
        <w:rPr>
          <w:rFonts w:hint="eastAsia" w:ascii="宋体" w:hAnsi="宋体"/>
          <w:bCs/>
          <w:szCs w:val="21"/>
          <w:highlight w:val="none"/>
        </w:rPr>
        <w:t>有关编制投标文件和签署合同所涉及现场所有的资料。</w:t>
      </w:r>
      <w:r>
        <w:rPr>
          <w:rFonts w:hint="eastAsia" w:ascii="宋体" w:hAnsi="宋体"/>
          <w:szCs w:val="21"/>
          <w:highlight w:val="none"/>
        </w:rPr>
        <w:t>一旦中标，这种考察即被认为其结果已在中标文件中得到充分反映。考察现场的费用由投标人自己承担。</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5.2 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5.3 经招标人允许，投标人可为踏勘目的进入招标人的项目现场。</w:t>
      </w:r>
      <w:r>
        <w:rPr>
          <w:rFonts w:hint="eastAsia" w:ascii="宋体" w:hAnsi="宋体"/>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highlight w:val="none"/>
        </w:rPr>
        <w:t>投标人不得因此使招标人承担有关的责任和蒙受损失。</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6．投标费用</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6.1</w:t>
      </w:r>
      <w:r>
        <w:rPr>
          <w:rFonts w:hint="eastAsia" w:ascii="宋体" w:hAnsi="宋体"/>
          <w:szCs w:val="21"/>
          <w:highlight w:val="none"/>
        </w:rPr>
        <w:t>不论投标结果如何，投标人应承担</w:t>
      </w:r>
      <w:r>
        <w:rPr>
          <w:rFonts w:hint="eastAsia" w:ascii="宋体" w:hAnsi="宋体"/>
          <w:bCs/>
          <w:szCs w:val="21"/>
          <w:highlight w:val="none"/>
        </w:rPr>
        <w:t>自身</w:t>
      </w:r>
      <w:r>
        <w:rPr>
          <w:rFonts w:hint="eastAsia" w:ascii="宋体" w:hAnsi="宋体"/>
          <w:szCs w:val="21"/>
          <w:highlight w:val="none"/>
        </w:rPr>
        <w:t>因投标文件编制、递交及其他</w:t>
      </w:r>
      <w:r>
        <w:rPr>
          <w:rFonts w:hint="eastAsia" w:ascii="宋体" w:hAnsi="宋体"/>
          <w:bCs/>
          <w:szCs w:val="21"/>
          <w:highlight w:val="none"/>
        </w:rPr>
        <w:t>参加本招标活动</w:t>
      </w:r>
      <w:r>
        <w:rPr>
          <w:rFonts w:hint="eastAsia" w:ascii="宋体" w:hAnsi="宋体"/>
          <w:szCs w:val="21"/>
          <w:highlight w:val="none"/>
        </w:rPr>
        <w:t>所涉及的一切费用，招标人对上述费用不负任何责任。</w:t>
      </w:r>
    </w:p>
    <w:p>
      <w:pPr>
        <w:pStyle w:val="6"/>
        <w:spacing w:before="156" w:beforeAutospacing="0" w:after="156" w:afterAutospacing="0" w:line="360" w:lineRule="auto"/>
        <w:rPr>
          <w:rFonts w:hint="eastAsia"/>
          <w:b/>
          <w:bCs/>
          <w:sz w:val="21"/>
          <w:szCs w:val="21"/>
          <w:highlight w:val="none"/>
        </w:rPr>
      </w:pPr>
      <w:bookmarkStart w:id="7" w:name="_Toc105014625"/>
      <w:r>
        <w:rPr>
          <w:rFonts w:hint="eastAsia"/>
          <w:b/>
          <w:bCs/>
          <w:sz w:val="21"/>
          <w:szCs w:val="21"/>
          <w:highlight w:val="none"/>
        </w:rPr>
        <w:t>（二）招标文件</w:t>
      </w:r>
      <w:bookmarkEnd w:id="7"/>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7.</w:t>
      </w:r>
      <w:r>
        <w:rPr>
          <w:rFonts w:ascii="宋体" w:hAnsi="宋体"/>
          <w:b/>
          <w:szCs w:val="21"/>
          <w:highlight w:val="none"/>
        </w:rPr>
        <w:t xml:space="preserve"> </w:t>
      </w:r>
      <w:r>
        <w:rPr>
          <w:rFonts w:hint="eastAsia" w:ascii="宋体" w:hAnsi="宋体"/>
          <w:b/>
          <w:szCs w:val="21"/>
          <w:highlight w:val="none"/>
        </w:rPr>
        <w:t>招标文件的组成</w:t>
      </w:r>
    </w:p>
    <w:p>
      <w:pPr>
        <w:spacing w:line="360" w:lineRule="auto"/>
        <w:ind w:firstLine="420" w:firstLineChars="200"/>
        <w:rPr>
          <w:rFonts w:hint="eastAsia" w:ascii="宋体" w:hAnsi="宋体"/>
          <w:szCs w:val="21"/>
          <w:highlight w:val="none"/>
        </w:rPr>
      </w:pPr>
      <w:r>
        <w:rPr>
          <w:rFonts w:hint="eastAsia" w:ascii="宋体" w:hAnsi="宋体"/>
          <w:bCs/>
          <w:szCs w:val="21"/>
          <w:highlight w:val="none"/>
        </w:rPr>
        <w:t>7.1</w:t>
      </w:r>
      <w:r>
        <w:rPr>
          <w:rFonts w:hint="eastAsia" w:ascii="宋体" w:hAnsi="宋体"/>
          <w:szCs w:val="21"/>
          <w:highlight w:val="none"/>
        </w:rPr>
        <w:t>本招标文件包括下列文件，以及所有按本须知第8条发出的招标答疑会会议纪要和按本须知第9条发出的澄清或修改：</w:t>
      </w:r>
    </w:p>
    <w:p>
      <w:pPr>
        <w:pStyle w:val="26"/>
        <w:spacing w:after="0" w:line="360" w:lineRule="auto"/>
        <w:ind w:left="-2" w:firstLineChars="200"/>
        <w:rPr>
          <w:rFonts w:hint="eastAsia" w:ascii="宋体" w:hAnsi="宋体"/>
          <w:sz w:val="21"/>
          <w:szCs w:val="21"/>
          <w:highlight w:val="none"/>
        </w:rPr>
      </w:pPr>
      <w:r>
        <w:rPr>
          <w:rFonts w:hint="eastAsia" w:ascii="宋体" w:hAnsi="宋体"/>
          <w:bCs/>
          <w:sz w:val="21"/>
          <w:szCs w:val="21"/>
          <w:highlight w:val="none"/>
        </w:rPr>
        <w:t xml:space="preserve">第一章  </w:t>
      </w:r>
      <w:r>
        <w:rPr>
          <w:rFonts w:hint="eastAsia" w:ascii="宋体" w:hAnsi="宋体"/>
          <w:sz w:val="21"/>
          <w:szCs w:val="21"/>
          <w:highlight w:val="none"/>
        </w:rPr>
        <w:t>投标须知</w:t>
      </w:r>
    </w:p>
    <w:p>
      <w:pPr>
        <w:pStyle w:val="26"/>
        <w:spacing w:after="0" w:line="360" w:lineRule="auto"/>
        <w:ind w:left="-2" w:firstLineChars="200"/>
        <w:rPr>
          <w:rFonts w:hint="eastAsia" w:ascii="宋体" w:hAnsi="宋体"/>
          <w:sz w:val="21"/>
          <w:szCs w:val="21"/>
          <w:highlight w:val="none"/>
        </w:rPr>
      </w:pPr>
      <w:r>
        <w:rPr>
          <w:rFonts w:hint="eastAsia" w:ascii="宋体" w:hAnsi="宋体"/>
          <w:bCs/>
          <w:sz w:val="21"/>
          <w:szCs w:val="21"/>
          <w:highlight w:val="none"/>
        </w:rPr>
        <w:t xml:space="preserve">第二章  </w:t>
      </w:r>
      <w:r>
        <w:rPr>
          <w:rFonts w:hint="eastAsia" w:ascii="宋体" w:hAnsi="宋体"/>
          <w:sz w:val="21"/>
          <w:szCs w:val="21"/>
          <w:highlight w:val="none"/>
        </w:rPr>
        <w:t>开标、评标及定标办法</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第三章  合同条款</w:t>
      </w:r>
    </w:p>
    <w:p>
      <w:pPr>
        <w:pStyle w:val="26"/>
        <w:spacing w:after="0" w:line="360" w:lineRule="auto"/>
        <w:ind w:firstLineChars="200"/>
        <w:rPr>
          <w:rFonts w:hint="eastAsia" w:ascii="宋体" w:hAnsi="宋体"/>
          <w:sz w:val="21"/>
          <w:szCs w:val="21"/>
          <w:highlight w:val="none"/>
        </w:rPr>
      </w:pPr>
      <w:r>
        <w:rPr>
          <w:rFonts w:hint="eastAsia" w:ascii="宋体" w:hAnsi="宋体"/>
          <w:bCs/>
          <w:sz w:val="21"/>
          <w:szCs w:val="21"/>
          <w:highlight w:val="none"/>
        </w:rPr>
        <w:t xml:space="preserve">第四章  </w:t>
      </w:r>
      <w:r>
        <w:rPr>
          <w:rFonts w:hint="eastAsia" w:ascii="宋体" w:hAnsi="宋体"/>
          <w:sz w:val="21"/>
          <w:szCs w:val="21"/>
          <w:highlight w:val="none"/>
        </w:rPr>
        <w:t>投标文件格式</w:t>
      </w:r>
    </w:p>
    <w:p>
      <w:pPr>
        <w:pStyle w:val="26"/>
        <w:spacing w:after="0" w:line="360" w:lineRule="auto"/>
        <w:ind w:left="-2" w:firstLineChars="200"/>
        <w:rPr>
          <w:rFonts w:hint="eastAsia" w:ascii="宋体" w:hAnsi="宋体"/>
          <w:sz w:val="21"/>
          <w:szCs w:val="21"/>
          <w:highlight w:val="none"/>
        </w:rPr>
      </w:pPr>
      <w:r>
        <w:rPr>
          <w:rFonts w:hint="eastAsia" w:ascii="宋体" w:hAnsi="宋体"/>
          <w:bCs/>
          <w:sz w:val="21"/>
          <w:szCs w:val="21"/>
          <w:highlight w:val="none"/>
        </w:rPr>
        <w:t xml:space="preserve">第五章  </w:t>
      </w:r>
      <w:r>
        <w:rPr>
          <w:rFonts w:hint="eastAsia" w:ascii="宋体" w:hAnsi="宋体"/>
          <w:sz w:val="21"/>
          <w:szCs w:val="21"/>
          <w:highlight w:val="none"/>
        </w:rPr>
        <w:t>技术条件（工程建设标准）（另册）</w:t>
      </w:r>
    </w:p>
    <w:p>
      <w:pPr>
        <w:pStyle w:val="26"/>
        <w:spacing w:after="0" w:line="360" w:lineRule="auto"/>
        <w:ind w:left="-2" w:firstLineChars="200"/>
        <w:rPr>
          <w:rFonts w:hint="eastAsia" w:ascii="宋体" w:hAnsi="宋体"/>
          <w:sz w:val="21"/>
          <w:szCs w:val="21"/>
          <w:highlight w:val="none"/>
        </w:rPr>
      </w:pPr>
      <w:r>
        <w:rPr>
          <w:rFonts w:hint="eastAsia" w:ascii="宋体" w:hAnsi="宋体"/>
          <w:bCs/>
          <w:sz w:val="21"/>
          <w:szCs w:val="21"/>
          <w:highlight w:val="none"/>
        </w:rPr>
        <w:t xml:space="preserve">第六章  </w:t>
      </w:r>
      <w:r>
        <w:rPr>
          <w:rFonts w:hint="eastAsia" w:ascii="宋体" w:hAnsi="宋体"/>
          <w:sz w:val="21"/>
          <w:szCs w:val="21"/>
          <w:highlight w:val="none"/>
        </w:rPr>
        <w:t>图纸及勘察资料（另册）</w:t>
      </w:r>
    </w:p>
    <w:p>
      <w:pPr>
        <w:pStyle w:val="26"/>
        <w:spacing w:after="0" w:line="360" w:lineRule="auto"/>
        <w:ind w:left="-2" w:firstLineChars="200"/>
        <w:rPr>
          <w:rFonts w:hint="eastAsia" w:ascii="宋体" w:hAnsi="宋体"/>
          <w:sz w:val="21"/>
          <w:szCs w:val="21"/>
          <w:highlight w:val="none"/>
        </w:rPr>
      </w:pPr>
      <w:r>
        <w:rPr>
          <w:rFonts w:hint="eastAsia" w:ascii="宋体" w:hAnsi="宋体"/>
          <w:bCs/>
          <w:sz w:val="21"/>
          <w:szCs w:val="21"/>
          <w:highlight w:val="none"/>
        </w:rPr>
        <w:t>第七章  招标</w:t>
      </w:r>
      <w:r>
        <w:rPr>
          <w:rFonts w:hint="eastAsia" w:ascii="宋体" w:hAnsi="宋体"/>
          <w:sz w:val="21"/>
          <w:szCs w:val="21"/>
          <w:highlight w:val="none"/>
        </w:rPr>
        <w:t>工程量清单（另册）</w:t>
      </w:r>
    </w:p>
    <w:p>
      <w:pPr>
        <w:pStyle w:val="26"/>
        <w:spacing w:after="0" w:line="360" w:lineRule="auto"/>
        <w:ind w:left="-2" w:firstLineChars="200"/>
        <w:rPr>
          <w:rFonts w:hint="eastAsia" w:ascii="宋体" w:hAnsi="宋体"/>
          <w:sz w:val="21"/>
          <w:szCs w:val="21"/>
          <w:highlight w:val="none"/>
        </w:rPr>
      </w:pPr>
      <w:r>
        <w:rPr>
          <w:rFonts w:hint="eastAsia" w:ascii="宋体" w:hAnsi="宋体"/>
          <w:sz w:val="21"/>
          <w:szCs w:val="21"/>
          <w:highlight w:val="none"/>
        </w:rPr>
        <w:t>第八章  最高投标限价</w:t>
      </w:r>
    </w:p>
    <w:p>
      <w:pPr>
        <w:pStyle w:val="26"/>
        <w:spacing w:after="0" w:line="360" w:lineRule="auto"/>
        <w:ind w:left="-2" w:firstLineChars="200"/>
        <w:rPr>
          <w:rFonts w:hint="eastAsia" w:ascii="宋体" w:hAnsi="宋体"/>
          <w:sz w:val="21"/>
          <w:szCs w:val="21"/>
          <w:highlight w:val="none"/>
        </w:rPr>
      </w:pPr>
      <w:r>
        <w:rPr>
          <w:rFonts w:hint="eastAsia" w:ascii="宋体" w:hAnsi="宋体"/>
          <w:kern w:val="2"/>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7.3 投标人一旦中标，招标文件的内容对招标人和中标人双方均有约束力。</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8．招标答疑</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8.1 投标人若对招标文件（包括招标图纸）中有疑问，可以书面形式通过</w:t>
      </w:r>
      <w:r>
        <w:rPr>
          <w:rFonts w:ascii="宋体" w:hAnsi="宋体"/>
          <w:sz w:val="21"/>
          <w:szCs w:val="21"/>
          <w:highlight w:val="none"/>
          <w:u w:val="single"/>
        </w:rPr>
        <w:t xml:space="preserve">        </w:t>
      </w:r>
      <w:r>
        <w:rPr>
          <w:rFonts w:hint="eastAsia" w:ascii="宋体" w:hAnsi="宋体"/>
          <w:sz w:val="21"/>
          <w:szCs w:val="21"/>
          <w:highlight w:val="none"/>
        </w:rPr>
        <w:t>交易平台提交给招标人或招标代理人，提交形式见本须知前附表第16项。</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8.2招标答疑会会议纪要将在提交投标文件截止时间15日前在</w:t>
      </w:r>
      <w:r>
        <w:rPr>
          <w:rFonts w:ascii="宋体" w:hAnsi="宋体"/>
          <w:sz w:val="21"/>
          <w:szCs w:val="21"/>
          <w:highlight w:val="none"/>
          <w:u w:val="single"/>
        </w:rPr>
        <w:t xml:space="preserve">        </w:t>
      </w:r>
      <w:r>
        <w:rPr>
          <w:rFonts w:hint="eastAsia" w:ascii="宋体" w:hAnsi="宋体"/>
          <w:sz w:val="21"/>
          <w:szCs w:val="21"/>
          <w:highlight w:val="none"/>
        </w:rPr>
        <w:t>交易平台 “项目答疑纪要”专区公开发布。答疑纪要一经在</w:t>
      </w:r>
      <w:r>
        <w:rPr>
          <w:rFonts w:ascii="宋体" w:hAnsi="宋体"/>
          <w:sz w:val="21"/>
          <w:szCs w:val="21"/>
          <w:highlight w:val="none"/>
          <w:u w:val="single"/>
        </w:rPr>
        <w:t xml:space="preserve">        </w:t>
      </w:r>
      <w:r>
        <w:rPr>
          <w:rFonts w:hint="eastAsia" w:ascii="宋体" w:hAnsi="宋体"/>
          <w:sz w:val="21"/>
          <w:szCs w:val="21"/>
          <w:highlight w:val="none"/>
        </w:rPr>
        <w:t>交易平台发布，视作已发放给所有投标人。</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8.3答疑会会议纪要为招标文件的一部分。</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8.4若招标答疑会会议纪要与招标文件有矛盾，以答疑会议纪要最后发出的书面形式的文件为准。</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9.</w:t>
      </w:r>
      <w:r>
        <w:rPr>
          <w:rFonts w:ascii="宋体" w:hAnsi="宋体"/>
          <w:b/>
          <w:bCs/>
          <w:sz w:val="21"/>
          <w:szCs w:val="21"/>
          <w:highlight w:val="none"/>
        </w:rPr>
        <w:t xml:space="preserve"> </w:t>
      </w:r>
      <w:r>
        <w:rPr>
          <w:rFonts w:hint="eastAsia" w:ascii="宋体" w:hAnsi="宋体"/>
          <w:b/>
          <w:bCs/>
          <w:sz w:val="21"/>
          <w:szCs w:val="21"/>
          <w:highlight w:val="none"/>
        </w:rPr>
        <w:t>招标文件的澄清与修改</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9.1招标文件发出后,在提交投标文件截止时间15日前，招标人可对招标文件进行必要的澄清或修改。</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9.2招标文件的澄清或修改将在</w:t>
      </w:r>
      <w:r>
        <w:rPr>
          <w:rFonts w:ascii="宋体" w:hAnsi="宋体"/>
          <w:sz w:val="21"/>
          <w:szCs w:val="21"/>
          <w:highlight w:val="none"/>
          <w:u w:val="single"/>
        </w:rPr>
        <w:t xml:space="preserve">        </w:t>
      </w:r>
      <w:r>
        <w:rPr>
          <w:rFonts w:hint="eastAsia" w:ascii="宋体" w:hAnsi="宋体"/>
          <w:sz w:val="21"/>
          <w:szCs w:val="21"/>
          <w:highlight w:val="none"/>
        </w:rPr>
        <w:t>交易平台“项目答疑纪要”专区公开发布。答疑纪要一经在</w:t>
      </w:r>
      <w:r>
        <w:rPr>
          <w:rFonts w:ascii="宋体" w:hAnsi="宋体"/>
          <w:sz w:val="21"/>
          <w:szCs w:val="21"/>
          <w:highlight w:val="none"/>
          <w:u w:val="single"/>
        </w:rPr>
        <w:t xml:space="preserve">        </w:t>
      </w:r>
      <w:r>
        <w:rPr>
          <w:rFonts w:hint="eastAsia" w:ascii="宋体" w:hAnsi="宋体"/>
          <w:sz w:val="21"/>
          <w:szCs w:val="21"/>
          <w:highlight w:val="none"/>
        </w:rPr>
        <w:t>交易平台发布，视作已发放给所有投标人，以</w:t>
      </w:r>
      <w:r>
        <w:rPr>
          <w:rFonts w:ascii="宋体" w:hAnsi="宋体"/>
          <w:sz w:val="21"/>
          <w:szCs w:val="21"/>
          <w:highlight w:val="none"/>
          <w:u w:val="single"/>
        </w:rPr>
        <w:t xml:space="preserve">        </w:t>
      </w:r>
      <w:r>
        <w:rPr>
          <w:rFonts w:hint="eastAsia" w:ascii="宋体" w:hAnsi="宋体"/>
          <w:sz w:val="21"/>
          <w:szCs w:val="21"/>
          <w:highlight w:val="none"/>
        </w:rPr>
        <w:t>交易平台上网发布时间作为送达时间。</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9.3招标文件的修改内容为招标文件的组成部分。</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9.4招标文件的澄清或修改均以书面形式明确的内容为准。当招标文件的澄清、修改、补充等在同一内容的表述不一致时，以最后发出的书面形式的文件为准。</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beforeAutospacing="0" w:after="156" w:afterAutospacing="0" w:line="360" w:lineRule="auto"/>
        <w:rPr>
          <w:rFonts w:hint="eastAsia"/>
          <w:b/>
          <w:bCs/>
          <w:sz w:val="21"/>
          <w:szCs w:val="21"/>
          <w:highlight w:val="none"/>
        </w:rPr>
      </w:pPr>
      <w:bookmarkStart w:id="8" w:name="_Toc105014626"/>
      <w:r>
        <w:rPr>
          <w:rFonts w:hint="eastAsia"/>
          <w:b/>
          <w:bCs/>
          <w:sz w:val="21"/>
          <w:szCs w:val="21"/>
          <w:highlight w:val="none"/>
        </w:rPr>
        <w:t>（三）投标文件的编制</w:t>
      </w:r>
      <w:bookmarkEnd w:id="8"/>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10．投标文件的语言及度量衡单位</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10.1 投标文件和与投标有关的所有文件均应使用中文。</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10.2 除工程规范另有规定外，投标文件使用的度量衡单位，均采用中华人民共和国法定计量单位。</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11．投标文件的组成</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11.1 投标文件由技术部分（含资格审查文件）和经济部分两部分投标文件组成。</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11.2投标文件技术标部分主要包括下列内容：</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11.2.1 技术投标文件</w:t>
      </w:r>
      <w:r>
        <w:rPr>
          <w:rFonts w:hint="eastAsia" w:ascii="宋体" w:hAnsi="宋体"/>
          <w:szCs w:val="21"/>
          <w:highlight w:val="none"/>
        </w:rPr>
        <w:t>(按招标文件的要求填写)</w:t>
      </w:r>
      <w:r>
        <w:rPr>
          <w:rFonts w:hint="eastAsia" w:ascii="宋体" w:hAnsi="宋体"/>
          <w:bCs/>
          <w:szCs w:val="21"/>
          <w:highlight w:val="none"/>
        </w:rPr>
        <w:t>；</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11.2.2 资格审查文件：</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（1）投标人声明； </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（2）法定代表人证明书、法定代表人签字或盖章的本投标文件授权委托证明书；</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（3）企业营业执照扫描件或电子证照；</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（4）企业资质证书扫描件或电子证照；</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（5）建筑施工企业安全生产许可证扫描件或电子证照；</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（6）项目负责人（按网上投标登记时选择拟投入本项目的项目负责人）；</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（7）专职安全员（按网上投标登记时选择拟投入本项目的专职安全员）；</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（8）拟委托技术负责人的相关证书、资料（具体要求由招标人明确）；</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（9）拟委派项目负责人的有效期内的建造师注册证书扫描件或电子证书；</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（10）项目负责人在有效期内的安全生产考核合格证书（B类）或建筑施工企业项目负责人安全生产考核合格证书扫描件或电子证书；</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（11）专职安全员须具有在有效期内的安全生产考核合格证书（C类）或建筑施工企业专职安全生产管理人员安全生产考核合格证书扫描件或电子证书；</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（12）用于资格审查的业绩（设置业绩要求时选择此项，投标人</w:t>
      </w:r>
      <w:r>
        <w:rPr>
          <w:rFonts w:hint="eastAsia" w:ascii="宋体" w:hAnsi="宋体"/>
          <w:szCs w:val="21"/>
          <w:highlight w:val="none"/>
        </w:rPr>
        <w:t>须提供类似工程业绩的项目名称及项目编号，具体格式由招标人自定</w:t>
      </w:r>
      <w:r>
        <w:rPr>
          <w:rFonts w:hint="eastAsia" w:ascii="宋体" w:hAnsi="宋体"/>
          <w:bCs/>
          <w:szCs w:val="21"/>
          <w:highlight w:val="none"/>
        </w:rPr>
        <w:t>）；</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（14）列明主办单位的联合体工作协议（采用联合体投标时需递交，投标人拟任本工程项目负责人应为联合体主办方信用档案中的在册人员，</w:t>
      </w:r>
      <w:r>
        <w:rPr>
          <w:rFonts w:hint="eastAsia" w:ascii="宋体" w:hAnsi="宋体"/>
          <w:szCs w:val="21"/>
          <w:highlight w:val="none"/>
        </w:rPr>
        <w:t>联合体工作协议应明确约定各方拟承担的工作和责任</w:t>
      </w:r>
      <w:r>
        <w:rPr>
          <w:rFonts w:hint="eastAsia" w:ascii="宋体" w:hAnsi="宋体"/>
          <w:bCs/>
          <w:szCs w:val="21"/>
          <w:highlight w:val="none"/>
        </w:rPr>
        <w:t xml:space="preserve">）； </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注：1.相关电子证书按规定需打印后手写本人签名的，应按照规定手写本人签名后再扫描提交。</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11.2.3项目管理机构配备。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（3）其他辅助说明资料。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11.2.5施工组织设计或施工方案</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（1）投标人在编制施工组织设计或施工方案时应按照招标人提出的施工现场建筑垃圾源头减量的具体要求以及建筑垃圾综合利用产品的使用要求提供相应措施。</w:t>
      </w:r>
    </w:p>
    <w:p>
      <w:pPr>
        <w:spacing w:line="360" w:lineRule="auto"/>
        <w:ind w:firstLine="420" w:firstLineChars="200"/>
        <w:rPr>
          <w:rFonts w:hint="eastAsia" w:ascii="宋体" w:hAnsi="宋体"/>
          <w:b/>
          <w:bCs/>
          <w:szCs w:val="21"/>
          <w:highlight w:val="none"/>
        </w:rPr>
      </w:pPr>
      <w:r>
        <w:rPr>
          <w:rFonts w:hint="eastAsia" w:ascii="宋体" w:hAnsi="宋体"/>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11.2.6按照</w:t>
      </w:r>
      <w:r>
        <w:rPr>
          <w:rFonts w:hint="eastAsia" w:ascii="宋体" w:hAnsi="宋体"/>
          <w:bCs/>
          <w:szCs w:val="21"/>
          <w:highlight w:val="none"/>
        </w:rPr>
        <w:t>招标文件要求</w:t>
      </w:r>
      <w:r>
        <w:rPr>
          <w:rFonts w:hint="eastAsia" w:ascii="宋体" w:hAnsi="宋体"/>
          <w:szCs w:val="21"/>
          <w:highlight w:val="none"/>
        </w:rPr>
        <w:t>填写的《参与编制技术标投标文件人员名单》。</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11.3 经济部分投标文件主要包括下列内容：</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11.3.1 经济投标文件(按招标文件的要求填写)。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95" w:firstLineChars="236"/>
        <w:rPr>
          <w:rFonts w:hint="eastAsia" w:ascii="宋体" w:hAnsi="宋体"/>
          <w:szCs w:val="21"/>
          <w:highlight w:val="none"/>
        </w:rPr>
      </w:pPr>
      <w:r>
        <w:rPr>
          <w:rFonts w:hint="eastAsia" w:ascii="宋体" w:hAnsi="宋体"/>
          <w:szCs w:val="21"/>
          <w:highlight w:val="none"/>
        </w:rPr>
        <w:t>（1）投标总价封面、扉页；</w:t>
      </w:r>
    </w:p>
    <w:p>
      <w:pPr>
        <w:spacing w:line="360" w:lineRule="auto"/>
        <w:ind w:firstLine="495" w:firstLineChars="236"/>
        <w:rPr>
          <w:rFonts w:hint="eastAsia" w:ascii="宋体" w:hAnsi="宋体"/>
          <w:szCs w:val="21"/>
          <w:highlight w:val="none"/>
        </w:rPr>
      </w:pPr>
      <w:r>
        <w:rPr>
          <w:rFonts w:hint="eastAsia" w:ascii="宋体" w:hAnsi="宋体"/>
          <w:szCs w:val="21"/>
          <w:highlight w:val="none"/>
        </w:rPr>
        <w:t>（2）总说明；</w:t>
      </w:r>
    </w:p>
    <w:p>
      <w:pPr>
        <w:spacing w:line="360" w:lineRule="auto"/>
        <w:ind w:firstLine="495" w:firstLineChars="236"/>
        <w:rPr>
          <w:rFonts w:hint="eastAsia" w:ascii="宋体" w:hAnsi="宋体"/>
          <w:szCs w:val="21"/>
          <w:highlight w:val="none"/>
        </w:rPr>
      </w:pPr>
      <w:r>
        <w:rPr>
          <w:rFonts w:hint="eastAsia" w:ascii="宋体" w:hAnsi="宋体"/>
          <w:szCs w:val="21"/>
          <w:highlight w:val="none"/>
        </w:rPr>
        <w:t>（3）工程项目投标报价汇总表；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（4）单项工程投标报价汇总表；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（5）单位工程投标报价汇总表；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（6）分部分项工程清单与计价表；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（7）单价措施项目清单与计价表；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（8）总价措施项目清单与计价表；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（9）综合单价分析表；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（10）其他项目清单与计价汇总表；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（11）暂列金额明细表；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（12）材料（工程设备）暂估价明细表；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（13）专业工程暂估价明细表；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（14）计日工表；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（15）总承包服务计价表；</w:t>
      </w:r>
    </w:p>
    <w:p>
      <w:pPr>
        <w:spacing w:line="360" w:lineRule="auto"/>
        <w:ind w:firstLine="495" w:firstLineChars="236"/>
        <w:rPr>
          <w:rFonts w:hint="eastAsia" w:ascii="宋体" w:hAnsi="宋体"/>
          <w:szCs w:val="21"/>
          <w:highlight w:val="none"/>
        </w:rPr>
      </w:pPr>
      <w:r>
        <w:rPr>
          <w:rFonts w:hint="eastAsia" w:ascii="宋体" w:hAnsi="宋体"/>
          <w:szCs w:val="21"/>
          <w:highlight w:val="none"/>
        </w:rPr>
        <w:t>（16）规费和税金项目计价表；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（17）人工、主要材料和设备一览表。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11.3.3按照</w:t>
      </w:r>
      <w:r>
        <w:rPr>
          <w:rFonts w:hint="eastAsia" w:ascii="宋体" w:hAnsi="宋体"/>
          <w:bCs/>
          <w:szCs w:val="21"/>
          <w:highlight w:val="none"/>
        </w:rPr>
        <w:t>招标文件要求</w:t>
      </w:r>
      <w:r>
        <w:rPr>
          <w:rFonts w:hint="eastAsia" w:ascii="宋体" w:hAnsi="宋体"/>
          <w:szCs w:val="21"/>
          <w:highlight w:val="none"/>
        </w:rPr>
        <w:t>填写的《参与编制经济标投标文件人员名单》。</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12．投标文件格式</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12.1 投标文件包括本须知第11条中规定的内容，投标人提交的投标文件应当使用招标文件所提供的投标文件全部格式（表格可以按同样格式扩展）。</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 xml:space="preserve"> 。</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注释：投标文件电子文档需要投标人单位盖章的材料，投标人加盖电子印章即可，不得将投标人未对电子文档加盖实物印章作为否决投标的情形。</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 xml:space="preserve">12.3 </w:t>
      </w:r>
      <w:r>
        <w:rPr>
          <w:rFonts w:hint="eastAsia" w:ascii="宋体" w:hAnsi="宋体"/>
          <w:bCs/>
          <w:sz w:val="21"/>
          <w:szCs w:val="21"/>
          <w:highlight w:val="none"/>
        </w:rPr>
        <w:t>投标文件应按</w:t>
      </w:r>
      <w:r>
        <w:rPr>
          <w:rFonts w:hint="eastAsia" w:ascii="宋体" w:hAnsi="宋体"/>
          <w:sz w:val="21"/>
          <w:szCs w:val="21"/>
          <w:highlight w:val="none"/>
        </w:rPr>
        <w:t>照交易平台关于全流程电子化项目的相关指南进行编制，详见：</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p>
    <w:p>
      <w:pPr>
        <w:pStyle w:val="26"/>
        <w:spacing w:after="0" w:line="360" w:lineRule="auto"/>
        <w:ind w:firstLineChars="200"/>
        <w:rPr>
          <w:rFonts w:hint="eastAsia" w:ascii="宋体" w:hAnsi="宋体"/>
          <w:sz w:val="21"/>
          <w:szCs w:val="21"/>
          <w:highlight w:val="none"/>
        </w:rPr>
      </w:pPr>
      <w:r>
        <w:rPr>
          <w:rFonts w:hint="eastAsia" w:ascii="宋体" w:hAnsi="宋体"/>
          <w:bCs/>
          <w:sz w:val="21"/>
          <w:szCs w:val="21"/>
          <w:highlight w:val="none"/>
        </w:rPr>
        <w:t>如不按上述要求编制引起系统无法检索、读取相关信息的，其后果由投标人承担。</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13．投标报价及造价承包和变更结算方式</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13.1 本工程的投标报价采用投标须知前附表第12项所规定的方式。投标报价（含单价及总价）精确到“分”。</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13.5.1中标的投标文件工程量清单中已有相同项目的适用综合单价，则沿用；</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13.5.4 如相关定额没有相应子目的，其计价方式由招标人在本招标文件第三章中另行规定。未规定的，中标后双方协商约定。</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13.6暂列金额、暂估价</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暂估价是指招标人在工程量清单中提供的用于支付必然发生但暂时不能确定价格的材料的单价以及专业工程的金额。</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14．投标货币</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14.1 本工程投标报价采用的币种为人民币。</w:t>
      </w:r>
    </w:p>
    <w:p>
      <w:pPr>
        <w:pStyle w:val="26"/>
        <w:spacing w:after="0" w:line="360" w:lineRule="auto"/>
        <w:ind w:firstLine="422" w:firstLineChars="200"/>
        <w:rPr>
          <w:rFonts w:hint="eastAsia" w:ascii="宋体" w:hAnsi="宋体"/>
          <w:sz w:val="21"/>
          <w:szCs w:val="21"/>
          <w:highlight w:val="none"/>
        </w:rPr>
      </w:pPr>
      <w:r>
        <w:rPr>
          <w:rFonts w:hint="eastAsia" w:ascii="宋体" w:hAnsi="宋体"/>
          <w:b/>
          <w:bCs/>
          <w:sz w:val="21"/>
          <w:szCs w:val="21"/>
          <w:highlight w:val="none"/>
        </w:rPr>
        <w:t>15．投标有效期</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15.1 投标有效期见投标须知前附表第13项所规定的期限，在此期限内，凡符合本招标文件要求的投标文件均保持有效。</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16．投标保证金</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16.1投标人应按投标须知前附表第14项所述金额和时间递交</w:t>
      </w:r>
      <w:r>
        <w:rPr>
          <w:rFonts w:hint="eastAsia" w:ascii="宋体" w:hAnsi="宋体"/>
          <w:bCs/>
          <w:szCs w:val="21"/>
          <w:highlight w:val="none"/>
        </w:rPr>
        <w:t>投标保证金</w:t>
      </w:r>
      <w:r>
        <w:rPr>
          <w:rFonts w:hint="eastAsia" w:ascii="宋体" w:hAnsi="宋体"/>
          <w:szCs w:val="21"/>
          <w:highlight w:val="none"/>
        </w:rPr>
        <w:t>。招标人应当允许投标人自主选择现金、银行保函、保证保险、专业工程担保公司担保等方式缴纳投标保证金。</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16.1.1 采用现金或者支票形式提交的，投标保证金须从投标人的银行基本账户转出。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16.1.3 采用电子形式的保函、担保或保证保险提交投标保证金的，应在招标文件中明确电子递交途径。</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16.3投标保证金应依据法律法规的相关规定退还。</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16.4如有下列情况之一的，招标人可以不予退还投标保证金（是否退还投标保证金由招标人在招标文件中规定）：</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16.4.1因投标人原因造成投标文件未解密的；</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16.4.2投标人在投标有效期内撤销投标文件；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16.4.3中标人未能在规定期限内按要求提交履约担保；</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16.4.4中标人未能在规定期限内签署合同协议。</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16.5.3按招标文件要求免于提供投标保证金的投标人存在16.4条款所列情形的。</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注：16.5.3款由招标人二选一，需在招标文件中明确。</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17．投标文件的签署</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 xml:space="preserve">            </w:t>
      </w:r>
      <w:r>
        <w:rPr>
          <w:rFonts w:hint="eastAsia" w:ascii="宋体" w:hAnsi="宋体"/>
          <w:szCs w:val="21"/>
          <w:highlight w:val="none"/>
        </w:rPr>
        <w:t xml:space="preserve"> 。</w:t>
      </w:r>
    </w:p>
    <w:p>
      <w:pPr>
        <w:pStyle w:val="6"/>
        <w:spacing w:before="156" w:beforeAutospacing="0" w:after="156" w:afterAutospacing="0" w:line="360" w:lineRule="auto"/>
        <w:rPr>
          <w:rFonts w:hint="eastAsia"/>
          <w:b/>
          <w:bCs/>
          <w:sz w:val="21"/>
          <w:szCs w:val="21"/>
          <w:highlight w:val="none"/>
        </w:rPr>
      </w:pPr>
      <w:bookmarkStart w:id="9" w:name="_Toc105014627"/>
      <w:r>
        <w:rPr>
          <w:rFonts w:hint="eastAsia"/>
          <w:b/>
          <w:bCs/>
          <w:sz w:val="21"/>
          <w:szCs w:val="21"/>
          <w:highlight w:val="none"/>
        </w:rPr>
        <w:t>（四）投标文件的提交</w:t>
      </w:r>
      <w:bookmarkEnd w:id="9"/>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18．</w:t>
      </w:r>
      <w:r>
        <w:rPr>
          <w:rFonts w:hint="eastAsia" w:ascii="宋体" w:hAnsi="宋体"/>
          <w:b/>
          <w:sz w:val="21"/>
          <w:szCs w:val="21"/>
          <w:highlight w:val="none"/>
        </w:rPr>
        <w:t>投标文件的密封和标记</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18.1递交的电子投标文件（不含备用光盘）必须进行加密。按照交易平台关于</w:t>
      </w:r>
      <w:r>
        <w:rPr>
          <w:rFonts w:hint="eastAsia" w:ascii="宋体" w:hAnsi="宋体"/>
          <w:szCs w:val="21"/>
          <w:highlight w:val="none"/>
        </w:rPr>
        <w:t>全流程电子化项目的相关指南进行操作。详见：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 xml:space="preserve"> 。</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18.2 未按要求加密的投标文件，</w:t>
      </w:r>
      <w:r>
        <w:rPr>
          <w:rFonts w:ascii="宋体" w:hAnsi="宋体"/>
          <w:szCs w:val="21"/>
          <w:highlight w:val="none"/>
          <w:u w:val="single"/>
        </w:rPr>
        <w:t xml:space="preserve">        </w:t>
      </w:r>
      <w:r>
        <w:rPr>
          <w:rFonts w:hint="eastAsia" w:ascii="宋体" w:hAnsi="宋体"/>
          <w:szCs w:val="21"/>
          <w:highlight w:val="none"/>
        </w:rPr>
        <w:t>交易平台</w:t>
      </w:r>
      <w:r>
        <w:rPr>
          <w:rFonts w:hint="eastAsia" w:ascii="宋体" w:hAnsi="宋体"/>
          <w:bCs/>
          <w:szCs w:val="21"/>
          <w:highlight w:val="none"/>
        </w:rPr>
        <w:t>将予以拒收。</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19．投标文件的递交和接收</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19.1投标人通过</w:t>
      </w:r>
      <w:r>
        <w:rPr>
          <w:rFonts w:ascii="宋体" w:hAnsi="宋体"/>
          <w:szCs w:val="21"/>
          <w:highlight w:val="none"/>
          <w:u w:val="single"/>
        </w:rPr>
        <w:t xml:space="preserve">        </w:t>
      </w:r>
      <w:r>
        <w:rPr>
          <w:rFonts w:hint="eastAsia" w:ascii="宋体" w:hAnsi="宋体"/>
          <w:szCs w:val="21"/>
          <w:highlight w:val="none"/>
        </w:rPr>
        <w:t>交易平台递交电子投标文件。</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19.2投标人完成电子</w:t>
      </w:r>
      <w:r>
        <w:rPr>
          <w:rFonts w:hint="eastAsia" w:ascii="宋体" w:hAnsi="宋体"/>
          <w:szCs w:val="21"/>
          <w:highlight w:val="none"/>
        </w:rPr>
        <w:t>投标文件</w:t>
      </w:r>
      <w:r>
        <w:rPr>
          <w:rFonts w:hint="eastAsia" w:ascii="宋体" w:hAnsi="宋体"/>
          <w:bCs/>
          <w:szCs w:val="21"/>
          <w:highlight w:val="none"/>
        </w:rPr>
        <w:t>上传后，</w:t>
      </w:r>
      <w:r>
        <w:rPr>
          <w:rFonts w:ascii="宋体" w:hAnsi="宋体"/>
          <w:szCs w:val="21"/>
          <w:highlight w:val="none"/>
          <w:u w:val="single"/>
        </w:rPr>
        <w:t xml:space="preserve">        </w:t>
      </w:r>
      <w:r>
        <w:rPr>
          <w:rFonts w:hint="eastAsia" w:ascii="宋体" w:hAnsi="宋体"/>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szCs w:val="21"/>
          <w:highlight w:val="none"/>
        </w:rPr>
      </w:pPr>
      <w:r>
        <w:rPr>
          <w:rFonts w:hint="eastAsia" w:ascii="宋体" w:hAnsi="宋体"/>
          <w:bCs/>
          <w:szCs w:val="21"/>
          <w:highlight w:val="none"/>
        </w:rPr>
        <w:t>19.3逾期送达的电子投标文件，</w:t>
      </w:r>
      <w:r>
        <w:rPr>
          <w:rFonts w:ascii="宋体" w:hAnsi="宋体"/>
          <w:szCs w:val="21"/>
          <w:highlight w:val="none"/>
          <w:u w:val="single"/>
        </w:rPr>
        <w:t xml:space="preserve">        </w:t>
      </w:r>
      <w:r>
        <w:rPr>
          <w:rFonts w:hint="eastAsia" w:ascii="宋体" w:hAnsi="宋体"/>
          <w:szCs w:val="21"/>
          <w:highlight w:val="none"/>
        </w:rPr>
        <w:t>交易平台将予以拒收。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19.5如技术标和经济标先后分别开启，</w:t>
      </w:r>
      <w:r>
        <w:rPr>
          <w:rFonts w:ascii="宋体" w:hAnsi="宋体"/>
          <w:szCs w:val="21"/>
          <w:highlight w:val="none"/>
          <w:u w:val="single"/>
        </w:rPr>
        <w:t xml:space="preserve">        </w:t>
      </w:r>
      <w:r>
        <w:rPr>
          <w:rFonts w:hint="eastAsia" w:ascii="宋体" w:hAnsi="宋体"/>
          <w:szCs w:val="21"/>
          <w:highlight w:val="none"/>
        </w:rPr>
        <w:t>交易平台将按招标文件规定的时间分别开启技术标和经济标。</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20．投标文件提交的截止时间</w:t>
      </w:r>
    </w:p>
    <w:p>
      <w:pPr>
        <w:spacing w:line="360" w:lineRule="auto"/>
        <w:ind w:firstLine="420" w:firstLineChars="200"/>
        <w:rPr>
          <w:rFonts w:hint="eastAsia" w:ascii="宋体" w:hAnsi="宋体"/>
          <w:b/>
          <w:bCs/>
          <w:szCs w:val="21"/>
          <w:highlight w:val="none"/>
        </w:rPr>
      </w:pPr>
      <w:r>
        <w:rPr>
          <w:rFonts w:hint="eastAsia" w:ascii="宋体" w:hAnsi="宋体"/>
          <w:szCs w:val="21"/>
          <w:highlight w:val="none"/>
        </w:rPr>
        <w:t>20.1投标人应在投标须知前附表第17项所述的时间前提交投标文件。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20.3 到投标截止时间止，招标人收到的投标文件少于3家的，招标人将重新组织招标（当N个标段同时招标且不允许兼中时，若有效投标人不足N+2家，则重新组织招标）。</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21．迟交的投标文件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21.1 本须知前附表第17项规定的投标截止时间</w:t>
      </w:r>
      <w:r>
        <w:rPr>
          <w:rFonts w:hint="eastAsia" w:ascii="宋体" w:hAnsi="宋体"/>
          <w:bCs/>
          <w:szCs w:val="21"/>
          <w:highlight w:val="none"/>
        </w:rPr>
        <w:t>后送达的电子投标文件，</w:t>
      </w:r>
      <w:r>
        <w:rPr>
          <w:rFonts w:ascii="宋体" w:hAnsi="宋体"/>
          <w:szCs w:val="21"/>
          <w:highlight w:val="none"/>
          <w:u w:val="single"/>
        </w:rPr>
        <w:t xml:space="preserve">       </w:t>
      </w:r>
      <w:r>
        <w:rPr>
          <w:rFonts w:hint="eastAsia" w:ascii="宋体" w:hAnsi="宋体"/>
          <w:szCs w:val="21"/>
          <w:highlight w:val="none"/>
        </w:rPr>
        <w:t>交易平台将予以拒收。</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22．投标文件的修改与撤回</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22.1在规定的投标截止时间前，投标人可以修改或撤回已递交的投标文件，但应以书面形式通知招标人。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22.2</w:t>
      </w:r>
      <w:r>
        <w:rPr>
          <w:rFonts w:ascii="宋体" w:hAnsi="宋体"/>
          <w:szCs w:val="21"/>
          <w:highlight w:val="none"/>
        </w:rPr>
        <w:t>投标人修改或撤回已递交</w:t>
      </w:r>
      <w:r>
        <w:rPr>
          <w:rFonts w:hint="eastAsia" w:ascii="宋体" w:hAnsi="宋体"/>
          <w:szCs w:val="21"/>
          <w:highlight w:val="none"/>
        </w:rPr>
        <w:t>的</w:t>
      </w:r>
      <w:r>
        <w:rPr>
          <w:rFonts w:ascii="宋体" w:hAnsi="宋体"/>
          <w:szCs w:val="21"/>
          <w:highlight w:val="none"/>
        </w:rPr>
        <w:t>投标文件</w:t>
      </w:r>
      <w:r>
        <w:rPr>
          <w:rFonts w:hint="eastAsia" w:ascii="宋体" w:hAnsi="宋体"/>
          <w:szCs w:val="21"/>
          <w:highlight w:val="none"/>
        </w:rPr>
        <w:t>，需在交易平台发出修改或撤回</w:t>
      </w:r>
      <w:r>
        <w:rPr>
          <w:rFonts w:ascii="宋体" w:hAnsi="宋体"/>
          <w:szCs w:val="21"/>
          <w:highlight w:val="none"/>
        </w:rPr>
        <w:t>通知，</w:t>
      </w:r>
      <w:r>
        <w:rPr>
          <w:rFonts w:hint="eastAsia" w:ascii="宋体" w:hAnsi="宋体"/>
          <w:szCs w:val="21"/>
          <w:highlight w:val="none"/>
        </w:rPr>
        <w:t>并按</w:t>
      </w:r>
      <w:r>
        <w:rPr>
          <w:rFonts w:ascii="宋体" w:hAnsi="宋体"/>
          <w:szCs w:val="21"/>
          <w:highlight w:val="none"/>
        </w:rPr>
        <w:t>要求加盖电子印章。</w:t>
      </w:r>
      <w:r>
        <w:rPr>
          <w:rFonts w:ascii="宋体" w:hAnsi="宋体"/>
          <w:bCs/>
          <w:iCs/>
          <w:szCs w:val="21"/>
          <w:highlight w:val="none"/>
        </w:rPr>
        <w:t>电子招标投标交易平台收到通知后，</w:t>
      </w:r>
      <w:r>
        <w:rPr>
          <w:rFonts w:ascii="宋体" w:hAnsi="宋体"/>
          <w:szCs w:val="21"/>
          <w:highlight w:val="none"/>
        </w:rPr>
        <w:t>即时向投标人发出确认回执通知。</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22.3修改后再次递交的，按19点的规定执行。</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22.4 在投标截止时间之后，投标人不得补充、修改和更换投标文件。</w:t>
      </w:r>
    </w:p>
    <w:p>
      <w:pPr>
        <w:pStyle w:val="6"/>
        <w:spacing w:before="156" w:beforeAutospacing="0" w:after="156" w:afterAutospacing="0" w:line="360" w:lineRule="auto"/>
        <w:rPr>
          <w:rFonts w:hint="eastAsia"/>
          <w:b/>
          <w:bCs/>
          <w:sz w:val="21"/>
          <w:szCs w:val="21"/>
          <w:highlight w:val="none"/>
        </w:rPr>
      </w:pPr>
      <w:bookmarkStart w:id="10" w:name="_Toc105014628"/>
      <w:r>
        <w:rPr>
          <w:rFonts w:hint="eastAsia"/>
          <w:b/>
          <w:bCs/>
          <w:sz w:val="21"/>
          <w:szCs w:val="21"/>
          <w:highlight w:val="none"/>
        </w:rPr>
        <w:t>（五）开标、评标、定标及合同签定</w:t>
      </w:r>
      <w:bookmarkEnd w:id="10"/>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w:t>
      </w:r>
      <w:r>
        <w:rPr>
          <w:rFonts w:ascii="宋体" w:hAnsi="宋体"/>
          <w:b/>
          <w:bCs/>
          <w:szCs w:val="21"/>
          <w:highlight w:val="none"/>
        </w:rPr>
        <w:t xml:space="preserve">3. </w:t>
      </w:r>
      <w:r>
        <w:rPr>
          <w:rFonts w:hint="eastAsia" w:ascii="宋体" w:hAnsi="宋体"/>
          <w:b/>
          <w:bCs/>
          <w:szCs w:val="21"/>
          <w:highlight w:val="none"/>
        </w:rPr>
        <w:t>开标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详见第二章开标、评标及定标办法。</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24．评标过程的保密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25．投标文件的澄清，计算错误的修正</w:t>
      </w:r>
    </w:p>
    <w:p>
      <w:pPr>
        <w:spacing w:line="360" w:lineRule="auto"/>
        <w:ind w:firstLine="420" w:firstLineChars="200"/>
        <w:rPr>
          <w:rFonts w:hint="eastAsia" w:ascii="宋体" w:hAnsi="宋体"/>
          <w:szCs w:val="21"/>
          <w:highlight w:val="none"/>
        </w:rPr>
      </w:pPr>
      <w:r>
        <w:rPr>
          <w:rFonts w:hint="eastAsia" w:ascii="宋体" w:hAnsi="宋体"/>
          <w:szCs w:val="21"/>
          <w:highlight w:val="none"/>
        </w:rPr>
        <w:t>详见招标文件第二章开标、评标及定标办法。</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26．投标文件的评审、比较和否决</w:t>
      </w:r>
    </w:p>
    <w:p>
      <w:pPr>
        <w:spacing w:line="360" w:lineRule="auto"/>
        <w:ind w:firstLine="420" w:firstLineChars="200"/>
        <w:rPr>
          <w:rFonts w:hint="eastAsia" w:ascii="宋体" w:hAnsi="宋体"/>
          <w:bCs/>
          <w:szCs w:val="21"/>
          <w:highlight w:val="none"/>
        </w:rPr>
      </w:pPr>
      <w:r>
        <w:rPr>
          <w:rFonts w:hint="eastAsia" w:ascii="宋体" w:hAnsi="宋体"/>
          <w:szCs w:val="21"/>
          <w:highlight w:val="none"/>
        </w:rPr>
        <w:t>详见招标文件第二章开标、评标及定标办法。</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27．中标通知书</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27.1招标人将在</w:t>
      </w:r>
      <w:r>
        <w:rPr>
          <w:rFonts w:hint="eastAsia" w:ascii="宋体" w:hAnsi="宋体"/>
          <w:szCs w:val="21"/>
          <w:highlight w:val="none"/>
          <w:u w:val="single"/>
        </w:rPr>
        <w:t xml:space="preserve">        </w:t>
      </w:r>
      <w:r>
        <w:rPr>
          <w:rFonts w:hint="eastAsia" w:ascii="宋体" w:hAnsi="宋体"/>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27.2招标人应当自确定中标人后，向招标投标监管机构提交招标投标情况的书面报告；经招投标监管机构备案后，方可发出中标通知书。</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27.3中标人必须在收到中标通知书后24小时之内以书面形式回复招标人，确认收到。</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27.4在产生中标候选人后，招标人将中标候选人的投标文件商务部分文件的所有内容（包括人员、业绩、奖项等资料）在</w:t>
      </w:r>
      <w:r>
        <w:rPr>
          <w:rFonts w:hint="eastAsia" w:ascii="宋体" w:hAnsi="宋体"/>
          <w:szCs w:val="21"/>
          <w:highlight w:val="none"/>
          <w:u w:val="single"/>
        </w:rPr>
        <w:t xml:space="preserve">       </w:t>
      </w:r>
      <w:r>
        <w:rPr>
          <w:rFonts w:hint="eastAsia" w:ascii="宋体" w:hAnsi="宋体"/>
          <w:szCs w:val="21"/>
          <w:highlight w:val="none"/>
        </w:rPr>
        <w:t xml:space="preserve"> 交易平台和广东省招标投标监管网公开。</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28．合同协议书的签订</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28.3非经招标人同意，中标人在投标过程中使用的银行名称及帐号至完成竣工结算不得变更，否则招标人有权停止工程款项的拨付及至解除合同，由此造成的一切责任由中标人承担。</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29．履约担保</w:t>
      </w:r>
    </w:p>
    <w:p>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29.1 在收到中标通知书后的15日内，中标人应按本须知前附表第20项的规定向招标人提交履约担保。</w:t>
      </w:r>
    </w:p>
    <w:p>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30．合同生效</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30.1在合同双方全权代表在合同协议书上签字，并分别加盖双方单位的公章后，合同正式生效。</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31．其它费用</w:t>
      </w:r>
    </w:p>
    <w:p>
      <w:pPr>
        <w:pStyle w:val="26"/>
        <w:spacing w:after="0" w:line="360" w:lineRule="auto"/>
        <w:ind w:firstLine="422" w:firstLineChars="200"/>
        <w:rPr>
          <w:rFonts w:hint="eastAsia" w:ascii="宋体" w:hAnsi="宋体"/>
          <w:b/>
          <w:bCs/>
          <w:sz w:val="21"/>
          <w:szCs w:val="21"/>
          <w:highlight w:val="none"/>
        </w:rPr>
      </w:pPr>
      <w:r>
        <w:rPr>
          <w:rFonts w:hint="eastAsia" w:ascii="宋体" w:hAnsi="宋体"/>
          <w:b/>
          <w:bCs/>
          <w:sz w:val="21"/>
          <w:szCs w:val="21"/>
          <w:highlight w:val="none"/>
        </w:rPr>
        <w:t>32．腐败与欺诈行为</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在招标和合同实施期间，招标人要求投标人和承包人遵守最高的道德标准。</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2.1</w:t>
      </w:r>
      <w:r>
        <w:rPr>
          <w:rFonts w:hint="eastAsia" w:ascii="宋体" w:hAnsi="宋体"/>
          <w:sz w:val="21"/>
          <w:szCs w:val="21"/>
          <w:highlight w:val="none"/>
        </w:rPr>
        <w:t>对本条款的规定，特定义如下词汇：</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1）“腐败行为”是指在招标或合同执行期间，通过提供、给予、接受或索要任何有价值的东西，从而影响招标人有关人员工作的行为；</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6"/>
        <w:spacing w:after="0" w:line="360" w:lineRule="auto"/>
        <w:ind w:firstLineChars="200"/>
        <w:rPr>
          <w:rFonts w:hint="eastAsia" w:ascii="宋体" w:hAnsi="宋体"/>
          <w:sz w:val="21"/>
          <w:szCs w:val="21"/>
          <w:highlight w:val="none"/>
        </w:rPr>
      </w:pPr>
      <w:r>
        <w:rPr>
          <w:rFonts w:ascii="宋体" w:hAnsi="宋体"/>
          <w:sz w:val="21"/>
          <w:szCs w:val="21"/>
          <w:highlight w:val="none"/>
        </w:rPr>
        <w:t xml:space="preserve">32.2 </w:t>
      </w:r>
      <w:r>
        <w:rPr>
          <w:rFonts w:hint="eastAsia" w:ascii="宋体" w:hAnsi="宋体"/>
          <w:sz w:val="21"/>
          <w:szCs w:val="21"/>
          <w:highlight w:val="none"/>
        </w:rPr>
        <w:t>如果投标人被认定在本招标的竞争中有腐败或欺诈行为，则会被取消投标资格。</w:t>
      </w:r>
    </w:p>
    <w:p>
      <w:pPr>
        <w:pStyle w:val="26"/>
        <w:spacing w:after="0" w:line="360" w:lineRule="auto"/>
        <w:ind w:firstLineChars="200"/>
        <w:rPr>
          <w:rFonts w:hint="eastAsia" w:ascii="宋体" w:hAnsi="宋体"/>
          <w:sz w:val="21"/>
          <w:szCs w:val="21"/>
          <w:highlight w:val="none"/>
        </w:rPr>
      </w:pPr>
      <w:r>
        <w:rPr>
          <w:rFonts w:hint="eastAsia" w:ascii="宋体" w:hAnsi="宋体"/>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126"/>
        <w:spacing w:after="0" w:line="276" w:lineRule="auto"/>
        <w:ind w:firstLineChars="200"/>
        <w:rPr>
          <w:rStyle w:val="59"/>
          <w:rFonts w:hint="eastAsia" w:ascii="宋体" w:hAnsi="宋体"/>
          <w:sz w:val="21"/>
          <w:szCs w:val="21"/>
          <w:highlight w:val="none"/>
        </w:rPr>
      </w:pPr>
    </w:p>
    <w:p>
      <w:pPr>
        <w:pStyle w:val="139"/>
        <w:outlineLvl w:val="0"/>
        <w:rPr>
          <w:rStyle w:val="59"/>
          <w:rFonts w:hint="eastAsia" w:ascii="宋体" w:hAnsi="宋体"/>
          <w:bCs/>
          <w:highlight w:val="none"/>
        </w:rPr>
      </w:pPr>
      <w:r>
        <w:rPr>
          <w:rStyle w:val="59"/>
          <w:rFonts w:ascii="宋体" w:hAnsi="宋体"/>
          <w:b w:val="0"/>
          <w:sz w:val="24"/>
          <w:highlight w:val="none"/>
        </w:rPr>
        <w:br w:type="page"/>
      </w:r>
      <w:bookmarkStart w:id="11" w:name="_Toc105014629"/>
      <w:r>
        <w:rPr>
          <w:rStyle w:val="59"/>
          <w:rFonts w:ascii="宋体" w:hAnsi="宋体"/>
          <w:bCs/>
          <w:highlight w:val="none"/>
        </w:rPr>
        <w:t>第二章  开标、评标及定标办法</w:t>
      </w:r>
      <w:bookmarkEnd w:id="11"/>
    </w:p>
    <w:p>
      <w:pPr>
        <w:pStyle w:val="151"/>
        <w:spacing w:line="360" w:lineRule="auto"/>
        <w:outlineLvl w:val="1"/>
        <w:rPr>
          <w:rStyle w:val="59"/>
          <w:rFonts w:hint="eastAsia" w:ascii="宋体" w:hAnsi="宋体"/>
          <w:b/>
          <w:color w:val="auto"/>
          <w:highlight w:val="none"/>
        </w:rPr>
      </w:pPr>
      <w:bookmarkStart w:id="12" w:name="_Toc105014630"/>
      <w:r>
        <w:rPr>
          <w:rStyle w:val="59"/>
          <w:rFonts w:ascii="宋体" w:hAnsi="宋体"/>
          <w:b/>
          <w:color w:val="auto"/>
          <w:highlight w:val="none"/>
        </w:rPr>
        <w:t>一、开标、评标及定标办法修改表</w:t>
      </w:r>
      <w:bookmarkEnd w:id="12"/>
    </w:p>
    <w:p>
      <w:pPr>
        <w:pStyle w:val="126"/>
        <w:spacing w:after="0" w:line="360" w:lineRule="auto"/>
        <w:rPr>
          <w:rStyle w:val="59"/>
          <w:rFonts w:hint="eastAsia" w:ascii="宋体" w:hAnsi="宋体"/>
          <w:b/>
          <w:sz w:val="21"/>
          <w:szCs w:val="21"/>
          <w:highlight w:val="none"/>
        </w:rPr>
      </w:pPr>
      <w:r>
        <w:rPr>
          <w:rStyle w:val="59"/>
          <w:rFonts w:ascii="宋体" w:hAnsi="宋体"/>
          <w:b/>
          <w:sz w:val="21"/>
          <w:szCs w:val="21"/>
          <w:highlight w:val="none"/>
        </w:rPr>
        <w:t>声明：</w:t>
      </w:r>
      <w:r>
        <w:rPr>
          <w:rStyle w:val="59"/>
          <w:rFonts w:hint="eastAsia" w:ascii="宋体" w:hAnsi="宋体"/>
          <w:b/>
          <w:sz w:val="21"/>
          <w:szCs w:val="21"/>
          <w:highlight w:val="none"/>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48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条款号：（二）开标评标办法程序和细则        修改类型：删除</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原文：可选办法一（适合综合评分法一，技术标与经济标先后分别开启）</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原文：可选办法二（适合综合评分法一，技术标与经济标同时开启）</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原文：可选办法三（适合综合评分法二，技术标与经济标先后分别开启）</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原文：可选办法四（适合综合评分法二，技术标与经济标同时开启）</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原文：可选办法五（适合综合评分法三，技术标与经济标先后分别开启）</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原文：可选办法七（适合综合评分法四，技术标与经济标同时开启）</w:t>
      </w:r>
    </w:p>
    <w:p>
      <w:pPr>
        <w:pBdr>
          <w:bottom w:val="single" w:color="auto" w:sz="6" w:space="1"/>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原文：可选办法八（适合经评审的最低投标价法，技术标与经济标同时开启）</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w:t>
      </w:r>
      <w:r>
        <w:rPr>
          <w:rStyle w:val="59"/>
          <w:rFonts w:ascii="宋体" w:hAnsi="宋体"/>
          <w:szCs w:val="21"/>
          <w:highlight w:val="none"/>
        </w:rPr>
        <w:t>36.1</w:t>
      </w:r>
      <w:r>
        <w:rPr>
          <w:rStyle w:val="59"/>
          <w:rFonts w:ascii="宋体" w:hAnsi="宋体"/>
          <w:b/>
          <w:szCs w:val="21"/>
          <w:highlight w:val="none"/>
        </w:rPr>
        <w:t xml:space="preserve">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36.1 招标人按投标须知前附表第18项所规定的时间和地点公开开标，并邀请</w:t>
      </w:r>
      <w:r>
        <w:rPr>
          <w:rStyle w:val="59"/>
          <w:rFonts w:hint="eastAsia" w:ascii="宋体" w:hAnsi="宋体"/>
          <w:szCs w:val="21"/>
          <w:highlight w:val="none"/>
        </w:rPr>
        <w:t>本项目</w:t>
      </w:r>
      <w:r>
        <w:rPr>
          <w:rStyle w:val="59"/>
          <w:rFonts w:ascii="宋体" w:hAnsi="宋体"/>
          <w:szCs w:val="21"/>
          <w:highlight w:val="none"/>
        </w:rPr>
        <w:t>所有投标人参加。截标后，开标开始时间因故推迟的，相关评标信息仍以原定的开标开始时间的信息为准。</w:t>
      </w:r>
      <w:r>
        <w:rPr>
          <w:rStyle w:val="59"/>
          <w:rFonts w:ascii="宋体" w:hAnsi="宋体"/>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w:t>
      </w:r>
      <w:r>
        <w:rPr>
          <w:rStyle w:val="59"/>
          <w:rFonts w:ascii="宋体" w:hAnsi="宋体"/>
          <w:szCs w:val="21"/>
          <w:highlight w:val="none"/>
        </w:rPr>
        <w:t>36.3</w:t>
      </w:r>
      <w:r>
        <w:rPr>
          <w:rStyle w:val="59"/>
          <w:rFonts w:ascii="宋体" w:hAnsi="宋体"/>
          <w:b/>
          <w:szCs w:val="21"/>
          <w:highlight w:val="none"/>
        </w:rPr>
        <w:t xml:space="preserve">          修改类型：删除</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原文：</w:t>
      </w:r>
      <w:r>
        <w:rPr>
          <w:rStyle w:val="59"/>
          <w:rFonts w:ascii="宋体" w:hAnsi="宋体"/>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条款号：</w:t>
      </w:r>
      <w:r>
        <w:rPr>
          <w:rFonts w:hint="eastAsia" w:ascii="宋体" w:hAnsi="宋体"/>
          <w:szCs w:val="21"/>
          <w:highlight w:val="none"/>
        </w:rPr>
        <w:t>36.4</w:t>
      </w:r>
      <w:r>
        <w:rPr>
          <w:rFonts w:ascii="宋体" w:hAnsi="宋体"/>
          <w:b/>
          <w:szCs w:val="21"/>
          <w:highlight w:val="none"/>
        </w:rPr>
        <w:t xml:space="preserve">          </w:t>
      </w:r>
      <w:r>
        <w:rPr>
          <w:rFonts w:hint="eastAsia" w:ascii="宋体" w:hAnsi="宋体"/>
          <w:b/>
          <w:szCs w:val="21"/>
          <w:highlight w:val="none"/>
        </w:rPr>
        <w:t>修改类型：修改</w:t>
      </w:r>
    </w:p>
    <w:p>
      <w:pPr>
        <w:spacing w:line="360" w:lineRule="auto"/>
        <w:ind w:firstLine="422" w:firstLineChars="200"/>
        <w:rPr>
          <w:rFonts w:hint="eastAsia" w:ascii="宋体" w:hAnsi="宋体"/>
          <w:szCs w:val="21"/>
          <w:highlight w:val="none"/>
        </w:rPr>
      </w:pPr>
      <w:r>
        <w:rPr>
          <w:rFonts w:hint="eastAsia" w:ascii="宋体" w:hAnsi="宋体"/>
          <w:b/>
          <w:szCs w:val="21"/>
          <w:highlight w:val="none"/>
        </w:rPr>
        <w:t>原文：</w:t>
      </w:r>
      <w:r>
        <w:rPr>
          <w:rFonts w:hint="eastAsia" w:ascii="宋体" w:hAnsi="宋体"/>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22" w:firstLineChars="200"/>
        <w:rPr>
          <w:rFonts w:hint="eastAsia" w:ascii="宋体" w:hAnsi="宋体"/>
          <w:szCs w:val="21"/>
          <w:highlight w:val="none"/>
          <w:u w:val="single"/>
        </w:rPr>
      </w:pPr>
      <w:r>
        <w:rPr>
          <w:rFonts w:hint="eastAsia" w:ascii="宋体" w:hAnsi="宋体"/>
          <w:b/>
          <w:szCs w:val="21"/>
          <w:highlight w:val="none"/>
        </w:rPr>
        <w:t>现文：</w:t>
      </w:r>
      <w:r>
        <w:rPr>
          <w:rFonts w:hint="eastAsia" w:ascii="宋体" w:hAnsi="宋体"/>
          <w:szCs w:val="21"/>
          <w:highlight w:val="none"/>
          <w:u w:val="single"/>
        </w:rPr>
        <w:t>36.4若递交投标文件的投标人不足3家，则重新组织招标。</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条款号：36.5.1          修改类型：修改</w:t>
      </w:r>
    </w:p>
    <w:p>
      <w:pP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原文：</w:t>
      </w:r>
      <w:r>
        <w:rPr>
          <w:rStyle w:val="59"/>
          <w:rFonts w:ascii="宋体" w:hAnsi="宋体"/>
          <w:szCs w:val="21"/>
          <w:highlight w:val="none"/>
        </w:rPr>
        <w:t>36.5.1</w:t>
      </w:r>
      <w:r>
        <w:rPr>
          <w:rFonts w:hint="eastAsia" w:ascii="宋体" w:hAnsi="宋体"/>
          <w:szCs w:val="21"/>
          <w:highlight w:val="none"/>
        </w:rPr>
        <w:t>在投标截止时间后一小时内，投标人通过</w:t>
      </w:r>
      <w:r>
        <w:rPr>
          <w:rFonts w:ascii="宋体" w:hAnsi="宋体"/>
          <w:szCs w:val="21"/>
          <w:highlight w:val="none"/>
          <w:u w:val="single"/>
        </w:rPr>
        <w:t xml:space="preserve">        </w:t>
      </w:r>
      <w:r>
        <w:rPr>
          <w:rFonts w:hint="eastAsia" w:ascii="宋体" w:hAnsi="宋体"/>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36.5.1在投标截止时间后</w:t>
      </w:r>
      <w:r>
        <w:rPr>
          <w:rStyle w:val="59"/>
          <w:rFonts w:hint="eastAsia" w:ascii="宋体" w:hAnsi="宋体"/>
          <w:szCs w:val="21"/>
          <w:highlight w:val="none"/>
        </w:rPr>
        <w:t>一</w:t>
      </w:r>
      <w:r>
        <w:rPr>
          <w:rStyle w:val="59"/>
          <w:rFonts w:ascii="宋体" w:hAnsi="宋体"/>
          <w:szCs w:val="21"/>
          <w:highlight w:val="none"/>
        </w:rPr>
        <w:t>小时内，投标人通过</w:t>
      </w:r>
      <w:r>
        <w:rPr>
          <w:rFonts w:hint="eastAsia" w:ascii="宋体" w:hAnsi="宋体"/>
          <w:szCs w:val="21"/>
          <w:highlight w:val="none"/>
          <w:u w:val="single"/>
        </w:rPr>
        <w:t>广州交易集团有限公司（广州公共资源交易中心）</w:t>
      </w:r>
      <w:r>
        <w:rPr>
          <w:rFonts w:hint="eastAsia" w:ascii="宋体" w:hAnsi="宋体"/>
          <w:szCs w:val="21"/>
          <w:highlight w:val="none"/>
        </w:rPr>
        <w:t>交易平台对已递交的电子投标文件进行解密。投标人完成解密后，再由招标人进行解密。解密完成后，公布招标项目名称、投标人名称、投标报价、工期及其他内容；</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条款号：</w:t>
      </w:r>
      <w:r>
        <w:rPr>
          <w:rFonts w:hint="eastAsia" w:ascii="宋体" w:hAnsi="宋体"/>
          <w:szCs w:val="21"/>
          <w:highlight w:val="none"/>
        </w:rPr>
        <w:t>36.5.3</w:t>
      </w:r>
      <w:r>
        <w:rPr>
          <w:rFonts w:ascii="宋体" w:hAnsi="宋体"/>
          <w:b/>
          <w:szCs w:val="21"/>
          <w:highlight w:val="none"/>
        </w:rPr>
        <w:t xml:space="preserve">          </w:t>
      </w:r>
      <w:r>
        <w:rPr>
          <w:rFonts w:hint="eastAsia" w:ascii="宋体" w:hAnsi="宋体"/>
          <w:b/>
          <w:szCs w:val="21"/>
          <w:highlight w:val="none"/>
        </w:rPr>
        <w:t>修改类型：修改</w:t>
      </w:r>
    </w:p>
    <w:p>
      <w:pPr>
        <w:spacing w:line="360" w:lineRule="auto"/>
        <w:ind w:firstLine="422" w:firstLineChars="200"/>
        <w:rPr>
          <w:rFonts w:hint="eastAsia" w:ascii="宋体" w:hAnsi="宋体"/>
          <w:szCs w:val="21"/>
          <w:highlight w:val="none"/>
        </w:rPr>
      </w:pPr>
      <w:r>
        <w:rPr>
          <w:rFonts w:hint="eastAsia" w:ascii="宋体" w:hAnsi="宋体"/>
          <w:b/>
          <w:szCs w:val="21"/>
          <w:highlight w:val="none"/>
        </w:rPr>
        <w:t>原文：</w:t>
      </w:r>
      <w:r>
        <w:rPr>
          <w:rFonts w:hint="eastAsia" w:ascii="宋体" w:hAnsi="宋体"/>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422" w:firstLineChars="200"/>
        <w:rPr>
          <w:rFonts w:hint="eastAsia" w:ascii="宋体" w:hAnsi="宋体"/>
          <w:szCs w:val="21"/>
          <w:highlight w:val="none"/>
          <w:u w:val="single"/>
        </w:rPr>
      </w:pPr>
      <w:r>
        <w:rPr>
          <w:rFonts w:hint="eastAsia" w:ascii="宋体" w:hAnsi="宋体"/>
          <w:b/>
          <w:szCs w:val="21"/>
          <w:highlight w:val="none"/>
        </w:rPr>
        <w:t>现文：</w:t>
      </w:r>
      <w:r>
        <w:rPr>
          <w:rFonts w:hint="eastAsia" w:ascii="宋体" w:hAnsi="宋体"/>
          <w:szCs w:val="21"/>
          <w:highlight w:val="none"/>
        </w:rPr>
        <w:t>36.5.3投标人代表、招标人代表、监标人、记录人等有关人员在开标记录上签字确认；若有关人员不签字的，不影响开标程序；</w:t>
      </w:r>
      <w:r>
        <w:rPr>
          <w:rFonts w:hint="eastAsia" w:ascii="宋体" w:hAnsi="宋体"/>
          <w:szCs w:val="21"/>
          <w:highlight w:val="none"/>
          <w:u w:val="single"/>
        </w:rPr>
        <w:t>若投标人不参加开标会的，或不签字确认的，视同该投标人认可开标结果。</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条款号：38.1</w:t>
      </w:r>
      <w:r>
        <w:rPr>
          <w:rFonts w:ascii="宋体" w:hAnsi="宋体" w:cs="宋体"/>
          <w:b/>
          <w:szCs w:val="21"/>
          <w:highlight w:val="none"/>
        </w:rPr>
        <w:t xml:space="preserve">          </w:t>
      </w:r>
      <w:r>
        <w:rPr>
          <w:rFonts w:hint="eastAsia" w:ascii="宋体" w:hAnsi="宋体" w:cs="宋体"/>
          <w:b/>
          <w:szCs w:val="21"/>
          <w:highlight w:val="none"/>
        </w:rPr>
        <w:t>修改类型：修改</w:t>
      </w:r>
    </w:p>
    <w:p>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szCs w:val="21"/>
          <w:highlight w:val="none"/>
          <w:u w:val="single"/>
        </w:rPr>
        <w:t>要求投标人对投标文件含义不明确、对同类问题表述不一致、有明显文字和计算错误的内容以及细微偏差的内容作出澄清。</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条款号：</w:t>
      </w:r>
      <w:r>
        <w:rPr>
          <w:rFonts w:hint="eastAsia" w:ascii="宋体" w:hAnsi="宋体"/>
          <w:b/>
          <w:szCs w:val="21"/>
          <w:highlight w:val="none"/>
        </w:rPr>
        <w:t>39.3</w:t>
      </w:r>
      <w:r>
        <w:rPr>
          <w:rFonts w:ascii="宋体" w:hAnsi="宋体"/>
          <w:b/>
          <w:szCs w:val="21"/>
          <w:highlight w:val="none"/>
        </w:rPr>
        <w:t xml:space="preserve">          </w:t>
      </w:r>
      <w:r>
        <w:rPr>
          <w:rFonts w:hint="eastAsia" w:ascii="宋体" w:hAnsi="宋体"/>
          <w:b/>
          <w:bCs/>
          <w:szCs w:val="21"/>
          <w:highlight w:val="none"/>
        </w:rPr>
        <w:t>修改类型：修改</w:t>
      </w:r>
    </w:p>
    <w:p>
      <w:pPr>
        <w:spacing w:line="360" w:lineRule="auto"/>
        <w:ind w:firstLine="422" w:firstLineChars="200"/>
        <w:rPr>
          <w:rFonts w:hint="eastAsia" w:ascii="宋体" w:hAnsi="宋体"/>
          <w:szCs w:val="21"/>
          <w:highlight w:val="none"/>
        </w:rPr>
      </w:pPr>
      <w:r>
        <w:rPr>
          <w:rFonts w:hint="eastAsia" w:ascii="宋体" w:hAnsi="宋体"/>
          <w:b/>
          <w:bCs/>
          <w:szCs w:val="21"/>
          <w:highlight w:val="none"/>
        </w:rPr>
        <w:t>原文：</w:t>
      </w:r>
      <w:r>
        <w:rPr>
          <w:rFonts w:hint="eastAsia" w:ascii="宋体" w:hAnsi="宋体"/>
          <w:highlight w:val="none"/>
        </w:rPr>
        <w:t>39.3</w:t>
      </w:r>
      <w:r>
        <w:rPr>
          <w:rFonts w:hint="eastAsia" w:ascii="宋体" w:hAnsi="宋体"/>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000000" w:sz="6" w:space="1"/>
        </w:pBdr>
        <w:spacing w:line="360" w:lineRule="auto"/>
        <w:ind w:firstLine="422" w:firstLineChars="200"/>
        <w:rPr>
          <w:rFonts w:hint="eastAsia" w:ascii="宋体" w:hAnsi="宋体"/>
          <w:szCs w:val="21"/>
          <w:highlight w:val="none"/>
        </w:rPr>
      </w:pPr>
      <w:r>
        <w:rPr>
          <w:rFonts w:hint="eastAsia" w:ascii="宋体" w:hAnsi="宋体"/>
          <w:b/>
          <w:bCs/>
          <w:szCs w:val="21"/>
          <w:highlight w:val="none"/>
        </w:rPr>
        <w:t>现文：</w:t>
      </w:r>
      <w:r>
        <w:rPr>
          <w:rFonts w:hint="eastAsia" w:ascii="宋体" w:hAnsi="宋体"/>
          <w:highlight w:val="none"/>
        </w:rPr>
        <w:t>39.3</w:t>
      </w:r>
      <w:r>
        <w:rPr>
          <w:rFonts w:hint="eastAsia" w:ascii="宋体" w:hAnsi="宋体"/>
          <w:szCs w:val="21"/>
          <w:highlight w:val="none"/>
        </w:rPr>
        <w:t>排名第一的中标候选人放弃中标、或因不可抗力不能履行合同，</w:t>
      </w:r>
      <w:r>
        <w:rPr>
          <w:rFonts w:hint="eastAsia" w:ascii="宋体" w:hAnsi="宋体"/>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szCs w:val="21"/>
          <w:highlight w:val="none"/>
        </w:rPr>
        <w:t>招标人可以确定排名第二的中标候选人为中标人。</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w:t>
      </w:r>
      <w:r>
        <w:rPr>
          <w:rStyle w:val="59"/>
          <w:rFonts w:hint="eastAsia" w:ascii="宋体" w:hAnsi="宋体"/>
          <w:b/>
          <w:szCs w:val="21"/>
          <w:highlight w:val="none"/>
        </w:rPr>
        <w:t xml:space="preserve">（二）开标评标办法程序和细则 注 </w:t>
      </w:r>
      <w:r>
        <w:rPr>
          <w:rStyle w:val="59"/>
          <w:rFonts w:ascii="宋体" w:hAnsi="宋体"/>
          <w:b/>
          <w:szCs w:val="21"/>
          <w:highlight w:val="none"/>
        </w:rPr>
        <w:t xml:space="preserve">         </w:t>
      </w:r>
      <w:r>
        <w:rPr>
          <w:rStyle w:val="59"/>
          <w:rFonts w:hint="eastAsia" w:ascii="宋体" w:hAnsi="宋体"/>
          <w:b/>
          <w:szCs w:val="21"/>
          <w:highlight w:val="none"/>
        </w:rPr>
        <w:t>修改类型：删除</w:t>
      </w:r>
    </w:p>
    <w:p>
      <w:pPr>
        <w:pBdr>
          <w:bottom w:val="single" w:color="000000" w:sz="6" w:space="1"/>
        </w:pBd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hint="eastAsia" w:ascii="宋体" w:hAnsi="宋体"/>
          <w:bCs/>
          <w:szCs w:val="21"/>
          <w:highlight w:val="none"/>
        </w:rPr>
        <w:t>注：以下八种评标办法所述企业综合诚信评价分数即投标截止当日广州市住房和城乡建设局网站上公布的企业综合诚信评价60日诚信分。</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条款号：可选办法一（适合综合评分法一，技术标与经济标先后分别开启</w:t>
      </w:r>
      <w:r>
        <w:rPr>
          <w:rStyle w:val="59"/>
          <w:rFonts w:hint="eastAsia" w:ascii="宋体" w:hAnsi="宋体"/>
          <w:b/>
          <w:szCs w:val="21"/>
          <w:highlight w:val="none"/>
        </w:rPr>
        <w:t xml:space="preserve">） </w:t>
      </w:r>
      <w:r>
        <w:rPr>
          <w:rStyle w:val="59"/>
          <w:rFonts w:ascii="宋体" w:hAnsi="宋体"/>
          <w:b/>
          <w:szCs w:val="21"/>
          <w:highlight w:val="none"/>
        </w:rPr>
        <w:t xml:space="preserve"> 修改类型：删除</w:t>
      </w:r>
    </w:p>
    <w:p>
      <w:pPr>
        <w:pBdr>
          <w:bottom w:val="single" w:color="000000" w:sz="6" w:space="1"/>
        </w:pBd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bCs/>
          <w:szCs w:val="21"/>
          <w:highlight w:val="none"/>
        </w:rPr>
        <w:t>详见《广州市建设工程施工公开招标项目招标文件范本GZZB2018-3》</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条款号：可选办法二（适合综合评分法一，技术标与经济标同时开启</w:t>
      </w:r>
      <w:r>
        <w:rPr>
          <w:rStyle w:val="59"/>
          <w:rFonts w:hint="eastAsia" w:ascii="宋体" w:hAnsi="宋体"/>
          <w:b/>
          <w:szCs w:val="21"/>
          <w:highlight w:val="none"/>
        </w:rPr>
        <w:t xml:space="preserve">） </w:t>
      </w:r>
      <w:r>
        <w:rPr>
          <w:rStyle w:val="59"/>
          <w:rFonts w:ascii="宋体" w:hAnsi="宋体"/>
          <w:b/>
          <w:szCs w:val="21"/>
          <w:highlight w:val="none"/>
        </w:rPr>
        <w:t xml:space="preserve"> 修改类型：删除</w:t>
      </w:r>
    </w:p>
    <w:p>
      <w:pPr>
        <w:pBdr>
          <w:bottom w:val="single" w:color="000000" w:sz="6" w:space="1"/>
        </w:pBd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原文：</w:t>
      </w:r>
      <w:r>
        <w:rPr>
          <w:rStyle w:val="59"/>
          <w:rFonts w:ascii="宋体" w:hAnsi="宋体"/>
          <w:bCs/>
          <w:szCs w:val="21"/>
          <w:highlight w:val="none"/>
        </w:rPr>
        <w:t>详见《广州市建设工程施工公开招标项目招标文件范本GZZB2018-3》</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条款号：可选办法三（适合综合评分法二，技术标与经济标先后分别开启）  修改类型：删除</w:t>
      </w:r>
    </w:p>
    <w:p>
      <w:pPr>
        <w:pBdr>
          <w:bottom w:val="single" w:color="000000" w:sz="6" w:space="1"/>
        </w:pBd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原文：</w:t>
      </w:r>
      <w:r>
        <w:rPr>
          <w:rStyle w:val="59"/>
          <w:rFonts w:ascii="宋体" w:hAnsi="宋体"/>
          <w:bCs/>
          <w:szCs w:val="21"/>
          <w:highlight w:val="none"/>
        </w:rPr>
        <w:t>详见《广州市建设工程施工公开招标项目招标文件范本GZZB2018-3》</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条款号：可选办法四（适合综合评分法二，技术标与经济标同时开启）  修改类型：删除</w:t>
      </w:r>
    </w:p>
    <w:p>
      <w:pPr>
        <w:pBdr>
          <w:bottom w:val="single" w:color="000000" w:sz="6" w:space="1"/>
        </w:pBd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原文：</w:t>
      </w:r>
      <w:r>
        <w:rPr>
          <w:rStyle w:val="59"/>
          <w:rFonts w:ascii="宋体" w:hAnsi="宋体"/>
          <w:bCs/>
          <w:szCs w:val="21"/>
          <w:highlight w:val="none"/>
        </w:rPr>
        <w:t>详见《广州市建设工程施工公开招标项目招标文件范本GZZB2018-3》</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条款号：可选办法五（适合综合评分法三，技术标与经济标先后分别开启）  修改类型：删除</w:t>
      </w:r>
    </w:p>
    <w:p>
      <w:pPr>
        <w:pBdr>
          <w:bottom w:val="single" w:color="000000" w:sz="6" w:space="1"/>
        </w:pBd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原文：</w:t>
      </w:r>
      <w:r>
        <w:rPr>
          <w:rStyle w:val="59"/>
          <w:rFonts w:ascii="宋体" w:hAnsi="宋体"/>
          <w:bCs/>
          <w:szCs w:val="21"/>
          <w:highlight w:val="none"/>
        </w:rPr>
        <w:t>详见《广州市建设工程施工公开招标项目招标文件范本GZZB2018-3》</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条款号：可选办法</w:t>
      </w:r>
      <w:r>
        <w:rPr>
          <w:rStyle w:val="59"/>
          <w:rFonts w:hint="eastAsia" w:ascii="宋体" w:hAnsi="宋体"/>
          <w:b/>
          <w:szCs w:val="21"/>
          <w:highlight w:val="none"/>
        </w:rPr>
        <w:t>七</w:t>
      </w:r>
      <w:r>
        <w:rPr>
          <w:rStyle w:val="59"/>
          <w:rFonts w:ascii="宋体" w:hAnsi="宋体"/>
          <w:b/>
          <w:szCs w:val="21"/>
          <w:highlight w:val="none"/>
        </w:rPr>
        <w:t>（适合综合评分法四，技术标与经济标同时开启）  修改类型：删除</w:t>
      </w:r>
    </w:p>
    <w:p>
      <w:pPr>
        <w:pBdr>
          <w:bottom w:val="single" w:color="000000" w:sz="6" w:space="1"/>
        </w:pBdr>
        <w:spacing w:line="360" w:lineRule="auto"/>
        <w:ind w:firstLine="422" w:firstLineChars="200"/>
        <w:rPr>
          <w:rFonts w:hint="eastAsia" w:ascii="宋体" w:hAnsi="宋体"/>
          <w:b/>
          <w:szCs w:val="21"/>
          <w:highlight w:val="none"/>
        </w:rPr>
      </w:pPr>
      <w:r>
        <w:rPr>
          <w:rStyle w:val="59"/>
          <w:rFonts w:ascii="宋体" w:hAnsi="宋体"/>
          <w:b/>
          <w:szCs w:val="21"/>
          <w:highlight w:val="none"/>
        </w:rPr>
        <w:t>原文：</w:t>
      </w:r>
      <w:r>
        <w:rPr>
          <w:rStyle w:val="59"/>
          <w:rFonts w:ascii="宋体" w:hAnsi="宋体"/>
          <w:bCs/>
          <w:szCs w:val="21"/>
          <w:highlight w:val="none"/>
        </w:rPr>
        <w:t>详见《广州市建设工程施工公开招标项目招标文件范本GZZB2018-3》</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条款号：可选办法八（适合经评审的最低投标价法，技术标与经济标同时开启）  修改类型：删除</w:t>
      </w:r>
    </w:p>
    <w:p>
      <w:pPr>
        <w:pBdr>
          <w:bottom w:val="single" w:color="000000" w:sz="6" w:space="1"/>
        </w:pBdr>
        <w:spacing w:line="360" w:lineRule="auto"/>
        <w:ind w:firstLine="422" w:firstLineChars="200"/>
        <w:rPr>
          <w:rStyle w:val="59"/>
          <w:rFonts w:hint="eastAsia" w:ascii="宋体" w:hAnsi="宋体"/>
          <w:bCs/>
          <w:szCs w:val="21"/>
          <w:highlight w:val="none"/>
        </w:rPr>
      </w:pPr>
      <w:r>
        <w:rPr>
          <w:rStyle w:val="59"/>
          <w:rFonts w:ascii="宋体" w:hAnsi="宋体"/>
          <w:b/>
          <w:szCs w:val="21"/>
          <w:highlight w:val="none"/>
        </w:rPr>
        <w:t>原文：</w:t>
      </w:r>
      <w:r>
        <w:rPr>
          <w:rStyle w:val="59"/>
          <w:rFonts w:ascii="宋体" w:hAnsi="宋体"/>
          <w:bCs/>
          <w:szCs w:val="21"/>
          <w:highlight w:val="none"/>
        </w:rPr>
        <w:t>详见《广州市建设工程施工公开招标项目招标文件范本GZZB2018-3》</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 xml:space="preserve">条款号：40       </w:t>
      </w:r>
      <w:r>
        <w:rPr>
          <w:rStyle w:val="59"/>
          <w:rFonts w:hint="eastAsia" w:ascii="宋体" w:hAnsi="宋体"/>
          <w:b/>
          <w:szCs w:val="21"/>
          <w:highlight w:val="none"/>
        </w:rPr>
        <w:t xml:space="preserve">  </w:t>
      </w:r>
      <w:r>
        <w:rPr>
          <w:rStyle w:val="59"/>
          <w:rFonts w:ascii="宋体" w:hAnsi="宋体"/>
          <w:b/>
          <w:szCs w:val="21"/>
          <w:highlight w:val="none"/>
        </w:rPr>
        <w:t xml:space="preserve">   修改类型：修改</w:t>
      </w:r>
    </w:p>
    <w:p>
      <w:pPr>
        <w:tabs>
          <w:tab w:val="right" w:leader="dot" w:pos="9060"/>
        </w:tabs>
        <w:adjustRightInd w:val="0"/>
        <w:snapToGrid w:val="0"/>
        <w:spacing w:line="360" w:lineRule="auto"/>
        <w:ind w:firstLine="422" w:firstLineChars="200"/>
        <w:jc w:val="left"/>
        <w:rPr>
          <w:rFonts w:hint="eastAsia" w:ascii="宋体" w:hAnsi="宋体" w:cs="宋体"/>
          <w:szCs w:val="21"/>
          <w:highlight w:val="none"/>
          <w:lang w:bidi="ar"/>
        </w:rPr>
      </w:pPr>
      <w:r>
        <w:rPr>
          <w:rFonts w:hint="eastAsia" w:ascii="宋体" w:hAnsi="宋体" w:cs="宋体"/>
          <w:b/>
          <w:szCs w:val="21"/>
          <w:highlight w:val="none"/>
        </w:rPr>
        <w:t>原文：</w:t>
      </w:r>
      <w:r>
        <w:rPr>
          <w:rFonts w:hint="eastAsia" w:ascii="宋体" w:hAnsi="宋体" w:cs="宋体"/>
          <w:szCs w:val="21"/>
          <w:highlight w:val="none"/>
          <w:lang w:bidi="ar"/>
        </w:rPr>
        <w:t>可选办法六（适合综合评分法三，技术标与经济标同时开启）</w:t>
      </w:r>
    </w:p>
    <w:p>
      <w:pPr>
        <w:tabs>
          <w:tab w:val="right" w:leader="dot" w:pos="9060"/>
        </w:tabs>
        <w:adjustRightInd w:val="0"/>
        <w:snapToGrid w:val="0"/>
        <w:spacing w:line="360" w:lineRule="auto"/>
        <w:ind w:firstLine="420" w:firstLineChars="200"/>
        <w:jc w:val="left"/>
        <w:rPr>
          <w:rFonts w:hint="eastAsia" w:ascii="宋体" w:hAnsi="宋体" w:cs="宋体"/>
          <w:caps/>
          <w:kern w:val="0"/>
          <w:szCs w:val="21"/>
          <w:highlight w:val="none"/>
        </w:rPr>
      </w:pPr>
      <w:r>
        <w:rPr>
          <w:rFonts w:hint="eastAsia" w:ascii="宋体" w:hAnsi="宋体" w:cs="宋体"/>
          <w:caps/>
          <w:kern w:val="0"/>
          <w:szCs w:val="21"/>
          <w:highlight w:val="none"/>
        </w:rPr>
        <w:t>40．开标和评标程序：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40.1投标人递交技术标、经济标投标文件；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40.2技术标与经济标投标文件同时公开开标；</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40.3由评标委员会对所有已公开开标的投标人进行资格审查；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40.4技术标投标文件有效性审查；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40.5技术标详细审查评分；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40.6计算第一阶段得分，并按照总分从高到低排列先后次序，编写第一阶段评审报告；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40.7按投标须知前附表第25项规定，确定进入第二阶段评审的投标人；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40.8将进入第二阶段评审的投标人进行排序；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40.9按排序对经济标投标文件进行有效性审查（含投标报价算术校核），直至评出所有中标候选人；</w:t>
      </w:r>
    </w:p>
    <w:p>
      <w:pPr>
        <w:spacing w:line="360" w:lineRule="auto"/>
        <w:ind w:firstLine="422" w:firstLineChars="201"/>
        <w:rPr>
          <w:rFonts w:hint="eastAsia" w:ascii="宋体" w:hAnsi="宋体" w:cs="宋体"/>
          <w:b/>
          <w:szCs w:val="21"/>
          <w:highlight w:val="none"/>
        </w:rPr>
      </w:pPr>
      <w:r>
        <w:rPr>
          <w:rFonts w:hint="eastAsia" w:ascii="宋体" w:hAnsi="宋体" w:cs="宋体"/>
          <w:szCs w:val="21"/>
          <w:highlight w:val="none"/>
        </w:rPr>
        <w:t>40.10评标委员会编写评标报告，向招标人推荐中标候选人名单。</w:t>
      </w:r>
    </w:p>
    <w:p>
      <w:pPr>
        <w:pBdr>
          <w:bottom w:val="single" w:color="auto" w:sz="6" w:space="1"/>
        </w:pBdr>
        <w:spacing w:line="360" w:lineRule="auto"/>
        <w:ind w:firstLine="527" w:firstLineChars="250"/>
        <w:rPr>
          <w:rFonts w:hint="eastAsia" w:ascii="宋体" w:hAnsi="宋体" w:cs="宋体"/>
          <w:szCs w:val="21"/>
          <w:highlight w:val="none"/>
          <w:lang w:bidi="ar"/>
        </w:rPr>
      </w:pPr>
      <w:r>
        <w:rPr>
          <w:rFonts w:hint="eastAsia" w:ascii="宋体" w:hAnsi="宋体" w:cs="宋体"/>
          <w:b/>
          <w:szCs w:val="21"/>
          <w:highlight w:val="none"/>
        </w:rPr>
        <w:t>现文：</w:t>
      </w:r>
      <w:r>
        <w:rPr>
          <w:rFonts w:hint="eastAsia" w:ascii="宋体" w:hAnsi="宋体" w:cs="宋体"/>
          <w:szCs w:val="21"/>
          <w:highlight w:val="none"/>
          <w:lang w:bidi="ar"/>
        </w:rPr>
        <w:t>可选办法六（适合综合评分法三，技术标与经济标同时开启）</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40．开标和评标程序：</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40.1投标人递交技术标</w:t>
      </w:r>
      <w:r>
        <w:rPr>
          <w:rFonts w:hint="eastAsia" w:ascii="宋体" w:hAnsi="宋体" w:cs="宋体"/>
          <w:szCs w:val="21"/>
          <w:highlight w:val="none"/>
          <w:u w:val="single"/>
        </w:rPr>
        <w:t>（含资格审查文件）</w:t>
      </w:r>
      <w:r>
        <w:rPr>
          <w:rFonts w:hint="eastAsia" w:ascii="宋体" w:hAnsi="宋体" w:cs="宋体"/>
          <w:szCs w:val="21"/>
          <w:highlight w:val="none"/>
        </w:rPr>
        <w:t>、经济标投标文件；</w:t>
      </w:r>
    </w:p>
    <w:p>
      <w:pPr>
        <w:pBdr>
          <w:bottom w:val="single" w:color="auto" w:sz="6" w:space="1"/>
        </w:pBdr>
        <w:spacing w:line="360" w:lineRule="auto"/>
        <w:ind w:firstLine="525" w:firstLineChars="250"/>
        <w:rPr>
          <w:rFonts w:hint="eastAsia" w:ascii="宋体" w:hAnsi="宋体" w:cs="宋体"/>
          <w:szCs w:val="21"/>
          <w:highlight w:val="none"/>
          <w:u w:val="single"/>
        </w:rPr>
      </w:pPr>
      <w:r>
        <w:rPr>
          <w:rFonts w:hint="eastAsia" w:ascii="宋体" w:hAnsi="宋体" w:cs="宋体"/>
          <w:szCs w:val="21"/>
          <w:highlight w:val="none"/>
        </w:rPr>
        <w:t>40.2技术标</w:t>
      </w:r>
      <w:r>
        <w:rPr>
          <w:rFonts w:hint="eastAsia" w:ascii="宋体" w:hAnsi="宋体" w:cs="宋体"/>
          <w:szCs w:val="21"/>
          <w:highlight w:val="none"/>
          <w:u w:val="single"/>
        </w:rPr>
        <w:t>（含资格审查文件）</w:t>
      </w:r>
      <w:r>
        <w:rPr>
          <w:rFonts w:hint="eastAsia" w:ascii="宋体" w:hAnsi="宋体" w:cs="宋体"/>
          <w:szCs w:val="21"/>
          <w:highlight w:val="none"/>
        </w:rPr>
        <w:t>与经济标投标文件同时公开开标；</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40.3由评标委员会对所有已公开开标的投标人进行资格审查，</w:t>
      </w:r>
      <w:r>
        <w:rPr>
          <w:rFonts w:hint="eastAsia" w:ascii="宋体" w:hAnsi="宋体" w:cs="宋体"/>
          <w:szCs w:val="21"/>
          <w:highlight w:val="none"/>
          <w:u w:val="single"/>
        </w:rPr>
        <w:t>并编写资格审查报告</w:t>
      </w:r>
      <w:r>
        <w:rPr>
          <w:rFonts w:hint="eastAsia" w:ascii="宋体" w:hAnsi="宋体" w:cs="宋体"/>
          <w:szCs w:val="21"/>
          <w:highlight w:val="none"/>
        </w:rPr>
        <w:t>；</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40.4技术标投标文件有效性审查；</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40.5技术标详细审查评分；</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40.6</w:t>
      </w:r>
      <w:r>
        <w:rPr>
          <w:rFonts w:hint="eastAsia" w:ascii="宋体" w:hAnsi="宋体" w:cs="宋体"/>
          <w:szCs w:val="21"/>
          <w:highlight w:val="none"/>
          <w:lang w:bidi="ar"/>
        </w:rPr>
        <w:t>计算第一阶段得分，并按照总分从高到低排列先后次序，编写第一阶段评审报告</w:t>
      </w:r>
      <w:r>
        <w:rPr>
          <w:rFonts w:hint="eastAsia" w:ascii="宋体" w:hAnsi="宋体" w:cs="宋体"/>
          <w:szCs w:val="21"/>
          <w:highlight w:val="none"/>
        </w:rPr>
        <w:t>；</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40.7按投标须知前附表第25项规定，确定进入第二阶段评审的投标人；</w:t>
      </w:r>
    </w:p>
    <w:p>
      <w:pPr>
        <w:pBdr>
          <w:bottom w:val="single" w:color="auto" w:sz="6" w:space="1"/>
        </w:pBdr>
        <w:spacing w:line="360" w:lineRule="auto"/>
        <w:ind w:firstLine="525" w:firstLineChars="250"/>
        <w:rPr>
          <w:rFonts w:hint="eastAsia" w:ascii="宋体" w:hAnsi="宋体" w:cs="宋体"/>
          <w:szCs w:val="21"/>
          <w:highlight w:val="none"/>
          <w:u w:val="single"/>
        </w:rPr>
      </w:pPr>
      <w:r>
        <w:rPr>
          <w:rFonts w:hint="eastAsia" w:ascii="宋体" w:hAnsi="宋体" w:cs="宋体"/>
          <w:szCs w:val="21"/>
          <w:highlight w:val="none"/>
        </w:rPr>
        <w:t>40.8</w:t>
      </w:r>
      <w:r>
        <w:rPr>
          <w:rFonts w:hint="eastAsia" w:ascii="宋体" w:hAnsi="宋体" w:cs="宋体"/>
          <w:szCs w:val="21"/>
          <w:highlight w:val="none"/>
          <w:u w:val="single"/>
        </w:rPr>
        <w:t>对进入第二阶段的投标人按投标须知前附表第32项规定计算第二阶段得分并排序；</w:t>
      </w:r>
    </w:p>
    <w:p>
      <w:pPr>
        <w:pBdr>
          <w:bottom w:val="single" w:color="auto" w:sz="6" w:space="1"/>
        </w:pBd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40.9按排序对经济标投标文件进行有效性审查（含投标报价算术校核），直至评出所有中标候选人；</w:t>
      </w:r>
    </w:p>
    <w:p>
      <w:pPr>
        <w:pBdr>
          <w:bottom w:val="single" w:color="000000" w:sz="6" w:space="1"/>
        </w:pBdr>
        <w:spacing w:line="360" w:lineRule="auto"/>
        <w:ind w:firstLine="420" w:firstLineChars="200"/>
        <w:rPr>
          <w:rStyle w:val="59"/>
          <w:rFonts w:hint="eastAsia" w:ascii="宋体" w:hAnsi="宋体"/>
          <w:szCs w:val="21"/>
          <w:highlight w:val="none"/>
          <w:u w:val="single"/>
        </w:rPr>
      </w:pPr>
      <w:r>
        <w:rPr>
          <w:rFonts w:hint="eastAsia" w:ascii="宋体" w:hAnsi="宋体" w:cs="宋体"/>
          <w:szCs w:val="21"/>
          <w:highlight w:val="none"/>
        </w:rPr>
        <w:t>40.10评标委员会编写评标报告，向招标人推荐中标候选人名单。</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条款号：41.1          修改类型：修改</w:t>
      </w:r>
    </w:p>
    <w:p>
      <w:pP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原文：</w:t>
      </w:r>
      <w:r>
        <w:rPr>
          <w:rStyle w:val="59"/>
          <w:rFonts w:ascii="宋体" w:hAnsi="宋体"/>
          <w:szCs w:val="21"/>
          <w:highlight w:val="none"/>
        </w:rPr>
        <w:t>41.1开标由招标人主持；</w:t>
      </w:r>
    </w:p>
    <w:p>
      <w:pPr>
        <w:pBdr>
          <w:bottom w:val="single" w:color="000000" w:sz="6" w:space="1"/>
        </w:pBdr>
        <w:spacing w:line="360" w:lineRule="auto"/>
        <w:ind w:firstLine="422" w:firstLineChars="200"/>
        <w:rPr>
          <w:rStyle w:val="59"/>
          <w:rFonts w:hint="eastAsia" w:ascii="宋体" w:hAnsi="宋体"/>
          <w:szCs w:val="21"/>
          <w:highlight w:val="none"/>
          <w:u w:val="single"/>
        </w:rPr>
      </w:pPr>
      <w:r>
        <w:rPr>
          <w:rStyle w:val="59"/>
          <w:rFonts w:ascii="宋体" w:hAnsi="宋体"/>
          <w:b/>
          <w:szCs w:val="21"/>
          <w:highlight w:val="none"/>
        </w:rPr>
        <w:t>现文：</w:t>
      </w:r>
      <w:r>
        <w:rPr>
          <w:rStyle w:val="59"/>
          <w:rFonts w:ascii="宋体" w:hAnsi="宋体"/>
          <w:szCs w:val="21"/>
          <w:highlight w:val="none"/>
        </w:rPr>
        <w:t>41.1</w:t>
      </w:r>
      <w:r>
        <w:rPr>
          <w:rStyle w:val="59"/>
          <w:rFonts w:ascii="宋体" w:hAnsi="宋体"/>
          <w:szCs w:val="21"/>
          <w:highlight w:val="none"/>
          <w:u w:val="single"/>
        </w:rPr>
        <w:t>开标由招标人或招标代理主持；</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条款号：41.2.1          修改类型：修改</w:t>
      </w:r>
    </w:p>
    <w:p>
      <w:pPr>
        <w:spacing w:line="360" w:lineRule="auto"/>
        <w:ind w:firstLine="422" w:firstLineChars="200"/>
        <w:rPr>
          <w:rStyle w:val="59"/>
          <w:rFonts w:hint="eastAsia" w:ascii="宋体" w:hAnsi="宋体"/>
          <w:b/>
          <w:szCs w:val="21"/>
          <w:highlight w:val="none"/>
        </w:rPr>
      </w:pPr>
      <w:r>
        <w:rPr>
          <w:rStyle w:val="59"/>
          <w:rFonts w:ascii="宋体" w:hAnsi="宋体"/>
          <w:b/>
          <w:szCs w:val="21"/>
          <w:highlight w:val="none"/>
        </w:rPr>
        <w:t>原文：</w:t>
      </w:r>
      <w:r>
        <w:rPr>
          <w:rStyle w:val="59"/>
          <w:rFonts w:ascii="宋体" w:hAnsi="宋体"/>
          <w:szCs w:val="21"/>
          <w:highlight w:val="none"/>
        </w:rPr>
        <w:t>41.2.1投标截止期前，各投标人递交投标文件（包括技术标投标文件、经济标投标文件）至</w:t>
      </w:r>
      <w:r>
        <w:rPr>
          <w:rStyle w:val="59"/>
          <w:rFonts w:ascii="宋体" w:hAnsi="宋体"/>
          <w:szCs w:val="21"/>
          <w:highlight w:val="none"/>
          <w:u w:val="single"/>
        </w:rPr>
        <w:t xml:space="preserve">     </w:t>
      </w:r>
      <w:r>
        <w:rPr>
          <w:rStyle w:val="59"/>
          <w:rFonts w:ascii="宋体" w:hAnsi="宋体"/>
          <w:szCs w:val="21"/>
          <w:highlight w:val="none"/>
        </w:rPr>
        <w:t>交易平台。有关投标文件提交的事项详见第一章投标须知。</w:t>
      </w:r>
    </w:p>
    <w:p>
      <w:pPr>
        <w:pBdr>
          <w:bottom w:val="single" w:color="000000" w:sz="6" w:space="1"/>
        </w:pBdr>
        <w:spacing w:line="360" w:lineRule="auto"/>
        <w:ind w:firstLine="422" w:firstLineChars="200"/>
        <w:rPr>
          <w:rStyle w:val="59"/>
          <w:rFonts w:hint="eastAsia" w:ascii="宋体" w:hAnsi="宋体"/>
          <w:szCs w:val="21"/>
          <w:highlight w:val="none"/>
        </w:rPr>
      </w:pPr>
      <w:r>
        <w:rPr>
          <w:rStyle w:val="59"/>
          <w:rFonts w:ascii="宋体" w:hAnsi="宋体"/>
          <w:b/>
          <w:szCs w:val="21"/>
          <w:highlight w:val="none"/>
        </w:rPr>
        <w:t>现文：</w:t>
      </w:r>
      <w:r>
        <w:rPr>
          <w:rStyle w:val="59"/>
          <w:rFonts w:ascii="宋体" w:hAnsi="宋体"/>
          <w:szCs w:val="21"/>
          <w:highlight w:val="none"/>
        </w:rPr>
        <w:t>41.2.1投标截止期前，各投标人递交投标文件（包括技术标投标文件</w:t>
      </w:r>
      <w:r>
        <w:rPr>
          <w:rStyle w:val="59"/>
          <w:rFonts w:hint="eastAsia" w:ascii="宋体" w:hAnsi="宋体"/>
          <w:szCs w:val="21"/>
          <w:highlight w:val="none"/>
          <w:u w:val="single"/>
        </w:rPr>
        <w:t>（含资格审查文件）</w:t>
      </w:r>
      <w:r>
        <w:rPr>
          <w:rStyle w:val="59"/>
          <w:rFonts w:ascii="宋体" w:hAnsi="宋体"/>
          <w:szCs w:val="21"/>
          <w:highlight w:val="none"/>
          <w:u w:val="single"/>
        </w:rPr>
        <w:t>、</w:t>
      </w:r>
      <w:r>
        <w:rPr>
          <w:rStyle w:val="59"/>
          <w:rFonts w:ascii="宋体" w:hAnsi="宋体"/>
          <w:szCs w:val="21"/>
          <w:highlight w:val="none"/>
        </w:rPr>
        <w:t>经济标投标文件）至</w:t>
      </w:r>
      <w:r>
        <w:rPr>
          <w:rFonts w:hint="eastAsia" w:ascii="宋体" w:hAnsi="宋体"/>
          <w:szCs w:val="21"/>
          <w:highlight w:val="none"/>
          <w:u w:val="single"/>
        </w:rPr>
        <w:t>广州交易集团有限公司（广州公共资源交易中心）</w:t>
      </w:r>
      <w:r>
        <w:rPr>
          <w:rStyle w:val="59"/>
          <w:rFonts w:ascii="宋体" w:hAnsi="宋体"/>
          <w:szCs w:val="21"/>
          <w:highlight w:val="none"/>
        </w:rPr>
        <w:t>交易平台。有关投标文件提交的事项详见第一章投标须知。</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条款号：41.</w:t>
      </w:r>
      <w:r>
        <w:rPr>
          <w:rFonts w:ascii="宋体" w:hAnsi="宋体" w:cs="宋体"/>
          <w:b/>
          <w:szCs w:val="21"/>
          <w:highlight w:val="none"/>
        </w:rPr>
        <w:t xml:space="preserve">3          </w:t>
      </w:r>
      <w:r>
        <w:rPr>
          <w:rFonts w:hint="eastAsia" w:ascii="宋体" w:hAnsi="宋体" w:cs="宋体"/>
          <w:b/>
          <w:szCs w:val="21"/>
          <w:highlight w:val="none"/>
        </w:rPr>
        <w:t>修改类型：修改</w:t>
      </w:r>
    </w:p>
    <w:p>
      <w:pPr>
        <w:pBdr>
          <w:bottom w:val="single" w:color="000000" w:sz="6" w:space="1"/>
        </w:pBd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41.3招标人对开标过程进行记录，并存档备查，投标人在技术标开标记录上签字。</w:t>
      </w:r>
    </w:p>
    <w:p>
      <w:pPr>
        <w:pBdr>
          <w:bottom w:val="single" w:color="000000" w:sz="6" w:space="1"/>
        </w:pBdr>
        <w:spacing w:line="360" w:lineRule="auto"/>
        <w:ind w:firstLine="422" w:firstLineChars="200"/>
        <w:rPr>
          <w:rFonts w:hint="eastAsia" w:ascii="宋体" w:hAnsi="宋体" w:cs="宋体"/>
          <w:szCs w:val="21"/>
          <w:highlight w:val="none"/>
          <w:u w:val="single"/>
        </w:rPr>
      </w:pPr>
      <w:r>
        <w:rPr>
          <w:rFonts w:hint="eastAsia" w:ascii="宋体" w:hAnsi="宋体" w:cs="宋体"/>
          <w:b/>
          <w:bCs/>
          <w:szCs w:val="21"/>
          <w:highlight w:val="none"/>
        </w:rPr>
        <w:t>现文：</w:t>
      </w:r>
      <w:r>
        <w:rPr>
          <w:rFonts w:hint="eastAsia" w:ascii="宋体" w:hAnsi="宋体" w:cs="宋体"/>
          <w:szCs w:val="21"/>
          <w:highlight w:val="none"/>
        </w:rPr>
        <w:t>41.</w:t>
      </w:r>
      <w:r>
        <w:rPr>
          <w:rFonts w:ascii="宋体" w:hAnsi="宋体" w:cs="宋体"/>
          <w:szCs w:val="21"/>
          <w:highlight w:val="none"/>
        </w:rPr>
        <w:t>3</w:t>
      </w:r>
      <w:r>
        <w:rPr>
          <w:rFonts w:hint="eastAsia" w:ascii="宋体" w:hAnsi="宋体" w:cs="宋体"/>
          <w:szCs w:val="21"/>
          <w:highlight w:val="none"/>
        </w:rPr>
        <w:t>招标人或招标代理机构</w:t>
      </w:r>
      <w:r>
        <w:rPr>
          <w:rFonts w:hint="eastAsia" w:ascii="宋体" w:hAnsi="宋体" w:cs="宋体"/>
          <w:szCs w:val="21"/>
          <w:highlight w:val="none"/>
          <w:u w:val="single"/>
        </w:rPr>
        <w:t>对开标过程进行记录，并存档备查，参加开标会的投标人在技术标开标记录上签字。</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条款号：</w:t>
      </w:r>
      <w:r>
        <w:rPr>
          <w:rFonts w:ascii="宋体" w:hAnsi="宋体" w:cs="宋体"/>
          <w:b/>
          <w:szCs w:val="21"/>
          <w:highlight w:val="none"/>
        </w:rPr>
        <w:t>42.</w:t>
      </w:r>
      <w:r>
        <w:rPr>
          <w:rFonts w:hint="eastAsia" w:ascii="宋体" w:hAnsi="宋体" w:cs="宋体"/>
          <w:b/>
          <w:szCs w:val="21"/>
          <w:highlight w:val="none"/>
        </w:rPr>
        <w:t>1</w:t>
      </w:r>
      <w:r>
        <w:rPr>
          <w:rFonts w:ascii="宋体" w:hAnsi="宋体" w:cs="宋体"/>
          <w:b/>
          <w:szCs w:val="21"/>
          <w:highlight w:val="none"/>
        </w:rPr>
        <w:t xml:space="preserve">          </w:t>
      </w:r>
      <w:r>
        <w:rPr>
          <w:rFonts w:hint="eastAsia" w:ascii="宋体" w:hAnsi="宋体" w:cs="宋体"/>
          <w:b/>
          <w:szCs w:val="21"/>
          <w:highlight w:val="none"/>
        </w:rPr>
        <w:t>修改类型：修改</w:t>
      </w:r>
    </w:p>
    <w:p>
      <w:pPr>
        <w:spacing w:line="360" w:lineRule="auto"/>
        <w:ind w:firstLine="424" w:firstLineChars="201"/>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42.1评标委员会的组成：方式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2" w:firstLineChars="201"/>
        <w:rPr>
          <w:rFonts w:hint="eastAsia"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pPr>
        <w:spacing w:line="360" w:lineRule="auto"/>
        <w:ind w:firstLine="422" w:firstLineChars="201"/>
        <w:rPr>
          <w:rFonts w:hint="eastAsia" w:ascii="宋体" w:hAnsi="宋体" w:cs="宋体"/>
          <w:szCs w:val="21"/>
          <w:highlight w:val="none"/>
        </w:rPr>
      </w:pPr>
      <w:r>
        <w:rPr>
          <w:rFonts w:hint="eastAsia" w:ascii="宋体" w:hAnsi="宋体" w:cs="宋体"/>
          <w:szCs w:val="21"/>
          <w:highlight w:val="none"/>
        </w:rPr>
        <w:t>方式二：评标委员会由技术评审组和经济评审组组成。其中：资格审查及技术评审由技术评标组负责，经济评审由经济评审组负责。</w:t>
      </w:r>
    </w:p>
    <w:p>
      <w:pPr>
        <w:pBdr>
          <w:bottom w:val="single" w:color="000000" w:sz="6" w:space="1"/>
        </w:pBdr>
        <w:spacing w:line="360" w:lineRule="auto"/>
        <w:ind w:firstLine="422" w:firstLineChars="200"/>
        <w:rPr>
          <w:rFonts w:hint="eastAsia"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42.1评标委员会的组成：方式一：评标委员会为综合评标委员会，负责资格审查及评标工作。</w:t>
      </w:r>
    </w:p>
    <w:p>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lang w:bidi="ar"/>
        </w:rPr>
        <w:t>条款号：42.3.2            修改类型：修改</w:t>
      </w:r>
    </w:p>
    <w:p>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lang w:bidi="ar"/>
        </w:rPr>
        <w:t>原文：</w:t>
      </w:r>
      <w:r>
        <w:rPr>
          <w:rFonts w:hint="eastAsia" w:ascii="宋体" w:hAnsi="宋体" w:cs="宋体"/>
          <w:szCs w:val="21"/>
          <w:highlight w:val="none"/>
          <w:lang w:bidi="ar"/>
        </w:rPr>
        <w:t>42.3.2</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详细审查评分：评标委员会按照本办法附表</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详细审查评分表》对通过技术标有效性审查的投标文件进行详细审查，评出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得分。</w:t>
      </w:r>
    </w:p>
    <w:p>
      <w:pPr>
        <w:pBdr>
          <w:bottom w:val="single" w:color="auto" w:sz="4" w:space="0"/>
        </w:pBdr>
        <w:spacing w:line="360" w:lineRule="auto"/>
        <w:ind w:firstLine="422" w:firstLineChars="200"/>
        <w:rPr>
          <w:rFonts w:hint="eastAsia" w:ascii="宋体" w:hAnsi="宋体" w:cs="宋体"/>
          <w:szCs w:val="21"/>
          <w:highlight w:val="none"/>
          <w:lang w:bidi="ar"/>
        </w:rPr>
      </w:pPr>
      <w:r>
        <w:rPr>
          <w:rFonts w:hint="eastAsia" w:ascii="宋体" w:hAnsi="宋体" w:cs="宋体"/>
          <w:b/>
          <w:szCs w:val="21"/>
          <w:highlight w:val="none"/>
          <w:lang w:bidi="ar"/>
        </w:rPr>
        <w:t>现文：</w:t>
      </w:r>
      <w:r>
        <w:rPr>
          <w:rFonts w:hint="eastAsia" w:ascii="宋体" w:hAnsi="宋体" w:cs="宋体"/>
          <w:szCs w:val="21"/>
          <w:highlight w:val="none"/>
          <w:lang w:bidi="ar"/>
        </w:rPr>
        <w:t>42.3.2</w:t>
      </w:r>
      <w:r>
        <w:rPr>
          <w:rFonts w:hint="eastAsia" w:ascii="宋体" w:hAnsi="宋体" w:cs="宋体"/>
          <w:szCs w:val="21"/>
          <w:highlight w:val="none"/>
          <w:u w:val="single"/>
          <w:lang w:bidi="ar"/>
        </w:rPr>
        <w:t>技术标</w:t>
      </w:r>
      <w:r>
        <w:rPr>
          <w:rFonts w:hint="eastAsia" w:ascii="宋体" w:hAnsi="宋体" w:cs="宋体"/>
          <w:szCs w:val="21"/>
          <w:highlight w:val="none"/>
          <w:lang w:bidi="ar"/>
        </w:rPr>
        <w:t>详细审查评分：评标委员会按照本办法</w:t>
      </w:r>
      <w:r>
        <w:rPr>
          <w:rFonts w:hint="eastAsia" w:ascii="宋体" w:hAnsi="宋体" w:cs="宋体"/>
          <w:szCs w:val="21"/>
          <w:highlight w:val="none"/>
          <w:u w:val="single"/>
          <w:lang w:bidi="ar"/>
        </w:rPr>
        <w:t>附表四</w:t>
      </w:r>
      <w:r>
        <w:rPr>
          <w:rFonts w:hint="eastAsia" w:ascii="宋体" w:hAnsi="宋体" w:cs="宋体"/>
          <w:szCs w:val="21"/>
          <w:highlight w:val="none"/>
          <w:lang w:bidi="ar"/>
        </w:rPr>
        <w:t>《</w:t>
      </w:r>
      <w:r>
        <w:rPr>
          <w:rFonts w:hint="eastAsia" w:ascii="宋体" w:hAnsi="宋体" w:cs="宋体"/>
          <w:szCs w:val="21"/>
          <w:highlight w:val="none"/>
          <w:u w:val="single"/>
          <w:lang w:bidi="ar"/>
        </w:rPr>
        <w:t>技术标</w:t>
      </w:r>
      <w:r>
        <w:rPr>
          <w:rFonts w:hint="eastAsia" w:ascii="宋体" w:hAnsi="宋体" w:cs="宋体"/>
          <w:szCs w:val="21"/>
          <w:highlight w:val="none"/>
          <w:lang w:bidi="ar"/>
        </w:rPr>
        <w:t>详细审查评分表》对通过技术标有效性审查的投标文件进行详细审查，评出</w:t>
      </w:r>
      <w:r>
        <w:rPr>
          <w:rFonts w:hint="eastAsia" w:ascii="宋体" w:hAnsi="宋体" w:cs="宋体"/>
          <w:szCs w:val="21"/>
          <w:highlight w:val="none"/>
          <w:u w:val="single"/>
          <w:lang w:bidi="ar"/>
        </w:rPr>
        <w:t>技术标</w:t>
      </w:r>
      <w:r>
        <w:rPr>
          <w:rFonts w:hint="eastAsia" w:ascii="宋体" w:hAnsi="宋体" w:cs="宋体"/>
          <w:szCs w:val="21"/>
          <w:highlight w:val="none"/>
          <w:lang w:bidi="ar"/>
        </w:rPr>
        <w:t>得分。</w:t>
      </w:r>
    </w:p>
    <w:p>
      <w:pPr>
        <w:spacing w:line="480" w:lineRule="auto"/>
        <w:ind w:firstLine="472" w:firstLineChars="224"/>
        <w:rPr>
          <w:rFonts w:hint="eastAsia" w:ascii="宋体" w:hAnsi="宋体" w:cs="宋体"/>
          <w:b/>
          <w:szCs w:val="21"/>
          <w:highlight w:val="none"/>
        </w:rPr>
      </w:pPr>
      <w:r>
        <w:rPr>
          <w:rFonts w:hint="eastAsia" w:ascii="宋体" w:hAnsi="宋体" w:cs="宋体"/>
          <w:b/>
          <w:szCs w:val="21"/>
          <w:highlight w:val="none"/>
        </w:rPr>
        <w:t>条款号：42.3.4             修改类型：修改</w:t>
      </w:r>
    </w:p>
    <w:p>
      <w:pPr>
        <w:spacing w:line="360" w:lineRule="auto"/>
        <w:ind w:firstLine="527" w:firstLineChars="25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评标委员会按照“第一阶段得分=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527" w:firstLineChars="250"/>
        <w:jc w:val="left"/>
        <w:rPr>
          <w:rFonts w:hint="eastAsia" w:ascii="宋体" w:hAnsi="宋体" w:cs="宋体"/>
          <w:szCs w:val="21"/>
          <w:highlight w:val="none"/>
        </w:rPr>
      </w:pPr>
      <w:r>
        <w:rPr>
          <w:rFonts w:hint="eastAsia" w:ascii="宋体" w:hAnsi="宋体" w:cs="宋体"/>
          <w:b/>
          <w:bCs/>
          <w:szCs w:val="21"/>
          <w:highlight w:val="none"/>
        </w:rPr>
        <w:t>现文：</w:t>
      </w:r>
      <w:r>
        <w:rPr>
          <w:rFonts w:hint="eastAsia" w:ascii="宋体" w:hAnsi="宋体" w:cs="宋体"/>
          <w:szCs w:val="21"/>
          <w:highlight w:val="none"/>
        </w:rPr>
        <w:t>评标委员会按照“第一阶段得分=</w:t>
      </w:r>
      <w:bookmarkStart w:id="13" w:name="OLE_LINK1"/>
      <w:r>
        <w:rPr>
          <w:rFonts w:hint="eastAsia" w:ascii="宋体" w:hAnsi="宋体" w:cs="宋体"/>
          <w:b/>
          <w:bCs/>
          <w:szCs w:val="21"/>
          <w:highlight w:val="none"/>
          <w:u w:val="single"/>
        </w:rPr>
        <w:t>技术标得分（技术分权重为100%）</w:t>
      </w:r>
      <w:bookmarkEnd w:id="13"/>
      <w:r>
        <w:rPr>
          <w:rFonts w:hint="eastAsia" w:ascii="宋体" w:hAnsi="宋体" w:cs="宋体"/>
          <w:szCs w:val="21"/>
          <w:highlight w:val="none"/>
          <w:u w:val="single"/>
        </w:rPr>
        <w:t>”</w:t>
      </w:r>
      <w:r>
        <w:rPr>
          <w:rFonts w:hint="eastAsia" w:ascii="宋体" w:hAnsi="宋体" w:cs="宋体"/>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top w:val="single" w:color="auto" w:sz="4" w:space="0"/>
        </w:pBdr>
        <w:spacing w:line="480" w:lineRule="auto"/>
        <w:ind w:firstLine="472" w:firstLineChars="224"/>
        <w:rPr>
          <w:rFonts w:hint="eastAsia" w:ascii="宋体" w:hAnsi="宋体" w:cs="宋体"/>
          <w:b/>
          <w:szCs w:val="21"/>
          <w:highlight w:val="none"/>
        </w:rPr>
      </w:pPr>
      <w:r>
        <w:rPr>
          <w:rFonts w:hint="eastAsia" w:ascii="宋体" w:hAnsi="宋体" w:cs="宋体"/>
          <w:b/>
          <w:szCs w:val="21"/>
          <w:highlight w:val="none"/>
        </w:rPr>
        <w:t>条款号：42.4.2             修改类型：修改</w:t>
      </w:r>
    </w:p>
    <w:p>
      <w:pPr>
        <w:spacing w:line="360" w:lineRule="auto"/>
        <w:ind w:firstLine="422" w:firstLineChars="200"/>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42.4.2第二阶段评审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42.4.3投标文件经济标的评分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区间抽取法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评标参考价</w:t>
      </w:r>
      <w:r>
        <w:rPr>
          <w:rFonts w:ascii="宋体" w:hAnsi="宋体" w:cs="宋体"/>
          <w:szCs w:val="21"/>
          <w:highlight w:val="none"/>
        </w:rPr>
        <w:t>=（Q高-Q低）/100*Ｘ+Q低</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Q低：为达到或超过技术标及格分数线的投标人最低报价与工程成本警示价两者中的较高值；</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Q高：为（最高投标限价*D%）（D的取值范围为[94,100],由招标人自定）</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 xml:space="preserve">    X:为等分点值，</w:t>
      </w:r>
      <w:r>
        <w:rPr>
          <w:rFonts w:hint="eastAsia" w:ascii="宋体" w:hAnsi="宋体" w:cs="宋体"/>
          <w:szCs w:val="21"/>
          <w:highlight w:val="none"/>
        </w:rPr>
        <w:t>在开标前从</w:t>
      </w:r>
      <w:r>
        <w:rPr>
          <w:rFonts w:ascii="宋体" w:hAnsi="宋体" w:cs="宋体"/>
          <w:szCs w:val="21"/>
          <w:highlight w:val="none"/>
        </w:rPr>
        <w:t>[0,100]整数中随机抽取</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42.4.3.2当标价等于评标参考价时得100分，标价每高于评标参考价1%，扣1.5分，每低于评标参考价1%，扣1分，扣至0分为止，得出经济分，精确到小数点后两位。</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现文</w:t>
      </w:r>
      <w:r>
        <w:rPr>
          <w:rFonts w:hint="eastAsia" w:ascii="宋体" w:hAnsi="宋体" w:cs="宋体"/>
          <w:szCs w:val="21"/>
          <w:highlight w:val="none"/>
        </w:rPr>
        <w:t>：42.4.2第二阶段评审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42.4.1评标委员会技术评标组按照投标须知前附表第25项规定，确定进入第二阶段评审的投标人。若投标人得分相同的，则名次并列，占用名次。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42.4.2投标文件经济标的评分，评标委员会经济评标组按以下标准计算评标参考价及经济标评分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42.4.2.1计算评标参考价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区间抽取法：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设立入围合格分数线（第一阶段得分80分），达到或超过及格线且进入第二阶段评审的投标人的报价方能参与评标参考价的计算。将达到或超过及格分数线的投标报价由低至高进行排列，按以下公式计算评标参考价，计算公式如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评标参考价=（Q高-Q低）/100*Ｘ+Q低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Q低：为达到或超过及格分数线的投标人最低报价与工程成本警示价两者中的较高值；如投标人均没有达到入围合格分数线的，则Q低为工程成本警示价。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Q高：为最高投标限价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X：为等分点值，在开标前从[0,100]整数中随机抽取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42.4.2.2当标价等于评标参考价时得100分，标价每高于评标参考价1%，扣1.5分，每低于评标参考价1%，扣1分，扣至0分为止，得出经济分，精确到小数点后两位。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0"/>
        <w:rPr>
          <w:rFonts w:hint="eastAsia" w:ascii="宋体" w:hAnsi="宋体" w:cs="宋体"/>
          <w:szCs w:val="21"/>
          <w:highlight w:val="none"/>
          <w:u w:val="single"/>
        </w:rPr>
      </w:pPr>
      <w:r>
        <w:rPr>
          <w:rFonts w:hint="eastAsia" w:ascii="宋体" w:hAnsi="宋体" w:cs="宋体"/>
          <w:b/>
          <w:szCs w:val="21"/>
          <w:highlight w:val="none"/>
          <w:lang w:bidi="ar"/>
        </w:rPr>
        <w:t>条款号： 42.4.4          修改类型：修改</w:t>
      </w:r>
      <w:r>
        <w:rPr>
          <w:rFonts w:hint="eastAsia" w:ascii="宋体" w:hAnsi="宋体" w:cs="宋体"/>
          <w:b/>
          <w:szCs w:val="21"/>
          <w:highlight w:val="none"/>
          <w:lang w:bidi="ar"/>
        </w:rPr>
        <w:br w:type="textWrapping"/>
      </w:r>
      <w:r>
        <w:rPr>
          <w:rFonts w:hint="eastAsia" w:ascii="宋体" w:hAnsi="宋体" w:cs="宋体"/>
          <w:b/>
          <w:szCs w:val="21"/>
          <w:highlight w:val="none"/>
          <w:lang w:bidi="ar"/>
        </w:rPr>
        <w:t xml:space="preserve">    原文：</w:t>
      </w:r>
      <w:r>
        <w:rPr>
          <w:rFonts w:hint="eastAsia" w:ascii="宋体" w:hAnsi="宋体" w:cs="宋体"/>
          <w:szCs w:val="21"/>
          <w:highlight w:val="none"/>
          <w:lang w:bidi="ar"/>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宋体"/>
          <w:szCs w:val="21"/>
          <w:highlight w:val="none"/>
          <w:lang w:bidi="ar"/>
        </w:rPr>
        <w:br w:type="textWrapping"/>
      </w:r>
      <w:r>
        <w:rPr>
          <w:rFonts w:hint="eastAsia" w:ascii="宋体" w:hAnsi="宋体" w:cs="宋体"/>
          <w:szCs w:val="21"/>
          <w:highlight w:val="none"/>
          <w:lang w:bidi="ar"/>
        </w:rPr>
        <w:t xml:space="preserve">    </w:t>
      </w:r>
      <w:r>
        <w:rPr>
          <w:rFonts w:hint="eastAsia" w:ascii="宋体" w:hAnsi="宋体" w:cs="宋体"/>
          <w:b/>
          <w:szCs w:val="21"/>
          <w:highlight w:val="none"/>
          <w:lang w:bidi="ar"/>
        </w:rPr>
        <w:t>现文：</w:t>
      </w:r>
      <w:r>
        <w:rPr>
          <w:rFonts w:hint="eastAsia" w:ascii="宋体" w:hAnsi="宋体" w:cs="宋体"/>
          <w:szCs w:val="21"/>
          <w:highlight w:val="none"/>
          <w:lang w:bidi="ar"/>
        </w:rPr>
        <w:t>42.4.4经济标的有效性审查：</w:t>
      </w:r>
      <w:r>
        <w:rPr>
          <w:rFonts w:hint="eastAsia" w:ascii="宋体" w:hAnsi="宋体" w:cs="宋体"/>
          <w:szCs w:val="21"/>
          <w:highlight w:val="none"/>
          <w:u w:val="single"/>
          <w:lang w:bidi="ar"/>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Cs/>
          <w:szCs w:val="21"/>
          <w:highlight w:val="none"/>
          <w:u w:val="single"/>
          <w:lang w:bidi="ar"/>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70" w:firstLineChars="223"/>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42.4.5.8</w:t>
      </w:r>
      <w:r>
        <w:rPr>
          <w:rFonts w:hint="eastAsia" w:ascii="宋体" w:hAnsi="宋体" w:cs="宋体"/>
          <w:szCs w:val="21"/>
          <w:highlight w:val="none"/>
          <w:lang w:bidi="ar"/>
        </w:rPr>
        <w:t>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pacing w:line="360" w:lineRule="auto"/>
        <w:ind w:firstLine="470" w:firstLineChars="223"/>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42.4.5.8</w:t>
      </w:r>
      <w:r>
        <w:rPr>
          <w:rFonts w:hint="eastAsia" w:ascii="宋体" w:hAnsi="宋体" w:cs="宋体"/>
          <w:szCs w:val="21"/>
          <w:highlight w:val="none"/>
          <w:u w:val="single"/>
          <w:lang w:bidi="ar"/>
        </w:rPr>
        <w:t>按上述修正错误的原则及方法调整或修正投标文件的投标报价，调整后的投标报价对投标人起约束作用。如果投标人不接受修正后的报价，则取消其投标资格。</w:t>
      </w:r>
    </w:p>
    <w:p>
      <w:pPr>
        <w:spacing w:line="480" w:lineRule="auto"/>
        <w:ind w:firstLine="472" w:firstLineChars="224"/>
        <w:rPr>
          <w:rFonts w:hint="eastAsia" w:ascii="宋体" w:hAnsi="宋体" w:cs="宋体"/>
          <w:b/>
          <w:szCs w:val="21"/>
          <w:highlight w:val="none"/>
        </w:rPr>
      </w:pPr>
      <w:r>
        <w:rPr>
          <w:rFonts w:hint="eastAsia" w:ascii="宋体" w:hAnsi="宋体" w:cs="宋体"/>
          <w:b/>
          <w:szCs w:val="21"/>
          <w:highlight w:val="none"/>
        </w:rPr>
        <w:t>条款号：附表一 《资格审查表》             修改类型：修改</w:t>
      </w:r>
    </w:p>
    <w:p>
      <w:pPr>
        <w:spacing w:line="360" w:lineRule="auto"/>
        <w:ind w:firstLine="470" w:firstLineChars="223"/>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见范本</w:t>
      </w:r>
    </w:p>
    <w:p>
      <w:pPr>
        <w:pBdr>
          <w:bottom w:val="single" w:color="auto" w:sz="6" w:space="1"/>
        </w:pBdr>
        <w:spacing w:line="360" w:lineRule="auto"/>
        <w:ind w:firstLine="470" w:firstLineChars="223"/>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见后附（现文：附表一《资格审查表》）</w:t>
      </w:r>
    </w:p>
    <w:p>
      <w:pPr>
        <w:spacing w:line="480" w:lineRule="auto"/>
        <w:ind w:firstLine="472" w:firstLineChars="224"/>
        <w:rPr>
          <w:rFonts w:hint="eastAsia" w:ascii="宋体" w:hAnsi="宋体" w:cs="宋体"/>
          <w:b/>
          <w:szCs w:val="21"/>
          <w:highlight w:val="none"/>
        </w:rPr>
      </w:pPr>
      <w:r>
        <w:rPr>
          <w:rFonts w:hint="eastAsia" w:ascii="宋体" w:hAnsi="宋体" w:cs="宋体"/>
          <w:b/>
          <w:szCs w:val="21"/>
          <w:highlight w:val="none"/>
        </w:rPr>
        <w:t>条款号：附表二 《技术标有效性审查表》     修改类型：修改</w:t>
      </w:r>
    </w:p>
    <w:p>
      <w:pPr>
        <w:pBdr>
          <w:bottom w:val="single" w:color="auto" w:sz="6" w:space="1"/>
        </w:pBdr>
        <w:spacing w:line="360" w:lineRule="auto"/>
        <w:ind w:firstLine="470" w:firstLineChars="223"/>
        <w:rPr>
          <w:rFonts w:hint="eastAsia"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见范本</w:t>
      </w:r>
    </w:p>
    <w:p>
      <w:pPr>
        <w:pBdr>
          <w:bottom w:val="single" w:color="auto" w:sz="6" w:space="1"/>
        </w:pBdr>
        <w:spacing w:line="360" w:lineRule="auto"/>
        <w:ind w:firstLine="470" w:firstLineChars="223"/>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见后附（现文：附表二《技术标有效性审查表》）</w:t>
      </w:r>
    </w:p>
    <w:p>
      <w:pPr>
        <w:spacing w:line="480" w:lineRule="auto"/>
        <w:ind w:firstLine="472" w:firstLineChars="224"/>
        <w:rPr>
          <w:rFonts w:hint="eastAsia" w:ascii="宋体" w:hAnsi="宋体" w:cs="宋体"/>
          <w:b/>
          <w:szCs w:val="21"/>
          <w:highlight w:val="none"/>
        </w:rPr>
      </w:pPr>
      <w:r>
        <w:rPr>
          <w:rFonts w:hint="eastAsia" w:ascii="宋体" w:hAnsi="宋体" w:cs="宋体"/>
          <w:b/>
          <w:szCs w:val="21"/>
          <w:highlight w:val="none"/>
        </w:rPr>
        <w:t>条款号：附表三 《经济标有效性审查表》     修改类型：修改</w:t>
      </w:r>
    </w:p>
    <w:p>
      <w:pPr>
        <w:spacing w:line="360" w:lineRule="auto"/>
        <w:ind w:firstLine="470" w:firstLineChars="223"/>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见范本</w:t>
      </w:r>
    </w:p>
    <w:p>
      <w:pPr>
        <w:pBdr>
          <w:bottom w:val="single" w:color="auto" w:sz="6" w:space="1"/>
        </w:pBdr>
        <w:spacing w:line="360" w:lineRule="auto"/>
        <w:ind w:firstLine="470" w:firstLineChars="223"/>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见后附（现文：附表三《经济标有效性审查表》）</w:t>
      </w:r>
    </w:p>
    <w:p>
      <w:pPr>
        <w:spacing w:line="480" w:lineRule="auto"/>
        <w:ind w:firstLine="472" w:firstLineChars="224"/>
        <w:rPr>
          <w:rFonts w:hint="eastAsia" w:ascii="宋体" w:hAnsi="宋体" w:cs="宋体"/>
          <w:b/>
          <w:szCs w:val="21"/>
          <w:highlight w:val="none"/>
        </w:rPr>
      </w:pPr>
      <w:r>
        <w:rPr>
          <w:rFonts w:hint="eastAsia" w:ascii="宋体" w:hAnsi="宋体" w:cs="宋体"/>
          <w:b/>
          <w:szCs w:val="21"/>
          <w:highlight w:val="none"/>
        </w:rPr>
        <w:t>条款号：附表四《技术标详细审查评分表》    修改类型：修改</w:t>
      </w:r>
    </w:p>
    <w:p>
      <w:pPr>
        <w:spacing w:line="360" w:lineRule="auto"/>
        <w:ind w:firstLine="474" w:firstLineChars="225"/>
        <w:rPr>
          <w:rFonts w:hint="eastAsia"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见范本</w:t>
      </w:r>
    </w:p>
    <w:p>
      <w:pPr>
        <w:pBdr>
          <w:bottom w:val="single" w:color="auto" w:sz="6" w:space="1"/>
        </w:pBdr>
        <w:spacing w:line="360" w:lineRule="auto"/>
        <w:ind w:firstLine="474" w:firstLineChars="225"/>
        <w:rPr>
          <w:rFonts w:hint="eastAsia"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见后附（现文：附表四《技术标详细审查评分表》）</w:t>
      </w:r>
    </w:p>
    <w:p>
      <w:pPr>
        <w:spacing w:line="360" w:lineRule="auto"/>
        <w:ind w:firstLine="211" w:firstLineChars="100"/>
        <w:rPr>
          <w:rFonts w:hint="eastAsia" w:ascii="宋体" w:hAnsi="宋体" w:cs="宋体"/>
          <w:b/>
          <w:szCs w:val="21"/>
          <w:highlight w:val="none"/>
        </w:rPr>
      </w:pPr>
      <w:r>
        <w:rPr>
          <w:rFonts w:hint="eastAsia" w:ascii="宋体" w:hAnsi="宋体" w:cs="宋体"/>
          <w:b/>
          <w:szCs w:val="21"/>
          <w:highlight w:val="none"/>
        </w:rPr>
        <w:t>注：以上修改，仅限于本范本中有可供选择条款的情形。</w:t>
      </w:r>
    </w:p>
    <w:p>
      <w:pPr>
        <w:pStyle w:val="151"/>
        <w:spacing w:line="360" w:lineRule="auto"/>
        <w:outlineLvl w:val="1"/>
        <w:rPr>
          <w:rStyle w:val="59"/>
          <w:rFonts w:hint="eastAsia" w:ascii="宋体" w:hAnsi="宋体"/>
          <w:b/>
          <w:color w:val="auto"/>
          <w:highlight w:val="none"/>
        </w:rPr>
      </w:pPr>
      <w:bookmarkStart w:id="14" w:name="_Toc105014631"/>
      <w:r>
        <w:rPr>
          <w:rStyle w:val="59"/>
          <w:rFonts w:ascii="宋体" w:hAnsi="宋体"/>
          <w:b/>
          <w:color w:val="auto"/>
          <w:highlight w:val="none"/>
        </w:rPr>
        <w:br w:type="page"/>
      </w:r>
      <w:r>
        <w:rPr>
          <w:rStyle w:val="59"/>
          <w:rFonts w:ascii="宋体" w:hAnsi="宋体"/>
          <w:b/>
          <w:color w:val="auto"/>
          <w:highlight w:val="none"/>
        </w:rPr>
        <w:t>二、开标、评标及定标办法通用条款</w:t>
      </w:r>
      <w:bookmarkEnd w:id="14"/>
    </w:p>
    <w:p>
      <w:pPr>
        <w:pStyle w:val="6"/>
        <w:spacing w:before="156" w:beforeAutospacing="0" w:after="156" w:afterAutospacing="0" w:line="360" w:lineRule="auto"/>
        <w:ind w:firstLine="422" w:firstLineChars="200"/>
        <w:rPr>
          <w:rFonts w:hint="eastAsia"/>
          <w:b/>
          <w:bCs/>
          <w:sz w:val="21"/>
          <w:szCs w:val="21"/>
          <w:highlight w:val="none"/>
        </w:rPr>
      </w:pPr>
      <w:bookmarkStart w:id="15" w:name="_Toc21525501"/>
      <w:bookmarkEnd w:id="15"/>
      <w:bookmarkStart w:id="16" w:name="_Toc105014632"/>
      <w:bookmarkStart w:id="17" w:name="_Toc2272557"/>
      <w:r>
        <w:rPr>
          <w:rFonts w:hint="eastAsia"/>
          <w:b/>
          <w:bCs/>
          <w:sz w:val="21"/>
          <w:szCs w:val="21"/>
          <w:highlight w:val="none"/>
        </w:rPr>
        <w:t>（一）总则</w:t>
      </w:r>
      <w:bookmarkEnd w:id="16"/>
      <w:bookmarkEnd w:id="17"/>
    </w:p>
    <w:p>
      <w:pPr>
        <w:spacing w:line="360" w:lineRule="auto"/>
        <w:ind w:firstLine="422" w:firstLineChars="200"/>
        <w:rPr>
          <w:rFonts w:hint="eastAsia" w:ascii="宋体" w:hAnsi="宋体"/>
          <w:b/>
          <w:bCs/>
          <w:szCs w:val="21"/>
          <w:highlight w:val="none"/>
        </w:rPr>
      </w:pPr>
      <w:r>
        <w:rPr>
          <w:rFonts w:ascii="宋体" w:hAnsi="宋体"/>
          <w:b/>
          <w:bCs/>
          <w:szCs w:val="21"/>
          <w:highlight w:val="none"/>
        </w:rPr>
        <w:t>35.</w:t>
      </w:r>
      <w:r>
        <w:rPr>
          <w:rFonts w:hint="eastAsia" w:ascii="宋体" w:hAnsi="宋体"/>
          <w:b/>
          <w:bCs/>
          <w:szCs w:val="21"/>
          <w:highlight w:val="none"/>
        </w:rPr>
        <w:t>开标、评标及定标所依据的规则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35.1《中华人民共和国招标投标法》；</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35.2《中华人民共和国招标投标法实施条例》；</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35.3《评标委员会和评标方法暂行规定》（七部委第12号令）；</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35.4《工程建设项目施工招标投标办法》（七部委2003年第30号令）；</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35.5《广东省实施〈中华人民共和国招标投标法〉办法》；</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35.6《房屋建筑和市政基础设施工程施工招标投标管理办法》（建设部令第89号）；</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35.7《财政部工业和信息化部关于印发〈政府采购促进中小企业发展管理办法〉的通知》（财库〔</w:t>
      </w:r>
      <w:r>
        <w:rPr>
          <w:rFonts w:ascii="宋体" w:hAnsi="宋体"/>
          <w:szCs w:val="21"/>
          <w:highlight w:val="none"/>
        </w:rPr>
        <w:t>2020</w:t>
      </w:r>
      <w:r>
        <w:rPr>
          <w:rFonts w:hint="eastAsia" w:ascii="宋体" w:hAnsi="宋体"/>
          <w:szCs w:val="21"/>
          <w:highlight w:val="none"/>
        </w:rPr>
        <w:t>〕</w:t>
      </w:r>
      <w:r>
        <w:rPr>
          <w:rFonts w:ascii="宋体" w:hAnsi="宋体"/>
          <w:szCs w:val="21"/>
          <w:highlight w:val="none"/>
        </w:rPr>
        <w:t>46</w:t>
      </w:r>
      <w:r>
        <w:rPr>
          <w:rFonts w:hint="eastAsia" w:ascii="宋体" w:hAnsi="宋体"/>
          <w:szCs w:val="21"/>
          <w:highlight w:val="none"/>
        </w:rPr>
        <w:t>号）；</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35.8《广东省加强建设工程招标投标监督管理的若干规定》（粤发[2004]4号）；</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35.9《广东省政府采购促进中小企业发展实施细则（试行）》；</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35.10《广州市工程建设项目招标投标管理办法》（穗府办规〔2023〕12号）；</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35.12本项目招标文件。</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3</w:t>
      </w:r>
      <w:r>
        <w:rPr>
          <w:rFonts w:ascii="宋体" w:hAnsi="宋体"/>
          <w:b/>
          <w:bCs/>
          <w:szCs w:val="21"/>
          <w:highlight w:val="none"/>
        </w:rPr>
        <w:t>6.</w:t>
      </w:r>
      <w:r>
        <w:rPr>
          <w:rFonts w:hint="eastAsia" w:ascii="宋体" w:hAnsi="宋体"/>
          <w:b/>
          <w:bCs/>
          <w:szCs w:val="21"/>
          <w:highlight w:val="none"/>
        </w:rPr>
        <w:t>开标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36.2 招标人在招标文件要求提交投标文件的截止时间前收到的投标文件，开标时都当众予以解密、公布。</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36.4若递交投标文件的投标人不足3家，则重新组织招标。（当N个标段同时招标且不允许兼中时，若有效投标人不足N+2家，则重新组织招标）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36.5按下列程序进行开标：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36.5.1在投标截止时间后一个小时内，投标人通过</w:t>
      </w:r>
      <w:r>
        <w:rPr>
          <w:rFonts w:ascii="宋体" w:hAnsi="宋体"/>
          <w:szCs w:val="21"/>
          <w:highlight w:val="none"/>
          <w:u w:val="single"/>
        </w:rPr>
        <w:t xml:space="preserve">        </w:t>
      </w:r>
      <w:r>
        <w:rPr>
          <w:rFonts w:hint="eastAsia" w:ascii="宋体" w:hAnsi="宋体"/>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36.5.2备用光盘的读取按投标须知前附表第36项的规定执行；</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36.5.3投标人代表、招标人代表、监标人、记录人等有关人员在开标记录上签字确认；若有关人员不签字的，不影响开标程序；</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36.5.4开标结束。</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36.7开标时，本项目两个（含两个）以上的投标人加密打包投标文件电脑机器特征码一致的，不参与下一程序，并由评标委员会否决其投标。</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37．评标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37.1评标委员会由招标人依法组建。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37.2评标委员会在开始评标前，应了解评标专家的职责及守则，认真阅读附件1《评标委员会成员声明》的内容并签名，签字后方可进行评标；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37.3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37.4评标结束后，评标委员会递交评标报告并依法推荐中标候选人。</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38．投标文件的澄清</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38.3 评标委员会或评标委员会专业评审组成员均应当阅读投标人的澄清，但应独立参考澄清对投标文件进行评审。</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39．定标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39.1 招标人根据评标委员会递交的评标报告，最终审定中标人。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39.2 依法必须进行公开招标的项目，招标人应当确定排名第一的中标候选人为中标人。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39.5 重新评标的，评标信息（含业绩、奖项等）仍以投标截止时投标人的信息为准。因特殊原因需要延长投标有效期，投标人拒绝延长投标有效期的，仍参与评标，但不被推荐为中标候选人。</w:t>
      </w:r>
      <w:bookmarkStart w:id="18" w:name="_Toc2272558"/>
      <w:bookmarkEnd w:id="18"/>
      <w:bookmarkStart w:id="19" w:name="_Toc21525502"/>
      <w:bookmarkStart w:id="20" w:name="_Toc105014633"/>
    </w:p>
    <w:p>
      <w:pPr>
        <w:spacing w:line="360" w:lineRule="auto"/>
        <w:ind w:firstLine="422" w:firstLineChars="200"/>
        <w:rPr>
          <w:rFonts w:hint="eastAsia" w:ascii="宋体" w:hAnsi="宋体"/>
          <w:szCs w:val="21"/>
          <w:highlight w:val="none"/>
        </w:rPr>
      </w:pPr>
      <w:r>
        <w:rPr>
          <w:rFonts w:hint="eastAsia"/>
          <w:b/>
          <w:bCs/>
          <w:szCs w:val="21"/>
          <w:highlight w:val="none"/>
        </w:rPr>
        <w:t>（二）开标评标办法程序和细则</w:t>
      </w:r>
      <w:bookmarkEnd w:id="19"/>
      <w:bookmarkEnd w:id="20"/>
    </w:p>
    <w:p>
      <w:pPr>
        <w:spacing w:line="360" w:lineRule="auto"/>
        <w:ind w:firstLine="420" w:firstLineChars="200"/>
        <w:rPr>
          <w:rFonts w:hint="eastAsia" w:ascii="宋体" w:hAnsi="宋体"/>
          <w:szCs w:val="21"/>
          <w:highlight w:val="none"/>
        </w:rPr>
      </w:pPr>
      <w:r>
        <w:rPr>
          <w:rFonts w:hint="eastAsia" w:ascii="宋体" w:hAnsi="宋体"/>
          <w:strike/>
          <w:szCs w:val="21"/>
          <w:highlight w:val="none"/>
        </w:rPr>
        <w:t>注：以下八种评标办法所述企业综合诚信评价分数即投标截止当日广州市工程招标代理行业协会网站上公布的企业综合诚信评价60日诚信分。</w:t>
      </w:r>
      <w:bookmarkStart w:id="21" w:name="_Toc2272563"/>
      <w:bookmarkEnd w:id="21"/>
      <w:bookmarkStart w:id="22" w:name="_Toc2272559"/>
      <w:bookmarkEnd w:id="22"/>
      <w:bookmarkStart w:id="23" w:name="_Toc100130481"/>
      <w:bookmarkStart w:id="24" w:name="_Toc71617140"/>
    </w:p>
    <w:p>
      <w:pPr>
        <w:spacing w:line="360" w:lineRule="auto"/>
        <w:ind w:firstLine="420" w:firstLineChars="200"/>
        <w:rPr>
          <w:rFonts w:hint="eastAsia" w:ascii="宋体" w:hAnsi="宋体"/>
          <w:szCs w:val="21"/>
          <w:highlight w:val="none"/>
        </w:rPr>
      </w:pPr>
      <w:r>
        <w:rPr>
          <w:rFonts w:hint="eastAsia" w:ascii="宋体" w:hAnsi="宋体"/>
          <w:szCs w:val="21"/>
          <w:highlight w:val="none"/>
        </w:rPr>
        <w:t>可选办法六（适合综合评分法三，技术标与经济标同时开启）</w:t>
      </w:r>
    </w:p>
    <w:p>
      <w:pPr>
        <w:ind w:firstLine="422"/>
        <w:rPr>
          <w:rFonts w:hint="eastAsia" w:ascii="宋体" w:hAnsi="宋体"/>
          <w:b/>
          <w:bCs/>
          <w:szCs w:val="21"/>
          <w:highlight w:val="none"/>
        </w:rPr>
      </w:pPr>
      <w:r>
        <w:rPr>
          <w:rFonts w:hint="eastAsia" w:ascii="宋体" w:hAnsi="宋体"/>
          <w:b/>
          <w:bCs/>
          <w:szCs w:val="21"/>
          <w:highlight w:val="none"/>
        </w:rPr>
        <w:t>40．开标和评标程序：</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40.1投标人递交技术标、经济标投标文件；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40.2技术标与经济标投标文件同时公开开标；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40.3由评标委员会对所有已公开开标的投标人进行资格审查；</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40.4技术标投标文件有效性审查；</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40.5技术标详细审查评分；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40.6计算第一阶段得分，并按照总分从高到低排列先后次序，编写第一阶段评审报告；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40.7按投标须知前附表第25项规定，确定进入第二阶段评审的投标人；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40.8将进入第二阶段评审的投标人进行排序；</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40.9按排序对经济标投标文件进行有效性审查（含投标报价算术校核），直至评出所有中标候选人；</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40.10评标委员会编写评标报告，向招标人推荐中标候选人名单。</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41. 开标细则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41.1开标由招标人主持；</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41.2细则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41.2.1投标截止期前，各投标人递交投标文件（包括技术标投标文件、经济标投标文件）至</w:t>
      </w:r>
      <w:r>
        <w:rPr>
          <w:szCs w:val="21"/>
          <w:highlight w:val="none"/>
          <w:u w:val="single"/>
        </w:rPr>
        <w:t xml:space="preserve">        </w:t>
      </w:r>
      <w:r>
        <w:rPr>
          <w:rFonts w:hint="eastAsia" w:ascii="宋体" w:hAnsi="宋体"/>
          <w:szCs w:val="21"/>
          <w:highlight w:val="none"/>
        </w:rPr>
        <w:t xml:space="preserve">交易平台。有关投标文件提交的事项详见第一章投标须知。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41.3按36.5.1的规定完成解密后，公布下列内容，并予以记录，记录提交评标委员会评审：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41.4招标人对开标过程进行记录，并存档备查，投标人在开标记录上签字。</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41.5 招标人将上述符合要求的投标文件，送至评标委员会进行评审。</w:t>
      </w:r>
    </w:p>
    <w:p>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42. 评标细则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42.1评标委员会的组成：方式</w:t>
      </w:r>
      <w:r>
        <w:rPr>
          <w:rFonts w:hint="eastAsia" w:ascii="宋体" w:hAnsi="宋体"/>
          <w:szCs w:val="21"/>
          <w:highlight w:val="none"/>
          <w:u w:val="single"/>
        </w:rPr>
        <w:t xml:space="preserve">      </w:t>
      </w: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方式一：评标委员会为综合评标委员会，负责评标工作。</w:t>
      </w:r>
    </w:p>
    <w:p>
      <w:pPr>
        <w:spacing w:line="360" w:lineRule="auto"/>
        <w:ind w:firstLine="420" w:firstLineChars="200"/>
        <w:jc w:val="left"/>
        <w:rPr>
          <w:rFonts w:hint="eastAsia" w:ascii="宋体" w:hAnsi="宋体" w:cs="宋体"/>
          <w:kern w:val="0"/>
          <w:szCs w:val="21"/>
          <w:highlight w:val="none"/>
        </w:rPr>
      </w:pPr>
      <w:r>
        <w:rPr>
          <w:rFonts w:hint="eastAsia" w:ascii="宋体" w:hAnsi="宋体"/>
          <w:szCs w:val="21"/>
          <w:highlight w:val="none"/>
        </w:rPr>
        <w:t>方式二：评标委员会由技术评审组和经济评审组组成。其中：资格审查、技术评审由技术评标组负责，经济评审由经济评审组负责。</w:t>
      </w:r>
      <w:r>
        <w:rPr>
          <w:rFonts w:hint="eastAsia" w:ascii="宋体" w:hAnsi="宋体" w:cs="宋体"/>
          <w:kern w:val="0"/>
          <w:szCs w:val="21"/>
          <w:highlight w:val="none"/>
        </w:rPr>
        <w:t xml:space="preserve"> </w:t>
      </w:r>
    </w:p>
    <w:p>
      <w:pPr>
        <w:pStyle w:val="26"/>
        <w:tabs>
          <w:tab w:val="left" w:pos="7380"/>
        </w:tabs>
        <w:snapToGrid w:val="0"/>
        <w:spacing w:after="0" w:line="360" w:lineRule="auto"/>
        <w:ind w:firstLineChars="200"/>
        <w:rPr>
          <w:rFonts w:ascii="宋体"/>
          <w:sz w:val="21"/>
          <w:szCs w:val="21"/>
          <w:highlight w:val="none"/>
        </w:rPr>
      </w:pPr>
      <w:r>
        <w:rPr>
          <w:rFonts w:hint="eastAsia" w:ascii="宋体"/>
          <w:sz w:val="21"/>
          <w:szCs w:val="21"/>
          <w:highlight w:val="none"/>
        </w:rPr>
        <w:t>42.2投标人资格审查</w:t>
      </w:r>
    </w:p>
    <w:p>
      <w:pPr>
        <w:pStyle w:val="26"/>
        <w:tabs>
          <w:tab w:val="left" w:pos="7380"/>
        </w:tabs>
        <w:snapToGrid w:val="0"/>
        <w:spacing w:after="0" w:line="360" w:lineRule="auto"/>
        <w:ind w:firstLineChars="200"/>
        <w:rPr>
          <w:rFonts w:ascii="宋体"/>
          <w:sz w:val="21"/>
          <w:szCs w:val="21"/>
          <w:highlight w:val="none"/>
        </w:rPr>
      </w:pPr>
      <w:r>
        <w:rPr>
          <w:rFonts w:hint="eastAsia" w:ascii="宋体"/>
          <w:sz w:val="21"/>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26"/>
        <w:tabs>
          <w:tab w:val="left" w:pos="7380"/>
        </w:tabs>
        <w:snapToGrid w:val="0"/>
        <w:spacing w:after="0" w:line="360" w:lineRule="auto"/>
        <w:ind w:firstLineChars="200"/>
        <w:rPr>
          <w:rFonts w:ascii="宋体"/>
          <w:sz w:val="21"/>
          <w:szCs w:val="21"/>
          <w:highlight w:val="none"/>
        </w:rPr>
      </w:pPr>
      <w:r>
        <w:rPr>
          <w:rFonts w:hint="eastAsia" w:ascii="宋体"/>
          <w:sz w:val="21"/>
          <w:szCs w:val="21"/>
          <w:highlight w:val="none"/>
        </w:rPr>
        <w:t>42.2.2汇总资格审查情况，编写资格审查报告。</w:t>
      </w:r>
    </w:p>
    <w:p>
      <w:pPr>
        <w:pStyle w:val="26"/>
        <w:tabs>
          <w:tab w:val="left" w:pos="7380"/>
        </w:tabs>
        <w:snapToGrid w:val="0"/>
        <w:spacing w:after="0" w:line="360" w:lineRule="auto"/>
        <w:ind w:firstLineChars="200"/>
        <w:rPr>
          <w:rFonts w:ascii="宋体"/>
          <w:sz w:val="21"/>
          <w:szCs w:val="21"/>
          <w:highlight w:val="none"/>
        </w:rPr>
      </w:pPr>
      <w:r>
        <w:rPr>
          <w:rFonts w:hint="eastAsia" w:ascii="宋体"/>
          <w:sz w:val="21"/>
          <w:szCs w:val="21"/>
          <w:highlight w:val="none"/>
        </w:rPr>
        <w:t>42.2.3资格审查不合格的投标文件不参加下一阶段的评标，不参与评标参考价的计算。</w:t>
      </w:r>
    </w:p>
    <w:p>
      <w:pPr>
        <w:pStyle w:val="26"/>
        <w:tabs>
          <w:tab w:val="left" w:pos="7380"/>
        </w:tabs>
        <w:snapToGrid w:val="0"/>
        <w:spacing w:after="0" w:line="360" w:lineRule="auto"/>
        <w:ind w:firstLineChars="200"/>
        <w:rPr>
          <w:rFonts w:ascii="宋体"/>
          <w:sz w:val="21"/>
          <w:szCs w:val="21"/>
          <w:highlight w:val="none"/>
        </w:rPr>
      </w:pPr>
      <w:r>
        <w:rPr>
          <w:rFonts w:hint="eastAsia" w:ascii="宋体"/>
          <w:sz w:val="21"/>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tabs>
          <w:tab w:val="left" w:pos="7380"/>
        </w:tabs>
        <w:snapToGrid w:val="0"/>
        <w:spacing w:after="0" w:line="360" w:lineRule="auto"/>
        <w:ind w:firstLineChars="200"/>
        <w:rPr>
          <w:rFonts w:ascii="宋体"/>
          <w:sz w:val="21"/>
          <w:szCs w:val="21"/>
          <w:highlight w:val="none"/>
        </w:rPr>
      </w:pPr>
      <w:r>
        <w:rPr>
          <w:rFonts w:hint="eastAsia" w:ascii="宋体"/>
          <w:sz w:val="21"/>
          <w:szCs w:val="21"/>
          <w:highlight w:val="none"/>
        </w:rPr>
        <w:t>42.2.5资审合格后，投标人的资格发生变化而不满足投标人合格条件，在发出中标通知书前，资格问题仍未解决的，招标人将取消其中标资格。</w:t>
      </w:r>
    </w:p>
    <w:p>
      <w:pPr>
        <w:spacing w:line="360" w:lineRule="auto"/>
        <w:ind w:firstLine="420" w:firstLineChars="200"/>
        <w:jc w:val="left"/>
        <w:rPr>
          <w:rFonts w:hint="eastAsia" w:ascii="宋体" w:hAnsi="宋体" w:cs="宋体"/>
          <w:kern w:val="0"/>
          <w:szCs w:val="21"/>
          <w:highlight w:val="none"/>
        </w:rPr>
      </w:pPr>
      <w:r>
        <w:rPr>
          <w:rFonts w:hint="eastAsia" w:ascii="宋体"/>
          <w:szCs w:val="21"/>
          <w:highlight w:val="none"/>
        </w:rPr>
        <w:t>42.2.6资格审查合格的投标人少于3名的（当N个标段同时招标且不允许兼中时，资格审查合格的投标人少于N+2名），则本项目招标失败。</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42.3 第一阶段评审</w:t>
      </w:r>
    </w:p>
    <w:p>
      <w:pPr>
        <w:spacing w:line="360" w:lineRule="auto"/>
        <w:ind w:firstLine="420" w:firstLineChars="200"/>
        <w:rPr>
          <w:rFonts w:hint="eastAsia" w:ascii="宋体" w:hAnsi="宋体"/>
          <w:szCs w:val="21"/>
          <w:highlight w:val="none"/>
        </w:rPr>
      </w:pPr>
      <w:r>
        <w:rPr>
          <w:rFonts w:ascii="宋体" w:hAnsi="宋体"/>
          <w:szCs w:val="21"/>
          <w:highlight w:val="none"/>
        </w:rPr>
        <w:t>42.3</w:t>
      </w:r>
      <w:r>
        <w:rPr>
          <w:rFonts w:hint="eastAsia" w:ascii="宋体" w:hAnsi="宋体"/>
          <w:szCs w:val="21"/>
          <w:highlight w:val="none"/>
        </w:rPr>
        <w:t>.1技术标的有效性审查：投标文件中没有任一种列于本办法附表二《技术标有效性审查表》中情形的，为有效投标文件。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42.3.2</w:t>
      </w:r>
      <w:r>
        <w:rPr>
          <w:rFonts w:hint="eastAsia" w:ascii="宋体" w:hAnsi="宋体"/>
          <w:szCs w:val="21"/>
          <w:highlight w:val="none"/>
          <w:u w:val="single"/>
        </w:rPr>
        <w:t xml:space="preserve">     </w:t>
      </w:r>
      <w:r>
        <w:rPr>
          <w:rFonts w:hint="eastAsia" w:ascii="宋体" w:hAnsi="宋体"/>
          <w:szCs w:val="21"/>
          <w:highlight w:val="none"/>
        </w:rPr>
        <w:t>详细审查评分：评标委员会按照本办法附表</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详细审查评分表》对通过技术标有效性审查的投标文件进行详细审查，评出</w:t>
      </w:r>
      <w:r>
        <w:rPr>
          <w:rFonts w:hint="eastAsia" w:ascii="宋体" w:hAnsi="宋体"/>
          <w:szCs w:val="21"/>
          <w:highlight w:val="none"/>
          <w:u w:val="single"/>
        </w:rPr>
        <w:t xml:space="preserve">     </w:t>
      </w:r>
      <w:r>
        <w:rPr>
          <w:rFonts w:hint="eastAsia" w:ascii="宋体" w:hAnsi="宋体"/>
          <w:szCs w:val="21"/>
          <w:highlight w:val="none"/>
        </w:rPr>
        <w:t>得分。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42.3.4评标委员会按照“第一阶段得分=</w:t>
      </w:r>
      <w:r>
        <w:rPr>
          <w:rFonts w:hint="eastAsia" w:ascii="宋体" w:hAnsi="宋体"/>
          <w:szCs w:val="21"/>
          <w:highlight w:val="none"/>
          <w:u w:val="single"/>
        </w:rPr>
        <w:t xml:space="preserve">               </w:t>
      </w:r>
      <w:r>
        <w:rPr>
          <w:rFonts w:hint="eastAsia" w:ascii="宋体" w:hAnsi="宋体"/>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42.3.5招标人应在《投标须知前附表》中明确选择使用施工企业总排名或相应的施工专业承包排名计分。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42.4 第二阶段评审</w:t>
      </w:r>
    </w:p>
    <w:p>
      <w:pPr>
        <w:spacing w:line="360" w:lineRule="auto"/>
        <w:ind w:firstLine="420" w:firstLineChars="200"/>
        <w:rPr>
          <w:rFonts w:hint="eastAsia" w:ascii="宋体" w:hAnsi="宋体"/>
          <w:szCs w:val="21"/>
          <w:highlight w:val="none"/>
        </w:rPr>
      </w:pPr>
      <w:r>
        <w:rPr>
          <w:rFonts w:ascii="宋体" w:hAnsi="宋体"/>
          <w:szCs w:val="21"/>
          <w:highlight w:val="none"/>
        </w:rPr>
        <w:t>42.4.1</w:t>
      </w:r>
      <w:r>
        <w:rPr>
          <w:rFonts w:hint="eastAsia" w:ascii="宋体" w:hAnsi="宋体"/>
          <w:szCs w:val="21"/>
          <w:highlight w:val="none"/>
        </w:rPr>
        <w:t>按照投标须知前附表第25项规定，确定进入第二阶段评审的投标人。若在进入第二阶段的最后名次发生并列的，则所有并列的投标人均进入第二阶段。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42.4.2若进入第二阶段投标人中所有投标报价均大于等于最高投标限价*D%（D的取值范围为[94,100],由招标人自主确定）的（具体金额为：</w:t>
      </w:r>
      <w:r>
        <w:rPr>
          <w:rFonts w:hint="eastAsia" w:ascii="宋体" w:hAnsi="宋体"/>
          <w:szCs w:val="21"/>
          <w:highlight w:val="none"/>
          <w:u w:val="single"/>
        </w:rPr>
        <w:t xml:space="preserve">      </w:t>
      </w:r>
      <w:r>
        <w:rPr>
          <w:rFonts w:hint="eastAsia" w:ascii="宋体" w:hAnsi="宋体"/>
          <w:szCs w:val="21"/>
          <w:highlight w:val="none"/>
        </w:rPr>
        <w:t>元），则本项目招标失败，由招标人依法重新招标。</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42.4.3投标文件经济标的评分</w:t>
      </w:r>
    </w:p>
    <w:p>
      <w:pPr>
        <w:spacing w:line="360" w:lineRule="auto"/>
        <w:ind w:firstLine="422" w:firstLineChars="200"/>
        <w:rPr>
          <w:rFonts w:hint="eastAsia" w:ascii="宋体" w:hAnsi="宋体"/>
          <w:b/>
          <w:bCs/>
          <w:kern w:val="0"/>
          <w:szCs w:val="21"/>
          <w:highlight w:val="none"/>
        </w:rPr>
      </w:pPr>
      <w:r>
        <w:rPr>
          <w:rFonts w:hint="eastAsia" w:ascii="宋体" w:hAnsi="宋体" w:cs="仿宋"/>
          <w:b/>
          <w:bCs/>
          <w:kern w:val="0"/>
          <w:szCs w:val="21"/>
          <w:highlight w:val="none"/>
        </w:rPr>
        <w:t>区间抽取法</w:t>
      </w:r>
    </w:p>
    <w:p>
      <w:pPr>
        <w:snapToGrid w:val="0"/>
        <w:spacing w:line="360" w:lineRule="auto"/>
        <w:ind w:firstLine="420" w:firstLineChars="200"/>
        <w:rPr>
          <w:rFonts w:hint="eastAsia" w:ascii="宋体" w:hAnsi="宋体"/>
          <w:kern w:val="0"/>
          <w:szCs w:val="21"/>
          <w:highlight w:val="none"/>
        </w:rPr>
      </w:pPr>
      <w:r>
        <w:rPr>
          <w:rFonts w:hint="eastAsia" w:ascii="宋体" w:hAnsi="宋体" w:cs="仿宋"/>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napToGrid w:val="0"/>
        <w:spacing w:line="360" w:lineRule="auto"/>
        <w:ind w:firstLine="420" w:firstLineChars="200"/>
        <w:rPr>
          <w:rFonts w:hint="eastAsia" w:ascii="宋体" w:hAnsi="宋体"/>
          <w:kern w:val="0"/>
          <w:szCs w:val="21"/>
          <w:highlight w:val="none"/>
          <w:vertAlign w:val="subscript"/>
        </w:rPr>
      </w:pPr>
      <w:r>
        <w:rPr>
          <w:rFonts w:hint="eastAsia" w:ascii="宋体" w:hAnsi="宋体" w:cs="仿宋"/>
          <w:kern w:val="0"/>
          <w:szCs w:val="21"/>
          <w:highlight w:val="none"/>
        </w:rPr>
        <w:t>评标参考价</w:t>
      </w:r>
      <w:r>
        <w:rPr>
          <w:rFonts w:ascii="宋体" w:hAnsi="宋体" w:cs="仿宋"/>
          <w:kern w:val="0"/>
          <w:szCs w:val="21"/>
          <w:highlight w:val="none"/>
        </w:rPr>
        <w:t>=</w:t>
      </w:r>
      <w:r>
        <w:rPr>
          <w:rFonts w:hint="eastAsia" w:ascii="宋体" w:hAnsi="宋体" w:cs="仿宋"/>
          <w:kern w:val="0"/>
          <w:szCs w:val="21"/>
          <w:highlight w:val="none"/>
        </w:rPr>
        <w:t>（</w:t>
      </w:r>
      <w:r>
        <w:rPr>
          <w:rFonts w:ascii="宋体" w:hAnsi="宋体" w:cs="仿宋"/>
          <w:kern w:val="0"/>
          <w:szCs w:val="21"/>
          <w:highlight w:val="none"/>
        </w:rPr>
        <w:t>Q</w:t>
      </w:r>
      <w:r>
        <w:rPr>
          <w:rFonts w:hint="eastAsia" w:ascii="宋体" w:hAnsi="宋体" w:cs="仿宋"/>
          <w:kern w:val="0"/>
          <w:szCs w:val="21"/>
          <w:highlight w:val="none"/>
          <w:vertAlign w:val="subscript"/>
        </w:rPr>
        <w:t>高</w:t>
      </w:r>
      <w:r>
        <w:rPr>
          <w:rFonts w:ascii="宋体" w:hAnsi="宋体" w:cs="仿宋"/>
          <w:kern w:val="0"/>
          <w:szCs w:val="21"/>
          <w:highlight w:val="none"/>
        </w:rPr>
        <w:t>-Q</w:t>
      </w:r>
      <w:r>
        <w:rPr>
          <w:rFonts w:hint="eastAsia" w:ascii="宋体" w:hAnsi="宋体" w:cs="仿宋"/>
          <w:kern w:val="0"/>
          <w:szCs w:val="21"/>
          <w:highlight w:val="none"/>
          <w:vertAlign w:val="subscript"/>
        </w:rPr>
        <w:t>低</w:t>
      </w:r>
      <w:r>
        <w:rPr>
          <w:rFonts w:hint="eastAsia" w:ascii="宋体" w:hAnsi="宋体" w:cs="仿宋"/>
          <w:kern w:val="0"/>
          <w:szCs w:val="21"/>
          <w:highlight w:val="none"/>
        </w:rPr>
        <w:t>）</w:t>
      </w:r>
      <w:r>
        <w:rPr>
          <w:rFonts w:ascii="宋体" w:hAnsi="宋体" w:cs="仿宋"/>
          <w:kern w:val="0"/>
          <w:szCs w:val="21"/>
          <w:highlight w:val="none"/>
        </w:rPr>
        <w:t>/100*</w:t>
      </w:r>
      <w:r>
        <w:rPr>
          <w:rFonts w:hint="eastAsia" w:ascii="宋体" w:hAnsi="宋体" w:cs="仿宋"/>
          <w:kern w:val="0"/>
          <w:szCs w:val="21"/>
          <w:highlight w:val="none"/>
        </w:rPr>
        <w:t>Ｘ</w:t>
      </w:r>
      <w:r>
        <w:rPr>
          <w:rFonts w:ascii="宋体" w:hAnsi="宋体" w:cs="仿宋"/>
          <w:kern w:val="0"/>
          <w:szCs w:val="21"/>
          <w:highlight w:val="none"/>
        </w:rPr>
        <w:t>+Q</w:t>
      </w:r>
      <w:r>
        <w:rPr>
          <w:rFonts w:hint="eastAsia" w:ascii="宋体" w:hAnsi="宋体" w:cs="仿宋"/>
          <w:kern w:val="0"/>
          <w:szCs w:val="21"/>
          <w:highlight w:val="none"/>
          <w:vertAlign w:val="subscript"/>
        </w:rPr>
        <w:t>低</w:t>
      </w:r>
    </w:p>
    <w:p>
      <w:pPr>
        <w:snapToGrid w:val="0"/>
        <w:spacing w:line="360" w:lineRule="auto"/>
        <w:ind w:firstLine="420" w:firstLineChars="200"/>
        <w:rPr>
          <w:rFonts w:hint="eastAsia" w:ascii="宋体" w:hAnsi="宋体"/>
          <w:szCs w:val="21"/>
          <w:highlight w:val="none"/>
        </w:rPr>
      </w:pPr>
      <w:r>
        <w:rPr>
          <w:rFonts w:ascii="宋体" w:hAnsi="宋体" w:cs="仿宋"/>
          <w:szCs w:val="21"/>
          <w:highlight w:val="none"/>
        </w:rPr>
        <w:t>Q</w:t>
      </w:r>
      <w:r>
        <w:rPr>
          <w:rFonts w:hint="eastAsia" w:ascii="宋体" w:hAnsi="宋体" w:cs="仿宋"/>
          <w:szCs w:val="21"/>
          <w:highlight w:val="none"/>
          <w:vertAlign w:val="subscript"/>
        </w:rPr>
        <w:t>低</w:t>
      </w:r>
      <w:r>
        <w:rPr>
          <w:rFonts w:hint="eastAsia" w:ascii="宋体" w:hAnsi="宋体" w:cs="仿宋"/>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cs="仿宋"/>
          <w:szCs w:val="21"/>
          <w:highlight w:val="none"/>
        </w:rPr>
      </w:pPr>
      <w:r>
        <w:rPr>
          <w:rFonts w:ascii="宋体" w:hAnsi="宋体" w:cs="仿宋"/>
          <w:kern w:val="0"/>
          <w:szCs w:val="21"/>
          <w:highlight w:val="none"/>
        </w:rPr>
        <w:t>Q</w:t>
      </w:r>
      <w:r>
        <w:rPr>
          <w:rFonts w:hint="eastAsia" w:ascii="宋体" w:hAnsi="宋体" w:cs="仿宋"/>
          <w:kern w:val="0"/>
          <w:szCs w:val="21"/>
          <w:highlight w:val="none"/>
          <w:vertAlign w:val="subscript"/>
        </w:rPr>
        <w:t>高</w:t>
      </w:r>
      <w:r>
        <w:rPr>
          <w:rFonts w:hint="eastAsia" w:ascii="宋体" w:hAnsi="宋体" w:cs="仿宋"/>
          <w:szCs w:val="21"/>
          <w:highlight w:val="none"/>
        </w:rPr>
        <w:t>：为（最高投标限价</w:t>
      </w:r>
      <w:r>
        <w:rPr>
          <w:rFonts w:ascii="宋体" w:hAnsi="宋体" w:cs="仿宋"/>
          <w:szCs w:val="21"/>
          <w:highlight w:val="none"/>
        </w:rPr>
        <w:t>*D%</w:t>
      </w:r>
      <w:r>
        <w:rPr>
          <w:rFonts w:hint="eastAsia" w:ascii="宋体" w:hAnsi="宋体" w:cs="仿宋"/>
          <w:szCs w:val="21"/>
          <w:highlight w:val="none"/>
        </w:rPr>
        <w:t>）（</w:t>
      </w:r>
      <w:r>
        <w:rPr>
          <w:rFonts w:ascii="宋体" w:hAnsi="宋体" w:cs="仿宋"/>
          <w:szCs w:val="21"/>
          <w:highlight w:val="none"/>
        </w:rPr>
        <w:t>D</w:t>
      </w:r>
      <w:r>
        <w:rPr>
          <w:rFonts w:hint="eastAsia" w:ascii="宋体" w:hAnsi="宋体" w:cs="仿宋"/>
          <w:szCs w:val="21"/>
          <w:highlight w:val="none"/>
        </w:rPr>
        <w:t>的取值范围为</w:t>
      </w:r>
      <w:r>
        <w:rPr>
          <w:rFonts w:ascii="宋体" w:hAnsi="宋体" w:cs="仿宋"/>
          <w:szCs w:val="21"/>
          <w:highlight w:val="none"/>
        </w:rPr>
        <w:t>[94,100],</w:t>
      </w:r>
      <w:r>
        <w:rPr>
          <w:rFonts w:hint="eastAsia" w:ascii="宋体" w:hAnsi="宋体" w:cs="仿宋"/>
          <w:szCs w:val="21"/>
          <w:highlight w:val="none"/>
        </w:rPr>
        <w:t>由招标人自定）</w:t>
      </w:r>
    </w:p>
    <w:p>
      <w:pPr>
        <w:spacing w:line="360" w:lineRule="auto"/>
        <w:ind w:firstLine="420" w:firstLineChars="200"/>
        <w:rPr>
          <w:rFonts w:hint="eastAsia" w:ascii="宋体" w:hAnsi="宋体"/>
          <w:szCs w:val="21"/>
          <w:highlight w:val="none"/>
        </w:rPr>
      </w:pPr>
      <w:r>
        <w:rPr>
          <w:rFonts w:hint="eastAsia" w:ascii="宋体" w:hAnsi="宋体" w:cs="仿宋"/>
          <w:szCs w:val="21"/>
          <w:highlight w:val="none"/>
        </w:rPr>
        <w:t xml:space="preserve">    </w:t>
      </w:r>
      <w:r>
        <w:rPr>
          <w:rFonts w:ascii="宋体" w:hAnsi="宋体" w:cs="仿宋"/>
          <w:szCs w:val="21"/>
          <w:highlight w:val="none"/>
        </w:rPr>
        <w:t>X:</w:t>
      </w:r>
      <w:r>
        <w:rPr>
          <w:rFonts w:hint="eastAsia" w:ascii="宋体" w:hAnsi="宋体" w:cs="仿宋"/>
          <w:szCs w:val="21"/>
          <w:highlight w:val="none"/>
        </w:rPr>
        <w:t>为等分点值，在开标前从</w:t>
      </w:r>
      <w:r>
        <w:rPr>
          <w:rFonts w:ascii="宋体" w:hAnsi="宋体" w:cs="仿宋"/>
          <w:szCs w:val="21"/>
          <w:highlight w:val="none"/>
        </w:rPr>
        <w:t>[0,100]</w:t>
      </w:r>
      <w:r>
        <w:rPr>
          <w:rFonts w:hint="eastAsia" w:ascii="宋体" w:hAnsi="宋体" w:cs="仿宋"/>
          <w:szCs w:val="21"/>
          <w:highlight w:val="none"/>
        </w:rPr>
        <w:t>整数中随机抽取</w:t>
      </w:r>
    </w:p>
    <w:p>
      <w:pPr>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42.4.3.2</w:t>
      </w:r>
      <w:r>
        <w:rPr>
          <w:rFonts w:hint="eastAsia" w:ascii="宋体" w:hAnsi="宋体"/>
          <w:szCs w:val="21"/>
          <w:highlight w:val="none"/>
        </w:rPr>
        <w:t>当标价等于评标参考价时得</w:t>
      </w:r>
      <w:r>
        <w:rPr>
          <w:rFonts w:ascii="宋体" w:hAnsi="宋体"/>
          <w:szCs w:val="21"/>
          <w:highlight w:val="none"/>
        </w:rPr>
        <w:t>100</w:t>
      </w:r>
      <w:r>
        <w:rPr>
          <w:rFonts w:hint="eastAsia" w:ascii="宋体" w:hAnsi="宋体"/>
          <w:szCs w:val="21"/>
          <w:highlight w:val="none"/>
        </w:rPr>
        <w:t>分，标价每高于评标参考价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1.5</w:t>
      </w:r>
      <w:r>
        <w:rPr>
          <w:rFonts w:hint="eastAsia" w:ascii="宋体" w:hAnsi="宋体"/>
          <w:szCs w:val="21"/>
          <w:highlight w:val="none"/>
        </w:rPr>
        <w:t>分，每低于评标参考价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w:t>
      </w:r>
      <w:r>
        <w:rPr>
          <w:rFonts w:hint="eastAsia" w:ascii="宋体" w:hAnsi="宋体"/>
          <w:szCs w:val="21"/>
          <w:highlight w:val="none"/>
        </w:rPr>
        <w:t>分，扣至</w:t>
      </w:r>
      <w:r>
        <w:rPr>
          <w:rFonts w:ascii="宋体" w:hAnsi="宋体"/>
          <w:szCs w:val="21"/>
          <w:highlight w:val="none"/>
        </w:rPr>
        <w:t>0</w:t>
      </w:r>
      <w:r>
        <w:rPr>
          <w:rFonts w:hint="eastAsia" w:ascii="宋体" w:hAnsi="宋体"/>
          <w:szCs w:val="21"/>
          <w:highlight w:val="none"/>
        </w:rPr>
        <w:t>分为止，得出经济分，精确到小数点后两位。</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42.4.3.3评标委员会按投标须知前附表第32项的规定确定排序。</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4.5经济标的算术校核。评标委员会对进行经济标有效性审查的投标文件投标报价按照就低不就高的原则进行算术校核，具体标准如下：</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4.5.1如果数字表示的金额和用文字表示的金额不一致时，应以文字表示的金额为准；</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4.5.2经算术复核的投标人报价与其投标报价不一致时，按就低不就高原则确定其最终报价；</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w:t>
      </w:r>
      <w:r>
        <w:rPr>
          <w:rFonts w:ascii="宋体" w:hAnsi="宋体"/>
          <w:szCs w:val="21"/>
          <w:highlight w:val="none"/>
        </w:rPr>
        <w:t>4</w:t>
      </w:r>
      <w:r>
        <w:rPr>
          <w:rFonts w:hint="eastAsia" w:ascii="宋体" w:hAnsi="宋体"/>
          <w:szCs w:val="21"/>
          <w:highlight w:val="none"/>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w:t>
      </w:r>
      <w:r>
        <w:rPr>
          <w:rFonts w:ascii="宋体" w:hAnsi="宋体"/>
          <w:szCs w:val="21"/>
          <w:highlight w:val="none"/>
        </w:rPr>
        <w:t>5</w:t>
      </w:r>
      <w:r>
        <w:rPr>
          <w:rFonts w:hint="eastAsia" w:ascii="宋体" w:hAnsi="宋体"/>
          <w:szCs w:val="21"/>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w:t>
      </w:r>
      <w:r>
        <w:rPr>
          <w:rFonts w:ascii="宋体" w:hAnsi="宋体"/>
          <w:szCs w:val="21"/>
          <w:highlight w:val="none"/>
        </w:rPr>
        <w:t>6</w:t>
      </w:r>
      <w:r>
        <w:rPr>
          <w:rFonts w:hint="eastAsia" w:ascii="宋体" w:hAnsi="宋体"/>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w:t>
      </w:r>
      <w:r>
        <w:rPr>
          <w:rFonts w:ascii="宋体" w:hAnsi="宋体"/>
          <w:szCs w:val="21"/>
          <w:highlight w:val="none"/>
        </w:rPr>
        <w:t>7</w:t>
      </w:r>
      <w:r>
        <w:rPr>
          <w:rFonts w:hint="eastAsia" w:ascii="宋体" w:hAnsi="宋体"/>
          <w:szCs w:val="21"/>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4.5.</w:t>
      </w:r>
      <w:r>
        <w:rPr>
          <w:rFonts w:ascii="宋体" w:hAnsi="宋体"/>
          <w:szCs w:val="21"/>
          <w:highlight w:val="none"/>
        </w:rPr>
        <w:t>8</w:t>
      </w:r>
      <w:r>
        <w:rPr>
          <w:rFonts w:hint="eastAsia" w:ascii="宋体" w:hAnsi="宋体"/>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6评标委员会应在通过投标文件经济标有效性审查的投标人中，按步骤42.4确定的投标人第二阶段排序，推荐前</w:t>
      </w:r>
      <w:r>
        <w:rPr>
          <w:rFonts w:ascii="宋体" w:hAnsi="宋体"/>
          <w:szCs w:val="21"/>
          <w:highlight w:val="none"/>
        </w:rPr>
        <w:t>3</w:t>
      </w:r>
      <w:r>
        <w:rPr>
          <w:rFonts w:hint="eastAsia" w:ascii="宋体" w:hAnsi="宋体"/>
          <w:szCs w:val="21"/>
          <w:highlight w:val="none"/>
        </w:rPr>
        <w:t>名依次为第一中标候选人至第三中标候选人</w:t>
      </w:r>
      <w:r>
        <w:rPr>
          <w:rFonts w:ascii="宋体" w:hAnsi="宋体"/>
          <w:szCs w:val="21"/>
          <w:highlight w:val="none"/>
        </w:rPr>
        <w:t>,</w:t>
      </w:r>
      <w:r>
        <w:rPr>
          <w:rFonts w:hint="eastAsia" w:ascii="宋体" w:hAnsi="宋体"/>
          <w:szCs w:val="21"/>
          <w:highlight w:val="none"/>
        </w:rPr>
        <w:t>并编制评标报告。</w:t>
      </w:r>
    </w:p>
    <w:p>
      <w:pPr>
        <w:spacing w:line="360" w:lineRule="auto"/>
        <w:ind w:firstLine="420" w:firstLineChars="200"/>
        <w:rPr>
          <w:rFonts w:hint="eastAsia" w:ascii="宋体" w:hAnsi="宋体"/>
          <w:szCs w:val="21"/>
          <w:highlight w:val="none"/>
        </w:rPr>
      </w:pPr>
      <w:r>
        <w:rPr>
          <w:rFonts w:ascii="宋体" w:hAnsi="宋体"/>
          <w:szCs w:val="21"/>
          <w:highlight w:val="none"/>
        </w:rPr>
        <w:t>42.</w:t>
      </w:r>
      <w:r>
        <w:rPr>
          <w:rFonts w:hint="eastAsia" w:ascii="宋体" w:hAnsi="宋体"/>
          <w:szCs w:val="21"/>
          <w:highlight w:val="none"/>
        </w:rPr>
        <w:t>7若通过经济标有效性审查的投标人不足三家，应当依法重新招标。（当</w:t>
      </w:r>
      <w:r>
        <w:rPr>
          <w:rFonts w:ascii="宋体" w:hAnsi="宋体"/>
          <w:szCs w:val="21"/>
          <w:highlight w:val="none"/>
        </w:rPr>
        <w:t>N</w:t>
      </w:r>
      <w:r>
        <w:rPr>
          <w:rFonts w:hint="eastAsia" w:ascii="宋体" w:hAnsi="宋体"/>
          <w:szCs w:val="21"/>
          <w:highlight w:val="none"/>
        </w:rPr>
        <w:t>个标段同时招标且不允许兼中时，若有效投标人不足</w:t>
      </w:r>
      <w:r>
        <w:rPr>
          <w:rFonts w:ascii="宋体" w:hAnsi="宋体"/>
          <w:szCs w:val="21"/>
          <w:highlight w:val="none"/>
        </w:rPr>
        <w:t>N+2</w:t>
      </w:r>
      <w:r>
        <w:rPr>
          <w:rFonts w:hint="eastAsia" w:ascii="宋体" w:hAnsi="宋体"/>
          <w:szCs w:val="21"/>
          <w:highlight w:val="none"/>
        </w:rPr>
        <w:t>家，应当依法重新招标）</w:t>
      </w:r>
      <w:bookmarkEnd w:id="23"/>
      <w:bookmarkEnd w:id="24"/>
    </w:p>
    <w:p>
      <w:pPr>
        <w:spacing w:line="276" w:lineRule="auto"/>
        <w:rPr>
          <w:rStyle w:val="59"/>
          <w:rFonts w:hint="eastAsia" w:ascii="宋体" w:hAnsi="宋体"/>
          <w:b/>
          <w:bCs/>
          <w:szCs w:val="21"/>
          <w:highlight w:val="none"/>
        </w:rPr>
      </w:pPr>
    </w:p>
    <w:p>
      <w:pPr>
        <w:rPr>
          <w:rStyle w:val="59"/>
          <w:rFonts w:hint="eastAsia" w:ascii="宋体" w:hAnsi="宋体"/>
          <w:b/>
          <w:bCs/>
          <w:szCs w:val="21"/>
          <w:highlight w:val="none"/>
        </w:rPr>
      </w:pPr>
      <w:r>
        <w:rPr>
          <w:rStyle w:val="59"/>
          <w:rFonts w:hint="eastAsia" w:ascii="宋体" w:hAnsi="宋体"/>
          <w:b/>
          <w:bCs/>
          <w:szCs w:val="21"/>
          <w:highlight w:val="none"/>
        </w:rPr>
        <w:br w:type="page"/>
      </w:r>
      <w:r>
        <w:rPr>
          <w:rStyle w:val="59"/>
          <w:rFonts w:hint="eastAsia" w:ascii="宋体" w:hAnsi="宋体"/>
          <w:b/>
          <w:bCs/>
          <w:szCs w:val="21"/>
          <w:highlight w:val="none"/>
        </w:rPr>
        <w:t>附件1：</w:t>
      </w:r>
    </w:p>
    <w:p>
      <w:pPr>
        <w:widowControl w:val="0"/>
        <w:spacing w:line="360" w:lineRule="auto"/>
        <w:ind w:firstLine="422" w:firstLineChars="200"/>
        <w:jc w:val="center"/>
        <w:textAlignment w:val="auto"/>
        <w:rPr>
          <w:rFonts w:hint="eastAsia" w:ascii="宋体" w:hAnsi="宋体"/>
          <w:b/>
          <w:bCs/>
          <w:szCs w:val="21"/>
          <w:highlight w:val="none"/>
        </w:rPr>
      </w:pPr>
      <w:r>
        <w:rPr>
          <w:rFonts w:hint="eastAsia" w:ascii="宋体" w:hAnsi="宋体"/>
          <w:b/>
          <w:bCs/>
          <w:szCs w:val="21"/>
          <w:highlight w:val="none"/>
        </w:rPr>
        <w:t>评标委员会成员声明</w:t>
      </w:r>
    </w:p>
    <w:p>
      <w:pPr>
        <w:widowControl w:val="0"/>
        <w:spacing w:line="360" w:lineRule="auto"/>
        <w:textAlignment w:val="auto"/>
        <w:rPr>
          <w:rFonts w:hint="eastAsia" w:ascii="宋体" w:hAnsi="宋体"/>
          <w:szCs w:val="21"/>
          <w:highlight w:val="none"/>
        </w:rPr>
      </w:pPr>
      <w:r>
        <w:rPr>
          <w:rFonts w:hint="eastAsia" w:ascii="宋体" w:hAnsi="宋体"/>
          <w:szCs w:val="21"/>
          <w:highlight w:val="none"/>
          <w:u w:val="single"/>
        </w:rPr>
        <w:t xml:space="preserve">   本项目招标人  </w:t>
      </w:r>
      <w:r>
        <w:rPr>
          <w:rFonts w:hint="eastAsia" w:ascii="宋体" w:hAnsi="宋体"/>
          <w:szCs w:val="21"/>
          <w:highlight w:val="none"/>
        </w:rPr>
        <w:t>：</w:t>
      </w:r>
    </w:p>
    <w:p>
      <w:pPr>
        <w:widowControl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本人就参与</w:t>
      </w:r>
      <w:r>
        <w:rPr>
          <w:rFonts w:hint="eastAsia" w:ascii="宋体" w:hAnsi="宋体"/>
          <w:szCs w:val="21"/>
          <w:highlight w:val="none"/>
          <w:u w:val="single"/>
        </w:rPr>
        <w:t xml:space="preserve">               </w:t>
      </w:r>
      <w:r>
        <w:rPr>
          <w:rFonts w:hint="eastAsia" w:ascii="宋体" w:hAnsi="宋体"/>
          <w:szCs w:val="21"/>
          <w:highlight w:val="none"/>
        </w:rPr>
        <w:t>项目的评标工作，作出郑重声明：</w:t>
      </w:r>
    </w:p>
    <w:p>
      <w:pPr>
        <w:widowControl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widowControl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widowControl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widowControl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widowControl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widowControl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如果本人违反上述声明内容，造成的后果由本人自行承担。</w:t>
      </w:r>
    </w:p>
    <w:p>
      <w:pPr>
        <w:widowControl w:val="0"/>
        <w:spacing w:line="360" w:lineRule="auto"/>
        <w:ind w:firstLine="420" w:firstLineChars="200"/>
        <w:textAlignment w:val="auto"/>
        <w:rPr>
          <w:rFonts w:hint="eastAsia" w:ascii="宋体" w:hAnsi="宋体"/>
          <w:szCs w:val="21"/>
          <w:highlight w:val="none"/>
        </w:rPr>
      </w:pPr>
    </w:p>
    <w:p>
      <w:pPr>
        <w:spacing w:line="360" w:lineRule="auto"/>
        <w:rPr>
          <w:rFonts w:hint="eastAsia" w:ascii="宋体" w:hAnsi="宋体"/>
          <w:szCs w:val="21"/>
          <w:highlight w:val="none"/>
        </w:rPr>
      </w:pPr>
      <w:r>
        <w:rPr>
          <w:rFonts w:hint="eastAsia" w:ascii="宋体" w:hAnsi="宋体"/>
          <w:szCs w:val="21"/>
          <w:highlight w:val="none"/>
        </w:rPr>
        <w:t xml:space="preserve">                             声明人：</w:t>
      </w:r>
      <w:r>
        <w:rPr>
          <w:rFonts w:hint="eastAsia" w:ascii="宋体" w:hAnsi="宋体"/>
          <w:szCs w:val="21"/>
          <w:highlight w:val="none"/>
          <w:u w:val="single"/>
        </w:rPr>
        <w:t xml:space="preserve">（签名）  </w:t>
      </w:r>
    </w:p>
    <w:p>
      <w:pPr>
        <w:rPr>
          <w:rStyle w:val="59"/>
          <w:rFonts w:hint="eastAsia" w:ascii="宋体" w:hAnsi="宋体"/>
          <w:b/>
          <w:bCs/>
          <w:sz w:val="24"/>
          <w:szCs w:val="24"/>
          <w:highlight w:val="none"/>
        </w:rPr>
      </w:pPr>
      <w:r>
        <w:rPr>
          <w:rStyle w:val="59"/>
          <w:rFonts w:hint="eastAsia" w:ascii="宋体" w:hAnsi="宋体"/>
          <w:b/>
          <w:bCs/>
          <w:szCs w:val="21"/>
          <w:highlight w:val="none"/>
        </w:rPr>
        <w:br w:type="page"/>
      </w:r>
      <w:r>
        <w:rPr>
          <w:rStyle w:val="59"/>
          <w:rFonts w:ascii="宋体" w:hAnsi="宋体"/>
          <w:b/>
          <w:bCs/>
          <w:szCs w:val="21"/>
          <w:highlight w:val="none"/>
        </w:rPr>
        <w:t>附表一：</w:t>
      </w:r>
    </w:p>
    <w:p>
      <w:pPr>
        <w:spacing w:line="276" w:lineRule="auto"/>
        <w:jc w:val="center"/>
        <w:rPr>
          <w:rStyle w:val="59"/>
          <w:rFonts w:hint="eastAsia" w:ascii="宋体" w:hAnsi="宋体"/>
          <w:b/>
          <w:sz w:val="32"/>
          <w:szCs w:val="32"/>
          <w:highlight w:val="none"/>
        </w:rPr>
      </w:pPr>
      <w:r>
        <w:rPr>
          <w:rStyle w:val="59"/>
          <w:rFonts w:ascii="宋体" w:hAnsi="宋体"/>
          <w:b/>
          <w:sz w:val="32"/>
          <w:szCs w:val="32"/>
          <w:highlight w:val="none"/>
        </w:rPr>
        <w:t>资格审查表</w:t>
      </w:r>
    </w:p>
    <w:p>
      <w:pPr>
        <w:spacing w:line="276" w:lineRule="auto"/>
        <w:rPr>
          <w:rStyle w:val="59"/>
          <w:rFonts w:hint="eastAsia" w:ascii="宋体" w:hAnsi="宋体"/>
          <w:szCs w:val="21"/>
          <w:highlight w:val="none"/>
        </w:rPr>
      </w:pPr>
      <w:r>
        <w:rPr>
          <w:rStyle w:val="59"/>
          <w:rFonts w:ascii="宋体" w:hAnsi="宋体"/>
          <w:szCs w:val="21"/>
          <w:highlight w:val="none"/>
        </w:rPr>
        <w:t>工程名称：</w:t>
      </w:r>
    </w:p>
    <w:p>
      <w:pPr>
        <w:spacing w:line="276" w:lineRule="auto"/>
        <w:rPr>
          <w:rStyle w:val="59"/>
          <w:rFonts w:hint="eastAsia" w:ascii="宋体" w:hAnsi="宋体"/>
          <w:szCs w:val="21"/>
          <w:highlight w:val="none"/>
        </w:rPr>
      </w:pPr>
      <w:r>
        <w:rPr>
          <w:rStyle w:val="59"/>
          <w:rFonts w:ascii="宋体" w:hAnsi="宋体"/>
          <w:szCs w:val="21"/>
          <w:highlight w:val="none"/>
        </w:rPr>
        <w:t>投标人名称：</w:t>
      </w:r>
    </w:p>
    <w:tbl>
      <w:tblPr>
        <w:tblStyle w:val="28"/>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3410"/>
        <w:gridCol w:w="3882"/>
        <w:gridCol w:w="11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b/>
                <w:szCs w:val="21"/>
                <w:highlight w:val="none"/>
              </w:rPr>
            </w:pPr>
            <w:r>
              <w:rPr>
                <w:rStyle w:val="59"/>
                <w:rFonts w:ascii="宋体" w:hAnsi="宋体"/>
                <w:b/>
                <w:szCs w:val="21"/>
                <w:highlight w:val="none"/>
              </w:rPr>
              <w:t>序号</w:t>
            </w:r>
          </w:p>
        </w:tc>
        <w:tc>
          <w:tcPr>
            <w:tcW w:w="3410"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b/>
                <w:szCs w:val="21"/>
                <w:highlight w:val="none"/>
              </w:rPr>
            </w:pPr>
            <w:r>
              <w:rPr>
                <w:rStyle w:val="59"/>
                <w:rFonts w:ascii="宋体" w:hAnsi="宋体"/>
                <w:b/>
                <w:szCs w:val="21"/>
                <w:highlight w:val="none"/>
              </w:rPr>
              <w:t>审查项目</w:t>
            </w:r>
          </w:p>
        </w:tc>
        <w:tc>
          <w:tcPr>
            <w:tcW w:w="388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b/>
                <w:szCs w:val="21"/>
                <w:highlight w:val="none"/>
              </w:rPr>
            </w:pPr>
            <w:r>
              <w:rPr>
                <w:rStyle w:val="59"/>
                <w:rFonts w:ascii="宋体" w:hAnsi="宋体"/>
                <w:b/>
                <w:szCs w:val="21"/>
                <w:highlight w:val="none"/>
              </w:rPr>
              <w:t>须审查的资料</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b/>
                <w:szCs w:val="21"/>
                <w:highlight w:val="none"/>
              </w:rPr>
            </w:pPr>
            <w:r>
              <w:rPr>
                <w:rStyle w:val="59"/>
                <w:rFonts w:ascii="宋体" w:hAnsi="宋体"/>
                <w:b/>
                <w:szCs w:val="21"/>
                <w:highlight w:val="none"/>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ascii="宋体" w:hAnsi="宋体"/>
                <w:szCs w:val="21"/>
                <w:highlight w:val="none"/>
              </w:rPr>
              <w:t>1</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Fonts w:hint="eastAsia" w:ascii="宋体" w:hAnsi="宋体"/>
                <w:szCs w:val="21"/>
                <w:highlight w:val="none"/>
              </w:rPr>
              <w:t>投标人参加投标的意思表达清楚，投标人代表被授权有效；投标申请人须保证授权的委托代理人为本单位的正式职工，</w:t>
            </w:r>
            <w:bookmarkStart w:id="25" w:name="OLE_LINK4"/>
            <w:r>
              <w:rPr>
                <w:rFonts w:hint="eastAsia" w:ascii="宋体" w:hAnsi="宋体"/>
                <w:szCs w:val="21"/>
                <w:highlight w:val="none"/>
              </w:rPr>
              <w:t>须提供</w:t>
            </w:r>
            <w:bookmarkEnd w:id="25"/>
            <w:r>
              <w:rPr>
                <w:rFonts w:hint="eastAsia" w:ascii="宋体" w:hAnsi="宋体"/>
                <w:szCs w:val="21"/>
                <w:highlight w:val="none"/>
              </w:rPr>
              <w:t>2025年8月在投标单位缴纳社保的证明材料扫描件并加盖投标人企业电子印章（</w:t>
            </w:r>
            <w:r>
              <w:rPr>
                <w:rFonts w:hint="eastAsia" w:ascii="宋体" w:hAnsi="宋体"/>
                <w:bCs/>
                <w:szCs w:val="21"/>
                <w:highlight w:val="none"/>
              </w:rPr>
              <w:t>联合体投标的，由联合体牵头方提供</w:t>
            </w:r>
            <w:r>
              <w:rPr>
                <w:rFonts w:hint="eastAsia" w:ascii="宋体" w:hAnsi="宋体"/>
                <w:szCs w:val="21"/>
                <w:highlight w:val="none"/>
              </w:rPr>
              <w:t>）</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投标人声明、法定代表人证明书；委托投标的还应提供法人授权委托证明书、授权人社保（</w:t>
            </w:r>
            <w:r>
              <w:rPr>
                <w:rStyle w:val="59"/>
                <w:rFonts w:hint="eastAsia" w:ascii="宋体" w:hAnsi="宋体"/>
                <w:szCs w:val="21"/>
                <w:highlight w:val="none"/>
              </w:rPr>
              <w:t>2025年8月</w:t>
            </w:r>
            <w:r>
              <w:rPr>
                <w:rStyle w:val="59"/>
                <w:rFonts w:ascii="宋体" w:hAnsi="宋体"/>
                <w:szCs w:val="21"/>
                <w:highlight w:val="none"/>
              </w:rPr>
              <w:t>在投标单位缴纳社保的证明材料扫描件并加盖投标人企业电子印章）</w:t>
            </w:r>
            <w:r>
              <w:rPr>
                <w:rFonts w:hint="eastAsia" w:ascii="宋体" w:hAnsi="宋体"/>
                <w:szCs w:val="21"/>
                <w:highlight w:val="none"/>
              </w:rPr>
              <w:t>（</w:t>
            </w:r>
            <w:r>
              <w:rPr>
                <w:rFonts w:hint="eastAsia" w:ascii="宋体" w:hAnsi="宋体"/>
                <w:bCs/>
                <w:szCs w:val="21"/>
                <w:highlight w:val="none"/>
              </w:rPr>
              <w:t>联合体投标的，由联合体牵头方提供</w:t>
            </w:r>
            <w:r>
              <w:rPr>
                <w:rFonts w:hint="eastAsia" w:ascii="宋体" w:hAnsi="宋体"/>
                <w:szCs w:val="21"/>
                <w:highlight w:val="none"/>
              </w:rPr>
              <w:t>）</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ascii="宋体" w:hAnsi="宋体"/>
                <w:szCs w:val="21"/>
                <w:highlight w:val="none"/>
              </w:rPr>
              <w:t>2</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投标人</w:t>
            </w:r>
            <w:r>
              <w:rPr>
                <w:rStyle w:val="59"/>
                <w:rFonts w:hint="eastAsia" w:ascii="宋体" w:hAnsi="宋体"/>
                <w:szCs w:val="21"/>
                <w:highlight w:val="none"/>
              </w:rPr>
              <w:t>（联合体各方）</w:t>
            </w:r>
            <w:r>
              <w:rPr>
                <w:rStyle w:val="59"/>
                <w:rFonts w:ascii="宋体" w:hAnsi="宋体"/>
                <w:szCs w:val="21"/>
                <w:highlight w:val="none"/>
              </w:rPr>
              <w:t>具有独立法人资格，按国家法律经营</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hint="eastAsia" w:ascii="宋体" w:hAnsi="宋体"/>
                <w:szCs w:val="21"/>
                <w:highlight w:val="none"/>
              </w:rPr>
              <w:t>营业执照扫描件或电子证照</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ascii="宋体" w:hAnsi="宋体"/>
                <w:szCs w:val="21"/>
                <w:highlight w:val="none"/>
              </w:rPr>
              <w:t>3</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hint="eastAsia" w:ascii="宋体" w:hAnsi="宋体"/>
                <w:szCs w:val="21"/>
                <w:highlight w:val="none"/>
              </w:rPr>
              <w:t>投标人（联合体各方）持有建设行政主管部门颁发有效期内的企业资质证书及安全生产许可证；投标人（联合体各方）资质符合公告要求</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hint="eastAsia" w:ascii="宋体" w:hAnsi="宋体"/>
                <w:szCs w:val="21"/>
                <w:highlight w:val="none"/>
              </w:rPr>
              <w:t>资质证书扫描件或电子证照、安全生产许可证扫描件或电子证照</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ascii="宋体" w:hAnsi="宋体"/>
                <w:szCs w:val="21"/>
                <w:highlight w:val="none"/>
              </w:rPr>
              <w:t>4</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投标人拟担任本工程项目负责人</w:t>
            </w:r>
            <w:r>
              <w:rPr>
                <w:rFonts w:hint="eastAsia" w:ascii="宋体" w:hAnsi="宋体"/>
                <w:szCs w:val="21"/>
                <w:highlight w:val="none"/>
              </w:rPr>
              <w:t>（</w:t>
            </w:r>
            <w:r>
              <w:rPr>
                <w:rFonts w:hint="eastAsia" w:ascii="宋体" w:hAnsi="宋体"/>
                <w:bCs/>
                <w:szCs w:val="21"/>
                <w:highlight w:val="none"/>
              </w:rPr>
              <w:t>联合体投标的，由联合体牵头方提供</w:t>
            </w:r>
            <w:r>
              <w:rPr>
                <w:rFonts w:hint="eastAsia" w:ascii="宋体" w:hAnsi="宋体"/>
                <w:szCs w:val="21"/>
                <w:highlight w:val="none"/>
              </w:rPr>
              <w:t>）</w:t>
            </w:r>
            <w:r>
              <w:rPr>
                <w:rStyle w:val="59"/>
                <w:rFonts w:ascii="宋体" w:hAnsi="宋体"/>
                <w:szCs w:val="21"/>
                <w:highlight w:val="none"/>
              </w:rPr>
              <w:t>符合公告要求</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highlight w:val="none"/>
              </w:rPr>
            </w:pPr>
            <w:r>
              <w:rPr>
                <w:rStyle w:val="59"/>
                <w:rFonts w:hint="eastAsia"/>
                <w:highlight w:val="none"/>
              </w:rPr>
              <w:t>有效期内的建造师注册证书扫描件或电子证书（注：打印建造师电子证书后，在个人签名处手写本人签名再扫描提交）</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5</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hint="eastAsia" w:ascii="宋体" w:hAnsi="宋体"/>
                <w:szCs w:val="21"/>
                <w:highlight w:val="none"/>
              </w:rPr>
              <w:t>项目负责人</w:t>
            </w:r>
            <w:r>
              <w:rPr>
                <w:rFonts w:hint="eastAsia" w:ascii="宋体" w:hAnsi="宋体"/>
                <w:szCs w:val="21"/>
                <w:highlight w:val="none"/>
              </w:rPr>
              <w:t>（</w:t>
            </w:r>
            <w:r>
              <w:rPr>
                <w:rFonts w:hint="eastAsia" w:ascii="宋体" w:hAnsi="宋体"/>
                <w:bCs/>
                <w:szCs w:val="21"/>
                <w:highlight w:val="none"/>
              </w:rPr>
              <w:t>联合体投标的，由联合体牵头方提供</w:t>
            </w:r>
            <w:r>
              <w:rPr>
                <w:rFonts w:hint="eastAsia" w:ascii="宋体" w:hAnsi="宋体"/>
                <w:szCs w:val="21"/>
                <w:highlight w:val="none"/>
              </w:rPr>
              <w:t>）</w:t>
            </w:r>
            <w:r>
              <w:rPr>
                <w:rStyle w:val="59"/>
                <w:rFonts w:hint="eastAsia" w:ascii="宋体" w:hAnsi="宋体"/>
                <w:szCs w:val="21"/>
                <w:highlight w:val="none"/>
              </w:rPr>
              <w:t>：持有安全生产考核合格证（B类）或建筑施工企业项目负责人安全生产考核合格证</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hint="eastAsia" w:ascii="宋体" w:hAnsi="宋体"/>
                <w:szCs w:val="21"/>
                <w:highlight w:val="none"/>
              </w:rPr>
              <w:t>项目负责人安全生产考核合格证（B类）或建筑施工企业项目负责人安全生产考核合格证证书扫描件或电子证书</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6</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投标人拟担任本工程技术负责人</w:t>
            </w:r>
            <w:r>
              <w:rPr>
                <w:rFonts w:hint="eastAsia" w:ascii="宋体" w:hAnsi="宋体"/>
                <w:szCs w:val="21"/>
                <w:highlight w:val="none"/>
              </w:rPr>
              <w:t>（</w:t>
            </w:r>
            <w:r>
              <w:rPr>
                <w:rFonts w:hint="eastAsia" w:ascii="宋体" w:hAnsi="宋体"/>
                <w:bCs/>
                <w:szCs w:val="21"/>
                <w:highlight w:val="none"/>
              </w:rPr>
              <w:t>联合体投标的，由联合体牵头方提供</w:t>
            </w:r>
            <w:r>
              <w:rPr>
                <w:rFonts w:hint="eastAsia" w:ascii="宋体" w:hAnsi="宋体"/>
                <w:szCs w:val="21"/>
                <w:highlight w:val="none"/>
              </w:rPr>
              <w:t>）</w:t>
            </w:r>
            <w:r>
              <w:rPr>
                <w:rStyle w:val="59"/>
                <w:rFonts w:ascii="宋体" w:hAnsi="宋体"/>
                <w:szCs w:val="21"/>
                <w:highlight w:val="none"/>
              </w:rPr>
              <w:t>符合公告要求</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拟委托技术负责人的</w:t>
            </w:r>
            <w:r>
              <w:rPr>
                <w:rStyle w:val="59"/>
                <w:rFonts w:hint="eastAsia" w:ascii="宋体" w:hAnsi="宋体"/>
                <w:szCs w:val="21"/>
                <w:highlight w:val="none"/>
              </w:rPr>
              <w:t>职称</w:t>
            </w:r>
            <w:r>
              <w:rPr>
                <w:rStyle w:val="59"/>
                <w:rFonts w:ascii="宋体" w:hAnsi="宋体"/>
                <w:szCs w:val="21"/>
                <w:highlight w:val="none"/>
              </w:rPr>
              <w:t>证书</w:t>
            </w:r>
            <w:r>
              <w:rPr>
                <w:rStyle w:val="59"/>
                <w:rFonts w:hint="eastAsia" w:ascii="宋体" w:hAnsi="宋体"/>
                <w:szCs w:val="21"/>
                <w:highlight w:val="none"/>
              </w:rPr>
              <w:t>扫描件</w:t>
            </w:r>
            <w:r>
              <w:rPr>
                <w:rFonts w:hint="eastAsia" w:ascii="宋体" w:hAnsi="宋体" w:cs="宋体"/>
                <w:szCs w:val="21"/>
                <w:highlight w:val="none"/>
              </w:rPr>
              <w:t>或电子证书</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7</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hint="eastAsia" w:ascii="宋体" w:hAnsi="宋体"/>
                <w:szCs w:val="21"/>
                <w:highlight w:val="none"/>
              </w:rPr>
              <w:t>投标人拟派的专职安全员</w:t>
            </w:r>
            <w:r>
              <w:rPr>
                <w:rFonts w:hint="eastAsia" w:ascii="宋体" w:hAnsi="宋体"/>
                <w:szCs w:val="21"/>
                <w:highlight w:val="none"/>
              </w:rPr>
              <w:t>（</w:t>
            </w:r>
            <w:r>
              <w:rPr>
                <w:rFonts w:hint="eastAsia" w:ascii="宋体" w:hAnsi="宋体"/>
                <w:bCs/>
                <w:szCs w:val="21"/>
                <w:highlight w:val="none"/>
              </w:rPr>
              <w:t>联合体投标的，由联合体牵头方提供</w:t>
            </w:r>
            <w:r>
              <w:rPr>
                <w:rFonts w:hint="eastAsia" w:ascii="宋体" w:hAnsi="宋体"/>
                <w:szCs w:val="21"/>
                <w:highlight w:val="none"/>
              </w:rPr>
              <w:t>）</w:t>
            </w:r>
            <w:r>
              <w:rPr>
                <w:rStyle w:val="59"/>
                <w:rFonts w:hint="eastAsia" w:ascii="宋体" w:hAnsi="宋体"/>
                <w:szCs w:val="21"/>
                <w:highlight w:val="none"/>
              </w:rPr>
              <w:t>须具有在有效期内的安全生产考核合格证（C类）或建筑施工企业专职安全生产管理人员安全生产考核合格证（C3类），</w:t>
            </w:r>
            <w:r>
              <w:rPr>
                <w:rFonts w:hint="eastAsia"/>
                <w:b/>
                <w:szCs w:val="21"/>
                <w:highlight w:val="none"/>
                <w:u w:val="single"/>
              </w:rPr>
              <w:t>项目负责人和</w:t>
            </w:r>
            <w:r>
              <w:rPr>
                <w:b/>
                <w:szCs w:val="21"/>
                <w:highlight w:val="none"/>
                <w:u w:val="single"/>
              </w:rPr>
              <w:t>专职</w:t>
            </w:r>
            <w:r>
              <w:rPr>
                <w:rFonts w:hint="eastAsia"/>
                <w:b/>
                <w:szCs w:val="21"/>
                <w:highlight w:val="none"/>
                <w:u w:val="single"/>
              </w:rPr>
              <w:t>安全员不为同一人</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hint="eastAsia" w:ascii="宋体" w:hAnsi="宋体"/>
                <w:highlight w:val="none"/>
              </w:rPr>
              <w:t>专职安全员的安全生产考核合格证（C类）或建筑施工企业专职安全生产管理人员安全生产考核合格证证书</w:t>
            </w:r>
            <w:r>
              <w:rPr>
                <w:rStyle w:val="59"/>
                <w:rFonts w:hint="eastAsia" w:ascii="宋体" w:hAnsi="宋体"/>
                <w:szCs w:val="21"/>
                <w:highlight w:val="none"/>
              </w:rPr>
              <w:t>（C3类）</w:t>
            </w:r>
            <w:r>
              <w:rPr>
                <w:rStyle w:val="59"/>
                <w:rFonts w:hint="eastAsia" w:ascii="宋体" w:hAnsi="宋体"/>
                <w:highlight w:val="none"/>
              </w:rPr>
              <w:t>扫描件或电子证书，</w:t>
            </w:r>
            <w:r>
              <w:rPr>
                <w:rFonts w:hint="eastAsia"/>
                <w:b/>
                <w:szCs w:val="21"/>
                <w:highlight w:val="none"/>
                <w:u w:val="single"/>
              </w:rPr>
              <w:t>项目负责人和</w:t>
            </w:r>
            <w:r>
              <w:rPr>
                <w:b/>
                <w:szCs w:val="21"/>
                <w:highlight w:val="none"/>
                <w:u w:val="single"/>
              </w:rPr>
              <w:t>专职</w:t>
            </w:r>
            <w:r>
              <w:rPr>
                <w:rFonts w:hint="eastAsia"/>
                <w:b/>
                <w:szCs w:val="21"/>
                <w:highlight w:val="none"/>
                <w:u w:val="single"/>
              </w:rPr>
              <w:t>安全员不为同一人</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8</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投标人提供的投标人声明符合公告要求</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投标人声明</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9</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投标人声明中签字的项目负责人和技术负责人与本项目拟派的</w:t>
            </w:r>
            <w:r>
              <w:rPr>
                <w:rStyle w:val="59"/>
                <w:rFonts w:hint="eastAsia" w:ascii="宋体" w:hAnsi="宋体"/>
                <w:szCs w:val="21"/>
                <w:highlight w:val="none"/>
              </w:rPr>
              <w:t>项目负责人</w:t>
            </w:r>
            <w:r>
              <w:rPr>
                <w:rStyle w:val="59"/>
                <w:rFonts w:ascii="宋体" w:hAnsi="宋体"/>
                <w:szCs w:val="21"/>
                <w:highlight w:val="none"/>
              </w:rPr>
              <w:t>和技术负责人一致</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ascii="宋体" w:hAnsi="宋体"/>
                <w:szCs w:val="21"/>
                <w:highlight w:val="none"/>
              </w:rPr>
              <w:t>网上投标时选择拟投标的</w:t>
            </w:r>
            <w:r>
              <w:rPr>
                <w:rStyle w:val="59"/>
                <w:rFonts w:hint="eastAsia" w:ascii="宋体" w:hAnsi="宋体"/>
                <w:szCs w:val="21"/>
                <w:highlight w:val="none"/>
              </w:rPr>
              <w:t>项目负责人</w:t>
            </w:r>
            <w:r>
              <w:rPr>
                <w:rStyle w:val="59"/>
                <w:rFonts w:ascii="宋体" w:hAnsi="宋体"/>
                <w:szCs w:val="21"/>
                <w:highlight w:val="none"/>
              </w:rPr>
              <w:t>、资格审查文件中拟委派的技术负责人及投标人声明</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10</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182"/>
                <w:rFonts w:hint="default" w:cs="宋体"/>
                <w:color w:val="auto"/>
                <w:sz w:val="21"/>
                <w:szCs w:val="21"/>
                <w:highlight w:val="none"/>
              </w:rPr>
              <w:t>关于联合体投标：本项目</w:t>
            </w:r>
            <w:r>
              <w:rPr>
                <w:rStyle w:val="182"/>
                <w:rFonts w:hint="default" w:cs="宋体"/>
                <w:b/>
                <w:bCs/>
                <w:color w:val="auto"/>
                <w:sz w:val="21"/>
                <w:szCs w:val="21"/>
                <w:highlight w:val="none"/>
              </w:rPr>
              <w:t>接受</w:t>
            </w:r>
            <w:r>
              <w:rPr>
                <w:rStyle w:val="182"/>
                <w:rFonts w:hint="default" w:cs="宋体"/>
                <w:color w:val="auto"/>
                <w:sz w:val="21"/>
                <w:szCs w:val="21"/>
                <w:highlight w:val="none"/>
              </w:rPr>
              <w:t>联合体投标</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Fonts w:hint="eastAsia" w:ascii="宋体" w:hAnsi="宋体" w:cs="宋体"/>
                <w:szCs w:val="21"/>
                <w:highlight w:val="none"/>
                <w:u w:val="single"/>
              </w:rPr>
              <w:t>如联合体投标，应符合招标公告要求。</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11</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Fonts w:hint="eastAsia" w:ascii="宋体" w:hAnsi="宋体"/>
                <w:bCs/>
                <w:szCs w:val="21"/>
                <w:highlight w:val="none"/>
              </w:rPr>
              <w:t>资格审查前，</w:t>
            </w:r>
            <w:r>
              <w:rPr>
                <w:rFonts w:hint="eastAsia" w:ascii="宋体" w:hAnsi="宋体" w:cs="宋体"/>
                <w:szCs w:val="21"/>
                <w:highlight w:val="none"/>
              </w:rPr>
              <w:t>投标人</w:t>
            </w:r>
            <w:bookmarkStart w:id="26" w:name="OLE_LINK2"/>
            <w:r>
              <w:rPr>
                <w:rStyle w:val="59"/>
                <w:rFonts w:hint="eastAsia" w:ascii="宋体" w:hAnsi="宋体"/>
                <w:szCs w:val="21"/>
                <w:highlight w:val="none"/>
              </w:rPr>
              <w:t>（联合体各方）</w:t>
            </w:r>
            <w:bookmarkEnd w:id="26"/>
            <w:r>
              <w:rPr>
                <w:rFonts w:hint="eastAsia" w:ascii="宋体" w:hAnsi="宋体" w:cs="宋体"/>
                <w:szCs w:val="21"/>
                <w:highlight w:val="none"/>
              </w:rPr>
              <w:t>须在</w:t>
            </w:r>
            <w:r>
              <w:rPr>
                <w:rFonts w:hint="eastAsia" w:ascii="宋体" w:hAnsi="宋体" w:cs="宋体"/>
                <w:szCs w:val="21"/>
                <w:highlight w:val="none"/>
                <w:u w:val="single"/>
              </w:rPr>
              <w:t>广州市住房和城乡建设局建立企业信用档案</w:t>
            </w:r>
            <w:r>
              <w:rPr>
                <w:rFonts w:hint="eastAsia" w:ascii="宋体" w:hAnsi="宋体" w:cs="宋体"/>
                <w:szCs w:val="21"/>
                <w:highlight w:val="none"/>
              </w:rPr>
              <w:t>及拟担任本工程项目负责人、专职安全员须是本企业中的在册人员</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Fonts w:hint="eastAsia" w:ascii="宋体" w:hAnsi="宋体" w:cs="宋体"/>
                <w:b/>
                <w:bCs/>
                <w:szCs w:val="21"/>
                <w:highlight w:val="none"/>
                <w:u w:val="single"/>
              </w:rPr>
              <w:t>投标人无需提供证明资料</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12</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highlight w:val="none"/>
              </w:rPr>
            </w:pPr>
            <w:r>
              <w:rPr>
                <w:rFonts w:hint="eastAsia" w:ascii="宋体" w:hAnsi="宋体"/>
                <w:highlight w:val="none"/>
              </w:rPr>
              <w:t>投标人</w:t>
            </w:r>
            <w:bookmarkStart w:id="27" w:name="OLE_LINK3"/>
            <w:r>
              <w:rPr>
                <w:rStyle w:val="59"/>
                <w:rFonts w:hint="eastAsia" w:ascii="宋体" w:hAnsi="宋体"/>
                <w:szCs w:val="21"/>
                <w:highlight w:val="none"/>
              </w:rPr>
              <w:t>（联合体各方）</w:t>
            </w:r>
            <w:bookmarkEnd w:id="27"/>
            <w:r>
              <w:rPr>
                <w:rFonts w:hint="eastAsia" w:ascii="宋体" w:hAnsi="宋体"/>
                <w:highlight w:val="none"/>
              </w:rPr>
              <w:t>未出现以下情形：与其它投标人的单位负责人为同一人或者存在控股、管理关系的（按投标人提供的《投标人声明》第九条内容进行评审）</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Style w:val="59"/>
                <w:rFonts w:hint="eastAsia" w:ascii="宋体" w:hAnsi="宋体"/>
                <w:szCs w:val="21"/>
                <w:highlight w:val="none"/>
              </w:rPr>
              <w:t>投标人声明</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72"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r>
              <w:rPr>
                <w:rStyle w:val="59"/>
                <w:rFonts w:hint="eastAsia" w:ascii="宋体" w:hAnsi="宋体"/>
                <w:szCs w:val="21"/>
                <w:highlight w:val="none"/>
              </w:rPr>
              <w:t>13</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Fonts w:hint="eastAsia" w:ascii="宋体" w:hAnsi="宋体"/>
                <w:highlight w:val="none"/>
              </w:rPr>
              <w:t>投标人</w:t>
            </w:r>
            <w:r>
              <w:rPr>
                <w:rStyle w:val="59"/>
                <w:rFonts w:hint="eastAsia" w:ascii="宋体" w:hAnsi="宋体"/>
                <w:szCs w:val="21"/>
                <w:highlight w:val="none"/>
              </w:rPr>
              <w:t>（联合体各方）</w:t>
            </w:r>
            <w:r>
              <w:rPr>
                <w:rFonts w:hint="eastAsia" w:ascii="宋体" w:hAnsi="宋体" w:cs="宋体"/>
                <w:szCs w:val="21"/>
                <w:highlight w:val="none"/>
              </w:rPr>
              <w:t>未被列入拖欠农民工工资失信联合惩戒对象名单和失信被执行人</w:t>
            </w:r>
          </w:p>
        </w:tc>
        <w:tc>
          <w:tcPr>
            <w:tcW w:w="3882" w:type="dxa"/>
            <w:tcBorders>
              <w:top w:val="single" w:color="000000" w:sz="4" w:space="0"/>
              <w:left w:val="single" w:color="000000" w:sz="4" w:space="0"/>
              <w:bottom w:val="single" w:color="000000" w:sz="4" w:space="0"/>
              <w:right w:val="single" w:color="000000" w:sz="4" w:space="0"/>
            </w:tcBorders>
            <w:vAlign w:val="center"/>
          </w:tcPr>
          <w:p>
            <w:pPr>
              <w:widowControl w:val="0"/>
              <w:spacing w:line="276" w:lineRule="auto"/>
              <w:ind w:left="63" w:leftChars="30" w:right="63" w:rightChars="30"/>
              <w:rPr>
                <w:rStyle w:val="59"/>
                <w:rFonts w:hint="eastAsia" w:ascii="宋体" w:hAnsi="宋体"/>
                <w:szCs w:val="21"/>
                <w:highlight w:val="none"/>
              </w:rPr>
            </w:pPr>
            <w:r>
              <w:rPr>
                <w:rFonts w:hint="eastAsia" w:ascii="宋体" w:hAnsi="宋体" w:cs="宋体"/>
                <w:szCs w:val="21"/>
                <w:highlight w:val="none"/>
              </w:rPr>
              <w:t>投标人无需提供资料，按投标截止时间交易系统比对的结果进行评审</w:t>
            </w:r>
          </w:p>
        </w:tc>
        <w:tc>
          <w:tcPr>
            <w:tcW w:w="1165"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jc w:val="center"/>
              <w:rPr>
                <w:rStyle w:val="59"/>
                <w:rFonts w:hint="eastAsia" w:ascii="宋体" w:hAnsi="宋体"/>
                <w:szCs w:val="21"/>
                <w:highlight w:val="none"/>
              </w:rPr>
            </w:pPr>
          </w:p>
        </w:tc>
      </w:tr>
    </w:tbl>
    <w:p>
      <w:pPr>
        <w:spacing w:line="276" w:lineRule="auto"/>
        <w:ind w:firstLine="420" w:firstLineChars="200"/>
        <w:rPr>
          <w:rStyle w:val="59"/>
          <w:rFonts w:hint="eastAsia" w:ascii="宋体" w:hAnsi="宋体"/>
          <w:szCs w:val="21"/>
          <w:highlight w:val="none"/>
        </w:rPr>
      </w:pPr>
      <w:r>
        <w:rPr>
          <w:rStyle w:val="59"/>
          <w:rFonts w:ascii="宋体" w:hAnsi="宋体"/>
          <w:szCs w:val="21"/>
          <w:highlight w:val="none"/>
        </w:rPr>
        <w:t>备注：</w:t>
      </w:r>
    </w:p>
    <w:p>
      <w:pPr>
        <w:spacing w:line="276" w:lineRule="auto"/>
        <w:ind w:firstLine="470" w:firstLineChars="224"/>
        <w:rPr>
          <w:rStyle w:val="59"/>
          <w:rFonts w:hint="eastAsia" w:ascii="宋体" w:hAnsi="宋体"/>
          <w:szCs w:val="21"/>
          <w:highlight w:val="none"/>
        </w:rPr>
      </w:pPr>
      <w:r>
        <w:rPr>
          <w:rStyle w:val="59"/>
          <w:rFonts w:ascii="宋体" w:hAnsi="宋体"/>
          <w:szCs w:val="21"/>
          <w:highlight w:val="none"/>
        </w:rPr>
        <w:t>1.</w:t>
      </w:r>
      <w:r>
        <w:rPr>
          <w:rStyle w:val="59"/>
          <w:rFonts w:hint="eastAsia" w:ascii="宋体" w:hAnsi="宋体"/>
          <w:szCs w:val="21"/>
          <w:highlight w:val="none"/>
        </w:rPr>
        <w:t xml:space="preserve">每一项目符合的打“○”，不符合的打“×”； </w:t>
      </w:r>
    </w:p>
    <w:p>
      <w:pPr>
        <w:spacing w:line="276" w:lineRule="auto"/>
        <w:ind w:firstLine="470" w:firstLineChars="224"/>
        <w:rPr>
          <w:rStyle w:val="59"/>
          <w:rFonts w:hint="eastAsia" w:ascii="宋体" w:hAnsi="宋体"/>
          <w:szCs w:val="21"/>
          <w:highlight w:val="none"/>
        </w:rPr>
      </w:pPr>
      <w:r>
        <w:rPr>
          <w:rStyle w:val="59"/>
          <w:rFonts w:ascii="宋体" w:hAnsi="宋体"/>
          <w:szCs w:val="21"/>
          <w:highlight w:val="none"/>
        </w:rPr>
        <w:t>2.</w:t>
      </w:r>
      <w:r>
        <w:rPr>
          <w:rStyle w:val="59"/>
          <w:rFonts w:hint="eastAsia" w:ascii="宋体" w:hAnsi="宋体"/>
          <w:szCs w:val="21"/>
          <w:highlight w:val="none"/>
        </w:rPr>
        <w:t>若评委意见不一致时，则按少数服从多数的原则，作出评审结论。汇总后，出现一个“×”的结论为“不通过”；</w:t>
      </w:r>
    </w:p>
    <w:p>
      <w:pPr>
        <w:spacing w:line="276" w:lineRule="auto"/>
        <w:ind w:firstLine="470" w:firstLineChars="224"/>
        <w:rPr>
          <w:rStyle w:val="59"/>
          <w:rFonts w:hint="eastAsia" w:ascii="宋体" w:hAnsi="宋体"/>
          <w:szCs w:val="21"/>
          <w:highlight w:val="none"/>
        </w:rPr>
      </w:pPr>
      <w:r>
        <w:rPr>
          <w:rStyle w:val="59"/>
          <w:rFonts w:ascii="宋体" w:hAnsi="宋体"/>
          <w:szCs w:val="21"/>
          <w:highlight w:val="none"/>
        </w:rPr>
        <w:t>3.</w:t>
      </w:r>
      <w:r>
        <w:rPr>
          <w:rStyle w:val="59"/>
          <w:rFonts w:hint="eastAsia" w:ascii="宋体" w:hAnsi="宋体"/>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0" w:firstLineChars="224"/>
        <w:rPr>
          <w:rStyle w:val="59"/>
          <w:rFonts w:hint="eastAsia" w:ascii="宋体" w:hAnsi="宋体"/>
          <w:szCs w:val="21"/>
          <w:highlight w:val="none"/>
        </w:rPr>
      </w:pPr>
    </w:p>
    <w:p>
      <w:pPr>
        <w:rPr>
          <w:rStyle w:val="59"/>
          <w:rFonts w:hint="eastAsia" w:ascii="宋体" w:hAnsi="宋体"/>
          <w:highlight w:val="none"/>
        </w:rPr>
        <w:sectPr>
          <w:footerReference r:id="rId10" w:type="first"/>
          <w:footerReference r:id="rId9" w:type="default"/>
          <w:endnotePr>
            <w:numFmt w:val="decimal"/>
          </w:endnotePr>
          <w:pgSz w:w="11906" w:h="16838"/>
          <w:pgMar w:top="1418" w:right="1588" w:bottom="1418" w:left="1588" w:header="851" w:footer="907" w:gutter="0"/>
          <w:pgNumType w:start="1"/>
          <w:cols w:space="720" w:num="1"/>
          <w:docGrid w:type="lines" w:linePitch="312" w:charSpace="0"/>
        </w:sectPr>
      </w:pPr>
    </w:p>
    <w:p>
      <w:pPr>
        <w:spacing w:line="276" w:lineRule="auto"/>
        <w:rPr>
          <w:rStyle w:val="59"/>
          <w:rFonts w:hint="eastAsia" w:ascii="宋体" w:hAnsi="宋体"/>
          <w:b/>
          <w:bCs/>
          <w:szCs w:val="21"/>
          <w:highlight w:val="none"/>
        </w:rPr>
      </w:pPr>
      <w:r>
        <w:rPr>
          <w:rStyle w:val="59"/>
          <w:rFonts w:ascii="宋体" w:hAnsi="宋体"/>
          <w:b/>
          <w:bCs/>
          <w:szCs w:val="21"/>
          <w:highlight w:val="none"/>
        </w:rPr>
        <w:t>附表二</w:t>
      </w:r>
    </w:p>
    <w:p>
      <w:pPr>
        <w:spacing w:line="276" w:lineRule="auto"/>
        <w:jc w:val="center"/>
        <w:rPr>
          <w:rStyle w:val="59"/>
          <w:rFonts w:hint="eastAsia" w:ascii="宋体" w:hAnsi="宋体"/>
          <w:b/>
          <w:sz w:val="36"/>
          <w:szCs w:val="36"/>
          <w:highlight w:val="none"/>
        </w:rPr>
      </w:pPr>
      <w:r>
        <w:rPr>
          <w:rStyle w:val="59"/>
          <w:rFonts w:ascii="宋体" w:hAnsi="宋体"/>
          <w:b/>
          <w:sz w:val="36"/>
          <w:szCs w:val="36"/>
          <w:highlight w:val="none"/>
        </w:rPr>
        <w:t>技术标有效性审查表</w:t>
      </w:r>
    </w:p>
    <w:p>
      <w:pPr>
        <w:spacing w:line="276" w:lineRule="auto"/>
        <w:rPr>
          <w:rStyle w:val="59"/>
          <w:rFonts w:hint="eastAsia" w:ascii="宋体" w:hAnsi="宋体"/>
          <w:szCs w:val="21"/>
          <w:highlight w:val="none"/>
        </w:rPr>
      </w:pPr>
      <w:r>
        <w:rPr>
          <w:rStyle w:val="59"/>
          <w:rFonts w:ascii="宋体" w:hAnsi="宋体"/>
          <w:szCs w:val="21"/>
          <w:highlight w:val="none"/>
        </w:rPr>
        <w:t>工程名称：</w:t>
      </w:r>
    </w:p>
    <w:tbl>
      <w:tblPr>
        <w:tblStyle w:val="28"/>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0689"/>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highlight w:val="none"/>
              </w:rPr>
            </w:pPr>
            <w:r>
              <w:rPr>
                <w:rFonts w:hint="eastAsia" w:ascii="宋体" w:hAnsi="宋体"/>
                <w:szCs w:val="21"/>
                <w:highlight w:val="none"/>
              </w:rPr>
              <w:t>序号</w:t>
            </w:r>
          </w:p>
        </w:tc>
        <w:tc>
          <w:tcPr>
            <w:tcW w:w="3910" w:type="pct"/>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hint="eastAsia"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投标人</w:t>
            </w:r>
          </w:p>
          <w:p>
            <w:pPr>
              <w:adjustRightInd w:val="0"/>
              <w:rPr>
                <w:rFonts w:hint="eastAsia" w:ascii="宋体" w:hAnsi="宋体"/>
                <w:szCs w:val="21"/>
                <w:highlight w:val="none"/>
              </w:rPr>
            </w:pPr>
          </w:p>
          <w:p>
            <w:pPr>
              <w:adjustRightInd w:val="0"/>
              <w:rPr>
                <w:rFonts w:hint="eastAsia" w:ascii="宋体" w:hAnsi="宋体"/>
                <w:szCs w:val="21"/>
                <w:highlight w:val="none"/>
              </w:rPr>
            </w:pPr>
            <w:r>
              <w:rPr>
                <w:rFonts w:hint="eastAsia" w:ascii="宋体" w:hAnsi="宋体"/>
                <w:szCs w:val="21"/>
                <w:highlight w:val="none"/>
              </w:rPr>
              <w:t>评审内容</w:t>
            </w:r>
          </w:p>
        </w:tc>
        <w:tc>
          <w:tcPr>
            <w:tcW w:w="67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highlight w:val="none"/>
              </w:rPr>
            </w:pPr>
            <w:r>
              <w:rPr>
                <w:rFonts w:hint="eastAsia" w:ascii="宋体" w:hAnsi="宋体"/>
                <w:szCs w:val="21"/>
                <w:highlight w:val="none"/>
              </w:rPr>
              <w:t>1</w:t>
            </w:r>
          </w:p>
        </w:tc>
        <w:tc>
          <w:tcPr>
            <w:tcW w:w="3910" w:type="pct"/>
            <w:tcBorders>
              <w:top w:val="single" w:color="auto" w:sz="4" w:space="0"/>
              <w:left w:val="single" w:color="auto" w:sz="4" w:space="0"/>
              <w:bottom w:val="single" w:color="auto" w:sz="4" w:space="0"/>
              <w:right w:val="single" w:color="auto" w:sz="4" w:space="0"/>
            </w:tcBorders>
            <w:vAlign w:val="center"/>
          </w:tcPr>
          <w:p>
            <w:pPr>
              <w:spacing w:line="276" w:lineRule="auto"/>
              <w:rPr>
                <w:rStyle w:val="59"/>
                <w:rFonts w:hint="eastAsia" w:ascii="宋体" w:hAnsi="宋体"/>
                <w:highlight w:val="none"/>
              </w:rPr>
            </w:pPr>
            <w:r>
              <w:rPr>
                <w:rStyle w:val="59"/>
                <w:rFonts w:ascii="宋体" w:hAnsi="宋体"/>
                <w:highlight w:val="none"/>
              </w:rPr>
              <w:t>《广州建设工程施工招标投标书》中填报的投标总工期不符合招标文件要求的；</w:t>
            </w:r>
          </w:p>
        </w:tc>
        <w:tc>
          <w:tcPr>
            <w:tcW w:w="67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highlight w:val="none"/>
              </w:rPr>
            </w:pPr>
            <w:r>
              <w:rPr>
                <w:rFonts w:hint="eastAsia" w:ascii="宋体" w:hAnsi="宋体"/>
                <w:szCs w:val="21"/>
                <w:highlight w:val="none"/>
              </w:rPr>
              <w:t>2</w:t>
            </w:r>
          </w:p>
        </w:tc>
        <w:tc>
          <w:tcPr>
            <w:tcW w:w="3910" w:type="pct"/>
            <w:tcBorders>
              <w:top w:val="single" w:color="auto" w:sz="4" w:space="0"/>
              <w:left w:val="single" w:color="auto" w:sz="4" w:space="0"/>
              <w:bottom w:val="single" w:color="auto" w:sz="4" w:space="0"/>
              <w:right w:val="single" w:color="auto" w:sz="4" w:space="0"/>
            </w:tcBorders>
            <w:vAlign w:val="center"/>
          </w:tcPr>
          <w:p>
            <w:pPr>
              <w:spacing w:line="276" w:lineRule="auto"/>
              <w:rPr>
                <w:rStyle w:val="59"/>
                <w:rFonts w:hint="eastAsia" w:ascii="宋体" w:hAnsi="宋体"/>
                <w:highlight w:val="none"/>
              </w:rPr>
            </w:pPr>
            <w:r>
              <w:rPr>
                <w:rStyle w:val="59"/>
                <w:rFonts w:ascii="宋体" w:hAnsi="宋体"/>
                <w:highlight w:val="none"/>
              </w:rPr>
              <w:t>《广州建设工程施工招标投标书》中填报的工程质量标准不符合招标文件要求的；</w:t>
            </w:r>
          </w:p>
        </w:tc>
        <w:tc>
          <w:tcPr>
            <w:tcW w:w="67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highlight w:val="none"/>
              </w:rPr>
            </w:pPr>
            <w:r>
              <w:rPr>
                <w:rFonts w:hint="eastAsia" w:ascii="宋体" w:hAnsi="宋体"/>
                <w:szCs w:val="21"/>
                <w:highlight w:val="none"/>
              </w:rPr>
              <w:t>3</w:t>
            </w:r>
          </w:p>
        </w:tc>
        <w:tc>
          <w:tcPr>
            <w:tcW w:w="3910" w:type="pct"/>
            <w:tcBorders>
              <w:top w:val="single" w:color="auto" w:sz="4" w:space="0"/>
              <w:left w:val="single" w:color="auto" w:sz="4" w:space="0"/>
              <w:bottom w:val="single" w:color="auto" w:sz="4" w:space="0"/>
              <w:right w:val="single" w:color="auto" w:sz="4" w:space="0"/>
            </w:tcBorders>
            <w:vAlign w:val="center"/>
          </w:tcPr>
          <w:p>
            <w:pPr>
              <w:spacing w:line="276" w:lineRule="auto"/>
              <w:rPr>
                <w:rStyle w:val="59"/>
                <w:rFonts w:hint="eastAsia" w:ascii="宋体" w:hAnsi="宋体"/>
                <w:highlight w:val="none"/>
              </w:rPr>
            </w:pPr>
            <w:r>
              <w:rPr>
                <w:rStyle w:val="59"/>
                <w:rFonts w:ascii="宋体" w:hAnsi="宋体"/>
                <w:highlight w:val="none"/>
              </w:rPr>
              <w:t>投标文件中没有有效的法定代表人证明书，或由委托代理人签署的投标文件中没有法定代表人授权书；</w:t>
            </w:r>
          </w:p>
        </w:tc>
        <w:tc>
          <w:tcPr>
            <w:tcW w:w="67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highlight w:val="none"/>
              </w:rPr>
            </w:pPr>
            <w:r>
              <w:rPr>
                <w:rFonts w:hint="eastAsia" w:ascii="宋体" w:hAnsi="宋体"/>
                <w:szCs w:val="21"/>
                <w:highlight w:val="none"/>
              </w:rPr>
              <w:t>4</w:t>
            </w:r>
          </w:p>
        </w:tc>
        <w:tc>
          <w:tcPr>
            <w:tcW w:w="3910" w:type="pct"/>
            <w:tcBorders>
              <w:top w:val="single" w:color="auto" w:sz="4" w:space="0"/>
              <w:left w:val="single" w:color="auto" w:sz="4" w:space="0"/>
              <w:bottom w:val="single" w:color="auto" w:sz="4" w:space="0"/>
              <w:right w:val="single" w:color="auto" w:sz="4" w:space="0"/>
            </w:tcBorders>
            <w:vAlign w:val="center"/>
          </w:tcPr>
          <w:p>
            <w:pPr>
              <w:spacing w:line="276" w:lineRule="auto"/>
              <w:rPr>
                <w:rStyle w:val="59"/>
                <w:rFonts w:hint="eastAsia" w:ascii="宋体" w:hAnsi="宋体"/>
                <w:highlight w:val="none"/>
              </w:rPr>
            </w:pPr>
            <w:r>
              <w:rPr>
                <w:rStyle w:val="59"/>
                <w:rFonts w:ascii="宋体" w:hAnsi="宋体"/>
                <w:highlight w:val="none"/>
              </w:rPr>
              <w:t>投标文件未按规定的格式填写（指招标文件第四章提供格式的《广州建设工程施工招标投标书（技术标）》、《投标函》、《危险性较大的分部分项工程安全管理措施》，或主要内容不全，或关键字迹模糊、无法辨认的；</w:t>
            </w:r>
          </w:p>
        </w:tc>
        <w:tc>
          <w:tcPr>
            <w:tcW w:w="67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highlight w:val="none"/>
              </w:rPr>
            </w:pPr>
            <w:r>
              <w:rPr>
                <w:rFonts w:hint="eastAsia" w:ascii="宋体" w:hAnsi="宋体"/>
                <w:szCs w:val="21"/>
                <w:highlight w:val="none"/>
              </w:rPr>
              <w:t>5</w:t>
            </w:r>
          </w:p>
        </w:tc>
        <w:tc>
          <w:tcPr>
            <w:tcW w:w="3910" w:type="pct"/>
            <w:tcBorders>
              <w:top w:val="single" w:color="auto" w:sz="4" w:space="0"/>
              <w:left w:val="single" w:color="auto" w:sz="4" w:space="0"/>
              <w:bottom w:val="single" w:color="auto" w:sz="4" w:space="0"/>
              <w:right w:val="single" w:color="auto" w:sz="4" w:space="0"/>
            </w:tcBorders>
            <w:vAlign w:val="center"/>
          </w:tcPr>
          <w:p>
            <w:pPr>
              <w:spacing w:line="276" w:lineRule="auto"/>
              <w:rPr>
                <w:rStyle w:val="59"/>
                <w:rFonts w:hint="eastAsia" w:ascii="宋体" w:hAnsi="宋体"/>
                <w:highlight w:val="none"/>
              </w:rPr>
            </w:pPr>
            <w:r>
              <w:rPr>
                <w:rStyle w:val="59"/>
                <w:rFonts w:ascii="宋体" w:hAnsi="宋体"/>
                <w:highlight w:val="none"/>
              </w:rPr>
              <w:t>投标人之间存在《广东省实施&lt;中华人民共和国招标投标法&gt;》第十六条所禁止的情形的；</w:t>
            </w:r>
          </w:p>
        </w:tc>
        <w:tc>
          <w:tcPr>
            <w:tcW w:w="67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highlight w:val="none"/>
              </w:rPr>
            </w:pPr>
            <w:r>
              <w:rPr>
                <w:rFonts w:hint="eastAsia" w:ascii="宋体" w:hAnsi="宋体"/>
                <w:szCs w:val="21"/>
                <w:highlight w:val="none"/>
              </w:rPr>
              <w:t>6</w:t>
            </w:r>
          </w:p>
        </w:tc>
        <w:tc>
          <w:tcPr>
            <w:tcW w:w="3910" w:type="pct"/>
            <w:tcBorders>
              <w:top w:val="single" w:color="auto" w:sz="4" w:space="0"/>
              <w:left w:val="single" w:color="auto" w:sz="4" w:space="0"/>
              <w:bottom w:val="single" w:color="auto" w:sz="4" w:space="0"/>
              <w:right w:val="single" w:color="auto" w:sz="4" w:space="0"/>
            </w:tcBorders>
            <w:vAlign w:val="center"/>
          </w:tcPr>
          <w:p>
            <w:pPr>
              <w:spacing w:line="276" w:lineRule="auto"/>
              <w:rPr>
                <w:rStyle w:val="59"/>
                <w:rFonts w:hint="eastAsia" w:ascii="宋体" w:hAnsi="宋体"/>
                <w:highlight w:val="none"/>
              </w:rPr>
            </w:pPr>
            <w:r>
              <w:rPr>
                <w:rStyle w:val="59"/>
                <w:rFonts w:ascii="宋体" w:hAnsi="宋体"/>
                <w:highlight w:val="none"/>
              </w:rPr>
              <w:t>无《参与编制技术标投标文件人员名单》的</w:t>
            </w:r>
          </w:p>
        </w:tc>
        <w:tc>
          <w:tcPr>
            <w:tcW w:w="67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szCs w:val="21"/>
                <w:highlight w:val="none"/>
              </w:rPr>
            </w:pPr>
            <w:r>
              <w:rPr>
                <w:rFonts w:hint="eastAsia" w:ascii="宋体" w:hAnsi="宋体"/>
                <w:szCs w:val="21"/>
                <w:highlight w:val="none"/>
              </w:rPr>
              <w:t>7</w:t>
            </w:r>
          </w:p>
        </w:tc>
        <w:tc>
          <w:tcPr>
            <w:tcW w:w="3910" w:type="pct"/>
            <w:tcBorders>
              <w:top w:val="single" w:color="auto" w:sz="4" w:space="0"/>
              <w:left w:val="single" w:color="auto" w:sz="4" w:space="0"/>
              <w:bottom w:val="single" w:color="auto" w:sz="4" w:space="0"/>
              <w:right w:val="single" w:color="auto" w:sz="4" w:space="0"/>
            </w:tcBorders>
            <w:vAlign w:val="center"/>
          </w:tcPr>
          <w:p>
            <w:pPr>
              <w:spacing w:line="276" w:lineRule="auto"/>
              <w:rPr>
                <w:rStyle w:val="59"/>
                <w:rFonts w:hint="eastAsia" w:ascii="宋体" w:hAnsi="宋体"/>
                <w:highlight w:val="none"/>
              </w:rPr>
            </w:pPr>
            <w:r>
              <w:rPr>
                <w:rStyle w:val="59"/>
                <w:rFonts w:ascii="宋体" w:hAnsi="宋体"/>
                <w:highlight w:val="none"/>
              </w:rPr>
              <w:t>投标人与本项目其他投标人加密打包投标文件电脑机器特征码一致的（以交易平台评标系统的检索信息为准）</w:t>
            </w:r>
          </w:p>
        </w:tc>
        <w:tc>
          <w:tcPr>
            <w:tcW w:w="67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szCs w:val="21"/>
                <w:highlight w:val="none"/>
              </w:rPr>
            </w:pPr>
          </w:p>
        </w:tc>
      </w:tr>
    </w:tbl>
    <w:p>
      <w:pPr>
        <w:spacing w:line="276" w:lineRule="auto"/>
        <w:ind w:firstLine="420" w:firstLineChars="200"/>
        <w:rPr>
          <w:rStyle w:val="59"/>
          <w:rFonts w:hint="eastAsia" w:ascii="宋体" w:hAnsi="宋体"/>
          <w:szCs w:val="21"/>
          <w:highlight w:val="none"/>
        </w:rPr>
      </w:pPr>
      <w:r>
        <w:rPr>
          <w:rStyle w:val="59"/>
          <w:rFonts w:ascii="宋体" w:hAnsi="宋体"/>
          <w:szCs w:val="21"/>
          <w:highlight w:val="none"/>
        </w:rPr>
        <w:t>注：</w:t>
      </w:r>
    </w:p>
    <w:p>
      <w:pPr>
        <w:spacing w:line="276" w:lineRule="auto"/>
        <w:ind w:firstLine="420" w:firstLineChars="200"/>
        <w:rPr>
          <w:rStyle w:val="59"/>
          <w:rFonts w:hint="eastAsia" w:ascii="宋体" w:hAnsi="宋体"/>
          <w:szCs w:val="21"/>
          <w:highlight w:val="none"/>
        </w:rPr>
      </w:pPr>
      <w:r>
        <w:rPr>
          <w:rStyle w:val="59"/>
          <w:rFonts w:hint="eastAsia" w:ascii="宋体" w:hAnsi="宋体"/>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pPr>
        <w:spacing w:line="276" w:lineRule="auto"/>
        <w:ind w:firstLine="420" w:firstLineChars="200"/>
        <w:rPr>
          <w:rStyle w:val="59"/>
          <w:rFonts w:hint="eastAsia" w:ascii="宋体" w:hAnsi="宋体"/>
          <w:szCs w:val="21"/>
          <w:highlight w:val="none"/>
        </w:rPr>
      </w:pPr>
      <w:r>
        <w:rPr>
          <w:rStyle w:val="59"/>
          <w:rFonts w:hint="eastAsia" w:ascii="宋体" w:hAnsi="宋体"/>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pacing w:line="276" w:lineRule="auto"/>
        <w:ind w:firstLine="420" w:firstLineChars="200"/>
        <w:rPr>
          <w:rStyle w:val="59"/>
          <w:rFonts w:hint="eastAsia" w:ascii="宋体" w:hAnsi="宋体"/>
          <w:szCs w:val="21"/>
          <w:highlight w:val="none"/>
        </w:rPr>
      </w:pPr>
      <w:r>
        <w:rPr>
          <w:rStyle w:val="59"/>
          <w:rFonts w:hint="eastAsia" w:ascii="宋体" w:hAnsi="宋体"/>
          <w:szCs w:val="21"/>
          <w:highlight w:val="none"/>
        </w:rPr>
        <w:t>3.凡出现以上任何一项情形，结论均为无效，否则就为有效；</w:t>
      </w:r>
    </w:p>
    <w:p>
      <w:pPr>
        <w:spacing w:line="276" w:lineRule="auto"/>
        <w:ind w:firstLine="420" w:firstLineChars="200"/>
        <w:rPr>
          <w:rStyle w:val="59"/>
          <w:rFonts w:hint="eastAsia" w:ascii="宋体" w:hAnsi="宋体"/>
          <w:szCs w:val="21"/>
          <w:highlight w:val="none"/>
        </w:rPr>
      </w:pPr>
      <w:r>
        <w:rPr>
          <w:rStyle w:val="59"/>
          <w:rFonts w:ascii="宋体" w:hAnsi="宋体"/>
          <w:szCs w:val="21"/>
          <w:highlight w:val="none"/>
        </w:rPr>
        <w:t>4</w:t>
      </w:r>
      <w:r>
        <w:rPr>
          <w:rStyle w:val="59"/>
          <w:rFonts w:hint="eastAsia" w:ascii="宋体" w:hAnsi="宋体"/>
          <w:szCs w:val="21"/>
          <w:highlight w:val="none"/>
        </w:rPr>
        <w:t>.如对本表中某种情形的评审意见不一致时，以评标委员会过半数成员的意见作为评标委员会对该情形的认定结论</w:t>
      </w:r>
      <w:r>
        <w:rPr>
          <w:rStyle w:val="59"/>
          <w:rFonts w:ascii="宋体" w:hAnsi="宋体"/>
          <w:szCs w:val="21"/>
          <w:highlight w:val="none"/>
        </w:rPr>
        <w:t>。</w:t>
      </w:r>
    </w:p>
    <w:p>
      <w:pPr>
        <w:spacing w:line="276" w:lineRule="auto"/>
        <w:ind w:firstLine="420" w:firstLineChars="200"/>
        <w:rPr>
          <w:rStyle w:val="59"/>
          <w:rFonts w:hint="eastAsia" w:ascii="宋体" w:hAnsi="宋体"/>
          <w:szCs w:val="21"/>
          <w:highlight w:val="none"/>
        </w:rPr>
      </w:pPr>
      <w:r>
        <w:rPr>
          <w:rStyle w:val="59"/>
          <w:rFonts w:ascii="宋体" w:hAnsi="宋体"/>
          <w:szCs w:val="21"/>
          <w:highlight w:val="none"/>
        </w:rPr>
        <w:t>评委签名：</w:t>
      </w:r>
    </w:p>
    <w:p>
      <w:pPr>
        <w:spacing w:line="276" w:lineRule="auto"/>
        <w:rPr>
          <w:rStyle w:val="59"/>
          <w:rFonts w:hint="eastAsia" w:ascii="宋体" w:hAnsi="宋体"/>
          <w:b/>
          <w:bCs/>
          <w:szCs w:val="21"/>
          <w:highlight w:val="none"/>
        </w:rPr>
      </w:pPr>
      <w:r>
        <w:rPr>
          <w:rStyle w:val="59"/>
          <w:rFonts w:ascii="宋体" w:hAnsi="宋体"/>
          <w:highlight w:val="none"/>
        </w:rPr>
        <w:br w:type="page"/>
      </w:r>
      <w:r>
        <w:rPr>
          <w:rFonts w:ascii="宋体" w:hAnsi="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-1598930</wp:posOffset>
                </wp:positionV>
                <wp:extent cx="6982460" cy="424180"/>
                <wp:effectExtent l="0" t="4445" r="8890" b="9525"/>
                <wp:wrapNone/>
                <wp:docPr id="1" name="自选图形 14"/>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55.2pt;margin-top:-125.9pt;height:33.4pt;width:549.8pt;z-index:251659264;mso-width-relative:page;mso-height-relative:page;" filled="f" stroked="t"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dCol2QAAAA4BAAAPAAAAAAAAAAEAIAAAACIAAABkcnMvZG93bnJl&#10;di54bWxQSwECFAAUAAAACACHTuJAKy7He/wBAADpAwAADgAAAAAAAAABACAAAAAoAQAAZHJzL2Uy&#10;b0RvYy54bWxQSwUGAAAAAAYABgBZAQAAlgUAAAAA&#10;">
                <v:fill on="f" focussize="0,0"/>
                <v:stroke color="#000000" joinstyle="round"/>
                <v:imagedata o:title=""/>
                <o:lock v:ext="edit" aspectratio="f"/>
              </v:shape>
            </w:pict>
          </mc:Fallback>
        </mc:AlternateContent>
      </w:r>
      <w:r>
        <w:rPr>
          <w:rStyle w:val="59"/>
          <w:rFonts w:ascii="宋体" w:hAnsi="宋体"/>
          <w:b/>
          <w:bCs/>
          <w:szCs w:val="21"/>
          <w:highlight w:val="none"/>
        </w:rPr>
        <w:t>附表三</w:t>
      </w:r>
    </w:p>
    <w:p>
      <w:pPr>
        <w:spacing w:line="276" w:lineRule="auto"/>
        <w:jc w:val="center"/>
        <w:rPr>
          <w:rStyle w:val="59"/>
          <w:rFonts w:hint="eastAsia" w:ascii="宋体" w:hAnsi="宋体"/>
          <w:b/>
          <w:sz w:val="36"/>
          <w:szCs w:val="36"/>
          <w:highlight w:val="none"/>
        </w:rPr>
      </w:pPr>
      <w:r>
        <w:rPr>
          <w:rStyle w:val="59"/>
          <w:rFonts w:ascii="宋体" w:hAnsi="宋体"/>
          <w:b/>
          <w:sz w:val="36"/>
          <w:szCs w:val="36"/>
          <w:highlight w:val="none"/>
        </w:rPr>
        <w:t>经济标有效性审查表</w:t>
      </w:r>
    </w:p>
    <w:p>
      <w:pPr>
        <w:spacing w:line="276" w:lineRule="auto"/>
        <w:rPr>
          <w:rStyle w:val="59"/>
          <w:rFonts w:hint="eastAsia" w:ascii="宋体" w:hAnsi="宋体"/>
          <w:szCs w:val="21"/>
          <w:highlight w:val="none"/>
        </w:rPr>
      </w:pPr>
      <w:r>
        <w:rPr>
          <w:rStyle w:val="59"/>
          <w:rFonts w:ascii="宋体" w:hAnsi="宋体"/>
          <w:szCs w:val="21"/>
          <w:highlight w:val="none"/>
        </w:rPr>
        <w:t>工程名称：</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10738"/>
        <w:gridCol w:w="1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序号</w:t>
            </w:r>
          </w:p>
        </w:tc>
        <w:tc>
          <w:tcPr>
            <w:tcW w:w="10738" w:type="dxa"/>
            <w:tcBorders>
              <w:top w:val="single" w:color="000000" w:sz="4" w:space="0"/>
              <w:left w:val="single" w:color="000000" w:sz="4" w:space="0"/>
              <w:bottom w:val="single" w:color="000000" w:sz="4" w:space="0"/>
              <w:right w:val="single" w:color="000000" w:sz="4" w:space="0"/>
              <w:tl2br w:val="single" w:color="auto" w:sz="4" w:space="0"/>
            </w:tcBorders>
          </w:tcPr>
          <w:p>
            <w:pPr>
              <w:spacing w:line="276" w:lineRule="auto"/>
              <w:rPr>
                <w:rStyle w:val="59"/>
                <w:rFonts w:hint="eastAsia" w:ascii="宋体" w:hAnsi="宋体"/>
                <w:szCs w:val="21"/>
                <w:highlight w:val="none"/>
              </w:rPr>
            </w:pPr>
            <w:r>
              <w:rPr>
                <w:rStyle w:val="59"/>
                <w:rFonts w:ascii="宋体" w:hAnsi="宋体"/>
                <w:szCs w:val="21"/>
                <w:highlight w:val="none"/>
              </w:rPr>
              <w:t xml:space="preserve">               </w:t>
            </w:r>
            <w:r>
              <w:rPr>
                <w:rStyle w:val="59"/>
                <w:rFonts w:hint="eastAsia" w:ascii="宋体" w:hAnsi="宋体"/>
                <w:szCs w:val="21"/>
                <w:highlight w:val="none"/>
              </w:rPr>
              <w:t xml:space="preserve">                            </w:t>
            </w:r>
            <w:r>
              <w:rPr>
                <w:rStyle w:val="59"/>
                <w:rFonts w:ascii="宋体" w:hAnsi="宋体"/>
                <w:szCs w:val="21"/>
                <w:highlight w:val="none"/>
              </w:rPr>
              <w:t xml:space="preserve">                   投标人</w:t>
            </w:r>
          </w:p>
          <w:p>
            <w:pPr>
              <w:spacing w:line="276" w:lineRule="auto"/>
              <w:rPr>
                <w:rStyle w:val="59"/>
                <w:rFonts w:hint="eastAsia" w:ascii="宋体" w:hAnsi="宋体"/>
                <w:szCs w:val="21"/>
                <w:highlight w:val="none"/>
              </w:rPr>
            </w:pPr>
            <w:r>
              <w:rPr>
                <w:rStyle w:val="59"/>
                <w:rFonts w:ascii="宋体" w:hAnsi="宋体"/>
                <w:szCs w:val="21"/>
                <w:highlight w:val="none"/>
              </w:rPr>
              <w:t>评审内容</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1</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59"/>
                <w:rFonts w:hint="eastAsia" w:ascii="宋体" w:hAnsi="宋体"/>
                <w:szCs w:val="21"/>
                <w:highlight w:val="none"/>
              </w:rPr>
            </w:pPr>
            <w:r>
              <w:rPr>
                <w:rStyle w:val="59"/>
                <w:rFonts w:ascii="宋体" w:hAnsi="宋体"/>
                <w:szCs w:val="21"/>
                <w:highlight w:val="none"/>
              </w:rPr>
              <w:t>对同一招标项目出现两个或以上的投标报价，且没有申明哪个有效；</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2</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59"/>
                <w:rFonts w:hint="eastAsia" w:ascii="宋体" w:hAnsi="宋体"/>
                <w:szCs w:val="21"/>
                <w:highlight w:val="none"/>
              </w:rPr>
            </w:pPr>
            <w:r>
              <w:rPr>
                <w:rStyle w:val="59"/>
                <w:rFonts w:ascii="宋体" w:hAnsi="宋体"/>
                <w:szCs w:val="21"/>
                <w:highlight w:val="none"/>
              </w:rPr>
              <w:t>投标报价高于最高投标限价的；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ascii="宋体" w:hAnsi="宋体"/>
                <w:szCs w:val="21"/>
                <w:highlight w:val="none"/>
              </w:rPr>
              <w:t>3</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2" w:leftChars="-1"/>
              <w:jc w:val="left"/>
              <w:rPr>
                <w:rStyle w:val="59"/>
                <w:rFonts w:hint="eastAsia" w:ascii="宋体" w:hAnsi="宋体"/>
                <w:szCs w:val="21"/>
                <w:highlight w:val="none"/>
              </w:rPr>
            </w:pPr>
            <w:r>
              <w:rPr>
                <w:rStyle w:val="59"/>
                <w:rFonts w:ascii="宋体" w:hAnsi="宋体"/>
                <w:szCs w:val="21"/>
                <w:highlight w:val="none"/>
              </w:rPr>
              <w:t>投标报价低于成本的；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4</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59"/>
                <w:highlight w:val="none"/>
              </w:rPr>
            </w:pPr>
            <w:r>
              <w:rPr>
                <w:rStyle w:val="59"/>
                <w:rFonts w:hint="eastAsia"/>
                <w:highlight w:val="none"/>
              </w:rPr>
              <w:t>投标文件未按规定的格式填写（指招标文件第四章提供格式的《广州建设工程施工招标投标书（经济标）》《对投标文件编制的承诺》等），或主要内容不全，或关键字迹模糊、无法辨认的；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5</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59"/>
                <w:rFonts w:hint="eastAsia" w:ascii="宋体" w:hAnsi="宋体"/>
                <w:szCs w:val="21"/>
                <w:highlight w:val="none"/>
              </w:rPr>
            </w:pPr>
            <w:r>
              <w:rPr>
                <w:rStyle w:val="59"/>
                <w:rFonts w:ascii="宋体" w:hAnsi="宋体"/>
                <w:szCs w:val="21"/>
                <w:highlight w:val="none"/>
              </w:rPr>
              <w:t>投标人之间存在《广东省实施&lt;中华人民共和国招标投标法&gt;》第十六条所禁止的情形的；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6</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59"/>
                <w:rFonts w:hint="eastAsia" w:ascii="宋体" w:hAnsi="宋体"/>
                <w:szCs w:val="21"/>
                <w:highlight w:val="none"/>
              </w:rPr>
            </w:pPr>
            <w:r>
              <w:rPr>
                <w:rStyle w:val="59"/>
                <w:rFonts w:ascii="宋体" w:hAnsi="宋体"/>
                <w:szCs w:val="21"/>
                <w:highlight w:val="none"/>
              </w:rPr>
              <w:t>无《参与编制经济标投标文件人员名单》的；</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7</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59"/>
                <w:rFonts w:hint="eastAsia" w:ascii="宋体" w:hAnsi="宋体"/>
                <w:szCs w:val="21"/>
                <w:highlight w:val="none"/>
              </w:rPr>
            </w:pPr>
            <w:r>
              <w:rPr>
                <w:rStyle w:val="59"/>
                <w:rFonts w:ascii="宋体" w:hAnsi="宋体"/>
                <w:szCs w:val="21"/>
                <w:highlight w:val="none"/>
              </w:rPr>
              <w:t>无《对投标文件编制的承诺》</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59"/>
                <w:rFonts w:hint="eastAsia" w:ascii="宋体" w:hAnsi="宋体"/>
                <w:szCs w:val="21"/>
                <w:highlight w:val="none"/>
              </w:rPr>
            </w:pPr>
            <w:r>
              <w:rPr>
                <w:rStyle w:val="59"/>
                <w:rFonts w:hint="eastAsia" w:ascii="宋体" w:hAnsi="宋体"/>
                <w:szCs w:val="21"/>
                <w:highlight w:val="none"/>
              </w:rPr>
              <w:t>8</w:t>
            </w:r>
          </w:p>
        </w:tc>
        <w:tc>
          <w:tcPr>
            <w:tcW w:w="10738" w:type="dxa"/>
            <w:tcBorders>
              <w:top w:val="single" w:color="000000" w:sz="4" w:space="0"/>
              <w:left w:val="single" w:color="000000" w:sz="4" w:space="0"/>
              <w:bottom w:val="single" w:color="000000" w:sz="4" w:space="0"/>
              <w:right w:val="single" w:color="000000" w:sz="4" w:space="0"/>
            </w:tcBorders>
            <w:vAlign w:val="center"/>
          </w:tcPr>
          <w:p>
            <w:pPr>
              <w:spacing w:line="276" w:lineRule="auto"/>
              <w:rPr>
                <w:rStyle w:val="59"/>
                <w:rFonts w:hint="eastAsia" w:ascii="宋体" w:hAnsi="宋体"/>
                <w:szCs w:val="21"/>
                <w:highlight w:val="none"/>
              </w:rPr>
            </w:pPr>
            <w:r>
              <w:rPr>
                <w:rStyle w:val="59"/>
                <w:rFonts w:hint="eastAsia" w:ascii="宋体" w:hAnsi="宋体"/>
                <w:szCs w:val="21"/>
                <w:highlight w:val="none"/>
              </w:rPr>
              <w:t>投标人与本项目其他投标人的投标文件工程量清单编制机器硬件信息一致的（以广州公共资源交易中心）交易平台评标系统的检索信息为准）</w:t>
            </w:r>
          </w:p>
        </w:tc>
        <w:tc>
          <w:tcPr>
            <w:tcW w:w="1818" w:type="dxa"/>
            <w:tcBorders>
              <w:top w:val="single" w:color="000000" w:sz="4" w:space="0"/>
              <w:left w:val="single" w:color="000000" w:sz="4" w:space="0"/>
              <w:bottom w:val="single" w:color="000000" w:sz="4" w:space="0"/>
              <w:right w:val="single" w:color="000000" w:sz="4" w:space="0"/>
            </w:tcBorders>
          </w:tcPr>
          <w:p>
            <w:pPr>
              <w:spacing w:line="276" w:lineRule="auto"/>
              <w:rPr>
                <w:rStyle w:val="59"/>
                <w:rFonts w:hint="eastAsia" w:ascii="宋体" w:hAnsi="宋体"/>
                <w:szCs w:val="21"/>
                <w:highlight w:val="none"/>
              </w:rPr>
            </w:pPr>
          </w:p>
        </w:tc>
      </w:tr>
    </w:tbl>
    <w:p>
      <w:pPr>
        <w:spacing w:line="276" w:lineRule="auto"/>
        <w:ind w:firstLine="420" w:firstLineChars="200"/>
        <w:rPr>
          <w:rStyle w:val="59"/>
          <w:rFonts w:hint="eastAsia" w:ascii="宋体" w:hAnsi="宋体"/>
          <w:szCs w:val="21"/>
          <w:highlight w:val="none"/>
        </w:rPr>
      </w:pPr>
      <w:r>
        <w:rPr>
          <w:rStyle w:val="59"/>
          <w:rFonts w:ascii="宋体" w:hAnsi="宋体"/>
          <w:szCs w:val="21"/>
          <w:highlight w:val="none"/>
        </w:rPr>
        <w:t>注：</w:t>
      </w:r>
    </w:p>
    <w:p>
      <w:pPr>
        <w:spacing w:line="276" w:lineRule="auto"/>
        <w:ind w:firstLine="420" w:firstLineChars="200"/>
        <w:rPr>
          <w:rStyle w:val="59"/>
          <w:rFonts w:hint="eastAsia" w:ascii="宋体" w:hAnsi="宋体"/>
          <w:szCs w:val="21"/>
          <w:highlight w:val="none"/>
        </w:rPr>
      </w:pPr>
      <w:r>
        <w:rPr>
          <w:rStyle w:val="59"/>
          <w:rFonts w:hint="eastAsia" w:ascii="宋体" w:hAnsi="宋体"/>
          <w:szCs w:val="21"/>
          <w:highlight w:val="none"/>
        </w:rPr>
        <w:t>1.本表使用GZZB2018-3招标文件范本，与范本内容不同之处均以下划线标明；</w:t>
      </w:r>
    </w:p>
    <w:p>
      <w:pPr>
        <w:spacing w:line="276" w:lineRule="auto"/>
        <w:ind w:firstLine="420" w:firstLineChars="200"/>
        <w:rPr>
          <w:rStyle w:val="59"/>
          <w:rFonts w:hint="eastAsia" w:ascii="宋体" w:hAnsi="宋体"/>
          <w:szCs w:val="21"/>
          <w:highlight w:val="none"/>
        </w:rPr>
      </w:pPr>
      <w:r>
        <w:rPr>
          <w:rStyle w:val="59"/>
          <w:rFonts w:hint="eastAsia" w:ascii="宋体" w:hAnsi="宋体"/>
          <w:szCs w:val="21"/>
          <w:highlight w:val="none"/>
        </w:rPr>
        <w:t>2.凡出现以上任何一项情形，结论均为无效，否则就为有效；</w:t>
      </w:r>
    </w:p>
    <w:p>
      <w:pPr>
        <w:spacing w:line="276" w:lineRule="auto"/>
        <w:ind w:firstLine="420" w:firstLineChars="200"/>
        <w:rPr>
          <w:rStyle w:val="59"/>
          <w:rFonts w:hint="eastAsia" w:ascii="宋体" w:hAnsi="宋体"/>
          <w:szCs w:val="21"/>
          <w:highlight w:val="none"/>
        </w:rPr>
      </w:pPr>
      <w:r>
        <w:rPr>
          <w:rStyle w:val="59"/>
          <w:rFonts w:hint="eastAsia" w:ascii="宋体" w:hAnsi="宋体"/>
          <w:szCs w:val="21"/>
          <w:highlight w:val="none"/>
        </w:rPr>
        <w:t>3.如对本表中某种情形的评审意见不一致时，以评标委员会过半数成员的意见作为评标委员会对该情形的认定结论；</w:t>
      </w:r>
    </w:p>
    <w:p>
      <w:pPr>
        <w:spacing w:line="276" w:lineRule="auto"/>
        <w:ind w:firstLine="420" w:firstLineChars="200"/>
        <w:rPr>
          <w:rStyle w:val="59"/>
          <w:rFonts w:hint="eastAsia" w:ascii="宋体" w:hAnsi="宋体"/>
          <w:szCs w:val="21"/>
          <w:highlight w:val="none"/>
        </w:rPr>
      </w:pPr>
      <w:r>
        <w:rPr>
          <w:rStyle w:val="59"/>
          <w:rFonts w:hint="eastAsia" w:ascii="宋体" w:hAnsi="宋体"/>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Style w:val="59"/>
          <w:rFonts w:ascii="宋体" w:hAnsi="宋体"/>
          <w:szCs w:val="21"/>
          <w:highlight w:val="none"/>
        </w:rPr>
        <w:t>。</w:t>
      </w:r>
    </w:p>
    <w:p>
      <w:pPr>
        <w:spacing w:line="276" w:lineRule="auto"/>
        <w:ind w:firstLine="420" w:firstLineChars="200"/>
        <w:rPr>
          <w:rStyle w:val="59"/>
          <w:rFonts w:hint="eastAsia" w:ascii="宋体" w:hAnsi="宋体"/>
          <w:szCs w:val="21"/>
          <w:highlight w:val="none"/>
        </w:rPr>
        <w:sectPr>
          <w:endnotePr>
            <w:numFmt w:val="decimal"/>
          </w:endnotePr>
          <w:pgSz w:w="16838" w:h="11906"/>
          <w:pgMar w:top="1418" w:right="1701" w:bottom="1418" w:left="1701" w:header="851" w:footer="907" w:gutter="0"/>
          <w:cols w:space="720" w:num="1"/>
          <w:titlePg/>
          <w:docGrid w:type="lines" w:linePitch="312" w:charSpace="0"/>
        </w:sectPr>
      </w:pPr>
      <w:r>
        <w:rPr>
          <w:rStyle w:val="59"/>
          <w:rFonts w:ascii="宋体" w:hAnsi="宋体"/>
          <w:szCs w:val="21"/>
          <w:highlight w:val="none"/>
        </w:rPr>
        <w:t>评委签名：</w:t>
      </w:r>
    </w:p>
    <w:p>
      <w:pPr>
        <w:widowControl w:val="0"/>
        <w:spacing w:line="276" w:lineRule="auto"/>
        <w:textAlignment w:val="auto"/>
        <w:rPr>
          <w:b/>
          <w:szCs w:val="21"/>
          <w:highlight w:val="none"/>
        </w:rPr>
      </w:pPr>
      <w:r>
        <w:rPr>
          <w:rFonts w:hint="eastAsia" w:ascii="宋体" w:hAnsi="宋体"/>
          <w:b/>
          <w:szCs w:val="21"/>
          <w:highlight w:val="none"/>
        </w:rPr>
        <w:t>附表四</w:t>
      </w:r>
    </w:p>
    <w:p>
      <w:pPr>
        <w:widowControl w:val="0"/>
        <w:spacing w:line="276" w:lineRule="auto"/>
        <w:jc w:val="center"/>
        <w:textAlignment w:val="auto"/>
        <w:rPr>
          <w:rFonts w:ascii="Times New Roman" w:hAnsi="Times New Roman"/>
          <w:b/>
          <w:sz w:val="36"/>
          <w:szCs w:val="36"/>
          <w:highlight w:val="none"/>
        </w:rPr>
      </w:pPr>
      <w:r>
        <w:rPr>
          <w:rFonts w:hint="eastAsia" w:ascii="宋体" w:hAnsi="宋体"/>
          <w:b/>
          <w:sz w:val="36"/>
          <w:szCs w:val="36"/>
          <w:highlight w:val="none"/>
        </w:rPr>
        <w:t>技术标详细审查评分表</w:t>
      </w:r>
    </w:p>
    <w:tbl>
      <w:tblPr>
        <w:tblStyle w:val="28"/>
        <w:tblW w:w="1417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28"/>
        <w:gridCol w:w="1794"/>
        <w:gridCol w:w="695"/>
        <w:gridCol w:w="103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1" w:hRule="atLeast"/>
          <w:tblHeader/>
          <w:jc w:val="center"/>
        </w:trPr>
        <w:tc>
          <w:tcPr>
            <w:tcW w:w="132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r>
              <w:rPr>
                <w:rFonts w:hint="eastAsia" w:ascii="宋体" w:hAnsi="宋体" w:cs="宋体"/>
                <w:b/>
                <w:bCs/>
                <w:kern w:val="0"/>
                <w:szCs w:val="21"/>
                <w:highlight w:val="none"/>
              </w:rPr>
              <w:t>评分项目</w:t>
            </w:r>
          </w:p>
        </w:tc>
        <w:tc>
          <w:tcPr>
            <w:tcW w:w="1794" w:type="dxa"/>
            <w:tcBorders>
              <w:top w:val="single" w:color="auto" w:sz="8" w:space="0"/>
              <w:left w:val="nil"/>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r>
              <w:rPr>
                <w:rFonts w:hint="eastAsia" w:ascii="宋体" w:hAnsi="宋体" w:cs="宋体"/>
                <w:b/>
                <w:bCs/>
                <w:kern w:val="0"/>
                <w:szCs w:val="21"/>
                <w:highlight w:val="none"/>
              </w:rPr>
              <w:t>评分内容</w:t>
            </w:r>
          </w:p>
        </w:tc>
        <w:tc>
          <w:tcPr>
            <w:tcW w:w="695" w:type="dxa"/>
            <w:tcBorders>
              <w:top w:val="single" w:color="auto" w:sz="8" w:space="0"/>
              <w:left w:val="nil"/>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r>
              <w:rPr>
                <w:rFonts w:hint="eastAsia" w:ascii="宋体" w:hAnsi="宋体" w:cs="宋体"/>
                <w:b/>
                <w:bCs/>
                <w:kern w:val="0"/>
                <w:szCs w:val="21"/>
                <w:highlight w:val="none"/>
              </w:rPr>
              <w:t>分值</w:t>
            </w:r>
          </w:p>
        </w:tc>
        <w:tc>
          <w:tcPr>
            <w:tcW w:w="10357" w:type="dxa"/>
            <w:tcBorders>
              <w:top w:val="single" w:color="auto" w:sz="8" w:space="0"/>
              <w:left w:val="nil"/>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r>
              <w:rPr>
                <w:rFonts w:hint="eastAsia" w:ascii="宋体" w:hAnsi="宋体" w:cs="宋体"/>
                <w:b/>
                <w:bCs/>
                <w:kern w:val="0"/>
                <w:szCs w:val="21"/>
                <w:highlight w:val="none"/>
              </w:rPr>
              <w:t>评审标准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9" w:hRule="atLeast"/>
          <w:jc w:val="center"/>
        </w:trPr>
        <w:tc>
          <w:tcPr>
            <w:tcW w:w="1328"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r>
              <w:rPr>
                <w:rFonts w:hint="eastAsia" w:ascii="宋体" w:hAnsi="宋体" w:cs="宋体"/>
                <w:kern w:val="0"/>
                <w:szCs w:val="21"/>
                <w:highlight w:val="none"/>
              </w:rPr>
              <w:t>企业资信（30</w:t>
            </w:r>
            <w:r>
              <w:rPr>
                <w:rFonts w:hint="eastAsia"/>
                <w:highlight w:val="none"/>
              </w:rPr>
              <w:t>分</w:t>
            </w:r>
            <w:r>
              <w:rPr>
                <w:rFonts w:hint="eastAsia" w:ascii="宋体" w:hAnsi="宋体" w:cs="宋体"/>
                <w:kern w:val="0"/>
                <w:szCs w:val="21"/>
                <w:highlight w:val="none"/>
              </w:rPr>
              <w:t>）</w:t>
            </w:r>
          </w:p>
        </w:tc>
        <w:tc>
          <w:tcPr>
            <w:tcW w:w="1794" w:type="dxa"/>
            <w:tcBorders>
              <w:top w:val="nil"/>
              <w:left w:val="nil"/>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r>
              <w:rPr>
                <w:rFonts w:hint="eastAsia" w:ascii="宋体" w:hAnsi="宋体" w:cs="宋体"/>
                <w:kern w:val="0"/>
                <w:szCs w:val="21"/>
                <w:highlight w:val="none"/>
              </w:rPr>
              <w:t>工程奖项</w:t>
            </w:r>
          </w:p>
        </w:tc>
        <w:tc>
          <w:tcPr>
            <w:tcW w:w="695" w:type="dxa"/>
            <w:tcBorders>
              <w:top w:val="nil"/>
              <w:left w:val="nil"/>
              <w:bottom w:val="single" w:color="auto" w:sz="8" w:space="0"/>
              <w:right w:val="single" w:color="auto" w:sz="8" w:space="0"/>
            </w:tcBorders>
            <w:tcMar>
              <w:left w:w="108" w:type="dxa"/>
              <w:right w:w="108" w:type="dxa"/>
            </w:tcMar>
            <w:vAlign w:val="center"/>
          </w:tcPr>
          <w:p>
            <w:pPr>
              <w:spacing w:line="276" w:lineRule="auto"/>
              <w:ind w:left="-59" w:right="-50"/>
              <w:jc w:val="center"/>
              <w:textAlignment w:val="auto"/>
              <w:rPr>
                <w:rFonts w:hint="eastAsia" w:ascii="宋体" w:hAnsi="宋体" w:cs="宋体"/>
                <w:kern w:val="0"/>
                <w:szCs w:val="21"/>
                <w:highlight w:val="none"/>
              </w:rPr>
            </w:pPr>
            <w:r>
              <w:rPr>
                <w:rFonts w:ascii="宋体" w:hAnsi="宋体" w:cs="宋体"/>
                <w:kern w:val="0"/>
                <w:szCs w:val="21"/>
                <w:highlight w:val="none"/>
              </w:rPr>
              <w:t>9</w:t>
            </w:r>
          </w:p>
        </w:tc>
        <w:tc>
          <w:tcPr>
            <w:tcW w:w="10357" w:type="dxa"/>
            <w:tcBorders>
              <w:top w:val="nil"/>
              <w:left w:val="nil"/>
              <w:bottom w:val="single" w:color="auto" w:sz="8" w:space="0"/>
              <w:right w:val="single" w:color="auto" w:sz="8" w:space="0"/>
            </w:tcBorders>
            <w:tcMar>
              <w:left w:w="108" w:type="dxa"/>
              <w:right w:w="108" w:type="dxa"/>
            </w:tcMar>
            <w:vAlign w:val="center"/>
          </w:tcPr>
          <w:p>
            <w:pPr>
              <w:snapToGrid w:val="0"/>
              <w:spacing w:line="360" w:lineRule="exact"/>
              <w:ind w:left="92" w:leftChars="44" w:right="78" w:rightChars="37"/>
              <w:jc w:val="left"/>
              <w:rPr>
                <w:rFonts w:hint="eastAsia" w:ascii="宋体" w:hAnsi="宋体" w:cs="宋体"/>
                <w:bCs/>
                <w:kern w:val="0"/>
                <w:szCs w:val="21"/>
                <w:highlight w:val="none"/>
                <w:lang w:bidi="ar"/>
              </w:rPr>
            </w:pPr>
            <w:r>
              <w:rPr>
                <w:rFonts w:hint="eastAsia" w:ascii="宋体" w:hAnsi="宋体" w:cs="宋体"/>
                <w:bCs/>
                <w:kern w:val="0"/>
                <w:szCs w:val="21"/>
                <w:highlight w:val="none"/>
                <w:lang w:bidi="ar"/>
              </w:rPr>
              <w:t>投标人自2020年1月1日至投标截止时间，投标人承建过的房屋建筑工程施工总承包工程项目获得过工程质量奖的：</w:t>
            </w:r>
          </w:p>
          <w:p>
            <w:pPr>
              <w:snapToGrid w:val="0"/>
              <w:spacing w:line="360" w:lineRule="exact"/>
              <w:ind w:left="92" w:leftChars="44" w:right="78" w:rightChars="37"/>
              <w:jc w:val="left"/>
              <w:rPr>
                <w:rFonts w:hint="eastAsia" w:ascii="宋体" w:hAnsi="宋体" w:cs="宋体"/>
                <w:bCs/>
                <w:kern w:val="0"/>
                <w:szCs w:val="21"/>
                <w:highlight w:val="none"/>
                <w:lang w:bidi="ar"/>
              </w:rPr>
            </w:pPr>
            <w:r>
              <w:rPr>
                <w:rFonts w:hint="eastAsia" w:ascii="宋体" w:hAnsi="宋体" w:cs="宋体"/>
                <w:bCs/>
                <w:kern w:val="0"/>
                <w:szCs w:val="21"/>
                <w:highlight w:val="none"/>
                <w:lang w:bidi="ar"/>
              </w:rPr>
              <w:t>（1）省级或以上奖项的，每个得</w:t>
            </w:r>
            <w:r>
              <w:rPr>
                <w:rFonts w:ascii="宋体" w:hAnsi="宋体" w:cs="宋体"/>
                <w:bCs/>
                <w:kern w:val="0"/>
                <w:szCs w:val="21"/>
                <w:highlight w:val="none"/>
                <w:lang w:bidi="ar"/>
              </w:rPr>
              <w:t>3</w:t>
            </w:r>
            <w:r>
              <w:rPr>
                <w:rFonts w:hint="eastAsia" w:ascii="宋体" w:hAnsi="宋体" w:cs="宋体"/>
                <w:bCs/>
                <w:kern w:val="0"/>
                <w:szCs w:val="21"/>
                <w:highlight w:val="none"/>
                <w:lang w:bidi="ar"/>
              </w:rPr>
              <w:t>分；</w:t>
            </w:r>
          </w:p>
          <w:p>
            <w:pPr>
              <w:snapToGrid w:val="0"/>
              <w:spacing w:line="360" w:lineRule="exact"/>
              <w:ind w:left="92" w:leftChars="44" w:right="78" w:rightChars="37"/>
              <w:jc w:val="left"/>
              <w:rPr>
                <w:rFonts w:hint="eastAsia" w:ascii="宋体" w:hAnsi="宋体" w:cs="宋体"/>
                <w:bCs/>
                <w:kern w:val="0"/>
                <w:szCs w:val="21"/>
                <w:highlight w:val="none"/>
                <w:lang w:bidi="ar"/>
              </w:rPr>
            </w:pPr>
            <w:r>
              <w:rPr>
                <w:rFonts w:hint="eastAsia" w:ascii="宋体" w:hAnsi="宋体" w:cs="宋体"/>
                <w:bCs/>
                <w:kern w:val="0"/>
                <w:szCs w:val="21"/>
                <w:highlight w:val="none"/>
                <w:lang w:bidi="ar"/>
              </w:rPr>
              <w:t>（2）市级（含副省级市）奖项的，每个得</w:t>
            </w:r>
            <w:r>
              <w:rPr>
                <w:rFonts w:ascii="宋体" w:hAnsi="宋体" w:cs="宋体"/>
                <w:bCs/>
                <w:kern w:val="0"/>
                <w:szCs w:val="21"/>
                <w:highlight w:val="none"/>
                <w:lang w:bidi="ar"/>
              </w:rPr>
              <w:t>1.5</w:t>
            </w:r>
            <w:r>
              <w:rPr>
                <w:rFonts w:hint="eastAsia" w:ascii="宋体" w:hAnsi="宋体" w:cs="宋体"/>
                <w:bCs/>
                <w:kern w:val="0"/>
                <w:szCs w:val="21"/>
                <w:highlight w:val="none"/>
                <w:lang w:bidi="ar"/>
              </w:rPr>
              <w:t>分。</w:t>
            </w:r>
          </w:p>
          <w:p>
            <w:pPr>
              <w:spacing w:line="276" w:lineRule="auto"/>
              <w:jc w:val="left"/>
              <w:textAlignment w:val="auto"/>
              <w:rPr>
                <w:rFonts w:hint="eastAsia" w:ascii="宋体" w:hAnsi="宋体" w:cs="宋体"/>
                <w:kern w:val="0"/>
                <w:szCs w:val="21"/>
                <w:highlight w:val="none"/>
              </w:rPr>
            </w:pPr>
            <w:r>
              <w:rPr>
                <w:rFonts w:hint="eastAsia" w:ascii="宋体" w:hAnsi="宋体" w:cs="宋体"/>
                <w:bCs/>
                <w:kern w:val="0"/>
                <w:szCs w:val="21"/>
                <w:highlight w:val="none"/>
                <w:lang w:bidi="ar"/>
              </w:rPr>
              <w:t>本项最高得</w:t>
            </w:r>
            <w:r>
              <w:rPr>
                <w:rFonts w:ascii="宋体" w:hAnsi="宋体" w:cs="宋体"/>
                <w:bCs/>
                <w:kern w:val="0"/>
                <w:szCs w:val="21"/>
                <w:highlight w:val="none"/>
                <w:lang w:bidi="ar"/>
              </w:rPr>
              <w:t>9</w:t>
            </w:r>
            <w:r>
              <w:rPr>
                <w:rFonts w:hint="eastAsia" w:ascii="宋体" w:hAnsi="宋体" w:cs="宋体"/>
                <w:bCs/>
                <w:kern w:val="0"/>
                <w:szCs w:val="21"/>
                <w:highlight w:val="none"/>
                <w:lang w:bidi="ar"/>
              </w:rPr>
              <w:t>分。不符合上述条件或未提供相关证明材料的不得分。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9" w:hRule="atLeast"/>
          <w:jc w:val="center"/>
        </w:trPr>
        <w:tc>
          <w:tcPr>
            <w:tcW w:w="1328"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highlight w:val="none"/>
              </w:rPr>
            </w:pPr>
          </w:p>
        </w:tc>
        <w:tc>
          <w:tcPr>
            <w:tcW w:w="1794" w:type="dxa"/>
            <w:tcBorders>
              <w:top w:val="nil"/>
              <w:left w:val="nil"/>
              <w:bottom w:val="single" w:color="auto" w:sz="8" w:space="0"/>
              <w:right w:val="single" w:color="auto" w:sz="8" w:space="0"/>
            </w:tcBorders>
            <w:tcMar>
              <w:left w:w="108" w:type="dxa"/>
              <w:right w:w="108" w:type="dxa"/>
            </w:tcMar>
            <w:vAlign w:val="center"/>
          </w:tcPr>
          <w:p>
            <w:pPr>
              <w:pStyle w:val="158"/>
              <w:shd w:val="clear" w:color="auto" w:fill="auto"/>
              <w:snapToGrid w:val="0"/>
              <w:spacing w:line="360" w:lineRule="auto"/>
              <w:jc w:val="center"/>
              <w:rPr>
                <w:rFonts w:hint="eastAsia"/>
                <w:kern w:val="0"/>
                <w:szCs w:val="21"/>
                <w:highlight w:val="none"/>
              </w:rPr>
            </w:pPr>
            <w:r>
              <w:rPr>
                <w:rStyle w:val="123"/>
                <w:rFonts w:hint="eastAsia"/>
                <w:color w:val="auto"/>
                <w:sz w:val="21"/>
                <w:szCs w:val="21"/>
                <w:highlight w:val="none"/>
              </w:rPr>
              <w:t>业绩</w:t>
            </w:r>
          </w:p>
        </w:tc>
        <w:tc>
          <w:tcPr>
            <w:tcW w:w="695" w:type="dxa"/>
            <w:tcBorders>
              <w:top w:val="nil"/>
              <w:left w:val="nil"/>
              <w:bottom w:val="single" w:color="auto" w:sz="8" w:space="0"/>
              <w:right w:val="single" w:color="auto" w:sz="8" w:space="0"/>
            </w:tcBorders>
            <w:tcMar>
              <w:left w:w="108" w:type="dxa"/>
              <w:right w:w="108" w:type="dxa"/>
            </w:tcMar>
            <w:vAlign w:val="center"/>
          </w:tcPr>
          <w:p>
            <w:pPr>
              <w:adjustRightInd w:val="0"/>
              <w:snapToGrid w:val="0"/>
              <w:spacing w:line="276" w:lineRule="auto"/>
              <w:jc w:val="center"/>
              <w:rPr>
                <w:rFonts w:hint="eastAsia" w:ascii="宋体" w:hAnsi="宋体" w:cs="宋体"/>
                <w:b/>
                <w:bCs/>
                <w:szCs w:val="21"/>
                <w:highlight w:val="none"/>
                <w:u w:val="single"/>
              </w:rPr>
            </w:pPr>
            <w:r>
              <w:rPr>
                <w:rFonts w:hint="eastAsia" w:ascii="宋体" w:hAnsi="宋体"/>
                <w:kern w:val="0"/>
                <w:highlight w:val="none"/>
              </w:rPr>
              <w:t>12</w:t>
            </w:r>
          </w:p>
        </w:tc>
        <w:tc>
          <w:tcPr>
            <w:tcW w:w="10357" w:type="dxa"/>
            <w:tcBorders>
              <w:top w:val="nil"/>
              <w:left w:val="nil"/>
              <w:bottom w:val="single" w:color="auto" w:sz="8" w:space="0"/>
              <w:right w:val="single" w:color="auto" w:sz="8" w:space="0"/>
            </w:tcBorders>
            <w:tcMar>
              <w:left w:w="108" w:type="dxa"/>
              <w:right w:w="108" w:type="dxa"/>
            </w:tcMar>
            <w:vAlign w:val="center"/>
          </w:tcPr>
          <w:p>
            <w:pPr>
              <w:spacing w:line="276" w:lineRule="auto"/>
              <w:textAlignment w:val="auto"/>
              <w:rPr>
                <w:rFonts w:hint="eastAsia" w:ascii="宋体" w:hAnsi="宋体" w:cs="宋体"/>
                <w:kern w:val="0"/>
                <w:szCs w:val="21"/>
                <w:highlight w:val="none"/>
              </w:rPr>
            </w:pPr>
            <w:r>
              <w:rPr>
                <w:rFonts w:hint="eastAsia" w:ascii="宋体" w:hAnsi="宋体" w:cs="宋体"/>
                <w:bCs/>
                <w:kern w:val="0"/>
                <w:szCs w:val="21"/>
                <w:highlight w:val="none"/>
                <w:lang w:bidi="ar"/>
              </w:rPr>
              <w:t>投标人自2020年1月1日至投标截止时间，完成过</w:t>
            </w:r>
            <w:r>
              <w:rPr>
                <w:rFonts w:hint="eastAsia" w:ascii="新宋体" w:hAnsi="新宋体" w:eastAsia="新宋体" w:cs="新宋体"/>
                <w:szCs w:val="21"/>
                <w:highlight w:val="none"/>
                <w:lang w:bidi="ar"/>
              </w:rPr>
              <w:t>质量合格的金额大于或等于</w:t>
            </w:r>
            <w:r>
              <w:rPr>
                <w:rFonts w:hint="eastAsia" w:ascii="宋体" w:hAnsi="宋体" w:cs="宋体"/>
                <w:bCs/>
                <w:kern w:val="0"/>
                <w:szCs w:val="21"/>
                <w:highlight w:val="none"/>
                <w:lang w:bidi="ar"/>
              </w:rPr>
              <w:t>8000万元的建筑工程施工总承包</w:t>
            </w:r>
            <w:r>
              <w:rPr>
                <w:rFonts w:hint="eastAsia" w:ascii="宋体" w:hAnsi="宋体" w:cs="宋体"/>
                <w:szCs w:val="21"/>
                <w:highlight w:val="none"/>
                <w:lang w:bidi="ar"/>
              </w:rPr>
              <w:t>或工程总承包</w:t>
            </w:r>
            <w:r>
              <w:rPr>
                <w:rFonts w:hint="eastAsia" w:ascii="宋体" w:hAnsi="宋体" w:cs="宋体"/>
                <w:szCs w:val="21"/>
                <w:highlight w:val="none"/>
              </w:rPr>
              <w:t>（施工部分）</w:t>
            </w:r>
            <w:r>
              <w:rPr>
                <w:rFonts w:hint="eastAsia" w:ascii="宋体" w:hAnsi="宋体" w:cs="宋体"/>
                <w:bCs/>
                <w:kern w:val="0"/>
                <w:szCs w:val="21"/>
                <w:highlight w:val="none"/>
                <w:lang w:bidi="ar"/>
              </w:rPr>
              <w:t>项目业绩：</w:t>
            </w:r>
            <w:r>
              <w:rPr>
                <w:rFonts w:hint="eastAsia" w:ascii="新宋体" w:hAnsi="新宋体" w:eastAsia="新宋体" w:cs="新宋体"/>
                <w:szCs w:val="21"/>
                <w:highlight w:val="none"/>
                <w:lang w:bidi="ar"/>
              </w:rPr>
              <w:t>每项得1.5分，本项最高得12分</w:t>
            </w:r>
            <w:r>
              <w:rPr>
                <w:rFonts w:hint="eastAsia" w:ascii="宋体" w:hAnsi="宋体" w:cs="宋体"/>
                <w:kern w:val="0"/>
                <w:szCs w:val="21"/>
                <w:highlight w:val="none"/>
                <w:lang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6" w:hRule="atLeast"/>
          <w:jc w:val="center"/>
        </w:trPr>
        <w:tc>
          <w:tcPr>
            <w:tcW w:w="1328" w:type="dxa"/>
            <w:vMerge w:val="continue"/>
            <w:tcBorders>
              <w:top w:val="nil"/>
              <w:left w:val="single" w:color="auto" w:sz="8" w:space="0"/>
              <w:bottom w:val="single" w:color="auto" w:sz="8" w:space="0"/>
              <w:right w:val="single" w:color="auto" w:sz="8" w:space="0"/>
            </w:tcBorders>
            <w:vAlign w:val="center"/>
          </w:tcPr>
          <w:p>
            <w:pPr>
              <w:rPr>
                <w:highlight w:val="none"/>
              </w:rPr>
            </w:pPr>
          </w:p>
        </w:tc>
        <w:tc>
          <w:tcPr>
            <w:tcW w:w="1794"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76" w:lineRule="auto"/>
              <w:jc w:val="center"/>
              <w:rPr>
                <w:rStyle w:val="123"/>
                <w:rFonts w:hint="eastAsia"/>
                <w:color w:val="auto"/>
                <w:sz w:val="21"/>
                <w:szCs w:val="21"/>
                <w:highlight w:val="none"/>
              </w:rPr>
            </w:pPr>
            <w:r>
              <w:rPr>
                <w:rFonts w:hint="eastAsia" w:ascii="宋体" w:hAnsi="宋体" w:cs="宋体"/>
                <w:kern w:val="0"/>
                <w:szCs w:val="21"/>
                <w:highlight w:val="none"/>
              </w:rPr>
              <w:t>工程研发能力</w:t>
            </w:r>
          </w:p>
        </w:tc>
        <w:tc>
          <w:tcPr>
            <w:tcW w:w="695"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76" w:lineRule="auto"/>
              <w:jc w:val="center"/>
              <w:rPr>
                <w:rStyle w:val="123"/>
                <w:rFonts w:hint="eastAsia"/>
                <w:color w:val="auto"/>
                <w:sz w:val="21"/>
                <w:szCs w:val="21"/>
                <w:highlight w:val="none"/>
                <w:lang w:val="en-US"/>
              </w:rPr>
            </w:pPr>
            <w:r>
              <w:rPr>
                <w:rFonts w:hint="eastAsia" w:ascii="宋体" w:hAnsi="宋体" w:cs="宋体"/>
                <w:kern w:val="0"/>
                <w:szCs w:val="21"/>
                <w:highlight w:val="none"/>
              </w:rPr>
              <w:t>5</w:t>
            </w:r>
          </w:p>
        </w:tc>
        <w:tc>
          <w:tcPr>
            <w:tcW w:w="10357"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76" w:lineRule="auto"/>
              <w:jc w:val="left"/>
              <w:textAlignment w:val="auto"/>
              <w:rPr>
                <w:rFonts w:hint="eastAsia" w:ascii="宋体" w:hAnsi="宋体" w:cs="宋体"/>
                <w:szCs w:val="21"/>
                <w:highlight w:val="none"/>
                <w:lang w:val="zh-TW" w:eastAsia="zh-TW"/>
              </w:rPr>
            </w:pPr>
            <w:r>
              <w:rPr>
                <w:rFonts w:hint="eastAsia" w:ascii="宋体" w:hAnsi="宋体" w:cs="宋体"/>
                <w:bCs/>
                <w:kern w:val="0"/>
                <w:szCs w:val="21"/>
                <w:highlight w:val="none"/>
                <w:lang w:bidi="ar"/>
              </w:rPr>
              <w:t>投标人自2020年1月1日至投标截止时间，</w:t>
            </w:r>
            <w:r>
              <w:rPr>
                <w:rFonts w:hint="eastAsia" w:ascii="宋体" w:hAnsi="宋体" w:cs="宋体"/>
                <w:szCs w:val="21"/>
                <w:highlight w:val="none"/>
              </w:rPr>
              <w:t>投标人主编或参编工程相关标准，每项得1分，本项最高得5分。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6" w:hRule="atLeast"/>
          <w:jc w:val="center"/>
        </w:trPr>
        <w:tc>
          <w:tcPr>
            <w:tcW w:w="1328" w:type="dxa"/>
            <w:vMerge w:val="continue"/>
            <w:tcBorders>
              <w:top w:val="nil"/>
              <w:left w:val="single" w:color="auto" w:sz="8" w:space="0"/>
              <w:bottom w:val="single" w:color="auto" w:sz="8" w:space="0"/>
              <w:right w:val="single" w:color="auto" w:sz="8" w:space="0"/>
            </w:tcBorders>
            <w:vAlign w:val="center"/>
          </w:tcPr>
          <w:p>
            <w:pPr>
              <w:rPr>
                <w:highlight w:val="none"/>
              </w:rPr>
            </w:pPr>
          </w:p>
        </w:tc>
        <w:tc>
          <w:tcPr>
            <w:tcW w:w="179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158"/>
              <w:shd w:val="clear" w:color="auto" w:fill="auto"/>
              <w:snapToGrid w:val="0"/>
              <w:spacing w:line="360" w:lineRule="auto"/>
              <w:jc w:val="center"/>
              <w:rPr>
                <w:rFonts w:hint="eastAsia"/>
                <w:sz w:val="21"/>
                <w:szCs w:val="21"/>
                <w:highlight w:val="none"/>
                <w:shd w:val="clear" w:color="auto" w:fill="FFFFFF"/>
                <w:lang w:val="zh-TW"/>
              </w:rPr>
            </w:pPr>
            <w:r>
              <w:rPr>
                <w:rStyle w:val="123"/>
                <w:rFonts w:hint="eastAsia"/>
                <w:color w:val="auto"/>
                <w:sz w:val="21"/>
                <w:szCs w:val="21"/>
                <w:highlight w:val="none"/>
              </w:rPr>
              <w:t>第三方评价</w:t>
            </w:r>
          </w:p>
        </w:tc>
        <w:tc>
          <w:tcPr>
            <w:tcW w:w="69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184"/>
              <w:adjustRightInd w:val="0"/>
              <w:snapToGrid w:val="0"/>
              <w:spacing w:line="360" w:lineRule="auto"/>
              <w:jc w:val="center"/>
              <w:rPr>
                <w:rFonts w:hint="eastAsia" w:ascii="宋体" w:hAnsi="宋体" w:cs="宋体"/>
                <w:sz w:val="21"/>
                <w:szCs w:val="21"/>
                <w:highlight w:val="none"/>
                <w:shd w:val="clear" w:color="auto" w:fill="FFFFFF"/>
              </w:rPr>
            </w:pPr>
            <w:r>
              <w:rPr>
                <w:rStyle w:val="123"/>
                <w:rFonts w:hint="eastAsia"/>
                <w:color w:val="auto"/>
                <w:sz w:val="21"/>
                <w:szCs w:val="21"/>
                <w:highlight w:val="none"/>
                <w:lang w:val="en-US"/>
              </w:rPr>
              <w:t>4</w:t>
            </w:r>
          </w:p>
        </w:tc>
        <w:tc>
          <w:tcPr>
            <w:tcW w:w="10357" w:type="dxa"/>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Theme="minorEastAsia" w:hAnsiTheme="minorEastAsia" w:eastAsiaTheme="minorEastAsia"/>
                <w:highlight w:val="none"/>
              </w:rPr>
            </w:pPr>
            <w:r>
              <w:rPr>
                <w:rFonts w:asciiTheme="minorEastAsia" w:hAnsiTheme="minorEastAsia" w:eastAsiaTheme="minorEastAsia"/>
                <w:highlight w:val="none"/>
              </w:rPr>
              <w:t>投标人自2020年1月1日</w:t>
            </w:r>
            <w:r>
              <w:rPr>
                <w:rFonts w:hint="eastAsia" w:ascii="宋体" w:hAnsi="宋体" w:cs="宋体"/>
                <w:bCs/>
                <w:kern w:val="0"/>
                <w:szCs w:val="21"/>
                <w:highlight w:val="none"/>
                <w:lang w:bidi="ar"/>
              </w:rPr>
              <w:t>至投标截止时间</w:t>
            </w:r>
            <w:r>
              <w:rPr>
                <w:rFonts w:asciiTheme="minorEastAsia" w:hAnsiTheme="minorEastAsia" w:eastAsiaTheme="minorEastAsia"/>
                <w:highlight w:val="none"/>
              </w:rPr>
              <w:t>，获得省级或以上房屋建筑工程类科技创新先进企业证书的</w:t>
            </w:r>
            <w:r>
              <w:rPr>
                <w:rFonts w:hint="eastAsia" w:asciiTheme="minorEastAsia" w:hAnsiTheme="minorEastAsia" w:eastAsiaTheme="minorEastAsia"/>
                <w:highlight w:val="none"/>
              </w:rPr>
              <w:t>，</w:t>
            </w:r>
            <w:r>
              <w:rPr>
                <w:rFonts w:asciiTheme="minorEastAsia" w:hAnsiTheme="minorEastAsia" w:eastAsiaTheme="minorEastAsia"/>
                <w:highlight w:val="none"/>
              </w:rPr>
              <w:t>得</w:t>
            </w:r>
            <w:r>
              <w:rPr>
                <w:rFonts w:hint="eastAsia" w:asciiTheme="minorEastAsia" w:hAnsiTheme="minorEastAsia" w:eastAsiaTheme="minorEastAsia"/>
                <w:highlight w:val="none"/>
              </w:rPr>
              <w:t>4</w:t>
            </w:r>
            <w:r>
              <w:rPr>
                <w:rFonts w:asciiTheme="minorEastAsia" w:hAnsiTheme="minorEastAsia" w:eastAsiaTheme="minorEastAsia"/>
                <w:highlight w:val="none"/>
              </w:rPr>
              <w:t>分</w:t>
            </w:r>
            <w:r>
              <w:rPr>
                <w:rFonts w:hint="eastAsia" w:asciiTheme="minorEastAsia" w:hAnsiTheme="minorEastAsia" w:eastAsiaTheme="minorEastAsia"/>
                <w:highlight w:val="none"/>
              </w:rPr>
              <w:t>，</w:t>
            </w:r>
            <w:r>
              <w:rPr>
                <w:rFonts w:asciiTheme="minorEastAsia" w:hAnsiTheme="minorEastAsia" w:eastAsiaTheme="minorEastAsia"/>
                <w:highlight w:val="none"/>
              </w:rPr>
              <w:t>本项最高得</w:t>
            </w:r>
            <w:r>
              <w:rPr>
                <w:rFonts w:hint="eastAsia" w:asciiTheme="minorEastAsia" w:hAnsiTheme="minorEastAsia" w:eastAsiaTheme="minorEastAsia"/>
                <w:highlight w:val="none"/>
              </w:rPr>
              <w:t>4</w:t>
            </w:r>
            <w:r>
              <w:rPr>
                <w:rFonts w:asciiTheme="minorEastAsia" w:hAnsiTheme="minorEastAsia" w:eastAsiaTheme="minorEastAsia"/>
                <w:highlight w:val="none"/>
              </w:rPr>
              <w:t>分。</w:t>
            </w:r>
          </w:p>
          <w:p>
            <w:pPr>
              <w:rPr>
                <w:rFonts w:hint="eastAsia" w:ascii="宋体" w:hAnsi="宋体" w:cs="宋体"/>
                <w:szCs w:val="21"/>
                <w:highlight w:val="none"/>
                <w:lang w:val="zh-TW"/>
              </w:rPr>
            </w:pPr>
            <w:r>
              <w:rPr>
                <w:rFonts w:asciiTheme="minorEastAsia" w:hAnsiTheme="minorEastAsia" w:eastAsiaTheme="minorEastAsia"/>
                <w:highlight w:val="none"/>
              </w:rPr>
              <w:t>不满足上述条件或未提供相关证明材料的，不得分。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3122" w:type="dxa"/>
            <w:gridSpan w:val="2"/>
            <w:vMerge w:val="restart"/>
            <w:tcBorders>
              <w:top w:val="nil"/>
              <w:left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kern w:val="0"/>
                <w:szCs w:val="21"/>
                <w:highlight w:val="none"/>
              </w:rPr>
            </w:pPr>
            <w:r>
              <w:rPr>
                <w:rFonts w:hint="eastAsia" w:ascii="宋体" w:hAnsi="宋体" w:cs="宋体"/>
                <w:kern w:val="0"/>
                <w:szCs w:val="21"/>
                <w:highlight w:val="none"/>
              </w:rPr>
              <w:t>项目管理机构能力（70分）</w:t>
            </w:r>
          </w:p>
        </w:tc>
        <w:tc>
          <w:tcPr>
            <w:tcW w:w="11052" w:type="dxa"/>
            <w:gridSpan w:val="2"/>
            <w:tcBorders>
              <w:top w:val="nil"/>
              <w:left w:val="nil"/>
              <w:right w:val="single" w:color="auto" w:sz="8" w:space="0"/>
            </w:tcBorders>
            <w:tcMar>
              <w:left w:w="108" w:type="dxa"/>
              <w:right w:w="108" w:type="dxa"/>
            </w:tcMar>
            <w:vAlign w:val="center"/>
          </w:tcPr>
          <w:p>
            <w:pPr>
              <w:rPr>
                <w:rFonts w:hint="eastAsia"/>
                <w:highlight w:val="none"/>
              </w:rPr>
            </w:pPr>
            <w:r>
              <w:rPr>
                <w:rFonts w:hint="eastAsia"/>
                <w:highlight w:val="none"/>
              </w:rPr>
              <w:t>一、人员配备（35分）</w:t>
            </w:r>
          </w:p>
          <w:p>
            <w:pPr>
              <w:numPr>
                <w:ilvl w:val="0"/>
                <w:numId w:val="3"/>
              </w:numPr>
              <w:spacing w:line="276" w:lineRule="auto"/>
              <w:jc w:val="left"/>
              <w:textAlignment w:val="auto"/>
              <w:rPr>
                <w:rFonts w:hint="eastAsia"/>
                <w:highlight w:val="none"/>
              </w:rPr>
            </w:pPr>
            <w:r>
              <w:rPr>
                <w:rFonts w:hint="eastAsia"/>
                <w:highlight w:val="none"/>
              </w:rPr>
              <w:t>基本人员配备（2分）：</w:t>
            </w:r>
          </w:p>
          <w:p>
            <w:pPr>
              <w:spacing w:line="276" w:lineRule="auto"/>
              <w:jc w:val="left"/>
              <w:textAlignment w:val="auto"/>
              <w:rPr>
                <w:rFonts w:hint="eastAsia"/>
                <w:highlight w:val="none"/>
              </w:rPr>
            </w:pPr>
            <w:r>
              <w:rPr>
                <w:rFonts w:hint="eastAsia"/>
                <w:highlight w:val="none"/>
              </w:rPr>
              <w:t>投标人拟投入本项目人员须按照附表《投入人员汇总表》配备齐全得2分，不满足不得分。</w:t>
            </w:r>
          </w:p>
          <w:p>
            <w:pPr>
              <w:spacing w:line="276" w:lineRule="auto"/>
              <w:jc w:val="left"/>
              <w:textAlignment w:val="auto"/>
              <w:rPr>
                <w:rFonts w:hint="eastAsia"/>
                <w:highlight w:val="none"/>
              </w:rPr>
            </w:pPr>
            <w:r>
              <w:rPr>
                <w:rFonts w:hint="eastAsia"/>
                <w:highlight w:val="none"/>
              </w:rPr>
              <w:t>2、项目负责人（15分）：</w:t>
            </w:r>
          </w:p>
          <w:p>
            <w:pPr>
              <w:numPr>
                <w:ilvl w:val="0"/>
                <w:numId w:val="4"/>
              </w:numPr>
              <w:spacing w:line="276" w:lineRule="auto"/>
              <w:jc w:val="left"/>
              <w:textAlignment w:val="auto"/>
              <w:rPr>
                <w:rFonts w:hint="eastAsia"/>
                <w:highlight w:val="none"/>
              </w:rPr>
            </w:pPr>
            <w:r>
              <w:rPr>
                <w:rFonts w:hint="eastAsia"/>
                <w:highlight w:val="none"/>
              </w:rPr>
              <w:t>具有建筑工程相关专业中级工程师技术职称，得1分。</w:t>
            </w:r>
          </w:p>
          <w:p>
            <w:pPr>
              <w:numPr>
                <w:ilvl w:val="0"/>
                <w:numId w:val="4"/>
              </w:numPr>
              <w:spacing w:line="276" w:lineRule="auto"/>
              <w:jc w:val="left"/>
              <w:textAlignment w:val="auto"/>
              <w:rPr>
                <w:rFonts w:hint="eastAsia"/>
                <w:highlight w:val="none"/>
              </w:rPr>
            </w:pPr>
            <w:r>
              <w:rPr>
                <w:rFonts w:hint="eastAsia"/>
                <w:highlight w:val="none"/>
              </w:rPr>
              <w:t>具有建筑工程相关专业高级工程师（副高）或以上技术职称年限5年以下（不含5年）的，得4分；具有建筑工程相关专业高级工程师（副高）或以上技术职称年限5年以上（含5年）的，得6分。</w:t>
            </w:r>
          </w:p>
          <w:p>
            <w:pPr>
              <w:numPr>
                <w:ilvl w:val="0"/>
                <w:numId w:val="4"/>
              </w:numPr>
              <w:spacing w:line="276" w:lineRule="auto"/>
              <w:jc w:val="left"/>
              <w:textAlignment w:val="auto"/>
              <w:rPr>
                <w:highlight w:val="none"/>
              </w:rPr>
            </w:pPr>
            <w:r>
              <w:rPr>
                <w:rFonts w:hint="eastAsia"/>
                <w:highlight w:val="none"/>
              </w:rPr>
              <w:t>自2020年1月1日至投标截止时间止，作为项目负责人身份完成过质量合格的金额大于或等于8000万元的建筑工程施工总承包或工程总承包（施工部分）得5分。</w:t>
            </w:r>
          </w:p>
          <w:p>
            <w:pPr>
              <w:numPr>
                <w:ilvl w:val="0"/>
                <w:numId w:val="4"/>
              </w:numPr>
              <w:spacing w:line="276" w:lineRule="auto"/>
              <w:jc w:val="left"/>
              <w:textAlignment w:val="auto"/>
              <w:rPr>
                <w:rFonts w:hint="eastAsia"/>
                <w:highlight w:val="none"/>
              </w:rPr>
            </w:pPr>
            <w:r>
              <w:rPr>
                <w:rFonts w:hint="eastAsia"/>
                <w:highlight w:val="none"/>
              </w:rPr>
              <w:t>自2020年1月1日至投标截止时间止，作为项目负责人身份完成过质量合格的金额大于或等于8000万元的建筑工程施工总承包或工程总承包（施工部分）项目业绩获得过省级或以上工程奖项的得4分，获得过市级（含副省级市）工程奖项的得2分，（同一个业绩的获奖只计算最高等级）本小项最多得4分。</w:t>
            </w:r>
          </w:p>
          <w:p>
            <w:pPr>
              <w:spacing w:line="276" w:lineRule="auto"/>
              <w:jc w:val="left"/>
              <w:textAlignment w:val="auto"/>
              <w:rPr>
                <w:rFonts w:hint="eastAsia"/>
                <w:highlight w:val="none"/>
              </w:rPr>
            </w:pPr>
            <w:r>
              <w:rPr>
                <w:rFonts w:hint="eastAsia"/>
                <w:highlight w:val="none"/>
              </w:rPr>
              <w:t>不满足上述条件的，不得分。</w:t>
            </w:r>
          </w:p>
          <w:p>
            <w:pPr>
              <w:spacing w:line="276" w:lineRule="auto"/>
              <w:jc w:val="left"/>
              <w:textAlignment w:val="auto"/>
              <w:rPr>
                <w:highlight w:val="none"/>
              </w:rPr>
            </w:pPr>
            <w:r>
              <w:rPr>
                <w:rFonts w:hint="eastAsia"/>
                <w:highlight w:val="none"/>
              </w:rPr>
              <w:t>注：同一人按最高等级职称证书计算，不累计加分，技术职称年限以技术职称证书发证日期开始计算（如取得正高级技术职称的，则以副高级职称证书发证日期开始计算，须同时提供正、副高级职称证书扫描件）。此项满分15分。</w:t>
            </w:r>
          </w:p>
          <w:p>
            <w:pPr>
              <w:spacing w:line="276" w:lineRule="auto"/>
              <w:jc w:val="left"/>
              <w:textAlignment w:val="auto"/>
              <w:rPr>
                <w:rFonts w:hint="eastAsia"/>
                <w:highlight w:val="none"/>
              </w:rPr>
            </w:pPr>
            <w:r>
              <w:rPr>
                <w:rFonts w:hint="eastAsia"/>
                <w:highlight w:val="none"/>
              </w:rPr>
              <w:t>3、技术负责人（6分）：</w:t>
            </w:r>
          </w:p>
          <w:p>
            <w:pPr>
              <w:numPr>
                <w:ilvl w:val="0"/>
                <w:numId w:val="5"/>
              </w:numPr>
              <w:spacing w:line="276" w:lineRule="auto"/>
              <w:jc w:val="left"/>
              <w:textAlignment w:val="auto"/>
              <w:rPr>
                <w:rFonts w:hint="eastAsia"/>
                <w:highlight w:val="none"/>
              </w:rPr>
            </w:pPr>
            <w:r>
              <w:rPr>
                <w:rFonts w:hint="eastAsia"/>
                <w:highlight w:val="none"/>
              </w:rPr>
              <w:t>具有建筑工程相关专业高级工程师（副高）或以上技术职称年限5年以下（不含5年）的，得4分；具有建筑工程相关专业高级工程师（副高）或以上技术职称年限5年以上（含5年）的，得6分。</w:t>
            </w:r>
          </w:p>
          <w:p>
            <w:pPr>
              <w:spacing w:line="276" w:lineRule="auto"/>
              <w:jc w:val="left"/>
              <w:textAlignment w:val="auto"/>
              <w:rPr>
                <w:highlight w:val="none"/>
              </w:rPr>
            </w:pPr>
            <w:r>
              <w:rPr>
                <w:rFonts w:hint="eastAsia"/>
                <w:highlight w:val="none"/>
              </w:rPr>
              <w:t>注：同一人按最高等级职称证书计算，不累计加分，技术职称年限以技术职称证书发证日期开始计算（如取得正高级技术职称的，则以副高级职称证书发证日期开始计算，须同时提供正、副高级职称证书扫描件）。此项满分6分。</w:t>
            </w:r>
          </w:p>
          <w:p>
            <w:pPr>
              <w:spacing w:line="276" w:lineRule="auto"/>
              <w:jc w:val="left"/>
              <w:textAlignment w:val="auto"/>
              <w:rPr>
                <w:rFonts w:hint="eastAsia"/>
                <w:highlight w:val="none"/>
              </w:rPr>
            </w:pPr>
            <w:r>
              <w:rPr>
                <w:rFonts w:hint="eastAsia"/>
                <w:highlight w:val="none"/>
              </w:rPr>
              <w:t>4、造价负责人（6分）：</w:t>
            </w:r>
          </w:p>
          <w:p>
            <w:pPr>
              <w:spacing w:line="276" w:lineRule="auto"/>
              <w:jc w:val="left"/>
              <w:rPr>
                <w:rFonts w:hint="eastAsia"/>
                <w:highlight w:val="none"/>
              </w:rPr>
            </w:pPr>
            <w:r>
              <w:rPr>
                <w:rFonts w:hint="eastAsia"/>
                <w:highlight w:val="none"/>
              </w:rPr>
              <w:t>（1）具有工程造价相关专业中级工程师技术职称，得1分。</w:t>
            </w:r>
          </w:p>
          <w:p>
            <w:pPr>
              <w:spacing w:line="276" w:lineRule="auto"/>
              <w:jc w:val="left"/>
              <w:textAlignment w:val="auto"/>
              <w:rPr>
                <w:rFonts w:hint="eastAsia"/>
                <w:highlight w:val="none"/>
              </w:rPr>
            </w:pPr>
            <w:r>
              <w:rPr>
                <w:rFonts w:hint="eastAsia"/>
                <w:highlight w:val="none"/>
              </w:rPr>
              <w:t>（2）具有工程造价相关专业高级工程师（副高）或以上技术职称年限5年以下（不含5年）的，得4分；具有工程造价相关专业高级工程师（副高）或以上技术职称年限5年以上（含5年）的，得6分。</w:t>
            </w:r>
          </w:p>
          <w:p>
            <w:pPr>
              <w:spacing w:line="276" w:lineRule="auto"/>
              <w:jc w:val="left"/>
              <w:textAlignment w:val="auto"/>
              <w:rPr>
                <w:rFonts w:hint="eastAsia"/>
                <w:highlight w:val="none"/>
              </w:rPr>
            </w:pPr>
            <w:r>
              <w:rPr>
                <w:rFonts w:hint="eastAsia"/>
                <w:highlight w:val="none"/>
              </w:rPr>
              <w:t>注：同一人按最高等级职称证书计算，不累计加分，技术职称年限以技术职称证书发证日期开始计算（如取得正高级技术职称的，则以副高级职称证书发证日期开始计算，须同时提供正、副高级职称证书扫描件）。此项满分6分。</w:t>
            </w:r>
          </w:p>
          <w:p>
            <w:pPr>
              <w:spacing w:line="276" w:lineRule="auto"/>
              <w:jc w:val="left"/>
              <w:rPr>
                <w:rFonts w:hint="eastAsia"/>
                <w:highlight w:val="none"/>
              </w:rPr>
            </w:pPr>
            <w:r>
              <w:rPr>
                <w:rFonts w:hint="eastAsia"/>
                <w:highlight w:val="none"/>
              </w:rPr>
              <w:t>5、安全负责人（与专职安全员不为同一人）（6分）：</w:t>
            </w:r>
          </w:p>
          <w:p>
            <w:pPr>
              <w:spacing w:line="276" w:lineRule="auto"/>
              <w:jc w:val="left"/>
              <w:rPr>
                <w:rFonts w:hint="eastAsia"/>
                <w:highlight w:val="none"/>
              </w:rPr>
            </w:pPr>
            <w:r>
              <w:rPr>
                <w:rFonts w:hint="eastAsia"/>
                <w:highlight w:val="none"/>
              </w:rPr>
              <w:t>（1）具有建筑工程相关专业中级工程师技术职称，得1分。</w:t>
            </w:r>
          </w:p>
          <w:p>
            <w:pPr>
              <w:spacing w:line="276" w:lineRule="auto"/>
              <w:jc w:val="left"/>
              <w:textAlignment w:val="auto"/>
              <w:rPr>
                <w:rFonts w:hint="eastAsia"/>
                <w:highlight w:val="none"/>
              </w:rPr>
            </w:pPr>
            <w:r>
              <w:rPr>
                <w:rFonts w:hint="eastAsia"/>
                <w:highlight w:val="none"/>
              </w:rPr>
              <w:t>（2）具有建筑工程相关专业高级工程师（副高）或以上技术职称年限5年以下（不含5年）的，得4分；具有建筑工程相关专业高级工程师（副高）或以上技术职称年限5年以上（含5年）的，得6分。</w:t>
            </w:r>
          </w:p>
          <w:p>
            <w:pPr>
              <w:spacing w:line="276" w:lineRule="auto"/>
              <w:jc w:val="left"/>
              <w:textAlignment w:val="auto"/>
              <w:rPr>
                <w:rFonts w:hint="eastAsia"/>
                <w:highlight w:val="none"/>
              </w:rPr>
            </w:pPr>
            <w:r>
              <w:rPr>
                <w:rFonts w:hint="eastAsia"/>
                <w:highlight w:val="none"/>
              </w:rPr>
              <w:t>注：同一人按最高等级职称证书计算，不累计加分，技术职称年限以技术职称证书发证日期开始计算（如取得正高级技术职称的，则以副高级职称证书发证日期开始计算，须同时提供正、副高级职称证书扫描件）。此项满分6分。</w:t>
            </w:r>
          </w:p>
          <w:p>
            <w:pPr>
              <w:pStyle w:val="8"/>
              <w:rPr>
                <w:rFonts w:hint="eastAsia"/>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 w:hRule="atLeast"/>
          <w:jc w:val="center"/>
        </w:trPr>
        <w:tc>
          <w:tcPr>
            <w:tcW w:w="3122" w:type="dxa"/>
            <w:gridSpan w:val="2"/>
            <w:vMerge w:val="continue"/>
            <w:tcBorders>
              <w:left w:val="single" w:color="auto" w:sz="8" w:space="0"/>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p>
        </w:tc>
        <w:tc>
          <w:tcPr>
            <w:tcW w:w="11052" w:type="dxa"/>
            <w:gridSpan w:val="2"/>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left"/>
              <w:textAlignment w:val="auto"/>
              <w:rPr>
                <w:rFonts w:hint="eastAsia" w:ascii="宋体" w:hAnsi="宋体" w:cs="宋体"/>
                <w:kern w:val="0"/>
                <w:szCs w:val="21"/>
                <w:highlight w:val="none"/>
              </w:rPr>
            </w:pPr>
            <w:r>
              <w:rPr>
                <w:rFonts w:hint="eastAsia" w:ascii="宋体" w:hAnsi="宋体" w:cs="宋体"/>
                <w:kern w:val="0"/>
                <w:szCs w:val="21"/>
                <w:highlight w:val="none"/>
              </w:rPr>
              <w:t>二、项目管理班子答辩（35分）：</w:t>
            </w:r>
          </w:p>
          <w:p>
            <w:pPr>
              <w:spacing w:line="276" w:lineRule="auto"/>
              <w:jc w:val="left"/>
              <w:textAlignment w:val="auto"/>
              <w:rPr>
                <w:rFonts w:hint="eastAsia" w:ascii="宋体" w:hAnsi="宋体" w:cs="宋体"/>
                <w:kern w:val="0"/>
                <w:szCs w:val="21"/>
                <w:highlight w:val="none"/>
              </w:rPr>
            </w:pPr>
            <w:r>
              <w:rPr>
                <w:rFonts w:hint="eastAsia" w:ascii="宋体" w:hAnsi="宋体" w:cs="宋体"/>
                <w:kern w:val="0"/>
                <w:szCs w:val="21"/>
                <w:highlight w:val="none"/>
              </w:rPr>
              <w:t>（一）</w:t>
            </w:r>
            <w:r>
              <w:rPr>
                <w:rFonts w:hint="eastAsia" w:ascii="宋体" w:hAnsi="宋体" w:cs="宋体"/>
                <w:szCs w:val="21"/>
                <w:highlight w:val="none"/>
              </w:rPr>
              <w:t>答辩</w:t>
            </w:r>
            <w:r>
              <w:rPr>
                <w:rFonts w:hint="eastAsia" w:ascii="宋体" w:hAnsi="宋体" w:cs="宋体"/>
                <w:kern w:val="0"/>
                <w:szCs w:val="21"/>
                <w:highlight w:val="none"/>
              </w:rPr>
              <w:t>流程：</w:t>
            </w:r>
          </w:p>
          <w:p>
            <w:pPr>
              <w:spacing w:line="276" w:lineRule="auto"/>
              <w:jc w:val="left"/>
              <w:textAlignment w:val="auto"/>
              <w:rPr>
                <w:rFonts w:hint="eastAsia" w:ascii="宋体" w:hAnsi="宋体" w:cs="宋体"/>
                <w:kern w:val="0"/>
                <w:szCs w:val="21"/>
                <w:highlight w:val="none"/>
              </w:rPr>
            </w:pPr>
            <w:r>
              <w:rPr>
                <w:rFonts w:hint="eastAsia" w:ascii="宋体" w:hAnsi="宋体" w:cs="宋体"/>
                <w:szCs w:val="21"/>
                <w:highlight w:val="none"/>
              </w:rPr>
              <w:t>述标</w:t>
            </w:r>
            <w:r>
              <w:rPr>
                <w:rFonts w:hint="eastAsia" w:ascii="宋体" w:hAnsi="宋体" w:cs="宋体"/>
                <w:kern w:val="0"/>
                <w:szCs w:val="21"/>
                <w:highlight w:val="none"/>
              </w:rPr>
              <w:t>人员陈述（包括但不限于以下）：</w:t>
            </w:r>
          </w:p>
          <w:p>
            <w:pPr>
              <w:spacing w:line="276" w:lineRule="auto"/>
              <w:jc w:val="left"/>
              <w:textAlignment w:val="auto"/>
              <w:rPr>
                <w:rFonts w:hint="eastAsia" w:ascii="宋体" w:hAnsi="宋体" w:cs="宋体"/>
                <w:kern w:val="0"/>
                <w:szCs w:val="21"/>
                <w:highlight w:val="none"/>
              </w:rPr>
            </w:pPr>
            <w:r>
              <w:rPr>
                <w:rFonts w:hint="eastAsia" w:ascii="宋体" w:hAnsi="宋体" w:cs="宋体"/>
                <w:kern w:val="0"/>
                <w:szCs w:val="21"/>
                <w:highlight w:val="none"/>
              </w:rPr>
              <w:t>1、对</w:t>
            </w:r>
            <w:r>
              <w:rPr>
                <w:rFonts w:hint="eastAsia" w:ascii="宋体" w:hAnsi="宋体"/>
                <w:szCs w:val="21"/>
                <w:highlight w:val="none"/>
              </w:rPr>
              <w:t>本招</w:t>
            </w:r>
            <w:r>
              <w:rPr>
                <w:rFonts w:hint="eastAsia" w:ascii="宋体" w:hAnsi="宋体" w:cs="宋体"/>
                <w:kern w:val="0"/>
                <w:szCs w:val="21"/>
                <w:highlight w:val="none"/>
              </w:rPr>
              <w:t>标项目的了解情况；</w:t>
            </w:r>
          </w:p>
          <w:p>
            <w:pPr>
              <w:spacing w:line="276" w:lineRule="auto"/>
              <w:jc w:val="left"/>
              <w:textAlignment w:val="auto"/>
              <w:rPr>
                <w:rFonts w:hint="eastAsia" w:ascii="宋体" w:hAnsi="宋体" w:cs="宋体"/>
                <w:kern w:val="0"/>
                <w:szCs w:val="21"/>
                <w:highlight w:val="none"/>
              </w:rPr>
            </w:pPr>
            <w:r>
              <w:rPr>
                <w:rFonts w:hint="eastAsia" w:ascii="宋体" w:hAnsi="宋体" w:cs="宋体"/>
                <w:kern w:val="0"/>
                <w:szCs w:val="21"/>
                <w:highlight w:val="none"/>
              </w:rPr>
              <w:t>2、本项目施工重点、难点及建议。</w:t>
            </w:r>
          </w:p>
          <w:p>
            <w:pPr>
              <w:spacing w:line="276" w:lineRule="auto"/>
              <w:jc w:val="left"/>
              <w:textAlignment w:val="auto"/>
              <w:rPr>
                <w:rFonts w:hint="eastAsia" w:ascii="宋体" w:hAnsi="宋体" w:cs="宋体"/>
                <w:szCs w:val="21"/>
                <w:highlight w:val="none"/>
              </w:rPr>
            </w:pPr>
            <w:r>
              <w:rPr>
                <w:rFonts w:hint="eastAsia" w:ascii="宋体" w:hAnsi="宋体" w:cs="宋体"/>
                <w:szCs w:val="21"/>
                <w:highlight w:val="none"/>
                <w:lang w:bidi="ar"/>
              </w:rPr>
              <w:t>3、回答评委现场提问。</w:t>
            </w:r>
          </w:p>
          <w:p>
            <w:pPr>
              <w:spacing w:line="276" w:lineRule="auto"/>
              <w:jc w:val="left"/>
              <w:textAlignment w:val="auto"/>
              <w:rPr>
                <w:rFonts w:hint="eastAsia" w:ascii="宋体" w:hAnsi="宋体" w:cs="宋体"/>
                <w:szCs w:val="21"/>
                <w:highlight w:val="none"/>
              </w:rPr>
            </w:pPr>
            <w:r>
              <w:rPr>
                <w:rFonts w:hint="eastAsia" w:ascii="宋体" w:hAnsi="宋体" w:cs="宋体"/>
                <w:szCs w:val="21"/>
                <w:highlight w:val="none"/>
                <w:lang w:bidi="ar"/>
              </w:rPr>
              <w:t>解答：评委针对其陈述内容及投标文件所提出的相关问题。</w:t>
            </w:r>
          </w:p>
          <w:p>
            <w:pPr>
              <w:spacing w:line="276" w:lineRule="auto"/>
              <w:jc w:val="left"/>
              <w:textAlignment w:val="auto"/>
              <w:rPr>
                <w:rFonts w:hint="eastAsia" w:ascii="宋体" w:hAnsi="宋体" w:cs="宋体"/>
                <w:kern w:val="0"/>
                <w:szCs w:val="21"/>
                <w:highlight w:val="none"/>
              </w:rPr>
            </w:pPr>
            <w:r>
              <w:rPr>
                <w:rFonts w:hint="eastAsia" w:ascii="宋体" w:hAnsi="宋体" w:cs="宋体"/>
                <w:szCs w:val="21"/>
                <w:highlight w:val="none"/>
                <w:lang w:bidi="ar"/>
              </w:rPr>
              <w:t>横向比较各投标人的答辩情况：</w:t>
            </w:r>
          </w:p>
          <w:p>
            <w:pPr>
              <w:spacing w:line="276" w:lineRule="auto"/>
              <w:jc w:val="left"/>
              <w:textAlignment w:val="auto"/>
              <w:rPr>
                <w:rFonts w:hint="eastAsia" w:ascii="宋体" w:hAnsi="宋体" w:cs="宋体"/>
                <w:szCs w:val="21"/>
                <w:highlight w:val="none"/>
              </w:rPr>
            </w:pPr>
            <w:r>
              <w:rPr>
                <w:rFonts w:hint="eastAsia" w:ascii="宋体" w:hAnsi="宋体" w:cs="宋体"/>
                <w:szCs w:val="21"/>
                <w:highlight w:val="none"/>
              </w:rPr>
              <w:t>（二）评标标准：</w:t>
            </w:r>
          </w:p>
          <w:p>
            <w:pPr>
              <w:spacing w:line="276" w:lineRule="auto"/>
              <w:jc w:val="left"/>
              <w:textAlignment w:val="auto"/>
              <w:rPr>
                <w:rFonts w:hint="eastAsia" w:ascii="宋体" w:hAnsi="宋体" w:cs="宋体"/>
                <w:szCs w:val="21"/>
                <w:highlight w:val="none"/>
              </w:rPr>
            </w:pPr>
            <w:r>
              <w:rPr>
                <w:rFonts w:hint="eastAsia" w:ascii="宋体" w:hAnsi="宋体" w:cs="宋体"/>
                <w:b/>
                <w:bCs/>
                <w:kern w:val="0"/>
                <w:szCs w:val="21"/>
                <w:highlight w:val="none"/>
              </w:rPr>
              <w:t>【</w:t>
            </w:r>
            <w:r>
              <w:rPr>
                <w:rFonts w:hint="eastAsia" w:ascii="宋体" w:hAnsi="宋体" w:cs="宋体"/>
                <w:b/>
                <w:szCs w:val="21"/>
                <w:highlight w:val="none"/>
              </w:rPr>
              <w:t>优</w:t>
            </w:r>
            <w:r>
              <w:rPr>
                <w:rFonts w:hint="eastAsia" w:ascii="宋体" w:hAnsi="宋体" w:cs="宋体"/>
                <w:b/>
                <w:bCs/>
                <w:kern w:val="0"/>
                <w:szCs w:val="21"/>
                <w:highlight w:val="none"/>
              </w:rPr>
              <w:t>】</w:t>
            </w:r>
            <w:r>
              <w:rPr>
                <w:rFonts w:hint="eastAsia" w:ascii="宋体" w:hAnsi="宋体" w:cs="宋体"/>
                <w:b/>
                <w:szCs w:val="21"/>
                <w:highlight w:val="none"/>
              </w:rPr>
              <w:t>：</w:t>
            </w:r>
            <w:r>
              <w:rPr>
                <w:rFonts w:hint="eastAsia" w:ascii="宋体" w:hAnsi="宋体" w:cs="宋体"/>
                <w:szCs w:val="21"/>
                <w:highlight w:val="none"/>
              </w:rPr>
              <w:t>对项目情况认识清晰，对项目的重点、难点理解到位，应对措施合理健全，对工程质量和工期、安全的保证措施合理可行，述标内容与标书内容一致性高。得35分；</w:t>
            </w:r>
          </w:p>
          <w:p>
            <w:pPr>
              <w:spacing w:line="276" w:lineRule="auto"/>
              <w:jc w:val="left"/>
              <w:textAlignment w:val="auto"/>
              <w:rPr>
                <w:rFonts w:hint="eastAsia" w:ascii="宋体" w:hAnsi="宋体" w:cs="宋体"/>
                <w:szCs w:val="21"/>
                <w:highlight w:val="none"/>
              </w:rPr>
            </w:pPr>
            <w:r>
              <w:rPr>
                <w:rFonts w:hint="eastAsia" w:ascii="宋体" w:hAnsi="宋体" w:cs="宋体"/>
                <w:b/>
                <w:bCs/>
                <w:kern w:val="0"/>
                <w:szCs w:val="21"/>
                <w:highlight w:val="none"/>
              </w:rPr>
              <w:t>【良】：</w:t>
            </w:r>
            <w:r>
              <w:rPr>
                <w:rFonts w:hint="eastAsia" w:ascii="宋体" w:hAnsi="宋体" w:cs="宋体"/>
                <w:szCs w:val="21"/>
                <w:highlight w:val="none"/>
              </w:rPr>
              <w:t>对项目情况认识比较清晰，对项目的重点、难点理解比较到位，应对措施较比较合理，对工程质量和工期、安全的保证措施比较合理可行，述标内容与标书内容一致性较高。得25分；</w:t>
            </w:r>
          </w:p>
          <w:p>
            <w:pPr>
              <w:spacing w:line="276" w:lineRule="auto"/>
              <w:jc w:val="left"/>
              <w:textAlignment w:val="auto"/>
              <w:rPr>
                <w:rFonts w:hint="eastAsia" w:ascii="宋体" w:hAnsi="宋体" w:cs="宋体"/>
                <w:szCs w:val="21"/>
                <w:highlight w:val="none"/>
              </w:rPr>
            </w:pPr>
            <w:r>
              <w:rPr>
                <w:rFonts w:hint="eastAsia" w:ascii="宋体" w:hAnsi="宋体" w:cs="宋体"/>
                <w:b/>
                <w:bCs/>
                <w:kern w:val="0"/>
                <w:szCs w:val="21"/>
                <w:highlight w:val="none"/>
              </w:rPr>
              <w:t>【中】：</w:t>
            </w:r>
            <w:r>
              <w:rPr>
                <w:rFonts w:hint="eastAsia" w:ascii="宋体" w:hAnsi="宋体" w:cs="宋体"/>
                <w:szCs w:val="21"/>
                <w:highlight w:val="none"/>
              </w:rPr>
              <w:t>对项目情况认识一般，但重点、难点把握不准，应对措施欠合理，工程质量和工期、安全的保证措施欠合理，述标内容与标书内容一致性一般。得15分；</w:t>
            </w:r>
          </w:p>
          <w:p>
            <w:pPr>
              <w:spacing w:line="276" w:lineRule="auto"/>
              <w:jc w:val="left"/>
              <w:textAlignment w:val="auto"/>
              <w:rPr>
                <w:rFonts w:hint="eastAsia" w:ascii="宋体" w:hAnsi="宋体" w:cs="宋体"/>
                <w:szCs w:val="21"/>
                <w:highlight w:val="none"/>
              </w:rPr>
            </w:pPr>
            <w:r>
              <w:rPr>
                <w:rFonts w:hint="eastAsia" w:ascii="宋体" w:hAnsi="宋体" w:cs="宋体"/>
                <w:b/>
                <w:bCs/>
                <w:kern w:val="0"/>
                <w:szCs w:val="21"/>
                <w:highlight w:val="none"/>
              </w:rPr>
              <w:t>【差】：</w:t>
            </w:r>
            <w:r>
              <w:rPr>
                <w:rFonts w:hint="eastAsia" w:ascii="宋体" w:hAnsi="宋体" w:cs="宋体"/>
                <w:szCs w:val="21"/>
                <w:highlight w:val="none"/>
              </w:rPr>
              <w:t>对项目不了解，或述标内容与标书内容不一致。得5分。</w:t>
            </w:r>
          </w:p>
          <w:p>
            <w:pPr>
              <w:spacing w:line="276" w:lineRule="auto"/>
              <w:jc w:val="left"/>
              <w:textAlignment w:val="auto"/>
              <w:rPr>
                <w:rFonts w:hint="eastAsia" w:ascii="宋体" w:hAnsi="宋体"/>
                <w:szCs w:val="21"/>
                <w:highlight w:val="none"/>
                <w:u w:val="single"/>
              </w:rPr>
            </w:pPr>
            <w:r>
              <w:rPr>
                <w:rFonts w:hint="eastAsia" w:ascii="宋体" w:hAnsi="宋体"/>
                <w:szCs w:val="21"/>
                <w:highlight w:val="none"/>
                <w:u w:val="single"/>
              </w:rPr>
              <w:t>注意事项如下：</w:t>
            </w:r>
          </w:p>
          <w:p>
            <w:pPr>
              <w:spacing w:line="276" w:lineRule="auto"/>
              <w:jc w:val="left"/>
              <w:textAlignment w:val="auto"/>
              <w:rPr>
                <w:rFonts w:hint="eastAsia" w:ascii="宋体" w:hAnsi="宋体"/>
                <w:szCs w:val="21"/>
                <w:highlight w:val="none"/>
                <w:u w:val="single"/>
              </w:rPr>
            </w:pPr>
            <w:r>
              <w:rPr>
                <w:rFonts w:hint="eastAsia" w:ascii="宋体" w:hAnsi="宋体"/>
                <w:szCs w:val="21"/>
                <w:highlight w:val="none"/>
                <w:u w:val="single"/>
              </w:rPr>
              <w:t>（1）不通过技术标有效性审查的投标人不须参与答辩环节。</w:t>
            </w:r>
          </w:p>
          <w:p>
            <w:pPr>
              <w:spacing w:line="276" w:lineRule="auto"/>
              <w:jc w:val="left"/>
              <w:textAlignment w:val="auto"/>
              <w:rPr>
                <w:rFonts w:hint="eastAsia" w:ascii="宋体" w:hAnsi="宋体"/>
                <w:szCs w:val="21"/>
                <w:highlight w:val="none"/>
                <w:u w:val="single"/>
              </w:rPr>
            </w:pPr>
            <w:r>
              <w:rPr>
                <w:rFonts w:hint="eastAsia" w:ascii="宋体" w:hAnsi="宋体"/>
                <w:szCs w:val="21"/>
                <w:highlight w:val="none"/>
                <w:u w:val="single"/>
              </w:rPr>
              <w:t>（2）答辩人员组成：项目负责人</w:t>
            </w:r>
            <w:r>
              <w:rPr>
                <w:rFonts w:hint="eastAsia" w:ascii="宋体" w:hAnsi="宋体" w:cs="宋体"/>
                <w:szCs w:val="21"/>
                <w:highlight w:val="none"/>
                <w:u w:val="single"/>
              </w:rPr>
              <w:t>和技术负责人参加</w:t>
            </w:r>
            <w:r>
              <w:rPr>
                <w:rFonts w:hint="eastAsia" w:ascii="宋体" w:hAnsi="宋体"/>
                <w:szCs w:val="21"/>
                <w:highlight w:val="none"/>
                <w:u w:val="single"/>
              </w:rPr>
              <w:t>述标。</w:t>
            </w:r>
          </w:p>
          <w:p>
            <w:pPr>
              <w:spacing w:line="276" w:lineRule="auto"/>
              <w:jc w:val="left"/>
              <w:textAlignment w:val="auto"/>
              <w:rPr>
                <w:rFonts w:hint="eastAsia" w:ascii="宋体" w:hAnsi="宋体"/>
                <w:szCs w:val="21"/>
                <w:highlight w:val="none"/>
                <w:u w:val="single"/>
              </w:rPr>
            </w:pPr>
            <w:r>
              <w:rPr>
                <w:rFonts w:hint="eastAsia" w:ascii="宋体" w:hAnsi="宋体"/>
                <w:szCs w:val="21"/>
                <w:highlight w:val="none"/>
                <w:u w:val="single"/>
              </w:rPr>
              <w:t>（3）答辩顺序：</w:t>
            </w:r>
            <w:r>
              <w:rPr>
                <w:rFonts w:ascii="宋体" w:hAnsi="宋体"/>
                <w:szCs w:val="21"/>
                <w:highlight w:val="none"/>
                <w:u w:val="single"/>
              </w:rPr>
              <w:t>顺序为“开标</w:t>
            </w:r>
            <w:r>
              <w:rPr>
                <w:rFonts w:hint="eastAsia" w:ascii="宋体" w:hAnsi="宋体"/>
                <w:szCs w:val="21"/>
                <w:highlight w:val="none"/>
                <w:u w:val="single"/>
              </w:rPr>
              <w:t>记录</w:t>
            </w:r>
            <w:r>
              <w:rPr>
                <w:rFonts w:ascii="宋体" w:hAnsi="宋体"/>
                <w:szCs w:val="21"/>
                <w:highlight w:val="none"/>
                <w:u w:val="single"/>
              </w:rPr>
              <w:t>表”由上往下的顺序（即从序号1开始）</w:t>
            </w:r>
            <w:r>
              <w:rPr>
                <w:rFonts w:hint="eastAsia" w:ascii="宋体" w:hAnsi="宋体"/>
                <w:szCs w:val="21"/>
                <w:highlight w:val="none"/>
                <w:u w:val="single"/>
              </w:rPr>
              <w:t>。</w:t>
            </w:r>
          </w:p>
          <w:p>
            <w:pPr>
              <w:spacing w:line="276" w:lineRule="auto"/>
              <w:jc w:val="left"/>
              <w:textAlignment w:val="auto"/>
              <w:rPr>
                <w:rFonts w:hint="eastAsia" w:ascii="宋体" w:hAnsi="宋体"/>
                <w:szCs w:val="21"/>
                <w:highlight w:val="none"/>
                <w:u w:val="single"/>
              </w:rPr>
            </w:pPr>
            <w:r>
              <w:rPr>
                <w:rFonts w:hint="eastAsia" w:ascii="宋体" w:hAnsi="宋体"/>
                <w:szCs w:val="21"/>
                <w:highlight w:val="none"/>
                <w:u w:val="single"/>
              </w:rPr>
              <w:t>（4）答辩人员的要求：投标人在参加答辩时，应向招标人（招标代理）提供一份加盖公章的法定代表人证明书及授权委托书，并展示讲解人员在本单位2025年8月</w:t>
            </w:r>
            <w:r>
              <w:rPr>
                <w:rFonts w:ascii="宋体" w:hAnsi="宋体"/>
                <w:szCs w:val="21"/>
                <w:highlight w:val="none"/>
                <w:u w:val="single"/>
              </w:rPr>
              <w:t>的有效社保证明复印件并加盖单位公章)、身份证原件，招标人（招标代理）核对确认身份后再进行</w:t>
            </w:r>
            <w:r>
              <w:rPr>
                <w:rFonts w:hint="eastAsia" w:ascii="宋体" w:hAnsi="宋体"/>
                <w:szCs w:val="21"/>
                <w:highlight w:val="none"/>
                <w:u w:val="single"/>
              </w:rPr>
              <w:t>答辩</w:t>
            </w:r>
            <w:r>
              <w:rPr>
                <w:rFonts w:ascii="宋体" w:hAnsi="宋体"/>
                <w:szCs w:val="21"/>
                <w:highlight w:val="none"/>
                <w:u w:val="single"/>
              </w:rPr>
              <w:t>。未能出示前述证明文件的单位不予参加</w:t>
            </w:r>
            <w:r>
              <w:rPr>
                <w:rFonts w:hint="eastAsia" w:ascii="宋体" w:hAnsi="宋体"/>
                <w:szCs w:val="21"/>
                <w:highlight w:val="none"/>
                <w:u w:val="single"/>
              </w:rPr>
              <w:t>述标</w:t>
            </w:r>
            <w:r>
              <w:rPr>
                <w:rFonts w:ascii="宋体" w:hAnsi="宋体"/>
                <w:szCs w:val="21"/>
                <w:highlight w:val="none"/>
                <w:u w:val="single"/>
              </w:rPr>
              <w:t>环节。</w:t>
            </w:r>
          </w:p>
          <w:p>
            <w:pPr>
              <w:spacing w:line="276" w:lineRule="auto"/>
              <w:jc w:val="left"/>
              <w:textAlignment w:val="auto"/>
              <w:rPr>
                <w:rFonts w:hint="eastAsia" w:ascii="宋体" w:hAnsi="宋体"/>
                <w:szCs w:val="21"/>
                <w:highlight w:val="none"/>
                <w:u w:val="single"/>
              </w:rPr>
            </w:pPr>
            <w:r>
              <w:rPr>
                <w:rFonts w:hint="eastAsia" w:ascii="宋体" w:hAnsi="宋体"/>
                <w:szCs w:val="21"/>
                <w:highlight w:val="none"/>
                <w:u w:val="single"/>
              </w:rPr>
              <w:t>（5）答辩形式与要求：答辩环节在评标时进行，具体时间根据评标委员会评审进度而定；招标人（招标代理）在答辩开始前通知通过技术标有效性审查的投标人到达述标地点（答辩人员应预留出足够的时间，并保持通讯畅通）。</w:t>
            </w:r>
          </w:p>
          <w:p>
            <w:pPr>
              <w:spacing w:after="120" w:line="276" w:lineRule="auto"/>
              <w:jc w:val="left"/>
              <w:textAlignment w:val="auto"/>
              <w:rPr>
                <w:rFonts w:hint="eastAsia" w:ascii="宋体" w:hAnsi="宋体"/>
                <w:szCs w:val="21"/>
                <w:highlight w:val="none"/>
                <w:u w:val="single"/>
              </w:rPr>
            </w:pPr>
            <w:r>
              <w:rPr>
                <w:rFonts w:hint="eastAsia" w:ascii="宋体" w:hAnsi="宋体"/>
                <w:szCs w:val="21"/>
                <w:highlight w:val="none"/>
                <w:u w:val="single"/>
              </w:rPr>
              <w:t>（6）答辩时长控制：每家投标人时长不超10分钟。</w:t>
            </w:r>
          </w:p>
          <w:p>
            <w:pPr>
              <w:spacing w:after="120" w:line="276" w:lineRule="auto"/>
              <w:jc w:val="left"/>
              <w:textAlignment w:val="auto"/>
              <w:rPr>
                <w:highlight w:val="none"/>
              </w:rPr>
            </w:pPr>
            <w:r>
              <w:rPr>
                <w:rFonts w:hint="eastAsia" w:ascii="宋体" w:hAnsi="宋体"/>
                <w:szCs w:val="21"/>
                <w:highlight w:val="none"/>
                <w:u w:val="single"/>
              </w:rPr>
              <w:t>（7）</w:t>
            </w:r>
            <w:r>
              <w:rPr>
                <w:rFonts w:hint="eastAsia" w:ascii="宋体" w:hAnsi="宋体" w:cs="宋体"/>
                <w:szCs w:val="21"/>
                <w:highlight w:val="none"/>
                <w:u w:val="single"/>
                <w:lang w:bidi="ar"/>
              </w:rPr>
              <w:t>项目负责人或技术负责人没有参加现场答辩的，得0分。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 w:hRule="atLeast"/>
          <w:jc w:val="center"/>
        </w:trPr>
        <w:tc>
          <w:tcPr>
            <w:tcW w:w="3122" w:type="dxa"/>
            <w:gridSpan w:val="2"/>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r>
              <w:rPr>
                <w:rFonts w:hint="eastAsia" w:ascii="宋体" w:hAnsi="宋体" w:cs="宋体"/>
                <w:kern w:val="0"/>
                <w:szCs w:val="21"/>
                <w:highlight w:val="none"/>
              </w:rPr>
              <w:t>合计</w:t>
            </w:r>
          </w:p>
        </w:tc>
        <w:tc>
          <w:tcPr>
            <w:tcW w:w="695" w:type="dxa"/>
            <w:tcBorders>
              <w:top w:val="nil"/>
              <w:left w:val="nil"/>
              <w:bottom w:val="single" w:color="auto" w:sz="8" w:space="0"/>
              <w:right w:val="single" w:color="auto" w:sz="8" w:space="0"/>
            </w:tcBorders>
            <w:tcMar>
              <w:left w:w="108" w:type="dxa"/>
              <w:right w:w="108" w:type="dxa"/>
            </w:tcMar>
            <w:vAlign w:val="center"/>
          </w:tcPr>
          <w:p>
            <w:pPr>
              <w:spacing w:line="276" w:lineRule="auto"/>
              <w:jc w:val="center"/>
              <w:textAlignment w:val="auto"/>
              <w:rPr>
                <w:rFonts w:hint="eastAsia" w:ascii="宋体" w:hAnsi="宋体" w:cs="宋体"/>
                <w:kern w:val="0"/>
                <w:szCs w:val="21"/>
                <w:highlight w:val="none"/>
              </w:rPr>
            </w:pPr>
            <w:r>
              <w:rPr>
                <w:rFonts w:hint="eastAsia" w:ascii="宋体" w:hAnsi="宋体" w:cs="宋体"/>
                <w:kern w:val="0"/>
                <w:szCs w:val="21"/>
                <w:highlight w:val="none"/>
              </w:rPr>
              <w:t>100</w:t>
            </w:r>
          </w:p>
        </w:tc>
        <w:tc>
          <w:tcPr>
            <w:tcW w:w="10357" w:type="dxa"/>
            <w:tcBorders>
              <w:top w:val="nil"/>
              <w:left w:val="nil"/>
              <w:bottom w:val="single" w:color="auto" w:sz="8" w:space="0"/>
              <w:right w:val="single" w:color="auto" w:sz="8" w:space="0"/>
            </w:tcBorders>
            <w:tcMar>
              <w:left w:w="108" w:type="dxa"/>
              <w:right w:w="108" w:type="dxa"/>
            </w:tcMar>
            <w:vAlign w:val="center"/>
          </w:tcPr>
          <w:p>
            <w:pPr>
              <w:spacing w:after="120" w:line="276" w:lineRule="auto"/>
              <w:jc w:val="left"/>
              <w:textAlignment w:val="auto"/>
              <w:rPr>
                <w:rFonts w:hint="eastAsia" w:ascii="宋体" w:hAnsi="宋体" w:cs="宋体"/>
                <w:kern w:val="0"/>
                <w:szCs w:val="21"/>
                <w:highlight w:val="none"/>
              </w:rPr>
            </w:pPr>
          </w:p>
        </w:tc>
      </w:tr>
    </w:tbl>
    <w:p>
      <w:pPr>
        <w:rPr>
          <w:rFonts w:hint="eastAsia" w:ascii="宋体" w:hAnsi="宋体" w:cs="宋体"/>
          <w:szCs w:val="21"/>
          <w:highlight w:val="none"/>
        </w:rPr>
      </w:pPr>
      <w:r>
        <w:rPr>
          <w:rFonts w:hint="eastAsia" w:ascii="宋体" w:hAnsi="宋体" w:cs="宋体"/>
          <w:szCs w:val="21"/>
          <w:highlight w:val="none"/>
          <w:lang w:bidi="ar"/>
        </w:rPr>
        <w:t>注：</w:t>
      </w:r>
    </w:p>
    <w:p>
      <w:pPr>
        <w:pStyle w:val="164"/>
        <w:widowControl/>
        <w:numPr>
          <w:ilvl w:val="0"/>
          <w:numId w:val="6"/>
        </w:numPr>
        <w:snapToGrid w:val="0"/>
        <w:spacing w:line="300" w:lineRule="auto"/>
        <w:ind w:firstLineChars="0"/>
        <w:textAlignment w:val="baseline"/>
        <w:rPr>
          <w:rFonts w:hint="eastAsia" w:ascii="宋体" w:hAnsi="宋体" w:cs="宋体"/>
          <w:b/>
          <w:kern w:val="0"/>
          <w:highlight w:val="none"/>
          <w:lang w:bidi="ar"/>
        </w:rPr>
      </w:pPr>
      <w:r>
        <w:rPr>
          <w:rFonts w:hint="eastAsia" w:ascii="宋体" w:hAnsi="宋体" w:cs="宋体"/>
          <w:b/>
          <w:kern w:val="0"/>
          <w:highlight w:val="none"/>
          <w:lang w:bidi="ar"/>
        </w:rPr>
        <w:t>项目管理机构能力</w:t>
      </w:r>
    </w:p>
    <w:p>
      <w:pPr>
        <w:ind w:firstLine="420" w:firstLineChars="200"/>
        <w:jc w:val="left"/>
        <w:rPr>
          <w:rFonts w:hint="eastAsia" w:ascii="宋体" w:hAnsi="宋体" w:cs="宋体"/>
          <w:szCs w:val="21"/>
          <w:highlight w:val="none"/>
          <w:lang w:bidi="ar"/>
        </w:rPr>
      </w:pPr>
      <w:r>
        <w:rPr>
          <w:rFonts w:hint="eastAsia" w:ascii="宋体" w:hAnsi="宋体" w:cs="宋体"/>
          <w:szCs w:val="21"/>
          <w:highlight w:val="none"/>
        </w:rPr>
        <w:t>（1）项目负责人</w:t>
      </w:r>
      <w:r>
        <w:rPr>
          <w:rFonts w:hint="eastAsia" w:ascii="宋体" w:hAnsi="宋体" w:cs="宋体"/>
          <w:szCs w:val="21"/>
          <w:highlight w:val="none"/>
          <w:lang w:bidi="ar"/>
        </w:rPr>
        <w:t>业绩及项目负责人业绩获奖：业绩及业绩获奖取自广州市住建行业信用管理平台。投标人须同时提供类似工程业绩在广州市住建行业信用管理平台的项目名称、项目编号及网页信息截图（网页信息截图须能清晰显示带有“住建行业信用管理平台”名称，并至少包含“项目基本信息”等信息）（业绩相关附件的上传件可不提交）。用于本项目投标的类似业绩，在平台中"工程对应的企业资质"栏中须登记有与本项目要求相对应的资质(具体资质要求:建筑工程施工总承包(原房屋建筑工程施工总承包)资质)。 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完成时间以竣工验收文件为准。验收文件至少具有建设单位、设计、施工和监理单位盖章。④业绩金额以中标通知书载明的施工费用为准，中标通知书上没有金额或免招标的，以施工合同（不含补充合同）为准。评标委员会对业绩的评审以投标截止时间在平台内业绩上传件为依据。广州市住建行业信用管理平台内业绩上传件不符合上述要求的或登记的工程资质内容（与施工合同等业绩证明资料不相符的，该项业绩不予认定。中标通知书和竣工验收报告中需体现出项目负责人姓名与本项目拟派项目负责人且为同一人，否则不予计分。</w:t>
      </w:r>
      <w:r>
        <w:rPr>
          <w:rFonts w:hint="eastAsia" w:ascii="宋体" w:hAnsi="宋体" w:cs="宋体"/>
          <w:szCs w:val="21"/>
          <w:highlight w:val="none"/>
        </w:rPr>
        <w:t>获奖需提供获奖证书扫描件，时间</w:t>
      </w:r>
      <w:r>
        <w:rPr>
          <w:rFonts w:hint="eastAsia" w:ascii="宋体" w:hAnsi="宋体" w:cs="宋体"/>
          <w:szCs w:val="21"/>
          <w:highlight w:val="none"/>
          <w:u w:val="single"/>
        </w:rPr>
        <w:t>以获奖证书载明发证</w:t>
      </w:r>
      <w:r>
        <w:rPr>
          <w:rFonts w:hint="eastAsia" w:ascii="宋体" w:hAnsi="宋体" w:cs="宋体"/>
          <w:szCs w:val="21"/>
          <w:highlight w:val="none"/>
          <w:u w:val="single"/>
          <w:shd w:val="clear" w:color="auto" w:fill="FFFFFF"/>
        </w:rPr>
        <w:t>时间为准</w:t>
      </w:r>
      <w:r>
        <w:rPr>
          <w:rFonts w:hint="eastAsia" w:ascii="宋体" w:hAnsi="宋体" w:cs="宋体"/>
          <w:szCs w:val="21"/>
          <w:highlight w:val="none"/>
        </w:rPr>
        <w:t>。国家级工程质量奖项包括：中国建设工程鲁班奖、国家优质工程金奖（原国家优质工程金质奖）、国家优质工程奖（原国家优质工程银质奖）、中国土木工程詹天佑奖。省级工程奖项和市级工程奖项是指由建设行政主管部门或行业协会颁发的工程质量类。若颁发单位是行业协会或学会，须同时提供该颁发单位在“中国社会组织公共服务平台”网站(https://chinanpo.mca.gov.cn)登记的查询结果截图，否则该获奖证书不予认定。</w:t>
      </w:r>
      <w:r>
        <w:rPr>
          <w:rFonts w:hint="eastAsia" w:ascii="宋体" w:hAnsi="宋体" w:cs="宋体"/>
          <w:szCs w:val="21"/>
          <w:highlight w:val="none"/>
          <w:u w:val="single"/>
        </w:rPr>
        <w:t>只计算房屋建筑工程类奖项，其他非房屋建筑工程项目，如：路桥、铁路、水利、电力、化工、冶金、市政、港口航道等的获奖不参与计分，奖项不含绿色施工、技术创新 QC成果及技术应用、结构类、机电安装、钢结构类、装饰类奖项。</w:t>
      </w:r>
      <w:r>
        <w:rPr>
          <w:rFonts w:hint="eastAsia" w:ascii="宋体" w:hAnsi="宋体" w:cs="宋体"/>
          <w:szCs w:val="21"/>
          <w:highlight w:val="none"/>
        </w:rPr>
        <w:t>仅计算作为承建（联合承建）单位获奖，参建单位获奖不予计算；对同一工程项目按最高奖项计取一次，不累计计算；获奖单位必须与投标单位名称一致，母、子、分公司均不计算在内。</w:t>
      </w:r>
    </w:p>
    <w:p>
      <w:pPr>
        <w:snapToGrid w:val="0"/>
        <w:spacing w:line="30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（2）上述人员需提供相关证明资料的扫描件并加盖投标人电子印章；各岗位人员不得相互兼职，上述材料不提供或提供不齐全的不得分。</w:t>
      </w:r>
    </w:p>
    <w:p>
      <w:pPr>
        <w:snapToGrid w:val="0"/>
        <w:spacing w:line="30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（3）上述人员除须提供相关证明资料外，还须提供2025年8月在投标人单位（或其非独立法人分支机构）参保的社保缴纳记录证明扫描件，未提供或提供资料不全的不得分。</w:t>
      </w:r>
    </w:p>
    <w:p>
      <w:pPr>
        <w:snapToGrid w:val="0"/>
        <w:spacing w:line="30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4）按照《造价工程师职业资格制度规定》的规定，根据原人事部、原建设部发布的《造价工程师执业资格制度暂行规定》（人发〔1996〕77号）取得的造价工程师执业资格，并经注册且在有效期内的，等同于一级注册造价工程师。</w:t>
      </w:r>
    </w:p>
    <w:p>
      <w:pPr>
        <w:pStyle w:val="24"/>
        <w:spacing w:line="300" w:lineRule="auto"/>
        <w:ind w:firstLine="420"/>
        <w:rPr>
          <w:rFonts w:hint="eastAsia" w:ascii="宋体" w:hAnsi="宋体" w:eastAsia="宋体"/>
          <w:sz w:val="21"/>
          <w:szCs w:val="21"/>
          <w:highlight w:val="none"/>
          <w:lang w:bidi="ar"/>
        </w:rPr>
      </w:pPr>
      <w:r>
        <w:rPr>
          <w:rFonts w:hint="eastAsia" w:ascii="宋体" w:hAnsi="宋体" w:eastAsia="宋体"/>
          <w:sz w:val="21"/>
          <w:szCs w:val="21"/>
          <w:highlight w:val="none"/>
          <w:lang w:bidi="ar"/>
        </w:rPr>
        <w:t>（5）同一人具有多个职称证书的按最高等级职称证书计算，职称年限以职称证书发证日期开始计算至投标截止时间为止。（提供正高级职称的，以其取得副高级职称证书发证日期开始计算至投标截止时间为止，须同时提供正、副高级职称证书扫描件）。</w:t>
      </w:r>
    </w:p>
    <w:p>
      <w:pPr>
        <w:wordWrap w:val="0"/>
        <w:snapToGrid w:val="0"/>
        <w:spacing w:line="300" w:lineRule="auto"/>
        <w:ind w:firstLine="422" w:firstLineChars="200"/>
        <w:rPr>
          <w:rFonts w:hint="eastAsia" w:ascii="宋体" w:hAnsi="宋体" w:cs="宋体"/>
          <w:bCs/>
          <w:kern w:val="0"/>
          <w:szCs w:val="21"/>
          <w:highlight w:val="none"/>
        </w:rPr>
      </w:pPr>
      <w:r>
        <w:rPr>
          <w:rFonts w:hint="eastAsia" w:ascii="宋体" w:hAnsi="宋体" w:cs="宋体"/>
          <w:b/>
          <w:kern w:val="0"/>
          <w:szCs w:val="21"/>
          <w:highlight w:val="none"/>
          <w:lang w:bidi="ar"/>
        </w:rPr>
        <w:t>2、企业类似工程业绩：</w:t>
      </w:r>
    </w:p>
    <w:p>
      <w:pPr>
        <w:snapToGrid w:val="0"/>
        <w:spacing w:line="300" w:lineRule="auto"/>
        <w:ind w:firstLine="420" w:firstLineChars="200"/>
        <w:rPr>
          <w:rFonts w:hint="eastAsia" w:ascii="宋体" w:hAnsi="宋体" w:cs="宋体"/>
          <w:b/>
          <w:kern w:val="0"/>
          <w:szCs w:val="21"/>
          <w:highlight w:val="none"/>
        </w:rPr>
      </w:pPr>
      <w:r>
        <w:rPr>
          <w:rFonts w:hint="eastAsia" w:ascii="宋体" w:hAnsi="宋体" w:cs="宋体"/>
          <w:szCs w:val="21"/>
          <w:highlight w:val="none"/>
        </w:rPr>
        <w:t>业绩是指建筑工程施工总承包或工程总承包（施工部分）业绩项目。</w:t>
      </w:r>
      <w:r>
        <w:rPr>
          <w:rFonts w:hint="eastAsia" w:ascii="宋体" w:hAnsi="宋体" w:cs="宋体"/>
          <w:szCs w:val="21"/>
          <w:highlight w:val="none"/>
          <w:lang w:bidi="ar"/>
        </w:rPr>
        <w:t>业绩取自广州市住建行业信用管理平台。投标人须同时提供类似工程业绩在广州市住建行业信用管理平台的项目名称、项目编号及网页信息截图（网页信息截图须能清晰显示带有“住建行业信用管理平台”名称，并至少包含“项目基本信息”等信息）（业绩相关附件的上传件可不提交）。用于本项目投标的类似业绩，在平台中"工程对应的企业资质"栏中须登记有与本项目要求相对应的资质(具体资质要求:建筑工程施工总承包(原房屋建筑工程施工总承包)资质)。</w:t>
      </w:r>
      <w:r>
        <w:rPr>
          <w:rFonts w:ascii="宋体" w:hAnsi="宋体" w:cs="宋体"/>
          <w:sz w:val="24"/>
          <w:szCs w:val="24"/>
          <w:highlight w:val="none"/>
        </w:rPr>
        <w:t xml:space="preserve"> </w:t>
      </w:r>
      <w:r>
        <w:rPr>
          <w:rFonts w:hint="eastAsia" w:ascii="宋体" w:hAnsi="宋体" w:cs="宋体"/>
          <w:szCs w:val="21"/>
          <w:highlight w:val="none"/>
          <w:lang w:bidi="ar"/>
        </w:rPr>
        <w:t>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完成时间以竣工验收文件为准。验收文件至少具有建设单位、设计、施工和监理单位盖章。④业绩金额以中标通知书载明的施工费用为准，中标通知书上没有金额或免招标的，以施工合同（不含补充合同）为准。评标委员会对业绩的评审以投标截止时间在平台内业绩上传件为依据。广州市住建行业信用管理平台内业绩上传件不符合上述要求的或登记的工程资质内容（与施工合同等业绩证明资料不相符的，该项业绩不予认定。</w:t>
      </w:r>
    </w:p>
    <w:p>
      <w:pPr>
        <w:wordWrap w:val="0"/>
        <w:snapToGrid w:val="0"/>
        <w:spacing w:line="30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lang w:bidi="ar"/>
        </w:rPr>
        <w:t>3、工程奖项：</w:t>
      </w:r>
    </w:p>
    <w:p>
      <w:pPr>
        <w:ind w:firstLine="420" w:firstLineChars="200"/>
        <w:jc w:val="left"/>
        <w:rPr>
          <w:rFonts w:hint="eastAsia" w:ascii="宋体" w:hAnsi="宋体" w:cs="宋体"/>
          <w:szCs w:val="21"/>
          <w:highlight w:val="none"/>
        </w:rPr>
      </w:pPr>
      <w:r>
        <w:rPr>
          <w:rFonts w:hint="eastAsia" w:ascii="宋体" w:hAnsi="宋体" w:cs="宋体"/>
          <w:szCs w:val="21"/>
          <w:highlight w:val="none"/>
        </w:rPr>
        <w:t>（1）只评质量奖项，需提供获奖证书扫描件，时间</w:t>
      </w:r>
      <w:r>
        <w:rPr>
          <w:rFonts w:hint="eastAsia" w:ascii="宋体" w:hAnsi="宋体" w:cs="宋体"/>
          <w:szCs w:val="21"/>
          <w:highlight w:val="none"/>
          <w:u w:val="single"/>
        </w:rPr>
        <w:t>以获奖证书载明发证</w:t>
      </w:r>
      <w:r>
        <w:rPr>
          <w:rFonts w:hint="eastAsia" w:ascii="宋体" w:hAnsi="宋体" w:cs="宋体"/>
          <w:szCs w:val="21"/>
          <w:highlight w:val="none"/>
          <w:u w:val="single"/>
          <w:shd w:val="clear" w:color="auto" w:fill="FFFFFF"/>
        </w:rPr>
        <w:t>时间为准</w:t>
      </w:r>
      <w:r>
        <w:rPr>
          <w:rFonts w:hint="eastAsia" w:ascii="宋体" w:hAnsi="宋体" w:cs="宋体"/>
          <w:szCs w:val="21"/>
          <w:highlight w:val="none"/>
        </w:rPr>
        <w:t>。</w:t>
      </w:r>
    </w:p>
    <w:p>
      <w:pPr>
        <w:ind w:firstLine="420" w:firstLineChars="200"/>
        <w:jc w:val="left"/>
        <w:rPr>
          <w:rFonts w:hint="eastAsia" w:ascii="宋体" w:hAnsi="宋体" w:cs="宋体"/>
          <w:szCs w:val="21"/>
          <w:highlight w:val="none"/>
        </w:rPr>
      </w:pPr>
      <w:r>
        <w:rPr>
          <w:rFonts w:hint="eastAsia" w:ascii="宋体" w:hAnsi="宋体" w:cs="宋体"/>
          <w:szCs w:val="21"/>
          <w:highlight w:val="none"/>
        </w:rPr>
        <w:t>（2）国家级工程质量奖项包括：中国建设工程鲁班奖、国家优质工程金奖（原国家优质工程金质奖）、国家优质工程奖（原国家优质工程银质奖）、中国土木工程詹天佑奖。省级工程质量奖项和市级工程质量奖项是指由建设行政主管部门或行业协会颁发的工程质量类奖项。若颁发单位是行业协会或学会，须同时提供该颁发单位在“中国社会组织公共服务平台”网站(https://chinanpo.mca.gov.cn)登记的查询结果截图，否则该获奖证书不予认定。</w:t>
      </w:r>
      <w:r>
        <w:rPr>
          <w:rFonts w:hint="eastAsia" w:ascii="宋体" w:hAnsi="宋体" w:cs="宋体"/>
          <w:szCs w:val="21"/>
          <w:highlight w:val="none"/>
          <w:u w:val="single"/>
        </w:rPr>
        <w:t>只计算房屋建筑工程类奖项，其他非房屋建筑工程项目，如：路桥、铁路、水利、电力、化工、冶金、市政、港口航道等的获奖不参与计分，奖项不含安全文明、绿色施工、技术创新 QC成果及技术应用、结构类、机电安装、钢结构类、装饰类奖项。</w:t>
      </w:r>
      <w:r>
        <w:rPr>
          <w:rFonts w:hint="eastAsia" w:ascii="宋体" w:hAnsi="宋体" w:cs="宋体"/>
          <w:szCs w:val="21"/>
          <w:highlight w:val="none"/>
        </w:rPr>
        <w:t>仅计算作为承建（联合承建）单位获奖，参建单位获奖不予计算；对同一工程项目按最高奖项计取一次，不累计计算；获奖单位必须与投标单位名称一致，母、子、分公司均不计算在内。</w:t>
      </w:r>
    </w:p>
    <w:p>
      <w:pPr>
        <w:wordWrap w:val="0"/>
        <w:snapToGrid w:val="0"/>
        <w:spacing w:line="300" w:lineRule="auto"/>
        <w:ind w:firstLine="422" w:firstLineChars="200"/>
        <w:rPr>
          <w:rFonts w:hint="eastAsia" w:ascii="宋体" w:hAnsi="宋体" w:cs="宋体"/>
          <w:b/>
          <w:szCs w:val="21"/>
          <w:highlight w:val="none"/>
        </w:rPr>
      </w:pPr>
      <w:r>
        <w:rPr>
          <w:rFonts w:hint="eastAsia" w:ascii="宋体" w:hAnsi="宋体" w:cs="宋体"/>
          <w:b/>
          <w:kern w:val="0"/>
          <w:szCs w:val="21"/>
          <w:highlight w:val="none"/>
          <w:lang w:bidi="ar"/>
        </w:rPr>
        <w:t>4、</w:t>
      </w:r>
      <w:r>
        <w:rPr>
          <w:rFonts w:hint="eastAsia" w:ascii="宋体" w:hAnsi="宋体" w:cs="宋体"/>
          <w:b/>
          <w:szCs w:val="21"/>
          <w:highlight w:val="none"/>
          <w:lang w:bidi="ar"/>
        </w:rPr>
        <w:t>工程研发能力</w:t>
      </w:r>
    </w:p>
    <w:p>
      <w:pPr>
        <w:pStyle w:val="8"/>
        <w:ind w:firstLine="422"/>
        <w:rPr>
          <w:rFonts w:hint="eastAsia" w:ascii="宋体" w:hAnsi="宋体" w:cs="宋体"/>
          <w:bCs/>
          <w:highlight w:val="none"/>
          <w:shd w:val="clear" w:color="auto" w:fill="FFFFFF"/>
          <w:lang w:bidi="ar"/>
        </w:rPr>
      </w:pPr>
      <w:r>
        <w:rPr>
          <w:rFonts w:hint="eastAsia"/>
          <w:highlight w:val="none"/>
          <w:lang w:val="en-US" w:eastAsia="zh-CN" w:bidi="ar"/>
        </w:rPr>
        <w:t>标准为</w:t>
      </w:r>
      <w:r>
        <w:rPr>
          <w:rFonts w:hint="eastAsia"/>
          <w:highlight w:val="none"/>
          <w:lang w:bidi="ar"/>
        </w:rPr>
        <w:t>国家规范/标准、地方（省或市级）行业规范/标准、行业协会团体规范/标准；证明材料包括名称、编号、目录及编制单位等内容的关键页扫描件，且提供住房和城乡建设相关主管部门或协会行业网上公示链接及截图等证明材料（时间以规范或标准实施日期为准）。不符合上述条件或无提供证书及相关证明材料扫描件的不计分。若发布机构为学会或协会的，须在中国社会组织政务服务平台查询到为有效（附网页截图）。</w:t>
      </w:r>
    </w:p>
    <w:p>
      <w:pPr>
        <w:wordWrap w:val="0"/>
        <w:snapToGrid w:val="0"/>
        <w:spacing w:line="300" w:lineRule="auto"/>
        <w:ind w:firstLine="422" w:firstLineChars="200"/>
        <w:rPr>
          <w:rFonts w:hint="eastAsia" w:ascii="宋体" w:hAnsi="宋体" w:cs="宋体"/>
          <w:b/>
          <w:kern w:val="0"/>
          <w:szCs w:val="21"/>
          <w:highlight w:val="none"/>
          <w:lang w:bidi="ar"/>
        </w:rPr>
      </w:pPr>
      <w:r>
        <w:rPr>
          <w:rFonts w:ascii="宋体" w:hAnsi="宋体" w:cs="宋体"/>
          <w:b/>
          <w:kern w:val="0"/>
          <w:szCs w:val="21"/>
          <w:highlight w:val="none"/>
          <w:lang w:bidi="ar"/>
        </w:rPr>
        <w:t>5</w:t>
      </w:r>
      <w:r>
        <w:rPr>
          <w:rFonts w:hint="eastAsia" w:ascii="宋体" w:hAnsi="宋体" w:cs="宋体"/>
          <w:b/>
          <w:kern w:val="0"/>
          <w:szCs w:val="21"/>
          <w:highlight w:val="none"/>
          <w:lang w:bidi="ar"/>
        </w:rPr>
        <w:t>、第三方评价</w:t>
      </w:r>
    </w:p>
    <w:p>
      <w:pPr>
        <w:wordWrap w:val="0"/>
        <w:snapToGrid w:val="0"/>
        <w:spacing w:line="300" w:lineRule="auto"/>
        <w:ind w:firstLine="420" w:firstLineChars="200"/>
        <w:rPr>
          <w:rFonts w:hint="eastAsia" w:ascii="宋体" w:hAnsi="宋体" w:cs="宋体"/>
          <w:b/>
          <w:kern w:val="0"/>
          <w:szCs w:val="21"/>
          <w:highlight w:val="none"/>
          <w:lang w:bidi="ar"/>
        </w:rPr>
      </w:pPr>
      <w:r>
        <w:rPr>
          <w:rFonts w:hint="eastAsia" w:ascii="宋体" w:hAnsi="宋体" w:cs="宋体"/>
          <w:bCs/>
          <w:szCs w:val="21"/>
          <w:highlight w:val="none"/>
          <w:shd w:val="clear" w:color="auto" w:fill="FFFFFF"/>
          <w:lang w:bidi="ar"/>
        </w:rPr>
        <w:t>科技创新先进企业证书须提供网上查询获奖名单公示或公布截图（须由建设行政主管部门或行业协会或学会颁发）以及获奖证书的扫描件（证书获奖单位必须与投标单位名称一致，不包含上级公司、子分公司及区域公司），时间以网上查询结果截图或证书载明的年度为准。若颁发单位是行业协会或学会，须同时提供该颁发单位在“中国社会组织公共服务平台”网站(https://chinanpo.mca.gov.cn)登记的查询结果截图，否则该获奖证书不予认定。不满足上述要求的或未提供相关证明材料的不计分。</w:t>
      </w:r>
    </w:p>
    <w:p>
      <w:pPr>
        <w:wordWrap w:val="0"/>
        <w:snapToGrid w:val="0"/>
        <w:spacing w:line="300" w:lineRule="auto"/>
        <w:ind w:firstLine="420" w:firstLineChars="200"/>
        <w:rPr>
          <w:rFonts w:hint="eastAsia" w:ascii="宋体" w:hAnsi="宋体" w:cs="宋体"/>
          <w:bCs/>
          <w:kern w:val="0"/>
          <w:szCs w:val="21"/>
          <w:highlight w:val="none"/>
        </w:rPr>
      </w:pPr>
      <w:r>
        <w:rPr>
          <w:rFonts w:ascii="宋体" w:hAnsi="宋体" w:cs="宋体"/>
          <w:bCs/>
          <w:kern w:val="0"/>
          <w:szCs w:val="21"/>
          <w:highlight w:val="none"/>
          <w:lang w:bidi="ar"/>
        </w:rPr>
        <w:t>6</w:t>
      </w:r>
      <w:r>
        <w:rPr>
          <w:rFonts w:hint="eastAsia" w:ascii="宋体" w:hAnsi="宋体" w:cs="宋体"/>
          <w:bCs/>
          <w:kern w:val="0"/>
          <w:szCs w:val="21"/>
          <w:highlight w:val="none"/>
          <w:lang w:bidi="ar"/>
        </w:rPr>
        <w:t>、本表按百分制评分，所有评委的分数的算术平均值为投标人的最终得分。分数出现小数点，保留小数点后二位小数，第三位小数四舍五入。</w:t>
      </w:r>
    </w:p>
    <w:p>
      <w:pPr>
        <w:wordWrap w:val="0"/>
        <w:snapToGrid w:val="0"/>
        <w:spacing w:line="300" w:lineRule="auto"/>
        <w:ind w:firstLine="420" w:firstLineChars="200"/>
        <w:rPr>
          <w:rFonts w:hint="eastAsia" w:ascii="宋体" w:hAnsi="宋体" w:cs="宋体"/>
          <w:bCs/>
          <w:kern w:val="0"/>
          <w:szCs w:val="21"/>
          <w:highlight w:val="none"/>
          <w:lang w:bidi="ar"/>
        </w:rPr>
      </w:pPr>
      <w:r>
        <w:rPr>
          <w:rFonts w:ascii="宋体" w:hAnsi="宋体" w:cs="宋体"/>
          <w:bCs/>
          <w:kern w:val="0"/>
          <w:szCs w:val="21"/>
          <w:highlight w:val="none"/>
          <w:lang w:bidi="ar"/>
        </w:rPr>
        <w:t>7</w:t>
      </w:r>
      <w:r>
        <w:rPr>
          <w:rFonts w:hint="eastAsia" w:ascii="宋体" w:hAnsi="宋体" w:cs="宋体"/>
          <w:bCs/>
          <w:kern w:val="0"/>
          <w:szCs w:val="21"/>
          <w:highlight w:val="none"/>
          <w:lang w:bidi="ar"/>
        </w:rPr>
        <w:t>、投标人所提供资料同时满足多个档次的，按满足的最高档次得分。</w:t>
      </w:r>
    </w:p>
    <w:p>
      <w:pPr>
        <w:wordWrap w:val="0"/>
        <w:snapToGrid w:val="0"/>
        <w:spacing w:line="300" w:lineRule="auto"/>
        <w:ind w:firstLine="420" w:firstLineChars="200"/>
        <w:rPr>
          <w:rFonts w:hint="eastAsia" w:ascii="宋体" w:hAnsi="宋体" w:cs="宋体"/>
          <w:bCs/>
          <w:kern w:val="0"/>
          <w:szCs w:val="21"/>
          <w:highlight w:val="none"/>
          <w:lang w:bidi="ar"/>
        </w:rPr>
      </w:pPr>
      <w:r>
        <w:rPr>
          <w:rFonts w:hint="eastAsia" w:ascii="宋体" w:hAnsi="宋体" w:cs="宋体"/>
          <w:bCs/>
          <w:kern w:val="0"/>
          <w:szCs w:val="21"/>
          <w:highlight w:val="none"/>
          <w:lang w:bidi="ar"/>
        </w:rPr>
        <w:t>8.若为联合体，评分内容只计算联合体牵头方得分。</w:t>
      </w:r>
    </w:p>
    <w:p>
      <w:pPr>
        <w:snapToGrid w:val="0"/>
        <w:ind w:firstLine="420" w:firstLineChars="200"/>
        <w:jc w:val="left"/>
        <w:rPr>
          <w:rFonts w:hint="eastAsia" w:ascii="宋体" w:hAnsi="宋体" w:cs="宋体"/>
          <w:szCs w:val="21"/>
          <w:highlight w:val="none"/>
        </w:rPr>
      </w:pPr>
    </w:p>
    <w:p>
      <w:pPr>
        <w:snapToGrid w:val="0"/>
        <w:ind w:firstLine="420" w:firstLineChars="200"/>
        <w:jc w:val="left"/>
        <w:rPr>
          <w:rFonts w:hint="eastAsia" w:ascii="宋体" w:hAnsi="宋体" w:cs="宋体"/>
          <w:szCs w:val="21"/>
          <w:highlight w:val="none"/>
        </w:rPr>
        <w:sectPr>
          <w:headerReference r:id="rId11" w:type="default"/>
          <w:footerReference r:id="rId12" w:type="default"/>
          <w:endnotePr>
            <w:numFmt w:val="decimal"/>
          </w:endnotePr>
          <w:pgSz w:w="16838" w:h="11906" w:orient="landscape"/>
          <w:pgMar w:top="1418" w:right="1247" w:bottom="1418" w:left="1134" w:header="851" w:footer="907" w:gutter="0"/>
          <w:cols w:space="720" w:num="1"/>
          <w:rtlGutter w:val="1"/>
          <w:docGrid w:type="lines" w:linePitch="312" w:charSpace="0"/>
        </w:sectPr>
      </w:pPr>
      <w:r>
        <w:rPr>
          <w:rFonts w:hint="eastAsia" w:ascii="宋体" w:hAnsi="宋体" w:cs="宋体"/>
          <w:szCs w:val="21"/>
          <w:highlight w:val="none"/>
        </w:rPr>
        <w:t>评委签名：                     日期：</w:t>
      </w:r>
    </w:p>
    <w:p>
      <w:pPr>
        <w:snapToGrid w:val="0"/>
        <w:spacing w:line="360" w:lineRule="auto"/>
        <w:ind w:firstLine="357"/>
        <w:jc w:val="center"/>
        <w:outlineLvl w:val="4"/>
        <w:rPr>
          <w:highlight w:val="none"/>
        </w:rPr>
      </w:pPr>
      <w:r>
        <w:rPr>
          <w:rFonts w:hint="eastAsia" w:ascii="宋体" w:hAnsi="宋体"/>
          <w:b/>
          <w:bCs/>
          <w:sz w:val="36"/>
          <w:szCs w:val="36"/>
          <w:highlight w:val="none"/>
        </w:rPr>
        <w:t>投入人员汇总表</w:t>
      </w:r>
    </w:p>
    <w:tbl>
      <w:tblPr>
        <w:tblStyle w:val="28"/>
        <w:tblW w:w="13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3771"/>
        <w:gridCol w:w="1868"/>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358" w:type="dxa"/>
            <w:vAlign w:val="center"/>
          </w:tcPr>
          <w:p>
            <w:pPr>
              <w:pStyle w:val="26"/>
              <w:rPr>
                <w:rFonts w:hint="eastAsia" w:ascii="宋体" w:hAnsi="宋体" w:cs="宋体"/>
                <w:b/>
                <w:bCs/>
                <w:sz w:val="22"/>
                <w:highlight w:val="none"/>
              </w:rPr>
            </w:pPr>
            <w:r>
              <w:rPr>
                <w:rFonts w:hint="eastAsia" w:ascii="宋体" w:hAnsi="宋体" w:cs="宋体"/>
                <w:b/>
                <w:bCs/>
                <w:sz w:val="22"/>
                <w:highlight w:val="none"/>
                <w:lang w:bidi="ar"/>
              </w:rPr>
              <w:t>序号</w:t>
            </w:r>
          </w:p>
        </w:tc>
        <w:tc>
          <w:tcPr>
            <w:tcW w:w="3771" w:type="dxa"/>
            <w:vAlign w:val="center"/>
          </w:tcPr>
          <w:p>
            <w:pPr>
              <w:jc w:val="center"/>
              <w:textAlignment w:val="center"/>
              <w:rPr>
                <w:rFonts w:hint="eastAsia" w:ascii="宋体" w:hAnsi="宋体" w:cs="宋体"/>
                <w:b/>
                <w:bCs/>
                <w:sz w:val="22"/>
                <w:highlight w:val="none"/>
              </w:rPr>
            </w:pPr>
            <w:r>
              <w:rPr>
                <w:rFonts w:hint="eastAsia" w:ascii="宋体" w:hAnsi="宋体" w:cs="宋体"/>
                <w:b/>
                <w:bCs/>
                <w:kern w:val="0"/>
                <w:sz w:val="22"/>
                <w:highlight w:val="none"/>
                <w:lang w:bidi="ar"/>
              </w:rPr>
              <w:t>在本项目任职</w:t>
            </w:r>
          </w:p>
        </w:tc>
        <w:tc>
          <w:tcPr>
            <w:tcW w:w="1868" w:type="dxa"/>
            <w:vAlign w:val="center"/>
          </w:tcPr>
          <w:p>
            <w:pPr>
              <w:jc w:val="center"/>
              <w:textAlignment w:val="center"/>
              <w:rPr>
                <w:rFonts w:hint="eastAsia" w:ascii="宋体" w:hAnsi="宋体" w:cs="宋体"/>
                <w:b/>
                <w:bCs/>
                <w:sz w:val="22"/>
                <w:highlight w:val="none"/>
              </w:rPr>
            </w:pPr>
            <w:r>
              <w:rPr>
                <w:rFonts w:hint="eastAsia" w:ascii="宋体" w:hAnsi="宋体" w:cs="宋体"/>
                <w:b/>
                <w:bCs/>
                <w:kern w:val="0"/>
                <w:sz w:val="22"/>
                <w:highlight w:val="none"/>
                <w:lang w:bidi="ar"/>
              </w:rPr>
              <w:t>数量</w:t>
            </w:r>
          </w:p>
        </w:tc>
        <w:tc>
          <w:tcPr>
            <w:tcW w:w="6054" w:type="dxa"/>
            <w:vAlign w:val="center"/>
          </w:tcPr>
          <w:p>
            <w:pPr>
              <w:jc w:val="center"/>
              <w:textAlignment w:val="center"/>
              <w:rPr>
                <w:rFonts w:hint="eastAsia" w:ascii="宋体" w:hAnsi="宋体" w:cs="宋体"/>
                <w:b/>
                <w:bCs/>
                <w:sz w:val="22"/>
                <w:highlight w:val="none"/>
              </w:rPr>
            </w:pPr>
            <w:r>
              <w:rPr>
                <w:rFonts w:hint="eastAsia" w:ascii="宋体" w:hAnsi="宋体" w:cs="宋体"/>
                <w:b/>
                <w:bCs/>
                <w:kern w:val="0"/>
                <w:sz w:val="22"/>
                <w:highlight w:val="none"/>
                <w:lang w:bidi="ar"/>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051" w:type="dxa"/>
            <w:gridSpan w:val="4"/>
            <w:vAlign w:val="center"/>
          </w:tcPr>
          <w:p>
            <w:pPr>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主要人员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项目负责人</w:t>
            </w:r>
          </w:p>
        </w:tc>
        <w:tc>
          <w:tcPr>
            <w:tcW w:w="186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054"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满足招标公告第九条要求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技术负责人</w:t>
            </w:r>
          </w:p>
        </w:tc>
        <w:tc>
          <w:tcPr>
            <w:tcW w:w="186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054"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满足招标公告第九条要求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质量负责人</w:t>
            </w:r>
          </w:p>
        </w:tc>
        <w:tc>
          <w:tcPr>
            <w:tcW w:w="186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054" w:type="dxa"/>
            <w:vAlign w:val="center"/>
          </w:tcPr>
          <w:p>
            <w:pPr>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具有建筑工程相关专业中级或以上技术职称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安全负责人</w:t>
            </w:r>
          </w:p>
        </w:tc>
        <w:tc>
          <w:tcPr>
            <w:tcW w:w="186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054"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具有注册安全工程师证书且在有效期内的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造价负责人</w:t>
            </w:r>
          </w:p>
        </w:tc>
        <w:tc>
          <w:tcPr>
            <w:tcW w:w="186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6054"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szCs w:val="21"/>
                <w:highlight w:val="none"/>
                <w:lang w:bidi="ar"/>
              </w:rPr>
              <w:t>具有一级注册造价工程师且在有效期内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6</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 w:val="21"/>
                <w:szCs w:val="21"/>
                <w:highlight w:val="none"/>
                <w:lang w:bidi="ar"/>
              </w:rPr>
              <w:t>土建</w:t>
            </w:r>
            <w:r>
              <w:rPr>
                <w:rFonts w:hint="eastAsia" w:ascii="宋体" w:hAnsi="宋体" w:cs="宋体"/>
                <w:kern w:val="0"/>
                <w:sz w:val="21"/>
                <w:szCs w:val="21"/>
                <w:highlight w:val="none"/>
                <w:lang w:eastAsia="zh-CN" w:bidi="ar"/>
              </w:rPr>
              <w:t>工程师</w:t>
            </w:r>
            <w:r>
              <w:rPr>
                <w:rFonts w:hint="eastAsia" w:ascii="宋体" w:hAnsi="宋体" w:cs="宋体"/>
                <w:kern w:val="0"/>
                <w:sz w:val="21"/>
                <w:szCs w:val="21"/>
                <w:highlight w:val="none"/>
                <w:lang w:bidi="ar"/>
              </w:rPr>
              <w:t>（含装修）</w:t>
            </w:r>
          </w:p>
        </w:tc>
        <w:tc>
          <w:tcPr>
            <w:tcW w:w="1868" w:type="dxa"/>
            <w:vAlign w:val="center"/>
          </w:tcPr>
          <w:p>
            <w:pPr>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6054" w:type="dxa"/>
            <w:vAlign w:val="center"/>
          </w:tcPr>
          <w:p>
            <w:pPr>
              <w:jc w:val="center"/>
              <w:textAlignment w:val="center"/>
              <w:rPr>
                <w:rFonts w:hint="eastAsia" w:ascii="宋体" w:hAnsi="宋体" w:cs="宋体"/>
                <w:szCs w:val="21"/>
                <w:highlight w:val="none"/>
                <w:lang w:bidi="ar"/>
              </w:rPr>
            </w:pPr>
            <w:r>
              <w:rPr>
                <w:rFonts w:hint="eastAsia" w:ascii="宋体" w:hAnsi="宋体" w:cs="宋体"/>
                <w:kern w:val="0"/>
                <w:sz w:val="21"/>
                <w:szCs w:val="21"/>
                <w:highlight w:val="none"/>
                <w:lang w:bidi="ar"/>
              </w:rPr>
              <w:t>具备建筑工程相关专业中级或以上技术职称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7</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eastAsia="宋体" w:cs="宋体"/>
                <w:kern w:val="0"/>
                <w:sz w:val="21"/>
                <w:szCs w:val="21"/>
                <w:highlight w:val="none"/>
                <w:lang w:bidi="ar"/>
              </w:rPr>
              <w:t>给排水工程师</w:t>
            </w:r>
          </w:p>
        </w:tc>
        <w:tc>
          <w:tcPr>
            <w:tcW w:w="1868" w:type="dxa"/>
            <w:vAlign w:val="center"/>
          </w:tcPr>
          <w:p>
            <w:pPr>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6054" w:type="dxa"/>
            <w:vAlign w:val="center"/>
          </w:tcPr>
          <w:p>
            <w:pPr>
              <w:jc w:val="center"/>
              <w:textAlignment w:val="center"/>
              <w:rPr>
                <w:rFonts w:hint="eastAsia" w:ascii="宋体" w:hAnsi="宋体" w:cs="宋体"/>
                <w:szCs w:val="21"/>
                <w:highlight w:val="none"/>
                <w:lang w:bidi="ar"/>
              </w:rPr>
            </w:pPr>
            <w:r>
              <w:rPr>
                <w:rFonts w:hint="eastAsia" w:ascii="宋体" w:hAnsi="宋体" w:eastAsia="宋体" w:cs="宋体"/>
                <w:kern w:val="0"/>
                <w:sz w:val="21"/>
                <w:szCs w:val="21"/>
                <w:highlight w:val="none"/>
                <w:lang w:bidi="ar"/>
              </w:rPr>
              <w:t>给排水专业中级技术职称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8</w:t>
            </w:r>
          </w:p>
        </w:tc>
        <w:tc>
          <w:tcPr>
            <w:tcW w:w="3771" w:type="dxa"/>
            <w:vAlign w:val="center"/>
          </w:tcPr>
          <w:p>
            <w:pPr>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机电工程师</w:t>
            </w:r>
          </w:p>
        </w:tc>
        <w:tc>
          <w:tcPr>
            <w:tcW w:w="1868" w:type="dxa"/>
            <w:vAlign w:val="center"/>
          </w:tcPr>
          <w:p>
            <w:pPr>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6054" w:type="dxa"/>
            <w:vAlign w:val="center"/>
          </w:tcPr>
          <w:p>
            <w:pPr>
              <w:jc w:val="center"/>
              <w:textAlignment w:val="center"/>
              <w:rPr>
                <w:rFonts w:hint="eastAsia" w:ascii="宋体" w:hAnsi="宋体" w:cs="宋体"/>
                <w:szCs w:val="21"/>
                <w:highlight w:val="none"/>
                <w:lang w:bidi="ar"/>
              </w:rPr>
            </w:pPr>
            <w:r>
              <w:rPr>
                <w:rFonts w:hint="eastAsia" w:ascii="宋体" w:hAnsi="宋体" w:cs="宋体"/>
                <w:kern w:val="0"/>
                <w:sz w:val="21"/>
                <w:szCs w:val="21"/>
                <w:highlight w:val="none"/>
                <w:lang w:bidi="ar"/>
              </w:rPr>
              <w:t>建筑</w:t>
            </w:r>
            <w:r>
              <w:rPr>
                <w:rFonts w:hint="eastAsia" w:ascii="宋体" w:hAnsi="宋体" w:eastAsia="宋体" w:cs="宋体"/>
                <w:kern w:val="0"/>
                <w:sz w:val="21"/>
                <w:szCs w:val="21"/>
                <w:highlight w:val="none"/>
                <w:lang w:bidi="ar"/>
              </w:rPr>
              <w:t>机电</w:t>
            </w:r>
            <w:r>
              <w:rPr>
                <w:rFonts w:hint="eastAsia" w:ascii="宋体" w:hAnsi="宋体" w:cs="宋体"/>
                <w:kern w:val="0"/>
                <w:sz w:val="21"/>
                <w:szCs w:val="21"/>
                <w:highlight w:val="none"/>
                <w:lang w:val="en-US" w:eastAsia="zh-CN" w:bidi="ar"/>
              </w:rPr>
              <w:t>相关</w:t>
            </w:r>
            <w:r>
              <w:rPr>
                <w:rFonts w:hint="eastAsia" w:ascii="宋体" w:hAnsi="宋体" w:eastAsia="宋体" w:cs="宋体"/>
                <w:kern w:val="0"/>
                <w:sz w:val="21"/>
                <w:szCs w:val="21"/>
                <w:highlight w:val="none"/>
                <w:lang w:bidi="ar"/>
              </w:rPr>
              <w:t>专业中级技术职称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9</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eastAsia="宋体" w:cs="宋体"/>
                <w:kern w:val="0"/>
                <w:sz w:val="21"/>
                <w:szCs w:val="21"/>
                <w:highlight w:val="none"/>
                <w:lang w:bidi="ar"/>
              </w:rPr>
              <w:t>园林工程师</w:t>
            </w:r>
          </w:p>
        </w:tc>
        <w:tc>
          <w:tcPr>
            <w:tcW w:w="1868" w:type="dxa"/>
            <w:vAlign w:val="center"/>
          </w:tcPr>
          <w:p>
            <w:pPr>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1</w:t>
            </w:r>
          </w:p>
        </w:tc>
        <w:tc>
          <w:tcPr>
            <w:tcW w:w="6054" w:type="dxa"/>
            <w:vAlign w:val="center"/>
          </w:tcPr>
          <w:p>
            <w:pPr>
              <w:jc w:val="center"/>
              <w:textAlignment w:val="center"/>
              <w:rPr>
                <w:rFonts w:hint="eastAsia" w:ascii="宋体" w:hAnsi="宋体" w:cs="宋体"/>
                <w:szCs w:val="21"/>
                <w:highlight w:val="none"/>
                <w:lang w:bidi="ar"/>
              </w:rPr>
            </w:pPr>
            <w:r>
              <w:rPr>
                <w:rFonts w:hint="eastAsia" w:ascii="宋体" w:hAnsi="宋体" w:eastAsia="宋体" w:cs="宋体"/>
                <w:kern w:val="0"/>
                <w:sz w:val="21"/>
                <w:szCs w:val="21"/>
                <w:highlight w:val="none"/>
                <w:lang w:bidi="ar"/>
              </w:rPr>
              <w:t>园林绿化或风景园林专业中级技术职称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8" w:type="dxa"/>
            <w:vAlign w:val="center"/>
          </w:tcPr>
          <w:p>
            <w:pPr>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bidi="ar"/>
              </w:rPr>
              <w:t>10</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专职安全员</w:t>
            </w:r>
          </w:p>
        </w:tc>
        <w:tc>
          <w:tcPr>
            <w:tcW w:w="186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6054"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满足招标公告第九条要求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051" w:type="dxa"/>
            <w:gridSpan w:val="4"/>
            <w:vAlign w:val="center"/>
          </w:tcPr>
          <w:p>
            <w:pPr>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3771"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施工员</w:t>
            </w:r>
          </w:p>
        </w:tc>
        <w:tc>
          <w:tcPr>
            <w:tcW w:w="1868" w:type="dxa"/>
            <w:vAlign w:val="center"/>
          </w:tcPr>
          <w:p>
            <w:pPr>
              <w:pStyle w:val="16"/>
              <w:jc w:val="center"/>
              <w:rPr>
                <w:highlight w:val="none"/>
              </w:rPr>
            </w:pPr>
            <w:r>
              <w:rPr>
                <w:rFonts w:hint="eastAsia"/>
                <w:highlight w:val="none"/>
              </w:rPr>
              <w:t>2</w:t>
            </w:r>
          </w:p>
        </w:tc>
        <w:tc>
          <w:tcPr>
            <w:tcW w:w="6054"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具有</w:t>
            </w:r>
            <w:r>
              <w:rPr>
                <w:rFonts w:hint="eastAsia" w:ascii="宋体" w:hAnsi="宋体" w:cs="宋体"/>
                <w:szCs w:val="21"/>
                <w:highlight w:val="none"/>
                <w:lang w:bidi="ar"/>
              </w:rPr>
              <w:t>岗位证书或上岗证或培训证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3771"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质量员</w:t>
            </w:r>
          </w:p>
        </w:tc>
        <w:tc>
          <w:tcPr>
            <w:tcW w:w="186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6054"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具有</w:t>
            </w:r>
            <w:r>
              <w:rPr>
                <w:rFonts w:hint="eastAsia" w:ascii="宋体" w:hAnsi="宋体" w:cs="宋体"/>
                <w:szCs w:val="21"/>
                <w:highlight w:val="none"/>
                <w:lang w:bidi="ar"/>
              </w:rPr>
              <w:t>岗位证书或上岗证或培训证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w:t>
            </w:r>
          </w:p>
        </w:tc>
        <w:tc>
          <w:tcPr>
            <w:tcW w:w="3771"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安全员</w:t>
            </w:r>
          </w:p>
        </w:tc>
        <w:tc>
          <w:tcPr>
            <w:tcW w:w="186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w:t>
            </w:r>
          </w:p>
        </w:tc>
        <w:tc>
          <w:tcPr>
            <w:tcW w:w="6054"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具有在有效期内的安全生产考核合格证书（C类），或能够提供建筑施工企业专职安全生产管理人员安全生产考核合格证书（C3）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8"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4</w:t>
            </w:r>
          </w:p>
        </w:tc>
        <w:tc>
          <w:tcPr>
            <w:tcW w:w="3771"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资料员</w:t>
            </w:r>
          </w:p>
        </w:tc>
        <w:tc>
          <w:tcPr>
            <w:tcW w:w="1868" w:type="dxa"/>
            <w:vAlign w:val="center"/>
          </w:tcPr>
          <w:p>
            <w:pPr>
              <w:jc w:val="center"/>
              <w:textAlignment w:val="center"/>
              <w:rPr>
                <w:rFonts w:hint="eastAsia" w:ascii="宋体" w:hAnsi="宋体" w:eastAsia="宋体" w:cs="宋体"/>
                <w:szCs w:val="21"/>
                <w:highlight w:val="none"/>
                <w:lang w:eastAsia="zh-CN"/>
              </w:rPr>
            </w:pPr>
            <w:r>
              <w:rPr>
                <w:rFonts w:hint="eastAsia" w:ascii="宋体" w:hAnsi="宋体" w:cs="宋体"/>
                <w:kern w:val="0"/>
                <w:szCs w:val="21"/>
                <w:highlight w:val="none"/>
                <w:lang w:val="en-US" w:eastAsia="zh-CN" w:bidi="ar"/>
              </w:rPr>
              <w:t>1</w:t>
            </w:r>
          </w:p>
        </w:tc>
        <w:tc>
          <w:tcPr>
            <w:tcW w:w="6054" w:type="dxa"/>
            <w:vAlign w:val="center"/>
          </w:tcPr>
          <w:p>
            <w:pPr>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具有</w:t>
            </w:r>
            <w:r>
              <w:rPr>
                <w:rFonts w:hint="eastAsia" w:ascii="宋体" w:hAnsi="宋体" w:cs="宋体"/>
                <w:szCs w:val="21"/>
                <w:highlight w:val="none"/>
                <w:lang w:bidi="ar"/>
              </w:rPr>
              <w:t>岗位证书或上岗证或培训证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8"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材料员</w:t>
            </w:r>
          </w:p>
        </w:tc>
        <w:tc>
          <w:tcPr>
            <w:tcW w:w="1868" w:type="dxa"/>
            <w:vAlign w:val="center"/>
          </w:tcPr>
          <w:p>
            <w:pPr>
              <w:jc w:val="center"/>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val="en-US" w:eastAsia="zh-CN" w:bidi="ar"/>
              </w:rPr>
              <w:t>1</w:t>
            </w:r>
          </w:p>
        </w:tc>
        <w:tc>
          <w:tcPr>
            <w:tcW w:w="6054"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具有</w:t>
            </w:r>
            <w:r>
              <w:rPr>
                <w:rFonts w:hint="eastAsia" w:ascii="宋体" w:hAnsi="宋体" w:cs="宋体"/>
                <w:szCs w:val="21"/>
                <w:highlight w:val="none"/>
                <w:lang w:bidi="ar"/>
              </w:rPr>
              <w:t>岗位证书或上岗证或培训证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58"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3771"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造价员</w:t>
            </w:r>
          </w:p>
        </w:tc>
        <w:tc>
          <w:tcPr>
            <w:tcW w:w="1868"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6054" w:type="dxa"/>
            <w:vAlign w:val="center"/>
          </w:tcPr>
          <w:p>
            <w:pPr>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具有二级或以上注册造价工程师注册证书（土木建筑或安装工程专业）</w:t>
            </w:r>
          </w:p>
        </w:tc>
      </w:tr>
    </w:tbl>
    <w:p>
      <w:pPr>
        <w:snapToGrid w:val="0"/>
        <w:spacing w:before="156" w:beforeLines="50" w:line="360" w:lineRule="auto"/>
        <w:rPr>
          <w:rFonts w:hint="eastAsia" w:ascii="宋体" w:hAnsi="宋体"/>
          <w:szCs w:val="21"/>
          <w:highlight w:val="none"/>
        </w:rPr>
      </w:pPr>
      <w:r>
        <w:rPr>
          <w:rFonts w:hint="eastAsia" w:ascii="宋体" w:hAnsi="宋体"/>
          <w:szCs w:val="21"/>
          <w:highlight w:val="none"/>
        </w:rPr>
        <w:t>注：项目负责人、技术负责人、造价负责人、质量负责人、安全负责人、专职安全员及其他人员按招标文件技术标投标文件格式三提供《项目管理机构人员简历表》，附上毕业证、职称证或岗位证或合格证、投标截止时间前2025年8月社保证明文件复印件等相关证明材料。拟投入的项目部人员</w:t>
      </w:r>
      <w:r>
        <w:rPr>
          <w:rFonts w:hint="eastAsia" w:ascii="宋体" w:hAnsi="宋体"/>
          <w:szCs w:val="21"/>
          <w:highlight w:val="none"/>
          <w:lang w:val="en-US" w:eastAsia="zh-CN"/>
        </w:rPr>
        <w:t>均须驻场</w:t>
      </w:r>
      <w:r>
        <w:rPr>
          <w:rFonts w:hint="eastAsia" w:ascii="宋体" w:hAnsi="宋体"/>
          <w:szCs w:val="21"/>
          <w:highlight w:val="none"/>
        </w:rPr>
        <w:t>，未经招标人同意，中标后不得更换，否则按合同约定承担违约责任。</w:t>
      </w:r>
    </w:p>
    <w:p>
      <w:pPr>
        <w:spacing w:line="360" w:lineRule="auto"/>
        <w:rPr>
          <w:b/>
          <w:bCs/>
          <w:highlight w:val="none"/>
        </w:rPr>
      </w:pPr>
      <w:r>
        <w:rPr>
          <w:rStyle w:val="59"/>
          <w:rFonts w:ascii="宋体" w:hAnsi="宋体"/>
          <w:szCs w:val="21"/>
          <w:highlight w:val="none"/>
        </w:rPr>
        <w:br w:type="page"/>
      </w:r>
      <w:r>
        <w:rPr>
          <w:b/>
          <w:bCs/>
          <w:highlight w:val="none"/>
        </w:rPr>
        <w:t>附表</w:t>
      </w:r>
      <w:r>
        <w:rPr>
          <w:rFonts w:hint="eastAsia"/>
          <w:b/>
          <w:bCs/>
          <w:highlight w:val="none"/>
        </w:rPr>
        <w:t>五</w:t>
      </w:r>
    </w:p>
    <w:p>
      <w:pPr>
        <w:spacing w:line="360" w:lineRule="auto"/>
        <w:jc w:val="center"/>
        <w:rPr>
          <w:rStyle w:val="59"/>
          <w:rFonts w:hint="eastAsia" w:ascii="宋体" w:hAnsi="宋体"/>
          <w:b/>
          <w:sz w:val="36"/>
          <w:szCs w:val="36"/>
          <w:highlight w:val="none"/>
        </w:rPr>
      </w:pPr>
      <w:r>
        <w:rPr>
          <w:rStyle w:val="59"/>
          <w:rFonts w:ascii="宋体" w:hAnsi="宋体"/>
          <w:b/>
          <w:sz w:val="36"/>
          <w:szCs w:val="36"/>
          <w:highlight w:val="none"/>
        </w:rPr>
        <w:t>算术复核表</w:t>
      </w:r>
    </w:p>
    <w:p>
      <w:pPr>
        <w:spacing w:line="360" w:lineRule="auto"/>
        <w:rPr>
          <w:rStyle w:val="59"/>
          <w:rFonts w:hint="eastAsia" w:ascii="宋体" w:hAnsi="宋体"/>
          <w:kern w:val="0"/>
          <w:szCs w:val="21"/>
          <w:highlight w:val="none"/>
        </w:rPr>
      </w:pPr>
      <w:r>
        <w:rPr>
          <w:rStyle w:val="59"/>
          <w:rFonts w:ascii="宋体" w:hAnsi="宋体"/>
          <w:kern w:val="0"/>
          <w:szCs w:val="21"/>
          <w:highlight w:val="none"/>
        </w:rPr>
        <w:t>工程名称：                                           投标人:                                                  单位：元</w:t>
      </w:r>
    </w:p>
    <w:tbl>
      <w:tblPr>
        <w:tblStyle w:val="28"/>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编号</w:t>
            </w:r>
          </w:p>
        </w:tc>
        <w:tc>
          <w:tcPr>
            <w:tcW w:w="2678" w:type="dxa"/>
            <w:tcBorders>
              <w:top w:val="single" w:color="000000" w:sz="4" w:space="0"/>
              <w:left w:val="nil"/>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修正前投标</w:t>
            </w:r>
          </w:p>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报价A</w:t>
            </w:r>
          </w:p>
        </w:tc>
        <w:tc>
          <w:tcPr>
            <w:tcW w:w="1985" w:type="dxa"/>
            <w:tcBorders>
              <w:top w:val="single" w:color="000000" w:sz="4" w:space="0"/>
              <w:left w:val="nil"/>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修正后投标</w:t>
            </w:r>
          </w:p>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报价B</w:t>
            </w:r>
          </w:p>
        </w:tc>
        <w:tc>
          <w:tcPr>
            <w:tcW w:w="1842" w:type="dxa"/>
            <w:tcBorders>
              <w:top w:val="single" w:color="000000" w:sz="4" w:space="0"/>
              <w:left w:val="nil"/>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修正率</w:t>
            </w:r>
            <w:r>
              <w:rPr>
                <w:rStyle w:val="59"/>
                <w:rFonts w:ascii="宋体" w:hAnsi="宋体"/>
                <w:kern w:val="0"/>
                <w:szCs w:val="21"/>
                <w:highlight w:val="none"/>
              </w:rPr>
              <w:br w:type="textWrapping" w:clear="all"/>
            </w:r>
            <w:r>
              <w:rPr>
                <w:rStyle w:val="59"/>
                <w:rFonts w:ascii="宋体" w:hAnsi="宋体"/>
                <w:kern w:val="0"/>
                <w:szCs w:val="21"/>
                <w:highlight w:val="none"/>
              </w:rPr>
              <w:t>r=|A-B|/A*100%</w:t>
            </w:r>
          </w:p>
        </w:tc>
        <w:tc>
          <w:tcPr>
            <w:tcW w:w="1509" w:type="dxa"/>
            <w:tcBorders>
              <w:top w:val="single" w:color="000000" w:sz="4" w:space="0"/>
              <w:left w:val="nil"/>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当B&gt;A时，修正后报价与原报价的差额；当B≤A时,R=0</w:t>
            </w: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1</w:t>
            </w:r>
          </w:p>
        </w:tc>
        <w:tc>
          <w:tcPr>
            <w:tcW w:w="2678"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[单位工程1]</w:t>
            </w:r>
          </w:p>
        </w:tc>
        <w:tc>
          <w:tcPr>
            <w:tcW w:w="170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p>
        </w:tc>
      </w:tr>
      <w:tr>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2</w:t>
            </w:r>
          </w:p>
        </w:tc>
        <w:tc>
          <w:tcPr>
            <w:tcW w:w="2678"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[单位工程2]</w:t>
            </w:r>
          </w:p>
        </w:tc>
        <w:tc>
          <w:tcPr>
            <w:tcW w:w="170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n</w:t>
            </w:r>
          </w:p>
        </w:tc>
        <w:tc>
          <w:tcPr>
            <w:tcW w:w="2678"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[单位工程n]</w:t>
            </w:r>
          </w:p>
        </w:tc>
        <w:tc>
          <w:tcPr>
            <w:tcW w:w="170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kern w:val="0"/>
                <w:szCs w:val="21"/>
                <w:highlight w:val="none"/>
              </w:rPr>
            </w:pPr>
            <w:r>
              <w:rPr>
                <w:rStyle w:val="59"/>
                <w:rFonts w:ascii="宋体" w:hAnsi="宋体"/>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投标总报价</w:t>
            </w:r>
          </w:p>
        </w:tc>
        <w:tc>
          <w:tcPr>
            <w:tcW w:w="170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59"/>
                <w:rFonts w:hint="eastAsia" w:ascii="宋体" w:hAnsi="宋体"/>
                <w:kern w:val="0"/>
                <w:szCs w:val="21"/>
                <w:highlight w:val="none"/>
              </w:rPr>
            </w:pPr>
            <w:r>
              <w:rPr>
                <w:rStyle w:val="59"/>
                <w:rFonts w:ascii="宋体" w:hAnsi="宋体"/>
                <w:kern w:val="0"/>
                <w:szCs w:val="21"/>
                <w:highlight w:val="none"/>
              </w:rPr>
              <w:t>∑A=A</w:t>
            </w:r>
            <w:r>
              <w:rPr>
                <w:rStyle w:val="59"/>
                <w:rFonts w:ascii="宋体" w:hAnsi="宋体"/>
                <w:kern w:val="0"/>
                <w:szCs w:val="21"/>
                <w:highlight w:val="none"/>
                <w:vertAlign w:val="subscript"/>
              </w:rPr>
              <w:t>1</w:t>
            </w:r>
            <w:r>
              <w:rPr>
                <w:rStyle w:val="59"/>
                <w:rFonts w:ascii="宋体" w:hAnsi="宋体"/>
                <w:kern w:val="0"/>
                <w:szCs w:val="21"/>
                <w:highlight w:val="none"/>
              </w:rPr>
              <w:t>+A</w:t>
            </w:r>
            <w:r>
              <w:rPr>
                <w:rStyle w:val="59"/>
                <w:rFonts w:ascii="宋体" w:hAnsi="宋体"/>
                <w:kern w:val="0"/>
                <w:szCs w:val="21"/>
                <w:highlight w:val="none"/>
                <w:vertAlign w:val="subscript"/>
              </w:rPr>
              <w:t>2</w:t>
            </w:r>
            <w:r>
              <w:rPr>
                <w:rStyle w:val="59"/>
                <w:rFonts w:ascii="宋体" w:hAnsi="宋体"/>
                <w:kern w:val="0"/>
                <w:szCs w:val="21"/>
                <w:highlight w:val="none"/>
              </w:rPr>
              <w:t>+…An；∑B=B</w:t>
            </w:r>
            <w:r>
              <w:rPr>
                <w:rStyle w:val="59"/>
                <w:rFonts w:ascii="宋体" w:hAnsi="宋体"/>
                <w:kern w:val="0"/>
                <w:szCs w:val="21"/>
                <w:highlight w:val="none"/>
                <w:vertAlign w:val="subscript"/>
              </w:rPr>
              <w:t>1</w:t>
            </w:r>
            <w:r>
              <w:rPr>
                <w:rStyle w:val="59"/>
                <w:rFonts w:ascii="宋体" w:hAnsi="宋体"/>
                <w:kern w:val="0"/>
                <w:szCs w:val="21"/>
                <w:highlight w:val="none"/>
              </w:rPr>
              <w:t>+B</w:t>
            </w:r>
            <w:r>
              <w:rPr>
                <w:rStyle w:val="59"/>
                <w:rFonts w:ascii="宋体" w:hAnsi="宋体"/>
                <w:kern w:val="0"/>
                <w:szCs w:val="21"/>
                <w:highlight w:val="none"/>
                <w:vertAlign w:val="subscript"/>
              </w:rPr>
              <w:t>2</w:t>
            </w:r>
            <w:r>
              <w:rPr>
                <w:rStyle w:val="59"/>
                <w:rFonts w:ascii="宋体" w:hAnsi="宋体"/>
                <w:kern w:val="0"/>
                <w:szCs w:val="21"/>
                <w:highlight w:val="none"/>
              </w:rPr>
              <w:t>+…Bn</w:t>
            </w:r>
          </w:p>
        </w:tc>
      </w:tr>
    </w:tbl>
    <w:p>
      <w:pPr>
        <w:spacing w:line="360" w:lineRule="auto"/>
        <w:rPr>
          <w:rStyle w:val="59"/>
          <w:rFonts w:hint="eastAsia" w:ascii="宋体" w:hAnsi="宋体"/>
          <w:kern w:val="0"/>
          <w:szCs w:val="21"/>
          <w:highlight w:val="none"/>
        </w:rPr>
      </w:pPr>
      <w:r>
        <w:rPr>
          <w:rStyle w:val="59"/>
          <w:rFonts w:ascii="宋体" w:hAnsi="宋体"/>
          <w:kern w:val="0"/>
          <w:szCs w:val="21"/>
          <w:highlight w:val="none"/>
        </w:rPr>
        <w:t>修正原则：</w:t>
      </w:r>
      <w:r>
        <w:rPr>
          <w:rStyle w:val="59"/>
          <w:rFonts w:ascii="宋体" w:hAnsi="宋体"/>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59"/>
          <w:rFonts w:ascii="宋体" w:hAnsi="宋体"/>
          <w:kern w:val="0"/>
          <w:szCs w:val="21"/>
          <w:highlight w:val="none"/>
        </w:rPr>
        <w:tab/>
      </w:r>
    </w:p>
    <w:p>
      <w:pPr>
        <w:spacing w:line="360" w:lineRule="auto"/>
        <w:rPr>
          <w:rStyle w:val="59"/>
          <w:rFonts w:hint="eastAsia" w:ascii="宋体" w:hAnsi="宋体"/>
          <w:kern w:val="0"/>
          <w:szCs w:val="21"/>
          <w:highlight w:val="none"/>
        </w:rPr>
      </w:pPr>
      <w:r>
        <w:rPr>
          <w:rStyle w:val="59"/>
          <w:rFonts w:ascii="宋体" w:hAnsi="宋体"/>
          <w:kern w:val="0"/>
          <w:szCs w:val="21"/>
          <w:highlight w:val="none"/>
        </w:rPr>
        <w:t>评委签名：</w:t>
      </w:r>
      <w:r>
        <w:rPr>
          <w:rStyle w:val="59"/>
          <w:rFonts w:ascii="宋体" w:hAnsi="宋体"/>
          <w:kern w:val="0"/>
          <w:szCs w:val="21"/>
          <w:highlight w:val="none"/>
        </w:rPr>
        <w:tab/>
      </w:r>
      <w:r>
        <w:rPr>
          <w:rStyle w:val="59"/>
          <w:rFonts w:ascii="宋体" w:hAnsi="宋体"/>
          <w:kern w:val="0"/>
          <w:szCs w:val="21"/>
          <w:highlight w:val="none"/>
        </w:rPr>
        <w:tab/>
      </w:r>
      <w:r>
        <w:rPr>
          <w:rStyle w:val="59"/>
          <w:rFonts w:ascii="宋体" w:hAnsi="宋体"/>
          <w:kern w:val="0"/>
          <w:szCs w:val="21"/>
          <w:highlight w:val="none"/>
        </w:rPr>
        <w:tab/>
      </w:r>
      <w:r>
        <w:rPr>
          <w:rStyle w:val="59"/>
          <w:rFonts w:ascii="宋体" w:hAnsi="宋体"/>
          <w:kern w:val="0"/>
          <w:szCs w:val="21"/>
          <w:highlight w:val="none"/>
        </w:rPr>
        <w:tab/>
      </w:r>
      <w:r>
        <w:rPr>
          <w:rStyle w:val="59"/>
          <w:rFonts w:ascii="宋体" w:hAnsi="宋体"/>
          <w:kern w:val="0"/>
          <w:szCs w:val="21"/>
          <w:highlight w:val="none"/>
        </w:rPr>
        <w:tab/>
      </w:r>
      <w:r>
        <w:rPr>
          <w:rStyle w:val="59"/>
          <w:rFonts w:ascii="宋体" w:hAnsi="宋体"/>
          <w:kern w:val="0"/>
          <w:szCs w:val="21"/>
          <w:highlight w:val="none"/>
        </w:rPr>
        <w:t>日期：</w:t>
      </w:r>
    </w:p>
    <w:p>
      <w:pPr>
        <w:rPr>
          <w:rStyle w:val="59"/>
          <w:rFonts w:hint="eastAsia" w:ascii="宋体" w:hAnsi="宋体"/>
          <w:highlight w:val="none"/>
        </w:rPr>
      </w:pPr>
    </w:p>
    <w:p>
      <w:pPr>
        <w:spacing w:line="360" w:lineRule="auto"/>
        <w:rPr>
          <w:b/>
          <w:bCs/>
          <w:highlight w:val="none"/>
        </w:rPr>
      </w:pPr>
      <w:r>
        <w:rPr>
          <w:rStyle w:val="59"/>
          <w:rFonts w:ascii="宋体" w:hAnsi="宋体"/>
          <w:highlight w:val="none"/>
        </w:rPr>
        <w:br w:type="page"/>
      </w:r>
      <w:r>
        <w:rPr>
          <w:b/>
          <w:bCs/>
          <w:highlight w:val="none"/>
        </w:rPr>
        <w:t>附表</w:t>
      </w:r>
      <w:r>
        <w:rPr>
          <w:rFonts w:hint="eastAsia"/>
          <w:b/>
          <w:bCs/>
          <w:highlight w:val="none"/>
        </w:rPr>
        <w:t>六</w:t>
      </w:r>
    </w:p>
    <w:p>
      <w:pPr>
        <w:spacing w:line="360" w:lineRule="auto"/>
        <w:jc w:val="center"/>
        <w:rPr>
          <w:rStyle w:val="59"/>
          <w:rFonts w:hint="eastAsia" w:ascii="宋体" w:hAnsi="宋体"/>
          <w:b/>
          <w:sz w:val="36"/>
          <w:szCs w:val="36"/>
          <w:highlight w:val="none"/>
        </w:rPr>
      </w:pPr>
      <w:r>
        <w:rPr>
          <w:rStyle w:val="59"/>
          <w:rFonts w:ascii="宋体" w:hAnsi="宋体"/>
          <w:b/>
          <w:sz w:val="36"/>
          <w:szCs w:val="36"/>
          <w:highlight w:val="none"/>
        </w:rPr>
        <w:t>算术复核表</w:t>
      </w:r>
    </w:p>
    <w:p>
      <w:pPr>
        <w:spacing w:line="360" w:lineRule="auto"/>
        <w:rPr>
          <w:rStyle w:val="59"/>
          <w:rFonts w:hint="eastAsia" w:ascii="宋体" w:hAnsi="宋体"/>
          <w:szCs w:val="21"/>
          <w:highlight w:val="none"/>
        </w:rPr>
      </w:pPr>
      <w:r>
        <w:rPr>
          <w:rStyle w:val="59"/>
          <w:rFonts w:ascii="宋体" w:hAnsi="宋体"/>
          <w:szCs w:val="21"/>
          <w:highlight w:val="none"/>
        </w:rPr>
        <w:t>工程名称：</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b/>
                <w:sz w:val="24"/>
                <w:szCs w:val="24"/>
                <w:highlight w:val="none"/>
              </w:rPr>
            </w:pPr>
            <w:r>
              <w:rPr>
                <w:rStyle w:val="59"/>
                <w:rFonts w:ascii="宋体" w:hAnsi="宋体"/>
                <w:b/>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b/>
                <w:sz w:val="24"/>
                <w:szCs w:val="24"/>
                <w:highlight w:val="none"/>
              </w:rPr>
            </w:pPr>
            <w:r>
              <w:rPr>
                <w:rStyle w:val="59"/>
                <w:rFonts w:ascii="宋体" w:hAnsi="宋体"/>
                <w:b/>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b/>
                <w:sz w:val="24"/>
                <w:szCs w:val="24"/>
                <w:highlight w:val="none"/>
              </w:rPr>
            </w:pPr>
            <w:r>
              <w:rPr>
                <w:rStyle w:val="59"/>
                <w:rFonts w:ascii="宋体" w:hAnsi="宋体"/>
                <w:b/>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b/>
                <w:sz w:val="24"/>
                <w:szCs w:val="24"/>
                <w:highlight w:val="none"/>
              </w:rPr>
            </w:pPr>
            <w:r>
              <w:rPr>
                <w:rStyle w:val="59"/>
                <w:rFonts w:ascii="宋体" w:hAnsi="宋体"/>
                <w:b/>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59"/>
                <w:rFonts w:hint="eastAsia" w:ascii="宋体" w:hAnsi="宋体"/>
                <w:b/>
                <w:sz w:val="24"/>
                <w:szCs w:val="24"/>
                <w:highlight w:val="none"/>
              </w:rPr>
            </w:pPr>
            <w:r>
              <w:rPr>
                <w:rStyle w:val="59"/>
                <w:rFonts w:ascii="宋体" w:hAnsi="宋体"/>
                <w:b/>
                <w:sz w:val="24"/>
                <w:szCs w:val="24"/>
                <w:highlight w:val="none"/>
              </w:rPr>
              <w:t>误差率（r=|A-B|/A*100%）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59"/>
                <w:rFonts w:hint="eastAsia" w:ascii="宋体" w:hAnsi="宋体"/>
                <w:sz w:val="24"/>
                <w:szCs w:val="24"/>
                <w:highlight w:val="none"/>
              </w:rPr>
            </w:pPr>
          </w:p>
        </w:tc>
      </w:tr>
    </w:tbl>
    <w:p>
      <w:pPr>
        <w:spacing w:line="360" w:lineRule="auto"/>
        <w:rPr>
          <w:rStyle w:val="59"/>
          <w:rFonts w:hint="eastAsia" w:ascii="宋体" w:hAnsi="宋体"/>
          <w:szCs w:val="21"/>
          <w:highlight w:val="none"/>
        </w:rPr>
      </w:pPr>
      <w:r>
        <w:rPr>
          <w:rStyle w:val="59"/>
          <w:rFonts w:ascii="宋体" w:hAnsi="宋体"/>
          <w:szCs w:val="21"/>
          <w:highlight w:val="none"/>
        </w:rPr>
        <w:t>评委签名：</w:t>
      </w:r>
    </w:p>
    <w:p>
      <w:pPr>
        <w:spacing w:line="360" w:lineRule="auto"/>
        <w:jc w:val="center"/>
        <w:rPr>
          <w:rStyle w:val="59"/>
          <w:rFonts w:hint="eastAsia" w:ascii="宋体" w:hAnsi="宋体"/>
          <w:szCs w:val="21"/>
          <w:highlight w:val="none"/>
        </w:rPr>
        <w:sectPr>
          <w:headerReference r:id="rId15" w:type="first"/>
          <w:footerReference r:id="rId18" w:type="first"/>
          <w:headerReference r:id="rId13" w:type="default"/>
          <w:footerReference r:id="rId16" w:type="default"/>
          <w:headerReference r:id="rId14" w:type="even"/>
          <w:footerReference r:id="rId17" w:type="even"/>
          <w:endnotePr>
            <w:numFmt w:val="decimal"/>
          </w:endnotePr>
          <w:pgSz w:w="16838" w:h="11906"/>
          <w:pgMar w:top="1418" w:right="1701" w:bottom="1418" w:left="1701" w:header="851" w:footer="907" w:gutter="0"/>
          <w:cols w:space="720" w:num="1"/>
          <w:titlePg/>
          <w:docGrid w:type="lines" w:linePitch="312" w:charSpace="0"/>
        </w:sectPr>
      </w:pPr>
    </w:p>
    <w:p>
      <w:pPr>
        <w:pStyle w:val="139"/>
        <w:outlineLvl w:val="0"/>
        <w:rPr>
          <w:rStyle w:val="59"/>
          <w:rFonts w:hint="eastAsia" w:ascii="宋体" w:hAnsi="宋体"/>
          <w:bCs/>
          <w:highlight w:val="none"/>
        </w:rPr>
      </w:pPr>
      <w:bookmarkStart w:id="28" w:name="_Toc105014636"/>
      <w:r>
        <w:rPr>
          <w:rStyle w:val="59"/>
          <w:rFonts w:ascii="宋体" w:hAnsi="宋体"/>
          <w:bCs/>
          <w:highlight w:val="none"/>
        </w:rPr>
        <w:t>第三章  合同条款</w:t>
      </w:r>
      <w:bookmarkEnd w:id="28"/>
    </w:p>
    <w:p>
      <w:pPr>
        <w:rPr>
          <w:rStyle w:val="59"/>
          <w:rFonts w:hint="eastAsia" w:ascii="宋体" w:hAnsi="宋体"/>
          <w:b/>
          <w:sz w:val="24"/>
          <w:szCs w:val="24"/>
          <w:highlight w:val="none"/>
        </w:rPr>
      </w:pPr>
      <w:r>
        <w:rPr>
          <w:rStyle w:val="59"/>
          <w:rFonts w:ascii="宋体" w:hAnsi="宋体"/>
          <w:sz w:val="24"/>
          <w:szCs w:val="24"/>
          <w:highlight w:val="none"/>
        </w:rPr>
        <w:t>另册。</w:t>
      </w:r>
    </w:p>
    <w:p>
      <w:pPr>
        <w:rPr>
          <w:rStyle w:val="59"/>
          <w:rFonts w:hint="eastAsia" w:ascii="宋体" w:hAnsi="宋体"/>
          <w:sz w:val="24"/>
          <w:szCs w:val="24"/>
          <w:highlight w:val="none"/>
        </w:rPr>
      </w:pPr>
      <w:r>
        <w:rPr>
          <w:rFonts w:hint="eastAsia" w:ascii="仿宋" w:hAnsi="仿宋" w:eastAsia="仿宋"/>
          <w:b/>
          <w:bCs/>
          <w:sz w:val="24"/>
          <w:szCs w:val="24"/>
          <w:highlight w:val="none"/>
        </w:rPr>
        <w:t>（注：中标人应按另册公示的合同条款与招标人签订合同，但招标人同意进行修改或依据中标人的投标文件进行必要修改的除外。）</w:t>
      </w:r>
    </w:p>
    <w:p>
      <w:pPr>
        <w:pStyle w:val="126"/>
        <w:spacing w:line="360" w:lineRule="auto"/>
        <w:ind w:firstLine="0"/>
        <w:rPr>
          <w:rStyle w:val="59"/>
          <w:rFonts w:hint="eastAsia" w:ascii="宋体" w:hAnsi="宋体"/>
          <w:sz w:val="24"/>
          <w:szCs w:val="24"/>
          <w:highlight w:val="none"/>
        </w:rPr>
      </w:pPr>
    </w:p>
    <w:p>
      <w:pPr>
        <w:pStyle w:val="64"/>
        <w:spacing w:line="360" w:lineRule="auto"/>
        <w:rPr>
          <w:rStyle w:val="59"/>
          <w:rFonts w:hint="eastAsia" w:hAnsi="宋体"/>
          <w:sz w:val="24"/>
          <w:szCs w:val="24"/>
          <w:highlight w:val="none"/>
        </w:rPr>
      </w:pPr>
    </w:p>
    <w:p>
      <w:pPr>
        <w:pStyle w:val="139"/>
        <w:outlineLvl w:val="0"/>
        <w:rPr>
          <w:rStyle w:val="59"/>
          <w:rFonts w:hint="eastAsia" w:ascii="宋体" w:hAnsi="宋体"/>
          <w:bCs/>
          <w:highlight w:val="none"/>
        </w:rPr>
      </w:pPr>
      <w:r>
        <w:rPr>
          <w:rStyle w:val="59"/>
          <w:rFonts w:ascii="宋体" w:hAnsi="宋体"/>
          <w:b w:val="0"/>
          <w:highlight w:val="none"/>
        </w:rPr>
        <w:br w:type="page"/>
      </w:r>
      <w:bookmarkStart w:id="29" w:name="_Toc105014637"/>
      <w:r>
        <w:rPr>
          <w:rStyle w:val="59"/>
          <w:rFonts w:ascii="宋体" w:hAnsi="宋体"/>
          <w:bCs/>
          <w:highlight w:val="none"/>
        </w:rPr>
        <w:t>第四章  投标文件格式</w:t>
      </w:r>
      <w:bookmarkEnd w:id="29"/>
    </w:p>
    <w:p>
      <w:pPr>
        <w:topLinePunct/>
        <w:snapToGrid w:val="0"/>
        <w:spacing w:before="100" w:beforeAutospacing="1" w:after="156" w:line="360" w:lineRule="auto"/>
        <w:jc w:val="center"/>
        <w:rPr>
          <w:rStyle w:val="59"/>
          <w:rFonts w:hint="eastAsia" w:ascii="宋体" w:hAnsi="宋体"/>
          <w:b/>
          <w:spacing w:val="4"/>
          <w:kern w:val="0"/>
          <w:sz w:val="30"/>
          <w:szCs w:val="30"/>
          <w:highlight w:val="none"/>
        </w:rPr>
      </w:pPr>
      <w:r>
        <w:rPr>
          <w:rStyle w:val="59"/>
          <w:rFonts w:ascii="宋体" w:hAnsi="宋体"/>
          <w:b/>
          <w:spacing w:val="4"/>
          <w:kern w:val="0"/>
          <w:sz w:val="30"/>
          <w:szCs w:val="30"/>
          <w:highlight w:val="none"/>
        </w:rPr>
        <w:t>一、技术标投标文件</w:t>
      </w:r>
      <w:r>
        <w:rPr>
          <w:rStyle w:val="59"/>
          <w:rFonts w:hint="eastAsia" w:ascii="宋体" w:hAnsi="宋体"/>
          <w:b/>
          <w:spacing w:val="4"/>
          <w:kern w:val="0"/>
          <w:sz w:val="30"/>
          <w:szCs w:val="30"/>
          <w:highlight w:val="none"/>
        </w:rPr>
        <w:t>（含资格审查文件）</w:t>
      </w:r>
      <w:r>
        <w:rPr>
          <w:rStyle w:val="59"/>
          <w:rFonts w:ascii="宋体" w:hAnsi="宋体"/>
          <w:b/>
          <w:spacing w:val="4"/>
          <w:kern w:val="0"/>
          <w:sz w:val="30"/>
          <w:szCs w:val="30"/>
          <w:highlight w:val="none"/>
        </w:rPr>
        <w:t>格式</w:t>
      </w:r>
    </w:p>
    <w:p>
      <w:pPr>
        <w:topLinePunct/>
        <w:snapToGrid w:val="0"/>
        <w:spacing w:before="156" w:after="156" w:line="360" w:lineRule="auto"/>
        <w:jc w:val="left"/>
        <w:rPr>
          <w:rFonts w:hint="eastAsia" w:ascii="宋体" w:hAnsi="宋体"/>
          <w:b/>
          <w:sz w:val="24"/>
          <w:szCs w:val="24"/>
          <w:highlight w:val="none"/>
        </w:rPr>
      </w:pPr>
    </w:p>
    <w:p>
      <w:pPr>
        <w:topLinePunct/>
        <w:snapToGrid w:val="0"/>
        <w:spacing w:before="156" w:after="156" w:line="360" w:lineRule="auto"/>
        <w:jc w:val="left"/>
        <w:rPr>
          <w:rStyle w:val="59"/>
          <w:rFonts w:hint="eastAsia" w:ascii="宋体" w:hAnsi="宋体" w:cs="宋体"/>
          <w:bCs/>
          <w:szCs w:val="21"/>
          <w:highlight w:val="none"/>
        </w:rPr>
      </w:pPr>
      <w:r>
        <w:rPr>
          <w:rFonts w:hint="eastAsia" w:ascii="宋体" w:hAnsi="宋体"/>
          <w:b/>
          <w:sz w:val="24"/>
          <w:szCs w:val="24"/>
          <w:highlight w:val="none"/>
        </w:rPr>
        <w:t>格式一：广州建设工程施工招标投标书</w:t>
      </w:r>
    </w:p>
    <w:p>
      <w:pPr>
        <w:spacing w:line="360" w:lineRule="auto"/>
        <w:ind w:left="-540" w:leftChars="-257" w:firstLine="795" w:firstLineChars="257"/>
        <w:jc w:val="center"/>
        <w:rPr>
          <w:rStyle w:val="59"/>
          <w:rFonts w:hint="eastAsia" w:ascii="宋体" w:hAnsi="宋体"/>
          <w:b/>
          <w:spacing w:val="4"/>
          <w:kern w:val="0"/>
          <w:sz w:val="30"/>
          <w:szCs w:val="30"/>
          <w:highlight w:val="none"/>
        </w:rPr>
      </w:pPr>
      <w:r>
        <w:rPr>
          <w:rStyle w:val="59"/>
          <w:rFonts w:ascii="宋体" w:hAnsi="宋体"/>
          <w:b/>
          <w:spacing w:val="4"/>
          <w:kern w:val="0"/>
          <w:sz w:val="30"/>
          <w:szCs w:val="30"/>
          <w:highlight w:val="none"/>
        </w:rPr>
        <w:t>广州建设工程施工招标投标书</w:t>
      </w:r>
      <w:r>
        <w:rPr>
          <w:rStyle w:val="59"/>
          <w:rFonts w:hint="eastAsia" w:ascii="宋体" w:hAnsi="宋体"/>
          <w:b/>
          <w:spacing w:val="4"/>
          <w:kern w:val="0"/>
          <w:sz w:val="30"/>
          <w:szCs w:val="30"/>
          <w:highlight w:val="none"/>
        </w:rPr>
        <w:t>（技术标）</w:t>
      </w:r>
    </w:p>
    <w:tbl>
      <w:tblPr>
        <w:tblStyle w:val="2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056"/>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sz w:val="24"/>
                <w:szCs w:val="24"/>
                <w:highlight w:val="none"/>
                <w:lang w:val="zh-CN"/>
              </w:rPr>
              <w:t>工程名称</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cs="宋体"/>
                <w:sz w:val="24"/>
                <w:szCs w:val="24"/>
                <w:highlight w:val="none"/>
                <w:lang w:val="zh-CN"/>
              </w:rPr>
            </w:pPr>
            <w:r>
              <w:rPr>
                <w:rFonts w:hint="eastAsia" w:ascii="宋体" w:hAnsi="宋体" w:cs="宋体"/>
                <w:sz w:val="24"/>
                <w:szCs w:val="24"/>
                <w:highlight w:val="none"/>
                <w:lang w:val="zh-CN"/>
              </w:rPr>
              <w:t>投标总工期</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sz w:val="24"/>
                <w:szCs w:val="24"/>
                <w:highlight w:val="none"/>
              </w:rPr>
            </w:pPr>
            <w:r>
              <w:rPr>
                <w:rFonts w:hint="eastAsia" w:ascii="宋体" w:hAnsi="宋体" w:cs="宋体"/>
                <w:sz w:val="24"/>
                <w:szCs w:val="24"/>
                <w:highlight w:val="none"/>
                <w:lang w:val="zh-CN"/>
              </w:rPr>
              <w:t>工程质量标准</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b/>
                <w:bCs/>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sz w:val="24"/>
                <w:szCs w:val="24"/>
                <w:highlight w:val="none"/>
                <w:lang w:val="zh-CN"/>
              </w:rPr>
              <w:t>保修期限</w:t>
            </w:r>
          </w:p>
        </w:tc>
        <w:tc>
          <w:tcPr>
            <w:tcW w:w="5621" w:type="dxa"/>
            <w:gridSpan w:val="2"/>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b/>
                <w:bCs/>
                <w:sz w:val="24"/>
                <w:szCs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sz w:val="24"/>
                <w:szCs w:val="24"/>
                <w:highlight w:val="none"/>
                <w:lang w:val="zh-CN"/>
              </w:rPr>
              <w:t>委派的项目负责人</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sz w:val="24"/>
                <w:szCs w:val="24"/>
                <w:highlight w:val="none"/>
              </w:rPr>
            </w:pPr>
            <w:r>
              <w:rPr>
                <w:rFonts w:hint="eastAsia" w:ascii="宋体" w:hAnsi="宋体"/>
                <w:sz w:val="24"/>
                <w:szCs w:val="24"/>
                <w:highlight w:val="none"/>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sz w:val="24"/>
                <w:szCs w:val="24"/>
                <w:highlight w:val="none"/>
                <w:lang w:val="zh-CN"/>
              </w:rPr>
              <w:t>委派的</w:t>
            </w:r>
            <w:r>
              <w:rPr>
                <w:rFonts w:hint="eastAsia" w:ascii="宋体" w:hAnsi="宋体" w:cs="宋体"/>
                <w:sz w:val="24"/>
                <w:szCs w:val="24"/>
                <w:highlight w:val="none"/>
              </w:rPr>
              <w:t>技术</w:t>
            </w:r>
            <w:r>
              <w:rPr>
                <w:rFonts w:hint="eastAsia" w:ascii="宋体" w:hAnsi="宋体" w:cs="宋体"/>
                <w:sz w:val="24"/>
                <w:szCs w:val="24"/>
                <w:highlight w:val="none"/>
                <w:lang w:val="zh-CN"/>
              </w:rPr>
              <w:t>负责人</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sz w:val="24"/>
                <w:szCs w:val="24"/>
                <w:highlight w:val="none"/>
              </w:rPr>
            </w:pPr>
            <w:r>
              <w:rPr>
                <w:rFonts w:hint="eastAsia" w:ascii="宋体" w:hAnsi="宋体"/>
                <w:sz w:val="24"/>
                <w:szCs w:val="24"/>
                <w:highlight w:val="none"/>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vMerge w:val="restart"/>
            <w:tcBorders>
              <w:top w:val="single" w:color="auto" w:sz="4" w:space="0"/>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bCs/>
                <w:sz w:val="24"/>
                <w:szCs w:val="24"/>
                <w:highlight w:val="none"/>
                <w:lang w:val="zh-CN"/>
              </w:rPr>
              <w:t>委派的专职安全员</w:t>
            </w: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center"/>
              <w:textAlignment w:val="auto"/>
              <w:rPr>
                <w:rFonts w:hint="eastAsia" w:ascii="宋体" w:hAnsi="宋体"/>
                <w:sz w:val="24"/>
                <w:szCs w:val="24"/>
                <w:highlight w:val="none"/>
              </w:rPr>
            </w:pPr>
            <w:r>
              <w:rPr>
                <w:rFonts w:hint="eastAsia" w:ascii="宋体" w:hAnsi="宋体" w:cs="宋体"/>
                <w:bCs/>
                <w:sz w:val="24"/>
                <w:szCs w:val="24"/>
                <w:highlight w:val="none"/>
                <w:lang w:val="zh-CN"/>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099" w:type="dxa"/>
            <w:vMerge w:val="continue"/>
            <w:tcBorders>
              <w:left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p>
        </w:tc>
        <w:tc>
          <w:tcPr>
            <w:tcW w:w="2056"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bCs/>
                <w:sz w:val="24"/>
                <w:szCs w:val="24"/>
                <w:highlight w:val="none"/>
                <w:lang w:val="zh-CN"/>
              </w:rPr>
              <w:t>姓   名</w:t>
            </w:r>
          </w:p>
        </w:tc>
        <w:tc>
          <w:tcPr>
            <w:tcW w:w="3565"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p>
        </w:tc>
      </w:tr>
    </w:tbl>
    <w:p>
      <w:pPr>
        <w:tabs>
          <w:tab w:val="left" w:pos="720"/>
        </w:tabs>
        <w:snapToGrid w:val="0"/>
        <w:spacing w:line="360" w:lineRule="auto"/>
        <w:rPr>
          <w:rStyle w:val="59"/>
          <w:rFonts w:hint="eastAsia" w:ascii="宋体" w:hAnsi="宋体"/>
          <w:sz w:val="24"/>
          <w:szCs w:val="24"/>
          <w:highlight w:val="none"/>
        </w:rPr>
      </w:pPr>
    </w:p>
    <w:p>
      <w:pPr>
        <w:pStyle w:val="8"/>
        <w:rPr>
          <w:rFonts w:hint="eastAsia"/>
          <w:highlight w:val="none"/>
        </w:rPr>
      </w:pPr>
    </w:p>
    <w:p>
      <w:pPr>
        <w:topLinePunct/>
        <w:adjustRightInd w:val="0"/>
        <w:snapToGrid w:val="0"/>
        <w:spacing w:after="200"/>
        <w:jc w:val="left"/>
        <w:outlineLvl w:val="2"/>
        <w:rPr>
          <w:rFonts w:hint="eastAsia" w:ascii="宋体" w:hAnsi="宋体"/>
          <w:spacing w:val="4"/>
          <w:kern w:val="0"/>
          <w:sz w:val="24"/>
          <w:szCs w:val="24"/>
          <w:highlight w:val="none"/>
        </w:rPr>
      </w:pPr>
      <w:r>
        <w:rPr>
          <w:rStyle w:val="59"/>
          <w:rFonts w:ascii="宋体" w:hAnsi="宋体"/>
          <w:sz w:val="24"/>
          <w:szCs w:val="24"/>
          <w:highlight w:val="none"/>
        </w:rPr>
        <w:br w:type="page"/>
      </w:r>
      <w:r>
        <w:rPr>
          <w:rFonts w:hint="eastAsia" w:ascii="宋体" w:hAnsi="宋体"/>
          <w:b/>
          <w:sz w:val="24"/>
          <w:szCs w:val="24"/>
          <w:highlight w:val="none"/>
        </w:rPr>
        <w:t>格式二：投标函</w:t>
      </w:r>
    </w:p>
    <w:p>
      <w:pPr>
        <w:topLinePunct/>
        <w:adjustRightInd w:val="0"/>
        <w:snapToGrid w:val="0"/>
        <w:spacing w:line="360" w:lineRule="auto"/>
        <w:jc w:val="center"/>
        <w:rPr>
          <w:rFonts w:hint="eastAsia" w:ascii="宋体" w:hAnsi="宋体"/>
          <w:b/>
          <w:spacing w:val="4"/>
          <w:kern w:val="0"/>
          <w:sz w:val="36"/>
          <w:szCs w:val="36"/>
          <w:highlight w:val="none"/>
        </w:rPr>
      </w:pPr>
      <w:r>
        <w:rPr>
          <w:rFonts w:hint="eastAsia" w:ascii="宋体" w:hAnsi="宋体"/>
          <w:b/>
          <w:spacing w:val="4"/>
          <w:kern w:val="0"/>
          <w:sz w:val="32"/>
          <w:szCs w:val="32"/>
          <w:highlight w:val="none"/>
        </w:rPr>
        <w:t>投 标 函</w:t>
      </w:r>
    </w:p>
    <w:p>
      <w:pPr>
        <w:topLinePunct/>
        <w:adjustRightInd w:val="0"/>
        <w:snapToGrid w:val="0"/>
        <w:spacing w:line="360" w:lineRule="auto"/>
        <w:jc w:val="left"/>
        <w:rPr>
          <w:rFonts w:hint="eastAsia" w:ascii="宋体" w:hAnsi="宋体"/>
          <w:spacing w:val="4"/>
          <w:kern w:val="0"/>
          <w:sz w:val="22"/>
          <w:highlight w:val="none"/>
        </w:rPr>
      </w:pPr>
      <w:r>
        <w:rPr>
          <w:rFonts w:hint="eastAsia" w:ascii="宋体" w:hAnsi="宋体"/>
          <w:spacing w:val="4"/>
          <w:kern w:val="0"/>
          <w:sz w:val="22"/>
          <w:highlight w:val="none"/>
        </w:rPr>
        <w:t>致：</w:t>
      </w:r>
      <w:r>
        <w:rPr>
          <w:rFonts w:hint="eastAsia" w:ascii="宋体" w:hAnsi="宋体"/>
          <w:spacing w:val="4"/>
          <w:kern w:val="0"/>
          <w:sz w:val="22"/>
          <w:highlight w:val="none"/>
          <w:u w:val="single"/>
        </w:rPr>
        <w:t xml:space="preserve"> （招标人名称） </w:t>
      </w:r>
    </w:p>
    <w:p>
      <w:pPr>
        <w:spacing w:line="360" w:lineRule="auto"/>
        <w:ind w:firstLine="440" w:firstLineChars="200"/>
        <w:rPr>
          <w:rFonts w:hint="eastAsia" w:ascii="宋体" w:hAnsi="宋体" w:cs="宋体"/>
          <w:sz w:val="22"/>
          <w:highlight w:val="none"/>
        </w:rPr>
      </w:pPr>
      <w:r>
        <w:rPr>
          <w:rFonts w:hint="eastAsia" w:ascii="宋体" w:hAnsi="宋体" w:cs="宋体"/>
          <w:sz w:val="22"/>
          <w:highlight w:val="none"/>
        </w:rPr>
        <w:t>1.根据已收到贵方的</w:t>
      </w:r>
      <w:r>
        <w:rPr>
          <w:rFonts w:hint="eastAsia" w:ascii="宋体" w:hAnsi="宋体" w:cs="宋体"/>
          <w:sz w:val="22"/>
          <w:highlight w:val="none"/>
          <w:u w:val="single"/>
        </w:rPr>
        <w:t xml:space="preserve"> </w:t>
      </w:r>
      <w:r>
        <w:rPr>
          <w:rFonts w:ascii="宋体" w:hAnsi="宋体" w:cs="宋体"/>
          <w:sz w:val="22"/>
          <w:highlight w:val="none"/>
          <w:u w:val="single"/>
        </w:rPr>
        <w:t xml:space="preserve">  </w:t>
      </w:r>
      <w:r>
        <w:rPr>
          <w:rFonts w:hint="eastAsia" w:ascii="宋体" w:hAnsi="宋体" w:cs="宋体"/>
          <w:sz w:val="22"/>
          <w:highlight w:val="none"/>
          <w:u w:val="single"/>
        </w:rPr>
        <w:t xml:space="preserve">（项目编号）   </w:t>
      </w:r>
      <w:r>
        <w:rPr>
          <w:rFonts w:hint="eastAsia" w:ascii="宋体" w:hAnsi="宋体" w:cs="宋体"/>
          <w:sz w:val="22"/>
          <w:highlight w:val="none"/>
        </w:rPr>
        <w:t>的</w:t>
      </w:r>
      <w:r>
        <w:rPr>
          <w:rFonts w:hint="eastAsia" w:ascii="宋体" w:hAnsi="宋体" w:cs="宋体"/>
          <w:sz w:val="22"/>
          <w:highlight w:val="none"/>
          <w:u w:val="single"/>
        </w:rPr>
        <w:t xml:space="preserve">   （项目名称）  </w:t>
      </w:r>
      <w:r>
        <w:rPr>
          <w:rFonts w:hint="eastAsia" w:ascii="宋体" w:hAnsi="宋体" w:cs="宋体"/>
          <w:sz w:val="22"/>
          <w:highlight w:val="none"/>
        </w:rPr>
        <w:t>的招标文件，并已详细审核了全部招标文件及有关附件。</w:t>
      </w:r>
    </w:p>
    <w:p>
      <w:pPr>
        <w:snapToGrid w:val="0"/>
        <w:spacing w:line="360" w:lineRule="auto"/>
        <w:ind w:firstLine="479" w:firstLineChars="218"/>
        <w:rPr>
          <w:rFonts w:hint="eastAsia" w:ascii="宋体" w:hAnsi="宋体" w:cs="宋体"/>
          <w:sz w:val="22"/>
          <w:highlight w:val="none"/>
        </w:rPr>
      </w:pPr>
      <w:r>
        <w:rPr>
          <w:rFonts w:hint="eastAsia" w:ascii="宋体" w:hAnsi="宋体" w:cs="宋体"/>
          <w:sz w:val="22"/>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40" w:firstLineChars="200"/>
        <w:rPr>
          <w:rFonts w:hint="eastAsia" w:ascii="宋体" w:hAnsi="宋体" w:cs="宋体"/>
          <w:sz w:val="22"/>
          <w:highlight w:val="none"/>
        </w:rPr>
      </w:pPr>
      <w:r>
        <w:rPr>
          <w:rFonts w:hint="eastAsia" w:ascii="宋体" w:hAnsi="宋体" w:cs="宋体"/>
          <w:sz w:val="22"/>
          <w:highlight w:val="none"/>
        </w:rPr>
        <w:t>愿以经济标中的投标报价并按上述合同条款、标准和技术规范、图纸、工程量清单等的要求承包上述工程的施工、竣工并修补其任何缺陷。</w:t>
      </w:r>
    </w:p>
    <w:p>
      <w:pPr>
        <w:spacing w:line="360" w:lineRule="auto"/>
        <w:rPr>
          <w:rFonts w:hint="eastAsia" w:ascii="宋体" w:hAnsi="宋体" w:cs="宋体"/>
          <w:sz w:val="22"/>
          <w:highlight w:val="none"/>
        </w:rPr>
      </w:pPr>
      <w:r>
        <w:rPr>
          <w:rFonts w:hint="eastAsia" w:ascii="宋体" w:hAnsi="宋体" w:cs="宋体"/>
          <w:sz w:val="22"/>
          <w:highlight w:val="none"/>
        </w:rPr>
        <w:t xml:space="preserve">    3.我方同意所递交的投标文件在投标须知规定的投标有效期内有效，在此期间内我方的投标有可能中标，我方将受此约束。如果在投标有效期内撤销投标文件或放弃中标资格，给贵方造成损失的，贵方有权要求我方进行赔偿。</w:t>
      </w:r>
    </w:p>
    <w:p>
      <w:pPr>
        <w:spacing w:line="360" w:lineRule="auto"/>
        <w:rPr>
          <w:rFonts w:hint="eastAsia" w:ascii="宋体" w:hAnsi="宋体" w:cs="宋体"/>
          <w:sz w:val="22"/>
          <w:highlight w:val="none"/>
        </w:rPr>
      </w:pPr>
      <w:r>
        <w:rPr>
          <w:rFonts w:hint="eastAsia" w:ascii="宋体" w:hAnsi="宋体" w:cs="宋体"/>
          <w:sz w:val="22"/>
          <w:highlight w:val="none"/>
        </w:rPr>
        <w:t xml:space="preserve">    4.我方理解贵方将不受必须接受你们所收到的最低标价或其它任何投标文件的约束。</w:t>
      </w:r>
      <w:r>
        <w:rPr>
          <w:rFonts w:hint="eastAsia" w:ascii="宋体" w:hAnsi="宋体"/>
          <w:sz w:val="22"/>
          <w:highlight w:val="none"/>
        </w:rPr>
        <w:t>同时也理解，你单位不负担我方的任何投标费用。</w:t>
      </w:r>
    </w:p>
    <w:p>
      <w:pPr>
        <w:spacing w:line="360" w:lineRule="auto"/>
        <w:ind w:firstLine="440" w:firstLineChars="200"/>
        <w:rPr>
          <w:rFonts w:hint="eastAsia" w:ascii="宋体" w:hAnsi="宋体" w:cs="宋体"/>
          <w:sz w:val="22"/>
          <w:highlight w:val="none"/>
        </w:rPr>
      </w:pPr>
      <w:r>
        <w:rPr>
          <w:rFonts w:hint="eastAsia" w:ascii="宋体" w:hAnsi="宋体" w:cs="宋体"/>
          <w:sz w:val="22"/>
          <w:highlight w:val="none"/>
        </w:rPr>
        <w:t>5.如果我方中标，我方保证按招标文件中规定的工期，在</w:t>
      </w:r>
      <w:r>
        <w:rPr>
          <w:rFonts w:hint="eastAsia" w:ascii="宋体" w:hAnsi="宋体" w:cs="宋体"/>
          <w:sz w:val="22"/>
          <w:highlight w:val="none"/>
          <w:u w:val="single"/>
        </w:rPr>
        <w:t xml:space="preserve">    </w:t>
      </w:r>
      <w:r>
        <w:rPr>
          <w:rFonts w:hint="eastAsia" w:ascii="宋体" w:hAnsi="宋体" w:cs="宋体"/>
          <w:sz w:val="22"/>
          <w:highlight w:val="none"/>
        </w:rPr>
        <w:t>日历天内完成并移交本工程，质量标准达到招标文件中的要求。</w:t>
      </w:r>
    </w:p>
    <w:p>
      <w:pPr>
        <w:spacing w:line="360" w:lineRule="auto"/>
        <w:ind w:firstLine="440" w:firstLineChars="200"/>
        <w:rPr>
          <w:rFonts w:hint="eastAsia" w:ascii="宋体" w:hAnsi="宋体" w:cs="宋体"/>
          <w:sz w:val="22"/>
          <w:highlight w:val="none"/>
        </w:rPr>
      </w:pPr>
      <w:r>
        <w:rPr>
          <w:rFonts w:hint="eastAsia" w:ascii="宋体" w:hAnsi="宋体" w:cs="宋体"/>
          <w:sz w:val="22"/>
          <w:highlight w:val="none"/>
        </w:rPr>
        <w:t>6.如果我方中标，我方将按照规定递交由招标人认可，并在招标文件中规定金额的履约保函。</w:t>
      </w:r>
    </w:p>
    <w:p>
      <w:pPr>
        <w:spacing w:line="360" w:lineRule="auto"/>
        <w:ind w:firstLine="480"/>
        <w:rPr>
          <w:rFonts w:hint="eastAsia" w:ascii="宋体" w:hAnsi="宋体" w:cs="宋体"/>
          <w:sz w:val="22"/>
          <w:highlight w:val="none"/>
        </w:rPr>
      </w:pPr>
      <w:r>
        <w:rPr>
          <w:rFonts w:hint="eastAsia" w:ascii="宋体" w:hAnsi="宋体" w:cs="宋体"/>
          <w:sz w:val="22"/>
          <w:highlight w:val="none"/>
        </w:rPr>
        <w:t>7.除非另外达成协议并生效，贵方的中标通知书和本投标文件将成为约束双方的合同文件的组成部分。</w:t>
      </w:r>
    </w:p>
    <w:p>
      <w:pPr>
        <w:spacing w:line="360" w:lineRule="auto"/>
        <w:ind w:firstLine="480"/>
        <w:rPr>
          <w:rFonts w:hint="eastAsia" w:ascii="宋体" w:hAnsi="宋体" w:cs="宋体"/>
          <w:sz w:val="22"/>
          <w:highlight w:val="none"/>
        </w:rPr>
      </w:pPr>
      <w:r>
        <w:rPr>
          <w:rFonts w:hint="eastAsia" w:ascii="宋体" w:hAnsi="宋体" w:cs="宋体"/>
          <w:sz w:val="22"/>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360" w:lineRule="auto"/>
        <w:ind w:firstLine="480"/>
        <w:rPr>
          <w:rFonts w:hint="eastAsia" w:ascii="宋体" w:hAnsi="宋体" w:cs="宋体"/>
          <w:sz w:val="22"/>
          <w:highlight w:val="none"/>
        </w:rPr>
      </w:pPr>
    </w:p>
    <w:p>
      <w:pPr>
        <w:spacing w:line="360" w:lineRule="auto"/>
        <w:rPr>
          <w:rFonts w:hint="eastAsia" w:ascii="宋体" w:hAnsi="宋体" w:cs="宋体"/>
          <w:sz w:val="22"/>
          <w:highlight w:val="none"/>
        </w:rPr>
      </w:pPr>
      <w:r>
        <w:rPr>
          <w:rFonts w:hint="eastAsia" w:ascii="宋体" w:hAnsi="宋体" w:cs="宋体"/>
          <w:sz w:val="22"/>
          <w:highlight w:val="none"/>
        </w:rPr>
        <w:t xml:space="preserve">                    法定代表人或授权代理人（签名或盖章）：             </w:t>
      </w:r>
    </w:p>
    <w:p>
      <w:pPr>
        <w:spacing w:line="360" w:lineRule="auto"/>
        <w:rPr>
          <w:rFonts w:hint="eastAsia" w:ascii="宋体" w:hAnsi="宋体" w:cs="宋体"/>
          <w:sz w:val="22"/>
          <w:highlight w:val="none"/>
        </w:rPr>
      </w:pPr>
      <w:r>
        <w:rPr>
          <w:rFonts w:hint="eastAsia" w:ascii="宋体" w:hAnsi="宋体" w:cs="宋体"/>
          <w:sz w:val="22"/>
          <w:highlight w:val="none"/>
        </w:rPr>
        <w:t xml:space="preserve">                                          投标人企业公章：                         </w:t>
      </w:r>
    </w:p>
    <w:p>
      <w:pPr>
        <w:spacing w:line="360" w:lineRule="auto"/>
        <w:rPr>
          <w:rFonts w:hint="eastAsia" w:ascii="宋体" w:hAnsi="宋体" w:cs="宋体"/>
          <w:sz w:val="24"/>
          <w:szCs w:val="24"/>
          <w:highlight w:val="none"/>
          <w:u w:val="single"/>
        </w:rPr>
      </w:pPr>
      <w:r>
        <w:rPr>
          <w:rFonts w:hint="eastAsia" w:ascii="宋体" w:hAnsi="宋体" w:cs="宋体"/>
          <w:sz w:val="22"/>
          <w:highlight w:val="none"/>
        </w:rPr>
        <w:t xml:space="preserve">                                                    日期：  年 </w:t>
      </w:r>
      <w:r>
        <w:rPr>
          <w:rFonts w:ascii="宋体" w:hAnsi="宋体" w:cs="宋体"/>
          <w:sz w:val="22"/>
          <w:highlight w:val="none"/>
        </w:rPr>
        <w:t xml:space="preserve"> </w:t>
      </w:r>
      <w:r>
        <w:rPr>
          <w:rFonts w:hint="eastAsia" w:ascii="宋体" w:hAnsi="宋体" w:cs="宋体"/>
          <w:sz w:val="22"/>
          <w:highlight w:val="none"/>
        </w:rPr>
        <w:t>月  日</w:t>
      </w:r>
    </w:p>
    <w:p>
      <w:pPr>
        <w:spacing w:line="360" w:lineRule="auto"/>
        <w:rPr>
          <w:rStyle w:val="59"/>
          <w:rFonts w:hint="eastAsia" w:ascii="宋体" w:hAnsi="宋体"/>
          <w:sz w:val="24"/>
          <w:szCs w:val="24"/>
          <w:highlight w:val="none"/>
        </w:rPr>
      </w:pPr>
    </w:p>
    <w:p>
      <w:pPr>
        <w:spacing w:line="360" w:lineRule="auto"/>
        <w:rPr>
          <w:rStyle w:val="59"/>
          <w:rFonts w:hint="eastAsia" w:ascii="宋体" w:hAnsi="宋体"/>
          <w:b/>
          <w:highlight w:val="none"/>
        </w:rPr>
      </w:pPr>
      <w:r>
        <w:rPr>
          <w:rStyle w:val="59"/>
          <w:rFonts w:ascii="宋体" w:hAnsi="宋体"/>
          <w:b/>
          <w:sz w:val="24"/>
          <w:szCs w:val="24"/>
          <w:highlight w:val="none"/>
        </w:rPr>
        <w:t>格式</w:t>
      </w:r>
      <w:r>
        <w:rPr>
          <w:rStyle w:val="59"/>
          <w:rFonts w:hint="eastAsia" w:ascii="宋体" w:hAnsi="宋体"/>
          <w:b/>
          <w:sz w:val="24"/>
          <w:szCs w:val="24"/>
          <w:highlight w:val="none"/>
        </w:rPr>
        <w:t>三：</w:t>
      </w:r>
    </w:p>
    <w:p>
      <w:pPr>
        <w:pStyle w:val="137"/>
        <w:ind w:firstLine="496"/>
        <w:rPr>
          <w:rStyle w:val="59"/>
          <w:rFonts w:hint="eastAsia" w:ascii="宋体" w:hAnsi="宋体"/>
          <w:highlight w:val="none"/>
        </w:rPr>
      </w:pPr>
    </w:p>
    <w:p>
      <w:pPr>
        <w:spacing w:after="156" w:afterLines="50" w:line="360" w:lineRule="auto"/>
        <w:jc w:val="center"/>
        <w:rPr>
          <w:rStyle w:val="59"/>
          <w:rFonts w:hint="eastAsia" w:ascii="宋体" w:hAnsi="宋体"/>
          <w:b/>
          <w:sz w:val="30"/>
          <w:szCs w:val="30"/>
          <w:highlight w:val="none"/>
        </w:rPr>
      </w:pPr>
      <w:r>
        <w:rPr>
          <w:rStyle w:val="59"/>
          <w:rFonts w:ascii="宋体" w:hAnsi="宋体"/>
          <w:b/>
          <w:sz w:val="30"/>
          <w:szCs w:val="30"/>
          <w:highlight w:val="none"/>
        </w:rPr>
        <w:t>项目管理机构人员配备表</w:t>
      </w:r>
    </w:p>
    <w:tbl>
      <w:tblPr>
        <w:tblStyle w:val="2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53"/>
        <w:gridCol w:w="960"/>
        <w:gridCol w:w="960"/>
        <w:gridCol w:w="960"/>
        <w:gridCol w:w="960"/>
        <w:gridCol w:w="960"/>
        <w:gridCol w:w="13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181"/>
              <w:jc w:val="center"/>
              <w:rPr>
                <w:rFonts w:hint="eastAsia"/>
                <w:b/>
                <w:highlight w:val="none"/>
              </w:rPr>
            </w:pPr>
            <w:r>
              <w:rPr>
                <w:rFonts w:hint="eastAsia"/>
                <w:b/>
                <w:highlight w:val="none"/>
                <w:lang w:eastAsia="zh-CN"/>
              </w:rPr>
              <w:t>序</w:t>
            </w:r>
            <w:r>
              <w:rPr>
                <w:rFonts w:hint="eastAsia"/>
                <w:b/>
                <w:highlight w:val="none"/>
              </w:rPr>
              <w:t>号</w:t>
            </w:r>
          </w:p>
        </w:tc>
        <w:tc>
          <w:tcPr>
            <w:tcW w:w="1353" w:type="dxa"/>
            <w:vAlign w:val="center"/>
          </w:tcPr>
          <w:p>
            <w:pPr>
              <w:pStyle w:val="181"/>
              <w:jc w:val="center"/>
              <w:rPr>
                <w:rFonts w:hint="eastAsia"/>
                <w:b/>
                <w:highlight w:val="none"/>
              </w:rPr>
            </w:pPr>
            <w:r>
              <w:rPr>
                <w:rFonts w:hint="eastAsia"/>
                <w:b/>
                <w:spacing w:val="-6"/>
                <w:highlight w:val="none"/>
              </w:rPr>
              <w:t>在本项目担任的职务</w:t>
            </w:r>
          </w:p>
        </w:tc>
        <w:tc>
          <w:tcPr>
            <w:tcW w:w="960" w:type="dxa"/>
            <w:vAlign w:val="center"/>
          </w:tcPr>
          <w:p>
            <w:pPr>
              <w:pStyle w:val="181"/>
              <w:jc w:val="center"/>
              <w:rPr>
                <w:rFonts w:hint="eastAsia"/>
                <w:b/>
                <w:highlight w:val="none"/>
              </w:rPr>
            </w:pPr>
            <w:r>
              <w:rPr>
                <w:rFonts w:hint="eastAsia"/>
                <w:b/>
                <w:highlight w:val="none"/>
              </w:rPr>
              <w:t>姓名</w:t>
            </w:r>
          </w:p>
        </w:tc>
        <w:tc>
          <w:tcPr>
            <w:tcW w:w="960" w:type="dxa"/>
            <w:vAlign w:val="center"/>
          </w:tcPr>
          <w:p>
            <w:pPr>
              <w:pStyle w:val="181"/>
              <w:jc w:val="center"/>
              <w:rPr>
                <w:rFonts w:hint="eastAsia"/>
                <w:b/>
                <w:highlight w:val="none"/>
              </w:rPr>
            </w:pPr>
            <w:r>
              <w:rPr>
                <w:rFonts w:hint="eastAsia"/>
                <w:b/>
                <w:highlight w:val="none"/>
              </w:rPr>
              <w:t>年龄</w:t>
            </w:r>
          </w:p>
        </w:tc>
        <w:tc>
          <w:tcPr>
            <w:tcW w:w="960" w:type="dxa"/>
            <w:vAlign w:val="center"/>
          </w:tcPr>
          <w:p>
            <w:pPr>
              <w:pStyle w:val="181"/>
              <w:jc w:val="center"/>
              <w:rPr>
                <w:rFonts w:hint="eastAsia"/>
                <w:b/>
                <w:highlight w:val="none"/>
              </w:rPr>
            </w:pPr>
            <w:r>
              <w:rPr>
                <w:rFonts w:hint="eastAsia"/>
                <w:b/>
                <w:highlight w:val="none"/>
              </w:rPr>
              <w:t>专业</w:t>
            </w:r>
          </w:p>
        </w:tc>
        <w:tc>
          <w:tcPr>
            <w:tcW w:w="960" w:type="dxa"/>
            <w:vAlign w:val="center"/>
          </w:tcPr>
          <w:p>
            <w:pPr>
              <w:pStyle w:val="181"/>
              <w:jc w:val="center"/>
              <w:rPr>
                <w:rFonts w:hint="eastAsia"/>
                <w:b/>
                <w:highlight w:val="none"/>
              </w:rPr>
            </w:pPr>
            <w:r>
              <w:rPr>
                <w:rFonts w:hint="eastAsia"/>
                <w:b/>
                <w:highlight w:val="none"/>
              </w:rPr>
              <w:t>从事相关工作年限</w:t>
            </w:r>
          </w:p>
        </w:tc>
        <w:tc>
          <w:tcPr>
            <w:tcW w:w="960" w:type="dxa"/>
            <w:vAlign w:val="center"/>
          </w:tcPr>
          <w:p>
            <w:pPr>
              <w:pStyle w:val="181"/>
              <w:jc w:val="center"/>
              <w:rPr>
                <w:rFonts w:hint="eastAsia"/>
                <w:b/>
                <w:highlight w:val="none"/>
                <w:lang w:eastAsia="zh-CN"/>
              </w:rPr>
            </w:pPr>
            <w:r>
              <w:rPr>
                <w:b/>
                <w:highlight w:val="none"/>
                <w:lang w:eastAsia="zh-CN"/>
              </w:rPr>
              <w:t>注册证或岗位证或培训证或职称证</w:t>
            </w:r>
          </w:p>
        </w:tc>
        <w:tc>
          <w:tcPr>
            <w:tcW w:w="1360" w:type="dxa"/>
            <w:vAlign w:val="center"/>
          </w:tcPr>
          <w:p>
            <w:pPr>
              <w:pStyle w:val="181"/>
              <w:jc w:val="center"/>
              <w:rPr>
                <w:rFonts w:hint="eastAsia"/>
                <w:b/>
                <w:highlight w:val="none"/>
                <w:lang w:eastAsia="zh-CN"/>
              </w:rPr>
            </w:pPr>
            <w:r>
              <w:rPr>
                <w:b/>
                <w:highlight w:val="none"/>
                <w:lang w:eastAsia="zh-CN"/>
              </w:rPr>
              <w:t>注册证或岗位证或培训证或职称证</w:t>
            </w:r>
            <w:r>
              <w:rPr>
                <w:rFonts w:hint="eastAsia"/>
                <w:b/>
                <w:highlight w:val="none"/>
                <w:lang w:eastAsia="zh-CN"/>
              </w:rPr>
              <w:t>证号</w:t>
            </w:r>
          </w:p>
        </w:tc>
        <w:tc>
          <w:tcPr>
            <w:tcW w:w="1276" w:type="dxa"/>
            <w:vAlign w:val="center"/>
          </w:tcPr>
          <w:p>
            <w:pPr>
              <w:pStyle w:val="181"/>
              <w:jc w:val="center"/>
              <w:rPr>
                <w:rFonts w:hint="eastAsia"/>
                <w:b/>
                <w:highlight w:val="none"/>
                <w:lang w:eastAsia="zh-CN"/>
              </w:rPr>
            </w:pPr>
            <w:r>
              <w:rPr>
                <w:rFonts w:hint="eastAsia"/>
                <w:b/>
                <w:highlight w:val="no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67" w:type="dxa"/>
            <w:vAlign w:val="center"/>
          </w:tcPr>
          <w:p>
            <w:pPr>
              <w:pStyle w:val="89"/>
              <w:ind w:firstLine="496"/>
              <w:jc w:val="center"/>
              <w:rPr>
                <w:rFonts w:eastAsia="Times New Roman" w:cs="Calibri"/>
                <w:kern w:val="2"/>
                <w:highlight w:val="none"/>
              </w:rPr>
            </w:pPr>
          </w:p>
        </w:tc>
        <w:tc>
          <w:tcPr>
            <w:tcW w:w="1353"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960" w:type="dxa"/>
            <w:vAlign w:val="center"/>
          </w:tcPr>
          <w:p>
            <w:pPr>
              <w:pStyle w:val="89"/>
              <w:ind w:firstLine="496"/>
              <w:jc w:val="center"/>
              <w:rPr>
                <w:rFonts w:eastAsia="Times New Roman" w:cs="Calibri"/>
                <w:kern w:val="2"/>
                <w:highlight w:val="none"/>
              </w:rPr>
            </w:pPr>
          </w:p>
        </w:tc>
        <w:tc>
          <w:tcPr>
            <w:tcW w:w="1360" w:type="dxa"/>
            <w:vAlign w:val="center"/>
          </w:tcPr>
          <w:p>
            <w:pPr>
              <w:pStyle w:val="89"/>
              <w:ind w:firstLine="496"/>
              <w:jc w:val="center"/>
              <w:rPr>
                <w:rFonts w:eastAsia="Times New Roman" w:cs="Calibri"/>
                <w:kern w:val="2"/>
                <w:highlight w:val="none"/>
              </w:rPr>
            </w:pPr>
          </w:p>
        </w:tc>
        <w:tc>
          <w:tcPr>
            <w:tcW w:w="1276" w:type="dxa"/>
            <w:vAlign w:val="center"/>
          </w:tcPr>
          <w:p>
            <w:pPr>
              <w:pStyle w:val="89"/>
              <w:ind w:firstLine="496"/>
              <w:jc w:val="center"/>
              <w:rPr>
                <w:rFonts w:eastAsia="Times New Roman" w:cs="Calibri"/>
                <w:kern w:val="2"/>
                <w:highlight w:val="none"/>
              </w:rPr>
            </w:pPr>
          </w:p>
        </w:tc>
      </w:tr>
    </w:tbl>
    <w:p>
      <w:pPr>
        <w:pStyle w:val="127"/>
        <w:spacing w:line="360" w:lineRule="auto"/>
        <w:rPr>
          <w:rStyle w:val="59"/>
          <w:rFonts w:hint="eastAsia" w:ascii="宋体" w:hAnsi="宋体"/>
          <w:highlight w:val="none"/>
        </w:rPr>
      </w:pPr>
    </w:p>
    <w:p>
      <w:pPr>
        <w:spacing w:line="360" w:lineRule="auto"/>
        <w:rPr>
          <w:rStyle w:val="59"/>
          <w:rFonts w:hint="eastAsia" w:ascii="宋体" w:hAnsi="宋体"/>
          <w:highlight w:val="none"/>
        </w:rPr>
      </w:pPr>
      <w:r>
        <w:rPr>
          <w:rStyle w:val="59"/>
          <w:rFonts w:ascii="宋体" w:hAnsi="宋体"/>
          <w:highlight w:val="none"/>
        </w:rPr>
        <w:t>备注：1.本表投标单位根据实际情况可进行扩展；</w:t>
      </w:r>
    </w:p>
    <w:p>
      <w:pPr>
        <w:pStyle w:val="127"/>
        <w:spacing w:line="360" w:lineRule="auto"/>
        <w:rPr>
          <w:rStyle w:val="59"/>
          <w:rFonts w:hint="eastAsia" w:ascii="宋体" w:hAnsi="宋体"/>
          <w:kern w:val="2"/>
          <w:sz w:val="21"/>
          <w:szCs w:val="22"/>
          <w:highlight w:val="none"/>
        </w:rPr>
      </w:pPr>
      <w:r>
        <w:rPr>
          <w:rStyle w:val="59"/>
          <w:rFonts w:ascii="宋体" w:hAnsi="宋体"/>
          <w:kern w:val="2"/>
          <w:sz w:val="21"/>
          <w:szCs w:val="22"/>
          <w:highlight w:val="none"/>
        </w:rPr>
        <w:t xml:space="preserve">      2.后附</w:t>
      </w:r>
      <w:r>
        <w:rPr>
          <w:rStyle w:val="59"/>
          <w:rFonts w:hint="eastAsia" w:ascii="宋体" w:hAnsi="宋体"/>
          <w:kern w:val="2"/>
          <w:sz w:val="21"/>
          <w:szCs w:val="22"/>
          <w:highlight w:val="none"/>
        </w:rPr>
        <w:t>《技术标详细审查评分表》要求的</w:t>
      </w:r>
      <w:r>
        <w:rPr>
          <w:rStyle w:val="59"/>
          <w:rFonts w:ascii="宋体" w:hAnsi="宋体"/>
          <w:kern w:val="2"/>
          <w:sz w:val="21"/>
          <w:szCs w:val="22"/>
          <w:highlight w:val="none"/>
        </w:rPr>
        <w:t>人员相关证明资料。</w:t>
      </w:r>
    </w:p>
    <w:p>
      <w:pPr>
        <w:spacing w:line="360" w:lineRule="auto"/>
        <w:rPr>
          <w:rStyle w:val="59"/>
          <w:rFonts w:hint="eastAsia" w:ascii="宋体" w:hAnsi="宋体"/>
          <w:highlight w:val="none"/>
        </w:rPr>
      </w:pPr>
      <w:r>
        <w:rPr>
          <w:rStyle w:val="59"/>
          <w:rFonts w:ascii="宋体" w:hAnsi="宋体"/>
          <w:highlight w:val="none"/>
        </w:rPr>
        <w:br w:type="page"/>
      </w:r>
    </w:p>
    <w:p>
      <w:pPr>
        <w:topLinePunct/>
        <w:adjustRightInd w:val="0"/>
        <w:snapToGrid w:val="0"/>
        <w:spacing w:after="200" w:line="360" w:lineRule="auto"/>
        <w:jc w:val="center"/>
        <w:rPr>
          <w:b/>
          <w:bCs/>
          <w:spacing w:val="4"/>
          <w:kern w:val="0"/>
          <w:sz w:val="36"/>
          <w:szCs w:val="36"/>
          <w:highlight w:val="none"/>
        </w:rPr>
      </w:pPr>
      <w:r>
        <w:rPr>
          <w:rFonts w:hint="eastAsia"/>
          <w:b/>
          <w:bCs/>
          <w:spacing w:val="4"/>
          <w:kern w:val="0"/>
          <w:sz w:val="36"/>
          <w:szCs w:val="36"/>
          <w:highlight w:val="none"/>
        </w:rPr>
        <w:t>项目管理机构人员简历表</w:t>
      </w:r>
    </w:p>
    <w:tbl>
      <w:tblPr>
        <w:tblStyle w:val="28"/>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214"/>
        <w:gridCol w:w="330"/>
        <w:gridCol w:w="1100"/>
        <w:gridCol w:w="190"/>
        <w:gridCol w:w="1320"/>
        <w:gridCol w:w="176"/>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性别</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出生年月</w:t>
            </w:r>
          </w:p>
        </w:tc>
        <w:tc>
          <w:tcPr>
            <w:tcW w:w="1727"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学历</w:t>
            </w:r>
          </w:p>
          <w:p>
            <w:pPr>
              <w:jc w:val="center"/>
              <w:rPr>
                <w:b/>
                <w:kern w:val="0"/>
                <w:sz w:val="24"/>
                <w:szCs w:val="24"/>
                <w:highlight w:val="none"/>
                <w:lang w:eastAsia="en-US" w:bidi="en-US"/>
              </w:rPr>
            </w:pPr>
            <w:r>
              <w:rPr>
                <w:rFonts w:hint="eastAsia"/>
                <w:b/>
                <w:kern w:val="0"/>
                <w:sz w:val="24"/>
                <w:szCs w:val="24"/>
                <w:highlight w:val="none"/>
                <w:lang w:eastAsia="en-US" w:bidi="en-US"/>
              </w:rPr>
              <w:t>（学位）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参加工作</w:t>
            </w:r>
          </w:p>
          <w:p>
            <w:pPr>
              <w:jc w:val="center"/>
              <w:rPr>
                <w:b/>
                <w:kern w:val="0"/>
                <w:sz w:val="24"/>
                <w:szCs w:val="24"/>
                <w:highlight w:val="none"/>
                <w:lang w:eastAsia="en-US" w:bidi="en-US"/>
              </w:rPr>
            </w:pPr>
            <w:r>
              <w:rPr>
                <w:rFonts w:hint="eastAsia"/>
                <w:b/>
                <w:kern w:val="0"/>
                <w:sz w:val="24"/>
                <w:szCs w:val="24"/>
                <w:highlight w:val="none"/>
                <w:lang w:eastAsia="en-US" w:bidi="en-US"/>
              </w:rPr>
              <w:t>时间</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在本项目担任的职务</w:t>
            </w:r>
          </w:p>
        </w:tc>
        <w:tc>
          <w:tcPr>
            <w:tcW w:w="1727"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担任相应职务年限</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联系电话</w:t>
            </w:r>
          </w:p>
        </w:tc>
        <w:tc>
          <w:tcPr>
            <w:tcW w:w="1727"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身份证号码</w:t>
            </w:r>
          </w:p>
        </w:tc>
        <w:tc>
          <w:tcPr>
            <w:tcW w:w="7999" w:type="dxa"/>
            <w:gridSpan w:val="11"/>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职称</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c>
          <w:tcPr>
            <w:tcW w:w="1536" w:type="dxa"/>
            <w:gridSpan w:val="3"/>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bidi="en-US"/>
              </w:rPr>
            </w:pPr>
            <w:r>
              <w:rPr>
                <w:rFonts w:hint="eastAsia"/>
                <w:b/>
                <w:kern w:val="0"/>
                <w:sz w:val="24"/>
                <w:szCs w:val="24"/>
                <w:highlight w:val="none"/>
                <w:lang w:eastAsia="en-US" w:bidi="en-US"/>
              </w:rPr>
              <w:t>注册证</w:t>
            </w:r>
            <w:r>
              <w:rPr>
                <w:rFonts w:hint="eastAsia"/>
                <w:b/>
                <w:kern w:val="0"/>
                <w:sz w:val="24"/>
                <w:szCs w:val="24"/>
                <w:highlight w:val="none"/>
                <w:lang w:bidi="en-US"/>
              </w:rPr>
              <w:t>或资格证名称</w:t>
            </w:r>
          </w:p>
        </w:tc>
        <w:tc>
          <w:tcPr>
            <w:tcW w:w="4337" w:type="dxa"/>
            <w:gridSpan w:val="5"/>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bidi="en-US"/>
              </w:rPr>
            </w:pPr>
            <w:r>
              <w:rPr>
                <w:rFonts w:hint="eastAsia"/>
                <w:b/>
                <w:kern w:val="0"/>
                <w:sz w:val="24"/>
                <w:szCs w:val="24"/>
                <w:highlight w:val="none"/>
                <w:lang w:bidi="en-US"/>
              </w:rPr>
              <w:t>注册证或职称证</w:t>
            </w:r>
            <w:r>
              <w:rPr>
                <w:b/>
                <w:kern w:val="0"/>
                <w:sz w:val="24"/>
                <w:szCs w:val="24"/>
                <w:highlight w:val="none"/>
                <w:lang w:bidi="en-US"/>
              </w:rPr>
              <w:t>或</w:t>
            </w:r>
            <w:r>
              <w:rPr>
                <w:rFonts w:hint="eastAsia"/>
                <w:b/>
                <w:kern w:val="0"/>
                <w:sz w:val="24"/>
                <w:szCs w:val="24"/>
                <w:highlight w:val="none"/>
                <w:lang w:bidi="en-US"/>
              </w:rPr>
              <w:t>资格证证号</w:t>
            </w:r>
          </w:p>
        </w:tc>
        <w:tc>
          <w:tcPr>
            <w:tcW w:w="7999" w:type="dxa"/>
            <w:gridSpan w:val="11"/>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建设规模</w:t>
            </w:r>
          </w:p>
        </w:tc>
        <w:tc>
          <w:tcPr>
            <w:tcW w:w="1834" w:type="dxa"/>
            <w:gridSpan w:val="4"/>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开、竣工日期</w:t>
            </w:r>
          </w:p>
        </w:tc>
        <w:tc>
          <w:tcPr>
            <w:tcW w:w="1496" w:type="dxa"/>
            <w:gridSpan w:val="2"/>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b/>
                <w:kern w:val="0"/>
                <w:sz w:val="24"/>
                <w:szCs w:val="24"/>
                <w:highlight w:val="none"/>
                <w:lang w:eastAsia="en-US" w:bidi="en-US"/>
              </w:rPr>
            </w:pPr>
            <w:r>
              <w:rPr>
                <w:rFonts w:hint="eastAsia"/>
                <w:b/>
                <w:kern w:val="0"/>
                <w:sz w:val="24"/>
                <w:szCs w:val="24"/>
                <w:highlight w:val="none"/>
                <w:lang w:eastAsia="en-US" w:bidi="en-US"/>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834"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496"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834"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496"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b/>
                <w:snapToGrid w:val="0"/>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snapToGrid w:val="0"/>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snapToGrid w:val="0"/>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snapToGrid w:val="0"/>
                <w:spacing w:val="4"/>
                <w:sz w:val="24"/>
                <w:szCs w:val="24"/>
                <w:highlight w:val="none"/>
                <w:lang w:bidi="en-US"/>
              </w:rPr>
            </w:pPr>
          </w:p>
        </w:tc>
        <w:tc>
          <w:tcPr>
            <w:tcW w:w="1834"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snapToGrid w:val="0"/>
                <w:spacing w:val="4"/>
                <w:sz w:val="24"/>
                <w:szCs w:val="24"/>
                <w:highlight w:val="none"/>
                <w:lang w:bidi="en-US"/>
              </w:rPr>
            </w:pPr>
          </w:p>
        </w:tc>
        <w:tc>
          <w:tcPr>
            <w:tcW w:w="1496"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snapToGrid w:val="0"/>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jc w:val="center"/>
              <w:rPr>
                <w:rFonts w:eastAsia="等线"/>
                <w:snapToGrid w:val="0"/>
                <w:spacing w:val="4"/>
                <w:sz w:val="24"/>
                <w:szCs w:val="24"/>
                <w:highlight w:val="none"/>
                <w:lang w:bidi="en-US"/>
              </w:rPr>
            </w:pPr>
          </w:p>
        </w:tc>
      </w:tr>
    </w:tbl>
    <w:p>
      <w:pPr>
        <w:spacing w:line="360" w:lineRule="auto"/>
        <w:rPr>
          <w:rStyle w:val="59"/>
          <w:rFonts w:hint="eastAsia" w:ascii="宋体" w:hAnsi="宋体"/>
          <w:b/>
          <w:sz w:val="24"/>
          <w:szCs w:val="24"/>
          <w:highlight w:val="none"/>
        </w:rPr>
      </w:pPr>
      <w:r>
        <w:rPr>
          <w:rStyle w:val="59"/>
          <w:rFonts w:ascii="宋体" w:hAnsi="宋体"/>
          <w:b/>
          <w:sz w:val="24"/>
          <w:szCs w:val="24"/>
          <w:highlight w:val="none"/>
        </w:rPr>
        <w:br w:type="page"/>
      </w:r>
      <w:r>
        <w:rPr>
          <w:rStyle w:val="59"/>
          <w:rFonts w:ascii="宋体" w:hAnsi="宋体"/>
          <w:b/>
          <w:sz w:val="24"/>
          <w:szCs w:val="24"/>
          <w:highlight w:val="none"/>
        </w:rPr>
        <w:t>格式</w:t>
      </w:r>
      <w:r>
        <w:rPr>
          <w:rStyle w:val="59"/>
          <w:rFonts w:hint="eastAsia" w:ascii="宋体" w:hAnsi="宋体"/>
          <w:b/>
          <w:sz w:val="24"/>
          <w:szCs w:val="24"/>
          <w:highlight w:val="none"/>
        </w:rPr>
        <w:t>四：</w:t>
      </w:r>
    </w:p>
    <w:p>
      <w:pPr>
        <w:snapToGrid w:val="0"/>
        <w:spacing w:line="360" w:lineRule="auto"/>
        <w:jc w:val="center"/>
        <w:rPr>
          <w:rFonts w:hint="eastAsia" w:ascii="宋体" w:hAnsi="宋体"/>
          <w:b/>
          <w:sz w:val="30"/>
          <w:szCs w:val="30"/>
          <w:highlight w:val="none"/>
        </w:rPr>
      </w:pPr>
      <w:r>
        <w:rPr>
          <w:rFonts w:hint="eastAsia" w:ascii="宋体" w:hAnsi="宋体"/>
          <w:b/>
          <w:sz w:val="30"/>
          <w:szCs w:val="30"/>
          <w:highlight w:val="none"/>
        </w:rPr>
        <w:t>企业类似业绩及获奖一览表</w:t>
      </w:r>
    </w:p>
    <w:p>
      <w:pPr>
        <w:pStyle w:val="18"/>
        <w:rPr>
          <w:highlight w:val="none"/>
        </w:rPr>
      </w:pPr>
    </w:p>
    <w:tbl>
      <w:tblPr>
        <w:tblStyle w:val="28"/>
        <w:tblpPr w:leftFromText="180" w:rightFromText="180" w:vertAnchor="text" w:horzAnchor="margin" w:tblpXSpec="center" w:tblpY="-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53"/>
        <w:gridCol w:w="2431"/>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top w:val="single" w:color="auto" w:sz="4" w:space="0"/>
              <w:left w:val="single" w:color="auto" w:sz="4" w:space="0"/>
              <w:right w:val="single" w:color="auto" w:sz="4" w:space="0"/>
            </w:tcBorders>
            <w:vAlign w:val="center"/>
          </w:tcPr>
          <w:p>
            <w:pPr>
              <w:jc w:val="center"/>
              <w:rPr>
                <w:rStyle w:val="59"/>
                <w:highlight w:val="none"/>
              </w:rPr>
            </w:pPr>
            <w:r>
              <w:rPr>
                <w:rStyle w:val="59"/>
                <w:rFonts w:hint="eastAsia"/>
                <w:highlight w:val="none"/>
              </w:rPr>
              <w:t>类似工程业绩</w:t>
            </w:r>
          </w:p>
        </w:tc>
        <w:tc>
          <w:tcPr>
            <w:tcW w:w="1953" w:type="dxa"/>
            <w:tcBorders>
              <w:top w:val="single" w:color="auto" w:sz="4" w:space="0"/>
              <w:left w:val="single" w:color="auto" w:sz="4" w:space="0"/>
              <w:right w:val="single" w:color="auto" w:sz="4" w:space="0"/>
            </w:tcBorders>
            <w:vAlign w:val="center"/>
          </w:tcPr>
          <w:p>
            <w:pPr>
              <w:autoSpaceDE w:val="0"/>
              <w:autoSpaceDN w:val="0"/>
              <w:adjustRightInd w:val="0"/>
              <w:jc w:val="center"/>
              <w:rPr>
                <w:rStyle w:val="59"/>
                <w:highlight w:val="none"/>
              </w:rPr>
            </w:pPr>
            <w:r>
              <w:rPr>
                <w:rStyle w:val="59"/>
                <w:rFonts w:hint="eastAsia"/>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r>
              <w:rPr>
                <w:rStyle w:val="59"/>
                <w:rFonts w:hint="eastAsia"/>
                <w:highlight w:val="none"/>
              </w:rPr>
              <w:t xml:space="preserve"> 中标金额</w:t>
            </w: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59"/>
                <w:highlight w:val="none"/>
              </w:rPr>
            </w:pPr>
          </w:p>
        </w:tc>
        <w:tc>
          <w:tcPr>
            <w:tcW w:w="1953" w:type="dxa"/>
            <w:tcBorders>
              <w:left w:val="single" w:color="auto" w:sz="4" w:space="0"/>
              <w:right w:val="single" w:color="auto" w:sz="4" w:space="0"/>
            </w:tcBorders>
            <w:vAlign w:val="center"/>
          </w:tcPr>
          <w:p>
            <w:pPr>
              <w:autoSpaceDE w:val="0"/>
              <w:autoSpaceDN w:val="0"/>
              <w:adjustRightInd w:val="0"/>
              <w:jc w:val="center"/>
              <w:rPr>
                <w:rStyle w:val="59"/>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59"/>
                <w:highlight w:val="none"/>
              </w:rPr>
            </w:pPr>
          </w:p>
        </w:tc>
        <w:tc>
          <w:tcPr>
            <w:tcW w:w="1953" w:type="dxa"/>
            <w:tcBorders>
              <w:left w:val="single" w:color="auto" w:sz="4" w:space="0"/>
              <w:right w:val="single" w:color="auto" w:sz="4" w:space="0"/>
            </w:tcBorders>
            <w:vAlign w:val="center"/>
          </w:tcPr>
          <w:p>
            <w:pPr>
              <w:autoSpaceDE w:val="0"/>
              <w:autoSpaceDN w:val="0"/>
              <w:adjustRightInd w:val="0"/>
              <w:jc w:val="center"/>
              <w:rPr>
                <w:rStyle w:val="59"/>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restart"/>
            <w:tcBorders>
              <w:left w:val="single" w:color="auto" w:sz="4" w:space="0"/>
              <w:right w:val="single" w:color="auto" w:sz="4" w:space="0"/>
            </w:tcBorders>
            <w:vAlign w:val="center"/>
          </w:tcPr>
          <w:p>
            <w:pPr>
              <w:jc w:val="center"/>
              <w:rPr>
                <w:rStyle w:val="59"/>
                <w:highlight w:val="none"/>
              </w:rPr>
            </w:pPr>
            <w:r>
              <w:rPr>
                <w:rStyle w:val="59"/>
                <w:rFonts w:hint="eastAsia"/>
                <w:highlight w:val="none"/>
              </w:rPr>
              <w:t>获奖情况</w:t>
            </w:r>
          </w:p>
        </w:tc>
        <w:tc>
          <w:tcPr>
            <w:tcW w:w="1953" w:type="dxa"/>
            <w:tcBorders>
              <w:left w:val="single" w:color="auto" w:sz="4" w:space="0"/>
              <w:right w:val="single" w:color="auto" w:sz="4" w:space="0"/>
            </w:tcBorders>
            <w:vAlign w:val="center"/>
          </w:tcPr>
          <w:p>
            <w:pPr>
              <w:autoSpaceDE w:val="0"/>
              <w:autoSpaceDN w:val="0"/>
              <w:adjustRightInd w:val="0"/>
              <w:jc w:val="center"/>
              <w:rPr>
                <w:rStyle w:val="59"/>
                <w:highlight w:val="none"/>
              </w:rPr>
            </w:pPr>
            <w:r>
              <w:rPr>
                <w:rStyle w:val="59"/>
                <w:rFonts w:hint="eastAsia"/>
                <w:highlight w:val="none"/>
              </w:rPr>
              <w:t>工程名称</w:t>
            </w: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r>
              <w:rPr>
                <w:rStyle w:val="59"/>
                <w:rFonts w:hint="eastAsia"/>
                <w:highlight w:val="none"/>
              </w:rPr>
              <w:t>所获奖项</w:t>
            </w: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Style w:val="59"/>
                <w:highlight w:val="none"/>
              </w:rPr>
            </w:pPr>
          </w:p>
        </w:tc>
        <w:tc>
          <w:tcPr>
            <w:tcW w:w="1953" w:type="dxa"/>
            <w:tcBorders>
              <w:left w:val="single" w:color="auto" w:sz="4" w:space="0"/>
              <w:right w:val="single" w:color="auto" w:sz="4" w:space="0"/>
            </w:tcBorders>
          </w:tcPr>
          <w:p>
            <w:pPr>
              <w:autoSpaceDE w:val="0"/>
              <w:autoSpaceDN w:val="0"/>
              <w:adjustRightInd w:val="0"/>
              <w:jc w:val="center"/>
              <w:rPr>
                <w:rStyle w:val="59"/>
                <w:highlight w:val="none"/>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Style w:val="5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1" w:type="dxa"/>
            <w:vMerge w:val="continue"/>
            <w:tcBorders>
              <w:left w:val="single" w:color="auto" w:sz="4" w:space="0"/>
              <w:right w:val="single" w:color="auto" w:sz="4" w:space="0"/>
            </w:tcBorders>
            <w:vAlign w:val="center"/>
          </w:tcPr>
          <w:p>
            <w:pPr>
              <w:jc w:val="center"/>
              <w:rPr>
                <w:rFonts w:hint="eastAsia" w:ascii="宋体" w:hAnsi="宋体" w:cs="宋体"/>
                <w:bCs/>
                <w:sz w:val="24"/>
                <w:szCs w:val="24"/>
                <w:highlight w:val="none"/>
                <w:lang w:val="zh-CN"/>
              </w:rPr>
            </w:pPr>
          </w:p>
        </w:tc>
        <w:tc>
          <w:tcPr>
            <w:tcW w:w="1953" w:type="dxa"/>
            <w:tcBorders>
              <w:left w:val="single" w:color="auto" w:sz="4" w:space="0"/>
              <w:right w:val="single" w:color="auto" w:sz="4" w:space="0"/>
            </w:tcBorders>
          </w:tcPr>
          <w:p>
            <w:pPr>
              <w:autoSpaceDE w:val="0"/>
              <w:autoSpaceDN w:val="0"/>
              <w:adjustRightInd w:val="0"/>
              <w:jc w:val="center"/>
              <w:rPr>
                <w:rFonts w:hint="eastAsia" w:ascii="宋体" w:hAnsi="宋体" w:cs="宋体"/>
                <w:bCs/>
                <w:sz w:val="24"/>
                <w:szCs w:val="24"/>
                <w:highlight w:val="none"/>
                <w:lang w:val="zh-CN"/>
              </w:rPr>
            </w:pPr>
          </w:p>
        </w:tc>
        <w:tc>
          <w:tcPr>
            <w:tcW w:w="24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4"/>
                <w:szCs w:val="24"/>
                <w:highlight w:val="none"/>
                <w:lang w:val="zh-CN"/>
              </w:rPr>
            </w:pPr>
          </w:p>
        </w:tc>
        <w:tc>
          <w:tcPr>
            <w:tcW w:w="3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sz w:val="24"/>
                <w:szCs w:val="24"/>
                <w:highlight w:val="none"/>
                <w:lang w:val="zh-CN"/>
              </w:rPr>
            </w:pPr>
          </w:p>
        </w:tc>
      </w:tr>
    </w:tbl>
    <w:p>
      <w:pPr>
        <w:pStyle w:val="18"/>
        <w:rPr>
          <w:highlight w:val="none"/>
        </w:rPr>
      </w:pPr>
    </w:p>
    <w:p>
      <w:pPr>
        <w:pStyle w:val="18"/>
        <w:rPr>
          <w:highlight w:val="none"/>
        </w:rPr>
      </w:pPr>
    </w:p>
    <w:p>
      <w:pPr>
        <w:pStyle w:val="135"/>
        <w:rPr>
          <w:rFonts w:hint="eastAsia" w:ascii="宋体" w:hAnsi="宋体"/>
          <w:highlight w:val="none"/>
        </w:rPr>
      </w:pPr>
    </w:p>
    <w:p>
      <w:pPr>
        <w:pStyle w:val="135"/>
        <w:rPr>
          <w:rFonts w:hint="eastAsia" w:ascii="宋体" w:hAnsi="宋体"/>
          <w:highlight w:val="none"/>
        </w:rPr>
      </w:pPr>
    </w:p>
    <w:p>
      <w:pPr>
        <w:rPr>
          <w:rStyle w:val="59"/>
          <w:rFonts w:hint="eastAsia" w:ascii="宋体" w:hAnsi="宋体"/>
          <w:b/>
          <w:highlight w:val="none"/>
        </w:rPr>
      </w:pPr>
      <w:r>
        <w:rPr>
          <w:rStyle w:val="59"/>
          <w:rFonts w:ascii="宋体" w:hAnsi="宋体"/>
          <w:highlight w:val="none"/>
        </w:rPr>
        <w:br w:type="page"/>
      </w:r>
      <w:r>
        <w:rPr>
          <w:rStyle w:val="59"/>
          <w:rFonts w:ascii="宋体" w:hAnsi="宋体"/>
          <w:b/>
          <w:sz w:val="24"/>
          <w:szCs w:val="24"/>
          <w:highlight w:val="none"/>
        </w:rPr>
        <w:t>格式</w:t>
      </w:r>
      <w:r>
        <w:rPr>
          <w:rStyle w:val="59"/>
          <w:rFonts w:hint="eastAsia" w:ascii="宋体" w:hAnsi="宋体"/>
          <w:b/>
          <w:sz w:val="24"/>
          <w:szCs w:val="24"/>
          <w:highlight w:val="none"/>
        </w:rPr>
        <w:t>五：</w:t>
      </w:r>
    </w:p>
    <w:p>
      <w:pPr>
        <w:topLinePunct/>
        <w:snapToGrid w:val="0"/>
        <w:spacing w:after="200" w:line="360" w:lineRule="auto"/>
        <w:ind w:firstLine="420"/>
        <w:jc w:val="center"/>
        <w:rPr>
          <w:rStyle w:val="59"/>
          <w:rFonts w:hint="eastAsia" w:ascii="宋体" w:hAnsi="宋体"/>
          <w:b/>
          <w:bCs/>
          <w:spacing w:val="4"/>
          <w:kern w:val="0"/>
          <w:sz w:val="30"/>
          <w:szCs w:val="30"/>
          <w:highlight w:val="none"/>
        </w:rPr>
      </w:pPr>
      <w:r>
        <w:rPr>
          <w:rStyle w:val="59"/>
          <w:rFonts w:ascii="宋体" w:hAnsi="宋体"/>
          <w:b/>
          <w:bCs/>
          <w:spacing w:val="4"/>
          <w:kern w:val="0"/>
          <w:sz w:val="30"/>
          <w:szCs w:val="30"/>
          <w:highlight w:val="none"/>
        </w:rPr>
        <w:t>参与编制技术标投标文件人员名单</w:t>
      </w:r>
    </w:p>
    <w:tbl>
      <w:tblPr>
        <w:tblStyle w:val="2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2"/>
        <w:gridCol w:w="2353"/>
        <w:gridCol w:w="2256"/>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姓名</w:t>
            </w: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职务</w:t>
            </w: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所承担工作</w:t>
            </w: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身份证号码</w:t>
            </w: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bl>
    <w:p>
      <w:pPr>
        <w:spacing w:line="360" w:lineRule="auto"/>
        <w:ind w:firstLine="496"/>
        <w:jc w:val="left"/>
        <w:rPr>
          <w:rStyle w:val="59"/>
          <w:rFonts w:hint="eastAsia" w:ascii="宋体" w:hAnsi="宋体"/>
          <w:spacing w:val="4"/>
          <w:kern w:val="0"/>
          <w:sz w:val="24"/>
          <w:szCs w:val="24"/>
          <w:highlight w:val="none"/>
        </w:rPr>
      </w:pPr>
      <w:r>
        <w:rPr>
          <w:rStyle w:val="59"/>
          <w:rFonts w:ascii="宋体" w:hAnsi="宋体"/>
          <w:spacing w:val="4"/>
          <w:kern w:val="0"/>
          <w:sz w:val="24"/>
          <w:szCs w:val="24"/>
          <w:highlight w:val="none"/>
        </w:rPr>
        <w:t>注：参与编制技术标书所有人员名单应包括如编制技术投标方案、负责清样校对、负责打印及复印等所有人员在内的人员名单。</w:t>
      </w:r>
    </w:p>
    <w:p>
      <w:pPr>
        <w:pStyle w:val="135"/>
        <w:rPr>
          <w:rFonts w:hint="eastAsia" w:ascii="宋体" w:hAnsi="宋体"/>
          <w:highlight w:val="none"/>
        </w:rPr>
      </w:pPr>
    </w:p>
    <w:p>
      <w:pPr>
        <w:autoSpaceDE w:val="0"/>
        <w:autoSpaceDN w:val="0"/>
        <w:adjustRightInd w:val="0"/>
        <w:rPr>
          <w:rFonts w:hint="eastAsia" w:ascii="宋体" w:hAnsi="宋体"/>
          <w:highlight w:val="none"/>
        </w:rPr>
      </w:pPr>
      <w:r>
        <w:rPr>
          <w:rFonts w:ascii="宋体" w:hAnsi="宋体"/>
          <w:highlight w:val="none"/>
        </w:rPr>
        <w:br w:type="page"/>
      </w:r>
    </w:p>
    <w:p>
      <w:pPr>
        <w:autoSpaceDE w:val="0"/>
        <w:autoSpaceDN w:val="0"/>
        <w:adjustRightInd w:val="0"/>
        <w:rPr>
          <w:rStyle w:val="59"/>
          <w:rFonts w:hint="eastAsia" w:ascii="宋体" w:hAnsi="宋体"/>
          <w:highlight w:val="none"/>
        </w:rPr>
      </w:pPr>
      <w:r>
        <w:rPr>
          <w:rStyle w:val="59"/>
          <w:rFonts w:hint="eastAsia" w:ascii="宋体" w:hAnsi="宋体"/>
          <w:b/>
          <w:sz w:val="24"/>
          <w:szCs w:val="24"/>
          <w:highlight w:val="none"/>
        </w:rPr>
        <w:t>格式六：</w:t>
      </w:r>
    </w:p>
    <w:p>
      <w:pPr>
        <w:pStyle w:val="157"/>
        <w:spacing w:before="156" w:beforeLines="50" w:after="156" w:line="240" w:lineRule="auto"/>
        <w:rPr>
          <w:rStyle w:val="59"/>
          <w:bCs/>
          <w:sz w:val="30"/>
          <w:szCs w:val="30"/>
          <w:highlight w:val="none"/>
        </w:rPr>
      </w:pPr>
      <w:r>
        <w:rPr>
          <w:rStyle w:val="59"/>
          <w:rFonts w:hint="eastAsia"/>
          <w:bCs/>
          <w:sz w:val="30"/>
          <w:szCs w:val="30"/>
          <w:highlight w:val="none"/>
        </w:rPr>
        <w:t>危险性较大的分部分项工程清单及</w:t>
      </w:r>
    </w:p>
    <w:p>
      <w:pPr>
        <w:pStyle w:val="157"/>
        <w:spacing w:before="156" w:beforeLines="50" w:after="156" w:line="240" w:lineRule="auto"/>
        <w:rPr>
          <w:rStyle w:val="59"/>
          <w:bCs/>
          <w:sz w:val="30"/>
          <w:szCs w:val="30"/>
          <w:highlight w:val="none"/>
        </w:rPr>
      </w:pPr>
      <w:r>
        <w:rPr>
          <w:rStyle w:val="59"/>
          <w:rFonts w:hint="eastAsia"/>
          <w:bCs/>
          <w:sz w:val="30"/>
          <w:szCs w:val="30"/>
          <w:highlight w:val="none"/>
        </w:rPr>
        <w:t>超过一定规模的危险性较大的分部分项工程清单</w:t>
      </w:r>
    </w:p>
    <w:p>
      <w:pPr>
        <w:widowControl w:val="0"/>
        <w:autoSpaceDE w:val="0"/>
        <w:autoSpaceDN w:val="0"/>
        <w:adjustRightInd w:val="0"/>
        <w:spacing w:line="276"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pPr>
        <w:widowControl w:val="0"/>
        <w:autoSpaceDE w:val="0"/>
        <w:autoSpaceDN w:val="0"/>
        <w:adjustRightInd w:val="0"/>
        <w:spacing w:line="276"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2.招标人根据设计文件的要求及37号文的规定列出“危险性较大的分部分项工程清单及超过一定规模的危险性较大的分部分项工程清单”中与本招标项目相关的清单项，具体详见第5点“打√”标识。</w:t>
      </w:r>
    </w:p>
    <w:p>
      <w:pPr>
        <w:widowControl w:val="0"/>
        <w:autoSpaceDE w:val="0"/>
        <w:autoSpaceDN w:val="0"/>
        <w:adjustRightInd w:val="0"/>
        <w:spacing w:line="276"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（1）投标单位同意建设单位在清单中标识的该项请在对应项打“√”标识，并与投标文件中提供相应的安全管理措施。</w:t>
      </w:r>
    </w:p>
    <w:p>
      <w:pPr>
        <w:widowControl w:val="0"/>
        <w:autoSpaceDE w:val="0"/>
        <w:autoSpaceDN w:val="0"/>
        <w:adjustRightInd w:val="0"/>
        <w:spacing w:line="276"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（2）投标单位对清单中认为需要补充的该项请在对应项打“√”标识，并与投标文件中提供相应的安全管理措施。</w:t>
      </w:r>
    </w:p>
    <w:p>
      <w:pPr>
        <w:widowControl w:val="0"/>
        <w:autoSpaceDE w:val="0"/>
        <w:autoSpaceDN w:val="0"/>
        <w:adjustRightInd w:val="0"/>
        <w:spacing w:line="276"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（3）投标单位不同意建设单位在清单中标识的该项请在对应项打“×”标识，并在备注栏填上相关说明。</w:t>
      </w:r>
    </w:p>
    <w:p>
      <w:pPr>
        <w:widowControl w:val="0"/>
        <w:autoSpaceDE w:val="0"/>
        <w:autoSpaceDN w:val="0"/>
        <w:adjustRightInd w:val="0"/>
        <w:spacing w:line="276"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3.投标单位中标后应当根据招标人提供的下述第5点清单，在</w:t>
      </w:r>
      <w:r>
        <w:rPr>
          <w:rStyle w:val="34"/>
          <w:rFonts w:hint="eastAsia"/>
          <w:highlight w:val="none"/>
        </w:rPr>
        <w:t>施工前</w:t>
      </w:r>
      <w:r>
        <w:rPr>
          <w:rFonts w:hint="eastAsia" w:ascii="宋体" w:hAnsi="宋体" w:cs="宋体"/>
          <w:szCs w:val="21"/>
          <w:highlight w:val="none"/>
        </w:rPr>
        <w:t>编制专项施工方案。</w:t>
      </w:r>
    </w:p>
    <w:p>
      <w:pPr>
        <w:widowControl w:val="0"/>
        <w:autoSpaceDE w:val="0"/>
        <w:autoSpaceDN w:val="0"/>
        <w:adjustRightInd w:val="0"/>
        <w:spacing w:line="276"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widowControl w:val="0"/>
        <w:autoSpaceDE w:val="0"/>
        <w:autoSpaceDN w:val="0"/>
        <w:adjustRightInd w:val="0"/>
        <w:spacing w:line="276"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5.危险性较大的分部分项工程清单及超过一定规模的危险性较大的分部分项工程清单：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6"/>
        <w:gridCol w:w="1122"/>
        <w:gridCol w:w="1131"/>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b/>
                <w:szCs w:val="21"/>
                <w:highlight w:val="none"/>
              </w:rPr>
            </w:pPr>
            <w:r>
              <w:rPr>
                <w:rFonts w:hint="eastAsia" w:ascii="宋体" w:hAnsi="宋体" w:cs="宋体"/>
                <w:b/>
                <w:szCs w:val="21"/>
                <w:highlight w:val="none"/>
              </w:rPr>
              <w:t>一、危险性较大的分部分项工程清单</w:t>
            </w:r>
          </w:p>
        </w:tc>
        <w:tc>
          <w:tcPr>
            <w:tcW w:w="1122" w:type="dxa"/>
            <w:noWrap/>
            <w:vAlign w:val="center"/>
          </w:tcPr>
          <w:p>
            <w:pPr>
              <w:adjustRightInd w:val="0"/>
              <w:snapToGrid w:val="0"/>
              <w:spacing w:line="276" w:lineRule="auto"/>
              <w:jc w:val="center"/>
              <w:rPr>
                <w:rFonts w:hint="eastAsia" w:ascii="宋体" w:hAnsi="宋体" w:cs="宋体"/>
                <w:b/>
                <w:szCs w:val="21"/>
                <w:highlight w:val="none"/>
              </w:rPr>
            </w:pPr>
            <w:r>
              <w:rPr>
                <w:rFonts w:hint="eastAsia" w:ascii="宋体" w:hAnsi="宋体" w:cs="宋体"/>
                <w:b/>
                <w:szCs w:val="21"/>
                <w:highlight w:val="none"/>
              </w:rPr>
              <w:t>建设单位</w:t>
            </w:r>
          </w:p>
        </w:tc>
        <w:tc>
          <w:tcPr>
            <w:tcW w:w="1131" w:type="dxa"/>
            <w:noWrap/>
            <w:vAlign w:val="center"/>
          </w:tcPr>
          <w:p>
            <w:pPr>
              <w:adjustRightInd w:val="0"/>
              <w:snapToGrid w:val="0"/>
              <w:spacing w:line="276" w:lineRule="auto"/>
              <w:jc w:val="center"/>
              <w:rPr>
                <w:rFonts w:hint="eastAsia" w:ascii="宋体" w:hAnsi="宋体" w:cs="宋体"/>
                <w:b/>
                <w:szCs w:val="21"/>
                <w:highlight w:val="none"/>
              </w:rPr>
            </w:pPr>
            <w:r>
              <w:rPr>
                <w:rFonts w:hint="eastAsia" w:ascii="宋体" w:hAnsi="宋体" w:cs="宋体"/>
                <w:b/>
                <w:szCs w:val="21"/>
                <w:highlight w:val="none"/>
              </w:rPr>
              <w:t>投标单位</w:t>
            </w:r>
          </w:p>
        </w:tc>
        <w:tc>
          <w:tcPr>
            <w:tcW w:w="714" w:type="dxa"/>
            <w:noWrap/>
            <w:vAlign w:val="center"/>
          </w:tcPr>
          <w:p>
            <w:pPr>
              <w:adjustRightInd w:val="0"/>
              <w:snapToGrid w:val="0"/>
              <w:spacing w:line="276" w:lineRule="auto"/>
              <w:jc w:val="center"/>
              <w:rPr>
                <w:rFonts w:hint="eastAsia" w:ascii="宋体" w:hAnsi="宋体" w:cs="宋体"/>
                <w:b/>
                <w:szCs w:val="21"/>
                <w:highlight w:val="none"/>
              </w:rPr>
            </w:pPr>
            <w:r>
              <w:rPr>
                <w:rFonts w:hint="eastAsia" w:ascii="宋体" w:hAnsi="宋体" w:cs="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一、基坑支护</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（一）开挖深度超过3m（含3m）的基坑（槽）的土方开挖、支护、降水工程。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（二）开挖深度虽未超过3m，但地质条件、周围环境和地下管线复杂，或影响毗邻建、构筑物安全的基坑（槽）的土方开挖、支护、降水工程。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二、模板工程及支撑体系</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（一）各类工具式模板工程：包括滑模、爬模、飞模、隧道模等工程。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（三）承重支撑体系：用于钢结构安装等满堂支撑体系。</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三、起重吊装及起重机械安装拆卸工程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（一）采用非常规起重设备、方法，且单件起吊重量在10kN及以上的起重吊装工程。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（二）采用起重机械进行安装的工程。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（三）起重机械安装和拆卸工程。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四、脚手架工程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（一）搭设高度24m及以上的落地式钢管脚手架工程（包括采光井、电梯井脚手架）。</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（二）附着式升降脚手架工程。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（三）悬挑式脚手架工程。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（四）高处作业吊篮。</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（五）卸料平台、操作平台工程。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（六）异型脚手架工程。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五、拆除工程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可能影响行人、交通、电力设施、通讯设施或其它建、构筑物安全的拆除工程。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六、暗挖工程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采用矿山法、盾构法、顶管法施工的隧道、洞室工程。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七、其它</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（一）建筑幕墙安装工程。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（二）钢结构、网架和索膜结构安装工程。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（三）人工挖孔桩工程。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（四）水下作业工程。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（五）装配式建筑混凝土预制构件安装工程。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（六）采用新技术、新工艺、新材料、新设备可能影响工程施工安全，尚无国家、行业及地方技术标准的分部分项工程。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b/>
                <w:szCs w:val="21"/>
                <w:highlight w:val="none"/>
              </w:rPr>
            </w:pPr>
            <w:r>
              <w:rPr>
                <w:rFonts w:hint="eastAsia" w:ascii="宋体" w:hAnsi="宋体" w:cs="宋体"/>
                <w:b/>
                <w:bCs/>
                <w:szCs w:val="21"/>
                <w:highlight w:val="none"/>
              </w:rPr>
              <w:t>二、超过一定规模的危险性较大的分部分项工程清单</w:t>
            </w:r>
          </w:p>
        </w:tc>
        <w:tc>
          <w:tcPr>
            <w:tcW w:w="1122" w:type="dxa"/>
            <w:noWrap/>
            <w:vAlign w:val="center"/>
          </w:tcPr>
          <w:p>
            <w:pPr>
              <w:adjustRightInd w:val="0"/>
              <w:snapToGrid w:val="0"/>
              <w:spacing w:line="276" w:lineRule="auto"/>
              <w:jc w:val="center"/>
              <w:rPr>
                <w:rFonts w:hint="eastAsia" w:ascii="宋体" w:hAnsi="宋体" w:cs="宋体"/>
                <w:szCs w:val="21"/>
                <w:highlight w:val="none"/>
              </w:rPr>
            </w:pPr>
          </w:p>
        </w:tc>
        <w:tc>
          <w:tcPr>
            <w:tcW w:w="1131" w:type="dxa"/>
            <w:noWrap/>
            <w:vAlign w:val="center"/>
          </w:tcPr>
          <w:p>
            <w:pPr>
              <w:adjustRightInd w:val="0"/>
              <w:snapToGrid w:val="0"/>
              <w:spacing w:line="276" w:lineRule="auto"/>
              <w:jc w:val="center"/>
              <w:rPr>
                <w:rFonts w:hint="eastAsia" w:ascii="宋体" w:hAnsi="宋体" w:cs="宋体"/>
                <w:szCs w:val="21"/>
                <w:highlight w:val="none"/>
              </w:rPr>
            </w:pP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一、深基坑工程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开挖深度超过5m（含5m）的基坑（槽）的土方开挖、支护、降水工程。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ind w:firstLine="48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二、模板工程及支撑体系</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ind w:firstLine="48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（一）各类工具式模板工程：包括滑模、爬模、飞模、隧道模等工程。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ind w:firstLine="48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（二）混凝土模板支撑工程：搭设高度8m及以上，或搭设跨度18m及以上，或施工总荷载（设计值）15kN/m2及以上，或集中线荷载（设计值）20kN/m及以上。</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（三）承重支撑体系：用于钢结构安装等满堂支撑体系，承受单点集中荷载7kN及以上。</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三、起重吊装及起重机械安装拆卸工程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（一）采用非常规起重设备、方法，且单件起吊重量在100kN及以上的起重吊装工程。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（二）起重量300kN及以上，或搭设总高度200m及以上，或搭设基础标高在200m及以上的起重机械安装和拆卸工程。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四、脚手架工程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（一）搭设高度50m及以上的落地式钢管脚手架工程。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（二）提升高度在150m及以上的附着式升降脚手架工程或附着式升降操作平台工程。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（三）分段架体搭设高度20m及以上的悬挑式脚手架工程。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五、拆除工程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（一）码头、桥梁、高架、烟囱、水塔或拆除中容易引起有毒有害气（液）体或粉尘扩散、易燃易爆事故发生的特殊建、构筑物的拆除工程。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（二）文物保护建筑、优秀历史建筑或历史文化风貌区影响范围内的拆除工程。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六、暗挖工程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采用矿山法、盾构法、顶管法施工的隧道、洞室工程。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七、其它</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（一）施工高度50m及以上的建筑幕墙安装工程。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（二）跨度36m及以上的钢结构安装工程，或跨度60m及以上的网架和索膜结构安装工程。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（三）开挖深度16m及以上的人工挖孔桩工程。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（四）水下作业工程。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（五）重量1000kN及以上的大型结构整体顶升、平移、转体等施工工艺。</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6" w:type="dxa"/>
            <w:noWrap/>
            <w:vAlign w:val="center"/>
          </w:tcPr>
          <w:p>
            <w:pPr>
              <w:adjustRightInd w:val="0"/>
              <w:snapToGrid w:val="0"/>
              <w:spacing w:line="276" w:lineRule="auto"/>
              <w:rPr>
                <w:rFonts w:hint="eastAsia" w:ascii="宋体" w:hAnsi="宋体" w:cs="宋体"/>
                <w:szCs w:val="21"/>
                <w:highlight w:val="none"/>
              </w:rPr>
            </w:pPr>
            <w:r>
              <w:rPr>
                <w:rFonts w:hint="eastAsia" w:ascii="宋体" w:hAnsi="宋体" w:cs="宋体"/>
                <w:szCs w:val="21"/>
                <w:highlight w:val="none"/>
              </w:rPr>
              <w:t>（六）采用新技术、新工艺、新材料、新设备可能影响工程施工安全，尚无国家、行业及地方技术标准的分部分项工程。</w:t>
            </w:r>
          </w:p>
        </w:tc>
        <w:tc>
          <w:tcPr>
            <w:tcW w:w="1122"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1131" w:type="dxa"/>
            <w:noWrap/>
            <w:vAlign w:val="center"/>
          </w:tcPr>
          <w:p>
            <w:pPr>
              <w:adjustRightInd w:val="0"/>
              <w:snapToGrid w:val="0"/>
              <w:spacing w:line="276" w:lineRule="auto"/>
              <w:jc w:val="center"/>
              <w:rPr>
                <w:rFonts w:hint="eastAsia" w:ascii="宋体" w:hAnsi="宋体" w:cs="宋体"/>
                <w:szCs w:val="21"/>
                <w:highlight w:val="none"/>
              </w:rPr>
            </w:pPr>
            <w:r>
              <w:rPr>
                <w:rFonts w:hint="eastAsia" w:ascii="宋体" w:hAnsi="宋体" w:cs="宋体"/>
                <w:szCs w:val="21"/>
                <w:highlight w:val="none"/>
              </w:rPr>
              <w:t>(    )</w:t>
            </w:r>
          </w:p>
        </w:tc>
        <w:tc>
          <w:tcPr>
            <w:tcW w:w="714" w:type="dxa"/>
            <w:noWrap/>
            <w:vAlign w:val="center"/>
          </w:tcPr>
          <w:p>
            <w:pPr>
              <w:adjustRightInd w:val="0"/>
              <w:snapToGrid w:val="0"/>
              <w:spacing w:line="276" w:lineRule="auto"/>
              <w:rPr>
                <w:rFonts w:hint="eastAsia" w:ascii="宋体" w:hAnsi="宋体" w:cs="宋体"/>
                <w:szCs w:val="21"/>
                <w:highlight w:val="none"/>
              </w:rPr>
            </w:pPr>
          </w:p>
        </w:tc>
      </w:tr>
    </w:tbl>
    <w:p>
      <w:pPr>
        <w:adjustRightInd w:val="0"/>
        <w:snapToGrid w:val="0"/>
        <w:spacing w:line="276" w:lineRule="auto"/>
        <w:ind w:firstLine="3000" w:firstLineChars="1250"/>
        <w:rPr>
          <w:rFonts w:hint="eastAsia" w:ascii="宋体" w:hAnsi="宋体" w:cs="宋体"/>
          <w:sz w:val="24"/>
          <w:szCs w:val="20"/>
          <w:highlight w:val="none"/>
        </w:rPr>
      </w:pPr>
    </w:p>
    <w:p>
      <w:pPr>
        <w:spacing w:line="276" w:lineRule="auto"/>
        <w:jc w:val="center"/>
        <w:rPr>
          <w:rFonts w:hint="eastAsia" w:ascii="宋体" w:hAnsi="宋体" w:cs="宋体"/>
          <w:sz w:val="24"/>
          <w:szCs w:val="20"/>
          <w:highlight w:val="none"/>
          <w:u w:val="single"/>
        </w:rPr>
      </w:pPr>
      <w:r>
        <w:rPr>
          <w:rFonts w:hint="eastAsia" w:ascii="宋体" w:hAnsi="宋体" w:cs="宋体"/>
          <w:sz w:val="24"/>
          <w:szCs w:val="20"/>
          <w:highlight w:val="none"/>
        </w:rPr>
        <w:t xml:space="preserve">                       投标人名称（盖法人公章）：</w:t>
      </w:r>
    </w:p>
    <w:p>
      <w:pPr>
        <w:spacing w:line="276" w:lineRule="auto"/>
        <w:jc w:val="center"/>
        <w:rPr>
          <w:rFonts w:hint="eastAsia" w:ascii="宋体" w:hAnsi="宋体" w:cs="宋体"/>
          <w:sz w:val="24"/>
          <w:szCs w:val="20"/>
          <w:highlight w:val="none"/>
        </w:rPr>
      </w:pPr>
      <w:r>
        <w:rPr>
          <w:rFonts w:hint="eastAsia" w:ascii="宋体" w:hAnsi="宋体" w:cs="宋体"/>
          <w:sz w:val="24"/>
          <w:szCs w:val="20"/>
          <w:highlight w:val="none"/>
        </w:rPr>
        <w:t xml:space="preserve">                                </w:t>
      </w:r>
    </w:p>
    <w:p>
      <w:pPr>
        <w:pStyle w:val="24"/>
        <w:shd w:val="clear" w:color="auto" w:fill="FFFFFF"/>
        <w:spacing w:line="276" w:lineRule="auto"/>
        <w:jc w:val="center"/>
        <w:rPr>
          <w:rFonts w:hint="eastAsia" w:ascii="宋体" w:hAnsi="宋体" w:eastAsia="宋体"/>
          <w:szCs w:val="20"/>
          <w:highlight w:val="none"/>
        </w:rPr>
      </w:pPr>
      <w:r>
        <w:rPr>
          <w:rFonts w:hint="eastAsia" w:ascii="宋体" w:hAnsi="宋体" w:eastAsia="宋体"/>
          <w:szCs w:val="20"/>
          <w:highlight w:val="none"/>
        </w:rPr>
        <w:t xml:space="preserve">                  日期：   年   月   日</w:t>
      </w:r>
    </w:p>
    <w:p>
      <w:pPr>
        <w:rPr>
          <w:highlight w:val="none"/>
        </w:rPr>
      </w:pPr>
      <w:r>
        <w:rPr>
          <w:highlight w:val="none"/>
        </w:rPr>
        <w:br w:type="page"/>
      </w:r>
    </w:p>
    <w:p>
      <w:pPr>
        <w:spacing w:line="360" w:lineRule="auto"/>
        <w:rPr>
          <w:rStyle w:val="59"/>
          <w:rFonts w:hint="eastAsia" w:ascii="宋体" w:hAnsi="宋体"/>
          <w:b/>
          <w:highlight w:val="none"/>
        </w:rPr>
      </w:pPr>
      <w:r>
        <w:rPr>
          <w:rStyle w:val="59"/>
          <w:rFonts w:ascii="宋体" w:hAnsi="宋体"/>
          <w:b/>
          <w:highlight w:val="none"/>
        </w:rPr>
        <w:t>格式七：中小企业声明函</w:t>
      </w:r>
    </w:p>
    <w:p>
      <w:pPr>
        <w:spacing w:line="360" w:lineRule="auto"/>
        <w:ind w:firstLine="400" w:firstLineChars="200"/>
        <w:jc w:val="left"/>
        <w:rPr>
          <w:color w:val="000000"/>
          <w:kern w:val="0"/>
          <w:sz w:val="20"/>
          <w:szCs w:val="20"/>
          <w:highlight w:val="none"/>
          <w:lang w:eastAsia="zh-Hans"/>
        </w:rPr>
      </w:pPr>
      <w:r>
        <w:rPr>
          <w:color w:val="000000"/>
          <w:kern w:val="0"/>
          <w:sz w:val="20"/>
          <w:szCs w:val="20"/>
          <w:highlight w:val="none"/>
          <w:lang w:eastAsia="zh-Hans"/>
        </w:rPr>
        <w:t>（承建本项目工程为中小企业时提交本函，所属行业应符合</w:t>
      </w:r>
      <w:r>
        <w:rPr>
          <w:color w:val="000000"/>
          <w:kern w:val="0"/>
          <w:sz w:val="20"/>
          <w:szCs w:val="20"/>
          <w:highlight w:val="none"/>
        </w:rPr>
        <w:t>招标</w:t>
      </w:r>
      <w:r>
        <w:rPr>
          <w:color w:val="000000"/>
          <w:kern w:val="0"/>
          <w:sz w:val="20"/>
          <w:szCs w:val="20"/>
          <w:highlight w:val="none"/>
          <w:lang w:eastAsia="zh-Hans"/>
        </w:rPr>
        <w:t>文件中明确的本项目所属行业）</w:t>
      </w:r>
    </w:p>
    <w:p>
      <w:pPr>
        <w:spacing w:line="360" w:lineRule="auto"/>
        <w:jc w:val="center"/>
        <w:outlineLvl w:val="3"/>
        <w:rPr>
          <w:color w:val="000000"/>
          <w:kern w:val="0"/>
          <w:sz w:val="28"/>
          <w:szCs w:val="28"/>
          <w:highlight w:val="none"/>
          <w:lang w:eastAsia="zh-Hans"/>
        </w:rPr>
      </w:pPr>
      <w:r>
        <w:rPr>
          <w:b/>
          <w:color w:val="000000"/>
          <w:kern w:val="0"/>
          <w:sz w:val="28"/>
          <w:szCs w:val="28"/>
          <w:highlight w:val="none"/>
          <w:lang w:eastAsia="zh-Hans"/>
        </w:rPr>
        <w:t>中小企业声明函（工程）</w:t>
      </w:r>
    </w:p>
    <w:p>
      <w:pPr>
        <w:pStyle w:val="12"/>
        <w:kinsoku w:val="0"/>
        <w:overflowPunct w:val="0"/>
        <w:spacing w:line="360" w:lineRule="auto"/>
        <w:ind w:right="216" w:firstLine="400" w:firstLineChars="200"/>
        <w:rPr>
          <w:rFonts w:ascii="宋体" w:hAnsi="宋体"/>
          <w:color w:val="auto"/>
          <w:szCs w:val="21"/>
          <w:highlight w:val="none"/>
        </w:rPr>
      </w:pPr>
      <w:r>
        <w:rPr>
          <w:rFonts w:hint="eastAsia" w:ascii="宋体" w:hAnsi="宋体"/>
          <w:color w:val="auto"/>
          <w:spacing w:val="-5"/>
          <w:sz w:val="21"/>
          <w:szCs w:val="21"/>
          <w:highlight w:val="none"/>
        </w:rPr>
        <w:t>本公司郑重声明，根据《政府采购促进中小企业发展管理办法》</w:t>
      </w:r>
      <w:r>
        <w:rPr>
          <w:rFonts w:hint="eastAsia" w:ascii="宋体" w:hAnsi="宋体"/>
          <w:color w:val="auto"/>
          <w:sz w:val="21"/>
          <w:szCs w:val="21"/>
          <w:highlight w:val="none"/>
        </w:rPr>
        <w:t>（财库﹝</w:t>
      </w:r>
      <w:r>
        <w:rPr>
          <w:rFonts w:ascii="宋体" w:hAnsi="宋体"/>
          <w:color w:val="auto"/>
          <w:sz w:val="21"/>
          <w:szCs w:val="21"/>
          <w:highlight w:val="none"/>
        </w:rPr>
        <w:t>2020</w:t>
      </w:r>
      <w:r>
        <w:rPr>
          <w:rFonts w:hint="eastAsia" w:ascii="宋体" w:hAnsi="宋体"/>
          <w:color w:val="auto"/>
          <w:sz w:val="21"/>
          <w:szCs w:val="21"/>
          <w:highlight w:val="none"/>
        </w:rPr>
        <w:t>﹞</w:t>
      </w:r>
      <w:r>
        <w:rPr>
          <w:rFonts w:ascii="宋体" w:hAnsi="宋体"/>
          <w:color w:val="auto"/>
          <w:sz w:val="21"/>
          <w:szCs w:val="21"/>
          <w:highlight w:val="none"/>
        </w:rPr>
        <w:t>46</w:t>
      </w:r>
      <w:r>
        <w:rPr>
          <w:rFonts w:hint="eastAsia" w:ascii="宋体" w:hAnsi="宋体"/>
          <w:color w:val="auto"/>
          <w:spacing w:val="-35"/>
          <w:sz w:val="21"/>
          <w:szCs w:val="21"/>
          <w:highlight w:val="none"/>
        </w:rPr>
        <w:t>号</w:t>
      </w:r>
      <w:r>
        <w:rPr>
          <w:rFonts w:hint="eastAsia" w:ascii="宋体" w:hAnsi="宋体"/>
          <w:color w:val="auto"/>
          <w:sz w:val="21"/>
          <w:szCs w:val="21"/>
          <w:highlight w:val="none"/>
        </w:rPr>
        <w:t>）的规定，本公司参加</w:t>
      </w:r>
      <w:r>
        <w:rPr>
          <w:rFonts w:hint="eastAsia" w:ascii="宋体" w:hAnsi="宋体"/>
          <w:color w:val="auto"/>
          <w:sz w:val="21"/>
          <w:szCs w:val="21"/>
          <w:highlight w:val="none"/>
          <w:u w:val="single"/>
        </w:rPr>
        <w:t>（招标人）</w:t>
      </w:r>
      <w:r>
        <w:rPr>
          <w:rFonts w:hint="eastAsia" w:ascii="宋体" w:hAnsi="宋体"/>
          <w:color w:val="auto"/>
          <w:sz w:val="21"/>
          <w:szCs w:val="21"/>
          <w:highlight w:val="none"/>
        </w:rPr>
        <w:t>的</w:t>
      </w:r>
      <w:r>
        <w:rPr>
          <w:rFonts w:hint="eastAsia" w:ascii="宋体" w:hAnsi="宋体"/>
          <w:color w:val="auto"/>
          <w:sz w:val="21"/>
          <w:szCs w:val="21"/>
          <w:highlight w:val="none"/>
          <w:u w:val="single"/>
        </w:rPr>
        <w:t>（项目名称）</w:t>
      </w:r>
      <w:r>
        <w:rPr>
          <w:rFonts w:hint="eastAsia" w:ascii="宋体" w:hAnsi="宋体"/>
          <w:color w:val="auto"/>
          <w:sz w:val="21"/>
          <w:szCs w:val="21"/>
          <w:highlight w:val="none"/>
        </w:rPr>
        <w:t>招标活动，工程的施工单位</w:t>
      </w:r>
      <w:r>
        <w:rPr>
          <w:rFonts w:hint="eastAsia" w:ascii="宋体" w:hAnsi="宋体"/>
          <w:color w:val="auto"/>
          <w:sz w:val="21"/>
          <w:szCs w:val="21"/>
          <w:highlight w:val="none"/>
          <w:lang w:eastAsia="zh-CN"/>
        </w:rPr>
        <w:t>包含</w:t>
      </w:r>
      <w:r>
        <w:rPr>
          <w:rFonts w:hint="eastAsia" w:ascii="宋体" w:hAnsi="宋体"/>
          <w:color w:val="auto"/>
          <w:sz w:val="21"/>
          <w:szCs w:val="21"/>
          <w:highlight w:val="none"/>
        </w:rPr>
        <w:t>符合政策要求的中小企业。相关企业（含签订分包意向协议的中小企业）的具体情况如下：</w:t>
      </w:r>
    </w:p>
    <w:p>
      <w:pPr>
        <w:keepNext w:val="0"/>
        <w:keepLines w:val="0"/>
        <w:pageBreakBefore w:val="0"/>
        <w:widowControl w:val="0"/>
        <w:kinsoku w:val="0"/>
        <w:wordWrap/>
        <w:overflowPunct w:val="0"/>
        <w:topLinePunct w:val="0"/>
        <w:autoSpaceDE/>
        <w:autoSpaceDN/>
        <w:bidi w:val="0"/>
        <w:adjustRightInd/>
        <w:snapToGrid/>
        <w:spacing w:before="313" w:beforeLines="100" w:beforeAutospacing="0" w:after="120" w:line="360" w:lineRule="auto"/>
        <w:ind w:right="317"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w:t>
      </w:r>
      <w:r>
        <w:rPr>
          <w:rFonts w:hint="eastAsia" w:ascii="宋体" w:hAnsi="宋体"/>
          <w:color w:val="auto"/>
          <w:spacing w:val="2"/>
          <w:sz w:val="21"/>
          <w:szCs w:val="21"/>
          <w:highlight w:val="none"/>
          <w:u w:val="single"/>
        </w:rPr>
        <w:t>标</w:t>
      </w:r>
      <w:r>
        <w:rPr>
          <w:rFonts w:hint="eastAsia" w:ascii="宋体" w:hAnsi="宋体"/>
          <w:color w:val="auto"/>
          <w:sz w:val="21"/>
          <w:szCs w:val="21"/>
          <w:highlight w:val="none"/>
          <w:u w:val="single"/>
        </w:rPr>
        <w:t>的名</w:t>
      </w:r>
      <w:r>
        <w:rPr>
          <w:rFonts w:hint="eastAsia" w:ascii="宋体" w:hAnsi="宋体"/>
          <w:color w:val="auto"/>
          <w:spacing w:val="2"/>
          <w:sz w:val="21"/>
          <w:szCs w:val="21"/>
          <w:highlight w:val="none"/>
          <w:u w:val="single"/>
        </w:rPr>
        <w:t>称</w:t>
      </w:r>
      <w:r>
        <w:rPr>
          <w:rFonts w:hint="eastAsia" w:ascii="宋体" w:hAnsi="宋体"/>
          <w:color w:val="auto"/>
          <w:sz w:val="21"/>
          <w:szCs w:val="21"/>
          <w:highlight w:val="none"/>
          <w:u w:val="single"/>
        </w:rPr>
        <w:t>）</w:t>
      </w:r>
      <w:r>
        <w:rPr>
          <w:rFonts w:hint="eastAsia" w:ascii="宋体" w:hAnsi="宋体"/>
          <w:color w:val="auto"/>
          <w:sz w:val="21"/>
          <w:szCs w:val="21"/>
          <w:highlight w:val="none"/>
        </w:rPr>
        <w:t>，</w:t>
      </w:r>
      <w:r>
        <w:rPr>
          <w:rFonts w:hint="eastAsia" w:ascii="宋体" w:hAnsi="宋体"/>
          <w:color w:val="auto"/>
          <w:spacing w:val="2"/>
          <w:sz w:val="21"/>
          <w:szCs w:val="21"/>
          <w:highlight w:val="none"/>
        </w:rPr>
        <w:t>属</w:t>
      </w:r>
      <w:r>
        <w:rPr>
          <w:rFonts w:hint="eastAsia" w:ascii="宋体" w:hAnsi="宋体"/>
          <w:color w:val="auto"/>
          <w:sz w:val="21"/>
          <w:szCs w:val="21"/>
          <w:highlight w:val="none"/>
        </w:rPr>
        <w:t>于</w:t>
      </w:r>
      <w:r>
        <w:rPr>
          <w:rFonts w:hint="eastAsia" w:ascii="宋体" w:hAnsi="宋体"/>
          <w:color w:val="auto"/>
          <w:sz w:val="21"/>
          <w:szCs w:val="21"/>
          <w:highlight w:val="none"/>
          <w:u w:val="single"/>
        </w:rPr>
        <w:t>建筑业</w:t>
      </w:r>
      <w:r>
        <w:rPr>
          <w:rFonts w:hint="eastAsia" w:ascii="宋体" w:hAnsi="宋体"/>
          <w:color w:val="auto"/>
          <w:sz w:val="21"/>
          <w:szCs w:val="21"/>
          <w:highlight w:val="none"/>
        </w:rPr>
        <w:t>；</w:t>
      </w:r>
      <w:r>
        <w:rPr>
          <w:rFonts w:hint="eastAsia" w:ascii="宋体" w:hAnsi="宋体"/>
          <w:color w:val="auto"/>
          <w:spacing w:val="2"/>
          <w:sz w:val="21"/>
          <w:szCs w:val="21"/>
          <w:highlight w:val="none"/>
        </w:rPr>
        <w:t>承</w:t>
      </w:r>
      <w:r>
        <w:rPr>
          <w:rFonts w:hint="eastAsia" w:ascii="宋体" w:hAnsi="宋体"/>
          <w:color w:val="auto"/>
          <w:sz w:val="21"/>
          <w:szCs w:val="21"/>
          <w:highlight w:val="none"/>
        </w:rPr>
        <w:t>建（承</w:t>
      </w:r>
      <w:r>
        <w:rPr>
          <w:rFonts w:hint="eastAsia" w:ascii="宋体" w:hAnsi="宋体"/>
          <w:color w:val="auto"/>
          <w:spacing w:val="2"/>
          <w:sz w:val="21"/>
          <w:szCs w:val="21"/>
          <w:highlight w:val="none"/>
        </w:rPr>
        <w:t>接</w:t>
      </w:r>
      <w:r>
        <w:rPr>
          <w:rFonts w:hint="eastAsia" w:ascii="宋体" w:hAnsi="宋体"/>
          <w:color w:val="auto"/>
          <w:sz w:val="21"/>
          <w:szCs w:val="21"/>
          <w:highlight w:val="none"/>
        </w:rPr>
        <w:t>）企</w:t>
      </w:r>
      <w:r>
        <w:rPr>
          <w:rFonts w:hint="eastAsia" w:ascii="宋体" w:hAnsi="宋体"/>
          <w:color w:val="auto"/>
          <w:spacing w:val="2"/>
          <w:sz w:val="21"/>
          <w:szCs w:val="21"/>
          <w:highlight w:val="none"/>
        </w:rPr>
        <w:t>业</w:t>
      </w:r>
      <w:r>
        <w:rPr>
          <w:rFonts w:hint="eastAsia" w:ascii="宋体" w:hAnsi="宋体"/>
          <w:color w:val="auto"/>
          <w:sz w:val="21"/>
          <w:szCs w:val="21"/>
          <w:highlight w:val="none"/>
        </w:rPr>
        <w:t>为</w:t>
      </w:r>
      <w:r>
        <w:rPr>
          <w:rFonts w:hint="eastAsia" w:ascii="宋体" w:hAnsi="宋体"/>
          <w:color w:val="auto"/>
          <w:sz w:val="21"/>
          <w:szCs w:val="21"/>
          <w:highlight w:val="none"/>
          <w:u w:val="single"/>
        </w:rPr>
        <w:t>（</w:t>
      </w:r>
      <w:r>
        <w:rPr>
          <w:rFonts w:hint="eastAsia" w:ascii="宋体" w:hAnsi="宋体"/>
          <w:color w:val="auto"/>
          <w:spacing w:val="2"/>
          <w:sz w:val="21"/>
          <w:szCs w:val="21"/>
          <w:highlight w:val="none"/>
          <w:u w:val="single"/>
        </w:rPr>
        <w:t>企</w:t>
      </w:r>
      <w:r>
        <w:rPr>
          <w:rFonts w:hint="eastAsia" w:ascii="宋体" w:hAnsi="宋体"/>
          <w:color w:val="auto"/>
          <w:sz w:val="21"/>
          <w:szCs w:val="21"/>
          <w:highlight w:val="none"/>
          <w:u w:val="single"/>
        </w:rPr>
        <w:t>业名</w:t>
      </w:r>
      <w:r>
        <w:rPr>
          <w:rFonts w:hint="eastAsia" w:ascii="宋体" w:hAnsi="宋体"/>
          <w:color w:val="auto"/>
          <w:spacing w:val="2"/>
          <w:sz w:val="21"/>
          <w:szCs w:val="21"/>
          <w:highlight w:val="none"/>
          <w:u w:val="single"/>
        </w:rPr>
        <w:t>称</w:t>
      </w:r>
      <w:r>
        <w:rPr>
          <w:rFonts w:hint="eastAsia" w:ascii="宋体" w:hAnsi="宋体"/>
          <w:color w:val="auto"/>
          <w:sz w:val="21"/>
          <w:szCs w:val="21"/>
          <w:highlight w:val="none"/>
          <w:u w:val="single"/>
        </w:rPr>
        <w:t>）</w:t>
      </w:r>
      <w:r>
        <w:rPr>
          <w:rFonts w:hint="eastAsia" w:ascii="宋体" w:hAnsi="宋体"/>
          <w:color w:val="auto"/>
          <w:sz w:val="21"/>
          <w:szCs w:val="21"/>
          <w:highlight w:val="none"/>
        </w:rPr>
        <w:t>，本企业属于建筑业行业</w:t>
      </w:r>
      <w:r>
        <w:rPr>
          <w:rFonts w:hint="eastAsia" w:ascii="宋体" w:hAnsi="宋体"/>
          <w:color w:val="auto"/>
          <w:sz w:val="21"/>
          <w:szCs w:val="21"/>
          <w:highlight w:val="none"/>
          <w:lang w:eastAsia="zh-CN"/>
        </w:rPr>
        <w:t>，</w:t>
      </w:r>
      <w:r>
        <w:rPr>
          <w:rFonts w:hint="eastAsia" w:ascii="宋体" w:hAnsi="宋体"/>
          <w:color w:val="auto"/>
          <w:spacing w:val="2"/>
          <w:sz w:val="21"/>
          <w:szCs w:val="21"/>
          <w:highlight w:val="none"/>
        </w:rPr>
        <w:t>从</w:t>
      </w:r>
      <w:r>
        <w:rPr>
          <w:rFonts w:hint="eastAsia" w:ascii="宋体" w:hAnsi="宋体"/>
          <w:color w:val="auto"/>
          <w:sz w:val="21"/>
          <w:szCs w:val="21"/>
          <w:highlight w:val="none"/>
        </w:rPr>
        <w:t>业人员</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rPr>
        <w:t>人</w:t>
      </w:r>
      <w:r>
        <w:rPr>
          <w:rFonts w:hint="eastAsia" w:ascii="宋体" w:hAnsi="宋体"/>
          <w:color w:val="auto"/>
          <w:spacing w:val="2"/>
          <w:sz w:val="21"/>
          <w:szCs w:val="21"/>
          <w:highlight w:val="none"/>
        </w:rPr>
        <w:t>，</w:t>
      </w:r>
      <w:r>
        <w:rPr>
          <w:rFonts w:hint="eastAsia" w:ascii="宋体" w:hAnsi="宋体"/>
          <w:color w:val="auto"/>
          <w:sz w:val="21"/>
          <w:szCs w:val="21"/>
          <w:highlight w:val="none"/>
        </w:rPr>
        <w:t>营业收入为</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万元</w:t>
      </w:r>
      <w:r>
        <w:rPr>
          <w:rFonts w:hint="eastAsia" w:ascii="宋体" w:hAnsi="宋体"/>
          <w:color w:val="auto"/>
          <w:spacing w:val="-1"/>
          <w:sz w:val="21"/>
          <w:szCs w:val="21"/>
          <w:highlight w:val="none"/>
        </w:rPr>
        <w:t>，</w:t>
      </w:r>
      <w:r>
        <w:rPr>
          <w:rFonts w:hint="eastAsia" w:ascii="宋体" w:hAnsi="宋体"/>
          <w:color w:val="auto"/>
          <w:sz w:val="21"/>
          <w:szCs w:val="21"/>
          <w:highlight w:val="none"/>
        </w:rPr>
        <w:t>资产总额为</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万元</w:t>
      </w:r>
      <w:r>
        <w:rPr>
          <w:rFonts w:hint="eastAsia" w:ascii="宋体" w:hAnsi="宋体"/>
          <w:color w:val="auto"/>
          <w:spacing w:val="-1"/>
          <w:sz w:val="21"/>
          <w:szCs w:val="21"/>
          <w:highlight w:val="none"/>
        </w:rPr>
        <w:t>，</w:t>
      </w:r>
      <w:r>
        <w:rPr>
          <w:rFonts w:hint="eastAsia" w:ascii="宋体" w:hAnsi="宋体"/>
          <w:color w:val="auto"/>
          <w:sz w:val="21"/>
          <w:szCs w:val="21"/>
          <w:highlight w:val="none"/>
        </w:rPr>
        <w:t>属于</w:t>
      </w:r>
      <w:r>
        <w:rPr>
          <w:rFonts w:hint="eastAsia" w:ascii="宋体" w:hAnsi="宋体"/>
          <w:color w:val="auto"/>
          <w:sz w:val="21"/>
          <w:szCs w:val="21"/>
          <w:highlight w:val="none"/>
          <w:u w:val="single"/>
        </w:rPr>
        <w:t>（小型企业、微型企业）</w:t>
      </w:r>
      <w:r>
        <w:rPr>
          <w:rFonts w:hint="eastAsia" w:ascii="宋体" w:hAnsi="宋体"/>
          <w:color w:val="auto"/>
          <w:sz w:val="21"/>
          <w:szCs w:val="21"/>
          <w:highlight w:val="none"/>
        </w:rPr>
        <w:t>；在本项目中拟承担工作，在本项目的合同份额占合同总金额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12"/>
        <w:keepNext w:val="0"/>
        <w:keepLines w:val="0"/>
        <w:pageBreakBefore w:val="0"/>
        <w:widowControl w:val="0"/>
        <w:kinsoku w:val="0"/>
        <w:wordWrap/>
        <w:overflowPunct w:val="0"/>
        <w:topLinePunct w:val="0"/>
        <w:autoSpaceDE/>
        <w:autoSpaceDN/>
        <w:bidi w:val="0"/>
        <w:adjustRightInd/>
        <w:snapToGrid/>
        <w:spacing w:before="313" w:beforeLines="100" w:line="360" w:lineRule="auto"/>
        <w:ind w:firstLine="420" w:firstLineChars="200"/>
        <w:textAlignment w:val="auto"/>
        <w:rPr>
          <w:rFonts w:ascii="宋体" w:hAnsi="宋体"/>
          <w:color w:val="auto"/>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u w:val="single"/>
        </w:rPr>
        <w:t>（</w:t>
      </w:r>
      <w:r>
        <w:rPr>
          <w:rFonts w:hint="eastAsia" w:ascii="宋体" w:hAnsi="宋体"/>
          <w:color w:val="auto"/>
          <w:spacing w:val="2"/>
          <w:sz w:val="21"/>
          <w:szCs w:val="21"/>
          <w:highlight w:val="none"/>
          <w:u w:val="single"/>
        </w:rPr>
        <w:t>标</w:t>
      </w:r>
      <w:r>
        <w:rPr>
          <w:rFonts w:hint="eastAsia" w:ascii="宋体" w:hAnsi="宋体"/>
          <w:color w:val="auto"/>
          <w:sz w:val="21"/>
          <w:szCs w:val="21"/>
          <w:highlight w:val="none"/>
          <w:u w:val="single"/>
        </w:rPr>
        <w:t>的名</w:t>
      </w:r>
      <w:r>
        <w:rPr>
          <w:rFonts w:hint="eastAsia" w:ascii="宋体" w:hAnsi="宋体"/>
          <w:color w:val="auto"/>
          <w:spacing w:val="2"/>
          <w:sz w:val="21"/>
          <w:szCs w:val="21"/>
          <w:highlight w:val="none"/>
          <w:u w:val="single"/>
        </w:rPr>
        <w:t>称</w:t>
      </w:r>
      <w:r>
        <w:rPr>
          <w:rFonts w:hint="eastAsia" w:ascii="宋体" w:hAnsi="宋体"/>
          <w:color w:val="auto"/>
          <w:sz w:val="21"/>
          <w:szCs w:val="21"/>
          <w:highlight w:val="none"/>
          <w:u w:val="single"/>
        </w:rPr>
        <w:t>）</w:t>
      </w:r>
      <w:r>
        <w:rPr>
          <w:rFonts w:hint="eastAsia" w:ascii="宋体" w:hAnsi="宋体"/>
          <w:color w:val="auto"/>
          <w:sz w:val="21"/>
          <w:szCs w:val="21"/>
          <w:highlight w:val="none"/>
        </w:rPr>
        <w:t>，</w:t>
      </w:r>
      <w:r>
        <w:rPr>
          <w:rFonts w:hint="eastAsia" w:ascii="宋体" w:hAnsi="宋体"/>
          <w:color w:val="auto"/>
          <w:spacing w:val="2"/>
          <w:sz w:val="21"/>
          <w:szCs w:val="21"/>
          <w:highlight w:val="none"/>
        </w:rPr>
        <w:t>属</w:t>
      </w:r>
      <w:r>
        <w:rPr>
          <w:rFonts w:hint="eastAsia" w:ascii="宋体" w:hAnsi="宋体"/>
          <w:color w:val="auto"/>
          <w:sz w:val="21"/>
          <w:szCs w:val="21"/>
          <w:highlight w:val="none"/>
        </w:rPr>
        <w:t>于</w:t>
      </w:r>
      <w:r>
        <w:rPr>
          <w:rFonts w:hint="eastAsia" w:ascii="宋体" w:hAnsi="宋体"/>
          <w:color w:val="auto"/>
          <w:sz w:val="21"/>
          <w:szCs w:val="21"/>
          <w:highlight w:val="none"/>
          <w:u w:val="single"/>
        </w:rPr>
        <w:t>建筑业</w:t>
      </w:r>
      <w:r>
        <w:rPr>
          <w:rFonts w:hint="eastAsia" w:ascii="宋体" w:hAnsi="宋体"/>
          <w:color w:val="auto"/>
          <w:sz w:val="21"/>
          <w:szCs w:val="21"/>
          <w:highlight w:val="none"/>
        </w:rPr>
        <w:t>；</w:t>
      </w:r>
      <w:r>
        <w:rPr>
          <w:rFonts w:hint="eastAsia" w:ascii="宋体" w:hAnsi="宋体"/>
          <w:color w:val="auto"/>
          <w:spacing w:val="2"/>
          <w:sz w:val="21"/>
          <w:szCs w:val="21"/>
          <w:highlight w:val="none"/>
        </w:rPr>
        <w:t>承</w:t>
      </w:r>
      <w:r>
        <w:rPr>
          <w:rFonts w:hint="eastAsia" w:ascii="宋体" w:hAnsi="宋体"/>
          <w:color w:val="auto"/>
          <w:sz w:val="21"/>
          <w:szCs w:val="21"/>
          <w:highlight w:val="none"/>
        </w:rPr>
        <w:t>建（承</w:t>
      </w:r>
      <w:r>
        <w:rPr>
          <w:rFonts w:hint="eastAsia" w:ascii="宋体" w:hAnsi="宋体"/>
          <w:color w:val="auto"/>
          <w:spacing w:val="2"/>
          <w:sz w:val="21"/>
          <w:szCs w:val="21"/>
          <w:highlight w:val="none"/>
        </w:rPr>
        <w:t>接</w:t>
      </w:r>
      <w:r>
        <w:rPr>
          <w:rFonts w:hint="eastAsia" w:ascii="宋体" w:hAnsi="宋体"/>
          <w:color w:val="auto"/>
          <w:sz w:val="21"/>
          <w:szCs w:val="21"/>
          <w:highlight w:val="none"/>
        </w:rPr>
        <w:t>）企</w:t>
      </w:r>
      <w:r>
        <w:rPr>
          <w:rFonts w:hint="eastAsia" w:ascii="宋体" w:hAnsi="宋体"/>
          <w:color w:val="auto"/>
          <w:spacing w:val="2"/>
          <w:sz w:val="21"/>
          <w:szCs w:val="21"/>
          <w:highlight w:val="none"/>
        </w:rPr>
        <w:t>业</w:t>
      </w:r>
      <w:r>
        <w:rPr>
          <w:rFonts w:hint="eastAsia" w:ascii="宋体" w:hAnsi="宋体"/>
          <w:color w:val="auto"/>
          <w:sz w:val="21"/>
          <w:szCs w:val="21"/>
          <w:highlight w:val="none"/>
        </w:rPr>
        <w:t>为</w:t>
      </w:r>
      <w:r>
        <w:rPr>
          <w:rFonts w:hint="eastAsia" w:ascii="宋体" w:hAnsi="宋体"/>
          <w:color w:val="auto"/>
          <w:sz w:val="21"/>
          <w:szCs w:val="21"/>
          <w:highlight w:val="none"/>
          <w:u w:val="single"/>
        </w:rPr>
        <w:t>（</w:t>
      </w:r>
      <w:r>
        <w:rPr>
          <w:rFonts w:hint="eastAsia" w:ascii="宋体" w:hAnsi="宋体"/>
          <w:color w:val="auto"/>
          <w:spacing w:val="2"/>
          <w:sz w:val="21"/>
          <w:szCs w:val="21"/>
          <w:highlight w:val="none"/>
          <w:u w:val="single"/>
        </w:rPr>
        <w:t>企</w:t>
      </w:r>
      <w:r>
        <w:rPr>
          <w:rFonts w:hint="eastAsia" w:ascii="宋体" w:hAnsi="宋体"/>
          <w:color w:val="auto"/>
          <w:sz w:val="21"/>
          <w:szCs w:val="21"/>
          <w:highlight w:val="none"/>
          <w:u w:val="single"/>
        </w:rPr>
        <w:t>业名</w:t>
      </w:r>
      <w:r>
        <w:rPr>
          <w:rFonts w:hint="eastAsia" w:ascii="宋体" w:hAnsi="宋体"/>
          <w:color w:val="auto"/>
          <w:spacing w:val="2"/>
          <w:sz w:val="21"/>
          <w:szCs w:val="21"/>
          <w:highlight w:val="none"/>
          <w:u w:val="single"/>
        </w:rPr>
        <w:t>称</w:t>
      </w:r>
      <w:r>
        <w:rPr>
          <w:rFonts w:hint="eastAsia" w:ascii="宋体" w:hAnsi="宋体"/>
          <w:color w:val="auto"/>
          <w:sz w:val="21"/>
          <w:szCs w:val="21"/>
          <w:highlight w:val="none"/>
          <w:u w:val="single"/>
        </w:rPr>
        <w:t>）</w:t>
      </w:r>
      <w:r>
        <w:rPr>
          <w:rFonts w:hint="eastAsia" w:ascii="宋体" w:hAnsi="宋体"/>
          <w:color w:val="auto"/>
          <w:sz w:val="21"/>
          <w:szCs w:val="21"/>
          <w:highlight w:val="none"/>
        </w:rPr>
        <w:t>，</w:t>
      </w:r>
      <w:r>
        <w:rPr>
          <w:rFonts w:hint="eastAsia" w:ascii="宋体" w:hAnsi="宋体"/>
          <w:color w:val="auto"/>
          <w:szCs w:val="21"/>
          <w:highlight w:val="none"/>
        </w:rPr>
        <w:t>本企业属于建筑业行业</w:t>
      </w:r>
      <w:r>
        <w:rPr>
          <w:rFonts w:hint="eastAsia" w:ascii="宋体" w:hAnsi="宋体"/>
          <w:color w:val="auto"/>
          <w:szCs w:val="21"/>
          <w:highlight w:val="none"/>
          <w:lang w:eastAsia="zh-CN"/>
        </w:rPr>
        <w:t>，</w:t>
      </w:r>
      <w:r>
        <w:rPr>
          <w:rFonts w:hint="eastAsia" w:ascii="宋体" w:hAnsi="宋体"/>
          <w:color w:val="auto"/>
          <w:spacing w:val="2"/>
          <w:sz w:val="21"/>
          <w:szCs w:val="21"/>
          <w:highlight w:val="none"/>
        </w:rPr>
        <w:t>从</w:t>
      </w:r>
      <w:r>
        <w:rPr>
          <w:rFonts w:hint="eastAsia" w:ascii="宋体" w:hAnsi="宋体"/>
          <w:color w:val="auto"/>
          <w:sz w:val="21"/>
          <w:szCs w:val="21"/>
          <w:highlight w:val="none"/>
        </w:rPr>
        <w:t>业人员</w:t>
      </w:r>
      <w:r>
        <w:rPr>
          <w:rFonts w:hint="eastAsia" w:ascii="宋体" w:hAnsi="宋体"/>
          <w:color w:val="auto"/>
          <w:sz w:val="21"/>
          <w:szCs w:val="21"/>
          <w:highlight w:val="none"/>
          <w:u w:val="single"/>
        </w:rPr>
        <w:tab/>
      </w:r>
      <w:r>
        <w:rPr>
          <w:rFonts w:hint="eastAsia" w:ascii="宋体" w:hAnsi="宋体"/>
          <w:color w:val="auto"/>
          <w:sz w:val="21"/>
          <w:szCs w:val="21"/>
          <w:highlight w:val="none"/>
        </w:rPr>
        <w:t>人</w:t>
      </w:r>
      <w:r>
        <w:rPr>
          <w:rFonts w:hint="eastAsia" w:ascii="宋体" w:hAnsi="宋体"/>
          <w:color w:val="auto"/>
          <w:spacing w:val="2"/>
          <w:sz w:val="21"/>
          <w:szCs w:val="21"/>
          <w:highlight w:val="none"/>
        </w:rPr>
        <w:t>，</w:t>
      </w:r>
      <w:r>
        <w:rPr>
          <w:rFonts w:hint="eastAsia" w:ascii="宋体" w:hAnsi="宋体"/>
          <w:color w:val="auto"/>
          <w:sz w:val="21"/>
          <w:szCs w:val="21"/>
          <w:highlight w:val="none"/>
        </w:rPr>
        <w:t>营业收入为</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万元</w:t>
      </w:r>
      <w:r>
        <w:rPr>
          <w:rFonts w:hint="eastAsia" w:ascii="宋体" w:hAnsi="宋体"/>
          <w:color w:val="auto"/>
          <w:spacing w:val="-1"/>
          <w:sz w:val="21"/>
          <w:szCs w:val="21"/>
          <w:highlight w:val="none"/>
        </w:rPr>
        <w:t>，</w:t>
      </w:r>
      <w:r>
        <w:rPr>
          <w:rFonts w:hint="eastAsia" w:ascii="宋体" w:hAnsi="宋体"/>
          <w:color w:val="auto"/>
          <w:sz w:val="21"/>
          <w:szCs w:val="21"/>
          <w:highlight w:val="none"/>
        </w:rPr>
        <w:t>资产总额为</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万元</w:t>
      </w:r>
      <w:r>
        <w:rPr>
          <w:rFonts w:hint="eastAsia" w:ascii="宋体" w:hAnsi="宋体"/>
          <w:color w:val="auto"/>
          <w:spacing w:val="-1"/>
          <w:sz w:val="21"/>
          <w:szCs w:val="21"/>
          <w:highlight w:val="none"/>
        </w:rPr>
        <w:t>，</w:t>
      </w:r>
      <w:r>
        <w:rPr>
          <w:rFonts w:hint="eastAsia" w:ascii="宋体" w:hAnsi="宋体"/>
          <w:color w:val="auto"/>
          <w:sz w:val="21"/>
          <w:szCs w:val="21"/>
          <w:highlight w:val="none"/>
        </w:rPr>
        <w:t>属于</w:t>
      </w:r>
      <w:r>
        <w:rPr>
          <w:rFonts w:hint="eastAsia" w:ascii="宋体" w:hAnsi="宋体"/>
          <w:color w:val="auto"/>
          <w:sz w:val="21"/>
          <w:szCs w:val="21"/>
          <w:highlight w:val="none"/>
          <w:u w:val="single"/>
        </w:rPr>
        <w:t>（小型企业、微型企业）</w:t>
      </w:r>
      <w:r>
        <w:rPr>
          <w:rFonts w:hint="eastAsia" w:ascii="宋体" w:hAnsi="宋体"/>
          <w:color w:val="auto"/>
          <w:sz w:val="21"/>
          <w:szCs w:val="21"/>
          <w:highlight w:val="none"/>
        </w:rPr>
        <w:t>；在本项目中拟承担工作，在本项目的合同份额占合同总金额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12"/>
        <w:keepNext w:val="0"/>
        <w:keepLines w:val="0"/>
        <w:pageBreakBefore w:val="0"/>
        <w:widowControl w:val="0"/>
        <w:kinsoku w:val="0"/>
        <w:wordWrap/>
        <w:overflowPunct w:val="0"/>
        <w:topLinePunct w:val="0"/>
        <w:autoSpaceDE/>
        <w:autoSpaceDN/>
        <w:bidi w:val="0"/>
        <w:adjustRightInd/>
        <w:snapToGrid/>
        <w:spacing w:before="313" w:beforeLines="100" w:line="360" w:lineRule="auto"/>
        <w:ind w:right="323" w:firstLine="420" w:firstLineChars="200"/>
        <w:textAlignment w:val="auto"/>
        <w:rPr>
          <w:rFonts w:ascii="宋体" w:hAnsi="宋体"/>
          <w:color w:val="auto"/>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pPr>
        <w:pStyle w:val="12"/>
        <w:keepNext w:val="0"/>
        <w:keepLines w:val="0"/>
        <w:pageBreakBefore w:val="0"/>
        <w:widowControl w:val="0"/>
        <w:kinsoku w:val="0"/>
        <w:wordWrap/>
        <w:overflowPunct w:val="0"/>
        <w:topLinePunct w:val="0"/>
        <w:autoSpaceDE/>
        <w:autoSpaceDN/>
        <w:bidi w:val="0"/>
        <w:adjustRightInd/>
        <w:snapToGrid/>
        <w:spacing w:before="313" w:beforeLines="100" w:line="360" w:lineRule="auto"/>
        <w:ind w:firstLine="420" w:firstLineChars="200"/>
        <w:textAlignment w:val="auto"/>
        <w:rPr>
          <w:rFonts w:ascii="宋体" w:hAnsi="宋体"/>
          <w:color w:val="auto"/>
          <w:szCs w:val="21"/>
          <w:highlight w:val="none"/>
        </w:rPr>
      </w:pPr>
      <w:r>
        <w:rPr>
          <w:rFonts w:hint="eastAsia" w:ascii="宋体" w:hAnsi="宋体"/>
          <w:color w:val="auto"/>
          <w:sz w:val="21"/>
          <w:szCs w:val="21"/>
          <w:highlight w:val="none"/>
        </w:rPr>
        <w:t>本企业对上述声明内容的真实性负责。如有虚假，将依法承担相应责任。</w:t>
      </w:r>
    </w:p>
    <w:p>
      <w:pPr>
        <w:pStyle w:val="186"/>
        <w:widowControl/>
        <w:shd w:val="clear" w:color="auto" w:fill="FFFFFF"/>
        <w:spacing w:line="360" w:lineRule="auto"/>
        <w:ind w:firstLine="3780"/>
        <w:rPr>
          <w:rFonts w:ascii="宋体" w:hAnsi="宋体" w:cs="宋体"/>
          <w:color w:val="auto"/>
          <w:kern w:val="0"/>
          <w:sz w:val="21"/>
          <w:szCs w:val="21"/>
          <w:highlight w:val="none"/>
        </w:rPr>
      </w:pPr>
    </w:p>
    <w:p>
      <w:pPr>
        <w:pStyle w:val="186"/>
        <w:widowControl/>
        <w:shd w:val="clear" w:color="auto" w:fill="FFFFFF"/>
        <w:spacing w:line="360" w:lineRule="auto"/>
        <w:ind w:firstLine="3832" w:firstLineChars="1825"/>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w:t>
      </w:r>
      <w:r>
        <w:rPr>
          <w:rFonts w:ascii="宋体" w:hAnsi="宋体" w:cs="宋体"/>
          <w:color w:val="auto"/>
          <w:kern w:val="0"/>
          <w:sz w:val="21"/>
          <w:szCs w:val="21"/>
          <w:highlight w:val="none"/>
          <w:u w:val="single"/>
        </w:rPr>
        <w:tab/>
      </w:r>
      <w:r>
        <w:rPr>
          <w:rFonts w:hint="eastAsia" w:ascii="宋体" w:hAnsi="宋体" w:cs="宋体"/>
          <w:color w:val="auto"/>
          <w:kern w:val="0"/>
          <w:sz w:val="21"/>
          <w:szCs w:val="21"/>
          <w:highlight w:val="none"/>
          <w:u w:val="single"/>
          <w:lang w:val="en-US" w:eastAsia="zh-CN"/>
        </w:rPr>
        <w:t xml:space="preserve">       </w:t>
      </w:r>
      <w:r>
        <w:rPr>
          <w:rFonts w:ascii="宋体" w:hAnsi="宋体" w:cs="宋体"/>
          <w:color w:val="auto"/>
          <w:kern w:val="0"/>
          <w:sz w:val="21"/>
          <w:szCs w:val="21"/>
          <w:highlight w:val="none"/>
          <w:u w:val="single"/>
        </w:rPr>
        <w:tab/>
      </w:r>
      <w:r>
        <w:rPr>
          <w:rFonts w:hint="eastAsia" w:ascii="宋体" w:hAnsi="宋体" w:cs="宋体"/>
          <w:color w:val="auto"/>
          <w:kern w:val="0"/>
          <w:sz w:val="21"/>
          <w:szCs w:val="21"/>
          <w:highlight w:val="none"/>
        </w:rPr>
        <w:t>（盖章）</w:t>
      </w:r>
    </w:p>
    <w:p>
      <w:pPr>
        <w:pStyle w:val="186"/>
        <w:widowControl/>
        <w:shd w:val="clear" w:color="auto" w:fill="FFFFFF"/>
        <w:spacing w:line="360" w:lineRule="auto"/>
        <w:ind w:right="1440" w:firstLine="4200" w:firstLineChars="2000"/>
        <w:jc w:val="both"/>
        <w:rPr>
          <w:rFonts w:ascii="宋体" w:hAnsi="宋体" w:cs="宋体"/>
          <w:color w:val="auto"/>
          <w:kern w:val="0"/>
          <w:sz w:val="21"/>
          <w:szCs w:val="21"/>
          <w:highlight w:val="none"/>
          <w:u w:val="single"/>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年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月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日</w:t>
      </w:r>
    </w:p>
    <w:p>
      <w:pPr>
        <w:spacing w:line="360" w:lineRule="auto"/>
        <w:rPr>
          <w:rFonts w:ascii="宋体" w:hAnsi="宋体"/>
          <w:color w:val="auto"/>
          <w:szCs w:val="21"/>
          <w:highlight w:val="none"/>
        </w:rPr>
      </w:pPr>
    </w:p>
    <w:p>
      <w:pPr>
        <w:pStyle w:val="8"/>
        <w:rPr>
          <w:rFonts w:ascii="宋体" w:hAnsi="宋体"/>
          <w:color w:val="auto"/>
          <w:highlight w:val="none"/>
        </w:rPr>
      </w:pPr>
    </w:p>
    <w:p>
      <w:pPr>
        <w:rPr>
          <w:rFonts w:ascii="宋体" w:hAnsi="宋体"/>
          <w:color w:val="auto"/>
          <w:szCs w:val="21"/>
          <w:highlight w:val="none"/>
        </w:rPr>
      </w:pPr>
    </w:p>
    <w:p>
      <w:pPr>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备注：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 w:val="21"/>
          <w:szCs w:val="21"/>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rPr>
        <w:t xml:space="preserve">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w:t>
      </w: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HYPERLINK "https://www.gzggzy.cn/jtgg/1001279.jhtml）填写，《中小企业声明函》由参加招投标活动的投标人出具。合同分包的，《中小企业声明函》中需填写签订分包意向协议的小微企业相关信息。"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https://www.gzggzy.cn/jtgg/1001279.jhtml）填写，《中小企业声明函》由参加招投标活动的投标人出具。合同分包的，《中小企业声明函》中需填写签订分包意向协议的小微企业相关信息</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投标人应当自行核实是否属于小微企业，并认真填写声明函，若有虚假将追究其责任。</w:t>
      </w:r>
    </w:p>
    <w:p>
      <w:pPr>
        <w:rPr>
          <w:b/>
          <w:color w:val="000000"/>
          <w:sz w:val="28"/>
          <w:szCs w:val="24"/>
          <w:highlight w:val="none"/>
        </w:rPr>
      </w:pPr>
      <w:r>
        <w:rPr>
          <w:b/>
          <w:color w:val="000000"/>
          <w:sz w:val="28"/>
          <w:szCs w:val="24"/>
          <w:highlight w:val="none"/>
        </w:rPr>
        <w:br w:type="page"/>
      </w:r>
    </w:p>
    <w:p>
      <w:pPr>
        <w:spacing w:line="360" w:lineRule="auto"/>
        <w:jc w:val="left"/>
        <w:rPr>
          <w:rStyle w:val="59"/>
          <w:rFonts w:hint="eastAsia" w:ascii="宋体" w:hAnsi="宋体"/>
          <w:b/>
          <w:highlight w:val="none"/>
        </w:rPr>
      </w:pPr>
      <w:r>
        <w:rPr>
          <w:rStyle w:val="59"/>
          <w:rFonts w:ascii="宋体" w:hAnsi="宋体"/>
          <w:b/>
          <w:highlight w:val="none"/>
        </w:rPr>
        <w:t>格式八：</w:t>
      </w:r>
    </w:p>
    <w:p>
      <w:pPr>
        <w:spacing w:line="360" w:lineRule="auto"/>
        <w:ind w:firstLine="480"/>
        <w:jc w:val="left"/>
        <w:rPr>
          <w:color w:val="000000"/>
          <w:kern w:val="0"/>
          <w:sz w:val="20"/>
          <w:szCs w:val="20"/>
          <w:highlight w:val="none"/>
          <w:lang w:eastAsia="zh-Hans"/>
        </w:rPr>
      </w:pPr>
      <w:r>
        <w:rPr>
          <w:color w:val="000000"/>
          <w:kern w:val="0"/>
          <w:sz w:val="20"/>
          <w:szCs w:val="20"/>
          <w:highlight w:val="none"/>
          <w:lang w:eastAsia="zh-Hans"/>
        </w:rPr>
        <w:t>（以下格式文件由</w:t>
      </w:r>
      <w:r>
        <w:rPr>
          <w:rFonts w:hint="eastAsia"/>
          <w:color w:val="000000"/>
          <w:kern w:val="0"/>
          <w:sz w:val="20"/>
          <w:szCs w:val="20"/>
          <w:highlight w:val="none"/>
        </w:rPr>
        <w:t>投标人</w:t>
      </w:r>
      <w:r>
        <w:rPr>
          <w:color w:val="000000"/>
          <w:kern w:val="0"/>
          <w:sz w:val="20"/>
          <w:szCs w:val="20"/>
          <w:highlight w:val="none"/>
          <w:lang w:eastAsia="zh-Hans"/>
        </w:rPr>
        <w:t>根据需要选用）</w:t>
      </w:r>
    </w:p>
    <w:p>
      <w:pPr>
        <w:spacing w:line="360" w:lineRule="auto"/>
        <w:jc w:val="center"/>
        <w:outlineLvl w:val="3"/>
        <w:rPr>
          <w:color w:val="000000"/>
          <w:kern w:val="0"/>
          <w:sz w:val="28"/>
          <w:szCs w:val="28"/>
          <w:highlight w:val="none"/>
          <w:lang w:eastAsia="zh-Hans"/>
        </w:rPr>
      </w:pPr>
      <w:r>
        <w:rPr>
          <w:b/>
          <w:color w:val="000000"/>
          <w:kern w:val="0"/>
          <w:sz w:val="28"/>
          <w:szCs w:val="28"/>
          <w:highlight w:val="none"/>
          <w:lang w:eastAsia="zh-Hans"/>
        </w:rPr>
        <w:t>监狱企业</w:t>
      </w:r>
    </w:p>
    <w:p>
      <w:pPr>
        <w:spacing w:line="360" w:lineRule="auto"/>
        <w:ind w:firstLine="480"/>
        <w:jc w:val="left"/>
        <w:rPr>
          <w:color w:val="000000"/>
          <w:kern w:val="0"/>
          <w:sz w:val="20"/>
          <w:szCs w:val="20"/>
          <w:highlight w:val="none"/>
          <w:lang w:eastAsia="zh-Hans"/>
        </w:rPr>
      </w:pPr>
      <w:r>
        <w:rPr>
          <w:color w:val="000000"/>
          <w:kern w:val="0"/>
          <w:sz w:val="20"/>
          <w:szCs w:val="20"/>
          <w:highlight w:val="none"/>
          <w:lang w:eastAsia="zh-Hans"/>
        </w:rPr>
        <w:t>提供由监狱管理局、戒毒管理局（含新疆生产建设兵团）出具的属于监狱企业的证明文件。</w:t>
      </w:r>
    </w:p>
    <w:p>
      <w:pPr>
        <w:ind w:firstLine="480"/>
        <w:jc w:val="left"/>
        <w:rPr>
          <w:color w:val="000000"/>
          <w:kern w:val="0"/>
          <w:sz w:val="20"/>
          <w:szCs w:val="20"/>
          <w:highlight w:val="none"/>
          <w:lang w:eastAsia="zh-Hans"/>
        </w:rPr>
      </w:pPr>
      <w:r>
        <w:rPr>
          <w:color w:val="000000"/>
          <w:kern w:val="0"/>
          <w:sz w:val="20"/>
          <w:szCs w:val="20"/>
          <w:highlight w:val="none"/>
          <w:lang w:eastAsia="zh-Hans"/>
        </w:rPr>
        <w:t xml:space="preserve">  </w:t>
      </w:r>
    </w:p>
    <w:p>
      <w:pPr>
        <w:rPr>
          <w:b/>
          <w:color w:val="000000"/>
          <w:sz w:val="28"/>
          <w:szCs w:val="24"/>
          <w:highlight w:val="none"/>
        </w:rPr>
      </w:pPr>
      <w:r>
        <w:rPr>
          <w:b/>
          <w:color w:val="000000"/>
          <w:sz w:val="28"/>
          <w:szCs w:val="24"/>
          <w:highlight w:val="none"/>
        </w:rPr>
        <w:br w:type="page"/>
      </w:r>
    </w:p>
    <w:p>
      <w:pPr>
        <w:spacing w:line="360" w:lineRule="auto"/>
        <w:jc w:val="left"/>
        <w:rPr>
          <w:rStyle w:val="59"/>
          <w:rFonts w:hint="eastAsia" w:ascii="宋体" w:hAnsi="宋体"/>
          <w:b/>
          <w:highlight w:val="none"/>
        </w:rPr>
      </w:pPr>
      <w:r>
        <w:rPr>
          <w:rStyle w:val="59"/>
          <w:rFonts w:ascii="宋体" w:hAnsi="宋体"/>
          <w:b/>
          <w:highlight w:val="none"/>
        </w:rPr>
        <w:t>格式九：</w:t>
      </w:r>
    </w:p>
    <w:p>
      <w:pPr>
        <w:spacing w:line="360" w:lineRule="auto"/>
        <w:ind w:firstLine="480"/>
        <w:jc w:val="left"/>
        <w:rPr>
          <w:color w:val="000000"/>
          <w:kern w:val="0"/>
          <w:sz w:val="20"/>
          <w:szCs w:val="20"/>
          <w:highlight w:val="none"/>
          <w:lang w:eastAsia="zh-Hans"/>
        </w:rPr>
      </w:pPr>
      <w:r>
        <w:rPr>
          <w:color w:val="000000"/>
          <w:kern w:val="0"/>
          <w:sz w:val="20"/>
          <w:szCs w:val="20"/>
          <w:highlight w:val="none"/>
          <w:lang w:eastAsia="zh-Hans"/>
        </w:rPr>
        <w:t>（以下格式文件由</w:t>
      </w:r>
      <w:r>
        <w:rPr>
          <w:rFonts w:hint="eastAsia"/>
          <w:color w:val="000000"/>
          <w:kern w:val="0"/>
          <w:sz w:val="20"/>
          <w:szCs w:val="20"/>
          <w:highlight w:val="none"/>
        </w:rPr>
        <w:t>投标人</w:t>
      </w:r>
      <w:r>
        <w:rPr>
          <w:color w:val="000000"/>
          <w:kern w:val="0"/>
          <w:sz w:val="20"/>
          <w:szCs w:val="20"/>
          <w:highlight w:val="none"/>
          <w:lang w:eastAsia="zh-Hans"/>
        </w:rPr>
        <w:t>根据需要选用）</w:t>
      </w:r>
    </w:p>
    <w:p>
      <w:pPr>
        <w:spacing w:line="360" w:lineRule="auto"/>
        <w:jc w:val="center"/>
        <w:outlineLvl w:val="3"/>
        <w:rPr>
          <w:color w:val="000000"/>
          <w:kern w:val="0"/>
          <w:sz w:val="28"/>
          <w:szCs w:val="28"/>
          <w:highlight w:val="none"/>
          <w:lang w:eastAsia="zh-Hans"/>
        </w:rPr>
      </w:pPr>
      <w:r>
        <w:rPr>
          <w:b/>
          <w:color w:val="000000"/>
          <w:kern w:val="0"/>
          <w:sz w:val="28"/>
          <w:szCs w:val="28"/>
          <w:highlight w:val="none"/>
          <w:lang w:eastAsia="zh-Hans"/>
        </w:rPr>
        <w:t>残疾人福利性单位声明函</w:t>
      </w:r>
    </w:p>
    <w:p>
      <w:pPr>
        <w:spacing w:line="360" w:lineRule="auto"/>
        <w:ind w:firstLine="480"/>
        <w:jc w:val="left"/>
        <w:rPr>
          <w:color w:val="000000"/>
          <w:kern w:val="0"/>
          <w:sz w:val="20"/>
          <w:szCs w:val="20"/>
          <w:highlight w:val="none"/>
          <w:lang w:eastAsia="zh-Hans"/>
        </w:rPr>
      </w:pPr>
      <w:r>
        <w:rPr>
          <w:color w:val="000000"/>
          <w:kern w:val="0"/>
          <w:sz w:val="20"/>
          <w:szCs w:val="20"/>
          <w:highlight w:val="none"/>
          <w:lang w:eastAsia="zh-Hans"/>
        </w:rPr>
        <w:t>本单位郑重声明，根据《财政部 民政部 中国残疾人联合会关于促进残疾人就业政府采购政策的通知》（财库〔2017〕 141号）的规定，本单位为符合条件的残疾人福利性单位，且本单位参加</w:t>
      </w:r>
      <w:r>
        <w:rPr>
          <w:color w:val="000000"/>
          <w:kern w:val="0"/>
          <w:sz w:val="20"/>
          <w:szCs w:val="20"/>
          <w:highlight w:val="none"/>
          <w:u w:val="single"/>
          <w:lang w:eastAsia="zh-Hans"/>
        </w:rPr>
        <w:t>____</w:t>
      </w:r>
      <w:r>
        <w:rPr>
          <w:color w:val="000000"/>
          <w:kern w:val="0"/>
          <w:sz w:val="20"/>
          <w:szCs w:val="20"/>
          <w:highlight w:val="none"/>
          <w:u w:val="single"/>
        </w:rPr>
        <w:t>（招标人或采购人名称）</w:t>
      </w:r>
      <w:r>
        <w:rPr>
          <w:color w:val="000000"/>
          <w:kern w:val="0"/>
          <w:sz w:val="20"/>
          <w:szCs w:val="20"/>
          <w:highlight w:val="none"/>
          <w:lang w:eastAsia="zh-Hans"/>
        </w:rPr>
        <w:t>的______项目</w:t>
      </w:r>
      <w:r>
        <w:rPr>
          <w:color w:val="000000"/>
          <w:kern w:val="0"/>
          <w:sz w:val="20"/>
          <w:szCs w:val="20"/>
          <w:highlight w:val="none"/>
        </w:rPr>
        <w:t>招标采购</w:t>
      </w:r>
      <w:r>
        <w:rPr>
          <w:color w:val="000000"/>
          <w:kern w:val="0"/>
          <w:sz w:val="20"/>
          <w:szCs w:val="20"/>
          <w:highlight w:val="none"/>
          <w:lang w:eastAsia="zh-Hans"/>
        </w:rPr>
        <w:t>活动提供本单位制造的货物（</w:t>
      </w:r>
      <w:r>
        <w:rPr>
          <w:rFonts w:hint="eastAsia" w:ascii="宋体" w:hAnsi="宋体" w:cs="宋体"/>
          <w:color w:val="000000"/>
          <w:kern w:val="0"/>
          <w:sz w:val="24"/>
          <w:szCs w:val="24"/>
          <w:highlight w:val="none"/>
          <w:lang w:eastAsia="zh-Hans"/>
        </w:rPr>
        <w:t>□</w:t>
      </w:r>
      <w:r>
        <w:rPr>
          <w:color w:val="000000"/>
          <w:kern w:val="0"/>
          <w:sz w:val="20"/>
          <w:szCs w:val="20"/>
          <w:highlight w:val="none"/>
          <w:lang w:eastAsia="zh-Hans"/>
        </w:rPr>
        <w:t>由本单位承担工程/</w:t>
      </w:r>
      <w:r>
        <w:rPr>
          <w:rFonts w:hint="eastAsia" w:ascii="宋体" w:hAnsi="宋体" w:cs="宋体"/>
          <w:color w:val="000000"/>
          <w:kern w:val="0"/>
          <w:sz w:val="24"/>
          <w:szCs w:val="24"/>
          <w:highlight w:val="none"/>
          <w:lang w:eastAsia="zh-Hans"/>
        </w:rPr>
        <w:t>□</w:t>
      </w:r>
      <w:r>
        <w:rPr>
          <w:color w:val="000000"/>
          <w:kern w:val="0"/>
          <w:sz w:val="20"/>
          <w:szCs w:val="20"/>
          <w:highlight w:val="none"/>
          <w:lang w:eastAsia="zh-Hans"/>
        </w:rPr>
        <w:t>提供服务），或者提供其他残疾人福利性单位制造的货物（不包括使用非残疾人福利性单位注册商标的货物）。</w:t>
      </w:r>
    </w:p>
    <w:p>
      <w:pPr>
        <w:spacing w:line="360" w:lineRule="auto"/>
        <w:ind w:firstLine="480"/>
        <w:jc w:val="left"/>
        <w:rPr>
          <w:color w:val="000000"/>
          <w:kern w:val="0"/>
          <w:sz w:val="20"/>
          <w:szCs w:val="20"/>
          <w:highlight w:val="none"/>
          <w:lang w:eastAsia="zh-Hans"/>
        </w:rPr>
      </w:pPr>
      <w:r>
        <w:rPr>
          <w:color w:val="000000"/>
          <w:kern w:val="0"/>
          <w:sz w:val="20"/>
          <w:szCs w:val="20"/>
          <w:highlight w:val="none"/>
          <w:lang w:eastAsia="zh-Hans"/>
        </w:rPr>
        <w:t>本单位对上述声明的真实性负责。如有虚假，将依法承担相应责任。</w:t>
      </w:r>
    </w:p>
    <w:p>
      <w:pPr>
        <w:spacing w:line="360" w:lineRule="auto"/>
        <w:jc w:val="right"/>
        <w:rPr>
          <w:color w:val="000000"/>
          <w:kern w:val="0"/>
          <w:sz w:val="20"/>
          <w:szCs w:val="20"/>
          <w:highlight w:val="none"/>
          <w:lang w:eastAsia="zh-Hans"/>
        </w:rPr>
      </w:pPr>
      <w:r>
        <w:rPr>
          <w:color w:val="000000"/>
          <w:kern w:val="0"/>
          <w:sz w:val="20"/>
          <w:szCs w:val="20"/>
          <w:highlight w:val="none"/>
          <w:lang w:eastAsia="zh-Hans"/>
        </w:rPr>
        <w:t>单位名称（盖章）：__________________</w:t>
      </w:r>
    </w:p>
    <w:p>
      <w:pPr>
        <w:spacing w:line="360" w:lineRule="auto"/>
        <w:jc w:val="right"/>
        <w:rPr>
          <w:color w:val="000000"/>
          <w:kern w:val="0"/>
          <w:sz w:val="20"/>
          <w:szCs w:val="20"/>
          <w:highlight w:val="none"/>
          <w:lang w:eastAsia="zh-Hans"/>
        </w:rPr>
      </w:pPr>
      <w:r>
        <w:rPr>
          <w:color w:val="000000"/>
          <w:kern w:val="0"/>
          <w:sz w:val="20"/>
          <w:szCs w:val="20"/>
          <w:highlight w:val="none"/>
          <w:lang w:eastAsia="zh-Hans"/>
        </w:rPr>
        <w:t xml:space="preserve"> 日  期：__________________</w:t>
      </w:r>
    </w:p>
    <w:p>
      <w:pPr>
        <w:spacing w:line="360" w:lineRule="auto"/>
        <w:ind w:firstLine="480"/>
        <w:jc w:val="left"/>
        <w:rPr>
          <w:color w:val="000000"/>
          <w:kern w:val="0"/>
          <w:sz w:val="20"/>
          <w:szCs w:val="20"/>
          <w:highlight w:val="none"/>
          <w:lang w:eastAsia="zh-Hans"/>
        </w:rPr>
      </w:pPr>
      <w:r>
        <w:rPr>
          <w:color w:val="000000"/>
          <w:kern w:val="0"/>
          <w:sz w:val="20"/>
          <w:szCs w:val="20"/>
          <w:highlight w:val="none"/>
          <w:lang w:eastAsia="zh-Hans"/>
        </w:rPr>
        <w:t>注：本函未填写或未勾选视作未做声明。</w:t>
      </w:r>
    </w:p>
    <w:p>
      <w:pPr>
        <w:rPr>
          <w:highlight w:val="none"/>
        </w:rPr>
      </w:pPr>
      <w:r>
        <w:rPr>
          <w:highlight w:val="none"/>
        </w:rPr>
        <w:br w:type="page"/>
      </w:r>
    </w:p>
    <w:p>
      <w:pPr>
        <w:spacing w:line="360" w:lineRule="auto"/>
        <w:jc w:val="left"/>
        <w:rPr>
          <w:rStyle w:val="59"/>
          <w:b/>
          <w:highlight w:val="none"/>
        </w:rPr>
      </w:pPr>
      <w:r>
        <w:rPr>
          <w:rStyle w:val="59"/>
          <w:rFonts w:ascii="宋体" w:hAnsi="宋体"/>
          <w:b/>
          <w:highlight w:val="none"/>
        </w:rPr>
        <w:t>格式</w:t>
      </w:r>
      <w:r>
        <w:rPr>
          <w:rStyle w:val="59"/>
          <w:rFonts w:hint="eastAsia" w:ascii="宋体" w:hAnsi="宋体"/>
          <w:b/>
          <w:highlight w:val="none"/>
        </w:rPr>
        <w:t>十</w:t>
      </w:r>
      <w:r>
        <w:rPr>
          <w:rStyle w:val="59"/>
          <w:rFonts w:ascii="宋体" w:hAnsi="宋体"/>
          <w:b/>
          <w:highlight w:val="none"/>
        </w:rPr>
        <w:t>：</w:t>
      </w:r>
    </w:p>
    <w:p>
      <w:pPr>
        <w:topLinePunct/>
        <w:snapToGrid w:val="0"/>
        <w:spacing w:after="200" w:line="360" w:lineRule="auto"/>
        <w:ind w:firstLine="420"/>
        <w:jc w:val="center"/>
        <w:rPr>
          <w:rStyle w:val="59"/>
          <w:rFonts w:hint="eastAsia" w:ascii="宋体" w:hAnsi="宋体"/>
          <w:b/>
          <w:bCs/>
          <w:spacing w:val="4"/>
          <w:kern w:val="0"/>
          <w:sz w:val="30"/>
          <w:szCs w:val="30"/>
          <w:highlight w:val="none"/>
        </w:rPr>
      </w:pPr>
      <w:r>
        <w:rPr>
          <w:rStyle w:val="59"/>
          <w:rFonts w:hint="eastAsia" w:ascii="宋体" w:hAnsi="宋体"/>
          <w:b/>
          <w:bCs/>
          <w:spacing w:val="4"/>
          <w:kern w:val="0"/>
          <w:sz w:val="30"/>
          <w:szCs w:val="30"/>
          <w:highlight w:val="none"/>
        </w:rPr>
        <w:t>分包意向协议书（如有）</w:t>
      </w:r>
    </w:p>
    <w:p>
      <w:pPr>
        <w:autoSpaceDE w:val="0"/>
        <w:autoSpaceDN w:val="0"/>
        <w:adjustRightInd w:val="0"/>
        <w:rPr>
          <w:rFonts w:hint="eastAsia" w:ascii="宋体" w:hAnsi="宋体"/>
          <w:highlight w:val="none"/>
        </w:rPr>
      </w:pPr>
      <w:r>
        <w:rPr>
          <w:rFonts w:hint="eastAsia" w:ascii="宋体" w:hAnsi="宋体"/>
          <w:highlight w:val="none"/>
        </w:rPr>
        <w:t>立约方：（甲公司全称）</w:t>
      </w:r>
    </w:p>
    <w:p>
      <w:pPr>
        <w:autoSpaceDE w:val="0"/>
        <w:autoSpaceDN w:val="0"/>
        <w:adjustRightInd w:val="0"/>
        <w:rPr>
          <w:rFonts w:hint="eastAsia" w:ascii="宋体" w:hAnsi="宋体"/>
          <w:highlight w:val="none"/>
        </w:rPr>
      </w:pPr>
      <w:r>
        <w:rPr>
          <w:rFonts w:hint="eastAsia" w:ascii="宋体" w:hAnsi="宋体"/>
          <w:highlight w:val="none"/>
        </w:rPr>
        <w:t>（乙公司全称）</w:t>
      </w:r>
    </w:p>
    <w:p>
      <w:pPr>
        <w:autoSpaceDE w:val="0"/>
        <w:autoSpaceDN w:val="0"/>
        <w:adjustRightInd w:val="0"/>
        <w:rPr>
          <w:rFonts w:hint="eastAsia" w:ascii="宋体" w:hAnsi="宋体"/>
          <w:highlight w:val="none"/>
        </w:rPr>
      </w:pPr>
      <w:r>
        <w:rPr>
          <w:rFonts w:hint="eastAsia" w:ascii="宋体" w:hAnsi="宋体"/>
          <w:highlight w:val="none"/>
        </w:rPr>
        <w:t>（……公司全称）</w:t>
      </w:r>
    </w:p>
    <w:p>
      <w:pPr>
        <w:autoSpaceDE w:val="0"/>
        <w:autoSpaceDN w:val="0"/>
        <w:adjustRightInd w:val="0"/>
        <w:rPr>
          <w:rFonts w:hint="eastAsia" w:ascii="宋体" w:hAnsi="宋体"/>
          <w:highlight w:val="none"/>
        </w:rPr>
      </w:pPr>
    </w:p>
    <w:p>
      <w:pPr>
        <w:autoSpaceDE w:val="0"/>
        <w:autoSpaceDN w:val="0"/>
        <w:adjustRightInd w:val="0"/>
        <w:rPr>
          <w:rFonts w:hint="eastAsia" w:ascii="宋体" w:hAnsi="宋体"/>
          <w:highlight w:val="none"/>
        </w:rPr>
      </w:pPr>
      <w:r>
        <w:rPr>
          <w:rFonts w:hint="eastAsia" w:ascii="宋体" w:hAnsi="宋体"/>
          <w:highlight w:val="none"/>
        </w:rPr>
        <w:t>（甲公司全称）、（乙公司全称）、（……公司全称）自愿达成分包意向，参加（项目名称）的投标活动。经各方充分协商一致，就项目的投标和合同实施阶段的有关事务协商一致订立意向如下：</w:t>
      </w:r>
    </w:p>
    <w:p>
      <w:pPr>
        <w:autoSpaceDE w:val="0"/>
        <w:autoSpaceDN w:val="0"/>
        <w:adjustRightInd w:val="0"/>
        <w:rPr>
          <w:rFonts w:hint="eastAsia" w:ascii="宋体" w:hAnsi="宋体"/>
          <w:highlight w:val="none"/>
        </w:rPr>
      </w:pPr>
      <w:r>
        <w:rPr>
          <w:rFonts w:hint="eastAsia" w:ascii="宋体" w:hAnsi="宋体"/>
          <w:highlight w:val="none"/>
        </w:rPr>
        <w:t>一、分包意向各方关系</w:t>
      </w:r>
    </w:p>
    <w:p>
      <w:pPr>
        <w:autoSpaceDE w:val="0"/>
        <w:autoSpaceDN w:val="0"/>
        <w:adjustRightInd w:val="0"/>
        <w:rPr>
          <w:rFonts w:hint="eastAsia" w:ascii="宋体" w:hAnsi="宋体"/>
          <w:highlight w:val="none"/>
        </w:rPr>
      </w:pPr>
      <w:r>
        <w:rPr>
          <w:rFonts w:hint="eastAsia" w:ascii="宋体" w:hAnsi="宋体"/>
          <w:highlight w:val="none"/>
        </w:rPr>
        <w:t>（甲公司全称）为投标人，（乙公司全称）、（……公司全称）为分包意向单位，（甲公司全称）以投标人的身份参加本项目的投标。若中标，（甲公司全称）与招标人签订建设工程施工合同。承接分包意向的各单位与（甲公司全称）签订分包合同。（甲公司全称）就招标项目和分包项目向招标人负责，分包单位就分包项目承担责任。</w:t>
      </w:r>
    </w:p>
    <w:p>
      <w:pPr>
        <w:autoSpaceDE w:val="0"/>
        <w:autoSpaceDN w:val="0"/>
        <w:adjustRightInd w:val="0"/>
        <w:rPr>
          <w:rFonts w:hint="eastAsia" w:ascii="宋体" w:hAnsi="宋体"/>
          <w:highlight w:val="none"/>
        </w:rPr>
      </w:pPr>
      <w:r>
        <w:rPr>
          <w:rFonts w:hint="eastAsia" w:ascii="宋体" w:hAnsi="宋体"/>
          <w:highlight w:val="none"/>
        </w:rPr>
        <w:t>二、有关事项约定如下：</w:t>
      </w:r>
    </w:p>
    <w:p>
      <w:pPr>
        <w:autoSpaceDE w:val="0"/>
        <w:autoSpaceDN w:val="0"/>
        <w:adjustRightInd w:val="0"/>
        <w:rPr>
          <w:rFonts w:hint="eastAsia" w:ascii="宋体" w:hAnsi="宋体"/>
          <w:highlight w:val="none"/>
        </w:rPr>
      </w:pPr>
      <w:r>
        <w:rPr>
          <w:rFonts w:hint="eastAsia" w:ascii="宋体" w:hAnsi="宋体"/>
          <w:highlight w:val="none"/>
        </w:rPr>
        <w:t>1.如中标，分包单位分别与（甲公司全称）签订合同书，并就中标项目分包部分承担法律责任；</w:t>
      </w:r>
    </w:p>
    <w:p>
      <w:pPr>
        <w:autoSpaceDE w:val="0"/>
        <w:autoSpaceDN w:val="0"/>
        <w:adjustRightInd w:val="0"/>
        <w:rPr>
          <w:rFonts w:hint="eastAsia" w:ascii="宋体" w:hAnsi="宋体"/>
          <w:highlight w:val="none"/>
        </w:rPr>
      </w:pPr>
      <w:r>
        <w:rPr>
          <w:rFonts w:hint="eastAsia" w:ascii="宋体" w:hAnsi="宋体"/>
          <w:highlight w:val="none"/>
        </w:rPr>
        <w:t>2.分包意向单位1　（乙公司全称）　为（请填写：小型、微型）企业，将承担适宜分包部分（具体分包内容）占合同总金额　　%的工作内容。</w:t>
      </w:r>
    </w:p>
    <w:p>
      <w:pPr>
        <w:autoSpaceDE w:val="0"/>
        <w:autoSpaceDN w:val="0"/>
        <w:adjustRightInd w:val="0"/>
        <w:rPr>
          <w:rFonts w:hint="eastAsia" w:ascii="宋体" w:hAnsi="宋体"/>
          <w:highlight w:val="none"/>
        </w:rPr>
      </w:pPr>
      <w:r>
        <w:rPr>
          <w:rFonts w:hint="eastAsia" w:ascii="宋体" w:hAnsi="宋体"/>
          <w:highlight w:val="none"/>
        </w:rPr>
        <w:t>3.分包意向单位2　（……公司全称）为（请填写：小型、微型）企业，将承担适宜分包部分（具体分包内容）占合同总金额　　%的工作内容。</w:t>
      </w:r>
    </w:p>
    <w:p>
      <w:pPr>
        <w:autoSpaceDE w:val="0"/>
        <w:autoSpaceDN w:val="0"/>
        <w:adjustRightInd w:val="0"/>
        <w:rPr>
          <w:rFonts w:hint="eastAsia" w:ascii="宋体" w:hAnsi="宋体"/>
          <w:highlight w:val="none"/>
        </w:rPr>
      </w:pPr>
      <w:r>
        <w:rPr>
          <w:rFonts w:hint="eastAsia" w:ascii="宋体" w:hAnsi="宋体"/>
          <w:highlight w:val="none"/>
        </w:rPr>
        <w:t>……</w:t>
      </w:r>
    </w:p>
    <w:p>
      <w:pPr>
        <w:autoSpaceDE w:val="0"/>
        <w:autoSpaceDN w:val="0"/>
        <w:adjustRightInd w:val="0"/>
        <w:rPr>
          <w:rFonts w:hint="eastAsia" w:ascii="宋体" w:hAnsi="宋体"/>
          <w:highlight w:val="none"/>
        </w:rPr>
      </w:pPr>
      <w:r>
        <w:rPr>
          <w:rFonts w:hint="eastAsia" w:ascii="宋体" w:hAnsi="宋体"/>
          <w:highlight w:val="none"/>
        </w:rPr>
        <w:t>三、接受分包的企业与投标人之间的关系：</w:t>
      </w:r>
    </w:p>
    <w:p>
      <w:pPr>
        <w:autoSpaceDE w:val="0"/>
        <w:autoSpaceDN w:val="0"/>
        <w:adjustRightInd w:val="0"/>
        <w:rPr>
          <w:rFonts w:hint="eastAsia" w:ascii="宋体" w:hAnsi="宋体"/>
          <w:highlight w:val="none"/>
        </w:rPr>
      </w:pPr>
      <w:r>
        <w:rPr>
          <w:rFonts w:hint="eastAsia" w:ascii="宋体" w:hAnsi="宋体"/>
          <w:highlight w:val="none"/>
        </w:rPr>
        <w:t>1.分包意向单位1　（公司全称）与投标人之间（请填写：是否存在）直接控股、管理关系的情形。</w:t>
      </w:r>
    </w:p>
    <w:p>
      <w:pPr>
        <w:autoSpaceDE w:val="0"/>
        <w:autoSpaceDN w:val="0"/>
        <w:adjustRightInd w:val="0"/>
        <w:rPr>
          <w:rFonts w:hint="eastAsia" w:ascii="宋体" w:hAnsi="宋体"/>
          <w:highlight w:val="none"/>
        </w:rPr>
      </w:pPr>
      <w:r>
        <w:rPr>
          <w:rFonts w:hint="eastAsia" w:ascii="宋体" w:hAnsi="宋体"/>
          <w:highlight w:val="none"/>
        </w:rPr>
        <w:t>2.分包意向单位2　（公司全称）与投标人之间（请填写：是否存在）直接控股、管理关系的情形。</w:t>
      </w:r>
    </w:p>
    <w:p>
      <w:pPr>
        <w:autoSpaceDE w:val="0"/>
        <w:autoSpaceDN w:val="0"/>
        <w:adjustRightInd w:val="0"/>
        <w:rPr>
          <w:rFonts w:hint="eastAsia" w:ascii="宋体" w:hAnsi="宋体"/>
          <w:highlight w:val="none"/>
        </w:rPr>
      </w:pPr>
      <w:r>
        <w:rPr>
          <w:rFonts w:hint="eastAsia" w:ascii="宋体" w:hAnsi="宋体"/>
          <w:highlight w:val="none"/>
        </w:rPr>
        <w:t>……</w:t>
      </w:r>
    </w:p>
    <w:p>
      <w:pPr>
        <w:autoSpaceDE w:val="0"/>
        <w:autoSpaceDN w:val="0"/>
        <w:adjustRightInd w:val="0"/>
        <w:rPr>
          <w:rFonts w:hint="eastAsia" w:ascii="宋体" w:hAnsi="宋体"/>
          <w:highlight w:val="none"/>
        </w:rPr>
      </w:pPr>
      <w:r>
        <w:rPr>
          <w:rFonts w:hint="eastAsia" w:ascii="宋体" w:hAnsi="宋体"/>
          <w:highlight w:val="none"/>
        </w:rPr>
        <w:t>四、如因违约过失责任而导致招标人经济损失或被索赔时，（甲公司全称）同意无条件优先清偿招标人的一切债务和经济赔偿。</w:t>
      </w:r>
    </w:p>
    <w:p>
      <w:pPr>
        <w:autoSpaceDE w:val="0"/>
        <w:autoSpaceDN w:val="0"/>
        <w:adjustRightInd w:val="0"/>
        <w:rPr>
          <w:rFonts w:hint="eastAsia" w:ascii="宋体" w:hAnsi="宋体"/>
          <w:highlight w:val="none"/>
        </w:rPr>
      </w:pPr>
      <w:r>
        <w:rPr>
          <w:rFonts w:hint="eastAsia" w:ascii="宋体" w:hAnsi="宋体"/>
          <w:highlight w:val="none"/>
        </w:rPr>
        <w:t>五、如中标，分包意向单位不得以任何理由提出终止本意向协议。</w:t>
      </w:r>
    </w:p>
    <w:p>
      <w:pPr>
        <w:autoSpaceDE w:val="0"/>
        <w:autoSpaceDN w:val="0"/>
        <w:adjustRightInd w:val="0"/>
        <w:rPr>
          <w:rFonts w:hint="eastAsia" w:ascii="宋体" w:hAnsi="宋体"/>
          <w:highlight w:val="none"/>
        </w:rPr>
      </w:pPr>
      <w:r>
        <w:rPr>
          <w:rFonts w:hint="eastAsia" w:ascii="宋体" w:hAnsi="宋体"/>
          <w:highlight w:val="none"/>
        </w:rPr>
        <w:t>六、如中标，分包意向单位确定后，不得擅自变更。</w:t>
      </w:r>
    </w:p>
    <w:p>
      <w:pPr>
        <w:autoSpaceDE w:val="0"/>
        <w:autoSpaceDN w:val="0"/>
        <w:adjustRightInd w:val="0"/>
        <w:rPr>
          <w:rFonts w:hint="eastAsia" w:ascii="宋体" w:hAnsi="宋体"/>
          <w:highlight w:val="none"/>
        </w:rPr>
      </w:pPr>
      <w:r>
        <w:rPr>
          <w:rFonts w:hint="eastAsia" w:ascii="宋体" w:hAnsi="宋体"/>
          <w:highlight w:val="none"/>
        </w:rPr>
        <w:t>七、本意向书在自签署之日起生效，有效期内有效，如获中标资格，有效期延续至合同履行完毕之日。</w:t>
      </w:r>
    </w:p>
    <w:p>
      <w:pPr>
        <w:autoSpaceDE w:val="0"/>
        <w:autoSpaceDN w:val="0"/>
        <w:adjustRightInd w:val="0"/>
        <w:rPr>
          <w:rFonts w:hint="eastAsia" w:ascii="宋体" w:hAnsi="宋体"/>
          <w:highlight w:val="none"/>
        </w:rPr>
      </w:pPr>
    </w:p>
    <w:p>
      <w:pPr>
        <w:autoSpaceDE w:val="0"/>
        <w:autoSpaceDN w:val="0"/>
        <w:adjustRightInd w:val="0"/>
        <w:rPr>
          <w:rFonts w:hint="eastAsia" w:ascii="宋体" w:hAnsi="宋体"/>
          <w:highlight w:val="none"/>
        </w:rPr>
      </w:pPr>
    </w:p>
    <w:p>
      <w:pPr>
        <w:autoSpaceDE w:val="0"/>
        <w:autoSpaceDN w:val="0"/>
        <w:adjustRightInd w:val="0"/>
        <w:rPr>
          <w:rFonts w:hint="eastAsia" w:ascii="宋体" w:hAnsi="宋体"/>
          <w:highlight w:val="none"/>
        </w:rPr>
      </w:pPr>
    </w:p>
    <w:p>
      <w:pPr>
        <w:autoSpaceDE w:val="0"/>
        <w:autoSpaceDN w:val="0"/>
        <w:adjustRightInd w:val="0"/>
        <w:rPr>
          <w:rFonts w:hint="eastAsia" w:ascii="宋体" w:hAnsi="宋体"/>
          <w:highlight w:val="none"/>
        </w:rPr>
      </w:pPr>
      <w:r>
        <w:rPr>
          <w:rFonts w:hint="eastAsia" w:ascii="宋体" w:hAnsi="宋体"/>
          <w:highlight w:val="none"/>
        </w:rPr>
        <w:t>甲公司全称：（盖章）</w:t>
      </w:r>
      <w:r>
        <w:rPr>
          <w:rFonts w:hint="eastAsia" w:ascii="宋体" w:hAnsi="宋体"/>
          <w:highlight w:val="none"/>
        </w:rPr>
        <w:tab/>
      </w:r>
    </w:p>
    <w:p>
      <w:pPr>
        <w:autoSpaceDE w:val="0"/>
        <w:autoSpaceDN w:val="0"/>
        <w:adjustRightInd w:val="0"/>
        <w:rPr>
          <w:rFonts w:hint="eastAsia" w:ascii="宋体" w:hAnsi="宋体"/>
          <w:highlight w:val="none"/>
        </w:rPr>
      </w:pPr>
      <w:r>
        <w:rPr>
          <w:rFonts w:hint="eastAsia" w:ascii="宋体" w:hAnsi="宋体"/>
          <w:highlight w:val="none"/>
        </w:rPr>
        <w:t>法定代表人（签字或盖章）</w:t>
      </w:r>
    </w:p>
    <w:p>
      <w:pPr>
        <w:autoSpaceDE w:val="0"/>
        <w:autoSpaceDN w:val="0"/>
        <w:adjustRightInd w:val="0"/>
        <w:rPr>
          <w:rFonts w:hint="eastAsia" w:ascii="宋体" w:hAnsi="宋体"/>
          <w:highlight w:val="none"/>
        </w:rPr>
      </w:pPr>
      <w:r>
        <w:rPr>
          <w:rFonts w:hint="eastAsia" w:ascii="宋体" w:hAnsi="宋体"/>
          <w:highlight w:val="none"/>
        </w:rPr>
        <w:t>　　年　　月　　日</w:t>
      </w:r>
      <w:r>
        <w:rPr>
          <w:rFonts w:hint="eastAsia" w:ascii="宋体" w:hAnsi="宋体"/>
          <w:highlight w:val="none"/>
        </w:rPr>
        <w:tab/>
      </w:r>
    </w:p>
    <w:p>
      <w:pPr>
        <w:autoSpaceDE w:val="0"/>
        <w:autoSpaceDN w:val="0"/>
        <w:adjustRightInd w:val="0"/>
        <w:rPr>
          <w:rFonts w:hint="eastAsia" w:ascii="宋体" w:hAnsi="宋体"/>
          <w:highlight w:val="none"/>
        </w:rPr>
      </w:pPr>
    </w:p>
    <w:p>
      <w:pPr>
        <w:autoSpaceDE w:val="0"/>
        <w:autoSpaceDN w:val="0"/>
        <w:adjustRightInd w:val="0"/>
        <w:rPr>
          <w:rFonts w:hint="eastAsia" w:ascii="宋体" w:hAnsi="宋体"/>
          <w:highlight w:val="none"/>
        </w:rPr>
      </w:pPr>
      <w:r>
        <w:rPr>
          <w:rFonts w:hint="eastAsia" w:ascii="宋体" w:hAnsi="宋体"/>
          <w:highlight w:val="none"/>
        </w:rPr>
        <w:t>乙公司全称：（盖章）</w:t>
      </w:r>
      <w:r>
        <w:rPr>
          <w:rFonts w:hint="eastAsia" w:ascii="宋体" w:hAnsi="宋体"/>
          <w:highlight w:val="none"/>
        </w:rPr>
        <w:tab/>
      </w:r>
    </w:p>
    <w:p>
      <w:pPr>
        <w:autoSpaceDE w:val="0"/>
        <w:autoSpaceDN w:val="0"/>
        <w:adjustRightInd w:val="0"/>
        <w:rPr>
          <w:rFonts w:hint="eastAsia" w:ascii="宋体" w:hAnsi="宋体"/>
          <w:highlight w:val="none"/>
        </w:rPr>
      </w:pPr>
      <w:r>
        <w:rPr>
          <w:rFonts w:hint="eastAsia" w:ascii="宋体" w:hAnsi="宋体"/>
          <w:highlight w:val="none"/>
        </w:rPr>
        <w:t>法定代表人（签字或盖章）</w:t>
      </w:r>
      <w:r>
        <w:rPr>
          <w:rFonts w:hint="eastAsia" w:ascii="宋体" w:hAnsi="宋体"/>
          <w:highlight w:val="none"/>
        </w:rPr>
        <w:tab/>
      </w:r>
    </w:p>
    <w:p>
      <w:pPr>
        <w:autoSpaceDE w:val="0"/>
        <w:autoSpaceDN w:val="0"/>
        <w:adjustRightInd w:val="0"/>
        <w:rPr>
          <w:rFonts w:hint="eastAsia" w:ascii="宋体" w:hAnsi="宋体"/>
          <w:highlight w:val="none"/>
        </w:rPr>
      </w:pPr>
      <w:r>
        <w:rPr>
          <w:rFonts w:hint="eastAsia" w:ascii="宋体" w:hAnsi="宋体"/>
          <w:highlight w:val="none"/>
        </w:rPr>
        <w:t>年　　月　　日</w:t>
      </w:r>
      <w:r>
        <w:rPr>
          <w:rFonts w:hint="eastAsia" w:ascii="宋体" w:hAnsi="宋体"/>
          <w:highlight w:val="none"/>
        </w:rPr>
        <w:tab/>
      </w:r>
    </w:p>
    <w:p>
      <w:pPr>
        <w:autoSpaceDE w:val="0"/>
        <w:autoSpaceDN w:val="0"/>
        <w:adjustRightInd w:val="0"/>
        <w:rPr>
          <w:rFonts w:hint="eastAsia" w:ascii="宋体" w:hAnsi="宋体"/>
          <w:highlight w:val="none"/>
        </w:rPr>
      </w:pPr>
    </w:p>
    <w:p>
      <w:pPr>
        <w:autoSpaceDE w:val="0"/>
        <w:autoSpaceDN w:val="0"/>
        <w:adjustRightInd w:val="0"/>
        <w:rPr>
          <w:rFonts w:hint="eastAsia" w:ascii="宋体" w:hAnsi="宋体"/>
          <w:highlight w:val="none"/>
        </w:rPr>
      </w:pPr>
      <w:r>
        <w:rPr>
          <w:rFonts w:hint="eastAsia" w:ascii="宋体" w:hAnsi="宋体"/>
          <w:highlight w:val="none"/>
        </w:rPr>
        <w:t>……公司全称（盖章）</w:t>
      </w:r>
    </w:p>
    <w:p>
      <w:pPr>
        <w:autoSpaceDE w:val="0"/>
        <w:autoSpaceDN w:val="0"/>
        <w:adjustRightInd w:val="0"/>
        <w:rPr>
          <w:rFonts w:hint="eastAsia" w:ascii="宋体" w:hAnsi="宋体"/>
          <w:highlight w:val="none"/>
        </w:rPr>
      </w:pPr>
      <w:r>
        <w:rPr>
          <w:rFonts w:hint="eastAsia" w:ascii="宋体" w:hAnsi="宋体"/>
          <w:highlight w:val="none"/>
        </w:rPr>
        <w:t>法定代表人：（签字或盖章）</w:t>
      </w:r>
    </w:p>
    <w:p>
      <w:pPr>
        <w:autoSpaceDE w:val="0"/>
        <w:autoSpaceDN w:val="0"/>
        <w:adjustRightInd w:val="0"/>
        <w:rPr>
          <w:rFonts w:hint="eastAsia" w:ascii="宋体" w:hAnsi="宋体"/>
          <w:highlight w:val="none"/>
        </w:rPr>
      </w:pPr>
      <w:r>
        <w:rPr>
          <w:rFonts w:hint="eastAsia" w:ascii="宋体" w:hAnsi="宋体"/>
          <w:highlight w:val="none"/>
        </w:rPr>
        <w:t>　　年　　月　　日</w:t>
      </w:r>
    </w:p>
    <w:p>
      <w:pPr>
        <w:autoSpaceDE w:val="0"/>
        <w:autoSpaceDN w:val="0"/>
        <w:adjustRightInd w:val="0"/>
        <w:rPr>
          <w:rFonts w:hint="eastAsia" w:ascii="宋体" w:hAnsi="宋体"/>
          <w:highlight w:val="none"/>
        </w:rPr>
      </w:pPr>
    </w:p>
    <w:p>
      <w:pPr>
        <w:autoSpaceDE w:val="0"/>
        <w:autoSpaceDN w:val="0"/>
        <w:adjustRightInd w:val="0"/>
        <w:rPr>
          <w:rFonts w:hint="eastAsia" w:ascii="宋体" w:hAnsi="宋体"/>
          <w:highlight w:val="none"/>
        </w:rPr>
      </w:pPr>
      <w:r>
        <w:rPr>
          <w:rFonts w:hint="eastAsia" w:ascii="宋体" w:hAnsi="宋体"/>
          <w:highlight w:val="none"/>
        </w:rPr>
        <w:t>注：1．各方成员应在本意向书上共同盖章确认。</w:t>
      </w:r>
    </w:p>
    <w:p>
      <w:pPr>
        <w:autoSpaceDE w:val="0"/>
        <w:autoSpaceDN w:val="0"/>
        <w:adjustRightInd w:val="0"/>
        <w:rPr>
          <w:rFonts w:hint="eastAsia" w:ascii="宋体" w:hAnsi="宋体"/>
          <w:highlight w:val="none"/>
        </w:rPr>
      </w:pPr>
      <w:r>
        <w:rPr>
          <w:rFonts w:hint="eastAsia" w:ascii="宋体" w:hAnsi="宋体"/>
          <w:highlight w:val="none"/>
        </w:rPr>
        <w:t>2．本意向书内容将作为签订合同的附件之一。</w:t>
      </w:r>
    </w:p>
    <w:p>
      <w:pPr>
        <w:rPr>
          <w:highlight w:val="none"/>
        </w:rPr>
      </w:pPr>
    </w:p>
    <w:p>
      <w:pPr>
        <w:rPr>
          <w:highlight w:val="none"/>
        </w:rPr>
      </w:pPr>
    </w:p>
    <w:p>
      <w:pPr>
        <w:jc w:val="left"/>
        <w:rPr>
          <w:rStyle w:val="59"/>
          <w:rFonts w:hint="eastAsia" w:ascii="宋体" w:hAnsi="宋体"/>
          <w:b/>
          <w:spacing w:val="4"/>
          <w:kern w:val="0"/>
          <w:sz w:val="30"/>
          <w:szCs w:val="30"/>
          <w:highlight w:val="none"/>
        </w:rPr>
      </w:pPr>
      <w:r>
        <w:rPr>
          <w:rStyle w:val="59"/>
          <w:rFonts w:ascii="宋体" w:hAnsi="宋体"/>
          <w:b/>
          <w:spacing w:val="4"/>
          <w:kern w:val="0"/>
          <w:sz w:val="30"/>
          <w:szCs w:val="30"/>
          <w:highlight w:val="none"/>
        </w:rPr>
        <w:br w:type="page"/>
      </w:r>
    </w:p>
    <w:p>
      <w:pPr>
        <w:spacing w:line="360" w:lineRule="auto"/>
        <w:jc w:val="center"/>
        <w:rPr>
          <w:rStyle w:val="59"/>
          <w:rFonts w:hint="eastAsia" w:ascii="宋体" w:hAnsi="宋体"/>
          <w:b/>
          <w:spacing w:val="4"/>
          <w:kern w:val="0"/>
          <w:sz w:val="30"/>
          <w:szCs w:val="30"/>
          <w:highlight w:val="none"/>
        </w:rPr>
      </w:pPr>
      <w:r>
        <w:rPr>
          <w:rStyle w:val="59"/>
          <w:rFonts w:ascii="宋体" w:hAnsi="宋体"/>
          <w:b/>
          <w:spacing w:val="4"/>
          <w:kern w:val="0"/>
          <w:sz w:val="30"/>
          <w:szCs w:val="30"/>
          <w:highlight w:val="none"/>
        </w:rPr>
        <w:t>二、经济标投标文件格式</w:t>
      </w:r>
    </w:p>
    <w:p>
      <w:pPr>
        <w:topLinePunct/>
        <w:snapToGrid w:val="0"/>
        <w:spacing w:before="156" w:after="156" w:line="360" w:lineRule="auto"/>
        <w:jc w:val="left"/>
        <w:rPr>
          <w:rStyle w:val="59"/>
          <w:rFonts w:hint="eastAsia" w:ascii="宋体" w:hAnsi="宋体"/>
          <w:b/>
          <w:spacing w:val="4"/>
          <w:kern w:val="0"/>
          <w:sz w:val="24"/>
          <w:szCs w:val="24"/>
          <w:highlight w:val="none"/>
        </w:rPr>
      </w:pPr>
    </w:p>
    <w:p>
      <w:pPr>
        <w:topLinePunct/>
        <w:snapToGrid w:val="0"/>
        <w:spacing w:before="156" w:after="156" w:line="360" w:lineRule="auto"/>
        <w:jc w:val="left"/>
        <w:rPr>
          <w:rStyle w:val="59"/>
          <w:rFonts w:ascii="宋体" w:cs="宋体"/>
          <w:b/>
          <w:bCs/>
          <w:highlight w:val="none"/>
        </w:rPr>
      </w:pPr>
      <w:r>
        <w:rPr>
          <w:rStyle w:val="59"/>
          <w:rFonts w:ascii="宋体" w:cs="宋体"/>
          <w:b/>
          <w:bCs/>
          <w:highlight w:val="none"/>
        </w:rPr>
        <w:t>格式</w:t>
      </w:r>
      <w:r>
        <w:rPr>
          <w:rStyle w:val="59"/>
          <w:rFonts w:hint="eastAsia" w:ascii="宋体" w:cs="宋体"/>
          <w:b/>
          <w:bCs/>
          <w:highlight w:val="none"/>
        </w:rPr>
        <w:t>一：</w:t>
      </w:r>
    </w:p>
    <w:p>
      <w:pPr>
        <w:topLinePunct/>
        <w:snapToGrid w:val="0"/>
        <w:spacing w:line="360" w:lineRule="auto"/>
        <w:ind w:firstLine="498" w:firstLineChars="200"/>
        <w:rPr>
          <w:rStyle w:val="59"/>
          <w:rFonts w:hint="eastAsia" w:ascii="宋体" w:hAnsi="宋体"/>
          <w:b/>
          <w:spacing w:val="4"/>
          <w:kern w:val="0"/>
          <w:sz w:val="24"/>
          <w:szCs w:val="24"/>
          <w:highlight w:val="none"/>
        </w:rPr>
      </w:pPr>
    </w:p>
    <w:p>
      <w:pPr>
        <w:topLinePunct/>
        <w:snapToGrid w:val="0"/>
        <w:spacing w:line="360" w:lineRule="auto"/>
        <w:ind w:firstLine="617"/>
        <w:jc w:val="center"/>
        <w:rPr>
          <w:rStyle w:val="59"/>
          <w:rFonts w:hint="eastAsia" w:ascii="宋体" w:hAnsi="宋体"/>
          <w:b/>
          <w:spacing w:val="4"/>
          <w:kern w:val="0"/>
          <w:sz w:val="30"/>
          <w:szCs w:val="30"/>
          <w:highlight w:val="none"/>
        </w:rPr>
      </w:pPr>
      <w:r>
        <w:rPr>
          <w:rStyle w:val="59"/>
          <w:rFonts w:hint="eastAsia" w:ascii="宋体" w:hAnsi="宋体"/>
          <w:b/>
          <w:spacing w:val="4"/>
          <w:kern w:val="0"/>
          <w:sz w:val="30"/>
          <w:szCs w:val="30"/>
          <w:highlight w:val="none"/>
        </w:rPr>
        <w:t>广州建设工程施工招标投标书（经济标）</w:t>
      </w:r>
    </w:p>
    <w:tbl>
      <w:tblPr>
        <w:tblStyle w:val="2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099"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sz w:val="24"/>
                <w:szCs w:val="24"/>
                <w:highlight w:val="none"/>
                <w:lang w:val="zh-CN"/>
              </w:rPr>
              <w:t>工程名称</w:t>
            </w:r>
          </w:p>
        </w:tc>
        <w:tc>
          <w:tcPr>
            <w:tcW w:w="5621"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line="360" w:lineRule="auto"/>
              <w:textAlignment w:val="auto"/>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099"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sz w:val="24"/>
                <w:szCs w:val="24"/>
                <w:highlight w:val="none"/>
                <w:lang w:val="zh-CN"/>
              </w:rPr>
              <w:t>投标总报价（元）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sz w:val="24"/>
                <w:szCs w:val="24"/>
                <w:highlight w:val="none"/>
                <w:lang w:val="zh-CN"/>
              </w:rPr>
            </w:pPr>
            <w:r>
              <w:rPr>
                <w:rFonts w:hint="eastAsia" w:ascii="宋体" w:hAnsi="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9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auto"/>
              <w:rPr>
                <w:rFonts w:hint="eastAsia" w:ascii="宋体" w:hAnsi="宋体" w:cs="宋体"/>
                <w:bCs/>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sz w:val="24"/>
                <w:szCs w:val="24"/>
                <w:highlight w:val="none"/>
                <w:lang w:val="zh-CN"/>
              </w:rPr>
            </w:pPr>
            <w:r>
              <w:rPr>
                <w:rFonts w:hint="eastAsia" w:ascii="宋体" w:hAnsi="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099" w:type="dxa"/>
            <w:vMerge w:val="restart"/>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jc w:val="center"/>
              <w:textAlignment w:val="auto"/>
              <w:rPr>
                <w:rFonts w:hint="eastAsia" w:ascii="宋体" w:hAnsi="宋体" w:cs="宋体"/>
                <w:bCs/>
                <w:sz w:val="24"/>
                <w:szCs w:val="24"/>
                <w:highlight w:val="none"/>
                <w:lang w:val="zh-CN"/>
              </w:rPr>
            </w:pPr>
            <w:r>
              <w:rPr>
                <w:rFonts w:hint="eastAsia" w:ascii="宋体" w:hAnsi="宋体" w:cs="宋体"/>
                <w:sz w:val="24"/>
                <w:szCs w:val="24"/>
                <w:highlight w:val="none"/>
                <w:lang w:val="zh-CN"/>
              </w:rPr>
              <w:t>其中：</w:t>
            </w:r>
            <w:r>
              <w:rPr>
                <w:rFonts w:hint="eastAsia" w:ascii="宋体" w:hAnsi="宋体" w:cs="宋体"/>
                <w:bCs/>
                <w:sz w:val="24"/>
                <w:szCs w:val="24"/>
                <w:highlight w:val="none"/>
                <w:lang w:val="zh-CN"/>
              </w:rPr>
              <w:t>人工费</w:t>
            </w:r>
            <w:r>
              <w:rPr>
                <w:rFonts w:hint="eastAsia" w:ascii="宋体" w:hAnsi="宋体" w:cs="宋体"/>
                <w:sz w:val="24"/>
                <w:szCs w:val="24"/>
                <w:highlight w:val="none"/>
                <w:lang w:val="zh-CN"/>
              </w:rPr>
              <w:t>（元）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sz w:val="24"/>
                <w:szCs w:val="24"/>
                <w:highlight w:val="none"/>
                <w:lang w:val="zh-CN"/>
              </w:rPr>
            </w:pPr>
            <w:r>
              <w:rPr>
                <w:rFonts w:hint="eastAsia" w:ascii="宋体" w:hAnsi="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auto"/>
              <w:rPr>
                <w:rFonts w:hint="eastAsia" w:ascii="宋体" w:hAnsi="宋体" w:cs="宋体"/>
                <w:bCs/>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sz w:val="24"/>
                <w:szCs w:val="24"/>
                <w:highlight w:val="none"/>
                <w:lang w:val="zh-CN"/>
              </w:rPr>
            </w:pPr>
            <w:r>
              <w:rPr>
                <w:rFonts w:hint="eastAsia" w:ascii="宋体" w:hAnsi="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restart"/>
            <w:tcBorders>
              <w:top w:val="single" w:color="auto" w:sz="4" w:space="0"/>
              <w:left w:val="single" w:color="auto" w:sz="4" w:space="0"/>
              <w:right w:val="single" w:color="auto" w:sz="4" w:space="0"/>
            </w:tcBorders>
            <w:vAlign w:val="center"/>
          </w:tcPr>
          <w:p>
            <w:pPr>
              <w:spacing w:line="360" w:lineRule="auto"/>
              <w:jc w:val="left"/>
              <w:textAlignment w:val="auto"/>
              <w:rPr>
                <w:rFonts w:hint="eastAsia" w:ascii="宋体" w:hAnsi="宋体" w:cs="宋体"/>
                <w:b/>
                <w:sz w:val="24"/>
                <w:szCs w:val="24"/>
                <w:highlight w:val="none"/>
                <w:lang w:val="zh-CN"/>
              </w:rPr>
            </w:pPr>
            <w:r>
              <w:rPr>
                <w:rFonts w:hint="eastAsia" w:ascii="宋体" w:hAnsi="宋体" w:cs="宋体"/>
                <w:bCs/>
                <w:sz w:val="24"/>
                <w:szCs w:val="24"/>
                <w:highlight w:val="none"/>
                <w:lang w:val="zh-CN"/>
              </w:rPr>
              <w:t>其中：</w:t>
            </w:r>
            <w:r>
              <w:rPr>
                <w:rFonts w:hint="eastAsia" w:ascii="宋体" w:hAnsi="宋体" w:cs="宋体"/>
                <w:sz w:val="24"/>
                <w:szCs w:val="24"/>
                <w:highlight w:val="none"/>
                <w:lang w:val="zh-CN"/>
              </w:rPr>
              <w:t>绿色施工安全防护措施费（元）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sz w:val="24"/>
                <w:szCs w:val="24"/>
                <w:highlight w:val="none"/>
                <w:lang w:val="zh-CN"/>
              </w:rPr>
            </w:pPr>
            <w:r>
              <w:rPr>
                <w:rFonts w:hint="eastAsia" w:ascii="宋体" w:hAnsi="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left w:val="single" w:color="auto" w:sz="4" w:space="0"/>
              <w:right w:val="single" w:color="auto" w:sz="4" w:space="0"/>
            </w:tcBorders>
            <w:vAlign w:val="center"/>
          </w:tcPr>
          <w:p>
            <w:pPr>
              <w:spacing w:line="360" w:lineRule="auto"/>
              <w:jc w:val="left"/>
              <w:textAlignment w:val="auto"/>
              <w:rPr>
                <w:rFonts w:hint="eastAsia" w:ascii="宋体" w:hAnsi="宋体" w:cs="宋体"/>
                <w:bCs/>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cs="宋体"/>
                <w:bCs/>
                <w:sz w:val="24"/>
                <w:szCs w:val="24"/>
                <w:highlight w:val="none"/>
                <w:lang w:val="zh-CN"/>
              </w:rPr>
            </w:pPr>
            <w:r>
              <w:rPr>
                <w:rFonts w:hint="eastAsia" w:ascii="宋体" w:hAnsi="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restart"/>
            <w:tcBorders>
              <w:left w:val="single" w:color="auto" w:sz="4" w:space="0"/>
              <w:right w:val="single" w:color="auto" w:sz="4" w:space="0"/>
            </w:tcBorders>
            <w:vAlign w:val="center"/>
          </w:tcPr>
          <w:p>
            <w:pPr>
              <w:spacing w:line="360" w:lineRule="auto"/>
              <w:jc w:val="left"/>
              <w:textAlignment w:val="auto"/>
              <w:rPr>
                <w:rFonts w:hint="eastAsia" w:ascii="宋体" w:hAnsi="宋体" w:cs="宋体"/>
                <w:bCs/>
                <w:sz w:val="24"/>
                <w:szCs w:val="24"/>
                <w:highlight w:val="none"/>
                <w:lang w:val="zh-CN"/>
              </w:rPr>
            </w:pPr>
            <w:r>
              <w:rPr>
                <w:rFonts w:hint="eastAsia" w:ascii="宋体" w:hAnsi="宋体" w:cs="宋体"/>
                <w:bCs/>
                <w:sz w:val="24"/>
                <w:szCs w:val="24"/>
                <w:highlight w:val="none"/>
                <w:lang w:val="zh-CN"/>
              </w:rPr>
              <w:t>其中： 暂列金额</w:t>
            </w:r>
            <w:r>
              <w:rPr>
                <w:rFonts w:hint="eastAsia" w:ascii="宋体" w:hAnsi="宋体" w:cs="宋体"/>
                <w:sz w:val="24"/>
                <w:szCs w:val="24"/>
                <w:highlight w:val="none"/>
                <w:lang w:val="zh-CN"/>
              </w:rPr>
              <w:t>（元）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sz w:val="24"/>
                <w:szCs w:val="24"/>
                <w:highlight w:val="none"/>
              </w:rPr>
            </w:pPr>
            <w:r>
              <w:rPr>
                <w:rFonts w:hint="eastAsia" w:ascii="宋体" w:hAnsi="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099" w:type="dxa"/>
            <w:vMerge w:val="continue"/>
            <w:tcBorders>
              <w:left w:val="single" w:color="auto" w:sz="4" w:space="0"/>
              <w:right w:val="single" w:color="auto" w:sz="4" w:space="0"/>
            </w:tcBorders>
            <w:vAlign w:val="center"/>
          </w:tcPr>
          <w:p>
            <w:pPr>
              <w:spacing w:line="360" w:lineRule="auto"/>
              <w:jc w:val="left"/>
              <w:textAlignment w:val="auto"/>
              <w:rPr>
                <w:rFonts w:hint="eastAsia" w:ascii="宋体" w:hAnsi="宋体" w:cs="宋体"/>
                <w:bCs/>
                <w:sz w:val="24"/>
                <w:szCs w:val="24"/>
                <w:highlight w:val="none"/>
                <w:lang w:val="zh-CN"/>
              </w:rPr>
            </w:pPr>
          </w:p>
        </w:tc>
        <w:tc>
          <w:tcPr>
            <w:tcW w:w="5621"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360" w:lineRule="auto"/>
              <w:textAlignment w:val="auto"/>
              <w:rPr>
                <w:rFonts w:hint="eastAsia" w:ascii="宋体" w:hAnsi="宋体"/>
                <w:sz w:val="24"/>
                <w:szCs w:val="24"/>
                <w:highlight w:val="none"/>
              </w:rPr>
            </w:pPr>
            <w:r>
              <w:rPr>
                <w:rFonts w:hint="eastAsia" w:ascii="宋体" w:hAnsi="宋体"/>
                <w:sz w:val="24"/>
                <w:szCs w:val="24"/>
                <w:highlight w:val="none"/>
              </w:rPr>
              <w:t>小写：</w:t>
            </w:r>
          </w:p>
        </w:tc>
      </w:tr>
    </w:tbl>
    <w:p>
      <w:pPr>
        <w:topLinePunct/>
        <w:snapToGrid w:val="0"/>
        <w:spacing w:line="360" w:lineRule="auto"/>
        <w:rPr>
          <w:rStyle w:val="59"/>
          <w:rFonts w:hint="eastAsia" w:ascii="宋体" w:hAnsi="宋体"/>
          <w:spacing w:val="4"/>
          <w:kern w:val="0"/>
          <w:sz w:val="24"/>
          <w:szCs w:val="24"/>
          <w:highlight w:val="none"/>
        </w:rPr>
      </w:pPr>
    </w:p>
    <w:p>
      <w:pPr>
        <w:pStyle w:val="149"/>
        <w:spacing w:line="360" w:lineRule="auto"/>
        <w:rPr>
          <w:rStyle w:val="59"/>
          <w:rFonts w:hint="eastAsia" w:ascii="宋体" w:eastAsia="宋体"/>
          <w:highlight w:val="none"/>
        </w:rPr>
      </w:pPr>
      <w:r>
        <w:rPr>
          <w:rStyle w:val="59"/>
          <w:rFonts w:ascii="宋体" w:eastAsia="宋体"/>
          <w:b/>
          <w:highlight w:val="none"/>
        </w:rPr>
        <w:br w:type="page"/>
      </w:r>
      <w:r>
        <w:rPr>
          <w:rStyle w:val="59"/>
          <w:rFonts w:ascii="宋体" w:eastAsia="宋体" w:cs="宋体"/>
          <w:b/>
          <w:bCs/>
          <w:highlight w:val="none"/>
        </w:rPr>
        <w:t>格式</w:t>
      </w:r>
      <w:r>
        <w:rPr>
          <w:rStyle w:val="59"/>
          <w:rFonts w:hint="eastAsia" w:ascii="宋体" w:eastAsia="宋体" w:cs="宋体"/>
          <w:b/>
          <w:bCs/>
          <w:highlight w:val="none"/>
        </w:rPr>
        <w:t>二</w:t>
      </w:r>
    </w:p>
    <w:p>
      <w:pPr>
        <w:topLinePunct/>
        <w:snapToGrid w:val="0"/>
        <w:spacing w:after="200" w:line="360" w:lineRule="auto"/>
        <w:jc w:val="center"/>
        <w:rPr>
          <w:rStyle w:val="59"/>
          <w:rFonts w:hint="eastAsia" w:ascii="宋体" w:hAnsi="宋体"/>
          <w:b/>
          <w:bCs/>
          <w:spacing w:val="4"/>
          <w:kern w:val="0"/>
          <w:sz w:val="30"/>
          <w:szCs w:val="30"/>
          <w:highlight w:val="none"/>
        </w:rPr>
      </w:pPr>
      <w:r>
        <w:rPr>
          <w:rStyle w:val="59"/>
          <w:rFonts w:ascii="宋体" w:hAnsi="宋体"/>
          <w:b/>
          <w:bCs/>
          <w:spacing w:val="4"/>
          <w:kern w:val="0"/>
          <w:sz w:val="30"/>
          <w:szCs w:val="30"/>
          <w:highlight w:val="none"/>
        </w:rPr>
        <w:t>参与编制经济标投标文件人员名单</w:t>
      </w:r>
    </w:p>
    <w:tbl>
      <w:tblPr>
        <w:tblStyle w:val="2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376"/>
        <w:gridCol w:w="2350"/>
        <w:gridCol w:w="2251"/>
        <w:gridCol w:w="1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514" w:type="dxa"/>
            <w:gridSpan w:val="5"/>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姓名</w:t>
            </w: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职务</w:t>
            </w: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所承担工作</w:t>
            </w: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身份证号码</w:t>
            </w: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r>
              <w:rPr>
                <w:rStyle w:val="59"/>
                <w:rFonts w:ascii="宋体" w:hAnsi="宋体"/>
                <w:sz w:val="24"/>
                <w:szCs w:val="24"/>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83"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76"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2251"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tabs>
                <w:tab w:val="left" w:pos="720"/>
              </w:tabs>
              <w:snapToGrid w:val="0"/>
              <w:spacing w:line="360" w:lineRule="auto"/>
              <w:jc w:val="center"/>
              <w:rPr>
                <w:rStyle w:val="59"/>
                <w:rFonts w:hint="eastAsia" w:ascii="宋体" w:hAnsi="宋体"/>
                <w:sz w:val="24"/>
                <w:szCs w:val="24"/>
                <w:highlight w:val="none"/>
              </w:rPr>
            </w:pPr>
          </w:p>
        </w:tc>
      </w:tr>
    </w:tbl>
    <w:p>
      <w:pPr>
        <w:spacing w:line="360" w:lineRule="auto"/>
        <w:rPr>
          <w:rStyle w:val="59"/>
          <w:rFonts w:hint="eastAsia" w:ascii="宋体" w:hAnsi="宋体"/>
          <w:highlight w:val="none"/>
        </w:rPr>
      </w:pPr>
      <w:r>
        <w:rPr>
          <w:rStyle w:val="59"/>
          <w:rFonts w:ascii="宋体" w:hAnsi="宋体"/>
          <w:highlight w:val="none"/>
        </w:rPr>
        <w:t>注：参与编制经济标书所有人员名单应包括如编制各种专业工程量清单投标报价、负责清样校对、负责打印及复印等所有人员在内的人员名单。</w:t>
      </w:r>
    </w:p>
    <w:p>
      <w:pPr>
        <w:spacing w:line="360" w:lineRule="auto"/>
        <w:rPr>
          <w:rStyle w:val="59"/>
          <w:rFonts w:hint="eastAsia" w:ascii="宋体" w:hAnsi="宋体"/>
          <w:highlight w:val="none"/>
        </w:rPr>
      </w:pPr>
    </w:p>
    <w:p>
      <w:pPr>
        <w:spacing w:line="360" w:lineRule="auto"/>
        <w:rPr>
          <w:rStyle w:val="59"/>
          <w:rFonts w:hint="eastAsia" w:ascii="宋体" w:hAnsi="宋体" w:cs="宋体"/>
          <w:b/>
          <w:bCs/>
          <w:sz w:val="24"/>
          <w:szCs w:val="24"/>
          <w:highlight w:val="none"/>
        </w:rPr>
      </w:pPr>
    </w:p>
    <w:p>
      <w:pPr>
        <w:spacing w:line="360" w:lineRule="auto"/>
        <w:rPr>
          <w:rStyle w:val="59"/>
          <w:rFonts w:hint="eastAsia" w:ascii="宋体" w:hAnsi="宋体" w:cs="宋体"/>
          <w:b/>
          <w:bCs/>
          <w:sz w:val="24"/>
          <w:szCs w:val="24"/>
          <w:highlight w:val="none"/>
        </w:rPr>
      </w:pPr>
      <w:r>
        <w:rPr>
          <w:rStyle w:val="59"/>
          <w:rFonts w:ascii="宋体" w:hAnsi="宋体" w:cs="宋体"/>
          <w:b/>
          <w:bCs/>
          <w:sz w:val="24"/>
          <w:szCs w:val="24"/>
          <w:highlight w:val="none"/>
        </w:rPr>
        <w:br w:type="page"/>
      </w:r>
      <w:r>
        <w:rPr>
          <w:rStyle w:val="59"/>
          <w:rFonts w:ascii="宋体" w:hAnsi="宋体" w:cs="宋体"/>
          <w:b/>
          <w:bCs/>
          <w:sz w:val="24"/>
          <w:szCs w:val="24"/>
          <w:highlight w:val="none"/>
        </w:rPr>
        <w:t>格式</w:t>
      </w:r>
      <w:r>
        <w:rPr>
          <w:rStyle w:val="59"/>
          <w:rFonts w:hint="eastAsia" w:ascii="宋体" w:hAnsi="宋体" w:cs="宋体"/>
          <w:b/>
          <w:bCs/>
          <w:sz w:val="24"/>
          <w:szCs w:val="24"/>
          <w:highlight w:val="none"/>
        </w:rPr>
        <w:t>三</w:t>
      </w:r>
    </w:p>
    <w:p>
      <w:pPr>
        <w:spacing w:line="360" w:lineRule="auto"/>
        <w:jc w:val="center"/>
        <w:rPr>
          <w:rStyle w:val="59"/>
          <w:rFonts w:hint="eastAsia" w:ascii="宋体" w:hAnsi="宋体"/>
          <w:kern w:val="0"/>
          <w:sz w:val="32"/>
          <w:szCs w:val="32"/>
          <w:highlight w:val="none"/>
        </w:rPr>
      </w:pPr>
      <w:r>
        <w:rPr>
          <w:rStyle w:val="59"/>
          <w:rFonts w:ascii="宋体" w:hAnsi="宋体"/>
          <w:b/>
          <w:kern w:val="0"/>
          <w:sz w:val="32"/>
          <w:szCs w:val="32"/>
          <w:highlight w:val="none"/>
        </w:rPr>
        <w:t>对投标文件编制的承诺</w:t>
      </w:r>
    </w:p>
    <w:p>
      <w:pPr>
        <w:spacing w:line="360" w:lineRule="auto"/>
        <w:ind w:left="-2" w:leftChars="-1" w:firstLine="540" w:firstLineChars="225"/>
        <w:rPr>
          <w:rStyle w:val="59"/>
          <w:rFonts w:hint="eastAsia" w:ascii="宋体" w:hAnsi="宋体"/>
          <w:kern w:val="0"/>
          <w:sz w:val="24"/>
          <w:szCs w:val="24"/>
          <w:highlight w:val="none"/>
        </w:rPr>
      </w:pPr>
      <w:r>
        <w:rPr>
          <w:rStyle w:val="59"/>
          <w:rFonts w:ascii="宋体" w:hAnsi="宋体"/>
          <w:kern w:val="0"/>
          <w:sz w:val="24"/>
          <w:szCs w:val="24"/>
          <w:highlight w:val="none"/>
        </w:rPr>
        <w:t>本公司授权</w:t>
      </w:r>
      <w:r>
        <w:rPr>
          <w:rStyle w:val="59"/>
          <w:rFonts w:ascii="宋体" w:hAnsi="宋体"/>
          <w:kern w:val="0"/>
          <w:sz w:val="24"/>
          <w:szCs w:val="24"/>
          <w:highlight w:val="none"/>
          <w:u w:val="single"/>
        </w:rPr>
        <w:t xml:space="preserve">         （身份证号：               ）</w:t>
      </w:r>
      <w:r>
        <w:rPr>
          <w:rStyle w:val="59"/>
          <w:rFonts w:ascii="宋体" w:hAnsi="宋体"/>
          <w:kern w:val="0"/>
          <w:sz w:val="24"/>
          <w:szCs w:val="24"/>
          <w:highlight w:val="none"/>
        </w:rPr>
        <w:t>负责对投标文件的编制及内容进行解释、说明，并承诺以下事项：</w:t>
      </w:r>
    </w:p>
    <w:p>
      <w:pPr>
        <w:spacing w:line="360" w:lineRule="auto"/>
        <w:ind w:left="-2" w:leftChars="-1" w:firstLine="540" w:firstLineChars="225"/>
        <w:rPr>
          <w:rStyle w:val="59"/>
          <w:rFonts w:hint="eastAsia" w:ascii="宋体" w:hAnsi="宋体"/>
          <w:kern w:val="0"/>
          <w:sz w:val="24"/>
          <w:szCs w:val="24"/>
          <w:highlight w:val="none"/>
        </w:rPr>
      </w:pPr>
      <w:r>
        <w:rPr>
          <w:rStyle w:val="59"/>
          <w:rFonts w:ascii="宋体" w:hAnsi="宋体"/>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Style w:val="59"/>
          <w:rFonts w:hint="eastAsia" w:ascii="宋体" w:hAnsi="宋体"/>
          <w:kern w:val="0"/>
          <w:sz w:val="24"/>
          <w:szCs w:val="24"/>
          <w:highlight w:val="none"/>
        </w:rPr>
      </w:pPr>
      <w:r>
        <w:rPr>
          <w:rStyle w:val="59"/>
          <w:rFonts w:ascii="宋体" w:hAnsi="宋体"/>
          <w:kern w:val="0"/>
          <w:sz w:val="24"/>
          <w:szCs w:val="24"/>
          <w:highlight w:val="none"/>
        </w:rPr>
        <w:t>2.在本项目开标至评标结束前，努力确保被授权人在项目评标所在地附近；</w:t>
      </w:r>
    </w:p>
    <w:p>
      <w:pPr>
        <w:spacing w:line="360" w:lineRule="auto"/>
        <w:ind w:left="-2" w:leftChars="-1" w:firstLine="540" w:firstLineChars="225"/>
        <w:rPr>
          <w:rStyle w:val="59"/>
          <w:rFonts w:hint="eastAsia" w:ascii="宋体" w:hAnsi="宋体"/>
          <w:kern w:val="0"/>
          <w:sz w:val="24"/>
          <w:szCs w:val="24"/>
          <w:highlight w:val="none"/>
        </w:rPr>
      </w:pPr>
      <w:r>
        <w:rPr>
          <w:rStyle w:val="59"/>
          <w:rFonts w:ascii="宋体" w:hAnsi="宋体"/>
          <w:kern w:val="0"/>
          <w:sz w:val="24"/>
          <w:szCs w:val="24"/>
          <w:highlight w:val="none"/>
        </w:rPr>
        <w:t>3.从评标委员会要求澄清起二小时内，被授权人应如实地书面澄清。</w:t>
      </w:r>
    </w:p>
    <w:p>
      <w:pPr>
        <w:spacing w:line="360" w:lineRule="auto"/>
        <w:ind w:left="-2" w:leftChars="-1" w:firstLine="540" w:firstLineChars="225"/>
        <w:rPr>
          <w:rStyle w:val="59"/>
          <w:rFonts w:hint="eastAsia" w:ascii="宋体" w:hAnsi="宋体"/>
          <w:kern w:val="0"/>
          <w:sz w:val="24"/>
          <w:szCs w:val="24"/>
          <w:highlight w:val="none"/>
        </w:rPr>
      </w:pPr>
      <w:r>
        <w:rPr>
          <w:rStyle w:val="59"/>
          <w:rFonts w:ascii="宋体" w:hAnsi="宋体"/>
          <w:kern w:val="0"/>
          <w:sz w:val="24"/>
          <w:szCs w:val="24"/>
          <w:highlight w:val="none"/>
        </w:rPr>
        <w:t xml:space="preserve">如由于未遵守上述承诺内容之一导致无法进行澄清的，我公司认可和接受评标委员会作出的评审结论。 </w:t>
      </w:r>
    </w:p>
    <w:p>
      <w:pPr>
        <w:spacing w:line="360" w:lineRule="auto"/>
        <w:ind w:left="-2" w:leftChars="-1" w:firstLine="540" w:firstLineChars="225"/>
        <w:rPr>
          <w:rStyle w:val="59"/>
          <w:rFonts w:hint="eastAsia" w:ascii="宋体" w:hAnsi="宋体"/>
          <w:kern w:val="0"/>
          <w:sz w:val="24"/>
          <w:szCs w:val="24"/>
          <w:highlight w:val="none"/>
        </w:rPr>
      </w:pPr>
      <w:r>
        <w:rPr>
          <w:rStyle w:val="59"/>
          <w:rFonts w:ascii="宋体" w:hAnsi="宋体"/>
          <w:kern w:val="0"/>
          <w:sz w:val="24"/>
          <w:szCs w:val="24"/>
          <w:highlight w:val="none"/>
        </w:rPr>
        <w:t>附件：《投标文件编制情况》</w:t>
      </w:r>
    </w:p>
    <w:p>
      <w:pPr>
        <w:pStyle w:val="135"/>
        <w:rPr>
          <w:highlight w:val="none"/>
        </w:rPr>
      </w:pPr>
    </w:p>
    <w:p>
      <w:pPr>
        <w:spacing w:line="360" w:lineRule="auto"/>
        <w:ind w:right="90" w:firstLine="3360" w:firstLineChars="1400"/>
        <w:rPr>
          <w:rStyle w:val="59"/>
          <w:rFonts w:hint="eastAsia" w:ascii="宋体" w:hAnsi="宋体"/>
          <w:sz w:val="24"/>
          <w:szCs w:val="24"/>
          <w:highlight w:val="none"/>
        </w:rPr>
      </w:pPr>
      <w:r>
        <w:rPr>
          <w:rStyle w:val="59"/>
          <w:rFonts w:ascii="宋体" w:hAnsi="宋体"/>
          <w:sz w:val="24"/>
          <w:szCs w:val="24"/>
          <w:highlight w:val="none"/>
        </w:rPr>
        <w:t xml:space="preserve"> </w:t>
      </w:r>
      <w:r>
        <w:rPr>
          <w:rStyle w:val="59"/>
          <w:rFonts w:hint="eastAsia" w:ascii="宋体" w:hAnsi="宋体"/>
          <w:sz w:val="24"/>
          <w:szCs w:val="24"/>
          <w:highlight w:val="none"/>
        </w:rPr>
        <w:t xml:space="preserve">         投标人名称：            </w:t>
      </w:r>
    </w:p>
    <w:p>
      <w:pPr>
        <w:spacing w:line="360" w:lineRule="auto"/>
        <w:ind w:right="90" w:firstLine="3360" w:firstLineChars="1400"/>
        <w:rPr>
          <w:rStyle w:val="59"/>
          <w:rFonts w:hint="eastAsia" w:ascii="宋体" w:hAnsi="宋体"/>
          <w:highlight w:val="none"/>
        </w:rPr>
      </w:pPr>
      <w:r>
        <w:rPr>
          <w:rStyle w:val="59"/>
          <w:rFonts w:hint="eastAsia" w:ascii="宋体" w:hAnsi="宋体"/>
          <w:sz w:val="24"/>
          <w:szCs w:val="24"/>
          <w:highlight w:val="none"/>
        </w:rPr>
        <w:t xml:space="preserve">                日期：      年   月   日   </w:t>
      </w:r>
      <w:r>
        <w:rPr>
          <w:rStyle w:val="59"/>
          <w:rFonts w:ascii="宋体" w:hAnsi="宋体"/>
          <w:highlight w:val="none"/>
        </w:rPr>
        <w:t xml:space="preserve"> </w:t>
      </w:r>
    </w:p>
    <w:p>
      <w:pPr>
        <w:pStyle w:val="135"/>
        <w:rPr>
          <w:highlight w:val="none"/>
        </w:rPr>
      </w:pPr>
    </w:p>
    <w:p>
      <w:pPr>
        <w:spacing w:line="360" w:lineRule="auto"/>
        <w:jc w:val="center"/>
        <w:rPr>
          <w:rStyle w:val="59"/>
          <w:rFonts w:hint="eastAsia" w:ascii="宋体" w:hAnsi="宋体"/>
          <w:kern w:val="0"/>
          <w:sz w:val="18"/>
          <w:szCs w:val="18"/>
          <w:highlight w:val="none"/>
        </w:rPr>
      </w:pPr>
      <w:r>
        <w:rPr>
          <w:rStyle w:val="59"/>
          <w:rFonts w:ascii="宋体" w:hAnsi="宋体"/>
          <w:b/>
          <w:kern w:val="0"/>
          <w:sz w:val="32"/>
          <w:szCs w:val="32"/>
          <w:highlight w:val="none"/>
        </w:rPr>
        <w:t>投标文件编制情况</w:t>
      </w:r>
    </w:p>
    <w:p>
      <w:pPr>
        <w:spacing w:line="360" w:lineRule="auto"/>
        <w:ind w:firstLine="480" w:firstLineChars="200"/>
        <w:rPr>
          <w:rStyle w:val="59"/>
          <w:rFonts w:hint="eastAsia" w:ascii="宋体" w:hAnsi="宋体"/>
          <w:kern w:val="0"/>
          <w:sz w:val="24"/>
          <w:szCs w:val="24"/>
          <w:highlight w:val="none"/>
          <w:u w:val="single"/>
        </w:rPr>
      </w:pPr>
      <w:r>
        <w:rPr>
          <w:rStyle w:val="59"/>
          <w:rFonts w:ascii="宋体" w:hAnsi="宋体"/>
          <w:kern w:val="0"/>
          <w:sz w:val="24"/>
          <w:szCs w:val="24"/>
          <w:highlight w:val="none"/>
        </w:rPr>
        <w:t>1.投标文件报价编制方式: □自行编制的，编制的负责人：</w:t>
      </w:r>
      <w:r>
        <w:rPr>
          <w:rStyle w:val="59"/>
          <w:rFonts w:ascii="宋体" w:hAnsi="宋体"/>
          <w:kern w:val="0"/>
          <w:sz w:val="24"/>
          <w:szCs w:val="24"/>
          <w:highlight w:val="none"/>
          <w:u w:val="single"/>
        </w:rPr>
        <w:t xml:space="preserve"> （盖造价工程师执业专用章或全国建设工程造价员章，执业单位应与投标人一致） </w:t>
      </w:r>
      <w:r>
        <w:rPr>
          <w:rStyle w:val="59"/>
          <w:rFonts w:ascii="宋体" w:hAnsi="宋体"/>
          <w:kern w:val="0"/>
          <w:sz w:val="24"/>
          <w:szCs w:val="24"/>
          <w:highlight w:val="none"/>
        </w:rPr>
        <w:t>。□委托编制的，受委托单位</w:t>
      </w:r>
      <w:r>
        <w:rPr>
          <w:rStyle w:val="59"/>
          <w:rFonts w:ascii="宋体" w:hAnsi="宋体"/>
          <w:kern w:val="0"/>
          <w:sz w:val="24"/>
          <w:szCs w:val="24"/>
          <w:highlight w:val="none"/>
          <w:u w:val="single"/>
        </w:rPr>
        <w:t xml:space="preserve">                    </w:t>
      </w:r>
      <w:r>
        <w:rPr>
          <w:rStyle w:val="59"/>
          <w:rFonts w:ascii="宋体" w:hAnsi="宋体"/>
          <w:kern w:val="0"/>
          <w:sz w:val="24"/>
          <w:szCs w:val="24"/>
          <w:highlight w:val="none"/>
        </w:rPr>
        <w:t>，编制的负责人：</w:t>
      </w:r>
      <w:r>
        <w:rPr>
          <w:rStyle w:val="59"/>
          <w:rFonts w:ascii="宋体" w:hAnsi="宋体"/>
          <w:kern w:val="0"/>
          <w:sz w:val="24"/>
          <w:szCs w:val="24"/>
          <w:highlight w:val="none"/>
          <w:u w:val="single"/>
        </w:rPr>
        <w:t xml:space="preserve"> （盖造价工程师执业专用章或全国建设工程造价员章，执业单位应与受委托单位一致） </w:t>
      </w:r>
      <w:r>
        <w:rPr>
          <w:rStyle w:val="59"/>
          <w:rFonts w:ascii="宋体" w:hAnsi="宋体"/>
          <w:kern w:val="0"/>
          <w:sz w:val="24"/>
          <w:szCs w:val="24"/>
          <w:highlight w:val="none"/>
        </w:rPr>
        <w:t>。</w:t>
      </w:r>
    </w:p>
    <w:p>
      <w:pPr>
        <w:spacing w:line="360" w:lineRule="auto"/>
        <w:ind w:firstLine="480" w:firstLineChars="200"/>
        <w:rPr>
          <w:rStyle w:val="59"/>
          <w:rFonts w:hint="eastAsia" w:ascii="宋体" w:hAnsi="宋体"/>
          <w:kern w:val="0"/>
          <w:sz w:val="24"/>
          <w:szCs w:val="24"/>
          <w:highlight w:val="none"/>
        </w:rPr>
      </w:pPr>
      <w:r>
        <w:rPr>
          <w:rStyle w:val="59"/>
          <w:rFonts w:ascii="宋体" w:hAnsi="宋体"/>
          <w:kern w:val="0"/>
          <w:sz w:val="24"/>
          <w:szCs w:val="24"/>
          <w:highlight w:val="none"/>
        </w:rPr>
        <w:t>2.投标文件加密打包的电脑情况：</w:t>
      </w:r>
    </w:p>
    <w:tbl>
      <w:tblPr>
        <w:tblStyle w:val="28"/>
        <w:tblW w:w="0" w:type="auto"/>
        <w:tblInd w:w="-108" w:type="dxa"/>
        <w:tblLayout w:type="fixed"/>
        <w:tblCellMar>
          <w:top w:w="0" w:type="dxa"/>
          <w:left w:w="0" w:type="dxa"/>
          <w:bottom w:w="0" w:type="dxa"/>
          <w:right w:w="0" w:type="dxa"/>
        </w:tblCellMar>
      </w:tblPr>
      <w:tblGrid>
        <w:gridCol w:w="9332"/>
      </w:tblGrid>
      <w:tr>
        <w:tblPrEx>
          <w:tblCellMar>
            <w:top w:w="0" w:type="dxa"/>
            <w:left w:w="0" w:type="dxa"/>
            <w:bottom w:w="0" w:type="dxa"/>
            <w:right w:w="0" w:type="dxa"/>
          </w:tblCellMar>
        </w:tblPrEx>
        <w:trPr>
          <w:trHeight w:val="2088" w:hRule="atLeast"/>
        </w:trPr>
        <w:tc>
          <w:tcPr>
            <w:tcW w:w="9332" w:type="dxa"/>
          </w:tcPr>
          <w:p>
            <w:pPr>
              <w:spacing w:line="360" w:lineRule="auto"/>
              <w:rPr>
                <w:rStyle w:val="59"/>
                <w:rFonts w:hint="eastAsia" w:ascii="宋体" w:hAnsi="宋体"/>
                <w:kern w:val="0"/>
                <w:sz w:val="24"/>
                <w:szCs w:val="24"/>
                <w:highlight w:val="none"/>
              </w:rPr>
            </w:pPr>
            <w:r>
              <w:rPr>
                <w:rStyle w:val="59"/>
                <w:rFonts w:ascii="宋体" w:hAnsi="宋体"/>
                <w:kern w:val="0"/>
                <w:sz w:val="24"/>
                <w:szCs w:val="24"/>
                <w:highlight w:val="none"/>
              </w:rPr>
              <w:t>投标文件加密打包的电脑    自有□      外包□       其他□</w:t>
            </w:r>
          </w:p>
          <w:p>
            <w:pPr>
              <w:spacing w:line="360" w:lineRule="auto"/>
              <w:rPr>
                <w:rStyle w:val="59"/>
                <w:rFonts w:hint="eastAsia" w:ascii="宋体" w:hAnsi="宋体"/>
                <w:kern w:val="0"/>
                <w:sz w:val="24"/>
                <w:szCs w:val="24"/>
                <w:highlight w:val="none"/>
              </w:rPr>
            </w:pPr>
            <w:r>
              <w:rPr>
                <w:rStyle w:val="59"/>
                <w:rFonts w:ascii="宋体" w:hAnsi="宋体"/>
                <w:kern w:val="0"/>
                <w:sz w:val="24"/>
                <w:szCs w:val="24"/>
                <w:highlight w:val="none"/>
              </w:rPr>
              <w:t>电脑类型</w:t>
            </w:r>
          </w:p>
          <w:p>
            <w:pPr>
              <w:spacing w:line="360" w:lineRule="auto"/>
              <w:rPr>
                <w:rStyle w:val="59"/>
                <w:rFonts w:hint="eastAsia" w:ascii="宋体" w:hAnsi="宋体"/>
                <w:kern w:val="0"/>
                <w:sz w:val="24"/>
                <w:szCs w:val="24"/>
                <w:highlight w:val="none"/>
              </w:rPr>
            </w:pPr>
            <w:r>
              <w:rPr>
                <w:rStyle w:val="59"/>
                <w:rFonts w:ascii="宋体" w:hAnsi="宋体"/>
                <w:kern w:val="0"/>
                <w:sz w:val="24"/>
                <w:szCs w:val="24"/>
                <w:highlight w:val="none"/>
              </w:rPr>
              <w:t>电脑所属单位</w:t>
            </w:r>
          </w:p>
          <w:p>
            <w:pPr>
              <w:spacing w:line="360" w:lineRule="auto"/>
              <w:rPr>
                <w:rStyle w:val="59"/>
                <w:rFonts w:hint="eastAsia" w:ascii="宋体" w:hAnsi="宋体"/>
                <w:kern w:val="0"/>
                <w:sz w:val="24"/>
                <w:szCs w:val="24"/>
                <w:highlight w:val="none"/>
              </w:rPr>
            </w:pPr>
            <w:r>
              <w:rPr>
                <w:rStyle w:val="59"/>
                <w:rFonts w:ascii="宋体" w:hAnsi="宋体"/>
                <w:kern w:val="0"/>
                <w:sz w:val="24"/>
                <w:szCs w:val="24"/>
                <w:highlight w:val="none"/>
              </w:rPr>
              <w:t>电脑所在地址       （如××市××区(县) ××街（路）××号××大厦××房）</w:t>
            </w:r>
          </w:p>
        </w:tc>
      </w:tr>
    </w:tbl>
    <w:p>
      <w:pPr>
        <w:spacing w:line="360" w:lineRule="auto"/>
        <w:rPr>
          <w:rStyle w:val="59"/>
          <w:rFonts w:hint="eastAsia" w:ascii="宋体" w:hAnsi="宋体"/>
          <w:szCs w:val="21"/>
          <w:highlight w:val="none"/>
        </w:rPr>
      </w:pPr>
    </w:p>
    <w:p>
      <w:pPr>
        <w:tabs>
          <w:tab w:val="left" w:pos="720"/>
        </w:tabs>
        <w:snapToGrid w:val="0"/>
        <w:spacing w:line="360" w:lineRule="auto"/>
        <w:rPr>
          <w:rStyle w:val="59"/>
          <w:rFonts w:hint="eastAsia" w:ascii="宋体" w:hAnsi="宋体"/>
          <w:sz w:val="24"/>
          <w:szCs w:val="24"/>
          <w:highlight w:val="none"/>
        </w:rPr>
      </w:pPr>
    </w:p>
    <w:p>
      <w:pPr>
        <w:pStyle w:val="139"/>
        <w:outlineLvl w:val="0"/>
        <w:rPr>
          <w:rStyle w:val="109"/>
          <w:rFonts w:hint="eastAsia" w:ascii="宋体" w:hAnsi="宋体"/>
          <w:b/>
          <w:bCs/>
          <w:highlight w:val="none"/>
        </w:rPr>
      </w:pPr>
      <w:bookmarkStart w:id="30" w:name="_Toc105014638"/>
      <w:r>
        <w:rPr>
          <w:rStyle w:val="59"/>
          <w:bCs/>
          <w:highlight w:val="none"/>
        </w:rPr>
        <w:t>第五章  技术条件（工程建设标准）</w:t>
      </w:r>
      <w:bookmarkEnd w:id="30"/>
    </w:p>
    <w:p>
      <w:pPr>
        <w:jc w:val="center"/>
        <w:rPr>
          <w:rFonts w:hint="eastAsia" w:ascii="宋体" w:hAnsi="宋体" w:cs="宋体"/>
          <w:b/>
          <w:sz w:val="36"/>
          <w:szCs w:val="36"/>
          <w:highlight w:val="none"/>
        </w:rPr>
      </w:pPr>
      <w:r>
        <w:rPr>
          <w:rFonts w:hint="eastAsia" w:ascii="宋体" w:hAnsi="宋体" w:cs="宋体"/>
          <w:b/>
          <w:sz w:val="36"/>
          <w:szCs w:val="36"/>
          <w:highlight w:val="none"/>
        </w:rPr>
        <w:t>一、施工组织设计要点</w:t>
      </w:r>
    </w:p>
    <w:p>
      <w:pPr>
        <w:spacing w:line="360" w:lineRule="auto"/>
        <w:ind w:firstLine="480" w:firstLineChars="200"/>
        <w:jc w:val="left"/>
        <w:rPr>
          <w:rFonts w:hint="eastAsia" w:ascii="宋体" w:hAnsi="宋体" w:cs="宋体"/>
          <w:kern w:val="0"/>
          <w:sz w:val="24"/>
          <w:highlight w:val="none"/>
        </w:rPr>
      </w:pPr>
    </w:p>
    <w:p>
      <w:pPr>
        <w:numPr>
          <w:ilvl w:val="0"/>
          <w:numId w:val="7"/>
        </w:numPr>
        <w:spacing w:line="360" w:lineRule="auto"/>
        <w:rPr>
          <w:rFonts w:hint="eastAsia"/>
          <w:highlight w:val="none"/>
        </w:rPr>
      </w:pPr>
      <w:r>
        <w:rPr>
          <w:rFonts w:hint="eastAsia" w:ascii="宋体" w:hAnsi="宋体" w:cs="宋体"/>
          <w:b/>
          <w:szCs w:val="21"/>
          <w:highlight w:val="none"/>
        </w:rPr>
        <w:t>编制说明</w:t>
      </w:r>
    </w:p>
    <w:p>
      <w:pPr>
        <w:numPr>
          <w:ilvl w:val="0"/>
          <w:numId w:val="8"/>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编制依据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（1）现行国家、广东省、广州市有关施工验收规范、质量标准和操作规程等要求。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（2）施工现场条件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本工程施工临时用水、用电、通讯设施由承包人自行负责。</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（3）施工图纸及有关资料</w:t>
      </w:r>
    </w:p>
    <w:p>
      <w:pPr>
        <w:numPr>
          <w:ilvl w:val="0"/>
          <w:numId w:val="8"/>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指导方针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（1）鉴于本项目所处位置，所有施工管理及施工人员进入施工现场，必须遵守</w:t>
      </w:r>
      <w:r>
        <w:rPr>
          <w:rFonts w:hint="eastAsia" w:ascii="宋体" w:hAnsi="宋体" w:cs="宋体"/>
          <w:szCs w:val="21"/>
          <w:highlight w:val="none"/>
          <w:lang w:eastAsia="zh-CN"/>
        </w:rPr>
        <w:t>施工现场</w:t>
      </w:r>
      <w:r>
        <w:rPr>
          <w:rFonts w:hint="eastAsia" w:ascii="宋体" w:hAnsi="宋体" w:cs="宋体"/>
          <w:szCs w:val="21"/>
          <w:highlight w:val="none"/>
        </w:rPr>
        <w:t>管理规定，这种规定可能对人员出入、施工时段、施工顺序、施工工艺提出更高要求，会导致正常工作降效、临时停工等，以满足该施工</w:t>
      </w:r>
      <w:r>
        <w:rPr>
          <w:rFonts w:hint="eastAsia" w:ascii="宋体" w:hAnsi="宋体" w:cs="宋体"/>
          <w:szCs w:val="21"/>
          <w:highlight w:val="none"/>
          <w:lang w:eastAsia="zh-CN"/>
        </w:rPr>
        <w:t>区域商铺、住户</w:t>
      </w:r>
      <w:r>
        <w:rPr>
          <w:rFonts w:hint="eastAsia" w:ascii="宋体" w:hAnsi="宋体" w:cs="宋体"/>
          <w:szCs w:val="21"/>
          <w:highlight w:val="none"/>
        </w:rPr>
        <w:t>边办公</w:t>
      </w:r>
      <w:r>
        <w:rPr>
          <w:rFonts w:hint="eastAsia" w:ascii="宋体" w:hAnsi="宋体" w:cs="宋体"/>
          <w:szCs w:val="21"/>
          <w:highlight w:val="none"/>
          <w:lang w:eastAsia="zh-CN"/>
        </w:rPr>
        <w:t>（或休息）</w:t>
      </w:r>
      <w:r>
        <w:rPr>
          <w:rFonts w:hint="eastAsia" w:ascii="宋体" w:hAnsi="宋体" w:cs="宋体"/>
          <w:szCs w:val="21"/>
          <w:highlight w:val="none"/>
        </w:rPr>
        <w:t>、边施工以及施工噪音扬尘控制等需要。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（2）本项目施工图纸仅供施工单位参考使用，实际情况按照项目现场确定。</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（3）发挥技术优势，优化管理水平安排经验丰富的优秀管理人员和高素质的工人参加本项目施工，采用先进技术设备，优化施工管理，充分发挥施工单位在管理和技术方面的优势。</w:t>
      </w:r>
    </w:p>
    <w:p>
      <w:pPr>
        <w:numPr>
          <w:ilvl w:val="0"/>
          <w:numId w:val="7"/>
        </w:numPr>
        <w:spacing w:line="360" w:lineRule="auto"/>
        <w:rPr>
          <w:rFonts w:hint="eastAsia" w:ascii="宋体" w:hAnsi="宋体" w:cs="宋体"/>
          <w:b/>
          <w:szCs w:val="21"/>
          <w:highlight w:val="none"/>
        </w:rPr>
      </w:pPr>
      <w:r>
        <w:rPr>
          <w:rFonts w:hint="eastAsia" w:ascii="宋体" w:hAnsi="宋体" w:cs="宋体"/>
          <w:b/>
          <w:szCs w:val="21"/>
          <w:highlight w:val="none"/>
        </w:rPr>
        <w:t>工程概况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1.区位说明：本项目位于广州市越秀区光塔街和六榕街辖内，东至解放路，南至惠福西路，西至人民路，北至东风路，涉及五仙观－怀圣寺－六榕寺历史文化街区和海珠中历史文化街区。</w:t>
      </w:r>
    </w:p>
    <w:p>
      <w:pPr>
        <w:spacing w:line="360" w:lineRule="auto"/>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2.建设内容：</w:t>
      </w:r>
      <w:r>
        <w:rPr>
          <w:rFonts w:hint="eastAsia" w:ascii="宋体" w:hAnsi="宋体" w:eastAsia="宋体" w:cs="宋体"/>
          <w:bCs w:val="0"/>
          <w:sz w:val="21"/>
          <w:szCs w:val="21"/>
          <w:highlight w:val="none"/>
          <w:u w:val="none"/>
          <w:lang w:val="en-US" w:eastAsia="zh-CN"/>
        </w:rPr>
        <w:t>主要是对</w:t>
      </w:r>
      <w:r>
        <w:rPr>
          <w:rFonts w:hint="eastAsia" w:ascii="宋体" w:hAnsi="宋体" w:eastAsia="宋体" w:cs="宋体"/>
          <w:bCs w:val="0"/>
          <w:kern w:val="2"/>
          <w:sz w:val="21"/>
          <w:szCs w:val="21"/>
          <w:highlight w:val="none"/>
          <w:u w:val="none"/>
          <w:lang w:val="en-US" w:eastAsia="zh-CN" w:bidi="ar"/>
        </w:rPr>
        <w:t>项目范围内基础设施、旅游公共服务保障设施、旅游公共配套设施、道路、市政设施、照明设施、街区、空间环境及相关配套工程等进行建设和改造提升，面积约107公顷。建设内容主要涉及:包括但不限于周边基础设施及路面修葺、</w:t>
      </w:r>
      <w:r>
        <w:rPr>
          <w:rFonts w:hint="eastAsia" w:ascii="宋体" w:hAnsi="宋体" w:eastAsia="宋体" w:cs="宋体"/>
          <w:b w:val="0"/>
          <w:bCs w:val="0"/>
          <w:i w:val="0"/>
          <w:iCs w:val="0"/>
          <w:caps w:val="0"/>
          <w:spacing w:val="0"/>
          <w:kern w:val="2"/>
          <w:sz w:val="21"/>
          <w:szCs w:val="21"/>
          <w:highlight w:val="none"/>
          <w:u w:val="none"/>
          <w:lang w:val="en-US" w:eastAsia="zh-CN" w:bidi="ar"/>
        </w:rPr>
        <w:t>三线下地、</w:t>
      </w:r>
      <w:r>
        <w:rPr>
          <w:rFonts w:hint="eastAsia" w:ascii="宋体" w:hAnsi="宋体" w:eastAsia="宋体" w:cs="宋体"/>
          <w:bCs w:val="0"/>
          <w:kern w:val="2"/>
          <w:sz w:val="21"/>
          <w:szCs w:val="21"/>
          <w:highlight w:val="none"/>
          <w:u w:val="none"/>
          <w:lang w:val="en-US" w:eastAsia="zh-CN" w:bidi="ar"/>
        </w:rPr>
        <w:t>骑楼、历史建筑、风貌建筑、特色建筑修缮活化、增配公共服务设施、海丝文化公共空间改造（含街区微公园改造、绿化修复）等</w:t>
      </w:r>
      <w:r>
        <w:rPr>
          <w:rFonts w:hint="eastAsia" w:ascii="宋体" w:hAnsi="宋体" w:eastAsia="宋体" w:cs="宋体"/>
          <w:bCs w:val="0"/>
          <w:sz w:val="21"/>
          <w:szCs w:val="21"/>
          <w:highlight w:val="none"/>
          <w:u w:val="none"/>
          <w:lang w:val="en-US" w:eastAsia="zh-CN"/>
        </w:rPr>
        <w:t>项目工程总承包施工及配合服务。</w:t>
      </w:r>
      <w:r>
        <w:rPr>
          <w:rFonts w:hint="eastAsia" w:ascii="宋体" w:hAnsi="宋体" w:eastAsia="宋体" w:cs="宋体"/>
          <w:bCs w:val="0"/>
          <w:kern w:val="2"/>
          <w:sz w:val="21"/>
          <w:szCs w:val="21"/>
          <w:highlight w:val="none"/>
          <w:u w:val="none"/>
          <w:lang w:val="en-US" w:eastAsia="zh-CN" w:bidi="ar"/>
        </w:rPr>
        <w:t>项目专业</w:t>
      </w:r>
      <w:r>
        <w:rPr>
          <w:rFonts w:hint="eastAsia" w:ascii="宋体" w:hAnsi="宋体" w:eastAsia="宋体" w:cs="宋体"/>
          <w:b w:val="0"/>
          <w:bCs w:val="0"/>
          <w:i w:val="0"/>
          <w:iCs w:val="0"/>
          <w:caps w:val="0"/>
          <w:spacing w:val="0"/>
          <w:kern w:val="2"/>
          <w:sz w:val="21"/>
          <w:szCs w:val="21"/>
          <w:highlight w:val="none"/>
          <w:u w:val="none"/>
          <w:lang w:val="en-US" w:eastAsia="zh-CN" w:bidi="ar"/>
        </w:rPr>
        <w:t>包括但限于建筑结构加固、装饰装修、给排水、消防、电气、暖通、强弱电、通风空调、市政、园林等专业工程。</w:t>
      </w:r>
      <w:r>
        <w:rPr>
          <w:rFonts w:hint="eastAsia" w:ascii="宋体" w:hAnsi="宋体" w:eastAsia="宋体" w:cs="宋体"/>
          <w:bCs w:val="0"/>
          <w:kern w:val="2"/>
          <w:sz w:val="21"/>
          <w:szCs w:val="21"/>
          <w:highlight w:val="none"/>
          <w:u w:val="none"/>
          <w:lang w:val="en-US" w:eastAsia="zh-CN" w:bidi="ar"/>
        </w:rPr>
        <w:t>具体以招标图纸、工程量清单及有关资料说明为准。</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bCs w:val="0"/>
          <w:kern w:val="2"/>
          <w:sz w:val="21"/>
          <w:szCs w:val="21"/>
          <w:highlight w:val="none"/>
          <w:u w:val="none"/>
          <w:lang w:val="en-US" w:eastAsia="zh-CN" w:bidi="ar"/>
        </w:rPr>
        <w:t>项目专业</w:t>
      </w:r>
      <w:r>
        <w:rPr>
          <w:rFonts w:hint="eastAsia" w:ascii="宋体" w:hAnsi="宋体" w:eastAsia="宋体" w:cs="宋体"/>
          <w:b w:val="0"/>
          <w:bCs w:val="0"/>
          <w:i w:val="0"/>
          <w:iCs w:val="0"/>
          <w:caps w:val="0"/>
          <w:spacing w:val="0"/>
          <w:kern w:val="2"/>
          <w:sz w:val="21"/>
          <w:szCs w:val="21"/>
          <w:highlight w:val="none"/>
          <w:u w:val="none"/>
          <w:lang w:val="en-US" w:eastAsia="zh-CN" w:bidi="ar"/>
        </w:rPr>
        <w:t>包括但限于建筑结构加固、装饰装修、给排水、消防、电气、暖通、强弱电、通风空调、市政、园林等专业工程。</w:t>
      </w:r>
      <w:r>
        <w:rPr>
          <w:rFonts w:hint="eastAsia" w:ascii="宋体" w:hAnsi="宋体" w:eastAsia="宋体" w:cs="宋体"/>
          <w:bCs w:val="0"/>
          <w:kern w:val="2"/>
          <w:sz w:val="21"/>
          <w:szCs w:val="21"/>
          <w:highlight w:val="none"/>
          <w:u w:val="none"/>
          <w:lang w:val="en-US" w:eastAsia="zh-CN" w:bidi="ar"/>
        </w:rPr>
        <w:t>具体以招标图纸、工程量清单及有关资料说明为准。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施工总承包管理及配合服务（负责项目总进度计划管理实施和总体协调；负责施工总平面布置及维护管理；向专业工程施工单位提供施工用水用电接驳点和生产生活设施搭建场地；提供垂直运输服务；日常水电、通道和道路的维护和保洁、保安等现场综合管理；提供现有外脚手架满足各专业施工要求；公共临时设施和文明施工和安全生产设施管理及维护；提供测量控制基准点；组织办理验收、移交、质量创优、竣工结算、竣工资料的组卷和归档、竣工备案及其它管理工作），对于各专业单位使用的施工用水、用电等，总包可安表计费或协议计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（3）临时施工水电的报装及施工。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（4）施工许可证、规划证、临时占道、占道开挖等手续的办理。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（5）周边环境的修复提升，市政排水、污水的接驳申报及施工。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（6）配合树木修剪、第三方检测等工作。</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（7）包括但不限于搬运及上下楼需采用的人工、机械、材料等配合及实施工作。</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施工场地</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1.现场可能不具备工人宿舍和办公场地，施工单位须为此另作安排。</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临水、临电：进场后施工总承包单位负责办理临水、临电接驳。项目范围内主要为已建成商业、居民建筑及街道等，有足够条件为临电、临水提供方便。项目现场临水、临电费用施工总承包单位投标价时需自行综合考虑。</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（1）临时用电</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项目现场临水、临电施工总承包单位须自行考虑，电缆敷设包含在综合报价中，施工总承包单位投标时需充分考虑。项目开工后施工用电需按以下管理要求执行：</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①施工用电总平面布置图。施工总承包单位根据不同施工阶段细化总平面布置图及临电施工方案，临电方案实施前必须报监理单位和发包人批准。临电施工完成后，书面报监理单位验收，验收完成后方可送电；</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②施工总承包单位负责施工范围的一切临时电杆、桥架、线缆(不论架空或埋地)、配电装置、电表、附件等临时用电设施的采购及安装，并应考虑项目建设期间，根据现场实际情况或发包人要求及时拆除或迁改，费用需投标报价时综合考虑；</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③现场临电安装需满足《建筑施工安全检查标准》JQJ59-2011 及广东省、广州市、越秀区和发包人的相关要求；专业分包单位现场施工用电安全文明由施工总承包单位负责管理；</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④施工总承包单位须自备发电机，供临时停电时使用，负荷需满足各自施工及生活的要求，因采用发电机发生的噪音、烟气等均需符合国家、广州市和越秀区相关排放标准，租赁及使用费用需在投标报价中综合考虑。</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（2）施工用水</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①施工用水施工总承包单位自行考虑，由施工总承包单位负责从水表接驳点引至施工现场给水管道连接口,水表后至施工各用水点的管道、用水加压设备、设施等由施工总承包单位自行施工，费用在投标报价中综合考虑；</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②各专业分包施工单位进场后，施工总承包单位应在其施工区域提供已有的施工用水口供其接驳，接驳点不得大于施工范围50米，并由专业分包单位按实向施工总承包单位缴纳水费，水费标准不得高于市场用水标准；</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③若因市政停水、水压不足、人为损坏等因素导致短期停水，施工总承包单位自行解决，相关费用在综合单价中包干。如施工总承包单位未能及时提供或保证分包单位施工用电导致工期滞后，专业分包单位可自行提供相关设备保证施工的正常进行，产生的合理费用由发包人评估确认后在施工施工总承包单位进度款中扣除并追究其违约责任。</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（3）施工通道</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项目场地紧邻市政主干道、街巷、商铺或居民楼；施工总承包单位应与周边市政道路、交警等单位或商铺、居民协调沟通，须做好施工现场的围蔽和防护，确保施工道路及排水的畅通，以及出入安全。费用在投标报价时综合考虑。</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（4）施工范围设施及环境保护</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1.施工总承包单位在进场施工前，应探明现场、核对图纸，清楚施工范围各类管线走向，避免施工时造成损坏，否则，因此造成的损坏及责任由施工总承包单位承担；</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2.施工总承包单位应与相关管理部门协调沟通，确保工地周边干净整洁，如管理部门有其它管理要求，应按相关单位要求整改、罚款，费用在投标报价中综合考虑。</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（5）施工围挡</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总承包单位需承担现场临时围挡设置及行人疏导标识，除尘降噪等临时施工措施，并按发包人及政府部门的相关要求，阶段性对围墙进行宣传包装（含不同时期的主题更换）。费用在投标报价中综合考虑，不予另行支付费用。如政府管理部门有其它管理要求，则施工总承包单位应按政府要求实施，费用在投标报价中综合考虑，不予另行支付费用。</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（5）办公及生活区</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施工现场不提供临建生活区、办公区场地，由施工总承包单位自行考虑办公和生活区地点(必须离施工区域较近地点),产生的一切相关费用在投标报价中综合考虑，不予另行支付费用。</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（6）垃圾处理</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总承包单位应在场内设置指定的垃圾统一堆放点(堆放点应经发包人、监理单位同意),供各专业单位场内集中堆放各类垃圾，并且每天对垃圾清理，要做到工完场清。施工总承包单位应负责整个项目建设过程中各单位产生的包含但不限于建筑垃圾等各类垃圾集中处理，对应的垃圾场内外装卸、场外清运输等产生的一切相关费用，投标时该费用请施工总承包单位自行考虑。</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（7）现场踏勘</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总承包单位须在投标前全面、仔细踏勘现场，了解现场实际情况，并充分考虑周边交通、居民投诉、夜间施工声光污染及政策性影响对施工的制约。若施工总承包单位在投标前未对现场实际情况进行踏勘，导致投标报价中的清单子项缺失或报价与实际情况不符，则相关损失和责任由施工总承包单位自行承担。</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项目组织机构</w:t>
      </w:r>
    </w:p>
    <w:p>
      <w:pPr>
        <w:numPr>
          <w:ilvl w:val="0"/>
          <w:numId w:val="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经理部是本项目实施管理者。建立以项目经理为核心的项目班子，实行项目经理负责制，项目班子是在公司的直接监督与控制下，履行工程施工的权利和义务。项目管理机构由项目领导层、专业管理层和劳务层组成。</w:t>
      </w:r>
    </w:p>
    <w:p>
      <w:pPr>
        <w:numPr>
          <w:ilvl w:val="0"/>
          <w:numId w:val="9"/>
        </w:numPr>
        <w:spacing w:line="360" w:lineRule="auto"/>
        <w:ind w:firstLine="422" w:firstLineChars="200"/>
        <w:rPr>
          <w:rFonts w:hint="eastAsia"/>
          <w:b/>
          <w:bCs/>
          <w:highlight w:val="none"/>
        </w:rPr>
      </w:pPr>
      <w:r>
        <w:rPr>
          <w:rFonts w:hint="eastAsia" w:ascii="宋体" w:hAnsi="宋体" w:cs="宋体"/>
          <w:b/>
          <w:bCs/>
          <w:szCs w:val="21"/>
          <w:highlight w:val="none"/>
        </w:rPr>
        <w:t>施工单位必须在进场后有针对性成立项目管理架构，相应人员到岗履职，建设单位将对管理人员进行考勤，脱岗离职者将给予一般违约处罚。</w:t>
      </w:r>
    </w:p>
    <w:p>
      <w:pPr>
        <w:numPr>
          <w:ilvl w:val="0"/>
          <w:numId w:val="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经理必须常驻现场，对工程项目实施全面管理。协调好与建设单位、设计单位、监理单位和地方主管部门等各方面的关系；深入现场及时解决施工中出现的问题，确保工程质量；掌握工程进度情况，参加每周例会。</w:t>
      </w:r>
    </w:p>
    <w:p>
      <w:pPr>
        <w:numPr>
          <w:ilvl w:val="0"/>
          <w:numId w:val="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经理部组成人员必须满足或优于招标文件《投入人员汇总表》的要求，并提供相关人员的社保证明文件。工程实施过程中，发包人不要求更换时不得更换。因特殊情况需要更换的，中标单位应按合同约定完善更换手续，并保证更换人员的资质、资历、业绩、实际工作能力不低于前任人员的素质，同时提供更换人员的社保证明。在项目实施过程中，发包人将对中标单位的主要技术及管理人员驻场办公时间进行考核，考核结果作为现场管理费支付的依据。</w:t>
      </w:r>
    </w:p>
    <w:p>
      <w:pPr>
        <w:numPr>
          <w:ilvl w:val="0"/>
          <w:numId w:val="9"/>
        </w:num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项目建筑行政手续要求高，协调难度大，施工工作量大，技术难度高，工期紧、任务重，为有效推进工程实体进度，项目施工单位须安排专职人员完成此项工作者。</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项目施工目标</w:t>
      </w:r>
    </w:p>
    <w:p>
      <w:pPr>
        <w:numPr>
          <w:ilvl w:val="0"/>
          <w:numId w:val="1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质量目标：详见招标文件。</w:t>
      </w:r>
    </w:p>
    <w:p>
      <w:pPr>
        <w:numPr>
          <w:ilvl w:val="0"/>
          <w:numId w:val="1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工期目标：详见招标文件。</w:t>
      </w:r>
    </w:p>
    <w:p>
      <w:pPr>
        <w:numPr>
          <w:ilvl w:val="0"/>
          <w:numId w:val="1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环境管理目标</w:t>
      </w:r>
      <w:r>
        <w:rPr>
          <w:rFonts w:hint="eastAsia" w:ascii="宋体" w:hAnsi="宋体" w:cs="宋体"/>
          <w:szCs w:val="21"/>
          <w:highlight w:val="none"/>
          <w:lang w:eastAsia="zh-CN"/>
        </w:rPr>
        <w:t>：</w:t>
      </w:r>
      <w:r>
        <w:rPr>
          <w:rFonts w:hint="eastAsia" w:ascii="宋体" w:hAnsi="宋体" w:cs="宋体"/>
          <w:szCs w:val="21"/>
          <w:highlight w:val="none"/>
        </w:rPr>
        <w:t>严格执行《广州市建设工程现场文明施工管理办法》（穗建质〔2008〕937号）、《广州市城乡建设委员会关于印发广州市加强建筑工地环保管理工作方案的通知》(穗建质〔2014〕754号) 、《广州市委宣传部、广州市住房和城乡建设委员会、 广州市城市管理委员会〈关于完善广州市建设工程施工围蔽管理提升实施技术要求和标准图集的通知〉》（穗建质〔2016〕1085号）。</w:t>
      </w:r>
      <w:r>
        <w:rPr>
          <w:rFonts w:hint="eastAsia" w:ascii="宋体" w:hAnsi="宋体" w:cs="宋体"/>
          <w:szCs w:val="21"/>
          <w:highlight w:val="none"/>
          <w:lang w:eastAsia="zh-CN"/>
        </w:rPr>
        <w:t>（</w:t>
      </w:r>
      <w:r>
        <w:rPr>
          <w:rFonts w:hint="eastAsia" w:ascii="宋体" w:hAnsi="宋体" w:cs="宋体"/>
          <w:szCs w:val="21"/>
          <w:highlight w:val="none"/>
          <w:lang w:val="en-US" w:eastAsia="zh-CN"/>
        </w:rPr>
        <w:t>如相关管理办法、通知或标准有更新，按最新文件执行</w:t>
      </w:r>
      <w:r>
        <w:rPr>
          <w:rFonts w:hint="eastAsia" w:ascii="宋体" w:hAnsi="宋体" w:cs="宋体"/>
          <w:szCs w:val="21"/>
          <w:highlight w:val="none"/>
          <w:lang w:eastAsia="zh-CN"/>
        </w:rPr>
        <w:t>）</w:t>
      </w:r>
      <w:r>
        <w:rPr>
          <w:rFonts w:hint="eastAsia" w:ascii="宋体" w:hAnsi="宋体" w:cs="宋体"/>
          <w:szCs w:val="21"/>
          <w:highlight w:val="none"/>
        </w:rPr>
        <w:t xml:space="preserve"> </w:t>
      </w:r>
    </w:p>
    <w:p>
      <w:pPr>
        <w:numPr>
          <w:ilvl w:val="0"/>
          <w:numId w:val="1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安全文明施工和其他管理要求</w:t>
      </w:r>
    </w:p>
    <w:p>
      <w:pPr>
        <w:numPr>
          <w:ilvl w:val="0"/>
          <w:numId w:val="11"/>
        </w:numPr>
        <w:spacing w:line="360" w:lineRule="auto"/>
        <w:ind w:left="0" w:leftChars="0" w:firstLine="420" w:firstLineChars="200"/>
        <w:rPr>
          <w:rFonts w:hint="eastAsia" w:ascii="宋体" w:hAnsi="宋体" w:cs="宋体"/>
          <w:b/>
          <w:bCs/>
          <w:szCs w:val="21"/>
          <w:highlight w:val="none"/>
          <w:lang w:val="en-US" w:eastAsia="zh-CN"/>
        </w:rPr>
      </w:pPr>
      <w:r>
        <w:rPr>
          <w:rFonts w:hint="eastAsia" w:ascii="宋体" w:hAnsi="宋体" w:cs="宋体"/>
          <w:szCs w:val="21"/>
          <w:highlight w:val="none"/>
          <w:lang w:val="en-US" w:eastAsia="zh-CN"/>
        </w:rPr>
        <w:t>要求施工单位按照GB/T28001-2011职业健康安全管理体系要求（有最新标准的，按最新标准执行），以及重点办安全管理规定的要求，建立和健全安全管理体系，设立安全管理专职机构，配备满足规定要求的专职管理人员。</w:t>
      </w:r>
      <w:r>
        <w:rPr>
          <w:rFonts w:hint="eastAsia" w:ascii="宋体" w:hAnsi="宋体" w:cs="宋体"/>
          <w:b/>
          <w:bCs/>
          <w:szCs w:val="21"/>
          <w:highlight w:val="none"/>
          <w:lang w:val="en-US" w:eastAsia="zh-CN"/>
        </w:rPr>
        <w:t>要求施工单位进场10天内，向监理单位提交包含上述内容的专项组织机构资料，并报审，逾期未提交，将给予一般违约处罚。</w:t>
      </w:r>
    </w:p>
    <w:p>
      <w:pPr>
        <w:numPr>
          <w:ilvl w:val="0"/>
          <w:numId w:val="11"/>
        </w:numPr>
        <w:spacing w:line="360" w:lineRule="auto"/>
        <w:ind w:left="0" w:leftChars="0" w:firstLine="420" w:firstLineChars="200"/>
        <w:rPr>
          <w:rFonts w:hint="eastAsia" w:ascii="宋体" w:hAnsi="宋体" w:cs="宋体"/>
          <w:szCs w:val="21"/>
          <w:highlight w:val="none"/>
        </w:rPr>
      </w:pPr>
      <w:r>
        <w:rPr>
          <w:rFonts w:hint="eastAsia" w:ascii="宋体" w:hAnsi="宋体" w:cs="宋体"/>
          <w:szCs w:val="21"/>
          <w:highlight w:val="none"/>
          <w:lang w:val="en-US" w:eastAsia="zh-CN"/>
        </w:rPr>
        <w:t>安全文明施工目标：本工程安全文明施工目标：安全生产、文明施工达标合格率100%,</w:t>
      </w:r>
      <w:r>
        <w:rPr>
          <w:rFonts w:hint="eastAsia" w:ascii="宋体" w:hAnsi="宋体" w:cs="宋体"/>
          <w:szCs w:val="21"/>
          <w:highlight w:val="none"/>
        </w:rPr>
        <w:t>杜绝发生一般事故等级及以上的伤亡事故且工伤责任事故死亡人数为零，确保</w:t>
      </w:r>
      <w:r>
        <w:rPr>
          <w:rFonts w:hint="eastAsia" w:ascii="宋体" w:hAnsi="宋体" w:cs="宋体"/>
          <w:szCs w:val="21"/>
          <w:highlight w:val="none"/>
          <w:lang w:eastAsia="zh-CN"/>
        </w:rPr>
        <w:t>施工</w:t>
      </w:r>
      <w:r>
        <w:rPr>
          <w:rFonts w:hint="eastAsia" w:ascii="宋体" w:hAnsi="宋体" w:cs="宋体"/>
          <w:szCs w:val="21"/>
          <w:highlight w:val="none"/>
        </w:rPr>
        <w:t>期内有关建设人员不违反建设单位安全监管规定。</w:t>
      </w:r>
      <w:r>
        <w:rPr>
          <w:rFonts w:hint="eastAsia" w:ascii="宋体" w:hAnsi="宋体" w:cs="宋体"/>
          <w:szCs w:val="21"/>
          <w:highlight w:val="none"/>
          <w:lang w:val="en-US" w:eastAsia="zh-CN"/>
        </w:rPr>
        <w:t>，施工现场严格执行实施施工扬尘控制六个“100%”规定，即施工现场100%临时围蔽防护，工地砂土不用时100%覆盖、工地路面100%硬地化、拆除工程100%洒水压尘、出施工场地区域车辆100%冲净车轮车身、施工现场长期裸土100%覆盖或绿化，并须按时喷淋降尘。</w:t>
      </w:r>
    </w:p>
    <w:p>
      <w:pPr>
        <w:numPr>
          <w:ilvl w:val="0"/>
          <w:numId w:val="11"/>
        </w:numPr>
        <w:spacing w:line="360" w:lineRule="auto"/>
        <w:ind w:left="0" w:leftChars="0" w:firstLine="420" w:firstLineChars="200"/>
        <w:rPr>
          <w:rFonts w:hint="eastAsia" w:ascii="宋体" w:hAnsi="宋体" w:cs="宋体"/>
          <w:szCs w:val="21"/>
          <w:highlight w:val="none"/>
        </w:rPr>
      </w:pPr>
      <w:r>
        <w:rPr>
          <w:rFonts w:hint="eastAsia" w:ascii="宋体" w:hAnsi="宋体" w:cs="宋体"/>
          <w:szCs w:val="21"/>
          <w:highlight w:val="none"/>
          <w:lang w:val="en-US" w:eastAsia="zh-CN"/>
        </w:rPr>
        <w:t>安全文明标准：施工总承包单位须按承包范围进行安全文明施工管理，本工程施工过程中除执行国家、广东省、广州市和越秀区现行相关安全文明标准及管理规定外，还需执行发包人的安全文明施工要求。</w:t>
      </w:r>
    </w:p>
    <w:p>
      <w:pPr>
        <w:numPr>
          <w:ilvl w:val="0"/>
          <w:numId w:val="11"/>
        </w:numPr>
        <w:spacing w:line="360" w:lineRule="auto"/>
        <w:ind w:left="0" w:leftChars="0" w:firstLine="420" w:firstLineChars="200"/>
        <w:rPr>
          <w:rFonts w:hint="eastAsia" w:ascii="宋体" w:hAnsi="宋体" w:cs="宋体"/>
          <w:szCs w:val="21"/>
          <w:highlight w:val="none"/>
        </w:rPr>
      </w:pPr>
      <w:r>
        <w:rPr>
          <w:rFonts w:hint="eastAsia" w:ascii="宋体" w:hAnsi="宋体" w:cs="宋体"/>
          <w:szCs w:val="21"/>
          <w:highlight w:val="none"/>
          <w:lang w:val="en-US" w:eastAsia="zh-CN"/>
        </w:rPr>
        <w:t>安全防范管理：工程在整个施工期间，各实施现场保卫工作由施工总承包单位负责，配置安保人员24小时值班，负责商铺、居民、工作人员和施工现场的秩序维护和安全防护，配备噪音与扬尘 LED监测系统;因施工总承包单位设施或人员不到位，造成现场出现盗窃、斗殴闹事或非本工程人员、车辆进入施工现场发生安全事故等， 均由施工总承包单位承担全部责任。</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着装管理：施工总承包单位及专业施工单位必须统一配备工作服、安全帽给施工作业人员，进入施工现场的施工作业人员必须统一着装，统一佩戴安全帽和穿荧光衣，不按要求进行着装和佩戴安全帽及荧光衣的不准进入施工现场，相关费用在投标报价中综合考虑。</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市政道路的保洁工作：施工总承包单位需保证进出市政道路的安全文明施工要求，配合市政道路管理部门做好市政道路的保洁工作；施工总承包单位需配备专人管理进出施工区域的车辆，杜绝车辆带泥出行，配备专人清扫市政道路，且有可靠的洒水措施避免扬尘。如因污染市政道路造成市政管理部门经济处罚，该由相关责任单位承担。</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现场实名制登记：采用人脸（指纹）识别打卡机对工人进行实名制打卡。</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防扬尘施工：施工区域每天早晚均需安排人员清扫，保持施工区域整洁，施工现场严格执行实施施工扬尘控制，配备满足施工降尘、道路清洗所需雾炮车、雾炮机等设备，费用包含在安全文明措施费用中。</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实行安全帽贴标签管理制度：施工区域内施工人员必须安全帽、荧光衣穿戴统一，如未按要求执 行则该工人需由施工总承包单位安全主管再次进行安全文明教育，监理 单位旁听监督。两次培训培训后仍违反安全文明要求者，禁止在本项目施工。</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安全网：项目所使用的安全网除满足规范与规定要求外，同时必须满足广州市、越秀区有关规定。</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现场保卫工作：工程在整个施工期间现场保卫工作由施工总承包单位自行负责，至少配备2个固定岗和一个巡逻岗，配置保安人员24小时值班，负责管理人员、车辆的出入并维护现场施工秩序；总承包单位自行考虑设置瞳孔虹膜设备，所有施工人员均必须本人亲自打卡记录。</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保护周边市政管道：施工总承包单位进场时应充分探查清晰管道走向和埋深，禁止堆放 重物，禁止重型车辆行驶，并对各管理人员和一线作业人交底清晰。如 因操作不当造成管道损坏， 一切损失由施工总承包单位承担。</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设置生产垃圾及生活垃圾堆放点： 施工总承包单位进场后，需规划生产垃圾和生活垃圾堆放处，送发包 人及监理方审核备案；施工总承包单位有义务约束各专业分包单位统一 堆放并定期清理。如未按要求执行，发包人有权安排第三方单位清理， 费用由施工总承包单位承担。</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安全检查制度：工地配备专职安全员并持证上岗。开工前进行一次安全教育，开工后 每周进行一次安全大检查，日常上班随时进行安全检查，发现隐患，应 及时限期整改。</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工人持证上岗：现场作业人员，均需经安全培训，特殊工作如电工、电焊工，场内机 动车驾驶员必须持证上岗，临时工只能做辅助工作。</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施工材料堆放整齐： 做好项目场地周边关联的水电气等综合管线的保护，现场的施工材料 要按平面布置图或业主指定位置分类，分型号堆放整齐。各种机械设备 要检修完好，试运正常，运至现场后要按指定位置安装就位。</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工程完成时，对施工过程中产生的各类垃圾进行全面的清理工作。</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bookmarkStart w:id="31" w:name="_Toc386995960"/>
      <w:bookmarkStart w:id="32" w:name="_Toc365217268"/>
      <w:r>
        <w:rPr>
          <w:rFonts w:hint="eastAsia" w:ascii="宋体" w:hAnsi="宋体" w:cs="宋体"/>
          <w:szCs w:val="21"/>
          <w:highlight w:val="none"/>
          <w:lang w:val="en-US" w:eastAsia="zh-CN"/>
        </w:rPr>
        <w:t>针对本项目的特点，施工单位必须对起重吊装及安装拆卸工程、脚手架工程等危险性较大的分部分项工程进行重点管理，编制专项施工方案报施工单位、监理单位审批</w:t>
      </w:r>
      <w:bookmarkEnd w:id="31"/>
      <w:r>
        <w:rPr>
          <w:rFonts w:hint="eastAsia" w:ascii="宋体" w:hAnsi="宋体" w:cs="宋体"/>
          <w:szCs w:val="21"/>
          <w:highlight w:val="none"/>
          <w:lang w:val="en-US" w:eastAsia="zh-CN"/>
        </w:rPr>
        <w:t>。</w:t>
      </w:r>
    </w:p>
    <w:bookmarkEnd w:id="32"/>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要求施工单位进场后对本项目施工过程场地平面布置及分阶段利用方案进行综合考虑。</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要求施工单位按建设项目环境管理规定要求，制定环境管理计划及应急处理预案。做到不因施工而影响周边环境。</w:t>
      </w:r>
    </w:p>
    <w:p>
      <w:pPr>
        <w:numPr>
          <w:ilvl w:val="0"/>
          <w:numId w:val="1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本项目按绿色建筑标准设计，施工总承包单位按设计文件、建筑工程绿色施工评价标准、建筑工程绿色施工规范等要求组织施工。</w:t>
      </w:r>
    </w:p>
    <w:p>
      <w:pPr>
        <w:pStyle w:val="2"/>
        <w:rPr>
          <w:rFonts w:hint="eastAsia"/>
          <w:highlight w:val="none"/>
          <w:lang w:val="en-US" w:eastAsia="zh-CN"/>
        </w:rPr>
      </w:pP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主要施工方法</w:t>
      </w:r>
    </w:p>
    <w:p>
      <w:pPr>
        <w:numPr>
          <w:ilvl w:val="0"/>
          <w:numId w:val="12"/>
        </w:numPr>
        <w:spacing w:line="360" w:lineRule="auto"/>
        <w:rPr>
          <w:rFonts w:hint="eastAsia" w:ascii="宋体" w:hAnsi="宋体" w:cs="宋体"/>
          <w:szCs w:val="21"/>
          <w:highlight w:val="none"/>
        </w:rPr>
      </w:pPr>
      <w:r>
        <w:rPr>
          <w:rFonts w:hint="eastAsia" w:ascii="宋体" w:hAnsi="宋体" w:cs="宋体"/>
          <w:szCs w:val="21"/>
          <w:highlight w:val="none"/>
        </w:rPr>
        <w:t>重点加强管理，从人才、资金、机械设备及测量检试仪器为重点支持，首先是调配经验较丰富和技术水平较高的项目经理、技术负责人、主管施工员和质量安全检查员等组成强有力的项目经理部班子，全面负责本工程施工管理。</w:t>
      </w:r>
    </w:p>
    <w:p>
      <w:pPr>
        <w:numPr>
          <w:ilvl w:val="0"/>
          <w:numId w:val="12"/>
        </w:numPr>
        <w:spacing w:line="360" w:lineRule="auto"/>
        <w:rPr>
          <w:rFonts w:hint="eastAsia" w:ascii="宋体" w:hAnsi="宋体" w:cs="宋体"/>
          <w:szCs w:val="21"/>
          <w:highlight w:val="none"/>
        </w:rPr>
      </w:pPr>
      <w:r>
        <w:rPr>
          <w:rFonts w:hint="eastAsia" w:ascii="宋体" w:hAnsi="宋体" w:cs="宋体"/>
          <w:szCs w:val="21"/>
          <w:highlight w:val="none"/>
        </w:rPr>
        <w:t>在施工部署上以最大限度地利用施工工作面，调配足够数量且素质较好的工人队组，集中力量打歼来战，快速完成基础等关键项目。</w:t>
      </w:r>
    </w:p>
    <w:p>
      <w:pPr>
        <w:numPr>
          <w:ilvl w:val="0"/>
          <w:numId w:val="12"/>
        </w:numPr>
        <w:spacing w:line="360" w:lineRule="auto"/>
        <w:rPr>
          <w:rFonts w:hint="eastAsia" w:ascii="宋体" w:hAnsi="宋体" w:cs="宋体"/>
          <w:szCs w:val="21"/>
          <w:highlight w:val="none"/>
        </w:rPr>
      </w:pPr>
      <w:r>
        <w:rPr>
          <w:rFonts w:hint="eastAsia" w:ascii="宋体" w:hAnsi="宋体" w:cs="宋体"/>
          <w:szCs w:val="21"/>
          <w:highlight w:val="none"/>
        </w:rPr>
        <w:t>工程安排、方案选择方面采用分段流水均衡插入立体交叉作业施工。</w:t>
      </w:r>
    </w:p>
    <w:p>
      <w:pPr>
        <w:numPr>
          <w:ilvl w:val="0"/>
          <w:numId w:val="12"/>
        </w:numPr>
        <w:spacing w:line="360" w:lineRule="auto"/>
        <w:rPr>
          <w:rFonts w:hint="eastAsia" w:ascii="宋体" w:hAnsi="宋体" w:cs="宋体"/>
          <w:szCs w:val="21"/>
          <w:highlight w:val="none"/>
        </w:rPr>
      </w:pPr>
      <w:r>
        <w:rPr>
          <w:rFonts w:hint="eastAsia" w:ascii="宋体" w:hAnsi="宋体" w:cs="宋体"/>
          <w:szCs w:val="21"/>
          <w:highlight w:val="none"/>
        </w:rPr>
        <w:t>选好影响施工进度的主导工序，关键工作。</w:t>
      </w:r>
    </w:p>
    <w:p>
      <w:pPr>
        <w:numPr>
          <w:ilvl w:val="0"/>
          <w:numId w:val="12"/>
        </w:numPr>
        <w:spacing w:line="360" w:lineRule="auto"/>
        <w:rPr>
          <w:rFonts w:hint="eastAsia" w:ascii="宋体" w:hAnsi="宋体" w:cs="宋体"/>
          <w:szCs w:val="21"/>
          <w:highlight w:val="none"/>
        </w:rPr>
      </w:pPr>
      <w:r>
        <w:rPr>
          <w:rFonts w:hint="eastAsia" w:ascii="宋体" w:hAnsi="宋体" w:cs="宋体"/>
          <w:szCs w:val="21"/>
          <w:highlight w:val="none"/>
        </w:rPr>
        <w:t>施工准备准确及时，要求精、细。做到施工与材料、施工与加工构件、土建主体施工与专业交叉配合同步，按期正点完成施工各分部分项工作。</w:t>
      </w:r>
    </w:p>
    <w:p>
      <w:pPr>
        <w:numPr>
          <w:ilvl w:val="0"/>
          <w:numId w:val="12"/>
        </w:numPr>
        <w:spacing w:line="360" w:lineRule="auto"/>
        <w:rPr>
          <w:rFonts w:hint="eastAsia" w:ascii="宋体" w:hAnsi="宋体" w:cs="宋体"/>
          <w:szCs w:val="21"/>
          <w:highlight w:val="none"/>
        </w:rPr>
      </w:pPr>
      <w:r>
        <w:rPr>
          <w:rFonts w:hint="eastAsia" w:ascii="宋体" w:hAnsi="宋体" w:cs="宋体"/>
          <w:szCs w:val="21"/>
          <w:highlight w:val="none"/>
        </w:rPr>
        <w:t>保证工程质量，</w:t>
      </w:r>
      <w:r>
        <w:rPr>
          <w:rFonts w:hint="eastAsia" w:ascii="宋体" w:hAnsi="宋体" w:cs="宋体"/>
          <w:szCs w:val="21"/>
          <w:highlight w:val="none"/>
          <w:lang w:eastAsia="zh-CN"/>
        </w:rPr>
        <w:t>确保</w:t>
      </w:r>
      <w:r>
        <w:rPr>
          <w:rFonts w:hint="eastAsia" w:ascii="宋体" w:hAnsi="宋体" w:cs="宋体"/>
          <w:szCs w:val="21"/>
          <w:highlight w:val="none"/>
        </w:rPr>
        <w:t>各部位各工序一次成活,避免返工。</w:t>
      </w:r>
    </w:p>
    <w:p>
      <w:pPr>
        <w:numPr>
          <w:ilvl w:val="0"/>
          <w:numId w:val="12"/>
        </w:numPr>
        <w:spacing w:line="360" w:lineRule="auto"/>
        <w:rPr>
          <w:rFonts w:hint="eastAsia" w:ascii="宋体" w:hAnsi="宋体" w:cs="宋体"/>
          <w:szCs w:val="21"/>
          <w:highlight w:val="none"/>
        </w:rPr>
      </w:pPr>
      <w:r>
        <w:rPr>
          <w:rFonts w:hint="eastAsia" w:ascii="宋体" w:hAnsi="宋体" w:cs="宋体"/>
          <w:szCs w:val="21"/>
          <w:highlight w:val="none"/>
        </w:rPr>
        <w:t>积极与建设单位、设计单位及监理单位的配合，定期召开协调会议，对施工进度干遇到和发现的一些问题，及时研究协调。</w:t>
      </w:r>
    </w:p>
    <w:p>
      <w:pPr>
        <w:numPr>
          <w:ilvl w:val="0"/>
          <w:numId w:val="12"/>
        </w:numPr>
        <w:spacing w:line="360" w:lineRule="auto"/>
        <w:rPr>
          <w:rFonts w:hint="eastAsia" w:ascii="宋体" w:hAnsi="宋体" w:cs="宋体"/>
          <w:szCs w:val="21"/>
          <w:highlight w:val="none"/>
          <w:lang w:eastAsia="zh-CN"/>
        </w:rPr>
      </w:pPr>
      <w:r>
        <w:rPr>
          <w:rFonts w:hint="eastAsia" w:ascii="宋体" w:hAnsi="宋体" w:cs="宋体"/>
          <w:szCs w:val="21"/>
          <w:highlight w:val="none"/>
        </w:rPr>
        <w:t>自备柴油发电机，原有电容不足或停电时，自己发电，保证施工连续性。</w:t>
      </w:r>
    </w:p>
    <w:p>
      <w:pPr>
        <w:numPr>
          <w:ilvl w:val="0"/>
          <w:numId w:val="12"/>
        </w:numPr>
        <w:spacing w:line="360" w:lineRule="auto"/>
        <w:rPr>
          <w:rFonts w:hint="eastAsia" w:ascii="宋体" w:hAnsi="宋体" w:cs="宋体"/>
          <w:szCs w:val="21"/>
          <w:highlight w:val="none"/>
        </w:rPr>
      </w:pPr>
      <w:r>
        <w:rPr>
          <w:rFonts w:hint="eastAsia" w:ascii="宋体" w:hAnsi="宋体" w:cs="宋体"/>
          <w:szCs w:val="21"/>
          <w:highlight w:val="none"/>
        </w:rPr>
        <w:t>项目管理难点要求</w:t>
      </w:r>
    </w:p>
    <w:p>
      <w:pPr>
        <w:numPr>
          <w:ilvl w:val="0"/>
          <w:numId w:val="13"/>
        </w:numPr>
        <w:spacing w:line="360" w:lineRule="auto"/>
        <w:ind w:left="0" w:leftChars="0" w:firstLine="420" w:firstLineChars="200"/>
        <w:rPr>
          <w:rFonts w:hint="eastAsia" w:ascii="宋体" w:hAnsi="宋体" w:cs="宋体"/>
          <w:szCs w:val="21"/>
          <w:highlight w:val="none"/>
        </w:rPr>
      </w:pPr>
      <w:r>
        <w:rPr>
          <w:rFonts w:hint="eastAsia" w:ascii="宋体" w:hAnsi="宋体" w:cs="宋体"/>
          <w:szCs w:val="21"/>
          <w:highlight w:val="none"/>
        </w:rPr>
        <w:t>施工总平面布置管理难点</w:t>
      </w:r>
    </w:p>
    <w:p>
      <w:pPr>
        <w:numPr>
          <w:ilvl w:val="0"/>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承包人</w:t>
      </w:r>
      <w:r>
        <w:rPr>
          <w:rFonts w:hint="eastAsia" w:ascii="宋体" w:hAnsi="宋体" w:cs="宋体"/>
          <w:szCs w:val="21"/>
          <w:highlight w:val="none"/>
          <w:lang w:eastAsia="zh-CN"/>
        </w:rPr>
        <w:t>可能</w:t>
      </w:r>
      <w:r>
        <w:rPr>
          <w:rFonts w:hint="eastAsia" w:ascii="宋体" w:hAnsi="宋体" w:cs="宋体"/>
          <w:szCs w:val="21"/>
          <w:highlight w:val="none"/>
        </w:rPr>
        <w:t>需另行择地建立工人住宿区和办公区，同时，为切实推进工程生产工作，材料堆放区、建筑垃圾临时堆放区、脚手架钢管等堆放、搭设等，应切实结合现场实际自行进行安排；</w:t>
      </w:r>
    </w:p>
    <w:p>
      <w:pPr>
        <w:numPr>
          <w:ilvl w:val="0"/>
          <w:numId w:val="13"/>
        </w:numPr>
        <w:spacing w:line="360" w:lineRule="auto"/>
        <w:ind w:left="0" w:leftChars="0" w:firstLine="420" w:firstLineChars="200"/>
        <w:rPr>
          <w:rFonts w:hint="eastAsia" w:ascii="宋体" w:hAnsi="宋体" w:cs="宋体"/>
          <w:szCs w:val="21"/>
          <w:highlight w:val="none"/>
        </w:rPr>
      </w:pPr>
      <w:r>
        <w:rPr>
          <w:rFonts w:hint="eastAsia" w:ascii="宋体" w:hAnsi="宋体" w:cs="宋体"/>
          <w:szCs w:val="21"/>
          <w:highlight w:val="none"/>
        </w:rPr>
        <w:t>施工总承包管理及配合服务的难点</w:t>
      </w:r>
    </w:p>
    <w:p>
      <w:pPr>
        <w:numPr>
          <w:ilvl w:val="0"/>
          <w:numId w:val="14"/>
        </w:numPr>
        <w:tabs>
          <w:tab w:val="left" w:pos="640"/>
          <w:tab w:val="clear" w:pos="31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在现场施工阶段中期，将出现众多单位联合交叉施工、须确保各专业施工队伍合理配合，有条不紊开展施工；</w:t>
      </w:r>
    </w:p>
    <w:p>
      <w:pPr>
        <w:numPr>
          <w:ilvl w:val="0"/>
          <w:numId w:val="14"/>
        </w:numPr>
        <w:tabs>
          <w:tab w:val="left" w:pos="640"/>
          <w:tab w:val="clear" w:pos="31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项目地处市区中心，场地狭窄，施工噪声控制，必须与属地街道、区建水局、区城管局建立联席工作机制，应对居民监督和投诉工作；</w:t>
      </w:r>
    </w:p>
    <w:p>
      <w:pPr>
        <w:numPr>
          <w:ilvl w:val="0"/>
          <w:numId w:val="14"/>
        </w:numPr>
        <w:tabs>
          <w:tab w:val="left" w:pos="640"/>
          <w:tab w:val="clear" w:pos="31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运输车冲洗干净，防超载，配人员对工地大门位置进行交通指挥，必须建立多道设防安全管理机制，此为本项目管理难点；</w:t>
      </w:r>
    </w:p>
    <w:p>
      <w:pPr>
        <w:numPr>
          <w:ilvl w:val="0"/>
          <w:numId w:val="13"/>
        </w:numPr>
        <w:spacing w:line="360" w:lineRule="auto"/>
        <w:ind w:left="0" w:leftChars="0" w:firstLine="420" w:firstLineChars="200"/>
        <w:rPr>
          <w:rFonts w:hint="eastAsia" w:ascii="宋体" w:hAnsi="宋体" w:cs="宋体"/>
          <w:szCs w:val="21"/>
          <w:highlight w:val="none"/>
        </w:rPr>
      </w:pPr>
      <w:r>
        <w:rPr>
          <w:rFonts w:hint="eastAsia" w:ascii="宋体" w:hAnsi="宋体" w:cs="宋体"/>
          <w:szCs w:val="21"/>
          <w:highlight w:val="none"/>
        </w:rPr>
        <w:t>工程施工管理难点</w:t>
      </w:r>
    </w:p>
    <w:p>
      <w:pPr>
        <w:numPr>
          <w:ilvl w:val="0"/>
          <w:numId w:val="15"/>
        </w:numPr>
        <w:tabs>
          <w:tab w:val="left" w:pos="640"/>
          <w:tab w:val="clear" w:pos="31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涉及工程材料众多，设计技术要求高，需做好材料的看样定板、施工工艺样板引路和三级质检的工作；</w:t>
      </w:r>
    </w:p>
    <w:p>
      <w:pPr>
        <w:numPr>
          <w:ilvl w:val="0"/>
          <w:numId w:val="15"/>
        </w:numPr>
        <w:tabs>
          <w:tab w:val="left" w:pos="640"/>
          <w:tab w:val="clear" w:pos="312"/>
        </w:tabs>
        <w:spacing w:line="360" w:lineRule="auto"/>
        <w:ind w:firstLine="420" w:firstLineChars="200"/>
        <w:rPr>
          <w:rFonts w:hint="eastAsia" w:ascii="宋体" w:hAnsi="宋体" w:cs="宋体"/>
          <w:b/>
          <w:szCs w:val="21"/>
          <w:highlight w:val="none"/>
          <w:lang w:eastAsia="zh-CN"/>
        </w:rPr>
      </w:pPr>
      <w:r>
        <w:rPr>
          <w:rFonts w:hint="eastAsia" w:ascii="宋体" w:hAnsi="宋体" w:cs="宋体"/>
          <w:szCs w:val="21"/>
          <w:highlight w:val="none"/>
        </w:rPr>
        <w:t>本项目在施工过程前，须组织设计单位提前做好相关技术方案，承包人进场后，需预先审查工程图纸，提出会审意见，同时编制有针对性工程施工方案，报监理单位和发包人审核，同意后实施。</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投资控制要求</w:t>
      </w:r>
    </w:p>
    <w:p>
      <w:pPr>
        <w:numPr>
          <w:ilvl w:val="0"/>
          <w:numId w:val="16"/>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承包人须协助发包人加强投资控制，每期申请进度款的计量计价应准确，进度款的申请应与主要材料设备采购计划相匹配，严禁虚报计量或超前计量，否则严格按合同约定承担违约责任。</w:t>
      </w:r>
    </w:p>
    <w:p>
      <w:pPr>
        <w:numPr>
          <w:ilvl w:val="0"/>
          <w:numId w:val="16"/>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在施工过程中发生的工程变更、工程签证等引起合同价款调增事件后，承包人未按合同约定办理变更工程预算审批的，则发包人有权根据实际情况决定是否调整合同价款以及调整的金额。</w:t>
      </w:r>
    </w:p>
    <w:p>
      <w:pPr>
        <w:numPr>
          <w:ilvl w:val="0"/>
          <w:numId w:val="16"/>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根据项目的实际情况，如承包人需另行租用场地用于临设之用，属于承包人自行考虑范畴，相关的费用投标时综合考虑，不再另行计量、支付。</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质量保证措施</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要求施工单位按照（GB/T 19001-2008）《质量管理体系要求》</w:t>
      </w:r>
      <w:r>
        <w:rPr>
          <w:rFonts w:hint="eastAsia" w:ascii="宋体" w:hAnsi="宋体" w:cs="宋体"/>
          <w:szCs w:val="21"/>
          <w:highlight w:val="none"/>
          <w:lang w:eastAsia="zh-CN"/>
        </w:rPr>
        <w:t>（</w:t>
      </w:r>
      <w:r>
        <w:rPr>
          <w:rFonts w:hint="eastAsia" w:ascii="宋体" w:hAnsi="宋体" w:cs="宋体"/>
          <w:szCs w:val="21"/>
          <w:highlight w:val="none"/>
          <w:lang w:val="en-US" w:eastAsia="zh-CN"/>
        </w:rPr>
        <w:t>有最新标准的，按最新标准执行</w:t>
      </w:r>
      <w:r>
        <w:rPr>
          <w:rFonts w:hint="eastAsia" w:ascii="宋体" w:hAnsi="宋体" w:cs="宋体"/>
          <w:szCs w:val="21"/>
          <w:highlight w:val="none"/>
          <w:lang w:eastAsia="zh-CN"/>
        </w:rPr>
        <w:t>）</w:t>
      </w:r>
      <w:r>
        <w:rPr>
          <w:rFonts w:hint="eastAsia" w:ascii="宋体" w:hAnsi="宋体" w:cs="宋体"/>
          <w:szCs w:val="21"/>
          <w:highlight w:val="none"/>
        </w:rPr>
        <w:t>，以及区代建中心质量管理规定的要求，建立和健全质量管理体系，设立质量管理专职机构，配备满足规定要求的专职管理人员。</w:t>
      </w:r>
      <w:r>
        <w:rPr>
          <w:rFonts w:hint="eastAsia" w:ascii="宋体" w:hAnsi="宋体" w:cs="宋体"/>
          <w:b/>
          <w:bCs/>
          <w:szCs w:val="21"/>
          <w:highlight w:val="none"/>
        </w:rPr>
        <w:t>要求施工单位进场</w:t>
      </w:r>
      <w:r>
        <w:rPr>
          <w:rFonts w:hint="eastAsia" w:ascii="宋体" w:hAnsi="宋体" w:cs="宋体"/>
          <w:b/>
          <w:bCs/>
          <w:szCs w:val="21"/>
          <w:highlight w:val="none"/>
          <w:lang w:val="en-US" w:eastAsia="zh-CN"/>
        </w:rPr>
        <w:t>7天内</w:t>
      </w:r>
      <w:r>
        <w:rPr>
          <w:rFonts w:hint="eastAsia" w:ascii="宋体" w:hAnsi="宋体" w:cs="宋体"/>
          <w:b/>
          <w:bCs/>
          <w:szCs w:val="21"/>
          <w:highlight w:val="none"/>
        </w:rPr>
        <w:t>向监理单位提交包含上述内容的专项组织机构资料，并报审，逾期未提交，将给予一般违约处罚。</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建立健全机构，施工从材料、半成品、成品进场，施工安装直至交付验收的质量保证体系，并落实到人。严格按建设项目工程质量样板引路的要求，建立工序质量样板，在工序样板引路的基础上，实施分项分部子单位样板引路。</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装饰材料品牌及样板，采取从专业生产厂家采购样板回来，并把实物样板送给设计师和建设单位鉴定，达到满意后，直接从厂家按样本品牌规定购回现场使用。</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工程中所有材料，包括多种原材料、半成品及成品材料，必须先将生产厂家简介，材料技术资料和试验数据及材料样品，实地试验结果等各种技术指标报请建设单位和监理工程师审批。凡是资料不齐全或未经批准的材料，一律不准进入施工现场。进场材料使用前严格按要求进行现场见证取样送检，检验合格后才允许使用于本工程。</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以工艺卡、大样图和样板作为技术交底的主要手段，凡是无工艺卡或书面交底的项目，施工员可拒绝施工。</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对于本项目的检验批、分部（子分部）、专项工程、专业工程编制三级质检工作方案，报监理单位和发包人审核、备案；</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严格贯彻“把关”和“积极预防”相结合的质量管理方法，坚持预先定标准、定样板、定材料、定做法，手续要齐备。凡进场材料、半成品和加工品，都要实行验收手续，索要合格证或检测报告书。无合格证或外观不符合标准者不得进场。</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所有参加施工的技术员、施工员都要预审和熟悉图纸及洽商记录。</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本工程实行全面质量管理、文明施工，整个工程实行专业性管理，提前组织培训，统一思想，熟悉操作。</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按进度计划施工，严格技术管理，当进度与质量发生矛盾时，要服从质量，承包任务者首先要承包质量。</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所有装饰必须注意色调、质感的统一。</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要强调装饰项目的基层施工质量，基层要做到平整、垂直和阴阳角方正，只有做好基层，才能保证饰面层质量。</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加强质量监督检查，采取专业检查与自检相结合的检查方法，并以自检为主，坚持贯彻执行自检、互检、交接检的三检制度与挂牌制度，对工程质量要求一丝不苟。</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采取“防护”、“包裹”、“覆盖”、“封闭”等保护措施，以及合理安排施工顺序等措施及时对成品进行保护。</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要求承包人组织专家对于具有技术难度的分部分项工程施工方案进行论证后方可实施。</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承包人编制的脚手脚排栅方案，经监理人批准后实施，否则监理人可以直接下达停工令，造成的工期延误由承包人自行负责。</w:t>
      </w:r>
    </w:p>
    <w:p>
      <w:pPr>
        <w:numPr>
          <w:ilvl w:val="0"/>
          <w:numId w:val="16"/>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承包人投入的施工作业人员必须具备相应的上岗证，如特种人员，还须具备特种人员作业证书，以确保施工质量。所有人员必须带证上岗，随时接受发包人、监理人检查，否则按合同约定承担违约责任。</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材料管理要求</w:t>
      </w:r>
    </w:p>
    <w:p>
      <w:pPr>
        <w:numPr>
          <w:ilvl w:val="0"/>
          <w:numId w:val="17"/>
        </w:num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要求施工单位进场</w:t>
      </w:r>
      <w:r>
        <w:rPr>
          <w:rFonts w:hint="eastAsia" w:ascii="宋体" w:hAnsi="宋体" w:cs="宋体"/>
          <w:szCs w:val="21"/>
          <w:highlight w:val="none"/>
          <w:lang w:val="en-US" w:eastAsia="zh-CN"/>
        </w:rPr>
        <w:t>15</w:t>
      </w:r>
      <w:r>
        <w:rPr>
          <w:rFonts w:hint="eastAsia" w:ascii="宋体" w:hAnsi="宋体" w:cs="宋体"/>
          <w:szCs w:val="21"/>
          <w:highlight w:val="none"/>
        </w:rPr>
        <w:t>天内完成所有原材料（钢材、商品砼等）的采购计划，落实原材料采购协议，作为第一期工程进度款的支付条件之一。</w:t>
      </w:r>
      <w:r>
        <w:rPr>
          <w:rFonts w:hint="eastAsia" w:ascii="宋体" w:hAnsi="宋体" w:cs="宋体"/>
          <w:b/>
          <w:bCs/>
          <w:szCs w:val="21"/>
          <w:highlight w:val="none"/>
        </w:rPr>
        <w:t>要求施工单位进场一个月内，向监理单位提交包含上述内容的专项资料，并报审，逾期未提交，将给予一般违约处罚。</w:t>
      </w:r>
    </w:p>
    <w:p>
      <w:pPr>
        <w:numPr>
          <w:ilvl w:val="0"/>
          <w:numId w:val="17"/>
        </w:num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要求施工单位进场后立即根据设计文件要求及《乙供材料（设备）管理办法》申报乙供料。</w:t>
      </w:r>
      <w:r>
        <w:rPr>
          <w:rFonts w:hint="eastAsia" w:ascii="宋体" w:hAnsi="宋体" w:cs="宋体"/>
          <w:b/>
          <w:bCs/>
          <w:szCs w:val="21"/>
          <w:highlight w:val="none"/>
        </w:rPr>
        <w:t>要求施工单位进场</w:t>
      </w:r>
      <w:r>
        <w:rPr>
          <w:rFonts w:hint="eastAsia" w:ascii="宋体" w:hAnsi="宋体" w:cs="宋体"/>
          <w:b/>
          <w:bCs/>
          <w:szCs w:val="21"/>
          <w:highlight w:val="none"/>
          <w:lang w:val="en-US" w:eastAsia="zh-CN"/>
        </w:rPr>
        <w:t>15天</w:t>
      </w:r>
      <w:r>
        <w:rPr>
          <w:rFonts w:hint="eastAsia" w:ascii="宋体" w:hAnsi="宋体" w:cs="宋体"/>
          <w:b/>
          <w:bCs/>
          <w:szCs w:val="21"/>
          <w:highlight w:val="none"/>
        </w:rPr>
        <w:t>内，向监理单位提交包含上述内容的专项资料，并报审，逾期未提交，将给予一般违约处罚。</w:t>
      </w:r>
    </w:p>
    <w:p>
      <w:pPr>
        <w:numPr>
          <w:ilvl w:val="0"/>
          <w:numId w:val="17"/>
        </w:numPr>
        <w:spacing w:line="360" w:lineRule="auto"/>
        <w:ind w:firstLine="420" w:firstLineChars="200"/>
        <w:rPr>
          <w:rFonts w:hint="eastAsia" w:ascii="宋体" w:hAnsi="宋体" w:cs="宋体"/>
          <w:b/>
          <w:szCs w:val="21"/>
          <w:highlight w:val="none"/>
          <w:lang w:val="en-US" w:eastAsia="zh-CN"/>
        </w:rPr>
      </w:pPr>
      <w:r>
        <w:rPr>
          <w:rFonts w:hint="eastAsia" w:ascii="宋体" w:hAnsi="宋体" w:cs="宋体"/>
          <w:szCs w:val="21"/>
          <w:highlight w:val="none"/>
        </w:rPr>
        <w:t>对需要在工厂加工制作的重要分部分项工程，要求施工单位必须安排专人长期驻场加工制作厂督促进度、质量，参与工序验收和出厂调试。</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工期保证措施</w:t>
      </w:r>
    </w:p>
    <w:p>
      <w:pPr>
        <w:numPr>
          <w:ilvl w:val="0"/>
          <w:numId w:val="18"/>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运用现代化管理方法指导生产、加强动态管理。充分利用已有资源组织材料、人力资源的合理配置。保证各阶段施工的连续性，消除窝工、停工现象。</w:t>
      </w:r>
    </w:p>
    <w:p>
      <w:pPr>
        <w:numPr>
          <w:ilvl w:val="0"/>
          <w:numId w:val="18"/>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各工序严格按进度计划施工，项目经理有效协调人力资源，确保施工顺利。</w:t>
      </w:r>
    </w:p>
    <w:p>
      <w:pPr>
        <w:numPr>
          <w:ilvl w:val="0"/>
          <w:numId w:val="18"/>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保证订货周期，充分做好施工前的准备工作。</w:t>
      </w:r>
    </w:p>
    <w:p>
      <w:pPr>
        <w:numPr>
          <w:ilvl w:val="0"/>
          <w:numId w:val="18"/>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优化网络计划管理，综合考虑机械、设备、材料的相应关系，使各工种、各工序实施紧密的交叉搭接，对每道工序制定的调整措施。</w:t>
      </w:r>
    </w:p>
    <w:p>
      <w:pPr>
        <w:numPr>
          <w:ilvl w:val="0"/>
          <w:numId w:val="18"/>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合理配置施工机械设施，提供利用效率，保证各项作业、各工种之间的高度协调，发挥最大的生产潜力，实现工期目标值。</w:t>
      </w:r>
    </w:p>
    <w:p>
      <w:pPr>
        <w:numPr>
          <w:ilvl w:val="0"/>
          <w:numId w:val="18"/>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协调好整饰工程间的关系，基本做到整饰与安装同步进行，安装不拖延，合理组织流水施工。</w:t>
      </w:r>
    </w:p>
    <w:p>
      <w:pPr>
        <w:numPr>
          <w:ilvl w:val="0"/>
          <w:numId w:val="17"/>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本项目竣工日期为202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日，施工单位应以此为目标编制施工进度计划。</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进度管理要求</w:t>
      </w:r>
    </w:p>
    <w:p>
      <w:pPr>
        <w:numPr>
          <w:ilvl w:val="0"/>
          <w:numId w:val="1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施工单位进场</w:t>
      </w:r>
      <w:r>
        <w:rPr>
          <w:rFonts w:hint="eastAsia" w:ascii="宋体" w:hAnsi="宋体" w:cs="宋体"/>
          <w:szCs w:val="21"/>
          <w:highlight w:val="none"/>
          <w:lang w:val="en-US" w:eastAsia="zh-CN"/>
        </w:rPr>
        <w:t>5</w:t>
      </w:r>
      <w:r>
        <w:rPr>
          <w:rFonts w:hint="eastAsia" w:ascii="宋体" w:hAnsi="宋体" w:cs="宋体"/>
          <w:szCs w:val="21"/>
          <w:highlight w:val="none"/>
        </w:rPr>
        <w:t>天内根据《项目实施总控计划》、施工图纸和现场实际情况编制切实可行的实施进度计划。逾期未提交，将给予一般违约处罚。</w:t>
      </w:r>
    </w:p>
    <w:p>
      <w:pPr>
        <w:numPr>
          <w:ilvl w:val="0"/>
          <w:numId w:val="1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施工单位进场后应立即着手各重点工程完成工程施工方案（包括：材料看样定板、采购、检测、施工计划，确保工期目标实现等内容），并报审。要求施工单位进场</w:t>
      </w:r>
      <w:r>
        <w:rPr>
          <w:rFonts w:hint="eastAsia" w:ascii="宋体" w:hAnsi="宋体" w:cs="宋体"/>
          <w:szCs w:val="21"/>
          <w:highlight w:val="none"/>
          <w:lang w:val="en-US" w:eastAsia="zh-CN"/>
        </w:rPr>
        <w:t>7天</w:t>
      </w:r>
      <w:r>
        <w:rPr>
          <w:rFonts w:hint="eastAsia" w:ascii="宋体" w:hAnsi="宋体" w:cs="宋体"/>
          <w:szCs w:val="21"/>
          <w:highlight w:val="none"/>
        </w:rPr>
        <w:t>内，向监理单位提交包含上述内容的施工组织设计，并报审，逾期未提交，将给予一般违约处罚。</w:t>
      </w:r>
    </w:p>
    <w:p>
      <w:pPr>
        <w:numPr>
          <w:ilvl w:val="0"/>
          <w:numId w:val="1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本项目涉及</w:t>
      </w:r>
      <w:r>
        <w:rPr>
          <w:rFonts w:hint="eastAsia" w:ascii="宋体" w:hAnsi="宋体" w:cs="宋体"/>
          <w:szCs w:val="21"/>
          <w:highlight w:val="none"/>
          <w:lang w:eastAsia="zh-CN"/>
        </w:rPr>
        <w:t>高空吊装作业</w:t>
      </w:r>
      <w:r>
        <w:rPr>
          <w:rFonts w:hint="eastAsia" w:ascii="宋体" w:hAnsi="宋体" w:cs="宋体"/>
          <w:szCs w:val="21"/>
          <w:highlight w:val="none"/>
        </w:rPr>
        <w:t>，必须编制安全专项施工方案，要求施工单位进场</w:t>
      </w:r>
      <w:r>
        <w:rPr>
          <w:rFonts w:hint="eastAsia" w:ascii="宋体" w:hAnsi="宋体" w:cs="宋体"/>
          <w:szCs w:val="21"/>
          <w:highlight w:val="none"/>
          <w:lang w:val="en-US" w:eastAsia="zh-CN"/>
        </w:rPr>
        <w:t>15天</w:t>
      </w:r>
      <w:r>
        <w:rPr>
          <w:rFonts w:hint="eastAsia" w:ascii="宋体" w:hAnsi="宋体" w:cs="宋体"/>
          <w:szCs w:val="21"/>
          <w:highlight w:val="none"/>
        </w:rPr>
        <w:t>内，向监理单位提交包含上述内容的专项方案，并报审，逾期未提交，将给予一般违约处罚。</w:t>
      </w:r>
    </w:p>
    <w:p>
      <w:pPr>
        <w:numPr>
          <w:ilvl w:val="0"/>
          <w:numId w:val="1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总包搭设的外脚手架，为保证工程进度，规范施工单位在建设项目中对于建筑外墙脚手架的选型和应用，加强施工现场安全文明施工管理，在技术条件可行的情况下，均要求优先选用扣件式钢管双排脚手架型式</w:t>
      </w:r>
      <w:r>
        <w:rPr>
          <w:rFonts w:hint="eastAsia" w:ascii="宋体" w:hAnsi="宋体" w:cs="宋体"/>
          <w:szCs w:val="21"/>
          <w:highlight w:val="none"/>
          <w:lang w:eastAsia="zh-CN"/>
        </w:rPr>
        <w:t>配合冲孔金属网</w:t>
      </w:r>
      <w:r>
        <w:rPr>
          <w:rFonts w:hint="eastAsia" w:ascii="宋体" w:hAnsi="宋体" w:cs="宋体"/>
          <w:szCs w:val="21"/>
          <w:highlight w:val="none"/>
        </w:rPr>
        <w:t>作为建筑工程外墙脚手架。要求施工单位进场</w:t>
      </w:r>
      <w:r>
        <w:rPr>
          <w:rFonts w:hint="eastAsia" w:ascii="宋体" w:hAnsi="宋体" w:cs="宋体"/>
          <w:szCs w:val="21"/>
          <w:highlight w:val="none"/>
          <w:lang w:val="en-US" w:eastAsia="zh-CN"/>
        </w:rPr>
        <w:t>15天</w:t>
      </w:r>
      <w:r>
        <w:rPr>
          <w:rFonts w:hint="eastAsia" w:ascii="宋体" w:hAnsi="宋体" w:cs="宋体"/>
          <w:szCs w:val="21"/>
          <w:highlight w:val="none"/>
        </w:rPr>
        <w:t>内，向监理单位提交包含上述内容的专项方案，并报审，逾期未提交，将给予一般违约处罚。</w:t>
      </w:r>
    </w:p>
    <w:p>
      <w:pPr>
        <w:numPr>
          <w:ilvl w:val="0"/>
          <w:numId w:val="1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及时提交各项检测方案，以便能够及时确定检测单位并及时组织进场。</w:t>
      </w:r>
    </w:p>
    <w:p>
      <w:pPr>
        <w:numPr>
          <w:ilvl w:val="0"/>
          <w:numId w:val="1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充分考虑现场临时施工用电的情况，编制施工现场临时施工用电方案。</w:t>
      </w:r>
    </w:p>
    <w:p>
      <w:pPr>
        <w:numPr>
          <w:ilvl w:val="0"/>
          <w:numId w:val="19"/>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施工单位应考虑场区范围狭窄、建筑垃圾、工程材料堆放等对于场地布置等因素对施工进度的影响。</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投入的主要机械设备及劳动力计划</w:t>
      </w:r>
    </w:p>
    <w:p>
      <w:pPr>
        <w:numPr>
          <w:ilvl w:val="0"/>
          <w:numId w:val="2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根据经建设单位及监理批准的施工进度计划及现场施工情况，投入相应数量的机械设备及劳动力，满足工程进度要求，确保按期完工。</w:t>
      </w:r>
    </w:p>
    <w:p>
      <w:pPr>
        <w:numPr>
          <w:ilvl w:val="0"/>
          <w:numId w:val="20"/>
        </w:num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本工程</w:t>
      </w:r>
      <w:r>
        <w:rPr>
          <w:rFonts w:hint="eastAsia" w:ascii="宋体" w:hAnsi="宋体" w:cs="宋体"/>
          <w:szCs w:val="21"/>
          <w:highlight w:val="none"/>
          <w:lang w:eastAsia="zh-CN"/>
        </w:rPr>
        <w:t>可能</w:t>
      </w:r>
      <w:r>
        <w:rPr>
          <w:rFonts w:hint="eastAsia" w:ascii="宋体" w:hAnsi="宋体" w:cs="宋体"/>
          <w:szCs w:val="21"/>
          <w:highlight w:val="none"/>
        </w:rPr>
        <w:t>需要施工单位另行择地建立项目部，配备项目用车1台，项目部除满足现场施工人员需求外，须提供业主、监理办公及保障设施，具体如下：</w:t>
      </w:r>
    </w:p>
    <w:tbl>
      <w:tblPr>
        <w:tblStyle w:val="28"/>
        <w:tblW w:w="846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080"/>
        <w:gridCol w:w="1620"/>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spacing w:line="360" w:lineRule="auto"/>
              <w:jc w:val="center"/>
              <w:rPr>
                <w:color w:val="auto"/>
                <w:highlight w:val="none"/>
              </w:rPr>
            </w:pPr>
            <w:r>
              <w:rPr>
                <w:rFonts w:hint="eastAsia"/>
                <w:color w:val="auto"/>
                <w:highlight w:val="none"/>
              </w:rPr>
              <w:t>功能</w:t>
            </w:r>
          </w:p>
        </w:tc>
        <w:tc>
          <w:tcPr>
            <w:tcW w:w="1080" w:type="dxa"/>
          </w:tcPr>
          <w:p>
            <w:pPr>
              <w:spacing w:line="360" w:lineRule="auto"/>
              <w:jc w:val="center"/>
              <w:rPr>
                <w:color w:val="auto"/>
                <w:highlight w:val="none"/>
              </w:rPr>
            </w:pPr>
            <w:r>
              <w:rPr>
                <w:rFonts w:hint="eastAsia"/>
                <w:color w:val="auto"/>
                <w:highlight w:val="none"/>
              </w:rPr>
              <w:t>数量（个）</w:t>
            </w:r>
          </w:p>
        </w:tc>
        <w:tc>
          <w:tcPr>
            <w:tcW w:w="1620" w:type="dxa"/>
          </w:tcPr>
          <w:p>
            <w:pPr>
              <w:spacing w:line="360" w:lineRule="auto"/>
              <w:jc w:val="center"/>
              <w:rPr>
                <w:color w:val="auto"/>
                <w:highlight w:val="none"/>
              </w:rPr>
            </w:pPr>
            <w:r>
              <w:rPr>
                <w:rFonts w:hint="eastAsia"/>
                <w:color w:val="auto"/>
                <w:highlight w:val="none"/>
              </w:rPr>
              <w:t>面积</w:t>
            </w:r>
          </w:p>
        </w:tc>
        <w:tc>
          <w:tcPr>
            <w:tcW w:w="4224" w:type="dxa"/>
          </w:tcPr>
          <w:p>
            <w:pPr>
              <w:spacing w:line="360" w:lineRule="auto"/>
              <w:jc w:val="center"/>
              <w:rPr>
                <w:color w:val="auto"/>
                <w:highlight w:val="none"/>
              </w:rPr>
            </w:pPr>
            <w:r>
              <w:rPr>
                <w:rFonts w:hint="eastAsia"/>
                <w:color w:val="auto"/>
                <w:highlight w:val="none"/>
              </w:rPr>
              <w:t>每个房间配套设施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jc w:val="center"/>
              <w:rPr>
                <w:color w:val="auto"/>
                <w:highlight w:val="none"/>
              </w:rPr>
            </w:pPr>
            <w:r>
              <w:rPr>
                <w:rFonts w:hint="eastAsia"/>
                <w:color w:val="auto"/>
                <w:highlight w:val="none"/>
              </w:rPr>
              <w:t>会议室</w:t>
            </w:r>
          </w:p>
        </w:tc>
        <w:tc>
          <w:tcPr>
            <w:tcW w:w="1080" w:type="dxa"/>
            <w:vAlign w:val="center"/>
          </w:tcPr>
          <w:p>
            <w:pPr>
              <w:jc w:val="center"/>
              <w:rPr>
                <w:color w:val="auto"/>
                <w:highlight w:val="none"/>
              </w:rPr>
            </w:pPr>
            <w:r>
              <w:rPr>
                <w:rFonts w:hint="eastAsia"/>
                <w:color w:val="auto"/>
                <w:highlight w:val="none"/>
              </w:rPr>
              <w:t>1</w:t>
            </w:r>
          </w:p>
        </w:tc>
        <w:tc>
          <w:tcPr>
            <w:tcW w:w="1620" w:type="dxa"/>
            <w:vAlign w:val="center"/>
          </w:tcPr>
          <w:p>
            <w:pPr>
              <w:jc w:val="center"/>
              <w:rPr>
                <w:color w:val="auto"/>
                <w:highlight w:val="none"/>
              </w:rPr>
            </w:pPr>
            <w:r>
              <w:rPr>
                <w:rFonts w:hint="eastAsia"/>
                <w:color w:val="auto"/>
                <w:highlight w:val="none"/>
              </w:rPr>
              <w:t>30㎡</w:t>
            </w:r>
          </w:p>
        </w:tc>
        <w:tc>
          <w:tcPr>
            <w:tcW w:w="4224" w:type="dxa"/>
          </w:tcPr>
          <w:p>
            <w:pPr>
              <w:jc w:val="left"/>
              <w:rPr>
                <w:color w:val="auto"/>
                <w:highlight w:val="none"/>
              </w:rPr>
            </w:pPr>
            <w:r>
              <w:rPr>
                <w:rFonts w:hint="eastAsia"/>
                <w:color w:val="auto"/>
                <w:highlight w:val="none"/>
              </w:rPr>
              <w:t>会议室桌椅能够满足</w:t>
            </w:r>
            <w:r>
              <w:rPr>
                <w:rFonts w:hint="eastAsia"/>
                <w:color w:val="auto"/>
                <w:highlight w:val="none"/>
                <w:lang w:val="en-US" w:eastAsia="zh-CN"/>
              </w:rPr>
              <w:t>12</w:t>
            </w:r>
            <w:r>
              <w:rPr>
                <w:rFonts w:hint="eastAsia"/>
                <w:color w:val="auto"/>
                <w:highlight w:val="none"/>
              </w:rPr>
              <w:t>人开会的要求，空调不少于一台，投影设备</w:t>
            </w:r>
            <w:r>
              <w:rPr>
                <w:rFonts w:hint="eastAsia"/>
                <w:color w:val="auto"/>
                <w:highlight w:val="none"/>
                <w:lang w:eastAsia="zh-CN"/>
              </w:rPr>
              <w:t>、</w:t>
            </w:r>
            <w:r>
              <w:rPr>
                <w:rFonts w:hint="eastAsia"/>
                <w:color w:val="auto"/>
                <w:highlight w:val="none"/>
                <w:lang w:val="en-US" w:eastAsia="zh-CN"/>
              </w:rPr>
              <w:t>65寸电视机各</w:t>
            </w:r>
            <w:r>
              <w:rPr>
                <w:rFonts w:hint="eastAsia"/>
                <w:color w:val="auto"/>
                <w:highlight w:val="none"/>
              </w:rPr>
              <w:t>一</w:t>
            </w:r>
            <w:r>
              <w:rPr>
                <w:rFonts w:hint="eastAsia"/>
                <w:color w:val="auto"/>
                <w:highlight w:val="none"/>
                <w:lang w:eastAsia="zh-CN"/>
              </w:rPr>
              <w:t>台</w:t>
            </w:r>
            <w:r>
              <w:rPr>
                <w:rFonts w:hint="eastAsia"/>
                <w:color w:val="auto"/>
                <w:highlight w:val="none"/>
              </w:rPr>
              <w:t>（含手提电脑），有足够的插座等电源开关和照明。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jc w:val="center"/>
              <w:rPr>
                <w:color w:val="auto"/>
                <w:highlight w:val="none"/>
              </w:rPr>
            </w:pPr>
            <w:r>
              <w:rPr>
                <w:rFonts w:hint="eastAsia"/>
                <w:color w:val="auto"/>
                <w:highlight w:val="none"/>
              </w:rPr>
              <w:t>业主办公室</w:t>
            </w:r>
          </w:p>
        </w:tc>
        <w:tc>
          <w:tcPr>
            <w:tcW w:w="1080" w:type="dxa"/>
            <w:vAlign w:val="center"/>
          </w:tcPr>
          <w:p>
            <w:pPr>
              <w:jc w:val="center"/>
              <w:rPr>
                <w:rFonts w:hint="eastAsia" w:eastAsia="宋体"/>
                <w:color w:val="auto"/>
                <w:highlight w:val="none"/>
                <w:lang w:val="en-US" w:eastAsia="zh-CN"/>
              </w:rPr>
            </w:pPr>
            <w:r>
              <w:rPr>
                <w:rFonts w:hint="eastAsia"/>
                <w:color w:val="auto"/>
                <w:highlight w:val="none"/>
                <w:lang w:val="en-US" w:eastAsia="zh-CN"/>
              </w:rPr>
              <w:t>1</w:t>
            </w:r>
          </w:p>
        </w:tc>
        <w:tc>
          <w:tcPr>
            <w:tcW w:w="1620" w:type="dxa"/>
            <w:vAlign w:val="center"/>
          </w:tcPr>
          <w:p>
            <w:pPr>
              <w:jc w:val="center"/>
              <w:rPr>
                <w:color w:val="auto"/>
                <w:highlight w:val="none"/>
              </w:rPr>
            </w:pPr>
            <w:r>
              <w:rPr>
                <w:rFonts w:hint="eastAsia"/>
                <w:color w:val="auto"/>
                <w:highlight w:val="none"/>
                <w:lang w:val="en-US" w:eastAsia="zh-CN"/>
              </w:rPr>
              <w:t>12</w:t>
            </w:r>
            <w:r>
              <w:rPr>
                <w:rFonts w:hint="eastAsia"/>
                <w:color w:val="auto"/>
                <w:highlight w:val="none"/>
              </w:rPr>
              <w:t>㎡</w:t>
            </w:r>
          </w:p>
        </w:tc>
        <w:tc>
          <w:tcPr>
            <w:tcW w:w="4224" w:type="dxa"/>
          </w:tcPr>
          <w:p>
            <w:pPr>
              <w:jc w:val="left"/>
              <w:rPr>
                <w:color w:val="auto"/>
                <w:highlight w:val="none"/>
              </w:rPr>
            </w:pPr>
            <w:r>
              <w:rPr>
                <w:rFonts w:hint="eastAsia"/>
                <w:color w:val="auto"/>
                <w:highlight w:val="none"/>
              </w:rPr>
              <w:t>文件柜</w:t>
            </w:r>
            <w:r>
              <w:rPr>
                <w:rFonts w:hint="eastAsia"/>
                <w:color w:val="auto"/>
                <w:highlight w:val="none"/>
                <w:lang w:val="en-US" w:eastAsia="zh-CN"/>
              </w:rPr>
              <w:t>1</w:t>
            </w:r>
            <w:r>
              <w:rPr>
                <w:rFonts w:hint="eastAsia"/>
                <w:color w:val="auto"/>
                <w:highlight w:val="none"/>
              </w:rPr>
              <w:t>个，空调</w:t>
            </w:r>
            <w:r>
              <w:rPr>
                <w:rFonts w:hint="eastAsia"/>
                <w:color w:val="auto"/>
                <w:highlight w:val="none"/>
                <w:lang w:val="en-US" w:eastAsia="zh-CN"/>
              </w:rPr>
              <w:t>1</w:t>
            </w:r>
            <w:r>
              <w:rPr>
                <w:rFonts w:hint="eastAsia"/>
                <w:color w:val="auto"/>
                <w:highlight w:val="none"/>
              </w:rPr>
              <w:t>个，桌、椅各</w:t>
            </w:r>
            <w:r>
              <w:rPr>
                <w:rFonts w:hint="eastAsia"/>
                <w:color w:val="auto"/>
                <w:highlight w:val="none"/>
                <w:lang w:val="en-US" w:eastAsia="zh-CN"/>
              </w:rPr>
              <w:t>2</w:t>
            </w:r>
            <w:r>
              <w:rPr>
                <w:rFonts w:hint="eastAsia"/>
                <w:color w:val="auto"/>
                <w:highlight w:val="none"/>
              </w:rPr>
              <w:t>张，开通网线。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bottom w:val="single" w:color="auto" w:sz="4" w:space="0"/>
            </w:tcBorders>
            <w:vAlign w:val="center"/>
          </w:tcPr>
          <w:p>
            <w:pPr>
              <w:jc w:val="center"/>
              <w:rPr>
                <w:color w:val="auto"/>
                <w:highlight w:val="none"/>
              </w:rPr>
            </w:pPr>
            <w:r>
              <w:rPr>
                <w:rFonts w:hint="eastAsia"/>
                <w:color w:val="auto"/>
                <w:highlight w:val="none"/>
              </w:rPr>
              <w:t>监理办公室</w:t>
            </w:r>
          </w:p>
        </w:tc>
        <w:tc>
          <w:tcPr>
            <w:tcW w:w="1080" w:type="dxa"/>
            <w:tcBorders>
              <w:bottom w:val="single" w:color="auto" w:sz="4" w:space="0"/>
            </w:tcBorders>
            <w:vAlign w:val="center"/>
          </w:tcPr>
          <w:p>
            <w:pPr>
              <w:jc w:val="center"/>
              <w:rPr>
                <w:color w:val="auto"/>
                <w:highlight w:val="none"/>
              </w:rPr>
            </w:pPr>
            <w:r>
              <w:rPr>
                <w:rFonts w:hint="eastAsia"/>
                <w:color w:val="auto"/>
                <w:highlight w:val="none"/>
              </w:rPr>
              <w:t>1</w:t>
            </w:r>
          </w:p>
        </w:tc>
        <w:tc>
          <w:tcPr>
            <w:tcW w:w="1620" w:type="dxa"/>
            <w:tcBorders>
              <w:bottom w:val="single" w:color="auto" w:sz="4" w:space="0"/>
            </w:tcBorders>
            <w:vAlign w:val="center"/>
          </w:tcPr>
          <w:p>
            <w:pPr>
              <w:jc w:val="center"/>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w:t>
            </w:r>
          </w:p>
        </w:tc>
        <w:tc>
          <w:tcPr>
            <w:tcW w:w="4224" w:type="dxa"/>
            <w:tcBorders>
              <w:bottom w:val="single" w:color="auto" w:sz="4" w:space="0"/>
            </w:tcBorders>
          </w:tcPr>
          <w:p>
            <w:pPr>
              <w:jc w:val="left"/>
              <w:rPr>
                <w:color w:val="auto"/>
                <w:highlight w:val="none"/>
              </w:rPr>
            </w:pPr>
            <w:r>
              <w:rPr>
                <w:rFonts w:hint="eastAsia"/>
                <w:color w:val="auto"/>
                <w:highlight w:val="none"/>
              </w:rPr>
              <w:t>文件柜</w:t>
            </w:r>
            <w:r>
              <w:rPr>
                <w:rFonts w:hint="eastAsia"/>
                <w:color w:val="auto"/>
                <w:highlight w:val="none"/>
                <w:lang w:val="en-US" w:eastAsia="zh-CN"/>
              </w:rPr>
              <w:t>2</w:t>
            </w:r>
            <w:r>
              <w:rPr>
                <w:rFonts w:hint="eastAsia"/>
                <w:color w:val="auto"/>
                <w:highlight w:val="none"/>
              </w:rPr>
              <w:t>个，空调1个，桌、椅各</w:t>
            </w:r>
            <w:r>
              <w:rPr>
                <w:rFonts w:hint="eastAsia"/>
                <w:color w:val="auto"/>
                <w:highlight w:val="none"/>
                <w:lang w:val="en-US" w:eastAsia="zh-CN"/>
              </w:rPr>
              <w:t>4</w:t>
            </w:r>
            <w:r>
              <w:rPr>
                <w:rFonts w:hint="eastAsia"/>
                <w:color w:val="auto"/>
                <w:highlight w:val="none"/>
              </w:rPr>
              <w:t>张，开通网线。</w:t>
            </w:r>
          </w:p>
        </w:tc>
      </w:tr>
    </w:tbl>
    <w:p>
      <w:pPr>
        <w:numPr>
          <w:ilvl w:val="0"/>
          <w:numId w:val="20"/>
        </w:numPr>
        <w:spacing w:line="360" w:lineRule="auto"/>
        <w:ind w:firstLine="420" w:firstLineChars="200"/>
        <w:rPr>
          <w:rFonts w:hint="eastAsia" w:ascii="宋体" w:hAnsi="宋体" w:cs="宋体"/>
          <w:szCs w:val="21"/>
          <w:highlight w:val="none"/>
          <w:lang w:val="en-US" w:eastAsia="zh-CN"/>
        </w:rPr>
      </w:pPr>
      <w:bookmarkStart w:id="33" w:name="_Toc20245"/>
      <w:bookmarkStart w:id="34" w:name="_Toc524691402"/>
      <w:bookmarkStart w:id="35" w:name="_Toc18667"/>
      <w:bookmarkStart w:id="36" w:name="_Toc5374"/>
      <w:bookmarkStart w:id="37" w:name="_Toc26299"/>
      <w:bookmarkStart w:id="38" w:name="_Toc28604"/>
      <w:r>
        <w:rPr>
          <w:rFonts w:hint="eastAsia" w:ascii="宋体" w:hAnsi="宋体" w:cs="宋体"/>
          <w:szCs w:val="21"/>
          <w:highlight w:val="none"/>
          <w:lang w:val="en-US" w:eastAsia="zh-CN"/>
        </w:rPr>
        <w:t>人员配置要求</w:t>
      </w:r>
      <w:bookmarkEnd w:id="33"/>
      <w:bookmarkEnd w:id="34"/>
      <w:bookmarkEnd w:id="35"/>
      <w:bookmarkEnd w:id="36"/>
      <w:bookmarkEnd w:id="37"/>
      <w:bookmarkEnd w:id="38"/>
    </w:p>
    <w:p>
      <w:pPr>
        <w:numPr>
          <w:ilvl w:val="0"/>
          <w:numId w:val="2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要求施工单位进场即成立项目管理部负责工程现场施工管理工作，成立专职的团队负责履行施工总承包配合服务工作。项目管理部组成人员配备要求见《投入人员汇总表》。项目管理部组成人员设有专项考勤、到岗履职的合同约定要求，并与合同款支付挂钩，详见合同对应条款。</w:t>
      </w:r>
    </w:p>
    <w:p>
      <w:pPr>
        <w:numPr>
          <w:ilvl w:val="0"/>
          <w:numId w:val="21"/>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施工单位进场后5天内，根据前期准备阶段、施工总承包施工及配合服务阶段的实际情况，报审项目组织架构及项目人员组织实施计划,经业主和监理单位书面同意。</w:t>
      </w:r>
    </w:p>
    <w:p>
      <w:pPr>
        <w:numPr>
          <w:ilvl w:val="0"/>
          <w:numId w:val="20"/>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机械设备配置要求</w:t>
      </w:r>
    </w:p>
    <w:p>
      <w:pPr>
        <w:numPr>
          <w:ilvl w:val="0"/>
          <w:numId w:val="22"/>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投标人根据本项目工程的特点，结合本企业的实力和资源情况配备。</w:t>
      </w:r>
    </w:p>
    <w:p>
      <w:pPr>
        <w:tabs>
          <w:tab w:val="left" w:pos="0"/>
        </w:tabs>
        <w:adjustRightInd w:val="0"/>
        <w:snapToGrid w:val="0"/>
        <w:spacing w:line="360" w:lineRule="auto"/>
        <w:ind w:left="425"/>
        <w:jc w:val="center"/>
        <w:rPr>
          <w:rFonts w:ascii="宋体" w:hAnsi="宋体"/>
          <w:color w:val="auto"/>
          <w:sz w:val="24"/>
          <w:highlight w:val="none"/>
        </w:rPr>
      </w:pPr>
      <w:r>
        <w:rPr>
          <w:rFonts w:hint="eastAsia" w:ascii="宋体" w:hAnsi="宋体"/>
          <w:color w:val="auto"/>
          <w:sz w:val="24"/>
          <w:highlight w:val="none"/>
        </w:rPr>
        <w:t>要求施工单位投入机械设备</w:t>
      </w:r>
    </w:p>
    <w:tbl>
      <w:tblPr>
        <w:tblStyle w:val="28"/>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76"/>
        <w:gridCol w:w="1559"/>
        <w:gridCol w:w="4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7" w:type="dxa"/>
          </w:tcPr>
          <w:p>
            <w:pPr>
              <w:jc w:val="center"/>
              <w:rPr>
                <w:rFonts w:hint="eastAsia"/>
                <w:color w:val="auto"/>
                <w:highlight w:val="none"/>
                <w:lang w:val="en-US" w:eastAsia="zh-CN"/>
              </w:rPr>
            </w:pPr>
            <w:r>
              <w:rPr>
                <w:rFonts w:hint="eastAsia"/>
                <w:color w:val="auto"/>
                <w:highlight w:val="none"/>
                <w:lang w:val="en-US" w:eastAsia="zh-CN"/>
              </w:rPr>
              <w:t>序号</w:t>
            </w:r>
          </w:p>
        </w:tc>
        <w:tc>
          <w:tcPr>
            <w:tcW w:w="1276" w:type="dxa"/>
            <w:vAlign w:val="center"/>
          </w:tcPr>
          <w:p>
            <w:pPr>
              <w:jc w:val="center"/>
              <w:rPr>
                <w:rFonts w:hint="eastAsia"/>
                <w:color w:val="auto"/>
                <w:highlight w:val="none"/>
                <w:lang w:val="en-US" w:eastAsia="zh-CN"/>
              </w:rPr>
            </w:pPr>
            <w:r>
              <w:rPr>
                <w:rFonts w:hint="eastAsia"/>
                <w:color w:val="auto"/>
                <w:highlight w:val="none"/>
                <w:lang w:val="en-US" w:eastAsia="zh-CN"/>
              </w:rPr>
              <w:t>设备名称</w:t>
            </w:r>
          </w:p>
        </w:tc>
        <w:tc>
          <w:tcPr>
            <w:tcW w:w="1559" w:type="dxa"/>
            <w:vAlign w:val="center"/>
          </w:tcPr>
          <w:p>
            <w:pPr>
              <w:jc w:val="center"/>
              <w:rPr>
                <w:rFonts w:hint="eastAsia"/>
                <w:color w:val="auto"/>
                <w:highlight w:val="none"/>
                <w:lang w:val="en-US" w:eastAsia="zh-CN"/>
              </w:rPr>
            </w:pPr>
            <w:r>
              <w:rPr>
                <w:rFonts w:hint="eastAsia"/>
                <w:color w:val="auto"/>
                <w:highlight w:val="none"/>
                <w:lang w:val="en-US" w:eastAsia="zh-CN"/>
              </w:rPr>
              <w:t>基本要求</w:t>
            </w:r>
          </w:p>
        </w:tc>
        <w:tc>
          <w:tcPr>
            <w:tcW w:w="4859" w:type="dxa"/>
            <w:vAlign w:val="center"/>
          </w:tcPr>
          <w:p>
            <w:pPr>
              <w:jc w:val="center"/>
              <w:rPr>
                <w:rFonts w:hint="eastAsia"/>
                <w:color w:val="auto"/>
                <w:highlight w:val="none"/>
                <w:lang w:val="en-US" w:eastAsia="zh-CN"/>
              </w:rPr>
            </w:pPr>
            <w:r>
              <w:rPr>
                <w:rFonts w:hint="eastAsia"/>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7" w:type="dxa"/>
          </w:tcPr>
          <w:p>
            <w:pPr>
              <w:jc w:val="center"/>
              <w:rPr>
                <w:rFonts w:hint="eastAsia"/>
                <w:color w:val="auto"/>
                <w:highlight w:val="none"/>
                <w:lang w:val="en-US" w:eastAsia="zh-CN"/>
              </w:rPr>
            </w:pPr>
            <w:r>
              <w:rPr>
                <w:rFonts w:hint="eastAsia"/>
                <w:color w:val="auto"/>
                <w:highlight w:val="none"/>
                <w:lang w:val="en-US" w:eastAsia="zh-CN"/>
              </w:rPr>
              <w:t>1</w:t>
            </w:r>
          </w:p>
        </w:tc>
        <w:tc>
          <w:tcPr>
            <w:tcW w:w="1276"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雾炮机</w:t>
            </w:r>
          </w:p>
          <w:p>
            <w:pPr>
              <w:jc w:val="center"/>
              <w:rPr>
                <w:rFonts w:hint="eastAsia"/>
                <w:color w:val="auto"/>
                <w:highlight w:val="none"/>
                <w:lang w:val="en-US" w:eastAsia="zh-CN"/>
              </w:rPr>
            </w:pPr>
          </w:p>
        </w:tc>
        <w:tc>
          <w:tcPr>
            <w:tcW w:w="1559"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2台</w:t>
            </w:r>
          </w:p>
        </w:tc>
        <w:tc>
          <w:tcPr>
            <w:tcW w:w="4859"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满足施工降尘所需，计划2025年10月，根据现场实际情况增减。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7" w:type="dxa"/>
          </w:tcPr>
          <w:p>
            <w:pPr>
              <w:jc w:val="center"/>
              <w:rPr>
                <w:rFonts w:hint="eastAsia"/>
                <w:color w:val="auto"/>
                <w:highlight w:val="none"/>
                <w:lang w:val="en-US" w:eastAsia="zh-CN"/>
              </w:rPr>
            </w:pPr>
            <w:r>
              <w:rPr>
                <w:rFonts w:hint="eastAsia"/>
                <w:color w:val="auto"/>
                <w:highlight w:val="none"/>
                <w:lang w:val="en-US" w:eastAsia="zh-CN"/>
              </w:rPr>
              <w:t>2</w:t>
            </w:r>
          </w:p>
        </w:tc>
        <w:tc>
          <w:tcPr>
            <w:tcW w:w="1276"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雾炮车</w:t>
            </w:r>
          </w:p>
          <w:p>
            <w:pPr>
              <w:jc w:val="center"/>
              <w:rPr>
                <w:rFonts w:hint="eastAsia"/>
                <w:color w:val="auto"/>
                <w:highlight w:val="none"/>
                <w:lang w:val="en-US" w:eastAsia="zh-CN"/>
              </w:rPr>
            </w:pPr>
          </w:p>
        </w:tc>
        <w:tc>
          <w:tcPr>
            <w:tcW w:w="1559"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1台</w:t>
            </w:r>
          </w:p>
        </w:tc>
        <w:tc>
          <w:tcPr>
            <w:tcW w:w="4859"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满足施工降尘、道路清洗所需，计划2025年10月，根据现场实际情况增减。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7" w:type="dxa"/>
          </w:tcPr>
          <w:p>
            <w:pPr>
              <w:jc w:val="center"/>
              <w:rPr>
                <w:rFonts w:hint="eastAsia"/>
                <w:color w:val="auto"/>
                <w:highlight w:val="none"/>
                <w:lang w:val="en-US" w:eastAsia="zh-CN"/>
              </w:rPr>
            </w:pPr>
            <w:r>
              <w:rPr>
                <w:rFonts w:hint="eastAsia"/>
                <w:color w:val="auto"/>
                <w:highlight w:val="none"/>
                <w:lang w:val="en-US" w:eastAsia="zh-CN"/>
              </w:rPr>
              <w:t>3</w:t>
            </w:r>
          </w:p>
        </w:tc>
        <w:tc>
          <w:tcPr>
            <w:tcW w:w="1276"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大型吊机</w:t>
            </w:r>
          </w:p>
        </w:tc>
        <w:tc>
          <w:tcPr>
            <w:tcW w:w="1559"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1台</w:t>
            </w:r>
          </w:p>
        </w:tc>
        <w:tc>
          <w:tcPr>
            <w:tcW w:w="4859" w:type="dxa"/>
            <w:shd w:val="clear" w:color="auto" w:fill="auto"/>
            <w:vAlign w:val="top"/>
          </w:tcPr>
          <w:p>
            <w:pPr>
              <w:jc w:val="center"/>
              <w:rPr>
                <w:rFonts w:hint="eastAsia"/>
                <w:color w:val="auto"/>
                <w:highlight w:val="none"/>
                <w:lang w:val="en-US" w:eastAsia="zh-CN"/>
              </w:rPr>
            </w:pPr>
            <w:r>
              <w:rPr>
                <w:rFonts w:hint="eastAsia"/>
                <w:color w:val="auto"/>
                <w:highlight w:val="none"/>
                <w:lang w:val="en-US" w:eastAsia="zh-CN"/>
              </w:rPr>
              <w:t>满足吊装材料要求，计划2025年10月，根据现场实际情况增减。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7" w:type="dxa"/>
          </w:tcPr>
          <w:p>
            <w:pPr>
              <w:jc w:val="center"/>
              <w:rPr>
                <w:rFonts w:hint="eastAsia"/>
                <w:color w:val="auto"/>
                <w:highlight w:val="none"/>
                <w:lang w:val="en-US" w:eastAsia="zh-CN"/>
              </w:rPr>
            </w:pPr>
            <w:r>
              <w:rPr>
                <w:rFonts w:hint="eastAsia"/>
                <w:color w:val="auto"/>
                <w:highlight w:val="none"/>
                <w:lang w:val="en-US" w:eastAsia="zh-CN"/>
              </w:rPr>
              <w:t>4</w:t>
            </w:r>
          </w:p>
        </w:tc>
        <w:tc>
          <w:tcPr>
            <w:tcW w:w="1276" w:type="dxa"/>
          </w:tcPr>
          <w:p>
            <w:pPr>
              <w:jc w:val="center"/>
              <w:rPr>
                <w:rFonts w:hint="eastAsia"/>
                <w:color w:val="auto"/>
                <w:highlight w:val="none"/>
                <w:lang w:val="en-US" w:eastAsia="zh-CN"/>
              </w:rPr>
            </w:pPr>
            <w:r>
              <w:rPr>
                <w:rFonts w:hint="eastAsia"/>
                <w:color w:val="auto"/>
                <w:highlight w:val="none"/>
                <w:lang w:val="en-US" w:eastAsia="zh-CN"/>
              </w:rPr>
              <w:t>高空工程作业车</w:t>
            </w:r>
          </w:p>
        </w:tc>
        <w:tc>
          <w:tcPr>
            <w:tcW w:w="1559" w:type="dxa"/>
          </w:tcPr>
          <w:p>
            <w:pPr>
              <w:jc w:val="center"/>
              <w:rPr>
                <w:rFonts w:hint="default"/>
                <w:color w:val="auto"/>
                <w:highlight w:val="none"/>
                <w:lang w:val="en-US" w:eastAsia="zh-CN"/>
              </w:rPr>
            </w:pPr>
            <w:r>
              <w:rPr>
                <w:rFonts w:hint="eastAsia"/>
                <w:color w:val="auto"/>
                <w:highlight w:val="none"/>
                <w:lang w:val="en-US" w:eastAsia="zh-CN"/>
              </w:rPr>
              <w:t>2台</w:t>
            </w:r>
          </w:p>
        </w:tc>
        <w:tc>
          <w:tcPr>
            <w:tcW w:w="4859" w:type="dxa"/>
          </w:tcPr>
          <w:p>
            <w:pPr>
              <w:jc w:val="center"/>
              <w:rPr>
                <w:rFonts w:hint="eastAsia"/>
                <w:color w:val="auto"/>
                <w:highlight w:val="none"/>
                <w:lang w:val="en-US" w:eastAsia="zh-CN"/>
              </w:rPr>
            </w:pPr>
            <w:r>
              <w:rPr>
                <w:rFonts w:hint="eastAsia"/>
                <w:color w:val="auto"/>
                <w:highlight w:val="none"/>
                <w:lang w:val="en-US" w:eastAsia="zh-CN"/>
              </w:rPr>
              <w:t>满足高空作业要求，计划2025年10月，根据现场实际情况增减。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7" w:type="dxa"/>
          </w:tcPr>
          <w:p>
            <w:pPr>
              <w:jc w:val="center"/>
              <w:rPr>
                <w:rFonts w:hint="eastAsia"/>
                <w:color w:val="auto"/>
                <w:highlight w:val="none"/>
                <w:lang w:val="en-US" w:eastAsia="zh-CN"/>
              </w:rPr>
            </w:pPr>
            <w:r>
              <w:rPr>
                <w:rFonts w:hint="eastAsia"/>
                <w:color w:val="auto"/>
                <w:highlight w:val="none"/>
                <w:lang w:val="en-US" w:eastAsia="zh-CN"/>
              </w:rPr>
              <w:t>5</w:t>
            </w:r>
          </w:p>
        </w:tc>
        <w:tc>
          <w:tcPr>
            <w:tcW w:w="1276" w:type="dxa"/>
          </w:tcPr>
          <w:p>
            <w:pPr>
              <w:jc w:val="center"/>
              <w:rPr>
                <w:rFonts w:hint="eastAsia"/>
                <w:color w:val="auto"/>
                <w:highlight w:val="none"/>
                <w:lang w:val="en-US" w:eastAsia="zh-CN"/>
              </w:rPr>
            </w:pPr>
            <w:r>
              <w:rPr>
                <w:rFonts w:hint="eastAsia"/>
                <w:color w:val="auto"/>
                <w:highlight w:val="none"/>
                <w:lang w:val="en-US" w:eastAsia="zh-CN"/>
              </w:rPr>
              <w:t>其余机械设备</w:t>
            </w:r>
          </w:p>
        </w:tc>
        <w:tc>
          <w:tcPr>
            <w:tcW w:w="1559" w:type="dxa"/>
          </w:tcPr>
          <w:p>
            <w:pPr>
              <w:jc w:val="center"/>
              <w:rPr>
                <w:rFonts w:hint="eastAsia"/>
                <w:color w:val="auto"/>
                <w:highlight w:val="none"/>
                <w:lang w:val="en-US" w:eastAsia="zh-CN"/>
              </w:rPr>
            </w:pPr>
            <w:r>
              <w:rPr>
                <w:rFonts w:hint="eastAsia"/>
                <w:color w:val="auto"/>
                <w:highlight w:val="none"/>
                <w:lang w:val="en-US" w:eastAsia="zh-CN"/>
              </w:rPr>
              <w:t>若干</w:t>
            </w:r>
          </w:p>
        </w:tc>
        <w:tc>
          <w:tcPr>
            <w:tcW w:w="4859" w:type="dxa"/>
          </w:tcPr>
          <w:p>
            <w:pPr>
              <w:jc w:val="center"/>
              <w:rPr>
                <w:rFonts w:hint="eastAsia"/>
                <w:color w:val="auto"/>
                <w:highlight w:val="none"/>
                <w:lang w:val="en-US" w:eastAsia="zh-CN"/>
              </w:rPr>
            </w:pPr>
            <w:r>
              <w:rPr>
                <w:rFonts w:hint="eastAsia"/>
                <w:color w:val="auto"/>
                <w:highlight w:val="none"/>
                <w:lang w:val="en-US" w:eastAsia="zh-CN"/>
              </w:rPr>
              <w:t>满足现场施工进度要求和施工时间</w:t>
            </w:r>
          </w:p>
        </w:tc>
      </w:tr>
    </w:tbl>
    <w:p>
      <w:pPr>
        <w:numPr>
          <w:ilvl w:val="0"/>
          <w:numId w:val="22"/>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管理基本要求</w:t>
      </w:r>
    </w:p>
    <w:p>
      <w:pPr>
        <w:numPr>
          <w:ilvl w:val="0"/>
          <w:numId w:val="23"/>
        </w:numPr>
        <w:tabs>
          <w:tab w:val="left" w:pos="640"/>
          <w:tab w:val="clear" w:pos="312"/>
        </w:tabs>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承包人进场后必须按合同约定时间提交机械设备进场计划，确保机械设备来源可靠，按期进场。</w:t>
      </w:r>
    </w:p>
    <w:p>
      <w:pPr>
        <w:numPr>
          <w:ilvl w:val="0"/>
          <w:numId w:val="23"/>
        </w:numPr>
        <w:tabs>
          <w:tab w:val="left" w:pos="640"/>
          <w:tab w:val="clear" w:pos="312"/>
        </w:tabs>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承包人必须确保机械设备的性能良好，可正常使用。对于影响工程进度较大的主要机械设备，必须有一定备用量，确保在机械设备检修或维护期间，现场仍能正常施工，确保进度。</w:t>
      </w:r>
    </w:p>
    <w:p>
      <w:pPr>
        <w:numPr>
          <w:ilvl w:val="0"/>
          <w:numId w:val="23"/>
        </w:numPr>
        <w:tabs>
          <w:tab w:val="left" w:pos="640"/>
          <w:tab w:val="clear" w:pos="312"/>
        </w:tabs>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为确保工程进度，承包人必须无条件增加机械设备的投入，除合同约定有赶工措施费外，发包人不另行增加相关费用。</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安全文明施工措施</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采取严格的施工管理措施，严格按照《广州市安全文明施工管理标准》、《建筑施工安全检查标准》等管理规定的要求，做好本工程安全文明施工工作。</w:t>
      </w:r>
    </w:p>
    <w:p>
      <w:pPr>
        <w:numPr>
          <w:ilvl w:val="0"/>
          <w:numId w:val="7"/>
        </w:numPr>
        <w:spacing w:line="360" w:lineRule="auto"/>
        <w:rPr>
          <w:rFonts w:hint="eastAsia" w:ascii="宋体" w:hAnsi="宋体" w:cs="宋体"/>
          <w:b/>
          <w:szCs w:val="21"/>
          <w:highlight w:val="none"/>
          <w:lang w:val="en-US" w:eastAsia="zh-CN"/>
        </w:rPr>
      </w:pPr>
      <w:bookmarkStart w:id="39" w:name="_Toc10735"/>
      <w:bookmarkStart w:id="40" w:name="_Toc25203"/>
      <w:bookmarkStart w:id="41" w:name="_Toc26795"/>
      <w:bookmarkStart w:id="42" w:name="_Toc2067"/>
      <w:bookmarkStart w:id="43" w:name="_Toc27251"/>
      <w:bookmarkStart w:id="44" w:name="_Toc524691404"/>
      <w:r>
        <w:rPr>
          <w:rFonts w:hint="eastAsia" w:ascii="宋体" w:hAnsi="宋体" w:cs="宋体"/>
          <w:b/>
          <w:szCs w:val="21"/>
          <w:highlight w:val="none"/>
          <w:lang w:val="en-US" w:eastAsia="zh-CN"/>
        </w:rPr>
        <w:t>验收、移交及结算管理要求</w:t>
      </w:r>
      <w:bookmarkEnd w:id="39"/>
      <w:bookmarkEnd w:id="40"/>
      <w:bookmarkEnd w:id="41"/>
      <w:bookmarkEnd w:id="42"/>
      <w:bookmarkEnd w:id="43"/>
      <w:bookmarkEnd w:id="44"/>
    </w:p>
    <w:p>
      <w:pPr>
        <w:numPr>
          <w:ilvl w:val="0"/>
          <w:numId w:val="24"/>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工程验收管理要求：</w:t>
      </w:r>
    </w:p>
    <w:p>
      <w:pPr>
        <w:numPr>
          <w:ilvl w:val="0"/>
          <w:numId w:val="25"/>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施工单位必须在工程具备验收条件时的3周前编制验收计划（包括专业工程验收计划、专项验收计划等），按工程竣工验收有关规定及验收计划分阶段逐项申报验收，确保工程一次验收合格。</w:t>
      </w:r>
    </w:p>
    <w:p>
      <w:pPr>
        <w:numPr>
          <w:ilvl w:val="0"/>
          <w:numId w:val="25"/>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竣工验收执行</w:t>
      </w:r>
      <w:r>
        <w:rPr>
          <w:rFonts w:hint="eastAsia" w:ascii="宋体" w:hAnsi="宋体" w:cs="宋体"/>
          <w:szCs w:val="21"/>
          <w:highlight w:val="none"/>
        </w:rPr>
        <w:t>现行国家、广东省、广州市有关施工验收规范、质量标准</w:t>
      </w:r>
      <w:r>
        <w:rPr>
          <w:rFonts w:hint="eastAsia" w:ascii="宋体" w:hAnsi="宋体" w:cs="宋体"/>
          <w:szCs w:val="21"/>
          <w:highlight w:val="none"/>
          <w:lang w:val="en-US" w:eastAsia="zh-CN"/>
        </w:rPr>
        <w:t>（注：如有新规定则按新规定执行）。</w:t>
      </w:r>
    </w:p>
    <w:p>
      <w:pPr>
        <w:numPr>
          <w:ilvl w:val="0"/>
          <w:numId w:val="25"/>
        </w:numPr>
        <w:spacing w:line="360" w:lineRule="auto"/>
        <w:ind w:left="0" w:leftChars="0" w:firstLine="420" w:firstLineChars="200"/>
        <w:rPr>
          <w:color w:val="auto"/>
          <w:highlight w:val="none"/>
        </w:rPr>
      </w:pPr>
      <w:r>
        <w:rPr>
          <w:rFonts w:hint="eastAsia" w:ascii="宋体" w:hAnsi="宋体" w:cs="宋体"/>
          <w:szCs w:val="21"/>
          <w:highlight w:val="none"/>
          <w:lang w:val="en-US" w:eastAsia="zh-CN"/>
        </w:rPr>
        <w:t>要求施工单位严格按</w:t>
      </w:r>
      <w:r>
        <w:rPr>
          <w:rFonts w:hint="eastAsia"/>
          <w:color w:val="auto"/>
          <w:highlight w:val="none"/>
        </w:rPr>
        <w:t>工程验收及备案管理实施细则执行。</w:t>
      </w:r>
    </w:p>
    <w:p>
      <w:pPr>
        <w:numPr>
          <w:ilvl w:val="0"/>
          <w:numId w:val="24"/>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工程移交管理要求：</w:t>
      </w:r>
    </w:p>
    <w:p>
      <w:pPr>
        <w:numPr>
          <w:ilvl w:val="0"/>
          <w:numId w:val="26"/>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工程项目移交原则上力争在工程竣工验收备案后一个月之内完成。</w:t>
      </w:r>
    </w:p>
    <w:p>
      <w:pPr>
        <w:numPr>
          <w:ilvl w:val="0"/>
          <w:numId w:val="26"/>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本项目的移交内容包括工程资料移交、工程实体移交和使用及维护管理移交。计划根据本项目情况先进行工程实体移交和使用及维护管理移交，然后进行工程资料移交。</w:t>
      </w:r>
    </w:p>
    <w:p>
      <w:pPr>
        <w:numPr>
          <w:ilvl w:val="0"/>
          <w:numId w:val="26"/>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要求施工单位应在进行移交工作前编写工程项目移交计划，并报我中心及监理单位审核，在经我中心及监理单位审核同意后按计划进行移交。</w:t>
      </w:r>
    </w:p>
    <w:p>
      <w:pPr>
        <w:numPr>
          <w:ilvl w:val="0"/>
          <w:numId w:val="26"/>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工程移交工作的相关要求具体按我中心的《建设项目工程移交管理办法（试行）》的规定执行。</w:t>
      </w:r>
    </w:p>
    <w:p>
      <w:pPr>
        <w:numPr>
          <w:ilvl w:val="0"/>
          <w:numId w:val="26"/>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要求施工单位在竣工验收合格后3个月内，施工单位须针对各系统特点及项目实际情况编制使用手册、培训手册以及培训计划，并组织专人（包括主要设备供货商）对业主管理人员的进行培训工作。</w:t>
      </w:r>
    </w:p>
    <w:p>
      <w:pPr>
        <w:numPr>
          <w:ilvl w:val="0"/>
          <w:numId w:val="24"/>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工程造价（结算）管理要求：</w:t>
      </w:r>
    </w:p>
    <w:p>
      <w:pPr>
        <w:numPr>
          <w:ilvl w:val="0"/>
          <w:numId w:val="27"/>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对施工过程中发生的工程变更、工程签证等引起合同价款变更事项，施工单位应在上述事项实施前或在实施过程中同步编制相关变更费用预算，并报监理单位和我中心审批。</w:t>
      </w:r>
    </w:p>
    <w:p>
      <w:pPr>
        <w:numPr>
          <w:ilvl w:val="0"/>
          <w:numId w:val="27"/>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施工单位应按我中心要求派出足够的、有能力的造价人员负责结算工作。若派出的造价人员不足或不能胜任结算工作，施工单位应按发包人的要求及时更换，直至满足发包人要求为止。</w:t>
      </w:r>
    </w:p>
    <w:p>
      <w:pPr>
        <w:numPr>
          <w:ilvl w:val="0"/>
          <w:numId w:val="27"/>
        </w:numPr>
        <w:spacing w:line="360" w:lineRule="auto"/>
        <w:ind w:left="0" w:leftChars="0"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施工单位执行越秀区及发包人下发的结算编制指引及与结算有关的文件规定。</w:t>
      </w:r>
    </w:p>
    <w:p>
      <w:pPr>
        <w:numPr>
          <w:ilvl w:val="0"/>
          <w:numId w:val="7"/>
        </w:numPr>
        <w:spacing w:line="360" w:lineRule="auto"/>
        <w:rPr>
          <w:rFonts w:hint="eastAsia" w:ascii="宋体" w:hAnsi="宋体" w:cs="宋体"/>
          <w:b/>
          <w:szCs w:val="21"/>
          <w:highlight w:val="none"/>
          <w:lang w:val="en-US" w:eastAsia="zh-CN"/>
        </w:rPr>
      </w:pPr>
      <w:bookmarkStart w:id="45" w:name="_Toc32742"/>
      <w:bookmarkStart w:id="46" w:name="_Toc23337"/>
      <w:bookmarkStart w:id="47" w:name="_Toc1879"/>
      <w:bookmarkStart w:id="48" w:name="_Toc12350"/>
      <w:bookmarkStart w:id="49" w:name="_Toc15868"/>
      <w:bookmarkStart w:id="50" w:name="_Toc524691405"/>
      <w:r>
        <w:rPr>
          <w:rFonts w:hint="eastAsia" w:ascii="宋体" w:hAnsi="宋体" w:cs="宋体"/>
          <w:b/>
          <w:szCs w:val="21"/>
          <w:highlight w:val="none"/>
          <w:lang w:val="en-US" w:eastAsia="zh-CN"/>
        </w:rPr>
        <w:t>质保期服务管理要求</w:t>
      </w:r>
      <w:bookmarkEnd w:id="45"/>
      <w:bookmarkEnd w:id="46"/>
      <w:bookmarkEnd w:id="47"/>
      <w:bookmarkEnd w:id="48"/>
      <w:bookmarkEnd w:id="49"/>
      <w:bookmarkEnd w:id="50"/>
    </w:p>
    <w:p>
      <w:pPr>
        <w:numPr>
          <w:ilvl w:val="0"/>
          <w:numId w:val="28"/>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在质量保证期内，施工单位按保修协议约定免费提供设备的维修及保养服务。</w:t>
      </w:r>
    </w:p>
    <w:p>
      <w:pPr>
        <w:numPr>
          <w:ilvl w:val="0"/>
          <w:numId w:val="28"/>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单位在故障保修响应方面应做到：施工单位须在接到业主通知的1小时内予以答复；在业主要求时，施工单位的技术人员须在收到业主通知后3小时之内到现场进行修理，相关的维修必须连续进行，直至故障完全修复为止。若在24小时内不能排除故障，施工单位应立即采取切实有效的补救措施（包括免费提供应急设备），全力防止损失的扩大。</w:t>
      </w:r>
    </w:p>
    <w:p>
      <w:pPr>
        <w:numPr>
          <w:ilvl w:val="0"/>
          <w:numId w:val="28"/>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施工单位必提供满足质量保证期内正常运行的备品备件和易损、易耗件。</w:t>
      </w:r>
    </w:p>
    <w:p>
      <w:pPr>
        <w:numPr>
          <w:ilvl w:val="0"/>
          <w:numId w:val="28"/>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质保期满，由施工单位提出退还质量保证金申请，按要求提交《工程质量保修责任期终止证书》，经监理单位、使用单位和我中心确认后按合同要求退还。</w:t>
      </w:r>
    </w:p>
    <w:p>
      <w:pPr>
        <w:numPr>
          <w:ilvl w:val="0"/>
          <w:numId w:val="7"/>
        </w:numPr>
        <w:spacing w:line="360" w:lineRule="auto"/>
        <w:rPr>
          <w:rFonts w:hint="eastAsia" w:ascii="宋体" w:hAnsi="宋体" w:cs="宋体"/>
          <w:b/>
          <w:szCs w:val="21"/>
          <w:highlight w:val="none"/>
          <w:lang w:val="en-US" w:eastAsia="zh-CN"/>
        </w:rPr>
      </w:pPr>
      <w:r>
        <w:rPr>
          <w:rFonts w:hint="eastAsia" w:ascii="宋体" w:hAnsi="宋体" w:cs="宋体"/>
          <w:b/>
          <w:szCs w:val="21"/>
          <w:highlight w:val="none"/>
          <w:lang w:val="en-US" w:eastAsia="zh-CN"/>
        </w:rPr>
        <w:t>施工现场建筑垃圾源头减量的具体要求和建筑垃圾综合利用产品的使用要求：</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建筑垃圾应当按照国家有关规定进行分类，实行分类收集、分类贮存、分类运输、分类处置。</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建设单位督促施工单位开展建筑垃圾分类和合法装载，并及时向工程所在地人民政府建筑垃圾主管部门报送建筑垃圾处理方案。</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施工单位应当建立建筑垃圾管理台账，分类收集、贮存和及时清运施工过程中产生的建筑垃圾，采取有效措施防止混合已分类的建筑垃圾。</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工程施工单位应当将建筑垃圾的产生量与种类、清运时间、最终去向等信息在施工现场公示，接受社会监督。</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建筑垃圾运输车辆、船舶应当符合相应的载运技术条件。建筑垃圾处置场所为陆域的，不得采用开底式船舶运输建筑垃圾。</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工程泥浆应当在施工现场进行脱水固化处理。施工现场不具备条件的，应当采用罐装器具密闭运输至依法设置的建筑垃圾处置场所进行处置。水上工程中依法无需经脱水处理的除外。</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具备现场综合利用条件的建设工程，应当进行建筑垃圾现场综合利用。</w:t>
      </w:r>
    </w:p>
    <w:p>
      <w:pPr>
        <w:numPr>
          <w:ilvl w:val="0"/>
          <w:numId w:val="29"/>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建设单位和施工单位严格遵守并执行《广东省建筑垃圾管理条例》。</w:t>
      </w:r>
    </w:p>
    <w:p>
      <w:pPr>
        <w:rPr>
          <w:highlight w:val="none"/>
        </w:rPr>
      </w:pPr>
    </w:p>
    <w:p>
      <w:pPr>
        <w:pStyle w:val="135"/>
        <w:spacing w:line="276" w:lineRule="auto"/>
        <w:rPr>
          <w:rStyle w:val="59"/>
          <w:rFonts w:hint="eastAsia" w:ascii="宋体" w:hAnsi="宋体"/>
          <w:kern w:val="0"/>
          <w:sz w:val="24"/>
          <w:szCs w:val="24"/>
          <w:highlight w:val="none"/>
        </w:rPr>
      </w:pPr>
    </w:p>
    <w:p>
      <w:pPr>
        <w:pStyle w:val="135"/>
        <w:spacing w:line="276" w:lineRule="auto"/>
        <w:rPr>
          <w:rStyle w:val="59"/>
          <w:rFonts w:hint="eastAsia" w:ascii="宋体" w:hAnsi="宋体"/>
          <w:kern w:val="0"/>
          <w:sz w:val="24"/>
          <w:szCs w:val="24"/>
          <w:highlight w:val="none"/>
        </w:rPr>
      </w:pPr>
    </w:p>
    <w:p>
      <w:pPr>
        <w:pStyle w:val="135"/>
        <w:spacing w:line="276" w:lineRule="auto"/>
        <w:rPr>
          <w:rStyle w:val="59"/>
          <w:rFonts w:hint="eastAsia" w:ascii="宋体" w:hAnsi="宋体"/>
          <w:kern w:val="0"/>
          <w:sz w:val="24"/>
          <w:szCs w:val="24"/>
          <w:highlight w:val="none"/>
        </w:rPr>
      </w:pPr>
    </w:p>
    <w:p>
      <w:pPr>
        <w:pStyle w:val="139"/>
        <w:outlineLvl w:val="0"/>
        <w:rPr>
          <w:rStyle w:val="59"/>
          <w:bCs/>
          <w:highlight w:val="none"/>
        </w:rPr>
      </w:pPr>
      <w:bookmarkStart w:id="51" w:name="_Toc105014639"/>
      <w:r>
        <w:rPr>
          <w:rStyle w:val="59"/>
          <w:bCs/>
          <w:highlight w:val="none"/>
        </w:rPr>
        <w:br w:type="page"/>
      </w:r>
      <w:r>
        <w:rPr>
          <w:rStyle w:val="59"/>
          <w:bCs/>
          <w:highlight w:val="none"/>
        </w:rPr>
        <w:t>第六章  图纸及勘察资料</w:t>
      </w:r>
      <w:bookmarkEnd w:id="51"/>
    </w:p>
    <w:p>
      <w:pPr>
        <w:spacing w:line="360" w:lineRule="auto"/>
        <w:rPr>
          <w:rStyle w:val="59"/>
          <w:rFonts w:hint="eastAsia" w:ascii="宋体" w:hAnsi="宋体"/>
          <w:sz w:val="24"/>
          <w:szCs w:val="24"/>
          <w:highlight w:val="none"/>
        </w:rPr>
      </w:pPr>
      <w:r>
        <w:rPr>
          <w:rStyle w:val="59"/>
          <w:rFonts w:ascii="宋体" w:hAnsi="宋体"/>
          <w:sz w:val="24"/>
          <w:szCs w:val="24"/>
          <w:highlight w:val="none"/>
        </w:rPr>
        <w:t>另册。</w:t>
      </w:r>
    </w:p>
    <w:p>
      <w:pPr>
        <w:pStyle w:val="135"/>
        <w:rPr>
          <w:highlight w:val="none"/>
        </w:rPr>
      </w:pPr>
    </w:p>
    <w:p>
      <w:pPr>
        <w:pStyle w:val="135"/>
        <w:rPr>
          <w:highlight w:val="none"/>
        </w:rPr>
      </w:pPr>
    </w:p>
    <w:p>
      <w:pPr>
        <w:pStyle w:val="135"/>
        <w:rPr>
          <w:highlight w:val="none"/>
        </w:rPr>
      </w:pPr>
    </w:p>
    <w:p>
      <w:pPr>
        <w:pStyle w:val="139"/>
        <w:outlineLvl w:val="0"/>
        <w:rPr>
          <w:rStyle w:val="59"/>
          <w:bCs/>
          <w:highlight w:val="none"/>
        </w:rPr>
      </w:pPr>
      <w:bookmarkStart w:id="52" w:name="_Toc105014640"/>
      <w:r>
        <w:rPr>
          <w:rStyle w:val="59"/>
          <w:bCs/>
          <w:highlight w:val="none"/>
        </w:rPr>
        <w:t>第七章  工程量清单</w:t>
      </w:r>
      <w:bookmarkEnd w:id="52"/>
    </w:p>
    <w:p>
      <w:pPr>
        <w:pStyle w:val="126"/>
        <w:spacing w:after="0" w:line="360" w:lineRule="auto"/>
        <w:ind w:firstLine="0"/>
        <w:rPr>
          <w:rStyle w:val="59"/>
          <w:rFonts w:hint="eastAsia" w:ascii="宋体" w:hAnsi="宋体"/>
          <w:sz w:val="24"/>
          <w:szCs w:val="24"/>
          <w:highlight w:val="none"/>
        </w:rPr>
      </w:pPr>
      <w:r>
        <w:rPr>
          <w:rStyle w:val="59"/>
          <w:rFonts w:ascii="宋体" w:hAnsi="宋体"/>
          <w:sz w:val="24"/>
          <w:szCs w:val="24"/>
          <w:highlight w:val="none"/>
        </w:rPr>
        <w:t>另册。</w:t>
      </w:r>
    </w:p>
    <w:p>
      <w:pPr>
        <w:pStyle w:val="126"/>
        <w:spacing w:after="0" w:line="360" w:lineRule="auto"/>
        <w:ind w:firstLine="0"/>
        <w:rPr>
          <w:rStyle w:val="59"/>
          <w:rFonts w:hint="eastAsia" w:ascii="宋体" w:hAnsi="宋体"/>
          <w:sz w:val="24"/>
          <w:szCs w:val="24"/>
          <w:highlight w:val="none"/>
        </w:rPr>
      </w:pPr>
    </w:p>
    <w:p>
      <w:pPr>
        <w:pStyle w:val="126"/>
        <w:spacing w:after="0" w:line="360" w:lineRule="auto"/>
        <w:ind w:firstLine="0"/>
        <w:rPr>
          <w:rStyle w:val="59"/>
          <w:rFonts w:hint="eastAsia" w:ascii="宋体" w:hAnsi="宋体"/>
          <w:sz w:val="24"/>
          <w:szCs w:val="24"/>
          <w:highlight w:val="none"/>
        </w:rPr>
      </w:pPr>
    </w:p>
    <w:p>
      <w:pPr>
        <w:pStyle w:val="126"/>
        <w:spacing w:after="0" w:line="360" w:lineRule="auto"/>
        <w:ind w:firstLine="0"/>
        <w:rPr>
          <w:rStyle w:val="59"/>
          <w:rFonts w:hint="eastAsia" w:ascii="宋体" w:hAnsi="宋体"/>
          <w:sz w:val="24"/>
          <w:highlight w:val="none"/>
        </w:rPr>
      </w:pPr>
    </w:p>
    <w:p>
      <w:pPr>
        <w:pStyle w:val="139"/>
        <w:outlineLvl w:val="0"/>
        <w:rPr>
          <w:rStyle w:val="59"/>
          <w:rFonts w:hint="eastAsia" w:ascii="宋体" w:hAnsi="宋体"/>
          <w:bCs/>
          <w:highlight w:val="none"/>
        </w:rPr>
      </w:pPr>
      <w:bookmarkStart w:id="53" w:name="_Toc105014641"/>
      <w:r>
        <w:rPr>
          <w:rStyle w:val="59"/>
          <w:rFonts w:ascii="宋体" w:hAnsi="宋体"/>
          <w:bCs/>
          <w:highlight w:val="none"/>
        </w:rPr>
        <w:t>第八章  最高投标限价</w:t>
      </w:r>
      <w:bookmarkEnd w:id="53"/>
    </w:p>
    <w:p>
      <w:pPr>
        <w:spacing w:line="360" w:lineRule="auto"/>
        <w:ind w:firstLine="480"/>
        <w:rPr>
          <w:rStyle w:val="59"/>
          <w:rFonts w:hint="eastAsia" w:ascii="宋体" w:hAnsi="宋体"/>
          <w:sz w:val="24"/>
          <w:szCs w:val="24"/>
          <w:highlight w:val="none"/>
        </w:rPr>
      </w:pPr>
      <w:r>
        <w:rPr>
          <w:rStyle w:val="59"/>
          <w:rFonts w:ascii="宋体" w:hAnsi="宋体"/>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pStyle w:val="135"/>
        <w:spacing w:line="360" w:lineRule="auto"/>
        <w:rPr>
          <w:rFonts w:hint="eastAsia" w:ascii="宋体" w:hAnsi="宋体"/>
          <w:highlight w:val="none"/>
        </w:rPr>
      </w:pPr>
    </w:p>
    <w:p>
      <w:pPr>
        <w:spacing w:line="360" w:lineRule="auto"/>
        <w:rPr>
          <w:rFonts w:hint="eastAsia" w:ascii="宋体" w:hAnsi="宋体"/>
          <w:highlight w:val="none"/>
        </w:rPr>
      </w:pPr>
      <w:r>
        <w:rPr>
          <w:rFonts w:hint="eastAsia" w:ascii="宋体" w:hAnsi="宋体"/>
          <w:sz w:val="24"/>
          <w:szCs w:val="24"/>
          <w:highlight w:val="none"/>
        </w:rPr>
        <w:t>详见《最高投标限价公布函》</w:t>
      </w:r>
    </w:p>
    <w:p>
      <w:pPr>
        <w:pStyle w:val="135"/>
        <w:spacing w:line="360" w:lineRule="auto"/>
        <w:rPr>
          <w:rFonts w:hint="eastAsia" w:ascii="宋体" w:hAnsi="宋体"/>
          <w:highlight w:val="none"/>
        </w:rPr>
      </w:pPr>
    </w:p>
    <w:sectPr>
      <w:footerReference r:id="rId19"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92"/>
      <w:jc w:val="right"/>
      <w:rPr>
        <w:rStyle w:val="11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Style w:val="59"/>
        <w:rFonts w:hint="eastAsia" w:ascii="宋体" w:hAnsi="宋体"/>
        <w:kern w:val="0"/>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a1rsIBAACO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zPr0AWpMewiYmIY7P+DWzH5AZ6Y9qGjzFwkRjKO656u6ckhE5Efr1XpdYUhgbL4gPnt8HiKkt9Jb&#10;ko2GRhxfUZWf3kMaU+eUXM35e21MGaFxfzkQM3tY7n3sMVtp2A8Tob1vz8inx8k31OGiU2LeORQ2&#10;L8lsxNnYT0auAeH2mLBw6SejjlBTMRxTYTStVN6DP+8l6/E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mta7CAQAAjgMAAA4AAAAAAAAAAQAgAAAAHgEAAGRycy9lMm9Eb2MueG1sUEsF&#10;BgAAAAAGAAYAWQEAAFI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92"/>
      <w:rPr>
        <w:rStyle w:val="119"/>
      </w:rPr>
    </w:pPr>
  </w:p>
  <w:p>
    <w:pPr>
      <w:pStyle w:val="19"/>
      <w:ind w:firstLine="392"/>
      <w:rPr>
        <w:rStyle w:val="59"/>
      </w:rPr>
    </w:pPr>
    <w:r>
      <w:rPr>
        <w:rStyle w:val="5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92"/>
      <w:rPr>
        <w:rStyle w:val="5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92"/>
      <w:jc w:val="right"/>
      <w:rPr>
        <w:rStyle w:val="11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73GPsEBAACN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zkWtAeH1MWLj0k1EnqLkYTqkwmjcqr8Gf95L18Bd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373GPsEBAACNAwAADgAAAAAAAAABACAAAAAeAQAAZHJzL2Uyb0RvYy54bWxQSwUG&#10;AAAAAAYABgBZAQAAUQU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92"/>
      <w:rPr>
        <w:rStyle w:val="59"/>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Wah8I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ycg1ILw7JCxc+smoI9RUDKdUGE0bldfgz3vJevq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9VmofCAQAAjQMAAA4AAAAAAAAAAQAgAAAAHgEAAGRycy9lMm9Eb2MueG1sUEsF&#10;BgAAAAAGAAYAWQEAAFI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11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im0AMIBAACN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optADCAQAAjQMAAA4AAAAAAAAAAQAgAAAAHgEAAGRycy9lMm9Eb2MueG1sUEsF&#10;BgAAAAAGAAYAWQEAAFI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p>
    <w:pPr>
      <w:pStyle w:val="19"/>
      <w:ind w:left="-4410" w:leftChars="-2100" w:right="-4439" w:rightChars="-2114"/>
      <w:rPr>
        <w:rStyle w:val="119"/>
      </w:rPr>
    </w:pPr>
  </w:p>
  <w:p>
    <w:pPr>
      <w:pStyle w:val="19"/>
      <w:ind w:right="360" w:firstLine="360"/>
      <w:jc w:val="center"/>
      <w:rPr>
        <w:rStyle w:val="5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margin" w:hAnchor="text" w:xAlign="outside" w:y="1"/>
      <w:rPr>
        <w:rStyle w:val="119"/>
      </w:rPr>
    </w:pPr>
  </w:p>
  <w:p>
    <w:pPr>
      <w:pStyle w:val="19"/>
      <w:ind w:right="360" w:firstLine="360"/>
      <w:jc w:val="center"/>
      <w:rPr>
        <w:rStyle w:val="59"/>
      </w:rPr>
    </w:pPr>
    <w:r>
      <w:rPr>
        <w:rStyle w:val="59"/>
        <w:sz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5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LIwNDCAQAAjgMAAA4AAAAAAAAAAQAgAAAAHgEAAGRycy9lMm9Eb2MueG1sUEsF&#10;BgAAAAAGAAYAWQEAAFI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92"/>
      <w:rPr>
        <w:rStyle w:val="5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92"/>
      <w:rPr>
        <w:rStyle w:val="59"/>
      </w:rPr>
    </w:pPr>
    <w:r>
      <w:rPr>
        <w:rStyle w:val="59"/>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rPr>
        <w:rStyle w:val="5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rPr>
        <w:rStyle w:val="5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Style w:val="59"/>
        <w:i/>
        <w:iCs/>
      </w:rPr>
    </w:pPr>
    <w:r>
      <w:rPr>
        <w:rStyle w:val="59"/>
        <w:i/>
        <w:iCs/>
      </w:rPr>
      <w:t>横枝岗路道路排水改造工程招标文件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rPr>
        <w:rStyle w:val="59"/>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73F4"/>
    <w:multiLevelType w:val="singleLevel"/>
    <w:tmpl w:val="872E73F4"/>
    <w:lvl w:ilvl="0" w:tentative="0">
      <w:start w:val="1"/>
      <w:numFmt w:val="decimal"/>
      <w:suff w:val="nothing"/>
      <w:lvlText w:val="%1．"/>
      <w:lvlJc w:val="left"/>
      <w:pPr>
        <w:ind w:left="0" w:firstLine="400"/>
      </w:pPr>
      <w:rPr>
        <w:rFonts w:hint="default"/>
      </w:rPr>
    </w:lvl>
  </w:abstractNum>
  <w:abstractNum w:abstractNumId="1">
    <w:nsid w:val="8DFFF031"/>
    <w:multiLevelType w:val="singleLevel"/>
    <w:tmpl w:val="8DFFF031"/>
    <w:lvl w:ilvl="0" w:tentative="0">
      <w:start w:val="1"/>
      <w:numFmt w:val="decimal"/>
      <w:suff w:val="nothing"/>
      <w:lvlText w:val="%1．"/>
      <w:lvlJc w:val="left"/>
      <w:pPr>
        <w:ind w:left="0" w:firstLine="400"/>
      </w:pPr>
      <w:rPr>
        <w:rFonts w:hint="default"/>
      </w:rPr>
    </w:lvl>
  </w:abstractNum>
  <w:abstractNum w:abstractNumId="2">
    <w:nsid w:val="95E64741"/>
    <w:multiLevelType w:val="singleLevel"/>
    <w:tmpl w:val="95E64741"/>
    <w:lvl w:ilvl="0" w:tentative="0">
      <w:start w:val="1"/>
      <w:numFmt w:val="decimal"/>
      <w:suff w:val="nothing"/>
      <w:lvlText w:val="%1．"/>
      <w:lvlJc w:val="left"/>
      <w:pPr>
        <w:ind w:left="0" w:firstLine="400"/>
      </w:pPr>
      <w:rPr>
        <w:rFonts w:hint="default"/>
      </w:rPr>
    </w:lvl>
  </w:abstractNum>
  <w:abstractNum w:abstractNumId="3">
    <w:nsid w:val="995FDD13"/>
    <w:multiLevelType w:val="singleLevel"/>
    <w:tmpl w:val="995FDD13"/>
    <w:lvl w:ilvl="0" w:tentative="0">
      <w:start w:val="1"/>
      <w:numFmt w:val="decimal"/>
      <w:suff w:val="nothing"/>
      <w:lvlText w:val="（%1）"/>
      <w:lvlJc w:val="left"/>
    </w:lvl>
  </w:abstractNum>
  <w:abstractNum w:abstractNumId="4">
    <w:nsid w:val="B2F9311E"/>
    <w:multiLevelType w:val="singleLevel"/>
    <w:tmpl w:val="B2F9311E"/>
    <w:lvl w:ilvl="0" w:tentative="0">
      <w:start w:val="1"/>
      <w:numFmt w:val="decimal"/>
      <w:suff w:val="nothing"/>
      <w:lvlText w:val="%1．"/>
      <w:lvlJc w:val="left"/>
      <w:pPr>
        <w:ind w:left="0" w:firstLine="400"/>
      </w:pPr>
      <w:rPr>
        <w:rFonts w:hint="default"/>
      </w:rPr>
    </w:lvl>
  </w:abstractNum>
  <w:abstractNum w:abstractNumId="5">
    <w:nsid w:val="B6C08448"/>
    <w:multiLevelType w:val="singleLevel"/>
    <w:tmpl w:val="B6C08448"/>
    <w:lvl w:ilvl="0" w:tentative="0">
      <w:start w:val="1"/>
      <w:numFmt w:val="decimal"/>
      <w:suff w:val="nothing"/>
      <w:lvlText w:val="（%1）"/>
      <w:lvlJc w:val="left"/>
    </w:lvl>
  </w:abstractNum>
  <w:abstractNum w:abstractNumId="6">
    <w:nsid w:val="CF31878F"/>
    <w:multiLevelType w:val="singleLevel"/>
    <w:tmpl w:val="CF31878F"/>
    <w:lvl w:ilvl="0" w:tentative="0">
      <w:start w:val="1"/>
      <w:numFmt w:val="decimal"/>
      <w:suff w:val="nothing"/>
      <w:lvlText w:val="%1．"/>
      <w:lvlJc w:val="left"/>
      <w:pPr>
        <w:ind w:left="0" w:firstLine="400"/>
      </w:pPr>
      <w:rPr>
        <w:rFonts w:hint="default"/>
      </w:rPr>
    </w:lvl>
  </w:abstractNum>
  <w:abstractNum w:abstractNumId="7">
    <w:nsid w:val="DA56F41B"/>
    <w:multiLevelType w:val="singleLevel"/>
    <w:tmpl w:val="DA56F41B"/>
    <w:lvl w:ilvl="0" w:tentative="0">
      <w:start w:val="1"/>
      <w:numFmt w:val="decimal"/>
      <w:suff w:val="nothing"/>
      <w:lvlText w:val="（%1）"/>
      <w:lvlJc w:val="left"/>
    </w:lvl>
  </w:abstractNum>
  <w:abstractNum w:abstractNumId="8">
    <w:nsid w:val="DDFF5E83"/>
    <w:multiLevelType w:val="singleLevel"/>
    <w:tmpl w:val="DDFF5E83"/>
    <w:lvl w:ilvl="0" w:tentative="0">
      <w:start w:val="1"/>
      <w:numFmt w:val="decimal"/>
      <w:suff w:val="nothing"/>
      <w:lvlText w:val="（%1）"/>
      <w:lvlJc w:val="left"/>
    </w:lvl>
  </w:abstractNum>
  <w:abstractNum w:abstractNumId="9">
    <w:nsid w:val="E55D04DE"/>
    <w:multiLevelType w:val="singleLevel"/>
    <w:tmpl w:val="E55D04DE"/>
    <w:lvl w:ilvl="0" w:tentative="0">
      <w:start w:val="1"/>
      <w:numFmt w:val="decimal"/>
      <w:suff w:val="nothing"/>
      <w:lvlText w:val="%1．"/>
      <w:lvlJc w:val="left"/>
      <w:pPr>
        <w:ind w:left="0" w:firstLine="400"/>
      </w:pPr>
      <w:rPr>
        <w:rFonts w:hint="default"/>
      </w:rPr>
    </w:lvl>
  </w:abstractNum>
  <w:abstractNum w:abstractNumId="10">
    <w:nsid w:val="F7C568C6"/>
    <w:multiLevelType w:val="singleLevel"/>
    <w:tmpl w:val="F7C568C6"/>
    <w:lvl w:ilvl="0" w:tentative="0">
      <w:start w:val="1"/>
      <w:numFmt w:val="chineseCounting"/>
      <w:suff w:val="nothing"/>
      <w:lvlText w:val="%1、"/>
      <w:lvlJc w:val="left"/>
      <w:rPr>
        <w:rFonts w:hint="eastAsia"/>
      </w:rPr>
    </w:lvl>
  </w:abstractNum>
  <w:abstractNum w:abstractNumId="11">
    <w:nsid w:val="F826ADF1"/>
    <w:multiLevelType w:val="singleLevel"/>
    <w:tmpl w:val="F826ADF1"/>
    <w:lvl w:ilvl="0" w:tentative="0">
      <w:start w:val="1"/>
      <w:numFmt w:val="decimal"/>
      <w:suff w:val="nothing"/>
      <w:lvlText w:val="（%1）"/>
      <w:lvlJc w:val="left"/>
    </w:lvl>
  </w:abstractNum>
  <w:abstractNum w:abstractNumId="12">
    <w:nsid w:val="07504B72"/>
    <w:multiLevelType w:val="singleLevel"/>
    <w:tmpl w:val="07504B72"/>
    <w:lvl w:ilvl="0" w:tentative="0">
      <w:start w:val="1"/>
      <w:numFmt w:val="decimal"/>
      <w:suff w:val="nothing"/>
      <w:lvlText w:val="（%1）"/>
      <w:lvlJc w:val="left"/>
    </w:lvl>
  </w:abstractNum>
  <w:abstractNum w:abstractNumId="13">
    <w:nsid w:val="0ED1D12D"/>
    <w:multiLevelType w:val="singleLevel"/>
    <w:tmpl w:val="0ED1D12D"/>
    <w:lvl w:ilvl="0" w:tentative="0">
      <w:start w:val="1"/>
      <w:numFmt w:val="upperLetter"/>
      <w:lvlText w:val="%1."/>
      <w:lvlJc w:val="left"/>
      <w:pPr>
        <w:tabs>
          <w:tab w:val="left" w:pos="312"/>
        </w:tabs>
      </w:pPr>
    </w:lvl>
  </w:abstractNum>
  <w:abstractNum w:abstractNumId="14">
    <w:nsid w:val="0F6AC122"/>
    <w:multiLevelType w:val="singleLevel"/>
    <w:tmpl w:val="0F6AC122"/>
    <w:lvl w:ilvl="0" w:tentative="0">
      <w:start w:val="1"/>
      <w:numFmt w:val="upperLetter"/>
      <w:lvlText w:val="%1."/>
      <w:lvlJc w:val="left"/>
      <w:pPr>
        <w:tabs>
          <w:tab w:val="left" w:pos="312"/>
        </w:tabs>
      </w:pPr>
    </w:lvl>
  </w:abstractNum>
  <w:abstractNum w:abstractNumId="15">
    <w:nsid w:val="15E162F3"/>
    <w:multiLevelType w:val="singleLevel"/>
    <w:tmpl w:val="15E162F3"/>
    <w:lvl w:ilvl="0" w:tentative="0">
      <w:start w:val="1"/>
      <w:numFmt w:val="decimal"/>
      <w:suff w:val="nothing"/>
      <w:lvlText w:val="%1．"/>
      <w:lvlJc w:val="left"/>
      <w:pPr>
        <w:ind w:left="0" w:firstLine="400"/>
      </w:pPr>
      <w:rPr>
        <w:rFonts w:hint="default"/>
      </w:rPr>
    </w:lvl>
  </w:abstractNum>
  <w:abstractNum w:abstractNumId="16">
    <w:nsid w:val="259905B5"/>
    <w:multiLevelType w:val="multilevel"/>
    <w:tmpl w:val="259905B5"/>
    <w:lvl w:ilvl="0" w:tentative="0">
      <w:start w:val="1"/>
      <w:numFmt w:val="chineseCountingThousand"/>
      <w:pStyle w:val="156"/>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41"/>
      <w:suff w:val="space"/>
      <w:lvlText w:val="%1.%2.%3"/>
      <w:lvlJc w:val="left"/>
      <w:pPr>
        <w:ind w:left="284" w:hanging="284"/>
      </w:pPr>
      <w:rPr>
        <w:rFonts w:ascii="宋体" w:eastAsia="宋体"/>
        <w:b/>
        <w:i w:val="0"/>
        <w:sz w:val="28"/>
      </w:rPr>
    </w:lvl>
    <w:lvl w:ilvl="4" w:tentative="0">
      <w:start w:val="1"/>
      <w:numFmt w:val="decimal"/>
      <w:pStyle w:val="140"/>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46"/>
      <w:suff w:val="nothing"/>
      <w:lvlText w:val=""/>
      <w:lvlJc w:val="left"/>
    </w:lvl>
    <w:lvl w:ilvl="7" w:tentative="0">
      <w:start w:val="1"/>
      <w:numFmt w:val="decimal"/>
      <w:pStyle w:val="155"/>
      <w:suff w:val="nothing"/>
      <w:lvlText w:val=""/>
      <w:lvlJc w:val="left"/>
    </w:lvl>
    <w:lvl w:ilvl="8" w:tentative="0">
      <w:start w:val="1"/>
      <w:numFmt w:val="decimal"/>
      <w:pStyle w:val="54"/>
      <w:suff w:val="nothing"/>
      <w:lvlText w:val=""/>
      <w:lvlJc w:val="left"/>
    </w:lvl>
  </w:abstractNum>
  <w:abstractNum w:abstractNumId="17">
    <w:nsid w:val="2A4C00C9"/>
    <w:multiLevelType w:val="singleLevel"/>
    <w:tmpl w:val="2A4C00C9"/>
    <w:lvl w:ilvl="0" w:tentative="0">
      <w:start w:val="1"/>
      <w:numFmt w:val="decimal"/>
      <w:suff w:val="nothing"/>
      <w:lvlText w:val="%1．"/>
      <w:lvlJc w:val="left"/>
      <w:pPr>
        <w:ind w:left="0" w:firstLine="400"/>
      </w:pPr>
      <w:rPr>
        <w:rFonts w:hint="default"/>
      </w:rPr>
    </w:lvl>
  </w:abstractNum>
  <w:abstractNum w:abstractNumId="18">
    <w:nsid w:val="3BB73406"/>
    <w:multiLevelType w:val="singleLevel"/>
    <w:tmpl w:val="3BB73406"/>
    <w:lvl w:ilvl="0" w:tentative="0">
      <w:start w:val="1"/>
      <w:numFmt w:val="decimal"/>
      <w:suff w:val="nothing"/>
      <w:lvlText w:val="%1．"/>
      <w:lvlJc w:val="left"/>
      <w:pPr>
        <w:ind w:left="0" w:firstLine="400"/>
      </w:pPr>
      <w:rPr>
        <w:rFonts w:hint="default"/>
      </w:rPr>
    </w:lvl>
  </w:abstractNum>
  <w:abstractNum w:abstractNumId="19">
    <w:nsid w:val="3E66200D"/>
    <w:multiLevelType w:val="singleLevel"/>
    <w:tmpl w:val="3E66200D"/>
    <w:lvl w:ilvl="0" w:tentative="0">
      <w:start w:val="1"/>
      <w:numFmt w:val="decimal"/>
      <w:suff w:val="nothing"/>
      <w:lvlText w:val="（%1）"/>
      <w:lvlJc w:val="left"/>
    </w:lvl>
  </w:abstractNum>
  <w:abstractNum w:abstractNumId="20">
    <w:nsid w:val="42B141C0"/>
    <w:multiLevelType w:val="multilevel"/>
    <w:tmpl w:val="42B141C0"/>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1">
    <w:nsid w:val="523AA72D"/>
    <w:multiLevelType w:val="singleLevel"/>
    <w:tmpl w:val="523AA72D"/>
    <w:lvl w:ilvl="0" w:tentative="0">
      <w:start w:val="1"/>
      <w:numFmt w:val="decimal"/>
      <w:suff w:val="nothing"/>
      <w:lvlText w:val="%1．"/>
      <w:lvlJc w:val="left"/>
      <w:pPr>
        <w:ind w:left="0" w:firstLine="400"/>
      </w:pPr>
      <w:rPr>
        <w:rFonts w:hint="default"/>
      </w:rPr>
    </w:lvl>
  </w:abstractNum>
  <w:abstractNum w:abstractNumId="22">
    <w:nsid w:val="581A0247"/>
    <w:multiLevelType w:val="singleLevel"/>
    <w:tmpl w:val="581A0247"/>
    <w:lvl w:ilvl="0" w:tentative="0">
      <w:start w:val="1"/>
      <w:numFmt w:val="decimal"/>
      <w:suff w:val="nothing"/>
      <w:lvlText w:val="（%1）"/>
      <w:lvlJc w:val="left"/>
    </w:lvl>
  </w:abstractNum>
  <w:abstractNum w:abstractNumId="23">
    <w:nsid w:val="65A1AF78"/>
    <w:multiLevelType w:val="singleLevel"/>
    <w:tmpl w:val="65A1AF78"/>
    <w:lvl w:ilvl="0" w:tentative="0">
      <w:start w:val="1"/>
      <w:numFmt w:val="decimal"/>
      <w:suff w:val="nothing"/>
      <w:lvlText w:val="%1．"/>
      <w:lvlJc w:val="left"/>
      <w:pPr>
        <w:ind w:left="0" w:firstLine="400"/>
      </w:pPr>
      <w:rPr>
        <w:rFonts w:hint="default"/>
      </w:rPr>
    </w:lvl>
  </w:abstractNum>
  <w:abstractNum w:abstractNumId="24">
    <w:nsid w:val="66E94E54"/>
    <w:multiLevelType w:val="singleLevel"/>
    <w:tmpl w:val="66E94E54"/>
    <w:lvl w:ilvl="0" w:tentative="0">
      <w:start w:val="1"/>
      <w:numFmt w:val="decimal"/>
      <w:suff w:val="nothing"/>
      <w:lvlText w:val="%1．"/>
      <w:lvlJc w:val="left"/>
      <w:pPr>
        <w:ind w:left="0" w:firstLine="400"/>
      </w:pPr>
      <w:rPr>
        <w:rFonts w:hint="default"/>
      </w:rPr>
    </w:lvl>
  </w:abstractNum>
  <w:abstractNum w:abstractNumId="25">
    <w:nsid w:val="6DB8E281"/>
    <w:multiLevelType w:val="singleLevel"/>
    <w:tmpl w:val="6DB8E281"/>
    <w:lvl w:ilvl="0" w:tentative="0">
      <w:start w:val="1"/>
      <w:numFmt w:val="decimal"/>
      <w:suff w:val="nothing"/>
      <w:lvlText w:val="%1、"/>
      <w:lvlJc w:val="left"/>
    </w:lvl>
  </w:abstractNum>
  <w:abstractNum w:abstractNumId="26">
    <w:nsid w:val="716EC5F6"/>
    <w:multiLevelType w:val="singleLevel"/>
    <w:tmpl w:val="716EC5F6"/>
    <w:lvl w:ilvl="0" w:tentative="0">
      <w:start w:val="1"/>
      <w:numFmt w:val="decimal"/>
      <w:suff w:val="nothing"/>
      <w:lvlText w:val="（%1）"/>
      <w:lvlJc w:val="left"/>
    </w:lvl>
  </w:abstractNum>
  <w:abstractNum w:abstractNumId="27">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67"/>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28">
    <w:nsid w:val="7798914B"/>
    <w:multiLevelType w:val="singleLevel"/>
    <w:tmpl w:val="7798914B"/>
    <w:lvl w:ilvl="0" w:tentative="0">
      <w:start w:val="1"/>
      <w:numFmt w:val="upperLetter"/>
      <w:lvlText w:val="%1."/>
      <w:lvlJc w:val="left"/>
      <w:pPr>
        <w:tabs>
          <w:tab w:val="left" w:pos="312"/>
        </w:tabs>
      </w:pPr>
    </w:lvl>
  </w:abstractNum>
  <w:num w:numId="1">
    <w:abstractNumId w:val="16"/>
  </w:num>
  <w:num w:numId="2">
    <w:abstractNumId w:val="27"/>
  </w:num>
  <w:num w:numId="3">
    <w:abstractNumId w:val="25"/>
  </w:num>
  <w:num w:numId="4">
    <w:abstractNumId w:val="19"/>
  </w:num>
  <w:num w:numId="5">
    <w:abstractNumId w:val="8"/>
  </w:num>
  <w:num w:numId="6">
    <w:abstractNumId w:val="20"/>
  </w:num>
  <w:num w:numId="7">
    <w:abstractNumId w:val="10"/>
  </w:num>
  <w:num w:numId="8">
    <w:abstractNumId w:val="4"/>
  </w:num>
  <w:num w:numId="9">
    <w:abstractNumId w:val="17"/>
  </w:num>
  <w:num w:numId="10">
    <w:abstractNumId w:val="24"/>
  </w:num>
  <w:num w:numId="11">
    <w:abstractNumId w:val="22"/>
  </w:num>
  <w:num w:numId="12">
    <w:abstractNumId w:val="21"/>
  </w:num>
  <w:num w:numId="13">
    <w:abstractNumId w:val="7"/>
  </w:num>
  <w:num w:numId="14">
    <w:abstractNumId w:val="14"/>
  </w:num>
  <w:num w:numId="15">
    <w:abstractNumId w:val="13"/>
  </w:num>
  <w:num w:numId="16">
    <w:abstractNumId w:val="2"/>
  </w:num>
  <w:num w:numId="17">
    <w:abstractNumId w:val="6"/>
  </w:num>
  <w:num w:numId="18">
    <w:abstractNumId w:val="23"/>
  </w:num>
  <w:num w:numId="19">
    <w:abstractNumId w:val="0"/>
  </w:num>
  <w:num w:numId="20">
    <w:abstractNumId w:val="9"/>
  </w:num>
  <w:num w:numId="21">
    <w:abstractNumId w:val="3"/>
  </w:num>
  <w:num w:numId="22">
    <w:abstractNumId w:val="11"/>
  </w:num>
  <w:num w:numId="23">
    <w:abstractNumId w:val="28"/>
  </w:num>
  <w:num w:numId="24">
    <w:abstractNumId w:val="18"/>
  </w:num>
  <w:num w:numId="25">
    <w:abstractNumId w:val="5"/>
  </w:num>
  <w:num w:numId="26">
    <w:abstractNumId w:val="26"/>
  </w:num>
  <w:num w:numId="27">
    <w:abstractNumId w:val="12"/>
  </w:num>
  <w:num w:numId="28">
    <w:abstractNumId w:val="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oNotUseMarginsForDrawingGridOrigin w:val="1"/>
  <w:drawingGridHorizontalOrigin w:val="1800"/>
  <w:drawingGridVerticalOrigin w:val="1440"/>
  <w:noPunctuationKerning w:val="1"/>
  <w:characterSpacingControl w:val="doNotCompress"/>
  <w:endnotePr>
    <w:numFmt w:val="decimal"/>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yODhkNGM0MmY2ZmQ2ZTdmYzliMDJiMzZiYjAwYTYifQ=="/>
  </w:docVars>
  <w:rsids>
    <w:rsidRoot w:val="00E12750"/>
    <w:rsid w:val="000019B5"/>
    <w:rsid w:val="00002BB1"/>
    <w:rsid w:val="00007125"/>
    <w:rsid w:val="00010A0E"/>
    <w:rsid w:val="00010DEF"/>
    <w:rsid w:val="000131B4"/>
    <w:rsid w:val="000150F9"/>
    <w:rsid w:val="0001678A"/>
    <w:rsid w:val="000207E2"/>
    <w:rsid w:val="00020D54"/>
    <w:rsid w:val="000237D9"/>
    <w:rsid w:val="00025835"/>
    <w:rsid w:val="00025D40"/>
    <w:rsid w:val="000260A9"/>
    <w:rsid w:val="0002717B"/>
    <w:rsid w:val="00027D24"/>
    <w:rsid w:val="000312C5"/>
    <w:rsid w:val="00033136"/>
    <w:rsid w:val="000337E6"/>
    <w:rsid w:val="0003426B"/>
    <w:rsid w:val="00040175"/>
    <w:rsid w:val="00040269"/>
    <w:rsid w:val="000421DC"/>
    <w:rsid w:val="00042EA0"/>
    <w:rsid w:val="0004513C"/>
    <w:rsid w:val="0004527B"/>
    <w:rsid w:val="00045842"/>
    <w:rsid w:val="0004698C"/>
    <w:rsid w:val="00046D08"/>
    <w:rsid w:val="000477C9"/>
    <w:rsid w:val="00047B9D"/>
    <w:rsid w:val="00047E32"/>
    <w:rsid w:val="00051B10"/>
    <w:rsid w:val="00052AA0"/>
    <w:rsid w:val="0005310E"/>
    <w:rsid w:val="00054299"/>
    <w:rsid w:val="00054EDB"/>
    <w:rsid w:val="000557EB"/>
    <w:rsid w:val="000568F5"/>
    <w:rsid w:val="00056D98"/>
    <w:rsid w:val="00056F2B"/>
    <w:rsid w:val="00057663"/>
    <w:rsid w:val="00060313"/>
    <w:rsid w:val="00060734"/>
    <w:rsid w:val="00061F95"/>
    <w:rsid w:val="00063021"/>
    <w:rsid w:val="000638F5"/>
    <w:rsid w:val="00065BE0"/>
    <w:rsid w:val="00066257"/>
    <w:rsid w:val="000664B7"/>
    <w:rsid w:val="00067CA7"/>
    <w:rsid w:val="00071B50"/>
    <w:rsid w:val="000728D9"/>
    <w:rsid w:val="00072EEC"/>
    <w:rsid w:val="000740DC"/>
    <w:rsid w:val="00074C04"/>
    <w:rsid w:val="0007593A"/>
    <w:rsid w:val="00077EE0"/>
    <w:rsid w:val="0008167B"/>
    <w:rsid w:val="000816AD"/>
    <w:rsid w:val="00083721"/>
    <w:rsid w:val="000846DA"/>
    <w:rsid w:val="00084B57"/>
    <w:rsid w:val="00085649"/>
    <w:rsid w:val="00086323"/>
    <w:rsid w:val="00087DB3"/>
    <w:rsid w:val="0009129B"/>
    <w:rsid w:val="00094362"/>
    <w:rsid w:val="00095310"/>
    <w:rsid w:val="000956FC"/>
    <w:rsid w:val="000972E5"/>
    <w:rsid w:val="000A0DE1"/>
    <w:rsid w:val="000A1A51"/>
    <w:rsid w:val="000A21FB"/>
    <w:rsid w:val="000A26AE"/>
    <w:rsid w:val="000A5B62"/>
    <w:rsid w:val="000A72AA"/>
    <w:rsid w:val="000B00C9"/>
    <w:rsid w:val="000B00F1"/>
    <w:rsid w:val="000B0272"/>
    <w:rsid w:val="000B0CB6"/>
    <w:rsid w:val="000B303D"/>
    <w:rsid w:val="000B357D"/>
    <w:rsid w:val="000B3770"/>
    <w:rsid w:val="000B6362"/>
    <w:rsid w:val="000B783A"/>
    <w:rsid w:val="000B7B0D"/>
    <w:rsid w:val="000C04E7"/>
    <w:rsid w:val="000C06D5"/>
    <w:rsid w:val="000C2008"/>
    <w:rsid w:val="000C44C7"/>
    <w:rsid w:val="000C7DED"/>
    <w:rsid w:val="000D32F5"/>
    <w:rsid w:val="000D334C"/>
    <w:rsid w:val="000D3FEA"/>
    <w:rsid w:val="000D4262"/>
    <w:rsid w:val="000D446D"/>
    <w:rsid w:val="000D4FFA"/>
    <w:rsid w:val="000E03A5"/>
    <w:rsid w:val="000E0588"/>
    <w:rsid w:val="000E137A"/>
    <w:rsid w:val="000E1832"/>
    <w:rsid w:val="000E1DF7"/>
    <w:rsid w:val="000E4635"/>
    <w:rsid w:val="000E573E"/>
    <w:rsid w:val="000E5E82"/>
    <w:rsid w:val="000E602E"/>
    <w:rsid w:val="000E6E46"/>
    <w:rsid w:val="000E7958"/>
    <w:rsid w:val="000F04E6"/>
    <w:rsid w:val="000F0586"/>
    <w:rsid w:val="000F0C8F"/>
    <w:rsid w:val="000F1107"/>
    <w:rsid w:val="000F152D"/>
    <w:rsid w:val="000F26EC"/>
    <w:rsid w:val="000F2A89"/>
    <w:rsid w:val="000F31A2"/>
    <w:rsid w:val="000F365D"/>
    <w:rsid w:val="000F50F6"/>
    <w:rsid w:val="000F57D7"/>
    <w:rsid w:val="000F5882"/>
    <w:rsid w:val="000F68FA"/>
    <w:rsid w:val="000F6A25"/>
    <w:rsid w:val="001003F8"/>
    <w:rsid w:val="0010051E"/>
    <w:rsid w:val="00100F23"/>
    <w:rsid w:val="00101D1E"/>
    <w:rsid w:val="00101DB2"/>
    <w:rsid w:val="0010480A"/>
    <w:rsid w:val="0010483C"/>
    <w:rsid w:val="0011023A"/>
    <w:rsid w:val="00113402"/>
    <w:rsid w:val="00115DEC"/>
    <w:rsid w:val="00116788"/>
    <w:rsid w:val="00117D2F"/>
    <w:rsid w:val="00120E73"/>
    <w:rsid w:val="00120F54"/>
    <w:rsid w:val="00122488"/>
    <w:rsid w:val="00124491"/>
    <w:rsid w:val="0012449C"/>
    <w:rsid w:val="00125780"/>
    <w:rsid w:val="00127E23"/>
    <w:rsid w:val="0013074E"/>
    <w:rsid w:val="00130F32"/>
    <w:rsid w:val="001310A3"/>
    <w:rsid w:val="00131E40"/>
    <w:rsid w:val="00131E57"/>
    <w:rsid w:val="001326B6"/>
    <w:rsid w:val="00134006"/>
    <w:rsid w:val="001352F3"/>
    <w:rsid w:val="00136F1A"/>
    <w:rsid w:val="0014088E"/>
    <w:rsid w:val="00140B94"/>
    <w:rsid w:val="00140BEF"/>
    <w:rsid w:val="00140CBF"/>
    <w:rsid w:val="00141735"/>
    <w:rsid w:val="00142D13"/>
    <w:rsid w:val="001433B2"/>
    <w:rsid w:val="00147569"/>
    <w:rsid w:val="00151099"/>
    <w:rsid w:val="00151BB9"/>
    <w:rsid w:val="0015254C"/>
    <w:rsid w:val="00152568"/>
    <w:rsid w:val="00153FB3"/>
    <w:rsid w:val="001541F5"/>
    <w:rsid w:val="00162459"/>
    <w:rsid w:val="00164082"/>
    <w:rsid w:val="001655A7"/>
    <w:rsid w:val="00166023"/>
    <w:rsid w:val="0016666B"/>
    <w:rsid w:val="00166BE2"/>
    <w:rsid w:val="00167170"/>
    <w:rsid w:val="00167F7B"/>
    <w:rsid w:val="00170D60"/>
    <w:rsid w:val="00172B64"/>
    <w:rsid w:val="0017466E"/>
    <w:rsid w:val="00174E6A"/>
    <w:rsid w:val="0018068B"/>
    <w:rsid w:val="00183BB7"/>
    <w:rsid w:val="00183EC3"/>
    <w:rsid w:val="001843D9"/>
    <w:rsid w:val="00184690"/>
    <w:rsid w:val="0018771D"/>
    <w:rsid w:val="00190405"/>
    <w:rsid w:val="00190FDA"/>
    <w:rsid w:val="00191B1C"/>
    <w:rsid w:val="00192EB1"/>
    <w:rsid w:val="00194525"/>
    <w:rsid w:val="00195D73"/>
    <w:rsid w:val="001972CB"/>
    <w:rsid w:val="001A0DC0"/>
    <w:rsid w:val="001A11AA"/>
    <w:rsid w:val="001A15FD"/>
    <w:rsid w:val="001A29C3"/>
    <w:rsid w:val="001A4C6C"/>
    <w:rsid w:val="001A5368"/>
    <w:rsid w:val="001A720D"/>
    <w:rsid w:val="001A77E0"/>
    <w:rsid w:val="001B10C3"/>
    <w:rsid w:val="001B11A6"/>
    <w:rsid w:val="001B30FB"/>
    <w:rsid w:val="001B3449"/>
    <w:rsid w:val="001B41F0"/>
    <w:rsid w:val="001B42C7"/>
    <w:rsid w:val="001B45B4"/>
    <w:rsid w:val="001B4EA8"/>
    <w:rsid w:val="001B5679"/>
    <w:rsid w:val="001B7E6E"/>
    <w:rsid w:val="001C3363"/>
    <w:rsid w:val="001C4621"/>
    <w:rsid w:val="001C6290"/>
    <w:rsid w:val="001C7D81"/>
    <w:rsid w:val="001D079D"/>
    <w:rsid w:val="001D1FE1"/>
    <w:rsid w:val="001D25B1"/>
    <w:rsid w:val="001D2DF6"/>
    <w:rsid w:val="001D3E6E"/>
    <w:rsid w:val="001D4F7F"/>
    <w:rsid w:val="001D5499"/>
    <w:rsid w:val="001D6D98"/>
    <w:rsid w:val="001D77AD"/>
    <w:rsid w:val="001D7D71"/>
    <w:rsid w:val="001E2A9F"/>
    <w:rsid w:val="001E42D3"/>
    <w:rsid w:val="001E4C56"/>
    <w:rsid w:val="001E503E"/>
    <w:rsid w:val="001E507A"/>
    <w:rsid w:val="001E6206"/>
    <w:rsid w:val="001F0C7D"/>
    <w:rsid w:val="001F36D9"/>
    <w:rsid w:val="001F4190"/>
    <w:rsid w:val="001F57B0"/>
    <w:rsid w:val="00200BA0"/>
    <w:rsid w:val="002015E6"/>
    <w:rsid w:val="002037F5"/>
    <w:rsid w:val="00204819"/>
    <w:rsid w:val="0020565F"/>
    <w:rsid w:val="00206238"/>
    <w:rsid w:val="00206E54"/>
    <w:rsid w:val="0020761F"/>
    <w:rsid w:val="00211031"/>
    <w:rsid w:val="0021140C"/>
    <w:rsid w:val="0021265D"/>
    <w:rsid w:val="00214C56"/>
    <w:rsid w:val="00215DC4"/>
    <w:rsid w:val="00217239"/>
    <w:rsid w:val="002208F5"/>
    <w:rsid w:val="0022197C"/>
    <w:rsid w:val="0022305C"/>
    <w:rsid w:val="002266E8"/>
    <w:rsid w:val="00226BEB"/>
    <w:rsid w:val="00231417"/>
    <w:rsid w:val="00231FC8"/>
    <w:rsid w:val="00234B0F"/>
    <w:rsid w:val="00234D39"/>
    <w:rsid w:val="0023613F"/>
    <w:rsid w:val="002373FF"/>
    <w:rsid w:val="002378F3"/>
    <w:rsid w:val="00240E3C"/>
    <w:rsid w:val="00243753"/>
    <w:rsid w:val="00243C8A"/>
    <w:rsid w:val="00243D12"/>
    <w:rsid w:val="00243E39"/>
    <w:rsid w:val="002454B2"/>
    <w:rsid w:val="00245760"/>
    <w:rsid w:val="00245765"/>
    <w:rsid w:val="00245DDB"/>
    <w:rsid w:val="00247154"/>
    <w:rsid w:val="0025086E"/>
    <w:rsid w:val="00250B5F"/>
    <w:rsid w:val="002515F5"/>
    <w:rsid w:val="00251A56"/>
    <w:rsid w:val="00251D05"/>
    <w:rsid w:val="002552F5"/>
    <w:rsid w:val="00256859"/>
    <w:rsid w:val="002574D7"/>
    <w:rsid w:val="00260023"/>
    <w:rsid w:val="002611E0"/>
    <w:rsid w:val="00261CAE"/>
    <w:rsid w:val="002659AA"/>
    <w:rsid w:val="00266328"/>
    <w:rsid w:val="00267444"/>
    <w:rsid w:val="002676FA"/>
    <w:rsid w:val="00271510"/>
    <w:rsid w:val="002718F2"/>
    <w:rsid w:val="0027199F"/>
    <w:rsid w:val="00273521"/>
    <w:rsid w:val="002758F3"/>
    <w:rsid w:val="00277583"/>
    <w:rsid w:val="0027766C"/>
    <w:rsid w:val="00277A38"/>
    <w:rsid w:val="00280FAB"/>
    <w:rsid w:val="0028251C"/>
    <w:rsid w:val="00284E4F"/>
    <w:rsid w:val="002850CF"/>
    <w:rsid w:val="00285416"/>
    <w:rsid w:val="00286189"/>
    <w:rsid w:val="002864BE"/>
    <w:rsid w:val="0029387B"/>
    <w:rsid w:val="002942A4"/>
    <w:rsid w:val="002943C5"/>
    <w:rsid w:val="00294BC9"/>
    <w:rsid w:val="002960C4"/>
    <w:rsid w:val="00296885"/>
    <w:rsid w:val="00297845"/>
    <w:rsid w:val="002A0A93"/>
    <w:rsid w:val="002A19BB"/>
    <w:rsid w:val="002A1BB3"/>
    <w:rsid w:val="002A1BFA"/>
    <w:rsid w:val="002A36A7"/>
    <w:rsid w:val="002A3FB7"/>
    <w:rsid w:val="002A4A68"/>
    <w:rsid w:val="002A6747"/>
    <w:rsid w:val="002A6B5F"/>
    <w:rsid w:val="002A7F7D"/>
    <w:rsid w:val="002B0917"/>
    <w:rsid w:val="002B10DA"/>
    <w:rsid w:val="002B268E"/>
    <w:rsid w:val="002B2F87"/>
    <w:rsid w:val="002B3792"/>
    <w:rsid w:val="002B3911"/>
    <w:rsid w:val="002B7170"/>
    <w:rsid w:val="002C076A"/>
    <w:rsid w:val="002C25D2"/>
    <w:rsid w:val="002C3F52"/>
    <w:rsid w:val="002C4782"/>
    <w:rsid w:val="002C59F5"/>
    <w:rsid w:val="002C6527"/>
    <w:rsid w:val="002C6CBB"/>
    <w:rsid w:val="002C6E8C"/>
    <w:rsid w:val="002C7FE3"/>
    <w:rsid w:val="002D328C"/>
    <w:rsid w:val="002D38EB"/>
    <w:rsid w:val="002D3F05"/>
    <w:rsid w:val="002D7086"/>
    <w:rsid w:val="002D7AE0"/>
    <w:rsid w:val="002D7C77"/>
    <w:rsid w:val="002E2369"/>
    <w:rsid w:val="002E2CD6"/>
    <w:rsid w:val="002E3DF6"/>
    <w:rsid w:val="002E40E3"/>
    <w:rsid w:val="002E42B7"/>
    <w:rsid w:val="002E4819"/>
    <w:rsid w:val="002E55C1"/>
    <w:rsid w:val="002E6F64"/>
    <w:rsid w:val="002E7332"/>
    <w:rsid w:val="002E77DA"/>
    <w:rsid w:val="002F03E8"/>
    <w:rsid w:val="002F1D07"/>
    <w:rsid w:val="002F3B5C"/>
    <w:rsid w:val="002F497E"/>
    <w:rsid w:val="002F626F"/>
    <w:rsid w:val="002F6A90"/>
    <w:rsid w:val="002F7175"/>
    <w:rsid w:val="002F7AB6"/>
    <w:rsid w:val="00300D02"/>
    <w:rsid w:val="0030144B"/>
    <w:rsid w:val="00302F4F"/>
    <w:rsid w:val="00304C98"/>
    <w:rsid w:val="003051A3"/>
    <w:rsid w:val="00305CD2"/>
    <w:rsid w:val="003062CD"/>
    <w:rsid w:val="003064AE"/>
    <w:rsid w:val="00307B01"/>
    <w:rsid w:val="00310513"/>
    <w:rsid w:val="00310962"/>
    <w:rsid w:val="003114FA"/>
    <w:rsid w:val="003128D6"/>
    <w:rsid w:val="003136B0"/>
    <w:rsid w:val="00316471"/>
    <w:rsid w:val="0031795D"/>
    <w:rsid w:val="00320929"/>
    <w:rsid w:val="0032126D"/>
    <w:rsid w:val="003258F9"/>
    <w:rsid w:val="0033136B"/>
    <w:rsid w:val="00331C02"/>
    <w:rsid w:val="00332FCC"/>
    <w:rsid w:val="00333E6C"/>
    <w:rsid w:val="00333FD1"/>
    <w:rsid w:val="00335934"/>
    <w:rsid w:val="0033674F"/>
    <w:rsid w:val="00337EFD"/>
    <w:rsid w:val="00340219"/>
    <w:rsid w:val="00340461"/>
    <w:rsid w:val="00340BEF"/>
    <w:rsid w:val="0034131F"/>
    <w:rsid w:val="00341332"/>
    <w:rsid w:val="003425D5"/>
    <w:rsid w:val="00343B35"/>
    <w:rsid w:val="0034478D"/>
    <w:rsid w:val="00344C44"/>
    <w:rsid w:val="003458C4"/>
    <w:rsid w:val="00347EC8"/>
    <w:rsid w:val="003522AB"/>
    <w:rsid w:val="0035273A"/>
    <w:rsid w:val="003542F2"/>
    <w:rsid w:val="0035445D"/>
    <w:rsid w:val="00356934"/>
    <w:rsid w:val="00356C29"/>
    <w:rsid w:val="00361BC4"/>
    <w:rsid w:val="0036380C"/>
    <w:rsid w:val="00363E33"/>
    <w:rsid w:val="003662D8"/>
    <w:rsid w:val="00370165"/>
    <w:rsid w:val="00370607"/>
    <w:rsid w:val="00371A9F"/>
    <w:rsid w:val="00372564"/>
    <w:rsid w:val="00372ABE"/>
    <w:rsid w:val="00373090"/>
    <w:rsid w:val="0037319C"/>
    <w:rsid w:val="00373B1C"/>
    <w:rsid w:val="00374FE3"/>
    <w:rsid w:val="00375163"/>
    <w:rsid w:val="0037770B"/>
    <w:rsid w:val="0037776E"/>
    <w:rsid w:val="00377E69"/>
    <w:rsid w:val="00381046"/>
    <w:rsid w:val="003815AA"/>
    <w:rsid w:val="00381760"/>
    <w:rsid w:val="00381E86"/>
    <w:rsid w:val="00383529"/>
    <w:rsid w:val="00383BF4"/>
    <w:rsid w:val="00385831"/>
    <w:rsid w:val="00385F20"/>
    <w:rsid w:val="003865CE"/>
    <w:rsid w:val="0038672C"/>
    <w:rsid w:val="00393286"/>
    <w:rsid w:val="00393E9B"/>
    <w:rsid w:val="00395078"/>
    <w:rsid w:val="003952B9"/>
    <w:rsid w:val="003A0329"/>
    <w:rsid w:val="003A0591"/>
    <w:rsid w:val="003A0AE5"/>
    <w:rsid w:val="003A21EB"/>
    <w:rsid w:val="003A4B80"/>
    <w:rsid w:val="003A5BD9"/>
    <w:rsid w:val="003B5B7F"/>
    <w:rsid w:val="003B6DAB"/>
    <w:rsid w:val="003C12A6"/>
    <w:rsid w:val="003C1E66"/>
    <w:rsid w:val="003C49F7"/>
    <w:rsid w:val="003D0064"/>
    <w:rsid w:val="003D00B7"/>
    <w:rsid w:val="003D0F11"/>
    <w:rsid w:val="003D145F"/>
    <w:rsid w:val="003D201F"/>
    <w:rsid w:val="003D2057"/>
    <w:rsid w:val="003D2F7B"/>
    <w:rsid w:val="003D3857"/>
    <w:rsid w:val="003D5CBF"/>
    <w:rsid w:val="003D6887"/>
    <w:rsid w:val="003E11D0"/>
    <w:rsid w:val="003E18D1"/>
    <w:rsid w:val="003E2EF8"/>
    <w:rsid w:val="003E4602"/>
    <w:rsid w:val="003E4FE0"/>
    <w:rsid w:val="003E6118"/>
    <w:rsid w:val="003E71C2"/>
    <w:rsid w:val="003F00EF"/>
    <w:rsid w:val="003F08A5"/>
    <w:rsid w:val="003F1F96"/>
    <w:rsid w:val="003F3FB9"/>
    <w:rsid w:val="003F449C"/>
    <w:rsid w:val="003F7CE0"/>
    <w:rsid w:val="00402511"/>
    <w:rsid w:val="004038F6"/>
    <w:rsid w:val="004041C5"/>
    <w:rsid w:val="004052B3"/>
    <w:rsid w:val="00406258"/>
    <w:rsid w:val="004064F6"/>
    <w:rsid w:val="00407CA2"/>
    <w:rsid w:val="00410BA6"/>
    <w:rsid w:val="00411949"/>
    <w:rsid w:val="00411E6D"/>
    <w:rsid w:val="004129B4"/>
    <w:rsid w:val="00413C64"/>
    <w:rsid w:val="00414433"/>
    <w:rsid w:val="00416564"/>
    <w:rsid w:val="00416AAD"/>
    <w:rsid w:val="00417FB6"/>
    <w:rsid w:val="00420885"/>
    <w:rsid w:val="00422C08"/>
    <w:rsid w:val="0042400A"/>
    <w:rsid w:val="00424DEE"/>
    <w:rsid w:val="00427276"/>
    <w:rsid w:val="00427DBD"/>
    <w:rsid w:val="00431069"/>
    <w:rsid w:val="004311B2"/>
    <w:rsid w:val="00431970"/>
    <w:rsid w:val="00434052"/>
    <w:rsid w:val="00436588"/>
    <w:rsid w:val="004373B7"/>
    <w:rsid w:val="00437B91"/>
    <w:rsid w:val="004418B4"/>
    <w:rsid w:val="004425B5"/>
    <w:rsid w:val="004434F5"/>
    <w:rsid w:val="0044355E"/>
    <w:rsid w:val="00443678"/>
    <w:rsid w:val="00443C0C"/>
    <w:rsid w:val="00444C14"/>
    <w:rsid w:val="0044574C"/>
    <w:rsid w:val="00447FB5"/>
    <w:rsid w:val="004524A4"/>
    <w:rsid w:val="004546AD"/>
    <w:rsid w:val="00454D83"/>
    <w:rsid w:val="004608E6"/>
    <w:rsid w:val="00461981"/>
    <w:rsid w:val="004635F7"/>
    <w:rsid w:val="0046367F"/>
    <w:rsid w:val="0046387F"/>
    <w:rsid w:val="00465E66"/>
    <w:rsid w:val="00472560"/>
    <w:rsid w:val="00474B5B"/>
    <w:rsid w:val="004763B1"/>
    <w:rsid w:val="00476C9B"/>
    <w:rsid w:val="0047772B"/>
    <w:rsid w:val="004807AE"/>
    <w:rsid w:val="00481D58"/>
    <w:rsid w:val="00482F13"/>
    <w:rsid w:val="00483643"/>
    <w:rsid w:val="00484ECB"/>
    <w:rsid w:val="00485264"/>
    <w:rsid w:val="004861DE"/>
    <w:rsid w:val="00486C44"/>
    <w:rsid w:val="00486EB5"/>
    <w:rsid w:val="00487B9A"/>
    <w:rsid w:val="00490209"/>
    <w:rsid w:val="00492146"/>
    <w:rsid w:val="00495293"/>
    <w:rsid w:val="004A4DDB"/>
    <w:rsid w:val="004A6856"/>
    <w:rsid w:val="004A6B01"/>
    <w:rsid w:val="004B234C"/>
    <w:rsid w:val="004B443A"/>
    <w:rsid w:val="004B4EC8"/>
    <w:rsid w:val="004B4F0A"/>
    <w:rsid w:val="004B4F8B"/>
    <w:rsid w:val="004B5117"/>
    <w:rsid w:val="004C07D4"/>
    <w:rsid w:val="004C11A6"/>
    <w:rsid w:val="004C2E5F"/>
    <w:rsid w:val="004C2F7C"/>
    <w:rsid w:val="004C4F7A"/>
    <w:rsid w:val="004D3BF8"/>
    <w:rsid w:val="004D4463"/>
    <w:rsid w:val="004D5B7B"/>
    <w:rsid w:val="004D70CC"/>
    <w:rsid w:val="004E58B4"/>
    <w:rsid w:val="004E5EE4"/>
    <w:rsid w:val="004E631B"/>
    <w:rsid w:val="004E68C5"/>
    <w:rsid w:val="004F00B8"/>
    <w:rsid w:val="004F1287"/>
    <w:rsid w:val="004F18A1"/>
    <w:rsid w:val="004F27DF"/>
    <w:rsid w:val="004F53BA"/>
    <w:rsid w:val="004F5846"/>
    <w:rsid w:val="004F58AC"/>
    <w:rsid w:val="004F611B"/>
    <w:rsid w:val="004F67BC"/>
    <w:rsid w:val="00500956"/>
    <w:rsid w:val="00500FE5"/>
    <w:rsid w:val="00502DAA"/>
    <w:rsid w:val="0050308C"/>
    <w:rsid w:val="005039FB"/>
    <w:rsid w:val="005048F0"/>
    <w:rsid w:val="00512EC9"/>
    <w:rsid w:val="0051527E"/>
    <w:rsid w:val="00516C82"/>
    <w:rsid w:val="00517BFE"/>
    <w:rsid w:val="0052035D"/>
    <w:rsid w:val="00521C8B"/>
    <w:rsid w:val="00522B80"/>
    <w:rsid w:val="0052451C"/>
    <w:rsid w:val="0052669B"/>
    <w:rsid w:val="005274E8"/>
    <w:rsid w:val="005275AC"/>
    <w:rsid w:val="00530E18"/>
    <w:rsid w:val="005331E2"/>
    <w:rsid w:val="00536CCC"/>
    <w:rsid w:val="00541771"/>
    <w:rsid w:val="00542467"/>
    <w:rsid w:val="005438F0"/>
    <w:rsid w:val="00543AAC"/>
    <w:rsid w:val="00544060"/>
    <w:rsid w:val="0054512A"/>
    <w:rsid w:val="0054541C"/>
    <w:rsid w:val="00545D35"/>
    <w:rsid w:val="00545EAE"/>
    <w:rsid w:val="0054635F"/>
    <w:rsid w:val="00551DB0"/>
    <w:rsid w:val="0055260D"/>
    <w:rsid w:val="005536BE"/>
    <w:rsid w:val="0055433E"/>
    <w:rsid w:val="00556F31"/>
    <w:rsid w:val="00561EE4"/>
    <w:rsid w:val="00563025"/>
    <w:rsid w:val="00563173"/>
    <w:rsid w:val="00564323"/>
    <w:rsid w:val="00567077"/>
    <w:rsid w:val="005679BA"/>
    <w:rsid w:val="00567C06"/>
    <w:rsid w:val="00571877"/>
    <w:rsid w:val="0057264B"/>
    <w:rsid w:val="0057360B"/>
    <w:rsid w:val="0057389F"/>
    <w:rsid w:val="00573AA0"/>
    <w:rsid w:val="00574344"/>
    <w:rsid w:val="00574DA7"/>
    <w:rsid w:val="005762F1"/>
    <w:rsid w:val="00576519"/>
    <w:rsid w:val="00580784"/>
    <w:rsid w:val="00584666"/>
    <w:rsid w:val="00587C73"/>
    <w:rsid w:val="0059068A"/>
    <w:rsid w:val="005929EC"/>
    <w:rsid w:val="00593E2C"/>
    <w:rsid w:val="00594D4A"/>
    <w:rsid w:val="00594EFF"/>
    <w:rsid w:val="005976A4"/>
    <w:rsid w:val="00597F59"/>
    <w:rsid w:val="005A07C9"/>
    <w:rsid w:val="005A0BC0"/>
    <w:rsid w:val="005A321C"/>
    <w:rsid w:val="005A3A86"/>
    <w:rsid w:val="005A535F"/>
    <w:rsid w:val="005A58BF"/>
    <w:rsid w:val="005A58D5"/>
    <w:rsid w:val="005A7DE2"/>
    <w:rsid w:val="005B0774"/>
    <w:rsid w:val="005B0CC6"/>
    <w:rsid w:val="005B2CB6"/>
    <w:rsid w:val="005B3778"/>
    <w:rsid w:val="005B5C4C"/>
    <w:rsid w:val="005B5DA5"/>
    <w:rsid w:val="005B6A37"/>
    <w:rsid w:val="005C08FB"/>
    <w:rsid w:val="005C7514"/>
    <w:rsid w:val="005D0F75"/>
    <w:rsid w:val="005D522D"/>
    <w:rsid w:val="005D5750"/>
    <w:rsid w:val="005D5CD2"/>
    <w:rsid w:val="005D6ABE"/>
    <w:rsid w:val="005E0B60"/>
    <w:rsid w:val="005E0C1B"/>
    <w:rsid w:val="005E10B1"/>
    <w:rsid w:val="005E23B8"/>
    <w:rsid w:val="005E2CBE"/>
    <w:rsid w:val="005E2CD5"/>
    <w:rsid w:val="005E33D2"/>
    <w:rsid w:val="005E4A3D"/>
    <w:rsid w:val="005E58DE"/>
    <w:rsid w:val="005E598F"/>
    <w:rsid w:val="005E5B14"/>
    <w:rsid w:val="005E5DC3"/>
    <w:rsid w:val="005E7117"/>
    <w:rsid w:val="005E7B91"/>
    <w:rsid w:val="005F464D"/>
    <w:rsid w:val="005F4B89"/>
    <w:rsid w:val="005F51E5"/>
    <w:rsid w:val="006000EE"/>
    <w:rsid w:val="006003A8"/>
    <w:rsid w:val="006003F6"/>
    <w:rsid w:val="00602D61"/>
    <w:rsid w:val="00603A56"/>
    <w:rsid w:val="006059FF"/>
    <w:rsid w:val="00607539"/>
    <w:rsid w:val="00607B32"/>
    <w:rsid w:val="00615322"/>
    <w:rsid w:val="006201FE"/>
    <w:rsid w:val="00620D7E"/>
    <w:rsid w:val="00621201"/>
    <w:rsid w:val="00621688"/>
    <w:rsid w:val="006216FB"/>
    <w:rsid w:val="006223D8"/>
    <w:rsid w:val="00623A1C"/>
    <w:rsid w:val="00624FBA"/>
    <w:rsid w:val="00632012"/>
    <w:rsid w:val="00637568"/>
    <w:rsid w:val="00640C3C"/>
    <w:rsid w:val="00641966"/>
    <w:rsid w:val="006432FF"/>
    <w:rsid w:val="00644BAC"/>
    <w:rsid w:val="00645138"/>
    <w:rsid w:val="00645708"/>
    <w:rsid w:val="00646832"/>
    <w:rsid w:val="00647774"/>
    <w:rsid w:val="00647877"/>
    <w:rsid w:val="00647AB5"/>
    <w:rsid w:val="00647D47"/>
    <w:rsid w:val="006518FF"/>
    <w:rsid w:val="006531B5"/>
    <w:rsid w:val="006538C5"/>
    <w:rsid w:val="006557EA"/>
    <w:rsid w:val="0065774E"/>
    <w:rsid w:val="00657B32"/>
    <w:rsid w:val="00661A6C"/>
    <w:rsid w:val="006647B3"/>
    <w:rsid w:val="00665612"/>
    <w:rsid w:val="00666F53"/>
    <w:rsid w:val="00667BD7"/>
    <w:rsid w:val="00670A13"/>
    <w:rsid w:val="00671B84"/>
    <w:rsid w:val="006749AB"/>
    <w:rsid w:val="00675B59"/>
    <w:rsid w:val="006769E3"/>
    <w:rsid w:val="00681388"/>
    <w:rsid w:val="00681EF4"/>
    <w:rsid w:val="00682557"/>
    <w:rsid w:val="0068286C"/>
    <w:rsid w:val="006839D7"/>
    <w:rsid w:val="00683E8B"/>
    <w:rsid w:val="0068405C"/>
    <w:rsid w:val="00684D8A"/>
    <w:rsid w:val="00685A53"/>
    <w:rsid w:val="00685B74"/>
    <w:rsid w:val="00686EAE"/>
    <w:rsid w:val="0068749B"/>
    <w:rsid w:val="0068789A"/>
    <w:rsid w:val="00687D2B"/>
    <w:rsid w:val="00690D23"/>
    <w:rsid w:val="006922FD"/>
    <w:rsid w:val="00694F2E"/>
    <w:rsid w:val="00696E41"/>
    <w:rsid w:val="00696E47"/>
    <w:rsid w:val="006A0B94"/>
    <w:rsid w:val="006A201F"/>
    <w:rsid w:val="006A3022"/>
    <w:rsid w:val="006A348B"/>
    <w:rsid w:val="006A3C0E"/>
    <w:rsid w:val="006A75E9"/>
    <w:rsid w:val="006B0C1F"/>
    <w:rsid w:val="006B190F"/>
    <w:rsid w:val="006B205F"/>
    <w:rsid w:val="006B4F15"/>
    <w:rsid w:val="006C0835"/>
    <w:rsid w:val="006C09CD"/>
    <w:rsid w:val="006C150D"/>
    <w:rsid w:val="006C29E6"/>
    <w:rsid w:val="006C302E"/>
    <w:rsid w:val="006C32DF"/>
    <w:rsid w:val="006C4911"/>
    <w:rsid w:val="006C66D8"/>
    <w:rsid w:val="006D432D"/>
    <w:rsid w:val="006E18BE"/>
    <w:rsid w:val="006E23A7"/>
    <w:rsid w:val="006E258B"/>
    <w:rsid w:val="006E4235"/>
    <w:rsid w:val="006E594B"/>
    <w:rsid w:val="006E63AB"/>
    <w:rsid w:val="006E646D"/>
    <w:rsid w:val="006E6A3B"/>
    <w:rsid w:val="006E77F9"/>
    <w:rsid w:val="006F0C77"/>
    <w:rsid w:val="006F11DE"/>
    <w:rsid w:val="006F12E0"/>
    <w:rsid w:val="006F1D42"/>
    <w:rsid w:val="006F2167"/>
    <w:rsid w:val="006F228B"/>
    <w:rsid w:val="006F4235"/>
    <w:rsid w:val="006F70AD"/>
    <w:rsid w:val="00700358"/>
    <w:rsid w:val="007016E4"/>
    <w:rsid w:val="00701DC4"/>
    <w:rsid w:val="00703986"/>
    <w:rsid w:val="007058ED"/>
    <w:rsid w:val="00705D5F"/>
    <w:rsid w:val="007062C3"/>
    <w:rsid w:val="00706928"/>
    <w:rsid w:val="007073A1"/>
    <w:rsid w:val="00711405"/>
    <w:rsid w:val="007118FC"/>
    <w:rsid w:val="00715F47"/>
    <w:rsid w:val="00715F92"/>
    <w:rsid w:val="00716E8C"/>
    <w:rsid w:val="007172A8"/>
    <w:rsid w:val="00717E8F"/>
    <w:rsid w:val="007206ED"/>
    <w:rsid w:val="00721086"/>
    <w:rsid w:val="007227E7"/>
    <w:rsid w:val="00723D28"/>
    <w:rsid w:val="0072546F"/>
    <w:rsid w:val="00730E00"/>
    <w:rsid w:val="00732774"/>
    <w:rsid w:val="00733526"/>
    <w:rsid w:val="00734872"/>
    <w:rsid w:val="00734A81"/>
    <w:rsid w:val="0073750F"/>
    <w:rsid w:val="00740CEE"/>
    <w:rsid w:val="00741B02"/>
    <w:rsid w:val="00742563"/>
    <w:rsid w:val="00743778"/>
    <w:rsid w:val="00743AEC"/>
    <w:rsid w:val="0074476B"/>
    <w:rsid w:val="007451BF"/>
    <w:rsid w:val="00745653"/>
    <w:rsid w:val="00745BAB"/>
    <w:rsid w:val="007512F1"/>
    <w:rsid w:val="00751441"/>
    <w:rsid w:val="007522C5"/>
    <w:rsid w:val="007528A2"/>
    <w:rsid w:val="00753C0B"/>
    <w:rsid w:val="00755AEF"/>
    <w:rsid w:val="00756210"/>
    <w:rsid w:val="0075641C"/>
    <w:rsid w:val="00756C52"/>
    <w:rsid w:val="00757AC7"/>
    <w:rsid w:val="00757B5D"/>
    <w:rsid w:val="00762142"/>
    <w:rsid w:val="007624C4"/>
    <w:rsid w:val="007628F6"/>
    <w:rsid w:val="00762C0F"/>
    <w:rsid w:val="00764012"/>
    <w:rsid w:val="007654B9"/>
    <w:rsid w:val="007664B7"/>
    <w:rsid w:val="0076687A"/>
    <w:rsid w:val="00766B6D"/>
    <w:rsid w:val="007672EE"/>
    <w:rsid w:val="00767790"/>
    <w:rsid w:val="00771ED4"/>
    <w:rsid w:val="00772898"/>
    <w:rsid w:val="00772AF2"/>
    <w:rsid w:val="00773F98"/>
    <w:rsid w:val="007757BB"/>
    <w:rsid w:val="0077665F"/>
    <w:rsid w:val="00780523"/>
    <w:rsid w:val="00781BD9"/>
    <w:rsid w:val="00783627"/>
    <w:rsid w:val="0078400F"/>
    <w:rsid w:val="007843C0"/>
    <w:rsid w:val="0078464D"/>
    <w:rsid w:val="0078464E"/>
    <w:rsid w:val="007864D1"/>
    <w:rsid w:val="007875DA"/>
    <w:rsid w:val="007875EC"/>
    <w:rsid w:val="007877F8"/>
    <w:rsid w:val="007925E1"/>
    <w:rsid w:val="00793BC9"/>
    <w:rsid w:val="00794169"/>
    <w:rsid w:val="00797E7E"/>
    <w:rsid w:val="007A0A79"/>
    <w:rsid w:val="007A12BB"/>
    <w:rsid w:val="007A3B66"/>
    <w:rsid w:val="007A57B7"/>
    <w:rsid w:val="007B0633"/>
    <w:rsid w:val="007B2266"/>
    <w:rsid w:val="007B2452"/>
    <w:rsid w:val="007B288B"/>
    <w:rsid w:val="007B5B91"/>
    <w:rsid w:val="007C041B"/>
    <w:rsid w:val="007C3ADD"/>
    <w:rsid w:val="007C3AF1"/>
    <w:rsid w:val="007C6DCE"/>
    <w:rsid w:val="007C74BC"/>
    <w:rsid w:val="007C7C08"/>
    <w:rsid w:val="007D0496"/>
    <w:rsid w:val="007D12E6"/>
    <w:rsid w:val="007D4B4D"/>
    <w:rsid w:val="007D4C66"/>
    <w:rsid w:val="007D5756"/>
    <w:rsid w:val="007D6E5E"/>
    <w:rsid w:val="007D7958"/>
    <w:rsid w:val="007D7A75"/>
    <w:rsid w:val="007E0246"/>
    <w:rsid w:val="007E034E"/>
    <w:rsid w:val="007E0DDD"/>
    <w:rsid w:val="007E0EB3"/>
    <w:rsid w:val="007E1D80"/>
    <w:rsid w:val="007E29B2"/>
    <w:rsid w:val="007E2E1B"/>
    <w:rsid w:val="007E3288"/>
    <w:rsid w:val="007E383D"/>
    <w:rsid w:val="007E658A"/>
    <w:rsid w:val="007F25BC"/>
    <w:rsid w:val="007F2DDB"/>
    <w:rsid w:val="007F6289"/>
    <w:rsid w:val="007F643F"/>
    <w:rsid w:val="007F6A8F"/>
    <w:rsid w:val="00801151"/>
    <w:rsid w:val="008020F7"/>
    <w:rsid w:val="0080480D"/>
    <w:rsid w:val="00807278"/>
    <w:rsid w:val="00811635"/>
    <w:rsid w:val="0081201F"/>
    <w:rsid w:val="00813655"/>
    <w:rsid w:val="00814B31"/>
    <w:rsid w:val="00814DA8"/>
    <w:rsid w:val="00815577"/>
    <w:rsid w:val="00815D2F"/>
    <w:rsid w:val="00817EB9"/>
    <w:rsid w:val="00820CA0"/>
    <w:rsid w:val="008217AC"/>
    <w:rsid w:val="00822A54"/>
    <w:rsid w:val="00823499"/>
    <w:rsid w:val="00824D9C"/>
    <w:rsid w:val="0082527E"/>
    <w:rsid w:val="00825FF6"/>
    <w:rsid w:val="008264CA"/>
    <w:rsid w:val="00826941"/>
    <w:rsid w:val="0083078C"/>
    <w:rsid w:val="00831814"/>
    <w:rsid w:val="008325F5"/>
    <w:rsid w:val="00833080"/>
    <w:rsid w:val="00833A75"/>
    <w:rsid w:val="00834A71"/>
    <w:rsid w:val="00835703"/>
    <w:rsid w:val="0083578A"/>
    <w:rsid w:val="00840A78"/>
    <w:rsid w:val="00845008"/>
    <w:rsid w:val="00846C06"/>
    <w:rsid w:val="0084713B"/>
    <w:rsid w:val="00850849"/>
    <w:rsid w:val="00851CC1"/>
    <w:rsid w:val="008550D2"/>
    <w:rsid w:val="00855270"/>
    <w:rsid w:val="0085534F"/>
    <w:rsid w:val="00856D22"/>
    <w:rsid w:val="00860428"/>
    <w:rsid w:val="00861A32"/>
    <w:rsid w:val="00861D5A"/>
    <w:rsid w:val="00862D19"/>
    <w:rsid w:val="008631E1"/>
    <w:rsid w:val="00864BC2"/>
    <w:rsid w:val="00864F50"/>
    <w:rsid w:val="008655D7"/>
    <w:rsid w:val="00865842"/>
    <w:rsid w:val="00867758"/>
    <w:rsid w:val="00870D9F"/>
    <w:rsid w:val="0087291E"/>
    <w:rsid w:val="00875301"/>
    <w:rsid w:val="008754AF"/>
    <w:rsid w:val="00875CE1"/>
    <w:rsid w:val="00876200"/>
    <w:rsid w:val="00877771"/>
    <w:rsid w:val="00882638"/>
    <w:rsid w:val="0088370F"/>
    <w:rsid w:val="00883929"/>
    <w:rsid w:val="00883A5D"/>
    <w:rsid w:val="008844C6"/>
    <w:rsid w:val="00887F00"/>
    <w:rsid w:val="0089149D"/>
    <w:rsid w:val="00892176"/>
    <w:rsid w:val="0089370B"/>
    <w:rsid w:val="00893D6A"/>
    <w:rsid w:val="008944D6"/>
    <w:rsid w:val="008977C2"/>
    <w:rsid w:val="008A0920"/>
    <w:rsid w:val="008A2507"/>
    <w:rsid w:val="008A4E1B"/>
    <w:rsid w:val="008A7784"/>
    <w:rsid w:val="008B0342"/>
    <w:rsid w:val="008B088A"/>
    <w:rsid w:val="008B0C19"/>
    <w:rsid w:val="008B17D6"/>
    <w:rsid w:val="008B280D"/>
    <w:rsid w:val="008B2BA0"/>
    <w:rsid w:val="008B395F"/>
    <w:rsid w:val="008B5A6A"/>
    <w:rsid w:val="008C13CA"/>
    <w:rsid w:val="008C1441"/>
    <w:rsid w:val="008C15D7"/>
    <w:rsid w:val="008C213F"/>
    <w:rsid w:val="008C2F0E"/>
    <w:rsid w:val="008C3829"/>
    <w:rsid w:val="008C38B2"/>
    <w:rsid w:val="008C4707"/>
    <w:rsid w:val="008C4F4B"/>
    <w:rsid w:val="008C5FC0"/>
    <w:rsid w:val="008C7F9B"/>
    <w:rsid w:val="008D01EA"/>
    <w:rsid w:val="008D13A2"/>
    <w:rsid w:val="008D17E0"/>
    <w:rsid w:val="008D19E1"/>
    <w:rsid w:val="008D4894"/>
    <w:rsid w:val="008D4EF0"/>
    <w:rsid w:val="008E06F5"/>
    <w:rsid w:val="008E13AB"/>
    <w:rsid w:val="008E2A56"/>
    <w:rsid w:val="008E308F"/>
    <w:rsid w:val="008E4270"/>
    <w:rsid w:val="008E4538"/>
    <w:rsid w:val="008E6DF3"/>
    <w:rsid w:val="008E6FBE"/>
    <w:rsid w:val="008E7556"/>
    <w:rsid w:val="008F1487"/>
    <w:rsid w:val="008F1B8F"/>
    <w:rsid w:val="008F3ED3"/>
    <w:rsid w:val="008F42D0"/>
    <w:rsid w:val="008F53CA"/>
    <w:rsid w:val="008F648B"/>
    <w:rsid w:val="008F6A4A"/>
    <w:rsid w:val="008F731D"/>
    <w:rsid w:val="00900AF9"/>
    <w:rsid w:val="00901868"/>
    <w:rsid w:val="00903279"/>
    <w:rsid w:val="00904227"/>
    <w:rsid w:val="00911858"/>
    <w:rsid w:val="0091193D"/>
    <w:rsid w:val="00911CC0"/>
    <w:rsid w:val="009135FC"/>
    <w:rsid w:val="009156B3"/>
    <w:rsid w:val="00915A9D"/>
    <w:rsid w:val="009172DD"/>
    <w:rsid w:val="0092127B"/>
    <w:rsid w:val="00921BF0"/>
    <w:rsid w:val="00923C47"/>
    <w:rsid w:val="0092428B"/>
    <w:rsid w:val="00925B9B"/>
    <w:rsid w:val="00926076"/>
    <w:rsid w:val="00926DFF"/>
    <w:rsid w:val="009301CA"/>
    <w:rsid w:val="00930B6B"/>
    <w:rsid w:val="00930E63"/>
    <w:rsid w:val="00931107"/>
    <w:rsid w:val="00934B3C"/>
    <w:rsid w:val="00935A00"/>
    <w:rsid w:val="009366C1"/>
    <w:rsid w:val="0093718F"/>
    <w:rsid w:val="00941212"/>
    <w:rsid w:val="009412CA"/>
    <w:rsid w:val="00942350"/>
    <w:rsid w:val="00943E76"/>
    <w:rsid w:val="009455D0"/>
    <w:rsid w:val="009503FB"/>
    <w:rsid w:val="00950CD2"/>
    <w:rsid w:val="00952C4A"/>
    <w:rsid w:val="00955CBC"/>
    <w:rsid w:val="00956619"/>
    <w:rsid w:val="0095705D"/>
    <w:rsid w:val="0096079F"/>
    <w:rsid w:val="009612C6"/>
    <w:rsid w:val="00961C45"/>
    <w:rsid w:val="00961F74"/>
    <w:rsid w:val="00964223"/>
    <w:rsid w:val="0096644A"/>
    <w:rsid w:val="00970671"/>
    <w:rsid w:val="00975398"/>
    <w:rsid w:val="009775A6"/>
    <w:rsid w:val="0097762C"/>
    <w:rsid w:val="00982CAC"/>
    <w:rsid w:val="0098317A"/>
    <w:rsid w:val="00984948"/>
    <w:rsid w:val="009904B1"/>
    <w:rsid w:val="00990BA7"/>
    <w:rsid w:val="00992002"/>
    <w:rsid w:val="0099357A"/>
    <w:rsid w:val="00993B63"/>
    <w:rsid w:val="00993E36"/>
    <w:rsid w:val="00994767"/>
    <w:rsid w:val="00994CB7"/>
    <w:rsid w:val="00997F02"/>
    <w:rsid w:val="009A2B81"/>
    <w:rsid w:val="009A6887"/>
    <w:rsid w:val="009B0F23"/>
    <w:rsid w:val="009B40D8"/>
    <w:rsid w:val="009B42EB"/>
    <w:rsid w:val="009B4419"/>
    <w:rsid w:val="009B6DB8"/>
    <w:rsid w:val="009B74AE"/>
    <w:rsid w:val="009B7950"/>
    <w:rsid w:val="009C346F"/>
    <w:rsid w:val="009C4BE9"/>
    <w:rsid w:val="009C56E0"/>
    <w:rsid w:val="009C64B1"/>
    <w:rsid w:val="009D018A"/>
    <w:rsid w:val="009D1C91"/>
    <w:rsid w:val="009D1F39"/>
    <w:rsid w:val="009D2F16"/>
    <w:rsid w:val="009D34AD"/>
    <w:rsid w:val="009D3DA2"/>
    <w:rsid w:val="009D4EBC"/>
    <w:rsid w:val="009D620A"/>
    <w:rsid w:val="009D6D42"/>
    <w:rsid w:val="009E1571"/>
    <w:rsid w:val="009E17E1"/>
    <w:rsid w:val="009E38AA"/>
    <w:rsid w:val="009E3B1D"/>
    <w:rsid w:val="009E589B"/>
    <w:rsid w:val="009E5C7A"/>
    <w:rsid w:val="009E61A5"/>
    <w:rsid w:val="009E7C82"/>
    <w:rsid w:val="009F03F1"/>
    <w:rsid w:val="009F2668"/>
    <w:rsid w:val="009F3696"/>
    <w:rsid w:val="009F5329"/>
    <w:rsid w:val="009F5768"/>
    <w:rsid w:val="009F60A8"/>
    <w:rsid w:val="009F67D8"/>
    <w:rsid w:val="009F7A04"/>
    <w:rsid w:val="00A01A4A"/>
    <w:rsid w:val="00A01D86"/>
    <w:rsid w:val="00A02655"/>
    <w:rsid w:val="00A027D0"/>
    <w:rsid w:val="00A048CE"/>
    <w:rsid w:val="00A0509D"/>
    <w:rsid w:val="00A13AE4"/>
    <w:rsid w:val="00A14E99"/>
    <w:rsid w:val="00A14ECF"/>
    <w:rsid w:val="00A15ABD"/>
    <w:rsid w:val="00A175F3"/>
    <w:rsid w:val="00A1763C"/>
    <w:rsid w:val="00A17995"/>
    <w:rsid w:val="00A20BCF"/>
    <w:rsid w:val="00A22517"/>
    <w:rsid w:val="00A229A1"/>
    <w:rsid w:val="00A23327"/>
    <w:rsid w:val="00A247E4"/>
    <w:rsid w:val="00A24F70"/>
    <w:rsid w:val="00A264DE"/>
    <w:rsid w:val="00A27926"/>
    <w:rsid w:val="00A308D2"/>
    <w:rsid w:val="00A3152A"/>
    <w:rsid w:val="00A31E3D"/>
    <w:rsid w:val="00A329D5"/>
    <w:rsid w:val="00A32E3E"/>
    <w:rsid w:val="00A33AD0"/>
    <w:rsid w:val="00A34BCB"/>
    <w:rsid w:val="00A350DC"/>
    <w:rsid w:val="00A351ED"/>
    <w:rsid w:val="00A35306"/>
    <w:rsid w:val="00A35619"/>
    <w:rsid w:val="00A365BD"/>
    <w:rsid w:val="00A36A14"/>
    <w:rsid w:val="00A375EE"/>
    <w:rsid w:val="00A4093F"/>
    <w:rsid w:val="00A42211"/>
    <w:rsid w:val="00A44493"/>
    <w:rsid w:val="00A4532E"/>
    <w:rsid w:val="00A4556A"/>
    <w:rsid w:val="00A50D4E"/>
    <w:rsid w:val="00A50D65"/>
    <w:rsid w:val="00A51076"/>
    <w:rsid w:val="00A510BF"/>
    <w:rsid w:val="00A51AF1"/>
    <w:rsid w:val="00A51F13"/>
    <w:rsid w:val="00A52EF2"/>
    <w:rsid w:val="00A549A0"/>
    <w:rsid w:val="00A54F75"/>
    <w:rsid w:val="00A55433"/>
    <w:rsid w:val="00A602C5"/>
    <w:rsid w:val="00A60E5C"/>
    <w:rsid w:val="00A641D9"/>
    <w:rsid w:val="00A651B8"/>
    <w:rsid w:val="00A65D73"/>
    <w:rsid w:val="00A66975"/>
    <w:rsid w:val="00A66AE5"/>
    <w:rsid w:val="00A75F08"/>
    <w:rsid w:val="00A76186"/>
    <w:rsid w:val="00A81AE4"/>
    <w:rsid w:val="00A8242B"/>
    <w:rsid w:val="00A835F7"/>
    <w:rsid w:val="00A84800"/>
    <w:rsid w:val="00A86030"/>
    <w:rsid w:val="00A86594"/>
    <w:rsid w:val="00A8786C"/>
    <w:rsid w:val="00A91C37"/>
    <w:rsid w:val="00A922CF"/>
    <w:rsid w:val="00A92D43"/>
    <w:rsid w:val="00A931D8"/>
    <w:rsid w:val="00A9358F"/>
    <w:rsid w:val="00A949A6"/>
    <w:rsid w:val="00A94F1F"/>
    <w:rsid w:val="00A953E7"/>
    <w:rsid w:val="00A955A4"/>
    <w:rsid w:val="00A972F9"/>
    <w:rsid w:val="00AA0451"/>
    <w:rsid w:val="00AA2408"/>
    <w:rsid w:val="00AA29A8"/>
    <w:rsid w:val="00AA3781"/>
    <w:rsid w:val="00AA3C24"/>
    <w:rsid w:val="00AA6128"/>
    <w:rsid w:val="00AA6904"/>
    <w:rsid w:val="00AA7310"/>
    <w:rsid w:val="00AB038B"/>
    <w:rsid w:val="00AB2434"/>
    <w:rsid w:val="00AB2908"/>
    <w:rsid w:val="00AB290E"/>
    <w:rsid w:val="00AB2DAB"/>
    <w:rsid w:val="00AB4670"/>
    <w:rsid w:val="00AB4B0C"/>
    <w:rsid w:val="00AB4E30"/>
    <w:rsid w:val="00AB6382"/>
    <w:rsid w:val="00AB6D8B"/>
    <w:rsid w:val="00AB7337"/>
    <w:rsid w:val="00AC03FD"/>
    <w:rsid w:val="00AC070E"/>
    <w:rsid w:val="00AC1215"/>
    <w:rsid w:val="00AC4ADC"/>
    <w:rsid w:val="00AC4E57"/>
    <w:rsid w:val="00AC63B4"/>
    <w:rsid w:val="00AC72B7"/>
    <w:rsid w:val="00AD0939"/>
    <w:rsid w:val="00AD0A61"/>
    <w:rsid w:val="00AD20E3"/>
    <w:rsid w:val="00AD4833"/>
    <w:rsid w:val="00AD594D"/>
    <w:rsid w:val="00AD7BAB"/>
    <w:rsid w:val="00AE2200"/>
    <w:rsid w:val="00AE3ABC"/>
    <w:rsid w:val="00AE41E0"/>
    <w:rsid w:val="00AE437B"/>
    <w:rsid w:val="00AE6F5D"/>
    <w:rsid w:val="00AF0BA5"/>
    <w:rsid w:val="00AF2814"/>
    <w:rsid w:val="00AF3662"/>
    <w:rsid w:val="00AF3E02"/>
    <w:rsid w:val="00AF4061"/>
    <w:rsid w:val="00AF54B8"/>
    <w:rsid w:val="00AF6447"/>
    <w:rsid w:val="00AF76E1"/>
    <w:rsid w:val="00B01DD3"/>
    <w:rsid w:val="00B04577"/>
    <w:rsid w:val="00B04D93"/>
    <w:rsid w:val="00B14BA5"/>
    <w:rsid w:val="00B15A67"/>
    <w:rsid w:val="00B1718E"/>
    <w:rsid w:val="00B17E61"/>
    <w:rsid w:val="00B200C3"/>
    <w:rsid w:val="00B21A6E"/>
    <w:rsid w:val="00B236F5"/>
    <w:rsid w:val="00B239DD"/>
    <w:rsid w:val="00B24F04"/>
    <w:rsid w:val="00B257CC"/>
    <w:rsid w:val="00B258A8"/>
    <w:rsid w:val="00B25955"/>
    <w:rsid w:val="00B25C73"/>
    <w:rsid w:val="00B25F49"/>
    <w:rsid w:val="00B27792"/>
    <w:rsid w:val="00B31FDB"/>
    <w:rsid w:val="00B331FD"/>
    <w:rsid w:val="00B357B6"/>
    <w:rsid w:val="00B3606C"/>
    <w:rsid w:val="00B36429"/>
    <w:rsid w:val="00B37518"/>
    <w:rsid w:val="00B376B3"/>
    <w:rsid w:val="00B404F6"/>
    <w:rsid w:val="00B409CE"/>
    <w:rsid w:val="00B41AF3"/>
    <w:rsid w:val="00B41B0D"/>
    <w:rsid w:val="00B505FB"/>
    <w:rsid w:val="00B50FD0"/>
    <w:rsid w:val="00B517FC"/>
    <w:rsid w:val="00B52D7B"/>
    <w:rsid w:val="00B53312"/>
    <w:rsid w:val="00B539C5"/>
    <w:rsid w:val="00B54421"/>
    <w:rsid w:val="00B54CD4"/>
    <w:rsid w:val="00B55370"/>
    <w:rsid w:val="00B55942"/>
    <w:rsid w:val="00B56834"/>
    <w:rsid w:val="00B56A59"/>
    <w:rsid w:val="00B56BE8"/>
    <w:rsid w:val="00B56E48"/>
    <w:rsid w:val="00B57788"/>
    <w:rsid w:val="00B6158A"/>
    <w:rsid w:val="00B63F86"/>
    <w:rsid w:val="00B64299"/>
    <w:rsid w:val="00B64595"/>
    <w:rsid w:val="00B64EC1"/>
    <w:rsid w:val="00B6683C"/>
    <w:rsid w:val="00B71518"/>
    <w:rsid w:val="00B71EB5"/>
    <w:rsid w:val="00B7245D"/>
    <w:rsid w:val="00B76612"/>
    <w:rsid w:val="00B77FF7"/>
    <w:rsid w:val="00B80E7E"/>
    <w:rsid w:val="00B82957"/>
    <w:rsid w:val="00B83139"/>
    <w:rsid w:val="00B838DD"/>
    <w:rsid w:val="00B83D25"/>
    <w:rsid w:val="00B83E71"/>
    <w:rsid w:val="00B84494"/>
    <w:rsid w:val="00B84C3B"/>
    <w:rsid w:val="00B8535D"/>
    <w:rsid w:val="00B86C25"/>
    <w:rsid w:val="00B875BA"/>
    <w:rsid w:val="00B87AD6"/>
    <w:rsid w:val="00B930D3"/>
    <w:rsid w:val="00B93165"/>
    <w:rsid w:val="00B94A34"/>
    <w:rsid w:val="00BA1BC0"/>
    <w:rsid w:val="00BA303C"/>
    <w:rsid w:val="00BA415A"/>
    <w:rsid w:val="00BA461D"/>
    <w:rsid w:val="00BA48EF"/>
    <w:rsid w:val="00BA4A72"/>
    <w:rsid w:val="00BA51CE"/>
    <w:rsid w:val="00BA7914"/>
    <w:rsid w:val="00BB0E26"/>
    <w:rsid w:val="00BB14FE"/>
    <w:rsid w:val="00BB1613"/>
    <w:rsid w:val="00BB2864"/>
    <w:rsid w:val="00BB350B"/>
    <w:rsid w:val="00BB5E4F"/>
    <w:rsid w:val="00BB5EA5"/>
    <w:rsid w:val="00BB6659"/>
    <w:rsid w:val="00BB7D6F"/>
    <w:rsid w:val="00BC0F33"/>
    <w:rsid w:val="00BC17CE"/>
    <w:rsid w:val="00BC280A"/>
    <w:rsid w:val="00BC31FC"/>
    <w:rsid w:val="00BC34CD"/>
    <w:rsid w:val="00BC45BF"/>
    <w:rsid w:val="00BC47A2"/>
    <w:rsid w:val="00BC4C35"/>
    <w:rsid w:val="00BC70A5"/>
    <w:rsid w:val="00BC753D"/>
    <w:rsid w:val="00BC7DA3"/>
    <w:rsid w:val="00BD106F"/>
    <w:rsid w:val="00BD23BD"/>
    <w:rsid w:val="00BD2E0B"/>
    <w:rsid w:val="00BD334B"/>
    <w:rsid w:val="00BD38EF"/>
    <w:rsid w:val="00BD43ED"/>
    <w:rsid w:val="00BD4CB5"/>
    <w:rsid w:val="00BD4E2F"/>
    <w:rsid w:val="00BD53A0"/>
    <w:rsid w:val="00BD5450"/>
    <w:rsid w:val="00BD5EFA"/>
    <w:rsid w:val="00BD7A39"/>
    <w:rsid w:val="00BE25C8"/>
    <w:rsid w:val="00BF0A3E"/>
    <w:rsid w:val="00BF301F"/>
    <w:rsid w:val="00BF3154"/>
    <w:rsid w:val="00BF6AB7"/>
    <w:rsid w:val="00BF7059"/>
    <w:rsid w:val="00C00945"/>
    <w:rsid w:val="00C03221"/>
    <w:rsid w:val="00C05860"/>
    <w:rsid w:val="00C05BAF"/>
    <w:rsid w:val="00C067F7"/>
    <w:rsid w:val="00C07A5E"/>
    <w:rsid w:val="00C10C5D"/>
    <w:rsid w:val="00C1278F"/>
    <w:rsid w:val="00C1725B"/>
    <w:rsid w:val="00C210FB"/>
    <w:rsid w:val="00C22AEA"/>
    <w:rsid w:val="00C231ED"/>
    <w:rsid w:val="00C23B27"/>
    <w:rsid w:val="00C23B9C"/>
    <w:rsid w:val="00C2578E"/>
    <w:rsid w:val="00C2599C"/>
    <w:rsid w:val="00C26E4E"/>
    <w:rsid w:val="00C27438"/>
    <w:rsid w:val="00C275BE"/>
    <w:rsid w:val="00C276DD"/>
    <w:rsid w:val="00C32018"/>
    <w:rsid w:val="00C32FC4"/>
    <w:rsid w:val="00C33422"/>
    <w:rsid w:val="00C346A1"/>
    <w:rsid w:val="00C34D03"/>
    <w:rsid w:val="00C34DB2"/>
    <w:rsid w:val="00C35038"/>
    <w:rsid w:val="00C35296"/>
    <w:rsid w:val="00C352F8"/>
    <w:rsid w:val="00C373D7"/>
    <w:rsid w:val="00C375FF"/>
    <w:rsid w:val="00C37605"/>
    <w:rsid w:val="00C37892"/>
    <w:rsid w:val="00C4064B"/>
    <w:rsid w:val="00C40732"/>
    <w:rsid w:val="00C40EA2"/>
    <w:rsid w:val="00C41392"/>
    <w:rsid w:val="00C41C10"/>
    <w:rsid w:val="00C45985"/>
    <w:rsid w:val="00C4694B"/>
    <w:rsid w:val="00C46A8A"/>
    <w:rsid w:val="00C47375"/>
    <w:rsid w:val="00C4767B"/>
    <w:rsid w:val="00C51218"/>
    <w:rsid w:val="00C5211A"/>
    <w:rsid w:val="00C52EC9"/>
    <w:rsid w:val="00C556F2"/>
    <w:rsid w:val="00C55A3E"/>
    <w:rsid w:val="00C55F43"/>
    <w:rsid w:val="00C5676D"/>
    <w:rsid w:val="00C575E0"/>
    <w:rsid w:val="00C57E39"/>
    <w:rsid w:val="00C604C1"/>
    <w:rsid w:val="00C613EC"/>
    <w:rsid w:val="00C62B4C"/>
    <w:rsid w:val="00C62C4D"/>
    <w:rsid w:val="00C62E7C"/>
    <w:rsid w:val="00C65C84"/>
    <w:rsid w:val="00C67290"/>
    <w:rsid w:val="00C67D6F"/>
    <w:rsid w:val="00C67DE0"/>
    <w:rsid w:val="00C71729"/>
    <w:rsid w:val="00C7187E"/>
    <w:rsid w:val="00C71BB8"/>
    <w:rsid w:val="00C73E0A"/>
    <w:rsid w:val="00C73FDE"/>
    <w:rsid w:val="00C748E3"/>
    <w:rsid w:val="00C74DBD"/>
    <w:rsid w:val="00C75037"/>
    <w:rsid w:val="00C77EA5"/>
    <w:rsid w:val="00C80E6D"/>
    <w:rsid w:val="00C80F66"/>
    <w:rsid w:val="00C81894"/>
    <w:rsid w:val="00C82AB1"/>
    <w:rsid w:val="00C83041"/>
    <w:rsid w:val="00C849F9"/>
    <w:rsid w:val="00C876E9"/>
    <w:rsid w:val="00C90BE1"/>
    <w:rsid w:val="00C914FD"/>
    <w:rsid w:val="00C91AB1"/>
    <w:rsid w:val="00C91ACA"/>
    <w:rsid w:val="00C92136"/>
    <w:rsid w:val="00C92232"/>
    <w:rsid w:val="00C92EE8"/>
    <w:rsid w:val="00C933C9"/>
    <w:rsid w:val="00C933CB"/>
    <w:rsid w:val="00C93A52"/>
    <w:rsid w:val="00C94EC4"/>
    <w:rsid w:val="00C9565E"/>
    <w:rsid w:val="00C97FFB"/>
    <w:rsid w:val="00CA1CFB"/>
    <w:rsid w:val="00CA214D"/>
    <w:rsid w:val="00CA4B1E"/>
    <w:rsid w:val="00CA5459"/>
    <w:rsid w:val="00CA5D28"/>
    <w:rsid w:val="00CA7F50"/>
    <w:rsid w:val="00CB1BEB"/>
    <w:rsid w:val="00CB2482"/>
    <w:rsid w:val="00CB2B0A"/>
    <w:rsid w:val="00CB3561"/>
    <w:rsid w:val="00CB37DB"/>
    <w:rsid w:val="00CB48BC"/>
    <w:rsid w:val="00CB4E3B"/>
    <w:rsid w:val="00CB6B49"/>
    <w:rsid w:val="00CC20F8"/>
    <w:rsid w:val="00CC2832"/>
    <w:rsid w:val="00CC3A2B"/>
    <w:rsid w:val="00CC426D"/>
    <w:rsid w:val="00CC65C0"/>
    <w:rsid w:val="00CC6B50"/>
    <w:rsid w:val="00CD0A97"/>
    <w:rsid w:val="00CD5739"/>
    <w:rsid w:val="00CD5AAA"/>
    <w:rsid w:val="00CD6322"/>
    <w:rsid w:val="00CD6E9A"/>
    <w:rsid w:val="00CD7E03"/>
    <w:rsid w:val="00CE1022"/>
    <w:rsid w:val="00CE42F2"/>
    <w:rsid w:val="00CE6171"/>
    <w:rsid w:val="00CE647E"/>
    <w:rsid w:val="00CE6D3D"/>
    <w:rsid w:val="00CE76CC"/>
    <w:rsid w:val="00CF4079"/>
    <w:rsid w:val="00CF4560"/>
    <w:rsid w:val="00CF5B8F"/>
    <w:rsid w:val="00D00416"/>
    <w:rsid w:val="00D007B4"/>
    <w:rsid w:val="00D02F50"/>
    <w:rsid w:val="00D05778"/>
    <w:rsid w:val="00D05D57"/>
    <w:rsid w:val="00D06A58"/>
    <w:rsid w:val="00D06EB2"/>
    <w:rsid w:val="00D100A6"/>
    <w:rsid w:val="00D11C74"/>
    <w:rsid w:val="00D139F3"/>
    <w:rsid w:val="00D14C41"/>
    <w:rsid w:val="00D14C5C"/>
    <w:rsid w:val="00D17214"/>
    <w:rsid w:val="00D22A74"/>
    <w:rsid w:val="00D233FD"/>
    <w:rsid w:val="00D240CE"/>
    <w:rsid w:val="00D24CFA"/>
    <w:rsid w:val="00D24EFE"/>
    <w:rsid w:val="00D3199D"/>
    <w:rsid w:val="00D31D69"/>
    <w:rsid w:val="00D328DB"/>
    <w:rsid w:val="00D32E37"/>
    <w:rsid w:val="00D337CB"/>
    <w:rsid w:val="00D35C16"/>
    <w:rsid w:val="00D36976"/>
    <w:rsid w:val="00D37F4F"/>
    <w:rsid w:val="00D420B1"/>
    <w:rsid w:val="00D42500"/>
    <w:rsid w:val="00D42AB4"/>
    <w:rsid w:val="00D44784"/>
    <w:rsid w:val="00D46D53"/>
    <w:rsid w:val="00D475C5"/>
    <w:rsid w:val="00D52C68"/>
    <w:rsid w:val="00D52E53"/>
    <w:rsid w:val="00D54169"/>
    <w:rsid w:val="00D576EA"/>
    <w:rsid w:val="00D57ABD"/>
    <w:rsid w:val="00D60366"/>
    <w:rsid w:val="00D62213"/>
    <w:rsid w:val="00D6381D"/>
    <w:rsid w:val="00D67982"/>
    <w:rsid w:val="00D71173"/>
    <w:rsid w:val="00D71E92"/>
    <w:rsid w:val="00D72780"/>
    <w:rsid w:val="00D75B55"/>
    <w:rsid w:val="00D770BE"/>
    <w:rsid w:val="00D8008F"/>
    <w:rsid w:val="00D801A9"/>
    <w:rsid w:val="00D80C27"/>
    <w:rsid w:val="00D81B07"/>
    <w:rsid w:val="00D82336"/>
    <w:rsid w:val="00D832BF"/>
    <w:rsid w:val="00D84C20"/>
    <w:rsid w:val="00D84DC2"/>
    <w:rsid w:val="00D85A0A"/>
    <w:rsid w:val="00D85AAF"/>
    <w:rsid w:val="00D85B23"/>
    <w:rsid w:val="00D87E40"/>
    <w:rsid w:val="00D90027"/>
    <w:rsid w:val="00D9033E"/>
    <w:rsid w:val="00D924EA"/>
    <w:rsid w:val="00D929F1"/>
    <w:rsid w:val="00D939E7"/>
    <w:rsid w:val="00D93C37"/>
    <w:rsid w:val="00D93F55"/>
    <w:rsid w:val="00D954D7"/>
    <w:rsid w:val="00D957FD"/>
    <w:rsid w:val="00D97540"/>
    <w:rsid w:val="00DA0892"/>
    <w:rsid w:val="00DA1D23"/>
    <w:rsid w:val="00DA3213"/>
    <w:rsid w:val="00DA4E0C"/>
    <w:rsid w:val="00DA5917"/>
    <w:rsid w:val="00DA7A34"/>
    <w:rsid w:val="00DB05E5"/>
    <w:rsid w:val="00DB084B"/>
    <w:rsid w:val="00DB1256"/>
    <w:rsid w:val="00DB1396"/>
    <w:rsid w:val="00DB1FE7"/>
    <w:rsid w:val="00DB4BDE"/>
    <w:rsid w:val="00DB4DC9"/>
    <w:rsid w:val="00DB5EE7"/>
    <w:rsid w:val="00DB621E"/>
    <w:rsid w:val="00DB6399"/>
    <w:rsid w:val="00DB75A5"/>
    <w:rsid w:val="00DB7CB2"/>
    <w:rsid w:val="00DC02D8"/>
    <w:rsid w:val="00DC2996"/>
    <w:rsid w:val="00DC4925"/>
    <w:rsid w:val="00DC4B07"/>
    <w:rsid w:val="00DC5526"/>
    <w:rsid w:val="00DC63BE"/>
    <w:rsid w:val="00DC748A"/>
    <w:rsid w:val="00DC7B29"/>
    <w:rsid w:val="00DD073D"/>
    <w:rsid w:val="00DD1831"/>
    <w:rsid w:val="00DD2162"/>
    <w:rsid w:val="00DD2CEB"/>
    <w:rsid w:val="00DD435F"/>
    <w:rsid w:val="00DE0256"/>
    <w:rsid w:val="00DE1DC3"/>
    <w:rsid w:val="00DE25BD"/>
    <w:rsid w:val="00DE27C9"/>
    <w:rsid w:val="00DE2EB5"/>
    <w:rsid w:val="00DE4074"/>
    <w:rsid w:val="00DF0219"/>
    <w:rsid w:val="00DF14D1"/>
    <w:rsid w:val="00DF1F68"/>
    <w:rsid w:val="00DF2747"/>
    <w:rsid w:val="00DF2E1E"/>
    <w:rsid w:val="00DF5442"/>
    <w:rsid w:val="00DF5B2F"/>
    <w:rsid w:val="00DF5FA2"/>
    <w:rsid w:val="00DF6315"/>
    <w:rsid w:val="00DF64C9"/>
    <w:rsid w:val="00DF7EF8"/>
    <w:rsid w:val="00E0226B"/>
    <w:rsid w:val="00E02A80"/>
    <w:rsid w:val="00E03ED1"/>
    <w:rsid w:val="00E04B51"/>
    <w:rsid w:val="00E04E15"/>
    <w:rsid w:val="00E05690"/>
    <w:rsid w:val="00E07B28"/>
    <w:rsid w:val="00E12750"/>
    <w:rsid w:val="00E20DE6"/>
    <w:rsid w:val="00E21184"/>
    <w:rsid w:val="00E220AB"/>
    <w:rsid w:val="00E232F5"/>
    <w:rsid w:val="00E23655"/>
    <w:rsid w:val="00E25D34"/>
    <w:rsid w:val="00E25F39"/>
    <w:rsid w:val="00E26BE6"/>
    <w:rsid w:val="00E30090"/>
    <w:rsid w:val="00E3156C"/>
    <w:rsid w:val="00E315F0"/>
    <w:rsid w:val="00E328E0"/>
    <w:rsid w:val="00E33840"/>
    <w:rsid w:val="00E3438D"/>
    <w:rsid w:val="00E35DDC"/>
    <w:rsid w:val="00E4329D"/>
    <w:rsid w:val="00E4575E"/>
    <w:rsid w:val="00E45942"/>
    <w:rsid w:val="00E4677E"/>
    <w:rsid w:val="00E469E5"/>
    <w:rsid w:val="00E500B1"/>
    <w:rsid w:val="00E52A2E"/>
    <w:rsid w:val="00E53330"/>
    <w:rsid w:val="00E5363E"/>
    <w:rsid w:val="00E53DBC"/>
    <w:rsid w:val="00E555CF"/>
    <w:rsid w:val="00E55DC9"/>
    <w:rsid w:val="00E614D8"/>
    <w:rsid w:val="00E627F0"/>
    <w:rsid w:val="00E62EE6"/>
    <w:rsid w:val="00E65801"/>
    <w:rsid w:val="00E66215"/>
    <w:rsid w:val="00E66735"/>
    <w:rsid w:val="00E67A79"/>
    <w:rsid w:val="00E67C89"/>
    <w:rsid w:val="00E7016E"/>
    <w:rsid w:val="00E70554"/>
    <w:rsid w:val="00E70B1D"/>
    <w:rsid w:val="00E77581"/>
    <w:rsid w:val="00E8043B"/>
    <w:rsid w:val="00E8193C"/>
    <w:rsid w:val="00E82500"/>
    <w:rsid w:val="00E835A8"/>
    <w:rsid w:val="00E84434"/>
    <w:rsid w:val="00E855B0"/>
    <w:rsid w:val="00E868AD"/>
    <w:rsid w:val="00E86A56"/>
    <w:rsid w:val="00E86AD0"/>
    <w:rsid w:val="00E8716D"/>
    <w:rsid w:val="00E87B33"/>
    <w:rsid w:val="00E87D74"/>
    <w:rsid w:val="00E9263E"/>
    <w:rsid w:val="00E92736"/>
    <w:rsid w:val="00E92BCC"/>
    <w:rsid w:val="00E92C4D"/>
    <w:rsid w:val="00E948A6"/>
    <w:rsid w:val="00E95183"/>
    <w:rsid w:val="00E968AB"/>
    <w:rsid w:val="00E97639"/>
    <w:rsid w:val="00E97DEA"/>
    <w:rsid w:val="00EA0266"/>
    <w:rsid w:val="00EA0900"/>
    <w:rsid w:val="00EA0FFA"/>
    <w:rsid w:val="00EA2687"/>
    <w:rsid w:val="00EA43DB"/>
    <w:rsid w:val="00EA5575"/>
    <w:rsid w:val="00EA7584"/>
    <w:rsid w:val="00EB0B7F"/>
    <w:rsid w:val="00EB2262"/>
    <w:rsid w:val="00EB2762"/>
    <w:rsid w:val="00EB27B7"/>
    <w:rsid w:val="00EB2A5F"/>
    <w:rsid w:val="00EB38D5"/>
    <w:rsid w:val="00EB3A15"/>
    <w:rsid w:val="00EB4E0E"/>
    <w:rsid w:val="00EB543C"/>
    <w:rsid w:val="00EB780D"/>
    <w:rsid w:val="00EC137C"/>
    <w:rsid w:val="00EC468A"/>
    <w:rsid w:val="00EC5263"/>
    <w:rsid w:val="00EC7DDF"/>
    <w:rsid w:val="00ED2380"/>
    <w:rsid w:val="00ED4A3D"/>
    <w:rsid w:val="00ED6340"/>
    <w:rsid w:val="00ED6DA8"/>
    <w:rsid w:val="00EE11CC"/>
    <w:rsid w:val="00EE144C"/>
    <w:rsid w:val="00EE1CBF"/>
    <w:rsid w:val="00EE1D12"/>
    <w:rsid w:val="00EE1D3B"/>
    <w:rsid w:val="00EE2330"/>
    <w:rsid w:val="00EE5E62"/>
    <w:rsid w:val="00EE661E"/>
    <w:rsid w:val="00EE7336"/>
    <w:rsid w:val="00EF02B4"/>
    <w:rsid w:val="00EF0D34"/>
    <w:rsid w:val="00EF124D"/>
    <w:rsid w:val="00EF13AA"/>
    <w:rsid w:val="00EF190E"/>
    <w:rsid w:val="00EF3685"/>
    <w:rsid w:val="00EF3BE5"/>
    <w:rsid w:val="00EF425C"/>
    <w:rsid w:val="00EF52BD"/>
    <w:rsid w:val="00EF5CB4"/>
    <w:rsid w:val="00EF749F"/>
    <w:rsid w:val="00EF7FF3"/>
    <w:rsid w:val="00F012E5"/>
    <w:rsid w:val="00F01B51"/>
    <w:rsid w:val="00F046D5"/>
    <w:rsid w:val="00F04841"/>
    <w:rsid w:val="00F04A3B"/>
    <w:rsid w:val="00F05E26"/>
    <w:rsid w:val="00F06873"/>
    <w:rsid w:val="00F07388"/>
    <w:rsid w:val="00F1186F"/>
    <w:rsid w:val="00F12CF2"/>
    <w:rsid w:val="00F137BD"/>
    <w:rsid w:val="00F15CAD"/>
    <w:rsid w:val="00F17B9C"/>
    <w:rsid w:val="00F17D84"/>
    <w:rsid w:val="00F20AD1"/>
    <w:rsid w:val="00F20B02"/>
    <w:rsid w:val="00F228FD"/>
    <w:rsid w:val="00F235DF"/>
    <w:rsid w:val="00F25F72"/>
    <w:rsid w:val="00F27B71"/>
    <w:rsid w:val="00F27C11"/>
    <w:rsid w:val="00F31590"/>
    <w:rsid w:val="00F31A9B"/>
    <w:rsid w:val="00F32639"/>
    <w:rsid w:val="00F32BB1"/>
    <w:rsid w:val="00F33ACC"/>
    <w:rsid w:val="00F359A5"/>
    <w:rsid w:val="00F362CD"/>
    <w:rsid w:val="00F42C7B"/>
    <w:rsid w:val="00F441B6"/>
    <w:rsid w:val="00F45837"/>
    <w:rsid w:val="00F511EC"/>
    <w:rsid w:val="00F51829"/>
    <w:rsid w:val="00F56B1E"/>
    <w:rsid w:val="00F56C15"/>
    <w:rsid w:val="00F600A3"/>
    <w:rsid w:val="00F60BFD"/>
    <w:rsid w:val="00F61559"/>
    <w:rsid w:val="00F6339F"/>
    <w:rsid w:val="00F6362B"/>
    <w:rsid w:val="00F70B1D"/>
    <w:rsid w:val="00F71E7C"/>
    <w:rsid w:val="00F73D1B"/>
    <w:rsid w:val="00F73E5B"/>
    <w:rsid w:val="00F75460"/>
    <w:rsid w:val="00F75EA1"/>
    <w:rsid w:val="00F76D54"/>
    <w:rsid w:val="00F774C1"/>
    <w:rsid w:val="00F812AA"/>
    <w:rsid w:val="00F818CA"/>
    <w:rsid w:val="00F83546"/>
    <w:rsid w:val="00F848C3"/>
    <w:rsid w:val="00F84A6F"/>
    <w:rsid w:val="00F850CF"/>
    <w:rsid w:val="00F87B0D"/>
    <w:rsid w:val="00F90A79"/>
    <w:rsid w:val="00F920C2"/>
    <w:rsid w:val="00F97AC2"/>
    <w:rsid w:val="00FA11FF"/>
    <w:rsid w:val="00FA16C6"/>
    <w:rsid w:val="00FA508E"/>
    <w:rsid w:val="00FA74F8"/>
    <w:rsid w:val="00FB04D6"/>
    <w:rsid w:val="00FB1D27"/>
    <w:rsid w:val="00FB31A5"/>
    <w:rsid w:val="00FB3919"/>
    <w:rsid w:val="00FB6597"/>
    <w:rsid w:val="00FB6A4B"/>
    <w:rsid w:val="00FB6F86"/>
    <w:rsid w:val="00FC0100"/>
    <w:rsid w:val="00FC2017"/>
    <w:rsid w:val="00FC34AD"/>
    <w:rsid w:val="00FC3DB7"/>
    <w:rsid w:val="00FC3E89"/>
    <w:rsid w:val="00FC43ED"/>
    <w:rsid w:val="00FC5E91"/>
    <w:rsid w:val="00FD030A"/>
    <w:rsid w:val="00FD1540"/>
    <w:rsid w:val="00FD1E86"/>
    <w:rsid w:val="00FD2638"/>
    <w:rsid w:val="00FD389E"/>
    <w:rsid w:val="00FD46BE"/>
    <w:rsid w:val="00FD6569"/>
    <w:rsid w:val="00FD7E44"/>
    <w:rsid w:val="00FE0E6F"/>
    <w:rsid w:val="00FE1E7E"/>
    <w:rsid w:val="00FE69E0"/>
    <w:rsid w:val="00FF1478"/>
    <w:rsid w:val="00FF22EA"/>
    <w:rsid w:val="00FF2C8D"/>
    <w:rsid w:val="00FF2ED4"/>
    <w:rsid w:val="00FF448C"/>
    <w:rsid w:val="00FF4CF5"/>
    <w:rsid w:val="00FF4E4C"/>
    <w:rsid w:val="00FF5254"/>
    <w:rsid w:val="00FF6EC8"/>
    <w:rsid w:val="01CE399F"/>
    <w:rsid w:val="020B07BA"/>
    <w:rsid w:val="02BF56BE"/>
    <w:rsid w:val="03C3224E"/>
    <w:rsid w:val="041E22FB"/>
    <w:rsid w:val="04786083"/>
    <w:rsid w:val="04A929CA"/>
    <w:rsid w:val="0520482B"/>
    <w:rsid w:val="05EC7F93"/>
    <w:rsid w:val="063D2F0C"/>
    <w:rsid w:val="064D5C09"/>
    <w:rsid w:val="068328CA"/>
    <w:rsid w:val="06CC7F6C"/>
    <w:rsid w:val="0728239D"/>
    <w:rsid w:val="07FC7846"/>
    <w:rsid w:val="08EE3FA9"/>
    <w:rsid w:val="09085759"/>
    <w:rsid w:val="09305AF4"/>
    <w:rsid w:val="09B23C11"/>
    <w:rsid w:val="0AEA0541"/>
    <w:rsid w:val="0AEF5D60"/>
    <w:rsid w:val="0B2D6CCF"/>
    <w:rsid w:val="0BCA471C"/>
    <w:rsid w:val="0BCB0FBA"/>
    <w:rsid w:val="0C0F0EA7"/>
    <w:rsid w:val="0C3616B0"/>
    <w:rsid w:val="0C555D95"/>
    <w:rsid w:val="0C8A62FF"/>
    <w:rsid w:val="0CAB03D8"/>
    <w:rsid w:val="0CAE15AE"/>
    <w:rsid w:val="0D3051EF"/>
    <w:rsid w:val="0D342B95"/>
    <w:rsid w:val="0D4A5F0F"/>
    <w:rsid w:val="0D930454"/>
    <w:rsid w:val="0E686769"/>
    <w:rsid w:val="0F0E2965"/>
    <w:rsid w:val="0FC05272"/>
    <w:rsid w:val="100B53B2"/>
    <w:rsid w:val="103C4569"/>
    <w:rsid w:val="10CC4405"/>
    <w:rsid w:val="11417531"/>
    <w:rsid w:val="11D26894"/>
    <w:rsid w:val="125F3D59"/>
    <w:rsid w:val="12FA570C"/>
    <w:rsid w:val="13964088"/>
    <w:rsid w:val="14320636"/>
    <w:rsid w:val="16DF7EB2"/>
    <w:rsid w:val="17F77378"/>
    <w:rsid w:val="19B67387"/>
    <w:rsid w:val="1A8B7D39"/>
    <w:rsid w:val="1B2B3B07"/>
    <w:rsid w:val="1C3428A6"/>
    <w:rsid w:val="1CED59FC"/>
    <w:rsid w:val="1D1D71B6"/>
    <w:rsid w:val="1E134513"/>
    <w:rsid w:val="1EBD0C36"/>
    <w:rsid w:val="1EBF3D51"/>
    <w:rsid w:val="1FE6027F"/>
    <w:rsid w:val="20025502"/>
    <w:rsid w:val="2025103E"/>
    <w:rsid w:val="20311090"/>
    <w:rsid w:val="20315438"/>
    <w:rsid w:val="21F20B73"/>
    <w:rsid w:val="21F41A5B"/>
    <w:rsid w:val="21F50649"/>
    <w:rsid w:val="223B70F0"/>
    <w:rsid w:val="22A63E3C"/>
    <w:rsid w:val="22D16A5E"/>
    <w:rsid w:val="23AD60A9"/>
    <w:rsid w:val="2431225C"/>
    <w:rsid w:val="243E5552"/>
    <w:rsid w:val="24705CF9"/>
    <w:rsid w:val="24CE594B"/>
    <w:rsid w:val="254C0E07"/>
    <w:rsid w:val="25A53E3A"/>
    <w:rsid w:val="26DF24EB"/>
    <w:rsid w:val="27394124"/>
    <w:rsid w:val="277154ED"/>
    <w:rsid w:val="277763FA"/>
    <w:rsid w:val="28094C90"/>
    <w:rsid w:val="29736AC1"/>
    <w:rsid w:val="29823164"/>
    <w:rsid w:val="298642BB"/>
    <w:rsid w:val="2B361408"/>
    <w:rsid w:val="2B400C25"/>
    <w:rsid w:val="2B7A540B"/>
    <w:rsid w:val="2C041C52"/>
    <w:rsid w:val="2C8C7675"/>
    <w:rsid w:val="2D1D2BCA"/>
    <w:rsid w:val="2DA252D3"/>
    <w:rsid w:val="2DD87BD7"/>
    <w:rsid w:val="304D2582"/>
    <w:rsid w:val="30747439"/>
    <w:rsid w:val="30C12BE1"/>
    <w:rsid w:val="31567B53"/>
    <w:rsid w:val="315E2965"/>
    <w:rsid w:val="31781862"/>
    <w:rsid w:val="31D20CC7"/>
    <w:rsid w:val="32A64ACF"/>
    <w:rsid w:val="337D5EB4"/>
    <w:rsid w:val="347F35D7"/>
    <w:rsid w:val="35577A60"/>
    <w:rsid w:val="3578059B"/>
    <w:rsid w:val="359C6AE5"/>
    <w:rsid w:val="35EC2A38"/>
    <w:rsid w:val="36653DD5"/>
    <w:rsid w:val="37306AE8"/>
    <w:rsid w:val="373F0BD2"/>
    <w:rsid w:val="378A63A7"/>
    <w:rsid w:val="382D0783"/>
    <w:rsid w:val="38823FEF"/>
    <w:rsid w:val="38B62526"/>
    <w:rsid w:val="39271F93"/>
    <w:rsid w:val="39611FEC"/>
    <w:rsid w:val="39B76993"/>
    <w:rsid w:val="39EB36B5"/>
    <w:rsid w:val="3B686A20"/>
    <w:rsid w:val="3C0D328A"/>
    <w:rsid w:val="3C1A7270"/>
    <w:rsid w:val="3C372ECF"/>
    <w:rsid w:val="3C4F3EEA"/>
    <w:rsid w:val="3C5F4C83"/>
    <w:rsid w:val="3C805F8B"/>
    <w:rsid w:val="3E356B0A"/>
    <w:rsid w:val="3EE34734"/>
    <w:rsid w:val="3F350199"/>
    <w:rsid w:val="40107641"/>
    <w:rsid w:val="401B7FF2"/>
    <w:rsid w:val="413848F8"/>
    <w:rsid w:val="41490FC5"/>
    <w:rsid w:val="42E72C06"/>
    <w:rsid w:val="430F7393"/>
    <w:rsid w:val="43367DEF"/>
    <w:rsid w:val="44EE129A"/>
    <w:rsid w:val="44F026A9"/>
    <w:rsid w:val="45CF749B"/>
    <w:rsid w:val="47206D0A"/>
    <w:rsid w:val="4746716B"/>
    <w:rsid w:val="48F52967"/>
    <w:rsid w:val="4B225175"/>
    <w:rsid w:val="4B43428E"/>
    <w:rsid w:val="4BB37621"/>
    <w:rsid w:val="4CA77BFB"/>
    <w:rsid w:val="4DD95D87"/>
    <w:rsid w:val="4E121CD8"/>
    <w:rsid w:val="4F03593F"/>
    <w:rsid w:val="4F097485"/>
    <w:rsid w:val="4F2D21CE"/>
    <w:rsid w:val="500024B1"/>
    <w:rsid w:val="52642B9B"/>
    <w:rsid w:val="52772529"/>
    <w:rsid w:val="53314014"/>
    <w:rsid w:val="53395DD6"/>
    <w:rsid w:val="53B75004"/>
    <w:rsid w:val="547A7B7E"/>
    <w:rsid w:val="55CA2BAB"/>
    <w:rsid w:val="590B2D13"/>
    <w:rsid w:val="59933275"/>
    <w:rsid w:val="5A2570B4"/>
    <w:rsid w:val="5BFB3DB1"/>
    <w:rsid w:val="5C0E56CC"/>
    <w:rsid w:val="5C3E7FB9"/>
    <w:rsid w:val="5C5032A8"/>
    <w:rsid w:val="5C902BB5"/>
    <w:rsid w:val="5D5C4194"/>
    <w:rsid w:val="5D6A375C"/>
    <w:rsid w:val="5D954677"/>
    <w:rsid w:val="5DD0090F"/>
    <w:rsid w:val="60270862"/>
    <w:rsid w:val="60310E4A"/>
    <w:rsid w:val="60F07726"/>
    <w:rsid w:val="60FE47C8"/>
    <w:rsid w:val="61256045"/>
    <w:rsid w:val="61BC763A"/>
    <w:rsid w:val="61BE22AB"/>
    <w:rsid w:val="61C264D4"/>
    <w:rsid w:val="61FA0F31"/>
    <w:rsid w:val="62B1202C"/>
    <w:rsid w:val="62FB06C3"/>
    <w:rsid w:val="63100572"/>
    <w:rsid w:val="63215EAB"/>
    <w:rsid w:val="635A51D9"/>
    <w:rsid w:val="64324B5D"/>
    <w:rsid w:val="65E11618"/>
    <w:rsid w:val="660B3602"/>
    <w:rsid w:val="663467CD"/>
    <w:rsid w:val="67642E3A"/>
    <w:rsid w:val="68420E31"/>
    <w:rsid w:val="686B1298"/>
    <w:rsid w:val="69E14DA6"/>
    <w:rsid w:val="6ABD1332"/>
    <w:rsid w:val="6AE2301F"/>
    <w:rsid w:val="6BF42558"/>
    <w:rsid w:val="6C537273"/>
    <w:rsid w:val="6C6D7FA7"/>
    <w:rsid w:val="6D702094"/>
    <w:rsid w:val="6DB410E6"/>
    <w:rsid w:val="6ED577BF"/>
    <w:rsid w:val="6FBE7937"/>
    <w:rsid w:val="706936D9"/>
    <w:rsid w:val="70F002E9"/>
    <w:rsid w:val="71393DE0"/>
    <w:rsid w:val="7221361A"/>
    <w:rsid w:val="72D0082D"/>
    <w:rsid w:val="73721102"/>
    <w:rsid w:val="75041948"/>
    <w:rsid w:val="76322466"/>
    <w:rsid w:val="76AD64CC"/>
    <w:rsid w:val="771F076D"/>
    <w:rsid w:val="7762504C"/>
    <w:rsid w:val="778D55CE"/>
    <w:rsid w:val="78BD3F89"/>
    <w:rsid w:val="79752CA1"/>
    <w:rsid w:val="79F444EC"/>
    <w:rsid w:val="7A78701B"/>
    <w:rsid w:val="7B62102D"/>
    <w:rsid w:val="7BCE0035"/>
    <w:rsid w:val="7C0766E6"/>
    <w:rsid w:val="7D874248"/>
    <w:rsid w:val="7E14573B"/>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keepLines/>
      <w:spacing w:after="120" w:line="360" w:lineRule="auto"/>
      <w:jc w:val="left"/>
      <w:outlineLvl w:val="0"/>
    </w:pPr>
    <w:rPr>
      <w:kern w:val="44"/>
      <w:sz w:val="28"/>
      <w:szCs w:val="28"/>
    </w:rPr>
  </w:style>
  <w:style w:type="paragraph" w:styleId="5">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36"/>
    <w:qFormat/>
    <w:uiPriority w:val="99"/>
    <w:pPr>
      <w:spacing w:before="100" w:beforeAutospacing="1" w:after="100" w:afterAutospacing="1"/>
      <w:jc w:val="left"/>
      <w:textAlignment w:val="auto"/>
      <w:outlineLvl w:val="2"/>
    </w:pPr>
    <w:rPr>
      <w:rFonts w:ascii="宋体" w:hAnsi="宋体"/>
      <w:kern w:val="0"/>
      <w:sz w:val="27"/>
      <w:szCs w:val="27"/>
    </w:rPr>
  </w:style>
  <w:style w:type="paragraph" w:styleId="7">
    <w:name w:val="heading 4"/>
    <w:basedOn w:val="1"/>
    <w:next w:val="1"/>
    <w:qFormat/>
    <w:uiPriority w:val="0"/>
    <w:pPr>
      <w:keepNext/>
      <w:keepLines/>
      <w:widowControl w:val="0"/>
      <w:spacing w:beforeLines="50" w:afterLines="50" w:line="360" w:lineRule="auto"/>
      <w:ind w:left="284" w:hanging="284"/>
      <w:jc w:val="center"/>
      <w:outlineLvl w:val="3"/>
    </w:pPr>
    <w:rPr>
      <w:rFonts w:ascii="Arial" w:hAnsi="Arial"/>
      <w:color w:val="000000"/>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Body Text 21"/>
    <w:qFormat/>
    <w:uiPriority w:val="0"/>
    <w:pPr>
      <w:widowControl w:val="0"/>
      <w:spacing w:before="120"/>
      <w:jc w:val="both"/>
    </w:pPr>
    <w:rPr>
      <w:rFonts w:ascii="Arial" w:hAnsi="Arial" w:eastAsia="宋体" w:cs="Times New Roman"/>
      <w:kern w:val="2"/>
      <w:sz w:val="24"/>
      <w:lang w:val="en-US" w:eastAsia="zh-CN" w:bidi="ar-SA"/>
    </w:rPr>
  </w:style>
  <w:style w:type="paragraph" w:styleId="4">
    <w:name w:val="Title"/>
    <w:basedOn w:val="1"/>
    <w:next w:val="1"/>
    <w:link w:val="35"/>
    <w:qFormat/>
    <w:uiPriority w:val="0"/>
    <w:pPr>
      <w:spacing w:before="120" w:after="60"/>
      <w:jc w:val="center"/>
    </w:pPr>
    <w:rPr>
      <w:rFonts w:ascii="Arial" w:hAnsi="Arial"/>
      <w:b/>
      <w:kern w:val="0"/>
      <w:sz w:val="44"/>
      <w:szCs w:val="20"/>
    </w:rPr>
  </w:style>
  <w:style w:type="paragraph" w:styleId="8">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9">
    <w:name w:val="Document Map"/>
    <w:basedOn w:val="1"/>
    <w:link w:val="37"/>
    <w:unhideWhenUsed/>
    <w:qFormat/>
    <w:uiPriority w:val="99"/>
    <w:rPr>
      <w:rFonts w:ascii="宋体"/>
      <w:sz w:val="18"/>
      <w:szCs w:val="18"/>
    </w:rPr>
  </w:style>
  <w:style w:type="paragraph" w:styleId="10">
    <w:name w:val="annotation text"/>
    <w:basedOn w:val="1"/>
    <w:next w:val="1"/>
    <w:link w:val="38"/>
    <w:unhideWhenUsed/>
    <w:qFormat/>
    <w:uiPriority w:val="99"/>
    <w:pPr>
      <w:jc w:val="left"/>
    </w:pPr>
  </w:style>
  <w:style w:type="paragraph" w:styleId="11">
    <w:name w:val="Body Text 3"/>
    <w:basedOn w:val="1"/>
    <w:link w:val="39"/>
    <w:unhideWhenUsed/>
    <w:qFormat/>
    <w:uiPriority w:val="99"/>
    <w:pPr>
      <w:widowControl w:val="0"/>
      <w:spacing w:after="120"/>
      <w:textAlignment w:val="auto"/>
    </w:pPr>
    <w:rPr>
      <w:sz w:val="16"/>
      <w:szCs w:val="16"/>
    </w:rPr>
  </w:style>
  <w:style w:type="paragraph" w:styleId="12">
    <w:name w:val="Body Text"/>
    <w:basedOn w:val="1"/>
    <w:next w:val="13"/>
    <w:link w:val="40"/>
    <w:unhideWhenUsed/>
    <w:qFormat/>
    <w:uiPriority w:val="99"/>
    <w:pPr>
      <w:spacing w:after="120"/>
    </w:pPr>
  </w:style>
  <w:style w:type="paragraph" w:styleId="13">
    <w:name w:val="Body Text Indent"/>
    <w:basedOn w:val="1"/>
    <w:next w:val="14"/>
    <w:qFormat/>
    <w:uiPriority w:val="0"/>
    <w:pPr>
      <w:ind w:firstLine="570"/>
    </w:pPr>
    <w:rPr>
      <w:kern w:val="0"/>
      <w:sz w:val="28"/>
      <w:szCs w:val="20"/>
    </w:rPr>
  </w:style>
  <w:style w:type="paragraph" w:styleId="14">
    <w:name w:val="envelope return"/>
    <w:basedOn w:val="1"/>
    <w:qFormat/>
    <w:uiPriority w:val="0"/>
    <w:pPr>
      <w:snapToGrid w:val="0"/>
    </w:pPr>
    <w:rPr>
      <w:rFonts w:ascii="Arial" w:hAnsi="Arial"/>
      <w:szCs w:val="24"/>
    </w:rPr>
  </w:style>
  <w:style w:type="paragraph" w:styleId="15">
    <w:name w:val="toc 3"/>
    <w:basedOn w:val="1"/>
    <w:next w:val="1"/>
    <w:unhideWhenUsed/>
    <w:qFormat/>
    <w:uiPriority w:val="39"/>
    <w:pPr>
      <w:ind w:left="840" w:leftChars="400"/>
    </w:pPr>
  </w:style>
  <w:style w:type="paragraph" w:styleId="16">
    <w:name w:val="Plain Text"/>
    <w:basedOn w:val="1"/>
    <w:next w:val="1"/>
    <w:link w:val="41"/>
    <w:qFormat/>
    <w:uiPriority w:val="99"/>
    <w:rPr>
      <w:rFonts w:ascii="宋体" w:hAnsi="Courier New" w:eastAsia="楷体_GB2312"/>
      <w:szCs w:val="24"/>
    </w:rPr>
  </w:style>
  <w:style w:type="paragraph" w:styleId="17">
    <w:name w:val="Date"/>
    <w:basedOn w:val="1"/>
    <w:next w:val="1"/>
    <w:link w:val="42"/>
    <w:qFormat/>
    <w:uiPriority w:val="0"/>
    <w:rPr>
      <w:rFonts w:ascii="Times New Roman" w:hAnsi="Times New Roman"/>
      <w:kern w:val="0"/>
      <w:sz w:val="20"/>
      <w:szCs w:val="20"/>
    </w:rPr>
  </w:style>
  <w:style w:type="paragraph" w:styleId="18">
    <w:name w:val="Balloon Text"/>
    <w:basedOn w:val="1"/>
    <w:link w:val="43"/>
    <w:unhideWhenUsed/>
    <w:qFormat/>
    <w:uiPriority w:val="99"/>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18"/>
    </w:rPr>
  </w:style>
  <w:style w:type="paragraph" w:styleId="20">
    <w:name w:val="header"/>
    <w:basedOn w:val="1"/>
    <w:link w:val="45"/>
    <w:qFormat/>
    <w:uiPriority w:val="99"/>
    <w:pPr>
      <w:pBdr>
        <w:bottom w:val="single" w:color="000000"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qFormat/>
    <w:uiPriority w:val="0"/>
    <w:rPr>
      <w:rFonts w:ascii="宋体" w:hAnsi="宋体"/>
      <w:szCs w:val="24"/>
      <w:u w:val="single"/>
    </w:rPr>
  </w:style>
  <w:style w:type="paragraph" w:styleId="24">
    <w:name w:val="Normal (Web)"/>
    <w:basedOn w:val="1"/>
    <w:unhideWhenUsed/>
    <w:qFormat/>
    <w:uiPriority w:val="99"/>
    <w:pPr>
      <w:widowControl w:val="0"/>
      <w:textAlignment w:val="auto"/>
    </w:pPr>
    <w:rPr>
      <w:rFonts w:ascii="仿宋_GB2312" w:eastAsia="仿宋_GB2312" w:cs="宋体"/>
      <w:sz w:val="24"/>
      <w:szCs w:val="24"/>
    </w:rPr>
  </w:style>
  <w:style w:type="paragraph" w:styleId="25">
    <w:name w:val="annotation subject"/>
    <w:basedOn w:val="10"/>
    <w:next w:val="10"/>
    <w:link w:val="46"/>
    <w:unhideWhenUsed/>
    <w:qFormat/>
    <w:uiPriority w:val="0"/>
    <w:rPr>
      <w:b/>
      <w:bCs/>
    </w:rPr>
  </w:style>
  <w:style w:type="paragraph" w:styleId="26">
    <w:name w:val="Body Text First Indent"/>
    <w:basedOn w:val="12"/>
    <w:link w:val="47"/>
    <w:qFormat/>
    <w:uiPriority w:val="0"/>
    <w:pPr>
      <w:widowControl w:val="0"/>
      <w:ind w:firstLine="420"/>
      <w:textAlignment w:val="auto"/>
    </w:pPr>
    <w:rPr>
      <w:rFonts w:ascii="Times New Roman" w:hAnsi="Times New Roman"/>
      <w:kern w:val="0"/>
      <w:sz w:val="20"/>
      <w:szCs w:val="20"/>
    </w:rPr>
  </w:style>
  <w:style w:type="paragraph" w:styleId="27">
    <w:name w:val="Body Text First Indent 2"/>
    <w:basedOn w:val="13"/>
    <w:qFormat/>
    <w:uiPriority w:val="0"/>
    <w:pPr>
      <w:spacing w:after="120"/>
      <w:ind w:left="420" w:leftChars="200" w:firstLine="420" w:firstLineChars="200"/>
    </w:pPr>
    <w:rPr>
      <w:sz w:val="20"/>
      <w:szCs w:val="24"/>
    </w:rPr>
  </w:style>
  <w:style w:type="table" w:styleId="29">
    <w:name w:val="Table Grid"/>
    <w:basedOn w:val="28"/>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rPr>
  </w:style>
  <w:style w:type="character" w:styleId="32">
    <w:name w:val="FollowedHyperlink"/>
    <w:qFormat/>
    <w:uiPriority w:val="0"/>
    <w:rPr>
      <w:color w:val="954F72"/>
      <w:u w:val="single"/>
    </w:rPr>
  </w:style>
  <w:style w:type="character" w:styleId="33">
    <w:name w:val="Hyperlink"/>
    <w:qFormat/>
    <w:uiPriority w:val="99"/>
    <w:rPr>
      <w:rFonts w:ascii="微软雅黑" w:hAnsi="微软雅黑" w:eastAsia="微软雅黑"/>
      <w:color w:val="337AB7"/>
    </w:rPr>
  </w:style>
  <w:style w:type="character" w:styleId="34">
    <w:name w:val="annotation reference"/>
    <w:unhideWhenUsed/>
    <w:qFormat/>
    <w:uiPriority w:val="99"/>
    <w:rPr>
      <w:sz w:val="21"/>
      <w:szCs w:val="21"/>
    </w:rPr>
  </w:style>
  <w:style w:type="character" w:customStyle="1" w:styleId="35">
    <w:name w:val="标题 字符"/>
    <w:link w:val="4"/>
    <w:qFormat/>
    <w:uiPriority w:val="0"/>
    <w:rPr>
      <w:rFonts w:ascii="Arial" w:hAnsi="Arial" w:eastAsia="宋体"/>
      <w:b/>
      <w:sz w:val="44"/>
      <w:szCs w:val="20"/>
    </w:rPr>
  </w:style>
  <w:style w:type="character" w:customStyle="1" w:styleId="36">
    <w:name w:val="标题 3 字符"/>
    <w:link w:val="6"/>
    <w:qFormat/>
    <w:uiPriority w:val="99"/>
    <w:rPr>
      <w:rFonts w:ascii="宋体" w:hAnsi="宋体"/>
      <w:sz w:val="27"/>
      <w:szCs w:val="27"/>
    </w:rPr>
  </w:style>
  <w:style w:type="character" w:customStyle="1" w:styleId="37">
    <w:name w:val="文档结构图 字符"/>
    <w:link w:val="9"/>
    <w:semiHidden/>
    <w:qFormat/>
    <w:uiPriority w:val="99"/>
    <w:rPr>
      <w:rFonts w:ascii="宋体" w:hAnsi="Calibri"/>
      <w:kern w:val="2"/>
      <w:sz w:val="18"/>
      <w:szCs w:val="18"/>
    </w:rPr>
  </w:style>
  <w:style w:type="character" w:customStyle="1" w:styleId="38">
    <w:name w:val="批注文字 字符"/>
    <w:link w:val="10"/>
    <w:qFormat/>
    <w:uiPriority w:val="99"/>
    <w:rPr>
      <w:rFonts w:ascii="Calibri" w:hAnsi="Calibri"/>
      <w:kern w:val="2"/>
      <w:sz w:val="21"/>
      <w:szCs w:val="22"/>
    </w:rPr>
  </w:style>
  <w:style w:type="character" w:customStyle="1" w:styleId="39">
    <w:name w:val="正文文本 3 字符"/>
    <w:link w:val="11"/>
    <w:semiHidden/>
    <w:qFormat/>
    <w:uiPriority w:val="99"/>
    <w:rPr>
      <w:rFonts w:ascii="Calibri" w:hAnsi="Calibri"/>
      <w:kern w:val="2"/>
      <w:sz w:val="16"/>
      <w:szCs w:val="16"/>
    </w:rPr>
  </w:style>
  <w:style w:type="character" w:customStyle="1" w:styleId="40">
    <w:name w:val="正文文本 字符"/>
    <w:link w:val="12"/>
    <w:qFormat/>
    <w:uiPriority w:val="99"/>
    <w:rPr>
      <w:rFonts w:ascii="Calibri" w:hAnsi="Calibri"/>
      <w:kern w:val="2"/>
      <w:sz w:val="21"/>
      <w:szCs w:val="22"/>
    </w:rPr>
  </w:style>
  <w:style w:type="character" w:customStyle="1" w:styleId="41">
    <w:name w:val="纯文本 字符"/>
    <w:link w:val="16"/>
    <w:qFormat/>
    <w:uiPriority w:val="99"/>
    <w:rPr>
      <w:rFonts w:ascii="宋体" w:hAnsi="Courier New" w:eastAsia="楷体_GB2312"/>
      <w:kern w:val="2"/>
      <w:sz w:val="21"/>
      <w:szCs w:val="24"/>
    </w:rPr>
  </w:style>
  <w:style w:type="character" w:customStyle="1" w:styleId="42">
    <w:name w:val="日期 字符"/>
    <w:link w:val="17"/>
    <w:qFormat/>
    <w:uiPriority w:val="0"/>
    <w:rPr>
      <w:rFonts w:ascii="Times New Roman" w:hAnsi="Times New Roman" w:eastAsia="宋体"/>
      <w:szCs w:val="20"/>
    </w:rPr>
  </w:style>
  <w:style w:type="character" w:customStyle="1" w:styleId="43">
    <w:name w:val="批注框文本 字符"/>
    <w:link w:val="18"/>
    <w:qFormat/>
    <w:uiPriority w:val="99"/>
    <w:rPr>
      <w:rFonts w:ascii="Calibri" w:hAnsi="Calibri"/>
      <w:kern w:val="2"/>
      <w:sz w:val="18"/>
      <w:szCs w:val="18"/>
    </w:rPr>
  </w:style>
  <w:style w:type="character" w:customStyle="1" w:styleId="44">
    <w:name w:val="页脚 字符"/>
    <w:link w:val="19"/>
    <w:qFormat/>
    <w:uiPriority w:val="99"/>
    <w:rPr>
      <w:rFonts w:ascii="Calibri" w:hAnsi="Calibri" w:eastAsia="宋体"/>
      <w:sz w:val="18"/>
      <w:szCs w:val="18"/>
    </w:rPr>
  </w:style>
  <w:style w:type="character" w:customStyle="1" w:styleId="45">
    <w:name w:val="页眉 字符"/>
    <w:link w:val="20"/>
    <w:qFormat/>
    <w:uiPriority w:val="99"/>
    <w:rPr>
      <w:rFonts w:ascii="Calibri" w:hAnsi="Calibri" w:eastAsia="宋体"/>
      <w:sz w:val="18"/>
      <w:szCs w:val="18"/>
    </w:rPr>
  </w:style>
  <w:style w:type="character" w:customStyle="1" w:styleId="46">
    <w:name w:val="批注主题 字符"/>
    <w:link w:val="25"/>
    <w:qFormat/>
    <w:uiPriority w:val="0"/>
  </w:style>
  <w:style w:type="character" w:customStyle="1" w:styleId="47">
    <w:name w:val="正文文本首行缩进 字符"/>
    <w:link w:val="26"/>
    <w:qFormat/>
    <w:uiPriority w:val="0"/>
  </w:style>
  <w:style w:type="paragraph" w:customStyle="1" w:styleId="48">
    <w:name w:val="Default"/>
    <w:qFormat/>
    <w:uiPriority w:val="0"/>
    <w:pPr>
      <w:widowControl w:val="0"/>
      <w:autoSpaceDE w:val="0"/>
      <w:autoSpaceDN w:val="0"/>
      <w:adjustRightInd w:val="0"/>
    </w:pPr>
    <w:rPr>
      <w:rFonts w:ascii="华文中宋" w:hAnsi="Times New Roman" w:eastAsia="华文中宋" w:cs="Times New Roman"/>
      <w:color w:val="000000"/>
      <w:sz w:val="24"/>
      <w:szCs w:val="24"/>
      <w:lang w:val="en-US" w:eastAsia="zh-CN" w:bidi="ar-SA"/>
    </w:rPr>
  </w:style>
  <w:style w:type="character" w:customStyle="1" w:styleId="49">
    <w:name w:val="UserStyle_48"/>
    <w:qFormat/>
    <w:uiPriority w:val="0"/>
    <w:rPr>
      <w:rFonts w:ascii="Arial" w:hAnsi="Arial" w:eastAsia="黑体" w:cs="Times New Roman"/>
      <w:b/>
      <w:bCs/>
      <w:sz w:val="24"/>
      <w:szCs w:val="24"/>
    </w:rPr>
  </w:style>
  <w:style w:type="character" w:customStyle="1" w:styleId="50">
    <w:name w:val="UserStyle_55"/>
    <w:qFormat/>
    <w:uiPriority w:val="0"/>
    <w:rPr>
      <w:rFonts w:ascii="宋体" w:hAnsi="宋体" w:eastAsia="宋体"/>
      <w:color w:val="000000"/>
      <w:sz w:val="24"/>
      <w:szCs w:val="24"/>
    </w:rPr>
  </w:style>
  <w:style w:type="character" w:customStyle="1" w:styleId="51">
    <w:name w:val="UserStyle_30"/>
    <w:semiHidden/>
    <w:qFormat/>
    <w:uiPriority w:val="0"/>
    <w:rPr>
      <w:rFonts w:ascii="等线 Light" w:hAnsi="等线 Light" w:eastAsia="等线 Light" w:cs="Times New Roman"/>
      <w:b/>
      <w:bCs/>
      <w:sz w:val="32"/>
      <w:szCs w:val="32"/>
    </w:rPr>
  </w:style>
  <w:style w:type="character" w:customStyle="1" w:styleId="52">
    <w:name w:val="UserStyle_54"/>
    <w:semiHidden/>
    <w:qFormat/>
    <w:uiPriority w:val="0"/>
    <w:rPr>
      <w:rFonts w:ascii="Calibri" w:hAnsi="Calibri" w:eastAsia="宋体"/>
    </w:rPr>
  </w:style>
  <w:style w:type="character" w:customStyle="1" w:styleId="53">
    <w:name w:val="UserStyle_0"/>
    <w:link w:val="54"/>
    <w:semiHidden/>
    <w:qFormat/>
    <w:uiPriority w:val="0"/>
    <w:rPr>
      <w:rFonts w:ascii="等线" w:hAnsi="Courier New"/>
    </w:rPr>
  </w:style>
  <w:style w:type="paragraph" w:customStyle="1" w:styleId="54">
    <w:name w:val="Heading9"/>
    <w:basedOn w:val="1"/>
    <w:next w:val="55"/>
    <w:link w:val="53"/>
    <w:qFormat/>
    <w:uiPriority w:val="0"/>
    <w:pPr>
      <w:keepNext/>
      <w:keepLines/>
      <w:numPr>
        <w:ilvl w:val="8"/>
        <w:numId w:val="1"/>
      </w:numPr>
      <w:spacing w:before="240" w:after="64" w:line="320" w:lineRule="auto"/>
    </w:pPr>
    <w:rPr>
      <w:rFonts w:ascii="等线" w:hAnsi="Courier New"/>
      <w:kern w:val="0"/>
      <w:sz w:val="20"/>
      <w:szCs w:val="20"/>
    </w:rPr>
  </w:style>
  <w:style w:type="paragraph" w:customStyle="1" w:styleId="55">
    <w:name w:val="NormalIndent"/>
    <w:basedOn w:val="1"/>
    <w:qFormat/>
    <w:uiPriority w:val="0"/>
    <w:pPr>
      <w:ind w:firstLine="420"/>
    </w:pPr>
    <w:rPr>
      <w:rFonts w:ascii="Times New Roman" w:hAnsi="Times New Roman"/>
      <w:szCs w:val="20"/>
    </w:rPr>
  </w:style>
  <w:style w:type="character" w:customStyle="1" w:styleId="56">
    <w:name w:val="UserStyle_14"/>
    <w:link w:val="57"/>
    <w:qFormat/>
    <w:uiPriority w:val="0"/>
    <w:rPr>
      <w:rFonts w:ascii="Times New Roman" w:hAnsi="Times New Roman" w:eastAsia="宋体"/>
      <w:color w:val="000000"/>
      <w:sz w:val="24"/>
      <w:szCs w:val="20"/>
    </w:rPr>
  </w:style>
  <w:style w:type="paragraph" w:customStyle="1" w:styleId="57">
    <w:name w:val="BodyTextIndent2"/>
    <w:basedOn w:val="1"/>
    <w:link w:val="56"/>
    <w:qFormat/>
    <w:uiPriority w:val="0"/>
    <w:pPr>
      <w:spacing w:line="400" w:lineRule="exact"/>
      <w:ind w:left="425"/>
    </w:pPr>
    <w:rPr>
      <w:rFonts w:ascii="Times New Roman" w:hAnsi="Times New Roman"/>
      <w:color w:val="000000"/>
      <w:kern w:val="0"/>
      <w:sz w:val="24"/>
      <w:szCs w:val="20"/>
    </w:rPr>
  </w:style>
  <w:style w:type="character" w:customStyle="1" w:styleId="58">
    <w:name w:val="FootnoteReference"/>
    <w:qFormat/>
    <w:uiPriority w:val="0"/>
    <w:rPr>
      <w:vertAlign w:val="superscript"/>
    </w:rPr>
  </w:style>
  <w:style w:type="character" w:customStyle="1" w:styleId="59">
    <w:name w:val="NormalCharacter"/>
    <w:qFormat/>
    <w:uiPriority w:val="0"/>
  </w:style>
  <w:style w:type="character" w:customStyle="1" w:styleId="60">
    <w:name w:val="UserStyle_19"/>
    <w:semiHidden/>
    <w:qFormat/>
    <w:uiPriority w:val="0"/>
    <w:rPr>
      <w:rFonts w:ascii="Calibri" w:hAnsi="Calibri" w:eastAsia="宋体"/>
      <w:sz w:val="18"/>
      <w:szCs w:val="18"/>
    </w:rPr>
  </w:style>
  <w:style w:type="character" w:customStyle="1" w:styleId="61">
    <w:name w:val="UserStyle_40"/>
    <w:qFormat/>
    <w:uiPriority w:val="0"/>
    <w:rPr>
      <w:rFonts w:ascii="Arial" w:hAnsi="Arial" w:eastAsia="黑体"/>
      <w:sz w:val="24"/>
      <w:szCs w:val="20"/>
    </w:rPr>
  </w:style>
  <w:style w:type="character" w:customStyle="1" w:styleId="62">
    <w:name w:val="UserStyle_24"/>
    <w:qFormat/>
    <w:uiPriority w:val="0"/>
    <w:rPr>
      <w:rFonts w:ascii="Arial" w:hAnsi="Arial" w:eastAsia="黑体"/>
      <w:szCs w:val="20"/>
    </w:rPr>
  </w:style>
  <w:style w:type="character" w:customStyle="1" w:styleId="63">
    <w:name w:val="UserStyle_10"/>
    <w:link w:val="64"/>
    <w:qFormat/>
    <w:uiPriority w:val="0"/>
    <w:rPr>
      <w:rFonts w:ascii="宋体" w:hAnsi="Courier New" w:eastAsia="宋体"/>
      <w:szCs w:val="20"/>
    </w:rPr>
  </w:style>
  <w:style w:type="paragraph" w:customStyle="1" w:styleId="64">
    <w:name w:val="PlainText"/>
    <w:basedOn w:val="1"/>
    <w:link w:val="63"/>
    <w:qFormat/>
    <w:uiPriority w:val="0"/>
    <w:rPr>
      <w:rFonts w:ascii="宋体" w:hAnsi="Courier New"/>
      <w:kern w:val="0"/>
      <w:sz w:val="20"/>
      <w:szCs w:val="20"/>
    </w:rPr>
  </w:style>
  <w:style w:type="character" w:customStyle="1" w:styleId="65">
    <w:name w:val="UserStyle_17"/>
    <w:link w:val="66"/>
    <w:qFormat/>
    <w:uiPriority w:val="0"/>
    <w:rPr>
      <w:rFonts w:ascii="Times New Roman" w:hAnsi="Times New Roman" w:eastAsia="宋体"/>
      <w:sz w:val="18"/>
      <w:szCs w:val="18"/>
    </w:rPr>
  </w:style>
  <w:style w:type="paragraph" w:customStyle="1" w:styleId="66">
    <w:name w:val="Acetate"/>
    <w:basedOn w:val="1"/>
    <w:link w:val="65"/>
    <w:qFormat/>
    <w:uiPriority w:val="0"/>
    <w:rPr>
      <w:rFonts w:ascii="Times New Roman" w:hAnsi="Times New Roman"/>
      <w:kern w:val="0"/>
      <w:sz w:val="18"/>
      <w:szCs w:val="18"/>
    </w:rPr>
  </w:style>
  <w:style w:type="character" w:customStyle="1" w:styleId="67">
    <w:name w:val="HtmlKbd"/>
    <w:qFormat/>
    <w:uiPriority w:val="0"/>
    <w:rPr>
      <w:rFonts w:ascii="Consolas" w:hAnsi="Consolas" w:eastAsia="Consolas"/>
      <w:color w:val="FFFFFF"/>
      <w:sz w:val="21"/>
      <w:szCs w:val="21"/>
      <w:shd w:val="clear" w:color="auto" w:fill="333333"/>
    </w:rPr>
  </w:style>
  <w:style w:type="character" w:customStyle="1" w:styleId="68">
    <w:name w:val="UserStyle_26"/>
    <w:qFormat/>
    <w:uiPriority w:val="0"/>
    <w:rPr>
      <w:rFonts w:ascii="Arial" w:hAnsi="Arial" w:eastAsia="宋体"/>
      <w:color w:val="000000"/>
      <w:szCs w:val="21"/>
    </w:rPr>
  </w:style>
  <w:style w:type="character" w:customStyle="1" w:styleId="69">
    <w:name w:val="UserStyle_49"/>
    <w:link w:val="70"/>
    <w:qFormat/>
    <w:uiPriority w:val="0"/>
    <w:rPr>
      <w:rFonts w:ascii="宋体" w:hAnsi="宋体" w:eastAsia="宋体"/>
      <w:sz w:val="24"/>
      <w:szCs w:val="24"/>
    </w:rPr>
  </w:style>
  <w:style w:type="paragraph" w:customStyle="1" w:styleId="70">
    <w:name w:val="AnnotationText"/>
    <w:basedOn w:val="1"/>
    <w:link w:val="69"/>
    <w:qFormat/>
    <w:uiPriority w:val="0"/>
    <w:pPr>
      <w:spacing w:line="360" w:lineRule="auto"/>
      <w:ind w:firstLine="523" w:firstLineChars="218"/>
      <w:jc w:val="left"/>
    </w:pPr>
    <w:rPr>
      <w:rFonts w:ascii="宋体" w:hAnsi="宋体"/>
      <w:kern w:val="0"/>
      <w:sz w:val="24"/>
      <w:szCs w:val="24"/>
    </w:rPr>
  </w:style>
  <w:style w:type="character" w:customStyle="1" w:styleId="71">
    <w:name w:val="UserStyle_51"/>
    <w:semiHidden/>
    <w:qFormat/>
    <w:uiPriority w:val="0"/>
    <w:rPr>
      <w:rFonts w:ascii="Microsoft YaHei UI" w:hAnsi="Calibri" w:eastAsia="Microsoft YaHei UI"/>
      <w:sz w:val="18"/>
      <w:szCs w:val="18"/>
    </w:rPr>
  </w:style>
  <w:style w:type="character" w:customStyle="1" w:styleId="72">
    <w:name w:val="UserStyle_22"/>
    <w:semiHidden/>
    <w:qFormat/>
    <w:uiPriority w:val="0"/>
    <w:rPr>
      <w:rFonts w:ascii="Calibri" w:hAnsi="Calibri" w:eastAsia="宋体"/>
    </w:rPr>
  </w:style>
  <w:style w:type="character" w:customStyle="1" w:styleId="73">
    <w:name w:val="EndnoteReference"/>
    <w:qFormat/>
    <w:uiPriority w:val="0"/>
    <w:rPr>
      <w:vertAlign w:val="superscript"/>
    </w:rPr>
  </w:style>
  <w:style w:type="character" w:customStyle="1" w:styleId="74">
    <w:name w:val="15"/>
    <w:qFormat/>
    <w:uiPriority w:val="0"/>
    <w:rPr>
      <w:rFonts w:hint="eastAsia" w:ascii="等线" w:hAnsi="等线" w:eastAsia="等线" w:cs="Times New Roman"/>
    </w:rPr>
  </w:style>
  <w:style w:type="character" w:customStyle="1" w:styleId="75">
    <w:name w:val="UserStyle_29"/>
    <w:semiHidden/>
    <w:qFormat/>
    <w:uiPriority w:val="0"/>
    <w:rPr>
      <w:rFonts w:ascii="Calibri" w:hAnsi="Calibri" w:eastAsia="宋体"/>
      <w:sz w:val="16"/>
      <w:szCs w:val="16"/>
    </w:rPr>
  </w:style>
  <w:style w:type="character" w:customStyle="1" w:styleId="76">
    <w:name w:val="UserStyle_18"/>
    <w:link w:val="77"/>
    <w:qFormat/>
    <w:uiPriority w:val="0"/>
    <w:rPr>
      <w:rFonts w:ascii="Times New Roman" w:hAnsi="Times New Roman" w:eastAsia="宋体"/>
      <w:color w:val="000000"/>
      <w:sz w:val="24"/>
      <w:szCs w:val="20"/>
    </w:rPr>
  </w:style>
  <w:style w:type="paragraph" w:customStyle="1" w:styleId="77">
    <w:name w:val="BodyTextIndent3"/>
    <w:basedOn w:val="1"/>
    <w:link w:val="76"/>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character" w:customStyle="1" w:styleId="78">
    <w:name w:val="正文文本 Char"/>
    <w:qFormat/>
    <w:uiPriority w:val="0"/>
    <w:rPr>
      <w:rFonts w:eastAsia="宋体"/>
      <w:lang w:val="en-US" w:eastAsia="zh-CN" w:bidi="ar-SA"/>
    </w:rPr>
  </w:style>
  <w:style w:type="character" w:customStyle="1" w:styleId="79">
    <w:name w:val="UserStyle_25"/>
    <w:semiHidden/>
    <w:qFormat/>
    <w:uiPriority w:val="0"/>
    <w:rPr>
      <w:rFonts w:ascii="Calibri" w:hAnsi="Calibri" w:eastAsia="宋体"/>
      <w:sz w:val="18"/>
      <w:szCs w:val="18"/>
    </w:rPr>
  </w:style>
  <w:style w:type="character" w:customStyle="1" w:styleId="80">
    <w:name w:val="纯文本 字符1"/>
    <w:qFormat/>
    <w:uiPriority w:val="0"/>
    <w:rPr>
      <w:rFonts w:ascii="宋体" w:hAnsi="Courier New" w:eastAsia="宋体" w:cs="Times New Roman"/>
      <w:szCs w:val="20"/>
    </w:rPr>
  </w:style>
  <w:style w:type="character" w:customStyle="1" w:styleId="81">
    <w:name w:val="UserStyle_47"/>
    <w:link w:val="82"/>
    <w:qFormat/>
    <w:uiPriority w:val="0"/>
    <w:rPr>
      <w:rFonts w:ascii="宋体" w:hAnsi="宋体" w:eastAsia="宋体"/>
      <w:sz w:val="18"/>
      <w:szCs w:val="18"/>
    </w:rPr>
  </w:style>
  <w:style w:type="paragraph" w:customStyle="1" w:styleId="82">
    <w:name w:val="FootnoteText"/>
    <w:basedOn w:val="1"/>
    <w:link w:val="81"/>
    <w:qFormat/>
    <w:uiPriority w:val="0"/>
    <w:pPr>
      <w:snapToGrid w:val="0"/>
      <w:spacing w:line="360" w:lineRule="auto"/>
      <w:ind w:firstLine="523" w:firstLineChars="218"/>
      <w:jc w:val="left"/>
    </w:pPr>
    <w:rPr>
      <w:rFonts w:ascii="宋体" w:hAnsi="宋体"/>
      <w:kern w:val="0"/>
      <w:sz w:val="18"/>
      <w:szCs w:val="18"/>
    </w:rPr>
  </w:style>
  <w:style w:type="character" w:customStyle="1" w:styleId="83">
    <w:name w:val="UserStyle_53"/>
    <w:semiHidden/>
    <w:qFormat/>
    <w:uiPriority w:val="0"/>
    <w:rPr>
      <w:rFonts w:ascii="Calibri" w:hAnsi="Calibri" w:eastAsia="宋体"/>
      <w:sz w:val="18"/>
      <w:szCs w:val="18"/>
    </w:rPr>
  </w:style>
  <w:style w:type="character" w:customStyle="1" w:styleId="84">
    <w:name w:val="UserStyle_42"/>
    <w:qFormat/>
    <w:uiPriority w:val="0"/>
    <w:rPr>
      <w:rFonts w:ascii="宋体" w:hAnsi="宋体" w:eastAsia="宋体"/>
      <w:kern w:val="0"/>
      <w:sz w:val="27"/>
      <w:szCs w:val="27"/>
    </w:rPr>
  </w:style>
  <w:style w:type="character" w:customStyle="1" w:styleId="85">
    <w:name w:val="UserStyle_3"/>
    <w:link w:val="86"/>
    <w:qFormat/>
    <w:uiPriority w:val="0"/>
    <w:rPr>
      <w:rFonts w:ascii="宋体" w:hAnsi="宋体" w:eastAsia="宋体"/>
      <w:szCs w:val="24"/>
      <w:u w:val="single"/>
    </w:rPr>
  </w:style>
  <w:style w:type="paragraph" w:customStyle="1" w:styleId="86">
    <w:name w:val="BodyText2"/>
    <w:basedOn w:val="1"/>
    <w:link w:val="85"/>
    <w:qFormat/>
    <w:uiPriority w:val="0"/>
    <w:rPr>
      <w:rFonts w:ascii="宋体" w:hAnsi="宋体"/>
      <w:kern w:val="0"/>
      <w:sz w:val="20"/>
      <w:szCs w:val="24"/>
      <w:u w:val="single"/>
    </w:rPr>
  </w:style>
  <w:style w:type="character" w:customStyle="1" w:styleId="87">
    <w:name w:val="UserStyle_12"/>
    <w:qFormat/>
    <w:uiPriority w:val="0"/>
    <w:rPr>
      <w:rFonts w:ascii="等线 Light" w:hAnsi="等线 Light" w:eastAsia="等线 Light" w:cs="Times New Roman"/>
      <w:b/>
      <w:bCs/>
      <w:sz w:val="32"/>
      <w:szCs w:val="32"/>
    </w:rPr>
  </w:style>
  <w:style w:type="character" w:customStyle="1" w:styleId="88">
    <w:name w:val="文一 Char"/>
    <w:link w:val="89"/>
    <w:qFormat/>
    <w:uiPriority w:val="0"/>
    <w:rPr>
      <w:rFonts w:ascii="等线" w:hAnsi="Calibri" w:eastAsia="等线"/>
      <w:spacing w:val="4"/>
      <w:sz w:val="24"/>
      <w:szCs w:val="24"/>
    </w:rPr>
  </w:style>
  <w:style w:type="paragraph" w:customStyle="1" w:styleId="89">
    <w:name w:val="文一"/>
    <w:basedOn w:val="1"/>
    <w:link w:val="88"/>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character" w:customStyle="1" w:styleId="90">
    <w:name w:val="AnnotationReference"/>
    <w:qFormat/>
    <w:uiPriority w:val="0"/>
    <w:rPr>
      <w:sz w:val="21"/>
      <w:szCs w:val="21"/>
    </w:rPr>
  </w:style>
  <w:style w:type="character" w:customStyle="1" w:styleId="91">
    <w:name w:val="UserStyle_34"/>
    <w:link w:val="92"/>
    <w:qFormat/>
    <w:uiPriority w:val="0"/>
    <w:rPr>
      <w:rFonts w:ascii="Times New Roman" w:hAnsi="Times New Roman" w:eastAsia="宋体"/>
      <w:szCs w:val="20"/>
    </w:rPr>
  </w:style>
  <w:style w:type="paragraph" w:customStyle="1" w:styleId="92">
    <w:name w:val="EndnoteText"/>
    <w:basedOn w:val="1"/>
    <w:link w:val="91"/>
    <w:qFormat/>
    <w:uiPriority w:val="0"/>
    <w:pPr>
      <w:snapToGrid w:val="0"/>
      <w:jc w:val="left"/>
    </w:pPr>
    <w:rPr>
      <w:rFonts w:ascii="Times New Roman" w:hAnsi="Times New Roman"/>
      <w:kern w:val="0"/>
      <w:sz w:val="20"/>
      <w:szCs w:val="20"/>
    </w:rPr>
  </w:style>
  <w:style w:type="character" w:customStyle="1" w:styleId="93">
    <w:name w:val="UserStyle_32"/>
    <w:qFormat/>
    <w:uiPriority w:val="0"/>
  </w:style>
  <w:style w:type="character" w:customStyle="1" w:styleId="94">
    <w:name w:val="UserStyle_35"/>
    <w:qFormat/>
    <w:uiPriority w:val="0"/>
    <w:rPr>
      <w:rFonts w:ascii="Arial" w:hAnsi="Arial" w:eastAsia="宋体"/>
      <w:b/>
      <w:color w:val="000000"/>
      <w:sz w:val="24"/>
      <w:szCs w:val="24"/>
    </w:rPr>
  </w:style>
  <w:style w:type="character" w:customStyle="1" w:styleId="95">
    <w:name w:val="UserStyle_43"/>
    <w:semiHidden/>
    <w:qFormat/>
    <w:uiPriority w:val="0"/>
    <w:rPr>
      <w:rFonts w:ascii="Calibri" w:hAnsi="Calibri" w:eastAsia="宋体" w:cs="Times New Roman"/>
      <w:b/>
      <w:bCs/>
      <w:sz w:val="24"/>
      <w:szCs w:val="24"/>
    </w:rPr>
  </w:style>
  <w:style w:type="character" w:customStyle="1" w:styleId="96">
    <w:name w:val="UserStyle_6"/>
    <w:semiHidden/>
    <w:qFormat/>
    <w:uiPriority w:val="0"/>
    <w:rPr>
      <w:rFonts w:ascii="Calibri" w:hAnsi="Calibri" w:eastAsia="宋体"/>
    </w:rPr>
  </w:style>
  <w:style w:type="character" w:customStyle="1" w:styleId="97">
    <w:name w:val="UserStyle_52"/>
    <w:semiHidden/>
    <w:qFormat/>
    <w:uiPriority w:val="0"/>
    <w:rPr>
      <w:rFonts w:ascii="Calibri" w:hAnsi="Calibri" w:eastAsia="宋体"/>
    </w:rPr>
  </w:style>
  <w:style w:type="character" w:customStyle="1" w:styleId="98">
    <w:name w:val="UserStyle_45"/>
    <w:link w:val="99"/>
    <w:qFormat/>
    <w:uiPriority w:val="0"/>
    <w:rPr>
      <w:rFonts w:ascii="Times New Roman" w:hAnsi="Times New Roman" w:eastAsia="宋体"/>
      <w:szCs w:val="20"/>
      <w:shd w:val="clear" w:color="auto" w:fill="000080"/>
    </w:rPr>
  </w:style>
  <w:style w:type="paragraph" w:customStyle="1" w:styleId="99">
    <w:name w:val="NavPane"/>
    <w:basedOn w:val="1"/>
    <w:link w:val="98"/>
    <w:qFormat/>
    <w:uiPriority w:val="0"/>
    <w:pPr>
      <w:shd w:val="clear" w:color="auto" w:fill="000080"/>
    </w:pPr>
    <w:rPr>
      <w:rFonts w:ascii="Times New Roman" w:hAnsi="Times New Roman"/>
      <w:kern w:val="0"/>
      <w:sz w:val="20"/>
      <w:szCs w:val="20"/>
    </w:rPr>
  </w:style>
  <w:style w:type="character" w:customStyle="1" w:styleId="100">
    <w:name w:val="UserStyle_9"/>
    <w:semiHidden/>
    <w:qFormat/>
    <w:uiPriority w:val="0"/>
    <w:rPr>
      <w:rFonts w:ascii="Calibri" w:hAnsi="Calibri" w:eastAsia="宋体"/>
      <w:sz w:val="18"/>
      <w:szCs w:val="18"/>
    </w:rPr>
  </w:style>
  <w:style w:type="character" w:customStyle="1" w:styleId="101">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102">
    <w:name w:val="UserStyle_4"/>
    <w:semiHidden/>
    <w:qFormat/>
    <w:uiPriority w:val="0"/>
    <w:rPr>
      <w:rFonts w:ascii="等线 Light" w:hAnsi="等线 Light" w:eastAsia="等线 Light" w:cs="Times New Roman"/>
      <w:b/>
      <w:bCs/>
      <w:sz w:val="24"/>
      <w:szCs w:val="24"/>
    </w:rPr>
  </w:style>
  <w:style w:type="character" w:customStyle="1" w:styleId="103">
    <w:name w:val="UserStyle_39"/>
    <w:qFormat/>
    <w:uiPriority w:val="0"/>
    <w:rPr>
      <w:rFonts w:ascii="Arial" w:hAnsi="Arial" w:eastAsia="宋体"/>
      <w:color w:val="000000"/>
      <w:szCs w:val="21"/>
    </w:rPr>
  </w:style>
  <w:style w:type="character" w:customStyle="1" w:styleId="104">
    <w:name w:val="UserStyle_50"/>
    <w:qFormat/>
    <w:uiPriority w:val="0"/>
    <w:rPr>
      <w:rFonts w:ascii="Calibri" w:hAnsi="Calibri" w:eastAsia="宋体" w:cs="Times New Roman"/>
      <w:b/>
      <w:bCs/>
      <w:kern w:val="44"/>
      <w:sz w:val="44"/>
      <w:szCs w:val="44"/>
    </w:rPr>
  </w:style>
  <w:style w:type="character" w:customStyle="1" w:styleId="105">
    <w:name w:val="UserStyle_31"/>
    <w:qFormat/>
    <w:uiPriority w:val="0"/>
    <w:rPr>
      <w:rFonts w:ascii="Times New Roman" w:hAnsi="Times New Roman" w:eastAsia="宋体"/>
      <w:b/>
      <w:sz w:val="24"/>
      <w:szCs w:val="20"/>
    </w:rPr>
  </w:style>
  <w:style w:type="character" w:customStyle="1" w:styleId="106">
    <w:name w:val="HtmlDfn"/>
    <w:qFormat/>
    <w:uiPriority w:val="0"/>
    <w:rPr>
      <w:i/>
    </w:rPr>
  </w:style>
  <w:style w:type="character" w:customStyle="1" w:styleId="107">
    <w:name w:val="UserStyle_2"/>
    <w:semiHidden/>
    <w:qFormat/>
    <w:uiPriority w:val="0"/>
    <w:rPr>
      <w:rFonts w:ascii="Calibri" w:hAnsi="Calibri" w:eastAsia="宋体" w:cs="Times New Roman"/>
      <w:b/>
      <w:bCs/>
    </w:rPr>
  </w:style>
  <w:style w:type="character" w:customStyle="1" w:styleId="108">
    <w:name w:val="htmlSamp"/>
    <w:qFormat/>
    <w:uiPriority w:val="0"/>
    <w:rPr>
      <w:rFonts w:ascii="Consolas" w:hAnsi="Consolas" w:eastAsia="Consolas"/>
      <w:sz w:val="21"/>
      <w:szCs w:val="21"/>
    </w:rPr>
  </w:style>
  <w:style w:type="character" w:customStyle="1" w:styleId="109">
    <w:name w:val="UserStyle_44"/>
    <w:qFormat/>
    <w:uiPriority w:val="0"/>
    <w:rPr>
      <w:rFonts w:ascii="Arial" w:hAnsi="Arial" w:eastAsia="宋体"/>
      <w:b/>
      <w:kern w:val="44"/>
      <w:sz w:val="28"/>
      <w:szCs w:val="28"/>
    </w:rPr>
  </w:style>
  <w:style w:type="character" w:customStyle="1" w:styleId="110">
    <w:name w:val="UserStyle_13"/>
    <w:semiHidden/>
    <w:qFormat/>
    <w:uiPriority w:val="0"/>
    <w:rPr>
      <w:rFonts w:ascii="Calibri" w:hAnsi="Calibri" w:eastAsia="宋体" w:cs="Times New Roman"/>
      <w:b/>
      <w:bCs/>
      <w:sz w:val="28"/>
      <w:szCs w:val="28"/>
    </w:rPr>
  </w:style>
  <w:style w:type="character" w:customStyle="1" w:styleId="111">
    <w:name w:val="UserStyle_16"/>
    <w:semiHidden/>
    <w:qFormat/>
    <w:uiPriority w:val="0"/>
    <w:rPr>
      <w:rFonts w:ascii="Calibri" w:hAnsi="Calibri" w:eastAsia="宋体"/>
    </w:rPr>
  </w:style>
  <w:style w:type="character" w:customStyle="1" w:styleId="112">
    <w:name w:val="UserStyle_37"/>
    <w:semiHidden/>
    <w:qFormat/>
    <w:uiPriority w:val="0"/>
    <w:rPr>
      <w:rFonts w:ascii="等线 Light" w:hAnsi="等线 Light" w:eastAsia="等线 Light" w:cs="Times New Roman"/>
      <w:b/>
      <w:bCs/>
      <w:sz w:val="28"/>
      <w:szCs w:val="28"/>
    </w:rPr>
  </w:style>
  <w:style w:type="character" w:customStyle="1" w:styleId="113">
    <w:name w:val="UserStyle_27"/>
    <w:link w:val="114"/>
    <w:qFormat/>
    <w:uiPriority w:val="0"/>
    <w:rPr>
      <w:rFonts w:ascii="Times New Roman" w:hAnsi="Times New Roman" w:eastAsia="宋体"/>
      <w:sz w:val="28"/>
      <w:szCs w:val="20"/>
    </w:rPr>
  </w:style>
  <w:style w:type="paragraph" w:customStyle="1" w:styleId="114">
    <w:name w:val="BodyTextIndent"/>
    <w:basedOn w:val="1"/>
    <w:link w:val="113"/>
    <w:qFormat/>
    <w:uiPriority w:val="0"/>
    <w:pPr>
      <w:ind w:firstLine="570"/>
    </w:pPr>
    <w:rPr>
      <w:rFonts w:ascii="Times New Roman" w:hAnsi="Times New Roman"/>
      <w:kern w:val="0"/>
      <w:sz w:val="28"/>
      <w:szCs w:val="20"/>
    </w:rPr>
  </w:style>
  <w:style w:type="character" w:customStyle="1" w:styleId="115">
    <w:name w:val="UserStyle_36"/>
    <w:semiHidden/>
    <w:qFormat/>
    <w:uiPriority w:val="0"/>
    <w:rPr>
      <w:rFonts w:ascii="Calibri" w:hAnsi="Calibri" w:eastAsia="宋体"/>
    </w:rPr>
  </w:style>
  <w:style w:type="character" w:customStyle="1" w:styleId="116">
    <w:name w:val="UserStyle_21"/>
    <w:qFormat/>
    <w:uiPriority w:val="0"/>
  </w:style>
  <w:style w:type="character" w:customStyle="1" w:styleId="117">
    <w:name w:val="UserStyle_15"/>
    <w:semiHidden/>
    <w:qFormat/>
    <w:uiPriority w:val="0"/>
    <w:rPr>
      <w:rFonts w:ascii="等线 Light" w:hAnsi="等线 Light" w:eastAsia="等线 Light"/>
      <w:szCs w:val="21"/>
    </w:rPr>
  </w:style>
  <w:style w:type="character" w:customStyle="1" w:styleId="118">
    <w:name w:val="UserStyle_11"/>
    <w:semiHidden/>
    <w:qFormat/>
    <w:uiPriority w:val="0"/>
    <w:rPr>
      <w:rFonts w:ascii="Calibri" w:hAnsi="Calibri" w:eastAsia="宋体"/>
    </w:rPr>
  </w:style>
  <w:style w:type="character" w:customStyle="1" w:styleId="119">
    <w:name w:val="PageNumber"/>
    <w:qFormat/>
    <w:uiPriority w:val="0"/>
  </w:style>
  <w:style w:type="character" w:customStyle="1" w:styleId="120">
    <w:name w:val="UserStyle_46"/>
    <w:semiHidden/>
    <w:qFormat/>
    <w:uiPriority w:val="0"/>
    <w:rPr>
      <w:rFonts w:ascii="Calibri" w:hAnsi="Calibri" w:eastAsia="宋体"/>
    </w:rPr>
  </w:style>
  <w:style w:type="character" w:customStyle="1" w:styleId="121">
    <w:name w:val="UserStyle_28"/>
    <w:semiHidden/>
    <w:qFormat/>
    <w:uiPriority w:val="0"/>
    <w:rPr>
      <w:rFonts w:ascii="Calibri" w:hAnsi="Calibri" w:eastAsia="宋体" w:cs="Times New Roman"/>
      <w:b/>
      <w:bCs/>
      <w:sz w:val="32"/>
      <w:szCs w:val="32"/>
    </w:rPr>
  </w:style>
  <w:style w:type="character" w:customStyle="1" w:styleId="122">
    <w:name w:val="正文文本 3 Char"/>
    <w:qFormat/>
    <w:uiPriority w:val="0"/>
    <w:rPr>
      <w:kern w:val="2"/>
      <w:sz w:val="16"/>
      <w:szCs w:val="16"/>
    </w:rPr>
  </w:style>
  <w:style w:type="character" w:customStyle="1" w:styleId="123">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24">
    <w:name w:val="UserStyle_8"/>
    <w:qFormat/>
    <w:uiPriority w:val="0"/>
  </w:style>
  <w:style w:type="character" w:customStyle="1" w:styleId="125">
    <w:name w:val="UserStyle_5"/>
    <w:link w:val="126"/>
    <w:qFormat/>
    <w:uiPriority w:val="0"/>
  </w:style>
  <w:style w:type="paragraph" w:customStyle="1" w:styleId="126">
    <w:name w:val="BodyText1I"/>
    <w:basedOn w:val="127"/>
    <w:link w:val="125"/>
    <w:qFormat/>
    <w:uiPriority w:val="0"/>
    <w:pPr>
      <w:ind w:firstLine="420"/>
    </w:pPr>
  </w:style>
  <w:style w:type="paragraph" w:customStyle="1" w:styleId="127">
    <w:name w:val="BodyText"/>
    <w:basedOn w:val="1"/>
    <w:link w:val="128"/>
    <w:qFormat/>
    <w:uiPriority w:val="0"/>
    <w:pPr>
      <w:spacing w:after="120"/>
    </w:pPr>
    <w:rPr>
      <w:rFonts w:ascii="Times New Roman" w:hAnsi="Times New Roman"/>
      <w:kern w:val="0"/>
      <w:sz w:val="20"/>
      <w:szCs w:val="20"/>
    </w:rPr>
  </w:style>
  <w:style w:type="character" w:customStyle="1" w:styleId="128">
    <w:name w:val="UserStyle_20"/>
    <w:link w:val="127"/>
    <w:qFormat/>
    <w:uiPriority w:val="0"/>
    <w:rPr>
      <w:rFonts w:ascii="Times New Roman" w:hAnsi="Times New Roman" w:eastAsia="宋体"/>
      <w:szCs w:val="20"/>
    </w:rPr>
  </w:style>
  <w:style w:type="character" w:customStyle="1" w:styleId="129">
    <w:name w:val="UserStyle_7"/>
    <w:link w:val="130"/>
    <w:qFormat/>
    <w:uiPriority w:val="0"/>
    <w:rPr>
      <w:rFonts w:ascii="宋体" w:hAnsi="宋体" w:eastAsia="宋体" w:cs="Times New Roman"/>
      <w:b/>
      <w:bCs/>
      <w:sz w:val="24"/>
      <w:szCs w:val="24"/>
    </w:rPr>
  </w:style>
  <w:style w:type="paragraph" w:customStyle="1" w:styleId="130">
    <w:name w:val="AnnotationSubject"/>
    <w:basedOn w:val="70"/>
    <w:next w:val="70"/>
    <w:link w:val="129"/>
    <w:qFormat/>
    <w:uiPriority w:val="0"/>
    <w:rPr>
      <w:b/>
      <w:bCs/>
    </w:rPr>
  </w:style>
  <w:style w:type="character" w:customStyle="1" w:styleId="131">
    <w:name w:val="UserStyle_38"/>
    <w:semiHidden/>
    <w:qFormat/>
    <w:uiPriority w:val="0"/>
    <w:rPr>
      <w:rFonts w:ascii="等线 Light" w:hAnsi="等线 Light" w:eastAsia="等线 Light"/>
      <w:sz w:val="24"/>
      <w:szCs w:val="24"/>
    </w:rPr>
  </w:style>
  <w:style w:type="character" w:customStyle="1" w:styleId="132">
    <w:name w:val="正文首行缩进 Char"/>
    <w:qFormat/>
    <w:uiPriority w:val="99"/>
  </w:style>
  <w:style w:type="paragraph" w:customStyle="1" w:styleId="133">
    <w:name w:val="UserStyle_76"/>
    <w:basedOn w:val="1"/>
    <w:qFormat/>
    <w:uiPriority w:val="0"/>
    <w:rPr>
      <w:rFonts w:ascii="Arial" w:hAnsi="Arial"/>
      <w:sz w:val="48"/>
      <w:szCs w:val="20"/>
    </w:rPr>
  </w:style>
  <w:style w:type="paragraph" w:customStyle="1" w:styleId="134">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37">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38">
    <w:name w:val="UserStyle_65"/>
    <w:basedOn w:val="139"/>
    <w:next w:val="1"/>
    <w:qFormat/>
    <w:uiPriority w:val="0"/>
    <w:pPr>
      <w:spacing w:before="480" w:after="0" w:line="276" w:lineRule="auto"/>
    </w:pPr>
    <w:rPr>
      <w:rFonts w:ascii="Cambria" w:hAnsi="Cambria"/>
      <w:color w:val="365F91"/>
      <w:kern w:val="0"/>
    </w:rPr>
  </w:style>
  <w:style w:type="paragraph" w:customStyle="1" w:styleId="139">
    <w:name w:val="Heading1"/>
    <w:basedOn w:val="4"/>
    <w:next w:val="126"/>
    <w:qFormat/>
    <w:uiPriority w:val="0"/>
    <w:pPr>
      <w:keepNext/>
      <w:keepLines/>
      <w:spacing w:after="120" w:line="360" w:lineRule="auto"/>
    </w:pPr>
    <w:rPr>
      <w:kern w:val="44"/>
      <w:sz w:val="28"/>
      <w:szCs w:val="28"/>
    </w:rPr>
  </w:style>
  <w:style w:type="paragraph" w:customStyle="1" w:styleId="140">
    <w:name w:val="Heading5"/>
    <w:basedOn w:val="141"/>
    <w:next w:val="55"/>
    <w:qFormat/>
    <w:uiPriority w:val="0"/>
    <w:pPr>
      <w:numPr>
        <w:ilvl w:val="4"/>
      </w:numPr>
      <w:spacing w:line="240" w:lineRule="exact"/>
    </w:pPr>
  </w:style>
  <w:style w:type="paragraph" w:customStyle="1" w:styleId="141">
    <w:name w:val="Heading4"/>
    <w:basedOn w:val="142"/>
    <w:next w:val="55"/>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42">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43">
    <w:name w:val="封二"/>
    <w:basedOn w:val="89"/>
    <w:next w:val="89"/>
    <w:qFormat/>
    <w:uiPriority w:val="0"/>
    <w:pPr>
      <w:ind w:firstLine="0" w:firstLineChars="0"/>
      <w:jc w:val="center"/>
    </w:pPr>
    <w:rPr>
      <w:rFonts w:eastAsia="黑体"/>
      <w:b/>
      <w:sz w:val="36"/>
      <w:szCs w:val="36"/>
    </w:rPr>
  </w:style>
  <w:style w:type="paragraph" w:customStyle="1" w:styleId="144">
    <w:name w:val="179"/>
    <w:basedOn w:val="1"/>
    <w:qFormat/>
    <w:uiPriority w:val="0"/>
    <w:pPr>
      <w:ind w:firstLine="420" w:firstLineChars="200"/>
    </w:pPr>
    <w:rPr>
      <w:rFonts w:ascii="Times New Roman" w:hAnsi="Times New Roman"/>
      <w:szCs w:val="20"/>
    </w:rPr>
  </w:style>
  <w:style w:type="paragraph" w:customStyle="1" w:styleId="145">
    <w:name w:val="UserStyle_74"/>
    <w:basedOn w:val="1"/>
    <w:qFormat/>
    <w:uiPriority w:val="0"/>
    <w:rPr>
      <w:rFonts w:ascii="Tahoma" w:hAnsi="Tahoma"/>
      <w:sz w:val="24"/>
      <w:szCs w:val="20"/>
    </w:rPr>
  </w:style>
  <w:style w:type="paragraph" w:customStyle="1" w:styleId="146">
    <w:name w:val="Heading7"/>
    <w:basedOn w:val="1"/>
    <w:next w:val="55"/>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47">
    <w:name w:val="UserStyle_67"/>
    <w:basedOn w:val="148"/>
    <w:qFormat/>
    <w:uiPriority w:val="0"/>
    <w:pPr>
      <w:ind w:firstLine="200" w:firstLineChars="200"/>
    </w:pPr>
    <w:rPr>
      <w:kern w:val="2"/>
    </w:rPr>
  </w:style>
  <w:style w:type="paragraph" w:customStyle="1" w:styleId="148">
    <w:name w:val="UserStyle_59"/>
    <w:next w:val="147"/>
    <w:qFormat/>
    <w:uiPriority w:val="0"/>
    <w:pPr>
      <w:textAlignment w:val="baseline"/>
    </w:pPr>
    <w:rPr>
      <w:rFonts w:ascii="宋体" w:hAnsi="Times New Roman" w:eastAsia="宋体" w:cs="Times New Roman"/>
      <w:sz w:val="24"/>
      <w:szCs w:val="24"/>
      <w:lang w:val="en-US" w:eastAsia="zh-CN" w:bidi="ar-SA"/>
    </w:rPr>
  </w:style>
  <w:style w:type="paragraph" w:customStyle="1" w:styleId="149">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50">
    <w:name w:val="普通(网站)1"/>
    <w:basedOn w:val="1"/>
    <w:qFormat/>
    <w:uiPriority w:val="0"/>
    <w:pPr>
      <w:jc w:val="left"/>
    </w:pPr>
    <w:rPr>
      <w:kern w:val="0"/>
      <w:sz w:val="24"/>
    </w:rPr>
  </w:style>
  <w:style w:type="paragraph" w:customStyle="1" w:styleId="151">
    <w:name w:val="Heading2"/>
    <w:basedOn w:val="1"/>
    <w:next w:val="55"/>
    <w:qFormat/>
    <w:uiPriority w:val="0"/>
    <w:pPr>
      <w:keepNext/>
      <w:keepLines/>
      <w:spacing w:before="120" w:after="120" w:line="415" w:lineRule="auto"/>
      <w:ind w:left="454"/>
      <w:jc w:val="center"/>
    </w:pPr>
    <w:rPr>
      <w:rFonts w:ascii="Arial" w:hAnsi="Arial"/>
      <w:color w:val="000000"/>
      <w:sz w:val="24"/>
      <w:szCs w:val="24"/>
    </w:rPr>
  </w:style>
  <w:style w:type="paragraph" w:customStyle="1" w:styleId="152">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paragraph" w:customStyle="1" w:styleId="153">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54">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55">
    <w:name w:val="Heading8"/>
    <w:basedOn w:val="1"/>
    <w:next w:val="55"/>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56">
    <w:name w:val="UserStyle_68"/>
    <w:basedOn w:val="1"/>
    <w:qFormat/>
    <w:uiPriority w:val="0"/>
    <w:pPr>
      <w:numPr>
        <w:ilvl w:val="0"/>
        <w:numId w:val="1"/>
      </w:numPr>
    </w:pPr>
    <w:rPr>
      <w:rFonts w:ascii="Times New Roman" w:hAnsi="Times New Roman"/>
      <w:sz w:val="24"/>
      <w:szCs w:val="24"/>
    </w:rPr>
  </w:style>
  <w:style w:type="paragraph" w:customStyle="1" w:styleId="157">
    <w:name w:val="正题"/>
    <w:basedOn w:val="89"/>
    <w:next w:val="89"/>
    <w:qFormat/>
    <w:uiPriority w:val="0"/>
    <w:pPr>
      <w:ind w:firstLine="0" w:firstLineChars="0"/>
      <w:jc w:val="center"/>
    </w:pPr>
    <w:rPr>
      <w:rFonts w:eastAsia="黑体"/>
      <w:b/>
      <w:sz w:val="36"/>
      <w:szCs w:val="36"/>
    </w:rPr>
  </w:style>
  <w:style w:type="paragraph" w:customStyle="1" w:styleId="158">
    <w:name w:val="正文文本3"/>
    <w:basedOn w:val="1"/>
    <w:qFormat/>
    <w:uiPriority w:val="0"/>
    <w:pPr>
      <w:shd w:val="clear" w:color="auto" w:fill="FFFFFF"/>
      <w:spacing w:line="0" w:lineRule="atLeast"/>
    </w:pPr>
    <w:rPr>
      <w:rFonts w:ascii="宋体" w:hAnsi="宋体" w:cs="宋体"/>
      <w:sz w:val="19"/>
      <w:szCs w:val="19"/>
    </w:rPr>
  </w:style>
  <w:style w:type="paragraph" w:customStyle="1" w:styleId="159">
    <w:name w:val="UserStyle_58"/>
    <w:basedOn w:val="148"/>
    <w:qFormat/>
    <w:uiPriority w:val="0"/>
    <w:pPr>
      <w:ind w:firstLine="420" w:firstLineChars="200"/>
    </w:pPr>
  </w:style>
  <w:style w:type="paragraph" w:customStyle="1" w:styleId="160">
    <w:name w:val="封四"/>
    <w:basedOn w:val="89"/>
    <w:next w:val="89"/>
    <w:qFormat/>
    <w:uiPriority w:val="0"/>
    <w:pPr>
      <w:jc w:val="left"/>
    </w:pPr>
    <w:rPr>
      <w:sz w:val="30"/>
      <w:szCs w:val="30"/>
    </w:rPr>
  </w:style>
  <w:style w:type="paragraph" w:customStyle="1" w:styleId="161">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62">
    <w:name w:val="UserStyle_72"/>
    <w:basedOn w:val="99"/>
    <w:qFormat/>
    <w:uiPriority w:val="0"/>
    <w:rPr>
      <w:rFonts w:ascii="Tahoma" w:hAnsi="Tahoma"/>
      <w:sz w:val="24"/>
      <w:szCs w:val="24"/>
    </w:rPr>
  </w:style>
  <w:style w:type="paragraph" w:customStyle="1" w:styleId="163">
    <w:name w:val="UserStyle_75"/>
    <w:basedOn w:val="1"/>
    <w:qFormat/>
    <w:uiPriority w:val="0"/>
    <w:rPr>
      <w:rFonts w:ascii="Times New Roman" w:hAnsi="Times New Roman"/>
      <w:sz w:val="30"/>
      <w:szCs w:val="24"/>
    </w:rPr>
  </w:style>
  <w:style w:type="paragraph" w:customStyle="1" w:styleId="164">
    <w:name w:val="列出段落1"/>
    <w:basedOn w:val="1"/>
    <w:qFormat/>
    <w:uiPriority w:val="0"/>
    <w:pPr>
      <w:widowControl w:val="0"/>
      <w:ind w:firstLine="420" w:firstLineChars="200"/>
      <w:textAlignment w:val="auto"/>
    </w:pPr>
    <w:rPr>
      <w:szCs w:val="21"/>
    </w:rPr>
  </w:style>
  <w:style w:type="paragraph" w:customStyle="1" w:styleId="165">
    <w:name w:val="HtmlNormal"/>
    <w:basedOn w:val="1"/>
    <w:qFormat/>
    <w:uiPriority w:val="0"/>
    <w:rPr>
      <w:rFonts w:ascii="仿宋_GB2312" w:hAnsi="Times New Roman"/>
      <w:sz w:val="24"/>
      <w:szCs w:val="32"/>
    </w:rPr>
  </w:style>
  <w:style w:type="paragraph" w:customStyle="1" w:styleId="166">
    <w:name w:val="UserStyle_56"/>
    <w:qFormat/>
    <w:uiPriority w:val="0"/>
    <w:pPr>
      <w:textAlignment w:val="baseline"/>
    </w:pPr>
    <w:rPr>
      <w:rFonts w:ascii="等线" w:hAnsi="等线" w:eastAsia="等线" w:cs="Times New Roman"/>
      <w:lang w:val="en-US" w:eastAsia="zh-CN" w:bidi="ar-SA"/>
    </w:rPr>
  </w:style>
  <w:style w:type="paragraph" w:customStyle="1" w:styleId="167">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68">
    <w:name w:val="UserStyle_62"/>
    <w:basedOn w:val="55"/>
    <w:qFormat/>
    <w:uiPriority w:val="0"/>
    <w:pPr>
      <w:ind w:firstLine="0"/>
    </w:pPr>
    <w:rPr>
      <w:rFonts w:ascii="仿宋_GB2312" w:eastAsia="仿宋_GB2312"/>
      <w:sz w:val="30"/>
      <w:szCs w:val="24"/>
    </w:rPr>
  </w:style>
  <w:style w:type="paragraph" w:customStyle="1" w:styleId="169">
    <w:name w:val="UserStyle_69"/>
    <w:basedOn w:val="170"/>
    <w:qFormat/>
    <w:uiPriority w:val="0"/>
    <w:pPr>
      <w:ind w:left="4094" w:right="607" w:firstLine="0"/>
      <w:jc w:val="center"/>
    </w:pPr>
  </w:style>
  <w:style w:type="paragraph" w:customStyle="1" w:styleId="170">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71">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72">
    <w:name w:val="_Style 170"/>
    <w:unhideWhenUsed/>
    <w:qFormat/>
    <w:uiPriority w:val="99"/>
    <w:rPr>
      <w:rFonts w:ascii="Calibri" w:hAnsi="Calibri" w:eastAsia="宋体" w:cs="Times New Roman"/>
      <w:kern w:val="2"/>
      <w:sz w:val="21"/>
      <w:szCs w:val="22"/>
      <w:lang w:val="en-US" w:eastAsia="zh-CN" w:bidi="ar-SA"/>
    </w:rPr>
  </w:style>
  <w:style w:type="paragraph" w:customStyle="1" w:styleId="173">
    <w:name w:val="封一"/>
    <w:basedOn w:val="89"/>
    <w:next w:val="89"/>
    <w:qFormat/>
    <w:uiPriority w:val="0"/>
    <w:pPr>
      <w:ind w:firstLine="0" w:firstLineChars="0"/>
      <w:jc w:val="center"/>
    </w:pPr>
    <w:rPr>
      <w:rFonts w:eastAsia="黑体"/>
      <w:b/>
      <w:sz w:val="84"/>
      <w:szCs w:val="84"/>
    </w:rPr>
  </w:style>
  <w:style w:type="paragraph" w:customStyle="1" w:styleId="174">
    <w:name w:val="UserStyle_73"/>
    <w:basedOn w:val="142"/>
    <w:qFormat/>
    <w:uiPriority w:val="0"/>
    <w:pPr>
      <w:keepNext/>
      <w:keepLines/>
      <w:spacing w:before="0" w:after="0"/>
      <w:ind w:left="1469" w:right="1542"/>
    </w:pPr>
    <w:rPr>
      <w:rFonts w:hAnsi="Times New Roman"/>
      <w:kern w:val="2"/>
      <w:sz w:val="44"/>
      <w:szCs w:val="21"/>
    </w:rPr>
  </w:style>
  <w:style w:type="paragraph" w:customStyle="1" w:styleId="175">
    <w:name w:val="Index1"/>
    <w:basedOn w:val="1"/>
    <w:next w:val="1"/>
    <w:qFormat/>
    <w:uiPriority w:val="0"/>
    <w:rPr>
      <w:rFonts w:ascii="Times New Roman" w:hAnsi="Times New Roman" w:eastAsia="仿宋_GB2312"/>
      <w:sz w:val="28"/>
      <w:szCs w:val="20"/>
    </w:rPr>
  </w:style>
  <w:style w:type="paragraph" w:customStyle="1" w:styleId="176">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77">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78">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table" w:customStyle="1" w:styleId="179">
    <w:name w:val="TableGrid"/>
    <w:basedOn w:val="180"/>
    <w:qFormat/>
    <w:uiPriority w:val="0"/>
  </w:style>
  <w:style w:type="table" w:customStyle="1" w:styleId="180">
    <w:name w:val="TableNormal"/>
    <w:qFormat/>
    <w:uiPriority w:val="0"/>
    <w:tblPr>
      <w:tblCellMar>
        <w:top w:w="0" w:type="dxa"/>
        <w:left w:w="0" w:type="dxa"/>
        <w:bottom w:w="0" w:type="dxa"/>
        <w:right w:w="0" w:type="dxa"/>
      </w:tblCellMar>
    </w:tblPr>
  </w:style>
  <w:style w:type="paragraph" w:customStyle="1" w:styleId="181">
    <w:name w:val="文二"/>
    <w:basedOn w:val="1"/>
    <w:qFormat/>
    <w:uiPriority w:val="0"/>
    <w:pPr>
      <w:spacing w:after="200" w:line="276" w:lineRule="auto"/>
      <w:jc w:val="left"/>
    </w:pPr>
    <w:rPr>
      <w:rFonts w:ascii="宋体" w:hAnsi="宋体"/>
      <w:kern w:val="0"/>
      <w:sz w:val="22"/>
      <w:szCs w:val="21"/>
      <w:lang w:eastAsia="en-US" w:bidi="en-US"/>
    </w:rPr>
  </w:style>
  <w:style w:type="character" w:customStyle="1" w:styleId="182">
    <w:name w:val="font11"/>
    <w:basedOn w:val="30"/>
    <w:qFormat/>
    <w:uiPriority w:val="0"/>
    <w:rPr>
      <w:rFonts w:hint="eastAsia" w:ascii="宋体" w:hAnsi="宋体" w:eastAsia="宋体"/>
      <w:color w:val="000000"/>
      <w:sz w:val="24"/>
      <w:szCs w:val="24"/>
      <w:u w:val="single"/>
    </w:rPr>
  </w:style>
  <w:style w:type="character" w:customStyle="1" w:styleId="183">
    <w:name w:val="font31"/>
    <w:basedOn w:val="30"/>
    <w:qFormat/>
    <w:uiPriority w:val="0"/>
    <w:rPr>
      <w:rFonts w:hint="eastAsia" w:ascii="宋体" w:hAnsi="宋体" w:eastAsia="宋体" w:cs="宋体"/>
      <w:color w:val="FF0000"/>
      <w:sz w:val="21"/>
      <w:szCs w:val="21"/>
      <w:u w:val="none"/>
    </w:rPr>
  </w:style>
  <w:style w:type="paragraph" w:customStyle="1" w:styleId="184">
    <w:name w:val="普通(网站)11"/>
    <w:basedOn w:val="1"/>
    <w:qFormat/>
    <w:uiPriority w:val="0"/>
    <w:pPr>
      <w:jc w:val="left"/>
    </w:pPr>
    <w:rPr>
      <w:kern w:val="0"/>
      <w:sz w:val="24"/>
    </w:rPr>
  </w:style>
  <w:style w:type="paragraph" w:customStyle="1" w:styleId="185">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86">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99</Pages>
  <Words>64185</Words>
  <Characters>66986</Characters>
  <Lines>455</Lines>
  <Paragraphs>128</Paragraphs>
  <TotalTime>30</TotalTime>
  <ScaleCrop>false</ScaleCrop>
  <LinksUpToDate>false</LinksUpToDate>
  <CharactersWithSpaces>69887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2025-09-05T01:47:00Z</dcterms:created>
  <dc:creator>Administrator</dc:creator>
  <cp:lastModifiedBy>TIAMO</cp:lastModifiedBy>
  <cp:lastPrinted>2025-07-01T01:17:00Z</cp:lastPrinted>
  <dcterms:modified xsi:type="dcterms:W3CDTF">2025-09-10T02:22:14Z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730110B5F8CA4A68984C970870A22926</vt:lpwstr>
  </property>
  <property fmtid="{D5CDD505-2E9C-101B-9397-08002B2CF9AE}" pid="4" name="KSOTemplateDocerSaveRecord">
    <vt:lpwstr>eyJoZGlkIjoiZTJhMmVmOTc3ZjhkODU2Y2EzMzQ3MjAwMzVjOThmMGMiLCJ1c2VySWQiOiI2NTI3NzI0NDQifQ==</vt:lpwstr>
  </property>
</Properties>
</file>