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color w:val="auto"/>
          <w:sz w:val="48"/>
          <w:szCs w:val="46"/>
          <w:highlight w:val="none"/>
        </w:rPr>
      </w:pPr>
    </w:p>
    <w:p>
      <w:pPr>
        <w:spacing w:line="480" w:lineRule="auto"/>
        <w:jc w:val="center"/>
        <w:rPr>
          <w:rFonts w:hint="eastAsia" w:ascii="宋体" w:hAnsi="宋体" w:eastAsia="宋体" w:cs="宋体"/>
          <w:b/>
          <w:color w:val="auto"/>
          <w:sz w:val="48"/>
          <w:szCs w:val="46"/>
          <w:highlight w:val="none"/>
        </w:rPr>
      </w:pPr>
    </w:p>
    <w:p>
      <w:pPr>
        <w:adjustRightInd w:val="0"/>
        <w:snapToGrid w:val="0"/>
        <w:spacing w:line="1000" w:lineRule="exact"/>
        <w:jc w:val="center"/>
        <w:rPr>
          <w:rFonts w:hint="eastAsia" w:ascii="宋体" w:hAnsi="宋体" w:cs="宋体"/>
          <w:b/>
          <w:bCs/>
          <w:snapToGrid w:val="0"/>
          <w:color w:val="auto"/>
          <w:w w:val="90"/>
          <w:sz w:val="52"/>
          <w:szCs w:val="52"/>
          <w:highlight w:val="none"/>
          <w:lang w:eastAsia="zh-CN"/>
        </w:rPr>
      </w:pPr>
      <w:r>
        <w:rPr>
          <w:rFonts w:hint="eastAsia" w:ascii="宋体" w:hAnsi="宋体" w:cs="宋体"/>
          <w:b/>
          <w:bCs/>
          <w:snapToGrid w:val="0"/>
          <w:color w:val="auto"/>
          <w:w w:val="90"/>
          <w:sz w:val="52"/>
          <w:szCs w:val="52"/>
          <w:highlight w:val="none"/>
          <w:lang w:eastAsia="zh-CN"/>
        </w:rPr>
        <w:t>“海上丝绸之路”·印象越秀国家AAAA旅游区配套基础设施建设项目</w:t>
      </w:r>
    </w:p>
    <w:p>
      <w:pPr>
        <w:adjustRightInd w:val="0"/>
        <w:snapToGrid w:val="0"/>
        <w:spacing w:line="1000" w:lineRule="exact"/>
        <w:jc w:val="center"/>
        <w:rPr>
          <w:rFonts w:hint="eastAsia" w:ascii="宋体" w:hAnsi="宋体" w:eastAsia="宋体" w:cs="宋体"/>
          <w:b/>
          <w:bCs/>
          <w:snapToGrid w:val="0"/>
          <w:color w:val="auto"/>
          <w:w w:val="90"/>
          <w:sz w:val="52"/>
          <w:szCs w:val="52"/>
          <w:highlight w:val="none"/>
          <w:lang w:eastAsia="zh-CN"/>
        </w:rPr>
      </w:pPr>
      <w:r>
        <w:rPr>
          <w:rFonts w:hint="eastAsia" w:ascii="宋体" w:hAnsi="宋体" w:cs="宋体"/>
          <w:b/>
          <w:bCs/>
          <w:snapToGrid w:val="0"/>
          <w:color w:val="auto"/>
          <w:w w:val="90"/>
          <w:sz w:val="52"/>
          <w:szCs w:val="52"/>
          <w:highlight w:val="none"/>
          <w:lang w:eastAsia="zh-CN"/>
        </w:rPr>
        <w:t>——海丝智慧街区改造项目施工总承包</w:t>
      </w: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color w:val="auto"/>
          <w:sz w:val="36"/>
          <w:highlight w:val="none"/>
          <w:u w:val="single"/>
        </w:rPr>
      </w:pPr>
    </w:p>
    <w:p>
      <w:pPr>
        <w:spacing w:line="360" w:lineRule="auto"/>
        <w:jc w:val="center"/>
        <w:rPr>
          <w:rFonts w:hint="eastAsia" w:ascii="宋体" w:hAnsi="宋体" w:eastAsia="宋体" w:cs="宋体"/>
          <w:b/>
          <w:bCs/>
          <w:color w:val="auto"/>
          <w:spacing w:val="26"/>
          <w:sz w:val="110"/>
          <w:szCs w:val="110"/>
          <w:highlight w:val="none"/>
        </w:rPr>
      </w:pPr>
      <w:r>
        <w:rPr>
          <w:rFonts w:hint="eastAsia" w:ascii="宋体" w:hAnsi="宋体" w:eastAsia="宋体" w:cs="宋体"/>
          <w:b/>
          <w:bCs/>
          <w:color w:val="auto"/>
          <w:spacing w:val="26"/>
          <w:sz w:val="96"/>
          <w:szCs w:val="110"/>
          <w:highlight w:val="none"/>
        </w:rPr>
        <w:t>招标公告</w:t>
      </w:r>
    </w:p>
    <w:p>
      <w:pPr>
        <w:spacing w:line="360" w:lineRule="auto"/>
        <w:jc w:val="center"/>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tabs>
          <w:tab w:val="left" w:pos="2513"/>
        </w:tabs>
        <w:spacing w:line="360" w:lineRule="auto"/>
        <w:rPr>
          <w:rFonts w:hint="eastAsia" w:ascii="宋体" w:hAnsi="宋体" w:eastAsia="宋体" w:cs="宋体"/>
          <w:color w:val="auto"/>
          <w:sz w:val="52"/>
          <w:highlight w:val="none"/>
        </w:rPr>
      </w:pPr>
      <w:r>
        <w:rPr>
          <w:rFonts w:hint="eastAsia" w:ascii="宋体" w:hAnsi="宋体" w:eastAsia="宋体" w:cs="宋体"/>
          <w:color w:val="auto"/>
          <w:sz w:val="52"/>
          <w:highlight w:val="none"/>
        </w:rPr>
        <w:tab/>
      </w:r>
    </w:p>
    <w:p>
      <w:pPr>
        <w:spacing w:line="360" w:lineRule="auto"/>
        <w:ind w:left="1050" w:leftChars="500"/>
        <w:jc w:val="left"/>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rPr>
        <w:t>招 标 单 位：</w:t>
      </w:r>
      <w:r>
        <w:rPr>
          <w:rFonts w:hint="eastAsia" w:ascii="宋体" w:hAnsi="宋体" w:eastAsia="宋体" w:cs="宋体"/>
          <w:b/>
          <w:bCs/>
          <w:color w:val="auto"/>
          <w:sz w:val="30"/>
          <w:szCs w:val="30"/>
          <w:highlight w:val="none"/>
          <w:u w:val="none"/>
          <w:lang w:eastAsia="zh-CN"/>
        </w:rPr>
        <w:t>广州市越秀区文化广电旅游体育局</w:t>
      </w:r>
    </w:p>
    <w:p>
      <w:pPr>
        <w:spacing w:line="360" w:lineRule="auto"/>
        <w:ind w:left="1050" w:leftChars="500"/>
        <w:jc w:val="left"/>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rPr>
        <w:t>招标代理单位：</w:t>
      </w:r>
      <w:r>
        <w:rPr>
          <w:rFonts w:hint="eastAsia" w:ascii="宋体" w:hAnsi="宋体" w:eastAsia="宋体" w:cs="宋体"/>
          <w:b/>
          <w:bCs/>
          <w:color w:val="auto"/>
          <w:sz w:val="30"/>
          <w:szCs w:val="30"/>
          <w:highlight w:val="none"/>
          <w:u w:val="none"/>
          <w:lang w:eastAsia="zh-CN"/>
        </w:rPr>
        <w:t>广东省国际工程咨询有限公司</w:t>
      </w:r>
    </w:p>
    <w:p>
      <w:pPr>
        <w:spacing w:line="360" w:lineRule="auto"/>
        <w:ind w:left="1050" w:leftChars="500"/>
        <w:jc w:val="left"/>
        <w:rPr>
          <w:rFonts w:hint="eastAsia" w:ascii="宋体" w:hAnsi="宋体" w:eastAsia="宋体" w:cs="宋体"/>
          <w:b/>
          <w:bCs/>
          <w:color w:val="auto"/>
          <w:sz w:val="30"/>
          <w:szCs w:val="30"/>
          <w:highlight w:val="none"/>
          <w:u w:val="none"/>
        </w:rPr>
      </w:pPr>
      <w:r>
        <w:rPr>
          <w:rFonts w:hint="eastAsia" w:ascii="宋体" w:hAnsi="宋体" w:eastAsia="宋体" w:cs="宋体"/>
          <w:b/>
          <w:bCs/>
          <w:color w:val="auto"/>
          <w:sz w:val="32"/>
          <w:highlight w:val="none"/>
          <w:u w:val="none"/>
        </w:rPr>
        <w:t>日       期：202</w:t>
      </w:r>
      <w:r>
        <w:rPr>
          <w:rFonts w:hint="eastAsia" w:ascii="宋体" w:hAnsi="宋体" w:eastAsia="宋体" w:cs="宋体"/>
          <w:b/>
          <w:bCs/>
          <w:color w:val="auto"/>
          <w:sz w:val="32"/>
          <w:highlight w:val="none"/>
          <w:u w:val="none"/>
          <w:lang w:val="en-US" w:eastAsia="zh-CN"/>
        </w:rPr>
        <w:t>5</w:t>
      </w:r>
      <w:r>
        <w:rPr>
          <w:rFonts w:hint="eastAsia" w:ascii="宋体" w:hAnsi="宋体" w:eastAsia="宋体" w:cs="宋体"/>
          <w:b/>
          <w:bCs/>
          <w:color w:val="auto"/>
          <w:sz w:val="32"/>
          <w:highlight w:val="none"/>
          <w:u w:val="none"/>
        </w:rPr>
        <w:t>年</w:t>
      </w:r>
      <w:r>
        <w:rPr>
          <w:rFonts w:hint="eastAsia" w:ascii="宋体" w:hAnsi="宋体" w:cs="宋体"/>
          <w:b/>
          <w:bCs/>
          <w:color w:val="auto"/>
          <w:sz w:val="32"/>
          <w:highlight w:val="none"/>
          <w:u w:val="none"/>
          <w:lang w:val="en-US" w:eastAsia="zh-CN"/>
        </w:rPr>
        <w:t>9</w:t>
      </w:r>
      <w:r>
        <w:rPr>
          <w:rFonts w:hint="eastAsia" w:ascii="宋体" w:hAnsi="宋体" w:eastAsia="宋体" w:cs="宋体"/>
          <w:b/>
          <w:bCs/>
          <w:color w:val="auto"/>
          <w:sz w:val="30"/>
          <w:szCs w:val="30"/>
          <w:highlight w:val="none"/>
          <w:u w:val="none"/>
        </w:rPr>
        <w:t>月</w:t>
      </w:r>
    </w:p>
    <w:p>
      <w:pPr>
        <w:spacing w:line="360" w:lineRule="auto"/>
        <w:ind w:firstLine="900" w:firstLineChars="300"/>
        <w:rPr>
          <w:rFonts w:hint="eastAsia" w:ascii="宋体" w:hAnsi="宋体" w:eastAsia="宋体" w:cs="宋体"/>
          <w:color w:val="auto"/>
          <w:sz w:val="30"/>
          <w:szCs w:val="30"/>
          <w:highlight w:val="none"/>
        </w:rPr>
      </w:pPr>
    </w:p>
    <w:p>
      <w:pPr>
        <w:spacing w:line="360" w:lineRule="auto"/>
        <w:ind w:firstLine="632" w:firstLineChars="300"/>
        <w:jc w:val="left"/>
        <w:rPr>
          <w:rFonts w:hint="eastAsia" w:ascii="宋体" w:hAnsi="宋体" w:eastAsia="宋体" w:cs="宋体"/>
          <w:b/>
          <w:bCs/>
          <w:color w:val="auto"/>
          <w:highlight w:val="none"/>
          <w:u w:val="single"/>
        </w:rPr>
        <w:sectPr>
          <w:pgSz w:w="11906" w:h="16838"/>
          <w:pgMar w:top="1440" w:right="1800" w:bottom="1440" w:left="1800" w:header="851" w:footer="992" w:gutter="0"/>
          <w:cols w:space="720" w:num="1"/>
          <w:docGrid w:type="lines" w:linePitch="312" w:charSpace="0"/>
        </w:sectPr>
      </w:pPr>
    </w:p>
    <w:p>
      <w:pPr>
        <w:pStyle w:val="9"/>
        <w:spacing w:line="360" w:lineRule="auto"/>
        <w:jc w:val="center"/>
        <w:rPr>
          <w:rFonts w:hint="eastAsia" w:eastAsia="宋体"/>
          <w:b/>
          <w:bCs/>
          <w:color w:val="auto"/>
          <w:sz w:val="30"/>
          <w:szCs w:val="30"/>
          <w:highlight w:val="none"/>
          <w:lang w:eastAsia="zh-CN"/>
        </w:rPr>
      </w:pPr>
      <w:r>
        <w:rPr>
          <w:rFonts w:hint="eastAsia"/>
          <w:b/>
          <w:bCs/>
          <w:color w:val="auto"/>
          <w:sz w:val="30"/>
          <w:szCs w:val="30"/>
          <w:highlight w:val="none"/>
          <w:lang w:eastAsia="zh-CN"/>
        </w:rPr>
        <w:t>“海上丝绸之路”·印象越秀国家AAAA旅游区配套基础设施建设项目——海丝智慧街区改造项目施工总承包</w:t>
      </w:r>
    </w:p>
    <w:p>
      <w:pPr>
        <w:pStyle w:val="9"/>
        <w:spacing w:line="360" w:lineRule="auto"/>
        <w:jc w:val="center"/>
        <w:rPr>
          <w:b/>
          <w:bCs/>
          <w:color w:val="auto"/>
          <w:sz w:val="30"/>
          <w:szCs w:val="30"/>
          <w:highlight w:val="none"/>
        </w:rPr>
      </w:pPr>
      <w:r>
        <w:rPr>
          <w:rFonts w:hint="eastAsia"/>
          <w:b/>
          <w:bCs/>
          <w:color w:val="auto"/>
          <w:sz w:val="30"/>
          <w:szCs w:val="30"/>
          <w:highlight w:val="none"/>
        </w:rPr>
        <w:t>招标公告</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广州市越秀区发展和改革局以《广州市越秀区发展和改革局关于“海上丝绸之路”·印象越秀国家AAAA旅游区配套基础设施建设项目可行性研究报告的复函》穗越发改投批〔2023〕11号</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项目代码：2306-440104-04-01-240818</w:t>
      </w:r>
      <w:r>
        <w:rPr>
          <w:rFonts w:hint="eastAsia" w:ascii="宋体" w:hAnsi="宋体"/>
          <w:color w:val="auto"/>
          <w:szCs w:val="21"/>
          <w:highlight w:val="none"/>
          <w:u w:val="single"/>
          <w:lang w:eastAsia="zh-CN"/>
        </w:rPr>
        <w:t>）</w:t>
      </w:r>
      <w:r>
        <w:rPr>
          <w:rFonts w:hint="eastAsia" w:ascii="宋体" w:hAnsi="宋体"/>
          <w:color w:val="auto"/>
          <w:szCs w:val="21"/>
          <w:highlight w:val="none"/>
        </w:rPr>
        <w:t>文件批准，并且图纸和技术资料满足施工需要，</w:t>
      </w:r>
      <w:r>
        <w:rPr>
          <w:rFonts w:hint="eastAsia" w:ascii="宋体" w:hAnsi="宋体"/>
          <w:color w:val="auto"/>
          <w:szCs w:val="21"/>
          <w:highlight w:val="none"/>
          <w:u w:val="single"/>
          <w:lang w:eastAsia="zh-CN"/>
        </w:rPr>
        <w:t>广州市越秀区文化广电旅游体育局</w:t>
      </w:r>
      <w:r>
        <w:rPr>
          <w:rFonts w:hint="eastAsia" w:ascii="宋体" w:hAnsi="宋体"/>
          <w:color w:val="auto"/>
          <w:szCs w:val="21"/>
          <w:highlight w:val="none"/>
        </w:rPr>
        <w:t>现对</w:t>
      </w:r>
      <w:r>
        <w:rPr>
          <w:rFonts w:hint="eastAsia" w:ascii="宋体" w:hAnsi="宋体"/>
          <w:color w:val="auto"/>
          <w:szCs w:val="21"/>
          <w:highlight w:val="none"/>
          <w:u w:val="single"/>
        </w:rPr>
        <w:t>“海上丝绸之路”·印象越秀国家AAAA旅游区配套基础设施建设项目——海丝智慧街区改造项目</w:t>
      </w:r>
      <w:r>
        <w:rPr>
          <w:rFonts w:hint="eastAsia" w:ascii="宋体" w:hAnsi="宋体"/>
          <w:color w:val="auto"/>
          <w:szCs w:val="21"/>
          <w:highlight w:val="none"/>
        </w:rPr>
        <w:t>进行施工总承包公开招标，选定承包人。</w:t>
      </w:r>
    </w:p>
    <w:p>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一、工程名称：</w:t>
      </w:r>
      <w:r>
        <w:rPr>
          <w:rFonts w:hint="eastAsia" w:ascii="宋体" w:hAnsi="宋体"/>
          <w:color w:val="auto"/>
          <w:szCs w:val="21"/>
          <w:highlight w:val="none"/>
          <w:u w:val="single"/>
          <w:lang w:eastAsia="zh-CN"/>
        </w:rPr>
        <w:t>“海上丝绸之路”·印象越秀国家AAAA旅游区配套基础设施建设项目——海丝智慧街区改造项目施工总承包</w:t>
      </w:r>
    </w:p>
    <w:p>
      <w:pPr>
        <w:spacing w:line="450" w:lineRule="exact"/>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项目代码：</w:t>
      </w:r>
      <w:r>
        <w:rPr>
          <w:rFonts w:hint="eastAsia" w:ascii="宋体" w:hAnsi="宋体"/>
          <w:color w:val="auto"/>
          <w:szCs w:val="21"/>
          <w:highlight w:val="none"/>
          <w:u w:val="single"/>
          <w:lang w:eastAsia="zh-CN"/>
        </w:rPr>
        <w:t>2306-440104-04-01-240818</w:t>
      </w:r>
    </w:p>
    <w:p>
      <w:pPr>
        <w:spacing w:line="45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二、招标单位：</w:t>
      </w:r>
      <w:r>
        <w:rPr>
          <w:rFonts w:hint="eastAsia" w:ascii="宋体" w:hAnsi="宋体"/>
          <w:color w:val="auto"/>
          <w:szCs w:val="21"/>
          <w:highlight w:val="none"/>
          <w:u w:val="single"/>
          <w:lang w:eastAsia="zh-CN"/>
        </w:rPr>
        <w:t>广州市越秀区文化广电旅游体育局</w:t>
      </w:r>
    </w:p>
    <w:p>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lang w:eastAsia="zh-CN"/>
        </w:rPr>
        <w:t>曹小姐、赵先生</w:t>
      </w:r>
      <w:r>
        <w:rPr>
          <w:rFonts w:hint="eastAsia" w:ascii="宋体" w:hAnsi="宋体"/>
          <w:color w:val="auto"/>
          <w:szCs w:val="21"/>
          <w:highlight w:val="none"/>
        </w:rPr>
        <w:t xml:space="preserve">     联系电话：</w:t>
      </w:r>
      <w:r>
        <w:rPr>
          <w:rFonts w:hint="eastAsia" w:ascii="宋体" w:hAnsi="宋体"/>
          <w:color w:val="auto"/>
          <w:szCs w:val="21"/>
          <w:highlight w:val="none"/>
          <w:u w:val="single"/>
        </w:rPr>
        <w:t>020-87624907、020-87760519</w:t>
      </w:r>
    </w:p>
    <w:p>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联系地址：</w:t>
      </w:r>
      <w:r>
        <w:rPr>
          <w:rFonts w:hint="eastAsia" w:ascii="宋体" w:hAnsi="宋体"/>
          <w:color w:val="auto"/>
          <w:szCs w:val="21"/>
          <w:highlight w:val="none"/>
          <w:u w:val="single"/>
        </w:rPr>
        <w:t>广东省广州市越秀区署前路 8 号 9 楼</w:t>
      </w:r>
    </w:p>
    <w:p>
      <w:pPr>
        <w:spacing w:line="450" w:lineRule="exact"/>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招标代理机构：</w:t>
      </w:r>
      <w:r>
        <w:rPr>
          <w:rFonts w:hint="eastAsia" w:ascii="宋体" w:hAnsi="宋体"/>
          <w:color w:val="auto"/>
          <w:szCs w:val="21"/>
          <w:highlight w:val="none"/>
          <w:u w:val="single"/>
          <w:lang w:eastAsia="zh-CN"/>
        </w:rPr>
        <w:t>广东省国际工程咨询有限公司</w:t>
      </w:r>
    </w:p>
    <w:p>
      <w:pPr>
        <w:spacing w:line="450" w:lineRule="exact"/>
        <w:ind w:firstLine="840" w:firstLineChars="400"/>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eastAsia="宋体" w:cs="Times New Roman"/>
          <w:color w:val="auto"/>
          <w:szCs w:val="21"/>
          <w:highlight w:val="none"/>
          <w:u w:val="single"/>
        </w:rPr>
        <w:t>王工</w:t>
      </w:r>
      <w:r>
        <w:rPr>
          <w:rFonts w:hint="eastAsia" w:ascii="宋体" w:hAnsi="宋体"/>
          <w:color w:val="auto"/>
          <w:szCs w:val="21"/>
          <w:highlight w:val="none"/>
        </w:rPr>
        <w:t xml:space="preserve">     联系电话：</w:t>
      </w:r>
      <w:r>
        <w:rPr>
          <w:rFonts w:hint="eastAsia" w:ascii="宋体" w:hAnsi="宋体"/>
          <w:color w:val="auto"/>
          <w:szCs w:val="21"/>
          <w:highlight w:val="none"/>
          <w:u w:val="single"/>
        </w:rPr>
        <w:t>020-83549690、15973379905</w:t>
      </w:r>
    </w:p>
    <w:p>
      <w:pPr>
        <w:spacing w:line="450" w:lineRule="exact"/>
        <w:ind w:firstLine="840" w:firstLineChars="40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广州市越秀区环市中路316号金鹰大厦16楼1619</w:t>
      </w:r>
    </w:p>
    <w:p>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招标监督机构：</w:t>
      </w:r>
      <w:r>
        <w:rPr>
          <w:rFonts w:hint="eastAsia" w:ascii="宋体" w:hAnsi="宋体"/>
          <w:color w:val="auto"/>
          <w:szCs w:val="21"/>
          <w:highlight w:val="none"/>
          <w:u w:val="single"/>
        </w:rPr>
        <w:t>广州市越秀区建设工程招投标管理中心</w:t>
      </w:r>
    </w:p>
    <w:p>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监督电话：</w:t>
      </w:r>
      <w:r>
        <w:rPr>
          <w:rFonts w:hint="eastAsia" w:ascii="宋体" w:hAnsi="宋体"/>
          <w:color w:val="auto"/>
          <w:szCs w:val="21"/>
          <w:highlight w:val="none"/>
          <w:u w:val="single"/>
        </w:rPr>
        <w:t>020-37668900</w:t>
      </w:r>
    </w:p>
    <w:p>
      <w:pPr>
        <w:spacing w:line="450" w:lineRule="exact"/>
        <w:ind w:firstLine="840" w:firstLineChars="400"/>
        <w:rPr>
          <w:rFonts w:ascii="宋体" w:hAnsi="宋体"/>
          <w:color w:val="auto"/>
          <w:szCs w:val="21"/>
          <w:highlight w:val="none"/>
        </w:rPr>
      </w:pPr>
      <w:r>
        <w:rPr>
          <w:rFonts w:hint="eastAsia" w:ascii="宋体" w:hAnsi="宋体"/>
          <w:color w:val="auto"/>
          <w:szCs w:val="21"/>
          <w:highlight w:val="none"/>
        </w:rPr>
        <w:t>联系地址：</w:t>
      </w:r>
      <w:r>
        <w:rPr>
          <w:rFonts w:hint="eastAsia" w:ascii="宋体" w:hAnsi="宋体"/>
          <w:color w:val="auto"/>
          <w:szCs w:val="21"/>
          <w:highlight w:val="none"/>
          <w:u w:val="single"/>
        </w:rPr>
        <w:t>广州市越秀区东华东路 353号锦桦荟336室</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三、建设地点：</w:t>
      </w:r>
      <w:r>
        <w:rPr>
          <w:rFonts w:hint="eastAsia" w:ascii="宋体" w:hAnsi="宋体"/>
          <w:color w:val="auto"/>
          <w:szCs w:val="21"/>
          <w:highlight w:val="none"/>
          <w:u w:val="single"/>
        </w:rPr>
        <w:t>越秀区西部，东至解放路、南至惠福西路、西至人民路、北至东风路，涉及光塔街道、六榕街道</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四、项目概况：</w:t>
      </w:r>
      <w:bookmarkStart w:id="0" w:name="OLE_LINK1"/>
      <w:r>
        <w:rPr>
          <w:rFonts w:hint="eastAsia" w:ascii="宋体" w:hAnsi="宋体"/>
          <w:color w:val="auto"/>
          <w:szCs w:val="21"/>
          <w:highlight w:val="none"/>
          <w:u w:val="single"/>
        </w:rPr>
        <w:t>本项目</w:t>
      </w:r>
      <w:r>
        <w:rPr>
          <w:rFonts w:hint="eastAsia" w:ascii="宋体" w:hAnsi="宋体" w:eastAsia="宋体" w:cs="Times New Roman"/>
          <w:bCs/>
          <w:color w:val="auto"/>
          <w:sz w:val="21"/>
          <w:szCs w:val="20"/>
          <w:highlight w:val="none"/>
          <w:u w:val="single"/>
          <w:lang w:val="en-US" w:eastAsia="zh-CN"/>
        </w:rPr>
        <w:t>主要是对</w:t>
      </w:r>
      <w:r>
        <w:rPr>
          <w:rFonts w:hint="eastAsia" w:ascii="宋体" w:hAnsi="宋体" w:eastAsia="宋体" w:cs="Times New Roman"/>
          <w:bCs/>
          <w:color w:val="auto"/>
          <w:kern w:val="2"/>
          <w:sz w:val="21"/>
          <w:szCs w:val="20"/>
          <w:highlight w:val="none"/>
          <w:u w:val="single"/>
          <w:lang w:val="en-US" w:eastAsia="zh-CN" w:bidi="ar"/>
        </w:rPr>
        <w:t>项目范围内基础设施、旅游公共服务保障设施、旅游公共配套设施、道路、市政设施、照明设施、街区、空间环境及相关配套工程等进行建设和改造提升，面积约107公顷。建设内容主要涉及:包括但不限于周边基础设施及路面修葺、</w:t>
      </w:r>
      <w:r>
        <w:rPr>
          <w:rFonts w:hint="eastAsia" w:ascii="宋体" w:hAnsi="宋体" w:eastAsia="宋体" w:cs="Times New Roman"/>
          <w:b w:val="0"/>
          <w:bCs/>
          <w:i w:val="0"/>
          <w:iCs w:val="0"/>
          <w:caps w:val="0"/>
          <w:color w:val="auto"/>
          <w:spacing w:val="0"/>
          <w:kern w:val="2"/>
          <w:sz w:val="21"/>
          <w:szCs w:val="20"/>
          <w:highlight w:val="none"/>
          <w:u w:val="single"/>
          <w:lang w:val="en-US" w:eastAsia="zh-CN" w:bidi="ar"/>
        </w:rPr>
        <w:t>三线下地、</w:t>
      </w:r>
      <w:r>
        <w:rPr>
          <w:rFonts w:hint="eastAsia" w:ascii="宋体" w:hAnsi="宋体" w:eastAsia="宋体" w:cs="Times New Roman"/>
          <w:bCs/>
          <w:color w:val="auto"/>
          <w:kern w:val="2"/>
          <w:sz w:val="21"/>
          <w:szCs w:val="20"/>
          <w:highlight w:val="none"/>
          <w:u w:val="single"/>
          <w:lang w:val="en-US" w:eastAsia="zh-CN" w:bidi="ar"/>
        </w:rPr>
        <w:t>骑楼、历史建筑、风貌建筑、特色建筑修缮活化、增配公共服务设施、海丝文化公共空间改造（含街区微公园改造、绿化修复）等</w:t>
      </w:r>
      <w:r>
        <w:rPr>
          <w:rFonts w:hint="eastAsia" w:ascii="宋体" w:hAnsi="宋体" w:eastAsia="宋体" w:cs="Times New Roman"/>
          <w:bCs/>
          <w:color w:val="auto"/>
          <w:sz w:val="21"/>
          <w:szCs w:val="20"/>
          <w:highlight w:val="none"/>
          <w:u w:val="single"/>
          <w:lang w:val="en-US" w:eastAsia="zh-CN"/>
        </w:rPr>
        <w:t>项目工程总承包施工及配合服务。</w:t>
      </w:r>
      <w:r>
        <w:rPr>
          <w:rFonts w:hint="eastAsia" w:ascii="宋体" w:hAnsi="宋体" w:eastAsia="宋体" w:cs="Times New Roman"/>
          <w:bCs/>
          <w:color w:val="auto"/>
          <w:kern w:val="2"/>
          <w:sz w:val="21"/>
          <w:szCs w:val="20"/>
          <w:highlight w:val="none"/>
          <w:u w:val="single"/>
          <w:lang w:val="en-US" w:eastAsia="zh-CN" w:bidi="ar"/>
        </w:rPr>
        <w:t>项目专业</w:t>
      </w:r>
      <w:r>
        <w:rPr>
          <w:rFonts w:hint="eastAsia" w:ascii="宋体" w:hAnsi="宋体" w:eastAsia="宋体" w:cs="Times New Roman"/>
          <w:b w:val="0"/>
          <w:bCs/>
          <w:i w:val="0"/>
          <w:iCs w:val="0"/>
          <w:caps w:val="0"/>
          <w:color w:val="auto"/>
          <w:spacing w:val="0"/>
          <w:kern w:val="2"/>
          <w:sz w:val="21"/>
          <w:szCs w:val="20"/>
          <w:highlight w:val="none"/>
          <w:u w:val="single"/>
          <w:lang w:val="en-US" w:eastAsia="zh-CN" w:bidi="ar"/>
        </w:rPr>
        <w:t>包括但限于建筑结构加固、装饰装修、给排水、消防、电气、暖通、强弱电、通风空调、市政、园林等专业工程。</w:t>
      </w:r>
      <w:r>
        <w:rPr>
          <w:rFonts w:hint="eastAsia" w:ascii="宋体" w:hAnsi="宋体" w:eastAsia="宋体" w:cs="Times New Roman"/>
          <w:bCs/>
          <w:color w:val="auto"/>
          <w:kern w:val="2"/>
          <w:sz w:val="21"/>
          <w:szCs w:val="20"/>
          <w:highlight w:val="none"/>
          <w:u w:val="single"/>
          <w:lang w:val="en-US" w:eastAsia="zh-CN" w:bidi="ar"/>
        </w:rPr>
        <w:t>具体以招标图纸、工程量清单及有关资料说明为准。</w:t>
      </w:r>
      <w:bookmarkEnd w:id="0"/>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五、标段划分及各标段招标内容、规模和最高投标限价：</w:t>
      </w:r>
    </w:p>
    <w:p>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标段划分：</w:t>
      </w:r>
      <w:r>
        <w:rPr>
          <w:rFonts w:hint="eastAsia" w:ascii="宋体" w:hAnsi="宋体"/>
          <w:color w:val="auto"/>
          <w:szCs w:val="21"/>
          <w:highlight w:val="none"/>
          <w:u w:val="single"/>
        </w:rPr>
        <w:t>本工程划分为1个标段。</w:t>
      </w:r>
    </w:p>
    <w:p>
      <w:pPr>
        <w:spacing w:line="45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招标内容及规模：</w:t>
      </w:r>
    </w:p>
    <w:p>
      <w:pPr>
        <w:spacing w:line="450" w:lineRule="exact"/>
        <w:ind w:firstLine="420" w:firstLineChars="200"/>
        <w:rPr>
          <w:rFonts w:hint="eastAsia" w:ascii="宋体" w:hAnsi="宋体"/>
          <w:color w:val="auto"/>
          <w:szCs w:val="21"/>
          <w:highlight w:val="none"/>
          <w:u w:val="single"/>
        </w:rPr>
      </w:pPr>
      <w:r>
        <w:rPr>
          <w:rFonts w:ascii="宋体" w:hAnsi="宋体"/>
          <w:color w:val="auto"/>
          <w:szCs w:val="21"/>
          <w:highlight w:val="none"/>
        </w:rPr>
        <w:t>2.1</w:t>
      </w:r>
      <w:r>
        <w:rPr>
          <w:rFonts w:hint="eastAsia" w:ascii="宋体" w:hAnsi="宋体"/>
          <w:color w:val="auto"/>
          <w:szCs w:val="21"/>
          <w:highlight w:val="none"/>
        </w:rPr>
        <w:t>招标内容：</w:t>
      </w:r>
      <w:bookmarkStart w:id="1" w:name="OLE_LINK2"/>
      <w:r>
        <w:rPr>
          <w:rFonts w:hint="eastAsia" w:ascii="宋体" w:hAnsi="宋体"/>
          <w:color w:val="auto"/>
          <w:szCs w:val="21"/>
          <w:highlight w:val="none"/>
          <w:u w:val="single"/>
        </w:rPr>
        <w:t>本项目</w:t>
      </w:r>
      <w:r>
        <w:rPr>
          <w:rFonts w:hint="eastAsia" w:ascii="宋体" w:hAnsi="宋体" w:eastAsia="宋体" w:cs="Times New Roman"/>
          <w:bCs/>
          <w:color w:val="auto"/>
          <w:sz w:val="21"/>
          <w:szCs w:val="20"/>
          <w:highlight w:val="none"/>
          <w:u w:val="single"/>
          <w:lang w:val="en-US" w:eastAsia="zh-CN"/>
        </w:rPr>
        <w:t>主要是对</w:t>
      </w:r>
      <w:r>
        <w:rPr>
          <w:rFonts w:hint="eastAsia" w:ascii="宋体" w:hAnsi="宋体" w:eastAsia="宋体" w:cs="Times New Roman"/>
          <w:bCs/>
          <w:color w:val="auto"/>
          <w:kern w:val="2"/>
          <w:sz w:val="21"/>
          <w:szCs w:val="20"/>
          <w:highlight w:val="none"/>
          <w:u w:val="single"/>
          <w:lang w:val="en-US" w:eastAsia="zh-CN" w:bidi="ar"/>
        </w:rPr>
        <w:t>项目范围内基础设施、旅游公共服务保障设施、旅游公共配套设施、道路、市政设施、照明设施、街区、空间环境及相关配套工程等进行建设和改造提升，面积约107公顷。建设内容主要涉及:包括但不限于周边基础设施及路面修葺、</w:t>
      </w:r>
      <w:r>
        <w:rPr>
          <w:rFonts w:hint="eastAsia" w:ascii="宋体" w:hAnsi="宋体" w:eastAsia="宋体" w:cs="Times New Roman"/>
          <w:b w:val="0"/>
          <w:bCs/>
          <w:i w:val="0"/>
          <w:iCs w:val="0"/>
          <w:caps w:val="0"/>
          <w:color w:val="auto"/>
          <w:spacing w:val="0"/>
          <w:kern w:val="2"/>
          <w:sz w:val="21"/>
          <w:szCs w:val="20"/>
          <w:highlight w:val="none"/>
          <w:u w:val="single"/>
          <w:lang w:val="en-US" w:eastAsia="zh-CN" w:bidi="ar"/>
        </w:rPr>
        <w:t>三线下地、</w:t>
      </w:r>
      <w:r>
        <w:rPr>
          <w:rFonts w:hint="eastAsia" w:ascii="宋体" w:hAnsi="宋体" w:eastAsia="宋体" w:cs="Times New Roman"/>
          <w:bCs/>
          <w:color w:val="auto"/>
          <w:kern w:val="2"/>
          <w:sz w:val="21"/>
          <w:szCs w:val="20"/>
          <w:highlight w:val="none"/>
          <w:u w:val="single"/>
          <w:lang w:val="en-US" w:eastAsia="zh-CN" w:bidi="ar"/>
        </w:rPr>
        <w:t>骑楼、历史建筑、风貌建筑、特色建筑修缮活化、增配公共服务设施、海丝文化公共空间改造（含街区微公园改造、绿化修复）等</w:t>
      </w:r>
      <w:r>
        <w:rPr>
          <w:rFonts w:hint="eastAsia" w:ascii="宋体" w:hAnsi="宋体" w:eastAsia="宋体" w:cs="Times New Roman"/>
          <w:bCs/>
          <w:color w:val="auto"/>
          <w:sz w:val="21"/>
          <w:szCs w:val="20"/>
          <w:highlight w:val="none"/>
          <w:u w:val="single"/>
          <w:lang w:val="en-US" w:eastAsia="zh-CN"/>
        </w:rPr>
        <w:t>项目工程总承包施工及配合服务。</w:t>
      </w:r>
      <w:r>
        <w:rPr>
          <w:rFonts w:hint="eastAsia" w:ascii="宋体" w:hAnsi="宋体" w:eastAsia="宋体" w:cs="Times New Roman"/>
          <w:bCs/>
          <w:color w:val="auto"/>
          <w:kern w:val="2"/>
          <w:sz w:val="21"/>
          <w:szCs w:val="20"/>
          <w:highlight w:val="none"/>
          <w:u w:val="single"/>
          <w:lang w:val="en-US" w:eastAsia="zh-CN" w:bidi="ar"/>
        </w:rPr>
        <w:t>项目专业</w:t>
      </w:r>
      <w:r>
        <w:rPr>
          <w:rFonts w:hint="eastAsia" w:ascii="宋体" w:hAnsi="宋体" w:eastAsia="宋体" w:cs="Times New Roman"/>
          <w:b w:val="0"/>
          <w:bCs/>
          <w:i w:val="0"/>
          <w:iCs w:val="0"/>
          <w:caps w:val="0"/>
          <w:color w:val="auto"/>
          <w:spacing w:val="0"/>
          <w:kern w:val="2"/>
          <w:sz w:val="21"/>
          <w:szCs w:val="20"/>
          <w:highlight w:val="none"/>
          <w:u w:val="single"/>
          <w:lang w:val="en-US" w:eastAsia="zh-CN" w:bidi="ar"/>
        </w:rPr>
        <w:t>包括但限于建筑结构加固、装饰装修、给排水、消防、电气、暖通、强弱电、通风空调、市政、园林等专业工程。</w:t>
      </w:r>
      <w:r>
        <w:rPr>
          <w:rFonts w:hint="eastAsia" w:ascii="宋体" w:hAnsi="宋体" w:eastAsia="宋体" w:cs="Times New Roman"/>
          <w:bCs/>
          <w:color w:val="auto"/>
          <w:kern w:val="2"/>
          <w:sz w:val="21"/>
          <w:szCs w:val="20"/>
          <w:highlight w:val="none"/>
          <w:u w:val="single"/>
          <w:lang w:val="en-US" w:eastAsia="zh-CN" w:bidi="ar"/>
        </w:rPr>
        <w:t>具体以招标图纸、工程量清单及有关资料说明为准。</w:t>
      </w:r>
    </w:p>
    <w:p>
      <w:pPr>
        <w:spacing w:line="450" w:lineRule="exact"/>
        <w:ind w:firstLine="420" w:firstLineChars="200"/>
        <w:rPr>
          <w:rFonts w:hint="eastAsia" w:ascii="宋体" w:hAnsi="宋体" w:eastAsia="宋体" w:cs="Times New Roman"/>
          <w:color w:val="auto"/>
          <w:szCs w:val="21"/>
          <w:highlight w:val="none"/>
          <w:u w:val="single"/>
          <w:lang w:eastAsia="zh-CN"/>
        </w:rPr>
      </w:pPr>
      <w:bookmarkStart w:id="2" w:name="_Toc208625683"/>
      <w:bookmarkStart w:id="3" w:name="_Toc209337924"/>
      <w:r>
        <w:rPr>
          <w:rFonts w:hint="eastAsia" w:ascii="宋体" w:hAnsi="宋体" w:eastAsia="宋体" w:cs="Times New Roman"/>
          <w:color w:val="auto"/>
          <w:szCs w:val="21"/>
          <w:highlight w:val="none"/>
          <w:u w:val="single"/>
          <w:lang w:eastAsia="zh-CN"/>
        </w:rPr>
        <w:t>本</w:t>
      </w:r>
      <w:r>
        <w:rPr>
          <w:rFonts w:hint="eastAsia" w:ascii="宋体" w:hAnsi="宋体" w:eastAsia="宋体" w:cs="Times New Roman"/>
          <w:color w:val="auto"/>
          <w:szCs w:val="21"/>
          <w:highlight w:val="none"/>
          <w:u w:val="single"/>
        </w:rPr>
        <w:t>项目标招标范围包括工程项目的施工阶段、工程收尾阶段</w:t>
      </w:r>
      <w:r>
        <w:rPr>
          <w:rFonts w:hint="eastAsia" w:ascii="宋体" w:hAnsi="宋体" w:eastAsia="宋体" w:cs="Times New Roman"/>
          <w:color w:val="auto"/>
          <w:szCs w:val="21"/>
          <w:highlight w:val="none"/>
          <w:u w:val="single"/>
          <w:lang w:eastAsia="zh-CN"/>
        </w:rPr>
        <w:t>、竣工后验收及竣工资料、实物移交，结算、决算，以及配合巡察、审计工作</w:t>
      </w:r>
      <w:bookmarkEnd w:id="2"/>
      <w:bookmarkEnd w:id="3"/>
      <w:r>
        <w:rPr>
          <w:rFonts w:hint="eastAsia" w:ascii="宋体" w:hAnsi="宋体" w:eastAsia="宋体" w:cs="Times New Roman"/>
          <w:color w:val="auto"/>
          <w:szCs w:val="21"/>
          <w:highlight w:val="none"/>
          <w:u w:val="single"/>
          <w:lang w:eastAsia="zh-CN"/>
        </w:rPr>
        <w:t>。</w:t>
      </w:r>
    </w:p>
    <w:p>
      <w:pPr>
        <w:spacing w:line="450" w:lineRule="exact"/>
        <w:ind w:firstLine="420" w:firstLineChars="200"/>
        <w:rPr>
          <w:rFonts w:hint="eastAsia"/>
          <w:color w:val="auto"/>
          <w:highlight w:val="none"/>
          <w:lang w:eastAsia="zh-CN"/>
        </w:rPr>
      </w:pPr>
      <w:r>
        <w:rPr>
          <w:rFonts w:hint="eastAsia" w:ascii="宋体" w:hAnsi="宋体"/>
          <w:color w:val="auto"/>
          <w:szCs w:val="21"/>
          <w:highlight w:val="none"/>
          <w:u w:val="single"/>
          <w:lang w:val="en-US" w:eastAsia="zh-CN"/>
        </w:rPr>
        <w:t>注：</w:t>
      </w:r>
      <w:r>
        <w:rPr>
          <w:rFonts w:hint="eastAsia" w:ascii="宋体" w:hAnsi="宋体"/>
          <w:color w:val="auto"/>
          <w:szCs w:val="21"/>
          <w:highlight w:val="none"/>
          <w:u w:val="single"/>
        </w:rPr>
        <w:t>具体</w:t>
      </w:r>
      <w:r>
        <w:rPr>
          <w:rFonts w:hint="eastAsia" w:ascii="宋体" w:hAnsi="宋体"/>
          <w:color w:val="auto"/>
          <w:szCs w:val="21"/>
          <w:highlight w:val="none"/>
          <w:u w:val="single"/>
          <w:lang w:val="en-US" w:eastAsia="zh-CN"/>
        </w:rPr>
        <w:t>内容</w:t>
      </w:r>
      <w:r>
        <w:rPr>
          <w:rFonts w:hint="eastAsia" w:ascii="宋体" w:hAnsi="宋体"/>
          <w:color w:val="auto"/>
          <w:szCs w:val="21"/>
          <w:highlight w:val="none"/>
          <w:u w:val="single"/>
        </w:rPr>
        <w:t>以招标文件、招标图纸、工程量清单及有关资料说明为准。</w:t>
      </w:r>
      <w:bookmarkEnd w:id="1"/>
    </w:p>
    <w:p>
      <w:pPr>
        <w:spacing w:line="450" w:lineRule="exact"/>
        <w:ind w:firstLine="420" w:firstLineChars="200"/>
        <w:rPr>
          <w:rFonts w:ascii="宋体" w:hAnsi="宋体"/>
          <w:color w:val="auto"/>
          <w:szCs w:val="21"/>
          <w:highlight w:val="none"/>
          <w:u w:val="single"/>
        </w:rPr>
      </w:pPr>
      <w:r>
        <w:rPr>
          <w:rFonts w:hint="eastAsia" w:ascii="宋体" w:hAnsi="宋体"/>
          <w:color w:val="auto"/>
          <w:highlight w:val="none"/>
        </w:rPr>
        <w:t>2</w:t>
      </w:r>
      <w:r>
        <w:rPr>
          <w:rFonts w:ascii="宋体" w:hAnsi="宋体"/>
          <w:color w:val="auto"/>
          <w:highlight w:val="none"/>
        </w:rPr>
        <w:t>.2</w:t>
      </w:r>
      <w:r>
        <w:rPr>
          <w:rFonts w:hint="eastAsia" w:ascii="宋体" w:hAnsi="宋体"/>
          <w:color w:val="auto"/>
          <w:highlight w:val="none"/>
        </w:rPr>
        <w:t>招标规模：</w:t>
      </w:r>
      <w:r>
        <w:rPr>
          <w:rFonts w:hint="eastAsia" w:ascii="宋体" w:hAnsi="宋体"/>
          <w:color w:val="auto"/>
          <w:highlight w:val="none"/>
          <w:u w:val="single"/>
        </w:rPr>
        <w:t>总投资估算约为23314.59万元。其中，本项目工程费用：暂定人民币约13165.37万元。（注：以上为可行性研究报告批复的投资金额。）</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最高投标限价：</w:t>
      </w:r>
      <w:r>
        <w:rPr>
          <w:rFonts w:hint="eastAsia" w:ascii="宋体" w:hAnsi="宋体"/>
          <w:color w:val="auto"/>
          <w:szCs w:val="21"/>
          <w:highlight w:val="none"/>
          <w:u w:val="single"/>
          <w:lang w:val="en-US" w:eastAsia="zh-CN"/>
        </w:rPr>
        <w:t xml:space="preserve"> 131625883.37 </w:t>
      </w:r>
      <w:r>
        <w:rPr>
          <w:rFonts w:hint="eastAsia" w:ascii="宋体" w:hAnsi="宋体"/>
          <w:color w:val="auto"/>
          <w:szCs w:val="21"/>
          <w:highlight w:val="none"/>
        </w:rPr>
        <w:t>元。</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六、资金来源：</w:t>
      </w:r>
      <w:r>
        <w:rPr>
          <w:rFonts w:hint="eastAsia" w:ascii="宋体" w:hAnsi="宋体"/>
          <w:color w:val="auto"/>
          <w:szCs w:val="21"/>
          <w:highlight w:val="none"/>
          <w:u w:val="single"/>
        </w:rPr>
        <w:t>区财政资金</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注：政府投资项目一律不得以建筑业企业带资承包的方式进行建设。</w:t>
      </w:r>
    </w:p>
    <w:p>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七、</w:t>
      </w:r>
      <w:r>
        <w:rPr>
          <w:rFonts w:hint="eastAsia" w:ascii="宋体" w:hAnsi="宋体"/>
          <w:color w:val="auto"/>
          <w:szCs w:val="21"/>
          <w:highlight w:val="none"/>
        </w:rPr>
        <w:t>公告发布日期、</w:t>
      </w:r>
      <w:r>
        <w:rPr>
          <w:rFonts w:hint="eastAsia" w:ascii="宋体" w:hAnsi="宋体" w:cs="宋体"/>
          <w:color w:val="auto"/>
          <w:szCs w:val="21"/>
          <w:highlight w:val="none"/>
        </w:rPr>
        <w:t>递交投标文件时间与开标时间：</w:t>
      </w:r>
    </w:p>
    <w:p>
      <w:pPr>
        <w:spacing w:line="45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公告发布日期（含本日）：</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日至202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凡有意参加投标者，请登录</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交易平台网站下载电子招标文件。</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注：发布招标公告的时间为招标公告发出之日起至投标截止时间止。</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递交投标文件起始时间：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r>
        <w:rPr>
          <w:rFonts w:hint="eastAsia" w:ascii="宋体" w:hAnsi="宋体"/>
          <w:color w:val="auto"/>
          <w:szCs w:val="21"/>
          <w:highlight w:val="none"/>
        </w:rPr>
        <w:t>；</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递交投标文件备用光盘时间：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分至2024年  月  日  时  分；</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递交投标文件备用光盘地点：广州交易集团有限公司（广州公共资源交易中心）开标室。</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  月  日  时  分。</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投标人通过</w:t>
      </w:r>
      <w:r>
        <w:rPr>
          <w:rFonts w:hint="eastAsia" w:ascii="宋体" w:hAnsi="宋体"/>
          <w:color w:val="auto"/>
          <w:szCs w:val="21"/>
          <w:highlight w:val="none"/>
          <w:u w:val="single"/>
        </w:rPr>
        <w:t>广州交易集团有限公司（广州交易集团有限公司（广州公共资源交易中心））</w:t>
      </w:r>
      <w:r>
        <w:rPr>
          <w:rFonts w:hint="eastAsia" w:ascii="宋体" w:hAnsi="宋体"/>
          <w:color w:val="auto"/>
          <w:szCs w:val="21"/>
          <w:highlight w:val="none"/>
        </w:rPr>
        <w:t>交易平台递交电子投标文件。投标人应在递交投标文件截止时间前，登录</w:t>
      </w:r>
      <w:r>
        <w:rPr>
          <w:rFonts w:hint="eastAsia" w:ascii="宋体" w:hAnsi="宋体"/>
          <w:color w:val="auto"/>
          <w:szCs w:val="21"/>
          <w:highlight w:val="none"/>
          <w:u w:val="single"/>
        </w:rPr>
        <w:t>广州交易集团有限公司（广州交易集团有限公司（广州公共资源交易中心））交</w:t>
      </w:r>
      <w:r>
        <w:rPr>
          <w:rFonts w:hint="eastAsia" w:ascii="宋体" w:hAnsi="宋体"/>
          <w:color w:val="auto"/>
          <w:szCs w:val="21"/>
          <w:highlight w:val="none"/>
        </w:rPr>
        <w:t>易平台网站办理网上投标登记手续。按照交易平台关于全流程电子化项目的相关指南进行操作。详见：</w:t>
      </w:r>
      <w:r>
        <w:rPr>
          <w:rFonts w:hint="eastAsia" w:ascii="宋体" w:hAnsi="宋体"/>
          <w:color w:val="auto"/>
          <w:szCs w:val="21"/>
          <w:highlight w:val="none"/>
          <w:u w:val="single"/>
        </w:rPr>
        <w:t>广州交易集团有限公司（广州交易集团有限公司（广州公共资源交易中心））网站http://www.gzggzy.cn）最新发布的指引。</w:t>
      </w:r>
    </w:p>
    <w:p>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八、招标文件获取方式：</w:t>
      </w:r>
    </w:p>
    <w:p>
      <w:pPr>
        <w:spacing w:line="450" w:lineRule="exact"/>
        <w:ind w:firstLine="420" w:firstLineChars="200"/>
        <w:rPr>
          <w:rFonts w:ascii="宋体" w:hAnsi="宋体"/>
          <w:color w:val="auto"/>
          <w:szCs w:val="21"/>
          <w:highlight w:val="none"/>
          <w:u w:val="single"/>
        </w:rPr>
      </w:pPr>
      <w:r>
        <w:rPr>
          <w:rFonts w:hint="eastAsia" w:ascii="宋体" w:hAnsi="宋体" w:cs="宋体"/>
          <w:color w:val="auto"/>
          <w:kern w:val="0"/>
          <w:szCs w:val="21"/>
          <w:highlight w:val="none"/>
        </w:rPr>
        <w:t>本项目招标文件随招标公告一并在</w:t>
      </w:r>
      <w:r>
        <w:rPr>
          <w:rFonts w:hint="eastAsia" w:ascii="宋体" w:hAnsi="宋体"/>
          <w:color w:val="auto"/>
          <w:szCs w:val="21"/>
          <w:highlight w:val="none"/>
          <w:u w:val="single"/>
        </w:rPr>
        <w:t>广州交易集团有限公司（广州交易集团有限公司（广州公共资源交易中心））</w:t>
      </w:r>
      <w:r>
        <w:rPr>
          <w:rFonts w:hint="eastAsia" w:ascii="宋体" w:hAnsi="宋体"/>
          <w:color w:val="auto"/>
          <w:szCs w:val="21"/>
          <w:highlight w:val="none"/>
        </w:rPr>
        <w:t>交易平台网站发布。招标文件</w:t>
      </w:r>
      <w:r>
        <w:rPr>
          <w:rFonts w:hint="eastAsia" w:ascii="宋体" w:hAnsi="宋体" w:cs="宋体"/>
          <w:color w:val="auto"/>
          <w:kern w:val="0"/>
          <w:szCs w:val="21"/>
          <w:highlight w:val="none"/>
        </w:rPr>
        <w:t>一经在</w:t>
      </w:r>
      <w:r>
        <w:rPr>
          <w:rFonts w:hint="eastAsia" w:ascii="宋体" w:hAnsi="宋体"/>
          <w:color w:val="auto"/>
          <w:szCs w:val="21"/>
          <w:highlight w:val="none"/>
          <w:u w:val="single"/>
        </w:rPr>
        <w:t>广州交易集团有限公司（广州交易集团有限公司（广州公共资源交易中心））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发布，视为发售给投标人，招标文件由投标人自行在</w:t>
      </w:r>
      <w:r>
        <w:rPr>
          <w:rFonts w:hint="eastAsia" w:ascii="宋体" w:hAnsi="宋体"/>
          <w:color w:val="auto"/>
          <w:szCs w:val="21"/>
          <w:highlight w:val="none"/>
          <w:u w:val="single"/>
        </w:rPr>
        <w:t>广州交易集团有限公司（广州交易集团有限公司（广州公共资源交易中心））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网站下载。</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九、投标人合格条件：</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投标人参加投标的意思表达清楚，投标人代表被授权有效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w:t>
      </w:r>
      <w:r>
        <w:rPr>
          <w:rFonts w:hint="eastAsia" w:ascii="宋体" w:hAnsi="宋体"/>
          <w:color w:val="auto"/>
          <w:szCs w:val="21"/>
          <w:highlight w:val="none"/>
          <w:lang w:eastAsia="zh-CN"/>
        </w:rPr>
        <w:t>标申请人须保证授权的委托代理人为本单位的正式职工，</w:t>
      </w:r>
      <w:r>
        <w:rPr>
          <w:rFonts w:hint="eastAsia" w:ascii="宋体" w:hAnsi="宋体" w:eastAsia="宋体" w:cs="Times New Roman"/>
          <w:color w:val="auto"/>
          <w:sz w:val="21"/>
          <w:szCs w:val="21"/>
          <w:highlight w:val="none"/>
        </w:rPr>
        <w:t>须</w:t>
      </w:r>
      <w:r>
        <w:rPr>
          <w:rFonts w:hint="eastAsia" w:ascii="宋体" w:hAnsi="宋体" w:eastAsia="宋体" w:cs="Times New Roman"/>
          <w:color w:val="auto"/>
          <w:sz w:val="21"/>
          <w:szCs w:val="21"/>
          <w:highlight w:val="none"/>
          <w:lang w:val="en-US" w:eastAsia="zh-CN"/>
        </w:rPr>
        <w:t>提供</w:t>
      </w:r>
      <w:r>
        <w:rPr>
          <w:rFonts w:hint="eastAsia" w:ascii="宋体" w:hAnsi="宋体"/>
          <w:color w:val="auto"/>
          <w:szCs w:val="21"/>
          <w:highlight w:val="none"/>
          <w:lang w:eastAsia="zh-CN"/>
        </w:rPr>
        <w:t>2025年8月在投标单位缴纳社保的证明材料扫描件并加盖投标人企业电子印章</w:t>
      </w:r>
      <w:r>
        <w:rPr>
          <w:rFonts w:hint="eastAsia" w:ascii="宋体" w:hAnsi="宋体"/>
          <w:color w:val="auto"/>
          <w:szCs w:val="21"/>
          <w:highlight w:val="none"/>
        </w:rPr>
        <w:t>。</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投标人（含联合体成员）均具有独立法人资格，按国家法律经营。</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投标人应具备以下资质：</w:t>
      </w:r>
    </w:p>
    <w:p>
      <w:pPr>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投标人(如为联合体投标，指联合体</w:t>
      </w:r>
      <w:r>
        <w:rPr>
          <w:rFonts w:hint="eastAsia" w:ascii="宋体" w:hAnsi="宋体"/>
          <w:color w:val="auto"/>
          <w:szCs w:val="21"/>
          <w:highlight w:val="none"/>
          <w:lang w:val="en-US" w:eastAsia="zh-CN"/>
        </w:rPr>
        <w:t>各方中</w:t>
      </w:r>
      <w:r>
        <w:rPr>
          <w:rFonts w:hint="eastAsia" w:ascii="宋体" w:hAnsi="宋体" w:cs="Times New Roman"/>
          <w:color w:val="auto"/>
          <w:sz w:val="21"/>
          <w:szCs w:val="21"/>
          <w:highlight w:val="none"/>
        </w:rPr>
        <w:t>资质等级较低</w:t>
      </w:r>
      <w:r>
        <w:rPr>
          <w:rFonts w:hint="eastAsia" w:ascii="宋体" w:hAnsi="宋体"/>
          <w:color w:val="auto"/>
          <w:szCs w:val="21"/>
          <w:highlight w:val="none"/>
        </w:rPr>
        <w:t>方)应具备承接本工程所需的</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工程施工总承包</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rPr>
        <w:t>级或以上级别施工总承包资质</w:t>
      </w:r>
      <w:r>
        <w:rPr>
          <w:rFonts w:hint="eastAsia" w:ascii="宋体" w:hAnsi="宋体"/>
          <w:color w:val="auto"/>
          <w:szCs w:val="21"/>
          <w:highlight w:val="none"/>
        </w:rPr>
        <w:t>。</w:t>
      </w:r>
    </w:p>
    <w:p>
      <w:pPr>
        <w:spacing w:line="450" w:lineRule="exact"/>
        <w:ind w:firstLine="420" w:firstLineChars="200"/>
        <w:rPr>
          <w:rFonts w:hint="eastAsia"/>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）投标人(如为联合体投标，指联合体</w:t>
      </w:r>
      <w:r>
        <w:rPr>
          <w:rFonts w:hint="eastAsia" w:ascii="宋体" w:hAnsi="宋体" w:cs="宋体"/>
          <w:color w:val="auto"/>
          <w:highlight w:val="none"/>
          <w:lang w:val="en-US" w:eastAsia="zh-CN"/>
        </w:rPr>
        <w:t>牵头</w:t>
      </w:r>
      <w:r>
        <w:rPr>
          <w:rFonts w:hint="eastAsia" w:ascii="宋体" w:hAnsi="宋体" w:eastAsia="宋体" w:cs="宋体"/>
          <w:color w:val="auto"/>
          <w:highlight w:val="none"/>
          <w:lang w:eastAsia="zh-CN"/>
        </w:rPr>
        <w:t>方)拟担任本工程</w:t>
      </w:r>
      <w:r>
        <w:rPr>
          <w:rFonts w:hint="eastAsia" w:ascii="宋体" w:hAnsi="宋体" w:cs="宋体"/>
          <w:color w:val="auto"/>
          <w:highlight w:val="none"/>
          <w:lang w:val="en-US" w:eastAsia="zh-CN"/>
        </w:rPr>
        <w:t>项目负责人</w:t>
      </w:r>
      <w:r>
        <w:rPr>
          <w:rFonts w:hint="eastAsia" w:ascii="宋体" w:hAnsi="宋体" w:eastAsia="宋体" w:cs="宋体"/>
          <w:color w:val="auto"/>
          <w:highlight w:val="none"/>
          <w:lang w:eastAsia="zh-CN"/>
        </w:rPr>
        <w:t>的人员为：</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工程专业</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级注册建造师</w:t>
      </w:r>
      <w:r>
        <w:rPr>
          <w:rFonts w:hint="eastAsia" w:ascii="宋体" w:hAnsi="宋体" w:eastAsia="宋体" w:cs="宋体"/>
          <w:color w:val="auto"/>
          <w:highlight w:val="none"/>
          <w:lang w:eastAsia="zh-CN"/>
        </w:rPr>
        <w:t>。</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②根据《住房和城乡建设部办公厅关于全面实行一级建造师电子注册证书的通知》（建办市〔2021〕40号），自2022年1月1日起，一级建造师统一使用电子证书，纸质证书作废。</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③项目负责人在任职期间不得担任专职安全员，项目专职安全员在任职期间也不得担任项目负责人，项目负责人和专职安全员不为同一人。</w:t>
      </w:r>
    </w:p>
    <w:p>
      <w:pPr>
        <w:spacing w:line="45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投标人(如为联合体投标，指联合体</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方)持有建设行政主管部门颁发的有效期内安全生产许可证</w:t>
      </w:r>
      <w:r>
        <w:rPr>
          <w:rFonts w:hint="eastAsia" w:ascii="宋体" w:hAnsi="宋体" w:cs="宋体"/>
          <w:color w:val="auto"/>
          <w:szCs w:val="21"/>
          <w:highlight w:val="none"/>
          <w:lang w:eastAsia="zh-CN"/>
        </w:rPr>
        <w:t>。</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lang w:val="en-US" w:eastAsia="zh-CN"/>
        </w:rPr>
        <w:t>项目负责人</w:t>
      </w:r>
      <w:r>
        <w:rPr>
          <w:rFonts w:hint="eastAsia" w:ascii="宋体" w:hAnsi="宋体"/>
          <w:bCs/>
          <w:color w:val="auto"/>
          <w:szCs w:val="21"/>
          <w:highlight w:val="none"/>
        </w:rPr>
        <w:t>(联合体投标时，由联合体</w:t>
      </w:r>
      <w:r>
        <w:rPr>
          <w:rFonts w:hint="eastAsia" w:ascii="宋体" w:hAnsi="宋体"/>
          <w:bCs/>
          <w:color w:val="auto"/>
          <w:szCs w:val="21"/>
          <w:highlight w:val="none"/>
          <w:lang w:val="en-US" w:eastAsia="zh-CN"/>
        </w:rPr>
        <w:t>牵头</w:t>
      </w:r>
      <w:r>
        <w:rPr>
          <w:rFonts w:hint="eastAsia"/>
          <w:color w:val="auto"/>
          <w:highlight w:val="none"/>
          <w:lang w:val="en-US" w:eastAsia="zh-CN"/>
        </w:rPr>
        <w:t>方</w:t>
      </w:r>
      <w:r>
        <w:rPr>
          <w:rFonts w:hint="eastAsia" w:ascii="宋体" w:hAnsi="宋体"/>
          <w:bCs/>
          <w:color w:val="auto"/>
          <w:szCs w:val="21"/>
          <w:highlight w:val="none"/>
        </w:rPr>
        <w:t>提供)</w:t>
      </w:r>
      <w:r>
        <w:rPr>
          <w:rFonts w:ascii="宋体" w:hAnsi="宋体"/>
          <w:bCs/>
          <w:color w:val="auto"/>
          <w:szCs w:val="21"/>
          <w:highlight w:val="none"/>
        </w:rPr>
        <w:t>持有</w:t>
      </w:r>
      <w:r>
        <w:rPr>
          <w:rFonts w:hint="eastAsia" w:ascii="宋体" w:hAnsi="宋体"/>
          <w:bCs/>
          <w:color w:val="auto"/>
          <w:szCs w:val="21"/>
          <w:highlight w:val="none"/>
          <w:u w:val="single"/>
        </w:rPr>
        <w:t>在有效期内的</w:t>
      </w:r>
      <w:r>
        <w:rPr>
          <w:rFonts w:ascii="宋体" w:hAnsi="宋体"/>
          <w:bCs/>
          <w:color w:val="auto"/>
          <w:szCs w:val="21"/>
          <w:highlight w:val="none"/>
        </w:rPr>
        <w:t>安全</w:t>
      </w:r>
      <w:r>
        <w:rPr>
          <w:rFonts w:hint="eastAsia" w:ascii="宋体" w:hAnsi="宋体"/>
          <w:bCs/>
          <w:color w:val="auto"/>
          <w:szCs w:val="21"/>
          <w:highlight w:val="none"/>
        </w:rPr>
        <w:t>生产</w:t>
      </w:r>
      <w:r>
        <w:rPr>
          <w:rFonts w:ascii="宋体" w:hAnsi="宋体"/>
          <w:bCs/>
          <w:color w:val="auto"/>
          <w:szCs w:val="21"/>
          <w:highlight w:val="none"/>
        </w:rPr>
        <w:t>考核合格证（B类）</w:t>
      </w:r>
      <w:r>
        <w:rPr>
          <w:rFonts w:ascii="宋体" w:hAnsi="宋体" w:cs="宋体"/>
          <w:color w:val="auto"/>
          <w:szCs w:val="21"/>
          <w:highlight w:val="none"/>
        </w:rPr>
        <w:t>或</w:t>
      </w:r>
      <w:r>
        <w:rPr>
          <w:rFonts w:hint="eastAsia" w:ascii="宋体" w:hAnsi="宋体" w:cs="宋体"/>
          <w:color w:val="auto"/>
          <w:szCs w:val="21"/>
          <w:highlight w:val="none"/>
        </w:rPr>
        <w:t>建筑施工企业项目负责人安全生产考核合格证书。</w:t>
      </w:r>
    </w:p>
    <w:p>
      <w:pPr>
        <w:spacing w:line="450" w:lineRule="exact"/>
        <w:ind w:firstLine="420" w:firstLineChars="200"/>
        <w:rPr>
          <w:rFonts w:ascii="宋体" w:hAnsi="宋体"/>
          <w:color w:val="auto"/>
          <w:szCs w:val="21"/>
          <w:highlight w:val="none"/>
          <w:u w:val="single"/>
        </w:rPr>
      </w:pPr>
      <w:r>
        <w:rPr>
          <w:rFonts w:ascii="宋体" w:hAnsi="宋体" w:cs="宋体"/>
          <w:color w:val="auto"/>
          <w:szCs w:val="21"/>
          <w:highlight w:val="none"/>
        </w:rPr>
        <w:t>6.</w:t>
      </w:r>
      <w:r>
        <w:rPr>
          <w:rFonts w:hint="eastAsia" w:ascii="宋体" w:hAnsi="宋体"/>
          <w:color w:val="auto"/>
          <w:szCs w:val="21"/>
          <w:highlight w:val="none"/>
        </w:rPr>
        <w:t>投标人拟担任本工程技术负责人(联合体投标时，</w:t>
      </w:r>
      <w:r>
        <w:rPr>
          <w:rFonts w:hint="eastAsia" w:ascii="宋体" w:hAnsi="宋体"/>
          <w:bCs/>
          <w:color w:val="auto"/>
          <w:szCs w:val="21"/>
          <w:highlight w:val="none"/>
        </w:rPr>
        <w:t>由联合体</w:t>
      </w:r>
      <w:r>
        <w:rPr>
          <w:rFonts w:hint="eastAsia" w:ascii="宋体" w:hAnsi="宋体"/>
          <w:bCs/>
          <w:color w:val="auto"/>
          <w:szCs w:val="21"/>
          <w:highlight w:val="none"/>
          <w:lang w:val="en-US" w:eastAsia="zh-CN"/>
        </w:rPr>
        <w:t>牵头</w:t>
      </w:r>
      <w:r>
        <w:rPr>
          <w:rFonts w:hint="eastAsia"/>
          <w:color w:val="auto"/>
          <w:highlight w:val="none"/>
          <w:lang w:val="en-US" w:eastAsia="zh-CN"/>
        </w:rPr>
        <w:t>方</w:t>
      </w:r>
      <w:r>
        <w:rPr>
          <w:rFonts w:hint="eastAsia" w:ascii="宋体" w:hAnsi="宋体"/>
          <w:bCs/>
          <w:color w:val="auto"/>
          <w:szCs w:val="21"/>
          <w:highlight w:val="none"/>
        </w:rPr>
        <w:t>提供</w:t>
      </w:r>
      <w:r>
        <w:rPr>
          <w:rFonts w:hint="eastAsia" w:ascii="宋体" w:hAnsi="宋体"/>
          <w:color w:val="auto"/>
          <w:szCs w:val="21"/>
          <w:highlight w:val="none"/>
        </w:rPr>
        <w:t>)的资格要求为：</w:t>
      </w:r>
      <w:r>
        <w:rPr>
          <w:rFonts w:hint="eastAsia" w:ascii="宋体" w:hAnsi="宋体"/>
          <w:color w:val="auto"/>
          <w:szCs w:val="21"/>
          <w:highlight w:val="none"/>
          <w:u w:val="single"/>
        </w:rPr>
        <w:t>具有</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工程相关专业</w:t>
      </w:r>
      <w:r>
        <w:rPr>
          <w:rFonts w:hint="eastAsia" w:ascii="宋体" w:hAnsi="宋体"/>
          <w:color w:val="auto"/>
          <w:szCs w:val="21"/>
          <w:highlight w:val="none"/>
          <w:u w:val="single"/>
          <w:lang w:val="en-US" w:eastAsia="zh-CN"/>
        </w:rPr>
        <w:t>中</w:t>
      </w:r>
      <w:r>
        <w:rPr>
          <w:rFonts w:hint="eastAsia" w:ascii="宋体" w:hAnsi="宋体"/>
          <w:color w:val="auto"/>
          <w:szCs w:val="21"/>
          <w:highlight w:val="none"/>
          <w:u w:val="single"/>
        </w:rPr>
        <w:t>级或以上技术职称。</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bCs/>
          <w:color w:val="auto"/>
          <w:szCs w:val="21"/>
          <w:highlight w:val="none"/>
        </w:rPr>
        <w:t>专职安全员(联合体投标时，由联合体</w:t>
      </w:r>
      <w:r>
        <w:rPr>
          <w:rFonts w:hint="eastAsia" w:ascii="宋体" w:hAnsi="宋体"/>
          <w:bCs/>
          <w:color w:val="auto"/>
          <w:szCs w:val="21"/>
          <w:highlight w:val="none"/>
          <w:lang w:val="en-US" w:eastAsia="zh-CN"/>
        </w:rPr>
        <w:t>牵头</w:t>
      </w:r>
      <w:r>
        <w:rPr>
          <w:rFonts w:hint="eastAsia"/>
          <w:color w:val="auto"/>
          <w:highlight w:val="none"/>
          <w:lang w:val="en-US" w:eastAsia="zh-CN"/>
        </w:rPr>
        <w:t>方</w:t>
      </w:r>
      <w:r>
        <w:rPr>
          <w:rFonts w:hint="eastAsia" w:ascii="宋体" w:hAnsi="宋体"/>
          <w:bCs/>
          <w:color w:val="auto"/>
          <w:szCs w:val="21"/>
          <w:highlight w:val="none"/>
        </w:rPr>
        <w:t>提供)须具有</w:t>
      </w:r>
      <w:r>
        <w:rPr>
          <w:rFonts w:hint="eastAsia" w:ascii="宋体" w:hAnsi="宋体"/>
          <w:bCs/>
          <w:color w:val="auto"/>
          <w:szCs w:val="21"/>
          <w:highlight w:val="none"/>
          <w:u w:val="single"/>
        </w:rPr>
        <w:t>在有效期内的</w:t>
      </w:r>
      <w:r>
        <w:rPr>
          <w:rFonts w:hint="eastAsia" w:ascii="宋体" w:hAnsi="宋体"/>
          <w:bCs/>
          <w:color w:val="auto"/>
          <w:szCs w:val="21"/>
          <w:highlight w:val="none"/>
        </w:rPr>
        <w:t>安全生产考核合格证（C类）或建筑施工企业专职安全生产管理人员安全生产考核合格证书（C3</w:t>
      </w:r>
      <w:r>
        <w:rPr>
          <w:rFonts w:hint="eastAsia" w:ascii="宋体" w:hAnsi="宋体"/>
          <w:bCs/>
          <w:color w:val="auto"/>
          <w:szCs w:val="21"/>
          <w:highlight w:val="none"/>
          <w:lang w:val="en-US" w:eastAsia="zh-CN"/>
        </w:rPr>
        <w:t>类</w:t>
      </w:r>
      <w:r>
        <w:rPr>
          <w:rFonts w:hint="eastAsia" w:ascii="宋体" w:hAnsi="宋体"/>
          <w:bCs/>
          <w:color w:val="auto"/>
          <w:szCs w:val="21"/>
          <w:highlight w:val="none"/>
        </w:rPr>
        <w:t>）</w:t>
      </w:r>
      <w:r>
        <w:rPr>
          <w:rFonts w:hint="eastAsia" w:ascii="宋体" w:hAnsi="宋体" w:cs="宋体"/>
          <w:color w:val="auto"/>
          <w:szCs w:val="21"/>
          <w:highlight w:val="none"/>
        </w:rPr>
        <w:t>。</w:t>
      </w:r>
    </w:p>
    <w:p>
      <w:pPr>
        <w:spacing w:line="4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olor w:val="auto"/>
          <w:szCs w:val="21"/>
          <w:highlight w:val="none"/>
        </w:rPr>
        <w:t>投标人已按照附件一的内容签署盖章的《投标人声明》。</w:t>
      </w:r>
    </w:p>
    <w:p>
      <w:pPr>
        <w:adjustRightInd/>
        <w:snapToGrid/>
        <w:spacing w:line="450" w:lineRule="exact"/>
        <w:ind w:firstLine="420" w:firstLineChars="200"/>
        <w:rPr>
          <w:rFonts w:hint="eastAsia" w:ascii="宋体" w:hAnsi="宋体" w:cs="Times New Roman"/>
          <w:bCs/>
          <w:color w:val="auto"/>
          <w:sz w:val="21"/>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olor w:val="auto"/>
          <w:szCs w:val="21"/>
          <w:highlight w:val="none"/>
        </w:rPr>
        <w:t>关于联合体投标：</w:t>
      </w:r>
      <w:r>
        <w:rPr>
          <w:rFonts w:hint="eastAsia" w:ascii="宋体" w:hAnsi="宋体" w:cs="Times New Roman"/>
          <w:bCs/>
          <w:color w:val="auto"/>
          <w:sz w:val="21"/>
          <w:szCs w:val="21"/>
          <w:highlight w:val="none"/>
        </w:rPr>
        <w:t>本次招标接受联合体投标。联合体投标的，应满足下列要求：</w:t>
      </w:r>
    </w:p>
    <w:p>
      <w:pPr>
        <w:spacing w:line="450" w:lineRule="exact"/>
        <w:ind w:firstLine="420" w:firstLineChars="200"/>
        <w:rPr>
          <w:rFonts w:hint="eastAsia" w:ascii="宋体" w:hAnsi="宋体" w:cs="Times New Roman"/>
          <w:bCs/>
          <w:color w:val="auto"/>
          <w:sz w:val="21"/>
          <w:szCs w:val="21"/>
          <w:highlight w:val="none"/>
          <w:lang w:eastAsia="zh-CN"/>
        </w:rPr>
      </w:pPr>
      <w:r>
        <w:rPr>
          <w:rFonts w:hint="eastAsia" w:ascii="宋体" w:hAnsi="宋体"/>
          <w:bCs/>
          <w:color w:val="auto"/>
          <w:szCs w:val="21"/>
          <w:highlight w:val="none"/>
        </w:rPr>
        <w:t>如为联合体投标的，最多由2家单位组成联合体，须明确联合体</w:t>
      </w:r>
      <w:r>
        <w:rPr>
          <w:rFonts w:hint="eastAsia" w:ascii="宋体" w:hAnsi="宋体" w:cs="Times New Roman"/>
          <w:bCs/>
          <w:color w:val="auto"/>
          <w:sz w:val="21"/>
          <w:szCs w:val="21"/>
          <w:highlight w:val="none"/>
        </w:rPr>
        <w:t>牵头方，并签订</w:t>
      </w:r>
      <w:r>
        <w:rPr>
          <w:rFonts w:hint="eastAsia" w:ascii="宋体" w:hAnsi="宋体"/>
          <w:bCs/>
          <w:color w:val="auto"/>
          <w:szCs w:val="21"/>
          <w:highlight w:val="none"/>
        </w:rPr>
        <w:t>《联合体工作协议》</w:t>
      </w:r>
      <w:r>
        <w:rPr>
          <w:rFonts w:hint="eastAsia" w:ascii="宋体" w:hAnsi="宋体" w:cs="Times New Roman"/>
          <w:bCs/>
          <w:color w:val="auto"/>
          <w:sz w:val="21"/>
          <w:szCs w:val="21"/>
          <w:highlight w:val="none"/>
        </w:rPr>
        <w:t>，</w:t>
      </w:r>
      <w:r>
        <w:rPr>
          <w:rFonts w:hint="eastAsia" w:ascii="宋体" w:hAnsi="宋体"/>
          <w:bCs/>
          <w:color w:val="auto"/>
          <w:szCs w:val="21"/>
          <w:highlight w:val="none"/>
        </w:rPr>
        <w:t>《联合体工作协议》应明确约定各方拟承担的工作和责任。</w:t>
      </w:r>
      <w:r>
        <w:rPr>
          <w:rFonts w:hint="eastAsia" w:ascii="宋体" w:hAnsi="宋体" w:cs="Times New Roman"/>
          <w:bCs/>
          <w:color w:val="auto"/>
          <w:sz w:val="21"/>
          <w:szCs w:val="21"/>
          <w:highlight w:val="none"/>
        </w:rPr>
        <w:t>联合体各方不得再以自己名义单独或加入其他联合体参加本项目的投标。在资格审查及评标环节，具有同一专业资质的单位组成联合体的，按照资质等级较低的单位确定资质等级。</w:t>
      </w:r>
      <w:r>
        <w:rPr>
          <w:rFonts w:hint="eastAsia" w:ascii="宋体" w:hAnsi="宋体"/>
          <w:bCs/>
          <w:color w:val="auto"/>
          <w:szCs w:val="21"/>
          <w:highlight w:val="none"/>
        </w:rPr>
        <w:t>联合体投标人的，项目负责人、技术负责人、专职安全员由联合体中</w:t>
      </w:r>
      <w:r>
        <w:rPr>
          <w:rFonts w:hint="eastAsia" w:ascii="宋体" w:hAnsi="宋体"/>
          <w:bCs/>
          <w:color w:val="auto"/>
          <w:szCs w:val="21"/>
          <w:highlight w:val="none"/>
          <w:lang w:eastAsia="zh-CN"/>
        </w:rPr>
        <w:t>牵头方</w:t>
      </w:r>
      <w:r>
        <w:rPr>
          <w:rFonts w:hint="eastAsia" w:ascii="宋体" w:hAnsi="宋体"/>
          <w:bCs/>
          <w:color w:val="auto"/>
          <w:szCs w:val="21"/>
          <w:highlight w:val="none"/>
        </w:rPr>
        <w:t>提供。</w:t>
      </w:r>
      <w:r>
        <w:rPr>
          <w:rFonts w:hint="eastAsia" w:ascii="宋体" w:hAnsi="宋体" w:cs="Times New Roman"/>
          <w:bCs/>
          <w:color w:val="auto"/>
          <w:sz w:val="21"/>
          <w:szCs w:val="21"/>
          <w:highlight w:val="none"/>
          <w:lang w:eastAsia="zh-CN"/>
        </w:rPr>
        <w:t>（</w:t>
      </w:r>
      <w:r>
        <w:rPr>
          <w:rFonts w:hint="eastAsia" w:ascii="宋体" w:hAnsi="宋体" w:cs="Times New Roman"/>
          <w:bCs/>
          <w:color w:val="auto"/>
          <w:sz w:val="21"/>
          <w:szCs w:val="21"/>
          <w:highlight w:val="none"/>
          <w:lang w:val="en-US" w:eastAsia="zh-CN"/>
        </w:rPr>
        <w:t>招标文件所要求投标人提供的所有资料需由牵头方提供</w:t>
      </w:r>
      <w:r>
        <w:rPr>
          <w:rFonts w:hint="eastAsia" w:ascii="宋体" w:hAnsi="宋体" w:cs="Times New Roman"/>
          <w:bCs/>
          <w:color w:val="auto"/>
          <w:sz w:val="21"/>
          <w:szCs w:val="21"/>
          <w:highlight w:val="none"/>
          <w:lang w:eastAsia="zh-CN"/>
        </w:rPr>
        <w:t>）。</w:t>
      </w:r>
    </w:p>
    <w:p>
      <w:pPr>
        <w:spacing w:line="450" w:lineRule="exact"/>
        <w:ind w:firstLine="420" w:firstLineChars="200"/>
        <w:rPr>
          <w:rFonts w:hint="eastAsia" w:ascii="宋体" w:hAnsi="宋体"/>
          <w:bCs/>
          <w:color w:val="auto"/>
          <w:szCs w:val="21"/>
          <w:highlight w:val="none"/>
        </w:rPr>
      </w:pPr>
      <w:r>
        <w:rPr>
          <w:rFonts w:ascii="宋体" w:hAnsi="宋体" w:cs="宋体"/>
          <w:color w:val="auto"/>
          <w:szCs w:val="21"/>
          <w:highlight w:val="none"/>
        </w:rPr>
        <w:t>10.</w:t>
      </w:r>
      <w:r>
        <w:rPr>
          <w:rFonts w:hint="eastAsia" w:ascii="宋体" w:hAnsi="宋体"/>
          <w:bCs/>
          <w:color w:val="auto"/>
          <w:szCs w:val="21"/>
          <w:highlight w:val="none"/>
        </w:rPr>
        <w:t>资格审查前，投标人（若为联合体投标，指联合体各方）须在广州市住房和城乡建设局建立企业信用档案，拟担任本工程项目负责人、专职安全员须是联合体主办方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p>
    <w:p>
      <w:pPr>
        <w:spacing w:line="450" w:lineRule="exact"/>
        <w:ind w:firstLine="420" w:firstLineChars="200"/>
        <w:rPr>
          <w:rFonts w:ascii="宋体" w:hAnsi="宋体"/>
          <w:bCs/>
          <w:color w:val="auto"/>
          <w:szCs w:val="21"/>
          <w:highlight w:val="none"/>
        </w:rPr>
      </w:pPr>
      <w:r>
        <w:rPr>
          <w:rFonts w:ascii="宋体" w:hAnsi="宋体"/>
          <w:color w:val="auto"/>
          <w:szCs w:val="21"/>
          <w:highlight w:val="none"/>
        </w:rPr>
        <w:t>11.</w:t>
      </w:r>
      <w:r>
        <w:rPr>
          <w:rFonts w:hint="eastAsia" w:ascii="宋体" w:hAnsi="宋体"/>
          <w:bCs/>
          <w:color w:val="auto"/>
          <w:szCs w:val="21"/>
          <w:highlight w:val="none"/>
        </w:rPr>
        <w:t>投标人</w:t>
      </w:r>
      <w:r>
        <w:rPr>
          <w:rFonts w:hint="eastAsia" w:ascii="宋体" w:hAnsi="宋体" w:cs="宋体"/>
          <w:color w:val="auto"/>
          <w:szCs w:val="21"/>
          <w:highlight w:val="none"/>
        </w:rPr>
        <w:t>(如为联合体投标，指联合体</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w:t>
      </w:r>
      <w:r>
        <w:rPr>
          <w:rFonts w:hint="eastAsia" w:ascii="宋体" w:hAnsi="宋体"/>
          <w:bCs/>
          <w:color w:val="auto"/>
          <w:szCs w:val="21"/>
          <w:highlight w:val="none"/>
        </w:rPr>
        <w:t>未出现以下情形：与</w:t>
      </w:r>
      <w:r>
        <w:rPr>
          <w:rFonts w:hint="eastAsia" w:ascii="宋体" w:hAnsi="宋体"/>
          <w:bCs/>
          <w:color w:val="auto"/>
          <w:szCs w:val="21"/>
          <w:highlight w:val="none"/>
          <w:u w:val="single"/>
        </w:rPr>
        <w:t>本项目</w:t>
      </w:r>
      <w:r>
        <w:rPr>
          <w:rFonts w:hint="eastAsia" w:ascii="宋体" w:hAnsi="宋体"/>
          <w:bCs/>
          <w:color w:val="auto"/>
          <w:szCs w:val="21"/>
          <w:highlight w:val="none"/>
        </w:rPr>
        <w:t>其它投标人的单位负责人为同一人或者存在控股、管理关系的（按投标人提供的《投标人声明》第</w:t>
      </w:r>
      <w:r>
        <w:rPr>
          <w:rFonts w:hint="eastAsia" w:ascii="宋体" w:hAnsi="宋体"/>
          <w:bCs/>
          <w:color w:val="auto"/>
          <w:szCs w:val="21"/>
          <w:highlight w:val="none"/>
          <w:lang w:val="en-US" w:eastAsia="zh-CN"/>
        </w:rPr>
        <w:t>九</w:t>
      </w:r>
      <w:r>
        <w:rPr>
          <w:rFonts w:hint="eastAsia" w:ascii="宋体" w:hAnsi="宋体"/>
          <w:bCs/>
          <w:color w:val="auto"/>
          <w:szCs w:val="21"/>
          <w:highlight w:val="none"/>
        </w:rPr>
        <w:t>条内容进行评审）。如</w:t>
      </w:r>
      <w:r>
        <w:rPr>
          <w:rFonts w:hint="eastAsia" w:ascii="宋体" w:hAnsi="宋体"/>
          <w:bCs/>
          <w:color w:val="auto"/>
          <w:szCs w:val="21"/>
          <w:highlight w:val="none"/>
          <w:u w:val="single"/>
        </w:rPr>
        <w:t>本项目</w:t>
      </w:r>
      <w:r>
        <w:rPr>
          <w:rFonts w:hint="eastAsia" w:ascii="宋体" w:hAnsi="宋体"/>
          <w:bCs/>
          <w:color w:val="auto"/>
          <w:szCs w:val="21"/>
          <w:highlight w:val="none"/>
        </w:rPr>
        <w:t>不同投标人出现单位负责人为同一人或者存在控股、管理关系的情形，</w:t>
      </w:r>
      <w:r>
        <w:rPr>
          <w:rFonts w:hint="eastAsia" w:ascii="宋体" w:hAnsi="宋体"/>
          <w:bCs/>
          <w:color w:val="auto"/>
          <w:szCs w:val="21"/>
          <w:highlight w:val="none"/>
          <w:u w:val="single"/>
        </w:rPr>
        <w:t>则视为无效投标。</w:t>
      </w:r>
    </w:p>
    <w:p>
      <w:pPr>
        <w:spacing w:line="450" w:lineRule="exact"/>
        <w:ind w:firstLine="420" w:firstLineChars="200"/>
        <w:rPr>
          <w:rFonts w:ascii="宋体" w:hAnsi="宋体"/>
          <w:bCs/>
          <w:color w:val="auto"/>
          <w:szCs w:val="21"/>
          <w:highlight w:val="none"/>
        </w:rPr>
      </w:pPr>
      <w:r>
        <w:rPr>
          <w:rFonts w:ascii="宋体" w:hAnsi="宋体"/>
          <w:bCs/>
          <w:color w:val="auto"/>
          <w:szCs w:val="21"/>
          <w:highlight w:val="none"/>
        </w:rPr>
        <w:t>12.</w:t>
      </w:r>
      <w:r>
        <w:rPr>
          <w:rFonts w:hint="eastAsia" w:ascii="宋体" w:hAnsi="宋体"/>
          <w:bCs/>
          <w:color w:val="auto"/>
          <w:szCs w:val="21"/>
          <w:highlight w:val="none"/>
        </w:rPr>
        <w:t>在投标截止时间前，投标人</w:t>
      </w:r>
      <w:r>
        <w:rPr>
          <w:rFonts w:hint="eastAsia" w:ascii="宋体" w:hAnsi="宋体" w:cs="宋体"/>
          <w:color w:val="auto"/>
          <w:szCs w:val="21"/>
          <w:highlight w:val="none"/>
        </w:rPr>
        <w:t>(如为联合体投标，指联合体</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w:t>
      </w:r>
      <w:r>
        <w:rPr>
          <w:rFonts w:hint="eastAsia" w:ascii="宋体" w:hAnsi="宋体" w:cs="宋体"/>
          <w:sz w:val="21"/>
          <w:szCs w:val="21"/>
          <w:highlight w:val="none"/>
        </w:rPr>
        <w:t>未被列入拖欠农民工工资失信联合惩戒对象名单和失信被执行人。</w:t>
      </w:r>
      <w:r>
        <w:rPr>
          <w:rFonts w:hint="eastAsia" w:ascii="宋体" w:hAnsi="宋体"/>
          <w:bCs/>
          <w:color w:val="auto"/>
          <w:szCs w:val="21"/>
          <w:highlight w:val="none"/>
        </w:rPr>
        <w:t>（投标人无需提供资料，资格审查时，按投标截止时间广州交易集团有限公司（广州公共资源交易中心）交易系统比对的结果进行评审。）。</w:t>
      </w:r>
    </w:p>
    <w:p>
      <w:pPr>
        <w:spacing w:line="450" w:lineRule="exact"/>
        <w:ind w:firstLine="420" w:firstLineChars="200"/>
        <w:rPr>
          <w:rFonts w:ascii="宋体" w:hAnsi="宋体"/>
          <w:bCs/>
          <w:color w:val="auto"/>
          <w:szCs w:val="21"/>
          <w:highlight w:val="none"/>
        </w:rPr>
      </w:pPr>
      <w:r>
        <w:rPr>
          <w:rFonts w:hint="eastAsia" w:ascii="宋体" w:hAnsi="宋体"/>
          <w:color w:val="auto"/>
          <w:szCs w:val="21"/>
          <w:highlight w:val="none"/>
        </w:rPr>
        <w:t>注：未在招标公告第九条单列的资审合格条件，不作为资审不合格的依据。</w:t>
      </w:r>
    </w:p>
    <w:p>
      <w:pPr>
        <w:spacing w:line="45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十、资格审查方式：</w:t>
      </w:r>
    </w:p>
    <w:p>
      <w:pPr>
        <w:spacing w:line="45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本工程采用资格后审方式，由评标委员会负责资格审查。</w:t>
      </w:r>
    </w:p>
    <w:p>
      <w:pPr>
        <w:spacing w:line="45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十一、资格审查结果将在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交易平台和广东省招标投标监管网公示，</w:t>
      </w:r>
      <w:r>
        <w:rPr>
          <w:rFonts w:hint="eastAsia" w:ascii="宋体" w:hAnsi="宋体"/>
          <w:bCs/>
          <w:color w:val="auto"/>
          <w:szCs w:val="21"/>
          <w:highlight w:val="none"/>
        </w:rPr>
        <w:t>公示时间不得少于3日。</w:t>
      </w:r>
      <w:r>
        <w:rPr>
          <w:rFonts w:hint="eastAsia" w:ascii="宋体" w:hAnsi="宋体"/>
          <w:bCs/>
          <w:color w:val="auto"/>
          <w:szCs w:val="21"/>
          <w:highlight w:val="none"/>
          <w:u w:val="single"/>
        </w:rPr>
        <w:t>中标结果将在广州交易集团有限公司（广州公共资源交易中心）交易平台和广东省招标投标监管网公示。</w:t>
      </w:r>
    </w:p>
    <w:p>
      <w:pPr>
        <w:spacing w:line="450" w:lineRule="exact"/>
        <w:ind w:firstLine="420" w:firstLineChars="200"/>
        <w:rPr>
          <w:rFonts w:ascii="宋体" w:hAnsi="宋体"/>
          <w:bCs/>
          <w:color w:val="auto"/>
          <w:szCs w:val="21"/>
          <w:highlight w:val="none"/>
        </w:rPr>
      </w:pPr>
      <w:r>
        <w:rPr>
          <w:rFonts w:hint="eastAsia" w:ascii="宋体" w:hAnsi="宋体"/>
          <w:color w:val="auto"/>
          <w:szCs w:val="21"/>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十四、</w:t>
      </w:r>
      <w:r>
        <w:rPr>
          <w:rFonts w:hint="eastAsia" w:ascii="宋体" w:hAnsi="宋体"/>
          <w:bCs/>
          <w:color w:val="auto"/>
          <w:szCs w:val="21"/>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十五、潜在投标人或利害关系人对本招标公告及招标文件有异议的，应当在投标截止时间10日前向招标人书面提出。</w:t>
      </w:r>
    </w:p>
    <w:p>
      <w:pPr>
        <w:spacing w:line="45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异议受理部门：</w:t>
      </w:r>
      <w:r>
        <w:rPr>
          <w:rFonts w:hint="eastAsia" w:ascii="宋体" w:hAnsi="宋体"/>
          <w:color w:val="auto"/>
          <w:szCs w:val="21"/>
          <w:highlight w:val="none"/>
          <w:u w:val="single"/>
          <w:lang w:eastAsia="zh-CN"/>
        </w:rPr>
        <w:t>广州市越秀区文化广电旅游体育局</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异议受理电话：</w:t>
      </w:r>
      <w:r>
        <w:rPr>
          <w:rFonts w:hint="eastAsia" w:ascii="宋体" w:hAnsi="宋体"/>
          <w:color w:val="auto"/>
          <w:szCs w:val="21"/>
          <w:highlight w:val="none"/>
          <w:u w:val="single"/>
        </w:rPr>
        <w:t>020-87624907、020-87760519</w:t>
      </w:r>
    </w:p>
    <w:p>
      <w:pPr>
        <w:spacing w:line="45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广东省广州市越秀区署前路 8 号 9 楼</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50" w:lineRule="exact"/>
        <w:ind w:firstLine="420" w:firstLineChars="200"/>
        <w:rPr>
          <w:rFonts w:ascii="宋体" w:hAnsi="宋体"/>
          <w:strike/>
          <w:color w:val="auto"/>
          <w:szCs w:val="21"/>
          <w:highlight w:val="none"/>
        </w:rPr>
      </w:pPr>
      <w:r>
        <w:rPr>
          <w:rFonts w:hint="eastAsia" w:ascii="宋体" w:hAnsi="宋体"/>
          <w:color w:val="auto"/>
          <w:szCs w:val="21"/>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十七、本招标公告及招标文件使用GZZB2018-3招标文件范本。本公告与范本内容不同之处均以下划线标明，所有标明下划线部分属于本公告的组成部分，同其他部分具有同样的效力。</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十八、</w:t>
      </w:r>
      <w:r>
        <w:rPr>
          <w:rFonts w:hint="eastAsia" w:ascii="宋体" w:hAnsi="宋体"/>
          <w:color w:val="auto"/>
          <w:szCs w:val="21"/>
          <w:highlight w:val="none"/>
          <w:lang w:val="en-US" w:eastAsia="zh-CN"/>
        </w:rPr>
        <w:t>招</w:t>
      </w:r>
      <w:r>
        <w:rPr>
          <w:rFonts w:hint="eastAsia" w:ascii="宋体" w:hAnsi="宋体"/>
          <w:color w:val="auto"/>
          <w:szCs w:val="21"/>
          <w:highlight w:val="none"/>
        </w:rPr>
        <w:t>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特别提示：投标人在本项目招标人的工程项目中存在下列行为的，将被拒绝一年内参与招标人后续工程投标。（注：拒绝投标时限由招标人视严重程度确定，最低三个月起，自招标人发出通知之日起计）：</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1.将中标工程转包或者违法分包的;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3.出让投标资格的；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4.存在围标或串标情形的;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5.在投标文件中提供虚假材料的；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6.存在少放、不放业绩、奖项等客观评审资料，减少自身竞争力情形的；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7.存在行贿情形的;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8.拖欠农民工工资的；</w:t>
      </w:r>
    </w:p>
    <w:p>
      <w:pPr>
        <w:spacing w:line="450" w:lineRule="exact"/>
        <w:ind w:firstLine="420" w:firstLineChars="200"/>
        <w:rPr>
          <w:rFonts w:ascii="宋体" w:hAnsi="宋体"/>
          <w:color w:val="auto"/>
          <w:szCs w:val="21"/>
          <w:highlight w:val="none"/>
        </w:rPr>
      </w:pPr>
      <w:r>
        <w:rPr>
          <w:rFonts w:hint="eastAsia" w:ascii="宋体" w:hAnsi="宋体"/>
          <w:color w:val="auto"/>
          <w:szCs w:val="21"/>
          <w:highlight w:val="none"/>
        </w:rPr>
        <w:t>9.未按照国家、省、市有关建筑施工实名制管理和工人工资支付分账管理的规定执行，被行政监管部门处罚的；</w:t>
      </w:r>
    </w:p>
    <w:p>
      <w:pPr>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10.中标人在项目实施过程中选取的专业分包单位或劳务企业或劳务班组长与投标时不一致的（如有）；</w:t>
      </w:r>
    </w:p>
    <w:p>
      <w:pPr>
        <w:spacing w:line="45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11.本项目投标时拟派的专职安全员在其他项目中有任职且在本项目开工前未完成更换确保专职安全员只在本项目上任职的</w:t>
      </w:r>
      <w:r>
        <w:rPr>
          <w:rFonts w:hint="eastAsia" w:ascii="宋体" w:hAnsi="宋体"/>
          <w:color w:val="auto"/>
          <w:szCs w:val="21"/>
          <w:highlight w:val="none"/>
          <w:lang w:eastAsia="zh-CN"/>
        </w:rPr>
        <w:t>。</w:t>
      </w:r>
    </w:p>
    <w:p>
      <w:pPr>
        <w:spacing w:line="450" w:lineRule="exact"/>
        <w:ind w:firstLine="420" w:firstLineChars="200"/>
        <w:rPr>
          <w:rFonts w:ascii="宋体" w:hAnsi="宋体"/>
          <w:color w:val="auto"/>
          <w:szCs w:val="21"/>
          <w:highlight w:val="none"/>
        </w:rPr>
      </w:pPr>
    </w:p>
    <w:p>
      <w:pPr>
        <w:spacing w:line="450" w:lineRule="exact"/>
        <w:ind w:right="252" w:rightChars="120" w:firstLine="3570" w:firstLineChars="1700"/>
        <w:jc w:val="right"/>
        <w:rPr>
          <w:rFonts w:ascii="宋体" w:hAnsi="宋体"/>
          <w:color w:val="auto"/>
          <w:szCs w:val="21"/>
          <w:highlight w:val="none"/>
        </w:rPr>
      </w:pPr>
    </w:p>
    <w:p>
      <w:pPr>
        <w:spacing w:line="450" w:lineRule="exact"/>
        <w:ind w:right="252" w:rightChars="120" w:firstLine="3570" w:firstLineChars="1700"/>
        <w:jc w:val="right"/>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广州市越秀区文化广电旅游体育局</w:t>
      </w:r>
    </w:p>
    <w:p>
      <w:pPr>
        <w:spacing w:line="450" w:lineRule="exact"/>
        <w:ind w:right="252" w:rightChars="120" w:firstLine="3570" w:firstLineChars="1700"/>
        <w:jc w:val="right"/>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lang w:eastAsia="zh-CN"/>
        </w:rPr>
        <w:t>广东省国际工程咨询有限公司</w:t>
      </w:r>
    </w:p>
    <w:p>
      <w:pPr>
        <w:spacing w:line="450" w:lineRule="exact"/>
        <w:ind w:right="252" w:rightChars="120" w:firstLine="6098" w:firstLineChars="2904"/>
        <w:jc w:val="righ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w:t>
      </w:r>
    </w:p>
    <w:p>
      <w:pPr>
        <w:rPr>
          <w:rFonts w:ascii="宋体" w:hAnsi="宋体"/>
          <w:color w:val="auto"/>
          <w:szCs w:val="21"/>
          <w:highlight w:val="none"/>
        </w:rPr>
      </w:pPr>
      <w:r>
        <w:rPr>
          <w:rFonts w:hint="eastAsia" w:ascii="宋体" w:hAnsi="宋体"/>
          <w:color w:val="auto"/>
          <w:szCs w:val="21"/>
          <w:highlight w:val="none"/>
        </w:rPr>
        <w:br w:type="page"/>
      </w:r>
    </w:p>
    <w:p>
      <w:pPr>
        <w:pStyle w:val="2"/>
        <w:rPr>
          <w:color w:val="auto"/>
          <w:highlight w:val="none"/>
        </w:r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36"/>
          <w:szCs w:val="36"/>
          <w:highlight w:val="none"/>
        </w:rPr>
        <w:t>投标人</w:t>
      </w:r>
      <w:r>
        <w:rPr>
          <w:rFonts w:hint="eastAsia"/>
          <w:b/>
          <w:color w:val="auto"/>
          <w:sz w:val="36"/>
          <w:szCs w:val="36"/>
          <w:highlight w:val="none"/>
        </w:rPr>
        <w:t>声明</w:t>
      </w:r>
    </w:p>
    <w:p>
      <w:pPr>
        <w:spacing w:line="340" w:lineRule="exact"/>
        <w:rPr>
          <w:rFonts w:ascii="宋体" w:hAnsi="宋体"/>
          <w:color w:val="auto"/>
          <w:szCs w:val="21"/>
          <w:highlight w:val="none"/>
        </w:rPr>
      </w:pPr>
      <w:r>
        <w:rPr>
          <w:rFonts w:hint="eastAsia" w:ascii="宋体" w:hAnsi="宋体"/>
          <w:color w:val="auto"/>
          <w:szCs w:val="21"/>
          <w:highlight w:val="none"/>
        </w:rPr>
        <w:t>广州市越秀区建设工程招投标管理中心、广州市越秀区建设和水务局、广州市越秀区文化广电旅游体育局：</w:t>
      </w:r>
    </w:p>
    <w:p>
      <w:pPr>
        <w:spacing w:line="340" w:lineRule="exact"/>
        <w:ind w:firstLine="629"/>
        <w:rPr>
          <w:rFonts w:ascii="宋体" w:hAnsi="宋体"/>
          <w:color w:val="auto"/>
          <w:szCs w:val="21"/>
          <w:highlight w:val="none"/>
        </w:rPr>
      </w:pPr>
      <w:r>
        <w:rPr>
          <w:rFonts w:hint="eastAsia" w:ascii="宋体" w:hAnsi="宋体"/>
          <w:color w:val="auto"/>
          <w:szCs w:val="21"/>
          <w:highlight w:val="none"/>
        </w:rPr>
        <w:t>本公司就参加</w:t>
      </w:r>
      <w:r>
        <w:rPr>
          <w:rFonts w:ascii="宋体" w:hAnsi="宋体"/>
          <w:color w:val="auto"/>
          <w:szCs w:val="21"/>
          <w:highlight w:val="none"/>
        </w:rPr>
        <w:t xml:space="preserve">    </w:t>
      </w:r>
      <w:r>
        <w:rPr>
          <w:rFonts w:ascii="宋体" w:hAnsi="宋体"/>
          <w:color w:val="auto"/>
          <w:szCs w:val="21"/>
          <w:highlight w:val="none"/>
          <w:u w:val="single"/>
        </w:rPr>
        <w:t xml:space="preserve">（项目名称）    </w:t>
      </w:r>
      <w:r>
        <w:rPr>
          <w:rFonts w:hint="eastAsia" w:ascii="宋体" w:hAnsi="宋体"/>
          <w:color w:val="auto"/>
          <w:szCs w:val="21"/>
          <w:highlight w:val="none"/>
        </w:rPr>
        <w:t>投标工作，作出郑重声明：</w:t>
      </w:r>
    </w:p>
    <w:p>
      <w:pPr>
        <w:spacing w:line="340" w:lineRule="exact"/>
        <w:ind w:firstLine="629"/>
        <w:rPr>
          <w:rFonts w:ascii="宋体" w:hAnsi="宋体"/>
          <w:color w:val="auto"/>
          <w:szCs w:val="21"/>
          <w:highlight w:val="none"/>
        </w:rPr>
      </w:pPr>
      <w:r>
        <w:rPr>
          <w:rFonts w:hint="eastAsia" w:ascii="宋体" w:hAnsi="宋体"/>
          <w:color w:val="auto"/>
          <w:szCs w:val="21"/>
          <w:highlight w:val="none"/>
        </w:rPr>
        <w:t>一、本公司保证投标文件及其后提供的一切材料都是真实的。如我司成为本项目中标候选人，我司同意并授权招标人将我司投标文件商务部分的人员、业绩、奖项等资料进行公开。</w:t>
      </w:r>
    </w:p>
    <w:p>
      <w:pPr>
        <w:spacing w:line="340" w:lineRule="exact"/>
        <w:ind w:firstLine="629"/>
        <w:rPr>
          <w:rFonts w:ascii="宋体" w:hAnsi="宋体"/>
          <w:color w:val="auto"/>
          <w:szCs w:val="21"/>
          <w:highlight w:val="none"/>
        </w:rPr>
      </w:pPr>
      <w:r>
        <w:rPr>
          <w:rFonts w:hint="eastAsia" w:ascii="宋体" w:hAnsi="宋体"/>
          <w:color w:val="auto"/>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spacing w:line="340" w:lineRule="exact"/>
        <w:ind w:firstLine="629"/>
        <w:rPr>
          <w:rFonts w:ascii="宋体" w:hAnsi="宋体"/>
          <w:color w:val="auto"/>
          <w:szCs w:val="21"/>
          <w:highlight w:val="none"/>
        </w:rPr>
      </w:pPr>
      <w:r>
        <w:rPr>
          <w:rFonts w:hint="eastAsia" w:ascii="宋体" w:hAnsi="宋体"/>
          <w:color w:val="auto"/>
          <w:szCs w:val="21"/>
          <w:highlight w:val="none"/>
        </w:rPr>
        <w:t>三、本公司不存在下列情形之一：</w:t>
      </w:r>
    </w:p>
    <w:p>
      <w:pPr>
        <w:spacing w:line="340" w:lineRule="exact"/>
        <w:ind w:firstLine="629"/>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pPr>
        <w:spacing w:line="340" w:lineRule="exact"/>
        <w:ind w:firstLine="629"/>
        <w:rPr>
          <w:rFonts w:ascii="宋体" w:hAnsi="宋体"/>
          <w:color w:val="auto"/>
          <w:szCs w:val="21"/>
          <w:highlight w:val="none"/>
        </w:rPr>
      </w:pPr>
      <w:r>
        <w:rPr>
          <w:rFonts w:hint="eastAsia" w:ascii="宋体" w:hAnsi="宋体"/>
          <w:color w:val="auto"/>
          <w:szCs w:val="21"/>
          <w:highlight w:val="none"/>
        </w:rPr>
        <w:t>（2）为本标段前期准备提供设计或咨询服务或者与本项目设计人或提供咨询服务的机构存在附属关系的；</w:t>
      </w:r>
    </w:p>
    <w:p>
      <w:pPr>
        <w:spacing w:line="340" w:lineRule="exact"/>
        <w:ind w:firstLine="629"/>
        <w:rPr>
          <w:rFonts w:ascii="宋体" w:hAnsi="宋体"/>
          <w:color w:val="auto"/>
          <w:szCs w:val="21"/>
          <w:highlight w:val="none"/>
        </w:rPr>
      </w:pPr>
      <w:r>
        <w:rPr>
          <w:rFonts w:hint="eastAsia" w:ascii="宋体" w:hAnsi="宋体"/>
          <w:color w:val="auto"/>
          <w:szCs w:val="21"/>
          <w:highlight w:val="none"/>
        </w:rPr>
        <w:t>（3）为本标段监理人或者与本标段监理人存在隶属关系或者其他利害关系；</w:t>
      </w:r>
    </w:p>
    <w:p>
      <w:pPr>
        <w:spacing w:line="340" w:lineRule="exact"/>
        <w:ind w:firstLine="629"/>
        <w:rPr>
          <w:rFonts w:ascii="宋体" w:hAnsi="宋体"/>
          <w:color w:val="auto"/>
          <w:szCs w:val="21"/>
          <w:highlight w:val="none"/>
        </w:rPr>
      </w:pPr>
      <w:r>
        <w:rPr>
          <w:rFonts w:hint="eastAsia" w:ascii="宋体" w:hAnsi="宋体"/>
          <w:color w:val="auto"/>
          <w:szCs w:val="21"/>
          <w:highlight w:val="none"/>
        </w:rPr>
        <w:t>（4）为本标段的代建人；</w:t>
      </w:r>
    </w:p>
    <w:p>
      <w:pPr>
        <w:spacing w:line="340" w:lineRule="exact"/>
        <w:ind w:firstLine="629"/>
        <w:rPr>
          <w:rFonts w:ascii="宋体" w:hAnsi="宋体"/>
          <w:color w:val="auto"/>
          <w:szCs w:val="21"/>
          <w:highlight w:val="none"/>
        </w:rPr>
      </w:pPr>
      <w:r>
        <w:rPr>
          <w:rFonts w:hint="eastAsia" w:ascii="宋体" w:hAnsi="宋体"/>
          <w:color w:val="auto"/>
          <w:szCs w:val="21"/>
          <w:highlight w:val="none"/>
        </w:rPr>
        <w:t>（5）为本标段提供招标代理服务的；</w:t>
      </w:r>
    </w:p>
    <w:p>
      <w:pPr>
        <w:spacing w:line="340" w:lineRule="exact"/>
        <w:ind w:firstLine="629"/>
        <w:rPr>
          <w:rFonts w:ascii="宋体" w:hAnsi="宋体"/>
          <w:color w:val="auto"/>
          <w:szCs w:val="21"/>
          <w:highlight w:val="none"/>
        </w:rPr>
      </w:pPr>
      <w:r>
        <w:rPr>
          <w:rFonts w:hint="eastAsia" w:ascii="宋体" w:hAnsi="宋体"/>
          <w:color w:val="auto"/>
          <w:szCs w:val="21"/>
          <w:highlight w:val="none"/>
        </w:rPr>
        <w:t>（6）与本标段的监理人或代建人或招标代理机构同为一个法定代表人的；</w:t>
      </w:r>
    </w:p>
    <w:p>
      <w:pPr>
        <w:spacing w:line="340" w:lineRule="exact"/>
        <w:ind w:firstLine="629"/>
        <w:rPr>
          <w:rFonts w:ascii="宋体" w:hAnsi="宋体"/>
          <w:color w:val="auto"/>
          <w:szCs w:val="21"/>
          <w:highlight w:val="none"/>
        </w:rPr>
      </w:pPr>
      <w:r>
        <w:rPr>
          <w:rFonts w:hint="eastAsia" w:ascii="宋体" w:hAnsi="宋体"/>
          <w:color w:val="auto"/>
          <w:szCs w:val="21"/>
          <w:highlight w:val="none"/>
        </w:rPr>
        <w:t>（7）与本标段的监理人或代建人或招标代理机构互相控股或参股的；</w:t>
      </w:r>
    </w:p>
    <w:p>
      <w:pPr>
        <w:spacing w:line="340" w:lineRule="exact"/>
        <w:ind w:firstLine="629"/>
        <w:rPr>
          <w:rFonts w:ascii="宋体" w:hAnsi="宋体"/>
          <w:color w:val="auto"/>
          <w:szCs w:val="21"/>
          <w:highlight w:val="none"/>
        </w:rPr>
      </w:pPr>
      <w:r>
        <w:rPr>
          <w:rFonts w:hint="eastAsia" w:ascii="宋体" w:hAnsi="宋体"/>
          <w:color w:val="auto"/>
          <w:szCs w:val="21"/>
          <w:highlight w:val="none"/>
        </w:rPr>
        <w:t>（8）与本标段的监理人或代建人或招标代理机构相互任职或工作的；</w:t>
      </w:r>
    </w:p>
    <w:p>
      <w:pPr>
        <w:spacing w:line="340" w:lineRule="exact"/>
        <w:ind w:firstLine="629"/>
        <w:rPr>
          <w:rFonts w:ascii="宋体" w:hAnsi="宋体"/>
          <w:color w:val="auto"/>
          <w:szCs w:val="21"/>
          <w:highlight w:val="none"/>
        </w:rPr>
      </w:pPr>
      <w:r>
        <w:rPr>
          <w:rFonts w:hint="eastAsia" w:ascii="宋体" w:hAnsi="宋体"/>
          <w:color w:val="auto"/>
          <w:szCs w:val="21"/>
          <w:highlight w:val="none"/>
        </w:rPr>
        <w:t>（9）与本标段的检测机构有隶属关系或者其他利害关系；</w:t>
      </w:r>
    </w:p>
    <w:p>
      <w:pPr>
        <w:spacing w:line="340" w:lineRule="exact"/>
        <w:ind w:firstLine="629"/>
        <w:rPr>
          <w:rFonts w:ascii="宋体" w:hAnsi="宋体"/>
          <w:color w:val="auto"/>
          <w:szCs w:val="21"/>
          <w:highlight w:val="none"/>
        </w:rPr>
      </w:pPr>
      <w:r>
        <w:rPr>
          <w:rFonts w:hint="eastAsia" w:ascii="宋体" w:hAnsi="宋体"/>
          <w:color w:val="auto"/>
          <w:szCs w:val="21"/>
          <w:highlight w:val="none"/>
        </w:rPr>
        <w:t xml:space="preserve">（10）与招标人存在利害关系且可能影响招标公正性； </w:t>
      </w:r>
    </w:p>
    <w:p>
      <w:pPr>
        <w:spacing w:line="340" w:lineRule="exact"/>
        <w:ind w:firstLine="629"/>
        <w:rPr>
          <w:rFonts w:ascii="宋体" w:hAnsi="宋体"/>
          <w:color w:val="auto"/>
          <w:szCs w:val="21"/>
          <w:highlight w:val="none"/>
        </w:rPr>
      </w:pPr>
      <w:r>
        <w:rPr>
          <w:rFonts w:hint="eastAsia" w:ascii="宋体" w:hAnsi="宋体"/>
          <w:color w:val="auto"/>
          <w:szCs w:val="21"/>
          <w:highlight w:val="none"/>
        </w:rPr>
        <w:t>（11）</w:t>
      </w:r>
      <w:r>
        <w:rPr>
          <w:rFonts w:hint="eastAsia" w:ascii="宋体" w:hAnsi="宋体" w:cs="宋体"/>
          <w:color w:val="auto"/>
          <w:szCs w:val="21"/>
          <w:highlight w:val="non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40" w:lineRule="exact"/>
        <w:ind w:firstLine="629"/>
        <w:rPr>
          <w:rFonts w:ascii="宋体" w:hAnsi="宋体"/>
          <w:color w:val="auto"/>
          <w:szCs w:val="21"/>
          <w:highlight w:val="none"/>
        </w:rPr>
      </w:pPr>
      <w:r>
        <w:rPr>
          <w:rFonts w:hint="eastAsia" w:ascii="宋体" w:hAnsi="宋体"/>
          <w:color w:val="auto"/>
          <w:szCs w:val="21"/>
          <w:highlight w:val="none"/>
        </w:rPr>
        <w:t xml:space="preserve">（12）被责令停产停业、暂扣或者吊销许可证、暂扣或者吊销执照的（本项事实应当以根据《中华人民共和国行政处罚法》依法作出并已经生效的行政处罚决定为认定依据。）； </w:t>
      </w:r>
    </w:p>
    <w:p>
      <w:pPr>
        <w:spacing w:line="340" w:lineRule="exact"/>
        <w:ind w:firstLine="629"/>
        <w:rPr>
          <w:rFonts w:ascii="宋体" w:hAnsi="宋体"/>
          <w:color w:val="auto"/>
          <w:szCs w:val="21"/>
          <w:highlight w:val="none"/>
        </w:rPr>
      </w:pPr>
      <w:r>
        <w:rPr>
          <w:rFonts w:hint="eastAsia" w:ascii="宋体" w:hAnsi="宋体"/>
          <w:color w:val="auto"/>
          <w:szCs w:val="21"/>
          <w:highlight w:val="none"/>
        </w:rPr>
        <w:t>（13）进入清算程序，或被宣布破产，或其他丧失履约能力的情形；</w:t>
      </w:r>
    </w:p>
    <w:p>
      <w:pPr>
        <w:spacing w:line="340" w:lineRule="exact"/>
        <w:ind w:firstLine="630" w:firstLineChars="300"/>
        <w:rPr>
          <w:rFonts w:ascii="宋体" w:hAnsi="宋体"/>
          <w:color w:val="auto"/>
          <w:szCs w:val="21"/>
          <w:highlight w:val="none"/>
        </w:rPr>
      </w:pPr>
      <w:r>
        <w:rPr>
          <w:rFonts w:hint="eastAsia" w:ascii="宋体" w:hAnsi="宋体"/>
          <w:color w:val="auto"/>
          <w:szCs w:val="21"/>
          <w:highlight w:val="none"/>
        </w:rPr>
        <w:t xml:space="preserve">（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 </w:t>
      </w:r>
    </w:p>
    <w:p>
      <w:pPr>
        <w:spacing w:line="340" w:lineRule="exact"/>
        <w:ind w:firstLine="630" w:firstLineChars="300"/>
        <w:rPr>
          <w:rFonts w:ascii="宋体" w:hAnsi="宋体"/>
          <w:color w:val="auto"/>
          <w:szCs w:val="21"/>
          <w:highlight w:val="none"/>
        </w:rPr>
      </w:pPr>
      <w:r>
        <w:rPr>
          <w:rFonts w:hint="eastAsia" w:ascii="宋体" w:hAnsi="宋体"/>
          <w:color w:val="auto"/>
          <w:szCs w:val="21"/>
          <w:highlight w:val="none"/>
        </w:rPr>
        <w:t>（15）法律法规规定的其他情形。</w:t>
      </w:r>
    </w:p>
    <w:p>
      <w:pPr>
        <w:spacing w:line="340" w:lineRule="exact"/>
        <w:ind w:firstLine="629"/>
        <w:rPr>
          <w:rFonts w:hint="eastAsia" w:ascii="宋体" w:hAnsi="宋体"/>
          <w:color w:val="auto"/>
          <w:szCs w:val="21"/>
          <w:highlight w:val="none"/>
        </w:rPr>
      </w:pPr>
      <w:r>
        <w:rPr>
          <w:rFonts w:hint="eastAsia" w:ascii="宋体" w:hAnsi="宋体"/>
          <w:color w:val="auto"/>
          <w:szCs w:val="21"/>
          <w:highlight w:val="none"/>
        </w:rPr>
        <w:t>四、本公司保证：本项目拟派的项目负责人投标截止时没有在其他在建项目中任施工单位项目负责人。</w:t>
      </w:r>
    </w:p>
    <w:p>
      <w:pPr>
        <w:spacing w:line="340" w:lineRule="exact"/>
        <w:ind w:firstLine="629"/>
        <w:rPr>
          <w:rFonts w:ascii="仿宋_GB2312" w:hAnsi="Calisto MT" w:eastAsia="仿宋_GB2312"/>
          <w:color w:val="auto"/>
          <w:sz w:val="32"/>
          <w:szCs w:val="20"/>
          <w:highlight w:val="none"/>
        </w:rPr>
      </w:pPr>
      <w:r>
        <w:rPr>
          <w:rFonts w:hint="eastAsia" w:ascii="宋体" w:hAnsi="宋体"/>
          <w:color w:val="auto"/>
          <w:szCs w:val="21"/>
          <w:highlight w:val="none"/>
        </w:rPr>
        <w:t>五、本公司承诺：如本公司中标，本项目拟派专职安全员将只在本项目上任职，如专职安全</w:t>
      </w:r>
      <w:r>
        <w:rPr>
          <w:rFonts w:hint="eastAsia" w:ascii="宋体" w:hAnsi="宋体"/>
          <w:color w:val="auto"/>
          <w:szCs w:val="21"/>
          <w:highlight w:val="none"/>
          <w:lang w:eastAsia="zh-CN"/>
        </w:rPr>
        <w:t>员</w:t>
      </w:r>
      <w:r>
        <w:rPr>
          <w:rFonts w:hint="eastAsia" w:ascii="宋体" w:hAnsi="宋体"/>
          <w:color w:val="auto"/>
          <w:szCs w:val="21"/>
          <w:highlight w:val="none"/>
        </w:rPr>
        <w:t>在其他项目中已有任职的，本公司保证在开工前完成更换，确保专职安全员只在本项目上任职，否则将承担违约责任和法律责任。</w:t>
      </w:r>
    </w:p>
    <w:p>
      <w:pPr>
        <w:spacing w:line="340" w:lineRule="exact"/>
        <w:ind w:firstLine="629"/>
        <w:rPr>
          <w:rFonts w:ascii="仿宋_GB2312" w:hAnsi="Calisto MT" w:eastAsia="仿宋_GB2312"/>
          <w:color w:val="auto"/>
          <w:sz w:val="32"/>
          <w:szCs w:val="20"/>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40" w:lineRule="exact"/>
        <w:ind w:firstLine="629"/>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40" w:lineRule="exact"/>
        <w:ind w:firstLine="629"/>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、本公司承诺，切实落实《住房城乡建设部人力资源社会保障部关于印发建筑工人实名</w:t>
      </w:r>
      <w:r>
        <w:rPr>
          <w:rFonts w:ascii="宋体" w:hAnsi="宋体"/>
          <w:color w:val="auto"/>
          <w:szCs w:val="21"/>
          <w:highlight w:val="none"/>
        </w:rPr>
        <w:t>制</w:t>
      </w:r>
      <w:r>
        <w:rPr>
          <w:rFonts w:hint="eastAsia" w:ascii="宋体" w:hAnsi="宋体"/>
          <w:color w:val="auto"/>
          <w:szCs w:val="21"/>
          <w:highlight w:val="none"/>
        </w:rPr>
        <w:t>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spacing w:line="340" w:lineRule="exact"/>
        <w:ind w:firstLine="629"/>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、与本公司单位负责人为同一人或者与本公司存在控股、管理关系的其他单位包括：</w:t>
      </w:r>
      <w:r>
        <w:rPr>
          <w:rFonts w:ascii="宋体" w:hAnsi="宋体"/>
          <w:color w:val="auto"/>
          <w:szCs w:val="21"/>
          <w:highlight w:val="none"/>
          <w:u w:val="single"/>
        </w:rPr>
        <w:t xml:space="preserve">               </w:t>
      </w:r>
      <w:r>
        <w:rPr>
          <w:rFonts w:hint="eastAsia" w:ascii="宋体" w:hAnsi="宋体"/>
          <w:color w:val="auto"/>
          <w:szCs w:val="21"/>
          <w:highlight w:val="none"/>
        </w:rPr>
        <w:t>。（注：本条由投标人如实填写，如有，应列出全部满足招标公告资质要求的相关单位的名称；如无，则填写“无”。）</w:t>
      </w:r>
    </w:p>
    <w:p>
      <w:pPr>
        <w:spacing w:line="340" w:lineRule="exact"/>
        <w:ind w:firstLine="629"/>
        <w:rPr>
          <w:rFonts w:ascii="宋体" w:hAnsi="宋体"/>
          <w:color w:val="auto"/>
          <w:szCs w:val="21"/>
          <w:highlight w:val="none"/>
        </w:rPr>
      </w:pPr>
      <w:r>
        <w:rPr>
          <w:rFonts w:hint="eastAsia" w:ascii="宋体" w:hAnsi="宋体"/>
          <w:color w:val="auto"/>
          <w:szCs w:val="21"/>
          <w:highlight w:val="none"/>
          <w:lang w:val="en-US" w:eastAsia="zh-CN"/>
        </w:rPr>
        <w:t>十</w:t>
      </w:r>
      <w:r>
        <w:rPr>
          <w:rFonts w:hint="eastAsia" w:ascii="宋体" w:hAnsi="宋体"/>
          <w:color w:val="auto"/>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spacing w:line="340" w:lineRule="exact"/>
        <w:ind w:firstLine="629"/>
        <w:jc w:val="left"/>
        <w:rPr>
          <w:rFonts w:ascii="宋体" w:hAnsi="宋体"/>
          <w:color w:val="auto"/>
          <w:szCs w:val="21"/>
          <w:highlight w:val="none"/>
        </w:rPr>
      </w:pPr>
      <w:r>
        <w:rPr>
          <w:rFonts w:hint="eastAsia" w:ascii="宋体" w:hAnsi="宋体"/>
          <w:color w:val="auto"/>
          <w:szCs w:val="21"/>
          <w:highlight w:val="none"/>
        </w:rPr>
        <w:t>十一、本公司承诺，中标后将按招标人要求，积极响应广州市关于投身“百千万工程”的号召，主动参与建筑业结对帮扶。</w:t>
      </w:r>
    </w:p>
    <w:p>
      <w:pPr>
        <w:spacing w:line="340" w:lineRule="exact"/>
        <w:ind w:firstLine="629"/>
        <w:jc w:val="left"/>
        <w:rPr>
          <w:rFonts w:ascii="宋体" w:hAnsi="宋体"/>
          <w:color w:val="auto"/>
          <w:szCs w:val="21"/>
          <w:highlight w:val="none"/>
        </w:rPr>
      </w:pPr>
      <w:r>
        <w:rPr>
          <w:rFonts w:hint="eastAsia" w:ascii="宋体" w:hAnsi="宋体"/>
          <w:color w:val="auto"/>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40" w:lineRule="exact"/>
        <w:ind w:firstLine="629"/>
        <w:jc w:val="left"/>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pacing w:line="340" w:lineRule="exact"/>
        <w:ind w:firstLine="629"/>
        <w:rPr>
          <w:rFonts w:ascii="宋体" w:hAnsi="宋体"/>
          <w:color w:val="auto"/>
          <w:szCs w:val="21"/>
          <w:highlight w:val="none"/>
        </w:rPr>
      </w:pPr>
    </w:p>
    <w:p>
      <w:pPr>
        <w:spacing w:line="340" w:lineRule="exact"/>
        <w:ind w:firstLine="629"/>
        <w:rPr>
          <w:rFonts w:hint="eastAsia" w:ascii="宋体" w:hAnsi="宋体" w:eastAsia="宋体"/>
          <w:color w:val="auto"/>
          <w:szCs w:val="21"/>
          <w:highlight w:val="none"/>
          <w:lang w:eastAsia="zh-CN"/>
        </w:rPr>
      </w:pPr>
      <w:r>
        <w:rPr>
          <w:rFonts w:hint="eastAsia" w:ascii="宋体" w:hAnsi="宋体"/>
          <w:color w:val="auto"/>
          <w:szCs w:val="21"/>
          <w:highlight w:val="none"/>
        </w:rPr>
        <w:t>特此声明</w:t>
      </w:r>
      <w:r>
        <w:rPr>
          <w:rFonts w:hint="eastAsia" w:ascii="宋体" w:hAnsi="宋体"/>
          <w:color w:val="auto"/>
          <w:szCs w:val="21"/>
          <w:highlight w:val="none"/>
          <w:lang w:eastAsia="zh-CN"/>
        </w:rPr>
        <w:t>。</w:t>
      </w:r>
    </w:p>
    <w:p>
      <w:pPr>
        <w:spacing w:line="320" w:lineRule="exact"/>
        <w:ind w:right="0" w:firstLine="0" w:firstLineChars="0"/>
        <w:jc w:val="center"/>
        <w:rPr>
          <w:rFonts w:hint="eastAsia" w:ascii="宋体" w:hAnsi="宋体"/>
          <w:color w:val="auto"/>
          <w:szCs w:val="21"/>
          <w:highlight w:val="none"/>
          <w:lang w:val="en-US" w:eastAsia="zh-CN"/>
        </w:rPr>
      </w:pPr>
    </w:p>
    <w:p>
      <w:pPr>
        <w:spacing w:line="320" w:lineRule="exact"/>
        <w:ind w:right="0" w:firstLine="3780" w:firstLineChars="1800"/>
        <w:jc w:val="both"/>
        <w:rPr>
          <w:rFonts w:ascii="宋体" w:hAnsi="宋体"/>
          <w:color w:val="auto"/>
          <w:szCs w:val="21"/>
          <w:highlight w:val="none"/>
        </w:rPr>
      </w:pPr>
      <w:r>
        <w:rPr>
          <w:rFonts w:hint="eastAsia" w:ascii="宋体" w:hAnsi="宋体"/>
          <w:color w:val="auto"/>
          <w:szCs w:val="21"/>
          <w:highlight w:val="none"/>
        </w:rPr>
        <w:t>声明企业（联合体全体成员）：</w:t>
      </w:r>
    </w:p>
    <w:p>
      <w:pPr>
        <w:spacing w:line="320" w:lineRule="exact"/>
        <w:ind w:right="0" w:firstLine="3780" w:firstLineChars="1800"/>
        <w:jc w:val="both"/>
        <w:rPr>
          <w:rFonts w:ascii="宋体" w:hAnsi="宋体"/>
          <w:color w:val="auto"/>
          <w:szCs w:val="21"/>
          <w:highlight w:val="none"/>
        </w:rPr>
      </w:pPr>
      <w:r>
        <w:rPr>
          <w:rFonts w:hint="eastAsia" w:ascii="宋体" w:hAnsi="宋体"/>
          <w:color w:val="auto"/>
          <w:szCs w:val="21"/>
          <w:highlight w:val="none"/>
          <w:lang w:val="en-US" w:eastAsia="zh-CN"/>
        </w:rPr>
        <w:t>项目负责人</w:t>
      </w:r>
      <w:r>
        <w:rPr>
          <w:rFonts w:hint="eastAsia" w:ascii="宋体" w:hAnsi="宋体"/>
          <w:color w:val="auto"/>
          <w:szCs w:val="21"/>
          <w:highlight w:val="none"/>
        </w:rPr>
        <w:t>签字:</w:t>
      </w:r>
    </w:p>
    <w:p>
      <w:pPr>
        <w:spacing w:line="320" w:lineRule="exact"/>
        <w:ind w:right="0" w:firstLine="3780" w:firstLineChars="1800"/>
        <w:jc w:val="both"/>
        <w:rPr>
          <w:rFonts w:ascii="宋体" w:hAnsi="宋体"/>
          <w:color w:val="auto"/>
          <w:szCs w:val="21"/>
          <w:highlight w:val="none"/>
        </w:rPr>
      </w:pPr>
      <w:r>
        <w:rPr>
          <w:rFonts w:hint="eastAsia" w:ascii="宋体" w:hAnsi="宋体"/>
          <w:color w:val="auto"/>
          <w:szCs w:val="21"/>
          <w:highlight w:val="none"/>
        </w:rPr>
        <w:t>技术负责人签字：</w:t>
      </w:r>
    </w:p>
    <w:p>
      <w:pPr>
        <w:spacing w:line="320" w:lineRule="exact"/>
        <w:ind w:right="669" w:firstLine="1890" w:firstLineChars="900"/>
        <w:jc w:val="right"/>
        <w:rPr>
          <w:rFonts w:ascii="宋体" w:hAnsi="宋体"/>
          <w:color w:val="auto"/>
          <w:szCs w:val="21"/>
          <w:highlight w:val="none"/>
        </w:rPr>
      </w:pPr>
    </w:p>
    <w:p>
      <w:pPr>
        <w:spacing w:line="320" w:lineRule="exact"/>
        <w:ind w:right="669" w:firstLine="1890" w:firstLineChars="900"/>
        <w:jc w:val="right"/>
        <w:rPr>
          <w:rFonts w:ascii="宋体" w:hAnsi="宋体"/>
          <w:color w:val="auto"/>
          <w:szCs w:val="21"/>
          <w:highlight w:val="none"/>
        </w:rPr>
      </w:pPr>
      <w:r>
        <w:rPr>
          <w:rFonts w:hint="eastAsia" w:ascii="宋体" w:hAnsi="宋体"/>
          <w:color w:val="auto"/>
          <w:szCs w:val="21"/>
          <w:highlight w:val="none"/>
        </w:rPr>
        <w:t>年     月     日</w:t>
      </w:r>
    </w:p>
    <w:p>
      <w:pPr>
        <w:spacing w:line="340" w:lineRule="exact"/>
        <w:ind w:left="0" w:leftChars="0"/>
        <w:rPr>
          <w:rFonts w:hint="eastAsia" w:ascii="宋体" w:hAnsi="宋体"/>
          <w:color w:val="auto"/>
          <w:szCs w:val="21"/>
          <w:highlight w:val="none"/>
        </w:rPr>
      </w:pPr>
      <w:r>
        <w:rPr>
          <w:rFonts w:hint="eastAsia" w:ascii="宋体" w:hAnsi="宋体"/>
          <w:color w:val="auto"/>
          <w:szCs w:val="21"/>
          <w:highlight w:val="none"/>
        </w:rPr>
        <w:t>注：(1)投标人的项目负责人和技术负责人须签字。</w:t>
      </w:r>
    </w:p>
    <w:p>
      <w:pPr>
        <w:spacing w:line="340" w:lineRule="exact"/>
        <w:ind w:left="0" w:left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联合体投标的，“声明企业”一栏需填写联合体各方的单位全称，项目负责人和技术负责人需由联合体</w:t>
      </w:r>
      <w:r>
        <w:rPr>
          <w:rFonts w:hint="eastAsia" w:ascii="宋体" w:hAnsi="宋体"/>
          <w:color w:val="auto"/>
          <w:szCs w:val="21"/>
          <w:highlight w:val="none"/>
          <w:lang w:eastAsia="zh-CN"/>
        </w:rPr>
        <w:t>牵头方</w:t>
      </w:r>
      <w:r>
        <w:rPr>
          <w:rFonts w:hint="eastAsia" w:ascii="宋体" w:hAnsi="宋体"/>
          <w:color w:val="auto"/>
          <w:szCs w:val="21"/>
          <w:highlight w:val="none"/>
        </w:rPr>
        <w:t>的人员担任并</w:t>
      </w:r>
      <w:r>
        <w:rPr>
          <w:rFonts w:hint="eastAsia" w:ascii="宋体" w:hAnsi="宋体"/>
          <w:color w:val="auto"/>
          <w:szCs w:val="21"/>
          <w:highlight w:val="none"/>
          <w:lang w:val="en-US" w:eastAsia="zh-CN"/>
        </w:rPr>
        <w:t>签字</w:t>
      </w:r>
      <w:r>
        <w:rPr>
          <w:rFonts w:hint="eastAsia" w:ascii="宋体" w:hAnsi="宋体"/>
          <w:color w:val="auto"/>
          <w:szCs w:val="21"/>
          <w:highlight w:val="none"/>
        </w:rPr>
        <w:t>。</w:t>
      </w:r>
    </w:p>
    <w:p>
      <w:pPr>
        <w:numPr>
          <w:ilvl w:val="-1"/>
          <w:numId w:val="0"/>
        </w:numPr>
        <w:spacing w:line="340" w:lineRule="exact"/>
        <w:ind w:left="0" w:leftChars="0"/>
        <w:rPr>
          <w:rFonts w:hint="eastAsia" w:ascii="宋体" w:hAnsi="宋体"/>
          <w:color w:val="auto"/>
          <w:szCs w:val="21"/>
          <w:highlight w:val="none"/>
        </w:rPr>
      </w:pPr>
      <w:r>
        <w:rPr>
          <w:rFonts w:hint="eastAsia" w:ascii="宋体" w:hAnsi="宋体"/>
          <w:color w:val="auto"/>
          <w:szCs w:val="21"/>
          <w:highlight w:val="none"/>
        </w:rPr>
        <w:t>(3)联合体投标的，在第</w:t>
      </w:r>
      <w:r>
        <w:rPr>
          <w:rFonts w:hint="eastAsia" w:ascii="宋体" w:hAnsi="宋体"/>
          <w:color w:val="auto"/>
          <w:szCs w:val="21"/>
          <w:highlight w:val="none"/>
          <w:lang w:val="en-US" w:eastAsia="zh-CN"/>
        </w:rPr>
        <w:t>九</w:t>
      </w:r>
      <w:r>
        <w:rPr>
          <w:rFonts w:hint="eastAsia" w:ascii="宋体" w:hAnsi="宋体"/>
          <w:color w:val="auto"/>
          <w:szCs w:val="21"/>
          <w:highlight w:val="none"/>
        </w:rPr>
        <w:t>条中应按联合体各方的实际情况分别填写。</w:t>
      </w:r>
    </w:p>
    <w:p>
      <w:pPr>
        <w:rPr>
          <w:rFonts w:ascii="宋体" w:hAnsi="宋体" w:eastAsia="宋体"/>
          <w:color w:val="auto"/>
          <w:highlight w:val="none"/>
        </w:rPr>
      </w:pPr>
      <w:r>
        <w:rPr>
          <w:rFonts w:ascii="宋体" w:hAnsi="宋体" w:eastAsia="宋体"/>
          <w:color w:val="auto"/>
          <w:highlight w:val="none"/>
        </w:rPr>
        <w:br w:type="page"/>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附件二：</w:t>
      </w:r>
    </w:p>
    <w:p>
      <w:pPr>
        <w:rPr>
          <w:rFonts w:hint="eastAsia" w:eastAsia="宋体" w:cs="Times New Roman"/>
          <w:color w:val="auto"/>
          <w:highlight w:val="none"/>
        </w:rPr>
      </w:pP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联合体工作协议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3" w:hRule="atLeast"/>
          <w:jc w:val="center"/>
        </w:trPr>
        <w:tc>
          <w:tcPr>
            <w:tcW w:w="9243" w:type="dxa"/>
            <w:noWrap w:val="0"/>
            <w:vAlign w:val="top"/>
          </w:tcPr>
          <w:p>
            <w:pPr>
              <w:spacing w:line="360" w:lineRule="auto"/>
              <w:ind w:firstLine="598" w:firstLineChars="285"/>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(承担主要施工任务的单位名称)、</w:t>
            </w:r>
            <w:r>
              <w:rPr>
                <w:rFonts w:ascii="宋体" w:hAnsi="宋体"/>
                <w:color w:val="auto"/>
                <w:highlight w:val="none"/>
                <w:u w:val="single"/>
              </w:rPr>
              <w:t xml:space="preserve">               </w:t>
            </w:r>
            <w:r>
              <w:rPr>
                <w:rFonts w:ascii="宋体" w:hAnsi="宋体"/>
                <w:color w:val="auto"/>
                <w:highlight w:val="none"/>
              </w:rPr>
              <w:t>(承担其他施工任务的单位名称)自愿组成联合体，共同参加</w:t>
            </w:r>
            <w:r>
              <w:rPr>
                <w:rFonts w:ascii="宋体" w:hAnsi="宋体"/>
                <w:color w:val="auto"/>
                <w:highlight w:val="none"/>
                <w:u w:val="single"/>
              </w:rPr>
              <w:t xml:space="preserve">               </w:t>
            </w:r>
            <w:r>
              <w:rPr>
                <w:rFonts w:hint="eastAsia" w:ascii="宋体" w:hAnsi="宋体"/>
                <w:color w:val="auto"/>
                <w:highlight w:val="none"/>
              </w:rPr>
              <w:t>投标。现就联合体投标事宜订立如下协议。</w:t>
            </w:r>
          </w:p>
          <w:p>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rPr>
              <w:t>为联合体</w:t>
            </w:r>
            <w:r>
              <w:rPr>
                <w:rFonts w:hint="eastAsia" w:ascii="宋体" w:hAnsi="宋体"/>
                <w:color w:val="auto"/>
                <w:highlight w:val="none"/>
                <w:lang w:eastAsia="zh-CN"/>
              </w:rPr>
              <w:t>牵头方</w:t>
            </w:r>
            <w:r>
              <w:rPr>
                <w:rFonts w:hint="eastAsia" w:ascii="宋体" w:hAnsi="宋体"/>
                <w:color w:val="auto"/>
                <w:highlight w:val="none"/>
              </w:rPr>
              <w:t>。</w:t>
            </w:r>
            <w:r>
              <w:rPr>
                <w:rFonts w:hint="eastAsia" w:ascii="宋体" w:hAnsi="宋体"/>
                <w:color w:val="auto"/>
                <w:highlight w:val="none"/>
                <w:u w:val="single"/>
              </w:rPr>
              <w:t>（联合体</w:t>
            </w:r>
            <w:r>
              <w:rPr>
                <w:rFonts w:hint="eastAsia" w:ascii="宋体" w:hAnsi="宋体"/>
                <w:color w:val="auto"/>
                <w:highlight w:val="none"/>
                <w:u w:val="single"/>
                <w:lang w:eastAsia="zh-CN"/>
              </w:rPr>
              <w:t>牵头方</w:t>
            </w:r>
            <w:r>
              <w:rPr>
                <w:rFonts w:hint="eastAsia" w:ascii="宋体" w:hAnsi="宋体"/>
                <w:color w:val="auto"/>
                <w:highlight w:val="none"/>
                <w:u w:val="single"/>
              </w:rPr>
              <w:t>只允许填</w:t>
            </w:r>
            <w:r>
              <w:rPr>
                <w:rFonts w:ascii="宋体" w:hAnsi="宋体"/>
                <w:color w:val="auto"/>
                <w:highlight w:val="none"/>
                <w:u w:val="single"/>
              </w:rPr>
              <w:t>1家单位</w:t>
            </w:r>
            <w:r>
              <w:rPr>
                <w:rFonts w:hint="eastAsia" w:ascii="宋体" w:hAnsi="宋体"/>
                <w:color w:val="auto"/>
                <w:highlight w:val="none"/>
                <w:u w:val="single"/>
              </w:rPr>
              <w:t>）</w:t>
            </w:r>
          </w:p>
          <w:p>
            <w:pPr>
              <w:spacing w:line="360" w:lineRule="auto"/>
              <w:ind w:firstLine="598" w:firstLineChars="285"/>
              <w:rPr>
                <w:rFonts w:ascii="宋体" w:hAnsi="宋体"/>
                <w:color w:val="auto"/>
                <w:highlight w:val="none"/>
              </w:rPr>
            </w:pPr>
            <w:r>
              <w:rPr>
                <w:rFonts w:ascii="宋体" w:hAnsi="宋体"/>
                <w:color w:val="auto"/>
                <w:highlight w:val="none"/>
              </w:rPr>
              <w:t>2、联合体</w:t>
            </w:r>
            <w:r>
              <w:rPr>
                <w:rFonts w:hint="eastAsia" w:ascii="宋体" w:hAnsi="宋体"/>
                <w:color w:val="auto"/>
                <w:highlight w:val="none"/>
                <w:lang w:eastAsia="zh-CN"/>
              </w:rPr>
              <w:t>牵头方</w:t>
            </w:r>
            <w:r>
              <w:rPr>
                <w:rFonts w:ascii="宋体" w:hAnsi="宋体"/>
                <w:color w:val="auto"/>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598" w:firstLineChars="285"/>
              <w:rPr>
                <w:rFonts w:ascii="宋体" w:hAnsi="宋体"/>
                <w:color w:val="auto"/>
                <w:highlight w:val="none"/>
              </w:rPr>
            </w:pPr>
            <w:r>
              <w:rPr>
                <w:rFonts w:ascii="宋体" w:hAnsi="宋体"/>
                <w:color w:val="auto"/>
                <w:highlight w:val="none"/>
              </w:rPr>
              <w:t>3、</w:t>
            </w:r>
            <w:r>
              <w:rPr>
                <w:rFonts w:hint="eastAsia" w:ascii="宋体" w:hAnsi="宋体"/>
                <w:color w:val="auto"/>
                <w:highlight w:val="none"/>
              </w:rPr>
              <w:t>联合体将严格按照招标文件的各项要求，递交投标文件，履行合同，并对外承担相应责任。联合体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r>
              <w:rPr>
                <w:rFonts w:ascii="宋体" w:hAnsi="宋体"/>
                <w:color w:val="auto"/>
                <w:highlight w:val="none"/>
              </w:rPr>
              <w:t>。</w:t>
            </w:r>
          </w:p>
          <w:p>
            <w:pPr>
              <w:spacing w:line="360" w:lineRule="auto"/>
              <w:ind w:firstLine="598" w:firstLineChars="285"/>
              <w:rPr>
                <w:rFonts w:ascii="宋体" w:hAnsi="宋体"/>
                <w:color w:val="auto"/>
                <w:highlight w:val="none"/>
              </w:rPr>
            </w:pPr>
            <w:r>
              <w:rPr>
                <w:rFonts w:ascii="宋体" w:hAnsi="宋体"/>
                <w:color w:val="auto"/>
                <w:highlight w:val="none"/>
              </w:rPr>
              <w:t>4、联合体各成员单位内部的职责分工如下：</w:t>
            </w:r>
          </w:p>
          <w:p>
            <w:pPr>
              <w:spacing w:line="360" w:lineRule="auto"/>
              <w:ind w:firstLine="598" w:firstLineChars="285"/>
              <w:rPr>
                <w:rFonts w:ascii="宋体" w:hAnsi="宋体"/>
                <w:color w:val="auto"/>
                <w:highlight w:val="none"/>
              </w:rPr>
            </w:pPr>
            <w:r>
              <w:rPr>
                <w:rFonts w:hint="eastAsia" w:ascii="宋体" w:hAnsi="宋体"/>
                <w:color w:val="auto"/>
                <w:highlight w:val="none"/>
              </w:rPr>
              <w:t>①</w:t>
            </w:r>
            <w:r>
              <w:rPr>
                <w:rFonts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作为本项目总负责单位，除承担本项目的主要施工任务外，还对本招标项目的进度、质量、安全、投资控制、管理、协调等负全责，具体按合同要求</w:t>
            </w:r>
            <w:r>
              <w:rPr>
                <w:rFonts w:hint="eastAsia" w:ascii="宋体" w:hAnsi="宋体"/>
                <w:color w:val="auto"/>
                <w:highlight w:val="none"/>
              </w:rPr>
              <w:t>。</w:t>
            </w:r>
          </w:p>
          <w:p>
            <w:pPr>
              <w:spacing w:line="360" w:lineRule="auto"/>
              <w:ind w:firstLine="598" w:firstLineChars="285"/>
              <w:rPr>
                <w:rFonts w:ascii="宋体" w:hAnsi="宋体"/>
                <w:color w:val="auto"/>
                <w:highlight w:val="none"/>
              </w:rPr>
            </w:pPr>
            <w:r>
              <w:rPr>
                <w:rFonts w:hint="eastAsia" w:ascii="宋体" w:hAnsi="宋体"/>
                <w:color w:val="auto"/>
                <w:highlight w:val="none"/>
              </w:rPr>
              <w:t>②</w:t>
            </w:r>
            <w:r>
              <w:rPr>
                <w:rFonts w:ascii="宋体" w:hAnsi="宋体"/>
                <w:color w:val="auto"/>
                <w:highlight w:val="none"/>
                <w:u w:val="single"/>
              </w:rPr>
              <w:t xml:space="preserve">                   </w:t>
            </w:r>
            <w:r>
              <w:rPr>
                <w:rFonts w:hint="eastAsia" w:ascii="宋体" w:hAnsi="宋体"/>
                <w:color w:val="auto"/>
                <w:highlight w:val="none"/>
              </w:rPr>
              <w:t>（承担其他施工任务的单位名称）：</w:t>
            </w:r>
            <w:r>
              <w:rPr>
                <w:rFonts w:hint="eastAsia" w:ascii="宋体" w:hAnsi="宋体"/>
                <w:color w:val="auto"/>
                <w:highlight w:val="none"/>
                <w:u w:val="single"/>
              </w:rPr>
              <w:t>主要承担本项目的其他施工任务，具体按合同要求</w:t>
            </w:r>
            <w:r>
              <w:rPr>
                <w:rFonts w:hint="eastAsia" w:ascii="宋体" w:hAnsi="宋体"/>
                <w:color w:val="auto"/>
                <w:highlight w:val="none"/>
              </w:rPr>
              <w:t>。</w:t>
            </w:r>
          </w:p>
          <w:p>
            <w:pPr>
              <w:spacing w:line="360" w:lineRule="auto"/>
              <w:ind w:firstLine="598" w:firstLineChars="285"/>
              <w:rPr>
                <w:color w:val="auto"/>
                <w:highlight w:val="none"/>
              </w:rPr>
            </w:pP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r>
              <w:rPr>
                <w:rFonts w:hint="eastAsia" w:ascii="宋体" w:hAnsi="宋体"/>
                <w:color w:val="auto"/>
                <w:highlight w:val="none"/>
              </w:rPr>
              <w:t>联合体</w:t>
            </w:r>
            <w:r>
              <w:rPr>
                <w:rFonts w:hint="eastAsia" w:ascii="宋体" w:hAnsi="宋体"/>
                <w:color w:val="auto"/>
                <w:highlight w:val="none"/>
                <w:lang w:eastAsia="zh-CN"/>
              </w:rPr>
              <w:t>牵头方</w:t>
            </w:r>
            <w:r>
              <w:rPr>
                <w:rFonts w:ascii="宋体" w:hAnsi="宋体"/>
                <w:color w:val="auto"/>
                <w:highlight w:val="none"/>
              </w:rPr>
              <w:t>名称：</w:t>
            </w:r>
            <w:r>
              <w:rPr>
                <w:rFonts w:ascii="宋体" w:hAnsi="宋体"/>
                <w:color w:val="auto"/>
                <w:highlight w:val="none"/>
                <w:u w:val="single"/>
              </w:rPr>
              <w:t xml:space="preserve">                           </w:t>
            </w:r>
            <w:r>
              <w:rPr>
                <w:rFonts w:ascii="宋体" w:hAnsi="宋体"/>
                <w:color w:val="auto"/>
                <w:highlight w:val="none"/>
              </w:rPr>
              <w:t>（盖单位章）</w:t>
            </w:r>
          </w:p>
          <w:p>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pPr>
              <w:topLinePunct/>
              <w:spacing w:line="440" w:lineRule="exact"/>
              <w:rPr>
                <w:rFonts w:ascii="宋体" w:hAnsi="宋体"/>
                <w:color w:val="auto"/>
                <w:highlight w:val="none"/>
              </w:rPr>
            </w:pPr>
          </w:p>
          <w:p>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ascii="宋体" w:hAnsi="宋体"/>
                <w:color w:val="auto"/>
                <w:szCs w:val="21"/>
                <w:highlight w:val="none"/>
              </w:rPr>
              <w:t>（盖单位章）</w:t>
            </w:r>
          </w:p>
          <w:p>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pPr>
              <w:rPr>
                <w:rFonts w:ascii="等线" w:hAnsi="Courier New" w:eastAsia="等线" w:cs="Courier New"/>
                <w:color w:val="auto"/>
                <w:highlight w:val="none"/>
              </w:rPr>
            </w:pPr>
          </w:p>
          <w:p>
            <w:pPr>
              <w:autoSpaceDE w:val="0"/>
              <w:autoSpaceDN w:val="0"/>
              <w:adjustRightInd w:val="0"/>
              <w:spacing w:line="360" w:lineRule="auto"/>
              <w:jc w:val="right"/>
              <w:rPr>
                <w:rFonts w:ascii="宋体" w:hAnsi="宋体" w:cs="宋体"/>
                <w:color w:val="auto"/>
                <w:highlight w:val="none"/>
              </w:rPr>
            </w:pP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pPr>
              <w:autoSpaceDE w:val="0"/>
              <w:autoSpaceDN w:val="0"/>
              <w:adjustRightInd w:val="0"/>
              <w:spacing w:line="360" w:lineRule="auto"/>
              <w:jc w:val="left"/>
              <w:rPr>
                <w:rFonts w:ascii="宋体" w:hAnsi="宋体" w:cs="宋体"/>
                <w:bCs/>
                <w:color w:val="auto"/>
                <w:sz w:val="24"/>
                <w:highlight w:val="none"/>
              </w:rPr>
            </w:pPr>
            <w:r>
              <w:rPr>
                <w:rFonts w:hint="eastAsia" w:ascii="宋体" w:hAnsi="宋体" w:cs="宋体"/>
                <w:color w:val="auto"/>
                <w:highlight w:val="none"/>
              </w:rPr>
              <w:t>注：单独投标的，无需提交本协议。</w:t>
            </w:r>
          </w:p>
        </w:tc>
      </w:tr>
    </w:tbl>
    <w:p>
      <w:pPr>
        <w:rPr>
          <w:color w:val="auto"/>
          <w:highlight w:val="none"/>
        </w:rPr>
      </w:pPr>
      <w:bookmarkStart w:id="4" w:name="_GoBack"/>
      <w:bookmarkEnd w:id="4"/>
    </w:p>
    <w:sectPr>
      <w:headerReference r:id="rId3" w:type="default"/>
      <w:footerReference r:id="rId4" w:type="default"/>
      <w:pgSz w:w="11906" w:h="16838"/>
      <w:pgMar w:top="1587" w:right="1418" w:bottom="1587"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矩形 1"/>
              <wp:cNvGraphicFramePr/>
              <a:graphic xmlns:a="http://schemas.openxmlformats.org/drawingml/2006/main">
                <a:graphicData uri="http://schemas.microsoft.com/office/word/2010/wordprocessingShape">
                  <wps:wsp>
                    <wps:cNvSpPr/>
                    <wps:spPr>
                      <a:xfrm>
                        <a:off x="0" y="0"/>
                        <a:ext cx="116205" cy="278765"/>
                      </a:xfrm>
                      <a:prstGeom prst="rect">
                        <a:avLst/>
                      </a:prstGeom>
                      <a:ln>
                        <a:noFill/>
                      </a:ln>
                    </wps:spPr>
                    <wps:txbx>
                      <w:txbxContent>
                        <w:p>
                          <w:pPr>
                            <w:pStyle w:val="7"/>
                            <w:jc w:val="center"/>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pPr>
                            <w:pStyle w:val="7"/>
                            <w:ind w:left="-4410" w:leftChars="-2100" w:right="-4439" w:rightChars="-2114"/>
                            <w:rPr>
                              <w:rStyle w:val="13"/>
                            </w:rPr>
                          </w:pPr>
                        </w:p>
                      </w:txbxContent>
                    </wps:txbx>
                    <wps:bodyPr wrap="none" lIns="0" tIns="0" rIns="0" bIns="0" upright="1">
                      <a:spAutoFit/>
                    </wps:bodyPr>
                  </wps:wsp>
                </a:graphicData>
              </a:graphic>
            </wp:anchor>
          </w:drawing>
        </mc:Choice>
        <mc:Fallback>
          <w:pict>
            <v:rect id="_x0000_s1026" o:spid="_x0000_s1026" o:spt="1"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zXI9LSAAAAAwEAAA8AAAAAAAAAAQAgAAAAIgAAAGRycy9kb3ducmV2LnhtbFBLAQIU&#10;ABQAAAAIAIdO4kBvpC+FwAEAAH8DAAAOAAAAAAAAAAEAIAAAACEBAABkcnMvZTJvRG9jLnhtbFBL&#10;BQYAAAAABgAGAFkBAABTBQAAAAA=&#10;">
              <v:fill on="f" focussize="0,0"/>
              <v:stroke on="f"/>
              <v:imagedata o:title=""/>
              <o:lock v:ext="edit" aspectratio="f"/>
              <v:textbox inset="0mm,0mm,0mm,0mm" style="mso-fit-shape-to-text:t;">
                <w:txbxContent>
                  <w:p>
                    <w:pPr>
                      <w:pStyle w:val="7"/>
                      <w:jc w:val="center"/>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pPr>
                      <w:pStyle w:val="7"/>
                      <w:ind w:left="-4410" w:leftChars="-2100" w:right="-4439" w:rightChars="-2114"/>
                      <w:rPr>
                        <w:rStyle w:val="13"/>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OTViYmY4MDE1NzYxZDg4OTNkNzEzZDE5NTZkMGQifQ=="/>
  </w:docVars>
  <w:rsids>
    <w:rsidRoot w:val="00667467"/>
    <w:rsid w:val="00007CC3"/>
    <w:rsid w:val="00025E55"/>
    <w:rsid w:val="000638A3"/>
    <w:rsid w:val="00073013"/>
    <w:rsid w:val="000976B2"/>
    <w:rsid w:val="000A5297"/>
    <w:rsid w:val="000B56E2"/>
    <w:rsid w:val="000C6388"/>
    <w:rsid w:val="000D3893"/>
    <w:rsid w:val="000E7AB9"/>
    <w:rsid w:val="00106D72"/>
    <w:rsid w:val="0011013D"/>
    <w:rsid w:val="001105AD"/>
    <w:rsid w:val="00114D8C"/>
    <w:rsid w:val="0013675C"/>
    <w:rsid w:val="0015307C"/>
    <w:rsid w:val="001538F1"/>
    <w:rsid w:val="00157617"/>
    <w:rsid w:val="00160322"/>
    <w:rsid w:val="0016579C"/>
    <w:rsid w:val="00167655"/>
    <w:rsid w:val="00175F55"/>
    <w:rsid w:val="00186A07"/>
    <w:rsid w:val="001C7ACD"/>
    <w:rsid w:val="00217356"/>
    <w:rsid w:val="00221D9E"/>
    <w:rsid w:val="00223A92"/>
    <w:rsid w:val="00225ED0"/>
    <w:rsid w:val="002342D2"/>
    <w:rsid w:val="002404F0"/>
    <w:rsid w:val="00241E3A"/>
    <w:rsid w:val="002468D5"/>
    <w:rsid w:val="00290642"/>
    <w:rsid w:val="00291F25"/>
    <w:rsid w:val="002B1288"/>
    <w:rsid w:val="002D140E"/>
    <w:rsid w:val="002F496E"/>
    <w:rsid w:val="00304CB5"/>
    <w:rsid w:val="00316388"/>
    <w:rsid w:val="0031707B"/>
    <w:rsid w:val="00326930"/>
    <w:rsid w:val="00340AC5"/>
    <w:rsid w:val="00375090"/>
    <w:rsid w:val="00385890"/>
    <w:rsid w:val="003A2307"/>
    <w:rsid w:val="003A5D77"/>
    <w:rsid w:val="003F001D"/>
    <w:rsid w:val="00400D23"/>
    <w:rsid w:val="00410668"/>
    <w:rsid w:val="004228D7"/>
    <w:rsid w:val="00423552"/>
    <w:rsid w:val="00426D6B"/>
    <w:rsid w:val="00432B24"/>
    <w:rsid w:val="00454613"/>
    <w:rsid w:val="0048037D"/>
    <w:rsid w:val="004D1C33"/>
    <w:rsid w:val="004D2575"/>
    <w:rsid w:val="004E4677"/>
    <w:rsid w:val="00507E0A"/>
    <w:rsid w:val="00521FB1"/>
    <w:rsid w:val="0054471A"/>
    <w:rsid w:val="005479D4"/>
    <w:rsid w:val="00570AB8"/>
    <w:rsid w:val="005B0329"/>
    <w:rsid w:val="005F3990"/>
    <w:rsid w:val="00623C0D"/>
    <w:rsid w:val="00630205"/>
    <w:rsid w:val="006447F0"/>
    <w:rsid w:val="00667467"/>
    <w:rsid w:val="00671C03"/>
    <w:rsid w:val="0068597C"/>
    <w:rsid w:val="00685CD1"/>
    <w:rsid w:val="006952E9"/>
    <w:rsid w:val="006A51FD"/>
    <w:rsid w:val="006B0FD1"/>
    <w:rsid w:val="006D28F2"/>
    <w:rsid w:val="006D74B4"/>
    <w:rsid w:val="006F5BA1"/>
    <w:rsid w:val="007106B5"/>
    <w:rsid w:val="00720244"/>
    <w:rsid w:val="0072080B"/>
    <w:rsid w:val="00724B90"/>
    <w:rsid w:val="00731FCC"/>
    <w:rsid w:val="00770E57"/>
    <w:rsid w:val="00793DCC"/>
    <w:rsid w:val="00795AAF"/>
    <w:rsid w:val="007B3077"/>
    <w:rsid w:val="007C2D6C"/>
    <w:rsid w:val="007E1AF5"/>
    <w:rsid w:val="00814CE0"/>
    <w:rsid w:val="00836BBF"/>
    <w:rsid w:val="00851091"/>
    <w:rsid w:val="00885C2C"/>
    <w:rsid w:val="00890C0F"/>
    <w:rsid w:val="008B7CA7"/>
    <w:rsid w:val="008C7ACC"/>
    <w:rsid w:val="008D54AD"/>
    <w:rsid w:val="00915810"/>
    <w:rsid w:val="00923D08"/>
    <w:rsid w:val="009704D2"/>
    <w:rsid w:val="009B0158"/>
    <w:rsid w:val="009C5C02"/>
    <w:rsid w:val="009D1FF2"/>
    <w:rsid w:val="009D2DB7"/>
    <w:rsid w:val="00A10E76"/>
    <w:rsid w:val="00A12AC9"/>
    <w:rsid w:val="00A2023D"/>
    <w:rsid w:val="00A25058"/>
    <w:rsid w:val="00A409DB"/>
    <w:rsid w:val="00A6176B"/>
    <w:rsid w:val="00A67109"/>
    <w:rsid w:val="00A72AC4"/>
    <w:rsid w:val="00B142AD"/>
    <w:rsid w:val="00B2280F"/>
    <w:rsid w:val="00B54C7D"/>
    <w:rsid w:val="00B73436"/>
    <w:rsid w:val="00B83239"/>
    <w:rsid w:val="00BA0139"/>
    <w:rsid w:val="00BA0E6C"/>
    <w:rsid w:val="00BA640F"/>
    <w:rsid w:val="00BF301C"/>
    <w:rsid w:val="00C00D40"/>
    <w:rsid w:val="00C02C5D"/>
    <w:rsid w:val="00C07447"/>
    <w:rsid w:val="00C0773F"/>
    <w:rsid w:val="00C13A82"/>
    <w:rsid w:val="00C2733C"/>
    <w:rsid w:val="00C51E66"/>
    <w:rsid w:val="00C57819"/>
    <w:rsid w:val="00C6108D"/>
    <w:rsid w:val="00CA67B5"/>
    <w:rsid w:val="00CC4E63"/>
    <w:rsid w:val="00CD4E11"/>
    <w:rsid w:val="00CF3117"/>
    <w:rsid w:val="00CF3D25"/>
    <w:rsid w:val="00D07C6C"/>
    <w:rsid w:val="00D114CF"/>
    <w:rsid w:val="00D11C1F"/>
    <w:rsid w:val="00D16CA6"/>
    <w:rsid w:val="00D25908"/>
    <w:rsid w:val="00D33769"/>
    <w:rsid w:val="00D51A6C"/>
    <w:rsid w:val="00DA214C"/>
    <w:rsid w:val="00DA3433"/>
    <w:rsid w:val="00DD27AB"/>
    <w:rsid w:val="00DE39A7"/>
    <w:rsid w:val="00DF42D8"/>
    <w:rsid w:val="00DF4EC2"/>
    <w:rsid w:val="00E615C2"/>
    <w:rsid w:val="00E65BE9"/>
    <w:rsid w:val="00E6630B"/>
    <w:rsid w:val="00E86AEA"/>
    <w:rsid w:val="00EA2858"/>
    <w:rsid w:val="00EB4F89"/>
    <w:rsid w:val="00ED4356"/>
    <w:rsid w:val="00ED4F09"/>
    <w:rsid w:val="00EF18DC"/>
    <w:rsid w:val="00F00CB9"/>
    <w:rsid w:val="00F07D16"/>
    <w:rsid w:val="00F50F2B"/>
    <w:rsid w:val="00F562B5"/>
    <w:rsid w:val="00F62659"/>
    <w:rsid w:val="00F743B2"/>
    <w:rsid w:val="00F80AB9"/>
    <w:rsid w:val="00F86BAA"/>
    <w:rsid w:val="00F8751C"/>
    <w:rsid w:val="00FA2ECE"/>
    <w:rsid w:val="00FA55AA"/>
    <w:rsid w:val="00FB7DF5"/>
    <w:rsid w:val="00FF037B"/>
    <w:rsid w:val="00FF1CB5"/>
    <w:rsid w:val="0340720F"/>
    <w:rsid w:val="048C3708"/>
    <w:rsid w:val="05C973FB"/>
    <w:rsid w:val="07FC0BA5"/>
    <w:rsid w:val="0B7E2277"/>
    <w:rsid w:val="0C6943D6"/>
    <w:rsid w:val="0E487FDB"/>
    <w:rsid w:val="0EBD2206"/>
    <w:rsid w:val="0FE04510"/>
    <w:rsid w:val="1032392D"/>
    <w:rsid w:val="17171557"/>
    <w:rsid w:val="186F723E"/>
    <w:rsid w:val="190E4A57"/>
    <w:rsid w:val="193B3B9B"/>
    <w:rsid w:val="198121BC"/>
    <w:rsid w:val="1C514B13"/>
    <w:rsid w:val="1D1207F7"/>
    <w:rsid w:val="1DD20C44"/>
    <w:rsid w:val="1E987A77"/>
    <w:rsid w:val="200148D8"/>
    <w:rsid w:val="21FE78A9"/>
    <w:rsid w:val="22A92475"/>
    <w:rsid w:val="258716DB"/>
    <w:rsid w:val="25F77687"/>
    <w:rsid w:val="2ACF41CB"/>
    <w:rsid w:val="2EE47012"/>
    <w:rsid w:val="2F556F59"/>
    <w:rsid w:val="31D07583"/>
    <w:rsid w:val="31FE56EF"/>
    <w:rsid w:val="32AF5271"/>
    <w:rsid w:val="36BA2372"/>
    <w:rsid w:val="391C18D4"/>
    <w:rsid w:val="39986B9C"/>
    <w:rsid w:val="39C80763"/>
    <w:rsid w:val="3B624CFE"/>
    <w:rsid w:val="3CC055CC"/>
    <w:rsid w:val="3D3125F0"/>
    <w:rsid w:val="3DE34B45"/>
    <w:rsid w:val="3E5C147A"/>
    <w:rsid w:val="3F5E1222"/>
    <w:rsid w:val="407678E0"/>
    <w:rsid w:val="41FA5DBB"/>
    <w:rsid w:val="443316E4"/>
    <w:rsid w:val="4453331F"/>
    <w:rsid w:val="45C871B4"/>
    <w:rsid w:val="47D3493F"/>
    <w:rsid w:val="48E25C8D"/>
    <w:rsid w:val="4A792723"/>
    <w:rsid w:val="4AF01898"/>
    <w:rsid w:val="4B4E65B7"/>
    <w:rsid w:val="4E9B7A04"/>
    <w:rsid w:val="5001505B"/>
    <w:rsid w:val="50EF43D0"/>
    <w:rsid w:val="51635C82"/>
    <w:rsid w:val="537D3F15"/>
    <w:rsid w:val="553A48C4"/>
    <w:rsid w:val="556F03FD"/>
    <w:rsid w:val="56800A9F"/>
    <w:rsid w:val="589E2B8E"/>
    <w:rsid w:val="5906675A"/>
    <w:rsid w:val="59350DEE"/>
    <w:rsid w:val="59684D1F"/>
    <w:rsid w:val="59996547"/>
    <w:rsid w:val="5B7D779A"/>
    <w:rsid w:val="5C895AEB"/>
    <w:rsid w:val="604E19EC"/>
    <w:rsid w:val="610A5623"/>
    <w:rsid w:val="61723FEA"/>
    <w:rsid w:val="64B60849"/>
    <w:rsid w:val="66F12303"/>
    <w:rsid w:val="68B27E16"/>
    <w:rsid w:val="6A063997"/>
    <w:rsid w:val="6A0F6794"/>
    <w:rsid w:val="6C817DF7"/>
    <w:rsid w:val="6F605FD2"/>
    <w:rsid w:val="701A2E81"/>
    <w:rsid w:val="70C71A1F"/>
    <w:rsid w:val="72C94629"/>
    <w:rsid w:val="7313363C"/>
    <w:rsid w:val="743D61FE"/>
    <w:rsid w:val="74933140"/>
    <w:rsid w:val="74C35C3D"/>
    <w:rsid w:val="75596138"/>
    <w:rsid w:val="78B43685"/>
    <w:rsid w:val="7C2C122E"/>
    <w:rsid w:val="7CAF2830"/>
    <w:rsid w:val="7E202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6"/>
    <w:unhideWhenUsed/>
    <w:qFormat/>
    <w:uiPriority w:val="0"/>
    <w:rPr>
      <w:rFonts w:hAnsi="Courier New" w:cs="Courier New" w:asciiTheme="minorEastAsia" w:eastAsiaTheme="minorEastAsia"/>
    </w:rPr>
  </w:style>
  <w:style w:type="paragraph" w:styleId="4">
    <w:name w:val="Normal Indent"/>
    <w:basedOn w:val="1"/>
    <w:next w:val="1"/>
    <w:qFormat/>
    <w:uiPriority w:val="0"/>
    <w:pPr>
      <w:ind w:firstLine="420"/>
    </w:pPr>
    <w:rPr>
      <w:rFonts w:ascii="Times New Roman" w:hAnsi="Times New Roman"/>
      <w:kern w:val="0"/>
      <w:sz w:val="20"/>
      <w:szCs w:val="20"/>
    </w:rPr>
  </w:style>
  <w:style w:type="paragraph" w:styleId="5">
    <w:name w:val="annotation text"/>
    <w:basedOn w:val="1"/>
    <w:semiHidden/>
    <w:unhideWhenUsed/>
    <w:qFormat/>
    <w:uiPriority w:val="99"/>
    <w:pPr>
      <w:jc w:val="left"/>
    </w:pPr>
  </w:style>
  <w:style w:type="paragraph" w:styleId="6">
    <w:name w:val="Balloon Text"/>
    <w:basedOn w:val="1"/>
    <w:link w:val="27"/>
    <w:semiHidden/>
    <w:unhideWhenUsed/>
    <w:qFormat/>
    <w:uiPriority w:val="99"/>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4"/>
    <w:qFormat/>
    <w:uiPriority w:val="0"/>
    <w:rPr>
      <w:rFonts w:ascii="宋体" w:hAnsi="宋体"/>
      <w:szCs w:val="24"/>
      <w:u w:val="single"/>
    </w:rPr>
  </w:style>
  <w:style w:type="paragraph" w:styleId="10">
    <w:name w:val="annotation subject"/>
    <w:basedOn w:val="5"/>
    <w:next w:val="5"/>
    <w:unhideWhenUsed/>
    <w:qFormat/>
    <w:uiPriority w:val="99"/>
    <w:rPr>
      <w:b/>
      <w:bCs/>
    </w:rPr>
  </w:style>
  <w:style w:type="character" w:styleId="13">
    <w:name w:val="page number"/>
    <w:qFormat/>
    <w:uiPriority w:val="0"/>
    <w:rPr>
      <w:rFonts w:cs="Times New Roman"/>
    </w:rPr>
  </w:style>
  <w:style w:type="character" w:styleId="14">
    <w:name w:val="Hyperlink"/>
    <w:unhideWhenUsed/>
    <w:qFormat/>
    <w:uiPriority w:val="99"/>
    <w:rPr>
      <w:color w:val="000000"/>
      <w:u w:val="none"/>
    </w:rPr>
  </w:style>
  <w:style w:type="character" w:styleId="15">
    <w:name w:val="annotation reference"/>
    <w:basedOn w:val="12"/>
    <w:semiHidden/>
    <w:unhideWhenUsed/>
    <w:qFormat/>
    <w:uiPriority w:val="99"/>
    <w:rPr>
      <w:sz w:val="21"/>
      <w:szCs w:val="21"/>
    </w:rPr>
  </w:style>
  <w:style w:type="character" w:customStyle="1" w:styleId="16">
    <w:name w:val="纯文本 Char"/>
    <w:basedOn w:val="12"/>
    <w:link w:val="2"/>
    <w:qFormat/>
    <w:uiPriority w:val="0"/>
    <w:rPr>
      <w:rFonts w:hAnsi="Courier New" w:cs="Courier New" w:asciiTheme="minorEastAsia"/>
    </w:rPr>
  </w:style>
  <w:style w:type="character" w:customStyle="1" w:styleId="17">
    <w:name w:val="页脚 字符"/>
    <w:basedOn w:val="12"/>
    <w:semiHidden/>
    <w:qFormat/>
    <w:uiPriority w:val="99"/>
    <w:rPr>
      <w:rFonts w:ascii="Calibri" w:hAnsi="Calibri" w:eastAsia="宋体" w:cs="Times New Roman"/>
      <w:sz w:val="18"/>
      <w:szCs w:val="18"/>
    </w:rPr>
  </w:style>
  <w:style w:type="character" w:customStyle="1" w:styleId="18">
    <w:name w:val="页眉 字符"/>
    <w:basedOn w:val="12"/>
    <w:semiHidden/>
    <w:qFormat/>
    <w:uiPriority w:val="99"/>
    <w:rPr>
      <w:rFonts w:ascii="Calibri" w:hAnsi="Calibri" w:eastAsia="宋体" w:cs="Times New Roman"/>
      <w:sz w:val="18"/>
      <w:szCs w:val="18"/>
    </w:rPr>
  </w:style>
  <w:style w:type="character" w:customStyle="1" w:styleId="19">
    <w:name w:val="正文文本 2 字符"/>
    <w:basedOn w:val="12"/>
    <w:semiHidden/>
    <w:qFormat/>
    <w:uiPriority w:val="99"/>
    <w:rPr>
      <w:rFonts w:ascii="Calibri" w:hAnsi="Calibri" w:eastAsia="宋体" w:cs="Times New Roman"/>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发文落款"/>
    <w:basedOn w:val="20"/>
    <w:qFormat/>
    <w:uiPriority w:val="0"/>
    <w:pPr>
      <w:ind w:left="4094" w:right="607" w:firstLine="0"/>
      <w:jc w:val="center"/>
    </w:pPr>
  </w:style>
  <w:style w:type="character" w:customStyle="1" w:styleId="22">
    <w:name w:val="页眉 Char"/>
    <w:link w:val="8"/>
    <w:qFormat/>
    <w:uiPriority w:val="0"/>
    <w:rPr>
      <w:rFonts w:ascii="Calibri" w:hAnsi="Calibri" w:eastAsia="宋体" w:cs="Times New Roman"/>
      <w:sz w:val="18"/>
      <w:szCs w:val="18"/>
    </w:rPr>
  </w:style>
  <w:style w:type="character" w:customStyle="1" w:styleId="23">
    <w:name w:val="页脚 Char"/>
    <w:link w:val="7"/>
    <w:qFormat/>
    <w:uiPriority w:val="0"/>
    <w:rPr>
      <w:rFonts w:ascii="Calibri" w:hAnsi="Calibri" w:eastAsia="宋体" w:cs="Times New Roman"/>
      <w:sz w:val="18"/>
      <w:szCs w:val="18"/>
    </w:rPr>
  </w:style>
  <w:style w:type="character" w:customStyle="1" w:styleId="24">
    <w:name w:val="正文文本 2 Char"/>
    <w:link w:val="9"/>
    <w:qFormat/>
    <w:uiPriority w:val="0"/>
    <w:rPr>
      <w:rFonts w:ascii="宋体" w:hAnsi="宋体" w:eastAsia="宋体" w:cs="Times New Roman"/>
      <w:szCs w:val="24"/>
      <w:u w:val="single"/>
    </w:rPr>
  </w:style>
  <w:style w:type="character" w:customStyle="1" w:styleId="25">
    <w:name w:val="NormalCharacter"/>
    <w:qFormat/>
    <w:uiPriority w:val="0"/>
  </w:style>
  <w:style w:type="paragraph" w:customStyle="1" w:styleId="26">
    <w:name w:val="UserStyle_66"/>
    <w:qFormat/>
    <w:uiPriority w:val="0"/>
    <w:pPr>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批注框文本 Char"/>
    <w:basedOn w:val="12"/>
    <w:link w:val="6"/>
    <w:semiHidden/>
    <w:qFormat/>
    <w:uiPriority w:val="99"/>
    <w:rPr>
      <w:rFonts w:ascii="Calibri" w:hAnsi="Calibri"/>
      <w:kern w:val="2"/>
      <w:sz w:val="18"/>
      <w:szCs w:val="18"/>
    </w:rPr>
  </w:style>
  <w:style w:type="paragraph" w:customStyle="1" w:styleId="28">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8967</Words>
  <Characters>9498</Characters>
  <Lines>59</Lines>
  <Paragraphs>16</Paragraphs>
  <TotalTime>13</TotalTime>
  <ScaleCrop>false</ScaleCrop>
  <LinksUpToDate>false</LinksUpToDate>
  <CharactersWithSpaces>9870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2024-12-02T08:42:00Z</dcterms:created>
  <dc:creator>HM .F</dc:creator>
  <cp:lastModifiedBy>TIAMO</cp:lastModifiedBy>
  <dcterms:modified xsi:type="dcterms:W3CDTF">2025-09-10T02:27:34Z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BA81A226FEAF46AB8BD82264BCE6BBAE</vt:lpwstr>
  </property>
  <property fmtid="{D5CDD505-2E9C-101B-9397-08002B2CF9AE}" pid="4" name="KSOTemplateDocerSaveRecord">
    <vt:lpwstr>eyJoZGlkIjoiZTJhMmVmOTc3ZjhkODU2Y2EzMzQ3MjAwMzVjOThmMGMiLCJ1c2VySWQiOiI2NTI3NzI0NDQifQ==</vt:lpwstr>
  </property>
</Properties>
</file>