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99A9D">
      <w:pPr>
        <w:spacing w:before="240" w:beforeLines="100" w:after="240" w:afterLines="100" w:line="360" w:lineRule="auto"/>
        <w:jc w:val="center"/>
        <w:rPr>
          <w:b/>
          <w:color w:val="auto"/>
          <w:sz w:val="30"/>
          <w:highlight w:val="none"/>
        </w:rPr>
      </w:pPr>
      <w:bookmarkStart w:id="26" w:name="_GoBack"/>
      <w:bookmarkEnd w:id="26"/>
      <w:r>
        <w:rPr>
          <w:rFonts w:hint="eastAsia" w:ascii="宋体" w:hAnsi="宋体"/>
          <w:b/>
          <w:color w:val="auto"/>
          <w:sz w:val="36"/>
          <w:szCs w:val="36"/>
          <w:highlight w:val="none"/>
          <w:lang w:eastAsia="zh-CN"/>
        </w:rPr>
        <w:t>黄埔区地下供水管网建设工程-永和、云埔片区老旧风险隐患供水管道改造工程监理</w:t>
      </w:r>
      <w:r>
        <w:rPr>
          <w:rFonts w:ascii="宋体" w:hAnsi="宋体"/>
          <w:b/>
          <w:color w:val="auto"/>
          <w:sz w:val="36"/>
          <w:szCs w:val="36"/>
          <w:highlight w:val="none"/>
        </w:rPr>
        <w:t>招标公告</w:t>
      </w:r>
    </w:p>
    <w:p w14:paraId="150C7EA8">
      <w:pPr>
        <w:pStyle w:val="12"/>
        <w:kinsoku w:val="0"/>
        <w:overflowPunct w:val="0"/>
        <w:ind w:left="0"/>
        <w:rPr>
          <w:color w:val="auto"/>
          <w:sz w:val="20"/>
          <w:highlight w:val="none"/>
        </w:rPr>
      </w:pPr>
    </w:p>
    <w:p w14:paraId="4682E41B">
      <w:pPr>
        <w:pStyle w:val="5"/>
        <w:spacing w:before="120" w:after="120"/>
        <w:rPr>
          <w:rFonts w:ascii="Microsoft JhengHei" w:eastAsia="Microsoft JhengHei"/>
          <w:b w:val="0"/>
          <w:color w:val="auto"/>
          <w:highlight w:val="none"/>
        </w:rPr>
      </w:pPr>
      <w:bookmarkStart w:id="0" w:name="bookmark2"/>
      <w:bookmarkEnd w:id="0"/>
      <w:bookmarkStart w:id="1" w:name="_Toc5169"/>
      <w:r>
        <w:rPr>
          <w:rFonts w:cs="宋体"/>
          <w:color w:val="auto"/>
          <w:highlight w:val="none"/>
        </w:rPr>
        <w:t>1.招标条件</w:t>
      </w:r>
      <w:bookmarkEnd w:id="1"/>
    </w:p>
    <w:p w14:paraId="151667EC">
      <w:pPr>
        <w:widowControl/>
        <w:kinsoku w:val="0"/>
        <w:overflowPunct w:val="0"/>
        <w:spacing w:line="360" w:lineRule="auto"/>
        <w:ind w:left="0" w:firstLine="480" w:firstLineChars="200"/>
        <w:jc w:val="left"/>
        <w:rPr>
          <w:color w:val="auto"/>
          <w:sz w:val="24"/>
          <w:highlight w:val="none"/>
        </w:rPr>
      </w:pPr>
      <w:r>
        <w:rPr>
          <w:color w:val="auto"/>
          <w:sz w:val="24"/>
          <w:highlight w:val="none"/>
        </w:rPr>
        <w:t>本招标项目</w:t>
      </w:r>
      <w:r>
        <w:rPr>
          <w:color w:val="auto"/>
          <w:spacing w:val="-1"/>
          <w:sz w:val="24"/>
          <w:highlight w:val="none"/>
        </w:rPr>
        <w:t>已由</w:t>
      </w:r>
      <w:r>
        <w:rPr>
          <w:rFonts w:hint="eastAsia" w:ascii="Times New Roman" w:hAnsi="Times New Roman" w:eastAsia="宋体" w:cs="宋体"/>
          <w:color w:val="auto"/>
          <w:kern w:val="0"/>
          <w:sz w:val="24"/>
          <w:szCs w:val="24"/>
          <w:highlight w:val="none"/>
          <w:u w:val="single"/>
          <w:lang w:val="en-US" w:eastAsia="zh-CN" w:bidi="ar"/>
        </w:rPr>
        <w:t xml:space="preserve">广州开发区发展和改革局 </w:t>
      </w:r>
      <w:r>
        <w:rPr>
          <w:rFonts w:hint="eastAsia" w:cs="宋体"/>
          <w:color w:val="auto"/>
          <w:sz w:val="24"/>
          <w:highlight w:val="none"/>
          <w:u w:val="single"/>
        </w:rPr>
        <w:t>广州市黄埔区</w:t>
      </w:r>
      <w:r>
        <w:rPr>
          <w:rFonts w:hint="eastAsia" w:ascii="Times New Roman" w:hAnsi="Times New Roman" w:eastAsia="宋体" w:cs="Times New Roman"/>
          <w:color w:val="auto"/>
          <w:kern w:val="0"/>
          <w:sz w:val="24"/>
          <w:szCs w:val="24"/>
          <w:highlight w:val="none"/>
          <w:u w:val="single"/>
          <w:lang w:val="en-US" w:eastAsia="zh-CN" w:bidi="ar"/>
        </w:rPr>
        <w:t>发展和改革局</w:t>
      </w:r>
      <w:r>
        <w:rPr>
          <w:color w:val="auto"/>
          <w:spacing w:val="-5"/>
          <w:sz w:val="24"/>
          <w:highlight w:val="none"/>
        </w:rPr>
        <w:t>以</w:t>
      </w:r>
      <w:r>
        <w:rPr>
          <w:rFonts w:hint="eastAsia"/>
          <w:color w:val="auto"/>
          <w:sz w:val="24"/>
          <w:highlight w:val="none"/>
          <w:u w:val="single"/>
        </w:rPr>
        <w:t>《</w:t>
      </w:r>
      <w:r>
        <w:rPr>
          <w:rFonts w:hint="eastAsia" w:ascii="Times New Roman" w:hAnsi="Times New Roman" w:eastAsia="宋体" w:cs="宋体"/>
          <w:color w:val="auto"/>
          <w:kern w:val="0"/>
          <w:sz w:val="24"/>
          <w:szCs w:val="24"/>
          <w:highlight w:val="none"/>
          <w:u w:val="single"/>
          <w:lang w:val="en-US" w:eastAsia="zh-CN" w:bidi="ar"/>
        </w:rPr>
        <w:t xml:space="preserve">广州开发区发展和改革局 </w:t>
      </w:r>
      <w:r>
        <w:rPr>
          <w:rFonts w:hint="eastAsia" w:ascii="Times New Roman" w:hAnsi="Times New Roman" w:eastAsia="宋体" w:cs="Times New Roman"/>
          <w:color w:val="auto"/>
          <w:kern w:val="0"/>
          <w:sz w:val="24"/>
          <w:szCs w:val="24"/>
          <w:highlight w:val="none"/>
          <w:u w:val="single"/>
          <w:lang w:val="en-US" w:eastAsia="zh-CN" w:bidi="ar"/>
        </w:rPr>
        <w:t>广州市黄埔区发展和改革局关于黄埔区地下供水管网建设工程-永和、云埔片区老旧风险隐患供水管道改造工程可行性研究报告（修编）的批复</w:t>
      </w:r>
      <w:r>
        <w:rPr>
          <w:rFonts w:hint="eastAsia"/>
          <w:color w:val="auto"/>
          <w:sz w:val="24"/>
          <w:highlight w:val="none"/>
          <w:u w:val="single"/>
        </w:rPr>
        <w:t>》</w:t>
      </w:r>
      <w:r>
        <w:rPr>
          <w:rFonts w:hint="eastAsia" w:ascii="Times New Roman" w:hAnsi="Times New Roman" w:eastAsia="宋体" w:cs="Times New Roman"/>
          <w:color w:val="auto"/>
          <w:sz w:val="24"/>
          <w:highlight w:val="none"/>
          <w:u w:val="single"/>
          <w:lang w:bidi="ar"/>
        </w:rPr>
        <w:t>（</w:t>
      </w:r>
      <w:r>
        <w:rPr>
          <w:rFonts w:hint="eastAsia" w:ascii="Times New Roman" w:hAnsi="Times New Roman" w:eastAsia="宋体" w:cs="Times New Roman"/>
          <w:color w:val="auto"/>
          <w:kern w:val="0"/>
          <w:sz w:val="24"/>
          <w:szCs w:val="24"/>
          <w:highlight w:val="none"/>
          <w:u w:val="single"/>
          <w:lang w:val="en-US" w:eastAsia="zh-CN" w:bidi="ar"/>
        </w:rPr>
        <w:t>穗开发改投批〔2025〕58号</w:t>
      </w:r>
      <w:r>
        <w:rPr>
          <w:rFonts w:hint="eastAsia" w:cs="宋体"/>
          <w:color w:val="auto"/>
          <w:sz w:val="24"/>
          <w:highlight w:val="none"/>
          <w:u w:val="single"/>
        </w:rPr>
        <w:t>）</w:t>
      </w:r>
      <w:r>
        <w:rPr>
          <w:color w:val="auto"/>
          <w:spacing w:val="-4"/>
          <w:sz w:val="24"/>
          <w:highlight w:val="none"/>
        </w:rPr>
        <w:t>批准建设，项目业主为</w:t>
      </w:r>
      <w:r>
        <w:rPr>
          <w:rFonts w:hint="eastAsia" w:cs="宋体"/>
          <w:color w:val="auto"/>
          <w:sz w:val="24"/>
          <w:highlight w:val="none"/>
          <w:u w:val="single"/>
        </w:rPr>
        <w:t>广州开发区财政投资建设项目管理中心</w:t>
      </w:r>
      <w:r>
        <w:rPr>
          <w:color w:val="auto"/>
          <w:spacing w:val="-4"/>
          <w:sz w:val="24"/>
          <w:highlight w:val="none"/>
        </w:rPr>
        <w:t>，建设资金来</w:t>
      </w:r>
      <w:r>
        <w:rPr>
          <w:color w:val="auto"/>
          <w:spacing w:val="-1"/>
          <w:sz w:val="24"/>
          <w:highlight w:val="none"/>
        </w:rPr>
        <w:t>自</w:t>
      </w:r>
      <w:r>
        <w:rPr>
          <w:rFonts w:hint="eastAsia" w:cs="宋体"/>
          <w:color w:val="auto"/>
          <w:sz w:val="24"/>
          <w:highlight w:val="none"/>
          <w:u w:val="single"/>
        </w:rPr>
        <w:t>区财政资金</w:t>
      </w:r>
      <w:r>
        <w:rPr>
          <w:color w:val="auto"/>
          <w:spacing w:val="-12"/>
          <w:sz w:val="24"/>
          <w:highlight w:val="none"/>
        </w:rPr>
        <w:t>，出资比例为</w:t>
      </w:r>
      <w:r>
        <w:rPr>
          <w:rFonts w:hint="eastAsia" w:cs="宋体"/>
          <w:color w:val="auto"/>
          <w:sz w:val="24"/>
          <w:highlight w:val="none"/>
          <w:u w:val="single"/>
        </w:rPr>
        <w:t>100%</w:t>
      </w:r>
      <w:r>
        <w:rPr>
          <w:color w:val="auto"/>
          <w:spacing w:val="-6"/>
          <w:sz w:val="24"/>
          <w:highlight w:val="none"/>
        </w:rPr>
        <w:t>，招标人为</w:t>
      </w:r>
      <w:r>
        <w:rPr>
          <w:rFonts w:hint="eastAsia" w:cs="宋体"/>
          <w:color w:val="auto"/>
          <w:sz w:val="24"/>
          <w:highlight w:val="none"/>
          <w:u w:val="single"/>
        </w:rPr>
        <w:t>广州开发区财政投资建设项目管理中心</w:t>
      </w:r>
      <w:r>
        <w:rPr>
          <w:color w:val="auto"/>
          <w:spacing w:val="-4"/>
          <w:sz w:val="24"/>
          <w:highlight w:val="none"/>
        </w:rPr>
        <w:t>。项目已具备招标</w:t>
      </w:r>
      <w:r>
        <w:rPr>
          <w:color w:val="auto"/>
          <w:spacing w:val="-95"/>
          <w:sz w:val="24"/>
          <w:highlight w:val="none"/>
        </w:rPr>
        <w:t xml:space="preserve"> </w:t>
      </w:r>
      <w:r>
        <w:rPr>
          <w:color w:val="auto"/>
          <w:sz w:val="24"/>
          <w:highlight w:val="none"/>
        </w:rPr>
        <w:t>条件，现对该项目的监理进行公开招标。</w:t>
      </w:r>
    </w:p>
    <w:p w14:paraId="0EE4CCBB">
      <w:pPr>
        <w:pStyle w:val="5"/>
        <w:spacing w:before="120" w:after="120"/>
        <w:rPr>
          <w:rFonts w:cs="宋体"/>
          <w:color w:val="auto"/>
          <w:highlight w:val="none"/>
        </w:rPr>
      </w:pPr>
      <w:bookmarkStart w:id="2" w:name="bookmark3"/>
      <w:bookmarkEnd w:id="2"/>
      <w:bookmarkStart w:id="3" w:name="_Toc32523"/>
      <w:r>
        <w:rPr>
          <w:rFonts w:cs="宋体"/>
          <w:color w:val="auto"/>
          <w:highlight w:val="none"/>
        </w:rPr>
        <w:t>2.项目概况与招标范围</w:t>
      </w:r>
      <w:bookmarkEnd w:id="3"/>
    </w:p>
    <w:p w14:paraId="3FCE3CF6">
      <w:pPr>
        <w:tabs>
          <w:tab w:val="left" w:pos="7513"/>
        </w:tabs>
        <w:spacing w:line="360" w:lineRule="auto"/>
        <w:ind w:firstLine="240" w:firstLineChars="100"/>
        <w:outlineLvl w:val="2"/>
        <w:rPr>
          <w:rFonts w:ascii="宋体" w:hAnsi="宋体"/>
          <w:color w:val="auto"/>
          <w:highlight w:val="none"/>
        </w:rPr>
      </w:pPr>
      <w:bookmarkStart w:id="4" w:name="_Toc20255"/>
      <w:bookmarkStart w:id="5" w:name="_Toc17345"/>
      <w:r>
        <w:rPr>
          <w:rFonts w:ascii="宋体" w:hAnsi="宋体"/>
          <w:color w:val="auto"/>
          <w:highlight w:val="none"/>
        </w:rPr>
        <w:t>2.1</w:t>
      </w:r>
      <w:r>
        <w:rPr>
          <w:rFonts w:hint="eastAsia" w:ascii="宋体" w:hAnsi="宋体"/>
          <w:color w:val="auto"/>
          <w:highlight w:val="none"/>
        </w:rPr>
        <w:t xml:space="preserve"> </w:t>
      </w:r>
      <w:r>
        <w:rPr>
          <w:rFonts w:ascii="宋体" w:hAnsi="宋体"/>
          <w:color w:val="auto"/>
          <w:highlight w:val="none"/>
        </w:rPr>
        <w:t>招标项目概况</w:t>
      </w:r>
      <w:bookmarkEnd w:id="4"/>
      <w:bookmarkEnd w:id="5"/>
    </w:p>
    <w:p w14:paraId="08917BBD">
      <w:pPr>
        <w:tabs>
          <w:tab w:val="left" w:pos="7513"/>
        </w:tabs>
        <w:spacing w:line="360" w:lineRule="auto"/>
        <w:ind w:firstLine="480" w:firstLineChars="200"/>
        <w:outlineLvl w:val="2"/>
        <w:rPr>
          <w:rFonts w:ascii="宋体" w:hAnsi="宋体" w:cs="宋体"/>
          <w:color w:val="auto"/>
          <w:highlight w:val="none"/>
        </w:rPr>
      </w:pPr>
      <w:r>
        <w:rPr>
          <w:rFonts w:ascii="宋体" w:hAnsi="宋体"/>
          <w:color w:val="auto"/>
          <w:highlight w:val="none"/>
        </w:rPr>
        <w:t>2.1.1招标项目名称：</w:t>
      </w:r>
      <w:r>
        <w:rPr>
          <w:rFonts w:hint="eastAsia" w:ascii="宋体" w:hAnsi="宋体" w:cs="宋体"/>
          <w:color w:val="auto"/>
          <w:highlight w:val="none"/>
          <w:u w:val="single"/>
          <w:lang w:eastAsia="zh-CN"/>
        </w:rPr>
        <w:t>黄埔区地下供水管网建设工程-永和、云埔片区老旧风险隐患供水管道改造工程监理</w:t>
      </w:r>
      <w:r>
        <w:rPr>
          <w:rFonts w:ascii="宋体" w:hAnsi="宋体"/>
          <w:color w:val="auto"/>
          <w:highlight w:val="none"/>
        </w:rPr>
        <w:t xml:space="preserve"> </w:t>
      </w:r>
    </w:p>
    <w:p w14:paraId="461B1012">
      <w:pPr>
        <w:tabs>
          <w:tab w:val="left" w:pos="7513"/>
        </w:tabs>
        <w:spacing w:line="360" w:lineRule="auto"/>
        <w:ind w:firstLine="424" w:firstLineChars="177"/>
        <w:rPr>
          <w:rFonts w:ascii="宋体" w:hAnsi="宋体" w:cs="宋体"/>
          <w:color w:val="auto"/>
          <w:highlight w:val="none"/>
        </w:rPr>
      </w:pPr>
      <w:r>
        <w:rPr>
          <w:rFonts w:ascii="宋体" w:hAnsi="宋体"/>
          <w:color w:val="auto"/>
          <w:highlight w:val="none"/>
        </w:rPr>
        <w:t>2.1.2工程建设地点：</w:t>
      </w:r>
      <w:r>
        <w:rPr>
          <w:rFonts w:hint="eastAsia" w:ascii="宋体" w:hAnsi="宋体"/>
          <w:color w:val="auto"/>
          <w:highlight w:val="none"/>
          <w:u w:val="single"/>
        </w:rPr>
        <w:t>广州市黄埔区</w:t>
      </w:r>
      <w:r>
        <w:rPr>
          <w:rFonts w:ascii="宋体" w:hAnsi="宋体"/>
          <w:color w:val="auto"/>
          <w:highlight w:val="none"/>
        </w:rPr>
        <w:t xml:space="preserve"> </w:t>
      </w:r>
    </w:p>
    <w:p w14:paraId="3B45C1C1">
      <w:pPr>
        <w:tabs>
          <w:tab w:val="left" w:pos="7513"/>
        </w:tabs>
        <w:spacing w:line="360" w:lineRule="auto"/>
        <w:ind w:firstLine="424" w:firstLineChars="177"/>
        <w:rPr>
          <w:rFonts w:hint="eastAsia" w:ascii="宋体" w:hAnsi="宋体" w:eastAsia="宋体"/>
          <w:color w:val="auto"/>
          <w:highlight w:val="none"/>
          <w:u w:val="single"/>
          <w:lang w:eastAsia="zh-CN"/>
        </w:rPr>
      </w:pPr>
      <w:r>
        <w:rPr>
          <w:rFonts w:ascii="宋体" w:hAnsi="宋体"/>
          <w:color w:val="auto"/>
          <w:highlight w:val="none"/>
        </w:rPr>
        <w:t>2.1.3工程建设规模</w:t>
      </w:r>
      <w:r>
        <w:rPr>
          <w:rFonts w:ascii="宋体"/>
          <w:color w:val="auto"/>
          <w:highlight w:val="none"/>
        </w:rPr>
        <w:t>：</w:t>
      </w:r>
      <w:r>
        <w:rPr>
          <w:rFonts w:hint="eastAsia" w:ascii="宋体" w:hAnsi="宋体"/>
          <w:color w:val="auto"/>
          <w:highlight w:val="none"/>
          <w:u w:val="single"/>
        </w:rPr>
        <w:t>本项目新建、更新改造DN300~DN1400给水管约22千米。其中云埔片区包括对东区沧联一路、宏光路、宏远路等20条市政路上现状老旧风险隐患供水管道进行更新改造并对废除原供水管道，新建管道管径为DN300~DN1200，管线总长度约13千米。永和片区包括对永顺大道（新业路至井泉四路）DN1000水泥管改造为DN1400球墨铸铁管，改造长度约2千米；永顺大道（湾尾桥至永和1#加压站进出水管）瓶颈段完善工程，新建管道管径为DN1000~DN1200，长度约2千米；以及新业路至永星加压站输水管瓶颈段完善工程，新建管道管径DN1200，长度约5千米。总投资为 3123</w:t>
      </w:r>
      <w:r>
        <w:rPr>
          <w:rFonts w:hint="eastAsia" w:ascii="宋体" w:hAnsi="宋体"/>
          <w:color w:val="auto"/>
          <w:highlight w:val="none"/>
          <w:u w:val="single"/>
          <w:lang w:val="en-US" w:eastAsia="zh-CN"/>
        </w:rPr>
        <w:t>9</w:t>
      </w:r>
      <w:r>
        <w:rPr>
          <w:rFonts w:hint="eastAsia" w:ascii="宋体" w:hAnsi="宋体"/>
          <w:color w:val="auto"/>
          <w:highlight w:val="none"/>
          <w:u w:val="single"/>
        </w:rPr>
        <w:t xml:space="preserve"> 万元，其中建安工程费用 2703</w:t>
      </w:r>
      <w:r>
        <w:rPr>
          <w:rFonts w:hint="eastAsia" w:ascii="宋体" w:hAnsi="宋体"/>
          <w:color w:val="auto"/>
          <w:highlight w:val="none"/>
          <w:u w:val="single"/>
          <w:lang w:val="en-US" w:eastAsia="zh-CN"/>
        </w:rPr>
        <w:t>2</w:t>
      </w:r>
      <w:r>
        <w:rPr>
          <w:rFonts w:hint="eastAsia" w:ascii="宋体" w:hAnsi="宋体"/>
          <w:color w:val="auto"/>
          <w:highlight w:val="none"/>
          <w:u w:val="single"/>
        </w:rPr>
        <w:t xml:space="preserve"> 万元，工程建设其他费用 3297万元，预备费 9</w:t>
      </w:r>
      <w:r>
        <w:rPr>
          <w:rFonts w:hint="eastAsia" w:ascii="宋体" w:hAnsi="宋体"/>
          <w:color w:val="auto"/>
          <w:highlight w:val="none"/>
          <w:u w:val="single"/>
          <w:lang w:val="en-US" w:eastAsia="zh-CN"/>
        </w:rPr>
        <w:t>10</w:t>
      </w:r>
      <w:r>
        <w:rPr>
          <w:rFonts w:hint="eastAsia" w:ascii="宋体" w:hAnsi="宋体"/>
          <w:color w:val="auto"/>
          <w:highlight w:val="none"/>
          <w:u w:val="single"/>
        </w:rPr>
        <w:t>万元。</w:t>
      </w:r>
    </w:p>
    <w:p w14:paraId="74E940B3">
      <w:pPr>
        <w:tabs>
          <w:tab w:val="left" w:pos="7513"/>
        </w:tabs>
        <w:spacing w:line="360" w:lineRule="auto"/>
        <w:ind w:firstLine="240" w:firstLineChars="100"/>
        <w:outlineLvl w:val="2"/>
        <w:rPr>
          <w:rFonts w:ascii="宋体" w:hAnsi="宋体"/>
          <w:color w:val="auto"/>
          <w:highlight w:val="none"/>
        </w:rPr>
      </w:pPr>
      <w:bookmarkStart w:id="6" w:name="_Toc13481"/>
      <w:bookmarkStart w:id="7" w:name="_Toc22253"/>
      <w:r>
        <w:rPr>
          <w:rFonts w:ascii="宋体" w:hAnsi="宋体"/>
          <w:color w:val="auto"/>
          <w:highlight w:val="none"/>
        </w:rPr>
        <w:t>2.2</w:t>
      </w:r>
      <w:r>
        <w:rPr>
          <w:rFonts w:hint="eastAsia" w:ascii="宋体" w:hAnsi="宋体"/>
          <w:color w:val="auto"/>
          <w:highlight w:val="none"/>
        </w:rPr>
        <w:t xml:space="preserve"> </w:t>
      </w:r>
      <w:r>
        <w:rPr>
          <w:rFonts w:ascii="宋体" w:hAnsi="宋体"/>
          <w:color w:val="auto"/>
          <w:highlight w:val="none"/>
        </w:rPr>
        <w:t>招标范围</w:t>
      </w:r>
      <w:bookmarkEnd w:id="6"/>
      <w:bookmarkEnd w:id="7"/>
    </w:p>
    <w:p w14:paraId="66C2469C">
      <w:pPr>
        <w:tabs>
          <w:tab w:val="left" w:pos="7513"/>
        </w:tabs>
        <w:spacing w:line="360" w:lineRule="auto"/>
        <w:ind w:firstLine="480" w:firstLineChars="200"/>
        <w:rPr>
          <w:rFonts w:ascii="宋体" w:hAnsi="宋体" w:cs="宋体"/>
          <w:color w:val="auto"/>
          <w:highlight w:val="none"/>
        </w:rPr>
      </w:pPr>
      <w:r>
        <w:rPr>
          <w:rFonts w:ascii="宋体" w:hAnsi="宋体"/>
          <w:color w:val="auto"/>
          <w:highlight w:val="none"/>
        </w:rPr>
        <w:t>2.2.1</w:t>
      </w:r>
      <w:r>
        <w:rPr>
          <w:rFonts w:ascii="宋体"/>
          <w:color w:val="auto"/>
          <w:highlight w:val="none"/>
        </w:rPr>
        <w:t>标段划分：</w:t>
      </w:r>
      <w:r>
        <w:rPr>
          <w:rFonts w:hint="eastAsia" w:ascii="宋体" w:hAnsi="宋体" w:cs="宋体"/>
          <w:color w:val="auto"/>
          <w:highlight w:val="none"/>
        </w:rPr>
        <w:t>本项目分为</w:t>
      </w:r>
      <w:r>
        <w:rPr>
          <w:rFonts w:hint="eastAsia" w:ascii="宋体" w:hAnsi="宋体" w:cs="宋体"/>
          <w:color w:val="auto"/>
          <w:highlight w:val="none"/>
          <w:u w:val="single"/>
        </w:rPr>
        <w:t xml:space="preserve"> 1 </w:t>
      </w:r>
      <w:r>
        <w:rPr>
          <w:rFonts w:hint="eastAsia" w:ascii="宋体" w:hAnsi="宋体" w:cs="宋体"/>
          <w:color w:val="auto"/>
          <w:highlight w:val="none"/>
        </w:rPr>
        <w:t>个标段。</w:t>
      </w:r>
      <w:r>
        <w:rPr>
          <w:color w:val="auto"/>
          <w:highlight w:val="none"/>
        </w:rPr>
        <w:t xml:space="preserve">     </w:t>
      </w:r>
    </w:p>
    <w:p w14:paraId="605094C7">
      <w:pPr>
        <w:tabs>
          <w:tab w:val="left" w:pos="7513"/>
        </w:tabs>
        <w:spacing w:line="360" w:lineRule="auto"/>
        <w:ind w:firstLine="480" w:firstLineChars="200"/>
        <w:rPr>
          <w:rFonts w:ascii="宋体" w:hAnsi="宋体"/>
          <w:color w:val="auto"/>
          <w:highlight w:val="none"/>
        </w:rPr>
      </w:pPr>
      <w:r>
        <w:rPr>
          <w:rFonts w:ascii="宋体" w:hAnsi="宋体"/>
          <w:color w:val="auto"/>
          <w:highlight w:val="none"/>
        </w:rPr>
        <w:t>2.2.2监理范围：</w:t>
      </w:r>
      <w:r>
        <w:rPr>
          <w:rFonts w:hint="eastAsia" w:ascii="宋体" w:hAnsi="宋体" w:cs="宋体"/>
          <w:color w:val="auto"/>
          <w:highlight w:val="none"/>
          <w:u w:val="single"/>
        </w:rPr>
        <w:t>监理内容包括但不限于以下内容：施工准备阶段、施工阶段、竣工结算阶段、保修阶段的质量、投资、进度、安全控制；监督、管理建设工程合同的履行，以及协调建设单位和工程建设有关各方的工作关系，预、结算审核、竣工图审核等。</w:t>
      </w:r>
      <w:r>
        <w:rPr>
          <w:rFonts w:ascii="宋体" w:hAnsi="宋体"/>
          <w:color w:val="auto"/>
          <w:highlight w:val="none"/>
        </w:rPr>
        <w:t xml:space="preserve">                </w:t>
      </w:r>
    </w:p>
    <w:p w14:paraId="4438D66C">
      <w:pPr>
        <w:tabs>
          <w:tab w:val="left" w:pos="7513"/>
        </w:tabs>
        <w:spacing w:line="440" w:lineRule="exact"/>
        <w:ind w:firstLine="424" w:firstLineChars="177"/>
        <w:rPr>
          <w:rFonts w:ascii="宋体" w:hAnsi="宋体"/>
          <w:color w:val="auto"/>
          <w:highlight w:val="none"/>
        </w:rPr>
      </w:pPr>
      <w:r>
        <w:rPr>
          <w:rFonts w:ascii="宋体" w:hAnsi="宋体"/>
          <w:color w:val="auto"/>
          <w:highlight w:val="none"/>
        </w:rPr>
        <w:t>2.2.3监理服务期：</w:t>
      </w:r>
    </w:p>
    <w:p w14:paraId="33786AD7">
      <w:pPr>
        <w:tabs>
          <w:tab w:val="left" w:pos="7513"/>
        </w:tabs>
        <w:spacing w:line="440" w:lineRule="exact"/>
        <w:ind w:firstLine="424" w:firstLineChars="177"/>
        <w:rPr>
          <w:rFonts w:hint="eastAsia" w:ascii="宋体" w:hAnsi="宋体" w:cs="宋体"/>
          <w:color w:val="auto"/>
          <w:highlight w:val="none"/>
        </w:rPr>
      </w:pPr>
      <w:r>
        <w:rPr>
          <w:rFonts w:hint="eastAsia" w:ascii="宋体" w:hAnsi="宋体" w:cs="宋体"/>
          <w:color w:val="auto"/>
          <w:highlight w:val="none"/>
        </w:rPr>
        <w:t>施工准备阶段、施工阶段、缺陷责任期阶段和竣工结算期的监理服务期：</w:t>
      </w:r>
    </w:p>
    <w:p w14:paraId="4DE97739">
      <w:pPr>
        <w:tabs>
          <w:tab w:val="left" w:pos="7513"/>
        </w:tabs>
        <w:spacing w:line="440" w:lineRule="exact"/>
        <w:ind w:firstLine="424" w:firstLineChars="177"/>
        <w:rPr>
          <w:rFonts w:hint="eastAsia" w:ascii="宋体" w:hAnsi="宋体" w:cs="宋体"/>
          <w:color w:val="auto"/>
          <w:highlight w:val="none"/>
        </w:rPr>
      </w:pPr>
      <w:r>
        <w:rPr>
          <w:rFonts w:hint="eastAsia" w:ascii="宋体" w:hAnsi="宋体" w:cs="宋体"/>
          <w:color w:val="auto"/>
          <w:highlight w:val="none"/>
        </w:rPr>
        <w:t>（1）施工准备阶段：从中标通知书发出到工程开工之日；</w:t>
      </w:r>
    </w:p>
    <w:p w14:paraId="503E1E84">
      <w:pPr>
        <w:tabs>
          <w:tab w:val="left" w:pos="7513"/>
        </w:tabs>
        <w:spacing w:line="440" w:lineRule="exact"/>
        <w:ind w:firstLine="424" w:firstLineChars="177"/>
        <w:rPr>
          <w:rFonts w:hint="eastAsia" w:ascii="宋体" w:hAnsi="宋体" w:cs="宋体"/>
          <w:color w:val="auto"/>
          <w:highlight w:val="none"/>
        </w:rPr>
      </w:pPr>
      <w:r>
        <w:rPr>
          <w:rFonts w:hint="eastAsia" w:ascii="宋体" w:hAnsi="宋体" w:cs="宋体"/>
          <w:color w:val="auto"/>
          <w:highlight w:val="none"/>
        </w:rPr>
        <w:t>（2）施工阶段监理服务期：从业主下达开工令或开工报告审批之日起至施工项目全部完工并办理</w:t>
      </w:r>
      <w:r>
        <w:rPr>
          <w:rFonts w:hint="eastAsia" w:ascii="宋体" w:hAnsi="宋体" w:cs="宋体"/>
          <w:color w:val="auto"/>
          <w:highlight w:val="none"/>
          <w:lang w:val="en-US" w:eastAsia="zh-CN"/>
        </w:rPr>
        <w:t>完工</w:t>
      </w:r>
      <w:r>
        <w:rPr>
          <w:rFonts w:hint="eastAsia" w:ascii="宋体" w:hAnsi="宋体" w:cs="宋体"/>
          <w:color w:val="auto"/>
          <w:highlight w:val="none"/>
        </w:rPr>
        <w:t>验收、竣工结算、备案管理为止；</w:t>
      </w:r>
    </w:p>
    <w:p w14:paraId="0D1F5FBF">
      <w:pPr>
        <w:tabs>
          <w:tab w:val="left" w:pos="7513"/>
        </w:tabs>
        <w:spacing w:line="440" w:lineRule="exact"/>
        <w:ind w:firstLine="424" w:firstLineChars="177"/>
        <w:rPr>
          <w:rFonts w:hint="eastAsia" w:ascii="宋体" w:hAnsi="宋体" w:cs="宋体"/>
          <w:color w:val="auto"/>
          <w:highlight w:val="none"/>
        </w:rPr>
      </w:pPr>
      <w:r>
        <w:rPr>
          <w:rFonts w:hint="eastAsia" w:ascii="宋体" w:hAnsi="宋体" w:cs="宋体"/>
          <w:color w:val="auto"/>
          <w:highlight w:val="none"/>
        </w:rPr>
        <w:t>（3）缺陷责任期阶段监理服务期：从工程</w:t>
      </w:r>
      <w:r>
        <w:rPr>
          <w:rFonts w:hint="eastAsia" w:ascii="宋体" w:hAnsi="宋体" w:cs="宋体"/>
          <w:color w:val="auto"/>
          <w:highlight w:val="none"/>
          <w:lang w:val="en-US" w:eastAsia="zh-CN"/>
        </w:rPr>
        <w:t>完工</w:t>
      </w:r>
      <w:r>
        <w:rPr>
          <w:rFonts w:hint="eastAsia" w:ascii="宋体" w:hAnsi="宋体" w:cs="宋体"/>
          <w:color w:val="auto"/>
          <w:highlight w:val="none"/>
        </w:rPr>
        <w:t>验收合格之日起2年；</w:t>
      </w:r>
    </w:p>
    <w:p w14:paraId="571D98D0">
      <w:pPr>
        <w:tabs>
          <w:tab w:val="left" w:pos="7513"/>
        </w:tabs>
        <w:spacing w:line="440" w:lineRule="exact"/>
        <w:ind w:firstLine="424" w:firstLineChars="177"/>
        <w:rPr>
          <w:rFonts w:ascii="宋体" w:hAnsi="宋体" w:cs="宋体"/>
          <w:color w:val="auto"/>
          <w:highlight w:val="none"/>
        </w:rPr>
      </w:pPr>
      <w:r>
        <w:rPr>
          <w:rFonts w:hint="eastAsia" w:ascii="宋体" w:hAnsi="宋体" w:cs="宋体"/>
          <w:color w:val="auto"/>
          <w:highlight w:val="none"/>
        </w:rPr>
        <w:t>（4）竣工结算期：从结算送审到区财政局终审。</w:t>
      </w:r>
      <w:r>
        <w:rPr>
          <w:rFonts w:ascii="宋体" w:hAnsi="宋体" w:cs="宋体"/>
          <w:color w:val="auto"/>
          <w:highlight w:val="none"/>
        </w:rPr>
        <w:t xml:space="preserve">                </w:t>
      </w:r>
    </w:p>
    <w:p w14:paraId="2B705B9E">
      <w:pPr>
        <w:tabs>
          <w:tab w:val="left" w:pos="7513"/>
        </w:tabs>
        <w:spacing w:line="440" w:lineRule="exact"/>
        <w:ind w:firstLine="424" w:firstLineChars="177"/>
        <w:rPr>
          <w:rFonts w:ascii="宋体" w:hAnsi="宋体"/>
          <w:color w:val="auto"/>
          <w:highlight w:val="none"/>
        </w:rPr>
      </w:pPr>
      <w:r>
        <w:rPr>
          <w:rFonts w:ascii="宋体" w:hAnsi="宋体"/>
          <w:color w:val="auto"/>
          <w:highlight w:val="none"/>
        </w:rPr>
        <w:t>2.2.4监理服务最高投标限价：</w:t>
      </w:r>
      <w:bookmarkStart w:id="8" w:name="OLE_LINK1"/>
      <w:r>
        <w:rPr>
          <w:rFonts w:hint="eastAsia" w:ascii="宋体" w:hAnsi="宋体" w:cs="宋体"/>
          <w:color w:val="auto"/>
          <w:sz w:val="24"/>
          <w:szCs w:val="24"/>
          <w:highlight w:val="none"/>
          <w:u w:val="none"/>
          <w:lang w:val="en-US" w:eastAsia="zh-CN"/>
        </w:rPr>
        <w:t>446.5427</w:t>
      </w:r>
      <w:r>
        <w:rPr>
          <w:rFonts w:hint="eastAsia" w:ascii="宋体" w:hAnsi="宋体" w:cs="宋体"/>
          <w:color w:val="auto"/>
          <w:highlight w:val="none"/>
        </w:rPr>
        <w:t>万元</w:t>
      </w:r>
      <w:r>
        <w:rPr>
          <w:rFonts w:ascii="宋体" w:hAnsi="宋体"/>
          <w:color w:val="auto"/>
          <w:highlight w:val="none"/>
        </w:rPr>
        <w:t xml:space="preserve">                 </w:t>
      </w:r>
      <w:bookmarkEnd w:id="8"/>
    </w:p>
    <w:p w14:paraId="1CFBF8D5">
      <w:pPr>
        <w:pStyle w:val="5"/>
        <w:spacing w:before="120" w:after="120"/>
        <w:rPr>
          <w:rFonts w:cs="宋体"/>
          <w:b w:val="0"/>
          <w:i/>
          <w:color w:val="auto"/>
          <w:sz w:val="21"/>
          <w:szCs w:val="21"/>
          <w:highlight w:val="none"/>
        </w:rPr>
      </w:pPr>
      <w:bookmarkStart w:id="9" w:name="bookmark4"/>
      <w:bookmarkEnd w:id="9"/>
      <w:bookmarkStart w:id="10" w:name="_Toc6545"/>
      <w:r>
        <w:rPr>
          <w:rFonts w:cs="宋体"/>
          <w:color w:val="auto"/>
          <w:highlight w:val="none"/>
        </w:rPr>
        <w:t>3.投标人资格要求</w:t>
      </w:r>
      <w:bookmarkEnd w:id="10"/>
    </w:p>
    <w:p w14:paraId="33733FBC">
      <w:pPr>
        <w:autoSpaceDE/>
        <w:autoSpaceDN/>
        <w:adjustRightInd/>
        <w:spacing w:line="360" w:lineRule="auto"/>
        <w:ind w:firstLine="537" w:firstLineChars="224"/>
        <w:outlineLvl w:val="9"/>
        <w:rPr>
          <w:rFonts w:ascii="宋体" w:hAnsi="宋体" w:cs="宋体"/>
          <w:color w:val="auto"/>
          <w:highlight w:val="none"/>
        </w:rPr>
      </w:pPr>
      <w:bookmarkStart w:id="11" w:name="_Toc15591"/>
      <w:bookmarkStart w:id="12" w:name="_Toc31217"/>
      <w:r>
        <w:rPr>
          <w:rFonts w:ascii="宋体" w:hAnsi="宋体" w:cs="宋体"/>
          <w:color w:val="auto"/>
          <w:highlight w:val="none"/>
        </w:rPr>
        <w:t xml:space="preserve">3.1 </w:t>
      </w:r>
      <w:r>
        <w:rPr>
          <w:rFonts w:ascii="宋体" w:hAnsi="宋体"/>
          <w:color w:val="auto"/>
          <w:highlight w:val="none"/>
        </w:rPr>
        <w:t>投标人参加投标的意思表达清楚，投标人代表被授权有效</w:t>
      </w:r>
      <w:r>
        <w:rPr>
          <w:rFonts w:ascii="宋体" w:hAnsi="宋体" w:cs="宋体"/>
          <w:color w:val="auto"/>
          <w:highlight w:val="none"/>
        </w:rPr>
        <w:t>。</w:t>
      </w:r>
      <w:bookmarkEnd w:id="11"/>
      <w:bookmarkEnd w:id="12"/>
      <w:r>
        <w:rPr>
          <w:rFonts w:hint="default" w:ascii="宋体" w:hAnsi="宋体" w:eastAsia="宋体" w:cs="Times New Roman"/>
          <w:color w:val="auto"/>
          <w:sz w:val="24"/>
          <w:szCs w:val="24"/>
          <w:highlight w:val="none"/>
          <w:u w:val="none"/>
          <w:lang w:val="en-US"/>
        </w:rPr>
        <w:t>（委托投标的还应提供法人授权委托证明书扫描件、有效的被授权人身份证正反面扫描件及被授权人</w:t>
      </w:r>
      <w:r>
        <w:rPr>
          <w:rFonts w:hint="default" w:ascii="宋体" w:hAnsi="宋体" w:eastAsia="宋体" w:cs="Times New Roman"/>
          <w:color w:val="auto"/>
          <w:sz w:val="24"/>
          <w:szCs w:val="24"/>
          <w:highlight w:val="none"/>
          <w:u w:val="none"/>
          <w:lang w:val="en-US" w:eastAsia="zh-CN"/>
        </w:rPr>
        <w:t>2025</w:t>
      </w:r>
      <w:r>
        <w:rPr>
          <w:rFonts w:hint="default" w:ascii="宋体" w:hAnsi="宋体" w:eastAsia="宋体" w:cs="Times New Roman"/>
          <w:color w:val="auto"/>
          <w:sz w:val="24"/>
          <w:szCs w:val="24"/>
          <w:highlight w:val="none"/>
          <w:u w:val="none"/>
          <w:lang w:val="en-US"/>
        </w:rPr>
        <w:t>年</w:t>
      </w:r>
      <w:r>
        <w:rPr>
          <w:rFonts w:hint="eastAsia" w:ascii="宋体" w:hAnsi="宋体" w:cs="Times New Roman"/>
          <w:color w:val="auto"/>
          <w:sz w:val="24"/>
          <w:szCs w:val="24"/>
          <w:highlight w:val="none"/>
          <w:u w:val="none"/>
          <w:lang w:val="en-US" w:eastAsia="zh-CN"/>
        </w:rPr>
        <w:t>8</w:t>
      </w:r>
      <w:r>
        <w:rPr>
          <w:rFonts w:hint="default" w:ascii="宋体" w:hAnsi="宋体" w:eastAsia="宋体" w:cs="Times New Roman"/>
          <w:color w:val="auto"/>
          <w:sz w:val="24"/>
          <w:szCs w:val="24"/>
          <w:highlight w:val="none"/>
          <w:u w:val="none"/>
          <w:lang w:val="en-US"/>
        </w:rPr>
        <w:t>月或</w:t>
      </w:r>
      <w:r>
        <w:rPr>
          <w:rFonts w:hint="default" w:ascii="宋体" w:hAnsi="宋体" w:eastAsia="宋体" w:cs="Times New Roman"/>
          <w:b w:val="0"/>
          <w:bCs w:val="0"/>
          <w:color w:val="auto"/>
          <w:sz w:val="24"/>
          <w:szCs w:val="24"/>
          <w:highlight w:val="none"/>
          <w:u w:val="none"/>
          <w:lang w:val="en-US" w:eastAsia="zh-CN"/>
        </w:rPr>
        <w:t>2025</w:t>
      </w:r>
      <w:r>
        <w:rPr>
          <w:rFonts w:hint="default" w:ascii="宋体" w:hAnsi="宋体" w:eastAsia="宋体" w:cs="Times New Roman"/>
          <w:b w:val="0"/>
          <w:bCs w:val="0"/>
          <w:color w:val="auto"/>
          <w:sz w:val="24"/>
          <w:szCs w:val="24"/>
          <w:highlight w:val="none"/>
          <w:u w:val="none"/>
        </w:rPr>
        <w:t>年</w:t>
      </w:r>
      <w:r>
        <w:rPr>
          <w:rFonts w:hint="eastAsia" w:ascii="宋体" w:hAnsi="宋体" w:cs="Times New Roman"/>
          <w:color w:val="auto"/>
          <w:sz w:val="24"/>
          <w:szCs w:val="24"/>
          <w:highlight w:val="none"/>
          <w:u w:val="none"/>
          <w:lang w:val="en-US" w:eastAsia="zh-CN"/>
        </w:rPr>
        <w:t>9</w:t>
      </w:r>
      <w:r>
        <w:rPr>
          <w:rFonts w:hint="default" w:ascii="宋体" w:hAnsi="宋体" w:eastAsia="宋体" w:cs="Times New Roman"/>
          <w:color w:val="auto"/>
          <w:sz w:val="24"/>
          <w:szCs w:val="24"/>
          <w:highlight w:val="none"/>
          <w:u w:val="none"/>
          <w:lang w:val="en-US"/>
        </w:rPr>
        <w:t>月在本单位</w:t>
      </w:r>
      <w:r>
        <w:rPr>
          <w:rFonts w:hint="default" w:ascii="宋体" w:hAnsi="宋体" w:eastAsia="宋体" w:cs="Times New Roman"/>
          <w:color w:val="auto"/>
          <w:sz w:val="24"/>
          <w:szCs w:val="24"/>
          <w:highlight w:val="none"/>
          <w:u w:val="none"/>
          <w:lang w:val="en-US" w:eastAsia="zh-CN"/>
        </w:rPr>
        <w:t>（含非独立法人分支机构）</w:t>
      </w:r>
      <w:r>
        <w:rPr>
          <w:rFonts w:hint="default" w:ascii="宋体" w:hAnsi="宋体" w:eastAsia="宋体" w:cs="Times New Roman"/>
          <w:color w:val="auto"/>
          <w:sz w:val="24"/>
          <w:szCs w:val="24"/>
          <w:highlight w:val="none"/>
          <w:u w:val="none"/>
          <w:lang w:val="en-US"/>
        </w:rPr>
        <w:t>缴纳的有效社保证明材料扫描件）</w:t>
      </w:r>
      <w:r>
        <w:rPr>
          <w:rFonts w:hint="default" w:ascii="宋体" w:hAnsi="宋体" w:eastAsia="宋体" w:cs="Times New Roman"/>
          <w:color w:val="auto"/>
          <w:sz w:val="24"/>
          <w:szCs w:val="24"/>
          <w:highlight w:val="none"/>
        </w:rPr>
        <w:t>。</w:t>
      </w:r>
    </w:p>
    <w:p w14:paraId="043F0350">
      <w:pPr>
        <w:tabs>
          <w:tab w:val="left" w:pos="7513"/>
        </w:tabs>
        <w:spacing w:line="360" w:lineRule="auto"/>
        <w:ind w:firstLine="480" w:firstLineChars="200"/>
        <w:rPr>
          <w:rFonts w:ascii="宋体" w:hAnsi="宋体"/>
          <w:color w:val="auto"/>
          <w:highlight w:val="none"/>
        </w:rPr>
      </w:pPr>
      <w:r>
        <w:rPr>
          <w:rFonts w:ascii="宋体" w:hAnsi="宋体" w:cs="宋体"/>
          <w:color w:val="auto"/>
          <w:highlight w:val="none"/>
        </w:rPr>
        <w:t xml:space="preserve">3.2 </w:t>
      </w:r>
      <w:r>
        <w:rPr>
          <w:rFonts w:ascii="宋体" w:hAnsi="宋体"/>
          <w:color w:val="auto"/>
          <w:highlight w:val="none"/>
        </w:rPr>
        <w:t>投标人是法人或其他组织，按国家法律经营。</w:t>
      </w:r>
    </w:p>
    <w:p w14:paraId="421AF5EC">
      <w:pPr>
        <w:tabs>
          <w:tab w:val="left" w:pos="7513"/>
        </w:tabs>
        <w:spacing w:line="360" w:lineRule="auto"/>
        <w:ind w:firstLine="480" w:firstLineChars="200"/>
        <w:outlineLvl w:val="2"/>
        <w:rPr>
          <w:rFonts w:hint="eastAsia" w:ascii="宋体" w:hAnsi="宋体" w:eastAsia="宋体" w:cs="宋体"/>
          <w:color w:val="auto"/>
          <w:highlight w:val="none"/>
          <w:lang w:eastAsia="zh-CN"/>
        </w:rPr>
      </w:pPr>
      <w:bookmarkStart w:id="13" w:name="_Toc9121"/>
      <w:bookmarkStart w:id="14" w:name="_Toc25809"/>
      <w:r>
        <w:rPr>
          <w:rFonts w:ascii="宋体" w:hAnsi="宋体" w:cs="宋体"/>
          <w:color w:val="auto"/>
          <w:highlight w:val="none"/>
        </w:rPr>
        <w:t xml:space="preserve">3.3 </w:t>
      </w:r>
      <w:r>
        <w:rPr>
          <w:rFonts w:ascii="宋体" w:hAnsi="宋体"/>
          <w:color w:val="auto"/>
          <w:highlight w:val="none"/>
        </w:rPr>
        <w:t>本次招标要求投标人须具备</w:t>
      </w:r>
      <w:r>
        <w:rPr>
          <w:rFonts w:hint="eastAsia" w:ascii="宋体" w:hAnsi="宋体"/>
          <w:color w:val="auto"/>
          <w:highlight w:val="none"/>
          <w:u w:val="single"/>
        </w:rPr>
        <w:t>工程监理综合资质或市政公用工程监理</w:t>
      </w:r>
      <w:r>
        <w:rPr>
          <w:rFonts w:hint="eastAsia" w:ascii="宋体" w:hAnsi="宋体"/>
          <w:color w:val="auto"/>
          <w:highlight w:val="none"/>
          <w:u w:val="single"/>
          <w:lang w:eastAsia="zh-CN"/>
        </w:rPr>
        <w:t>丙</w:t>
      </w:r>
      <w:r>
        <w:rPr>
          <w:rFonts w:hint="eastAsia" w:ascii="宋体" w:hAnsi="宋体"/>
          <w:color w:val="auto"/>
          <w:highlight w:val="none"/>
          <w:u w:val="single"/>
        </w:rPr>
        <w:t>级（或以上）</w:t>
      </w:r>
      <w:r>
        <w:rPr>
          <w:rFonts w:hint="eastAsia" w:ascii="宋体" w:hAnsi="宋体"/>
          <w:color w:val="auto"/>
          <w:highlight w:val="none"/>
        </w:rPr>
        <w:t>资质</w:t>
      </w:r>
      <w:r>
        <w:rPr>
          <w:rFonts w:ascii="宋体" w:hAnsi="宋体"/>
          <w:color w:val="auto"/>
          <w:highlight w:val="none"/>
        </w:rPr>
        <w:t>。</w:t>
      </w:r>
      <w:bookmarkEnd w:id="13"/>
      <w:bookmarkEnd w:id="14"/>
    </w:p>
    <w:p w14:paraId="7FD77A51">
      <w:pPr>
        <w:tabs>
          <w:tab w:val="left" w:pos="7513"/>
        </w:tabs>
        <w:spacing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5FE8D5C5">
      <w:pPr>
        <w:tabs>
          <w:tab w:val="left" w:pos="7513"/>
        </w:tabs>
        <w:spacing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5567892E">
      <w:pPr>
        <w:spacing w:line="360" w:lineRule="auto"/>
        <w:ind w:firstLine="480" w:firstLineChars="200"/>
        <w:rPr>
          <w:rFonts w:ascii="宋体" w:hAnsi="宋体"/>
          <w:color w:val="auto"/>
          <w:highlight w:val="none"/>
        </w:rPr>
      </w:pPr>
      <w:r>
        <w:rPr>
          <w:rFonts w:ascii="宋体" w:hAnsi="宋体" w:cs="宋体"/>
          <w:color w:val="auto"/>
          <w:highlight w:val="none"/>
        </w:rPr>
        <w:t xml:space="preserve">3.4 </w:t>
      </w:r>
      <w:r>
        <w:rPr>
          <w:rFonts w:hint="eastAsia" w:ascii="宋体" w:hAnsi="宋体" w:cs="宋体"/>
          <w:color w:val="auto"/>
          <w:sz w:val="24"/>
          <w:szCs w:val="24"/>
          <w:highlight w:val="none"/>
        </w:rPr>
        <w:t>总监理工程师：</w:t>
      </w:r>
      <w:r>
        <w:rPr>
          <w:rFonts w:ascii="宋体" w:hAnsi="宋体"/>
          <w:color w:val="auto"/>
          <w:highlight w:val="none"/>
        </w:rPr>
        <w:t>拟派总监理工程师须具备</w:t>
      </w:r>
      <w:r>
        <w:rPr>
          <w:rFonts w:hint="eastAsia" w:ascii="宋体" w:hAnsi="宋体" w:cs="宋体"/>
          <w:color w:val="auto"/>
          <w:highlight w:val="none"/>
          <w:u w:val="single"/>
        </w:rPr>
        <w:t>建设部2006年4月1日后颁发的且在有效期内的中华人民共和国注册监理工程师注册执业证书，且其注册证书专业为市政公用工程，并具备本科或以上学历，注册执业单位为本公司。</w:t>
      </w:r>
      <w:r>
        <w:rPr>
          <w:rFonts w:hint="eastAsia" w:ascii="宋体" w:hAnsi="宋体" w:eastAsia="宋体" w:cs="宋体"/>
          <w:color w:val="auto"/>
          <w:sz w:val="24"/>
          <w:szCs w:val="24"/>
          <w:highlight w:val="none"/>
          <w:u w:val="single"/>
          <w:lang w:val="en-US" w:eastAsia="zh-CN"/>
        </w:rPr>
        <w:t>需提供离投标截止时间最近的至少1个月（即2025年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月或2025年</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月）在本单位（含非独立法人分支机构）缴纳的有效社保证明文件；</w:t>
      </w:r>
      <w:r>
        <w:rPr>
          <w:rFonts w:hint="eastAsia" w:ascii="宋体" w:hAnsi="宋体" w:cs="宋体"/>
          <w:color w:val="auto"/>
          <w:highlight w:val="none"/>
          <w:u w:val="single"/>
        </w:rPr>
        <w:t>或在广东省住房和城乡建设主管部门备案且备案的资格满足本项目总监理工程师的资格要求的香港专业人士。</w:t>
      </w:r>
    </w:p>
    <w:p w14:paraId="604F546D">
      <w:pPr>
        <w:tabs>
          <w:tab w:val="left" w:pos="7513"/>
        </w:tabs>
        <w:spacing w:line="360" w:lineRule="auto"/>
        <w:ind w:firstLine="480" w:firstLineChars="200"/>
        <w:rPr>
          <w:rFonts w:ascii="宋体" w:hAnsi="宋体" w:cs="宋体"/>
          <w:color w:val="auto"/>
          <w:highlight w:val="none"/>
        </w:rPr>
      </w:pPr>
      <w:r>
        <w:rPr>
          <w:rFonts w:hint="eastAsia" w:ascii="仿宋" w:hAnsi="仿宋" w:eastAsia="仿宋" w:cs="仿宋"/>
          <w:color w:val="auto"/>
          <w:highlight w:val="non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1FE331AE">
      <w:pPr>
        <w:tabs>
          <w:tab w:val="left" w:pos="7513"/>
        </w:tabs>
        <w:spacing w:line="360" w:lineRule="auto"/>
        <w:ind w:firstLine="480" w:firstLineChars="200"/>
        <w:rPr>
          <w:rFonts w:ascii="宋体" w:hAnsi="宋体" w:cs="宋体"/>
          <w:color w:val="auto"/>
          <w:highlight w:val="none"/>
        </w:rPr>
      </w:pPr>
      <w:r>
        <w:rPr>
          <w:rFonts w:hint="eastAsia" w:ascii="宋体" w:hAnsi="宋体" w:cs="宋体"/>
          <w:color w:val="auto"/>
          <w:highlight w:val="none"/>
          <w:lang w:val="en-US" w:eastAsia="zh-CN"/>
        </w:rPr>
        <w:t>3.5</w:t>
      </w:r>
      <w:r>
        <w:rPr>
          <w:rFonts w:ascii="宋体" w:hAnsi="宋体" w:cs="宋体"/>
          <w:color w:val="auto"/>
          <w:szCs w:val="21"/>
          <w:highlight w:val="none"/>
        </w:rPr>
        <w:t>投标登记前，投标人</w:t>
      </w:r>
      <w:r>
        <w:rPr>
          <w:rFonts w:hint="eastAsia" w:ascii="宋体" w:hAnsi="宋体" w:cs="宋体"/>
          <w:color w:val="auto"/>
          <w:sz w:val="24"/>
          <w:szCs w:val="24"/>
          <w:highlight w:val="none"/>
          <w:u w:val="single"/>
        </w:rPr>
        <w:t>及总监理工程师</w:t>
      </w:r>
      <w:r>
        <w:rPr>
          <w:rFonts w:ascii="宋体" w:hAnsi="宋体" w:cs="宋体"/>
          <w:color w:val="auto"/>
          <w:szCs w:val="21"/>
          <w:highlight w:val="none"/>
        </w:rPr>
        <w:t>须在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企业库已办理企业信息登记</w:t>
      </w:r>
      <w:r>
        <w:rPr>
          <w:rFonts w:hint="eastAsia" w:ascii="宋体" w:hAnsi="宋体" w:cs="宋体"/>
          <w:color w:val="auto"/>
          <w:szCs w:val="21"/>
          <w:highlight w:val="none"/>
          <w:lang w:eastAsia="zh-CN"/>
        </w:rPr>
        <w:t>，</w:t>
      </w:r>
      <w:r>
        <w:rPr>
          <w:rFonts w:hint="eastAsia" w:ascii="宋体" w:hAnsi="宋体" w:cs="宋体"/>
          <w:color w:val="auto"/>
          <w:sz w:val="24"/>
          <w:szCs w:val="24"/>
          <w:highlight w:val="none"/>
          <w:u w:val="single"/>
        </w:rPr>
        <w:t>及拟担任本工程总监理工程师须是本企业在广州交易集团有限公司（广州公共资源交易中心）企业信息登记中的在册人员。</w:t>
      </w:r>
    </w:p>
    <w:p w14:paraId="6F1C7A31">
      <w:pPr>
        <w:widowControl/>
        <w:snapToGrid w:val="0"/>
        <w:spacing w:line="360" w:lineRule="auto"/>
        <w:ind w:right="34" w:rightChars="14"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6</w:t>
      </w:r>
      <w:r>
        <w:rPr>
          <w:rFonts w:ascii="宋体" w:hAnsi="宋体" w:cs="宋体"/>
          <w:color w:val="auto"/>
          <w:szCs w:val="21"/>
          <w:highlight w:val="none"/>
        </w:rPr>
        <w:t>投标人已按规定格式签署盖章《投标</w:t>
      </w:r>
      <w:r>
        <w:rPr>
          <w:rFonts w:hint="eastAsia" w:ascii="宋体" w:hAnsi="宋体" w:cs="宋体"/>
          <w:color w:val="auto"/>
          <w:szCs w:val="21"/>
          <w:highlight w:val="none"/>
          <w:lang w:val="en-US" w:eastAsia="zh-CN"/>
        </w:rPr>
        <w:t>人</w:t>
      </w:r>
      <w:r>
        <w:rPr>
          <w:rFonts w:ascii="宋体" w:hAnsi="宋体" w:cs="宋体"/>
          <w:color w:val="auto"/>
          <w:szCs w:val="21"/>
          <w:highlight w:val="none"/>
        </w:rPr>
        <w:t>声明》（格式见招标文件第六章投标文件格式）</w:t>
      </w:r>
      <w:r>
        <w:rPr>
          <w:rFonts w:ascii="宋体" w:hAnsi="宋体" w:cs="宋体"/>
          <w:color w:val="auto"/>
          <w:highlight w:val="none"/>
        </w:rPr>
        <w:t>，</w:t>
      </w:r>
      <w:r>
        <w:rPr>
          <w:rFonts w:ascii="宋体" w:hAnsi="宋体" w:cs="宋体"/>
          <w:color w:val="auto"/>
          <w:highlight w:val="none"/>
          <w:u w:val="single"/>
        </w:rPr>
        <w:t>且总监理工程师</w:t>
      </w:r>
      <w:r>
        <w:rPr>
          <w:rFonts w:hint="eastAsia" w:ascii="宋体" w:hAnsi="宋体" w:cs="宋体"/>
          <w:color w:val="auto"/>
          <w:highlight w:val="none"/>
          <w:u w:val="single"/>
        </w:rPr>
        <w:t>、技术负责人</w:t>
      </w:r>
      <w:r>
        <w:rPr>
          <w:rFonts w:ascii="宋体" w:hAnsi="宋体" w:cs="宋体"/>
          <w:color w:val="auto"/>
          <w:highlight w:val="none"/>
          <w:u w:val="single"/>
        </w:rPr>
        <w:t>已签字确认</w:t>
      </w:r>
      <w:r>
        <w:rPr>
          <w:rFonts w:ascii="宋体" w:hAnsi="宋体" w:cs="宋体"/>
          <w:color w:val="auto"/>
          <w:highlight w:val="none"/>
        </w:rPr>
        <w:t>。</w:t>
      </w:r>
    </w:p>
    <w:p w14:paraId="10EC63DF">
      <w:pPr>
        <w:snapToGrid w:val="0"/>
        <w:spacing w:line="360" w:lineRule="auto"/>
        <w:ind w:firstLine="480" w:firstLineChars="200"/>
        <w:rPr>
          <w:rFonts w:ascii="宋体" w:hAnsi="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7</w:t>
      </w:r>
      <w:r>
        <w:rPr>
          <w:rFonts w:ascii="宋体" w:hAnsi="宋体"/>
          <w:color w:val="auto"/>
          <w:highlight w:val="none"/>
        </w:rPr>
        <w:t>投标人未被列入“在一定期限内依法取消参加依法必须进行招标的项目的投标资格”，具体名单以递交投标文件截止时间“信用广州”公布的“黑名单”为准。</w:t>
      </w:r>
      <w:r>
        <w:rPr>
          <w:rFonts w:hint="eastAsia" w:ascii="宋体" w:hAnsi="宋体" w:cs="宋体"/>
          <w:color w:val="auto"/>
          <w:highlight w:val="none"/>
          <w:u w:val="single"/>
        </w:rPr>
        <w:t>投标人可不提供资料，按项目评标当天网上查询结果进行评审。</w:t>
      </w:r>
    </w:p>
    <w:p w14:paraId="25AB95E0">
      <w:pPr>
        <w:pStyle w:val="33"/>
        <w:spacing w:before="0" w:after="0" w:line="360" w:lineRule="auto"/>
        <w:ind w:firstLine="540"/>
        <w:rPr>
          <w:color w:val="auto"/>
          <w:highlight w:val="none"/>
        </w:rPr>
      </w:pPr>
      <w:r>
        <w:rPr>
          <w:rFonts w:cs="Times New Roman"/>
          <w:color w:val="auto"/>
          <w:highlight w:val="none"/>
        </w:rPr>
        <w:t>注：《全国失信惩戒措施清单基础清单》（2024版）</w:t>
      </w:r>
      <w:r>
        <w:rPr>
          <w:rFonts w:hint="eastAsia" w:ascii="仿宋" w:hAnsi="仿宋" w:eastAsia="仿宋" w:cs="仿宋"/>
          <w:color w:val="auto"/>
          <w:highlight w:val="none"/>
        </w:rPr>
        <w:t>。</w:t>
      </w:r>
    </w:p>
    <w:p w14:paraId="49A9AF32">
      <w:pPr>
        <w:wordWrap w:val="0"/>
        <w:topLinePunct/>
        <w:snapToGrid w:val="0"/>
        <w:spacing w:line="440" w:lineRule="exact"/>
        <w:ind w:firstLine="424" w:firstLineChars="177"/>
        <w:rPr>
          <w:rFonts w:ascii="宋体" w:cs="宋体"/>
          <w:color w:val="auto"/>
          <w:spacing w:val="6"/>
          <w:highlight w:val="none"/>
        </w:rPr>
      </w:pPr>
      <w:r>
        <w:rPr>
          <w:rFonts w:ascii="宋体" w:hAnsi="宋体" w:cs="宋体"/>
          <w:color w:val="auto"/>
          <w:highlight w:val="none"/>
        </w:rPr>
        <w:t>3.</w:t>
      </w:r>
      <w:r>
        <w:rPr>
          <w:rFonts w:hint="eastAsia" w:ascii="宋体" w:hAnsi="宋体" w:cs="宋体"/>
          <w:color w:val="auto"/>
          <w:highlight w:val="none"/>
          <w:lang w:val="en-US" w:eastAsia="zh-CN"/>
        </w:rPr>
        <w:t>8</w:t>
      </w:r>
      <w:r>
        <w:rPr>
          <w:rFonts w:ascii="宋体" w:hAnsi="宋体" w:cs="宋体"/>
          <w:color w:val="auto"/>
          <w:highlight w:val="none"/>
        </w:rPr>
        <w:t xml:space="preserve"> </w:t>
      </w:r>
      <w:r>
        <w:rPr>
          <w:rFonts w:ascii="宋体" w:hAnsi="宋体" w:cs="宋体"/>
          <w:color w:val="auto"/>
          <w:spacing w:val="7"/>
          <w:highlight w:val="none"/>
        </w:rPr>
        <w:t>本次</w:t>
      </w:r>
      <w:r>
        <w:rPr>
          <w:rFonts w:ascii="宋体" w:cs="宋体"/>
          <w:color w:val="auto"/>
          <w:spacing w:val="7"/>
          <w:highlight w:val="none"/>
        </w:rPr>
        <w:t>招标</w:t>
      </w:r>
      <w:r>
        <w:rPr>
          <w:rFonts w:ascii="宋体" w:cs="宋体"/>
          <w:color w:val="auto"/>
          <w:spacing w:val="6"/>
          <w:highlight w:val="none"/>
          <w:u w:val="single"/>
        </w:rPr>
        <w:t>不接受</w:t>
      </w:r>
      <w:r>
        <w:rPr>
          <w:rFonts w:ascii="宋体" w:cs="宋体"/>
          <w:color w:val="auto"/>
          <w:spacing w:val="6"/>
          <w:highlight w:val="none"/>
        </w:rPr>
        <w:t>联合体投标。</w:t>
      </w:r>
    </w:p>
    <w:p w14:paraId="7AE6E524">
      <w:pPr>
        <w:wordWrap w:val="0"/>
        <w:topLinePunct/>
        <w:snapToGrid w:val="0"/>
        <w:spacing w:line="440" w:lineRule="exact"/>
        <w:ind w:firstLine="424" w:firstLineChars="177"/>
        <w:rPr>
          <w:rFonts w:hint="eastAsia" w:ascii="宋体" w:hAnsi="宋体" w:eastAsia="宋体" w:cs="宋体"/>
          <w:strike w:val="0"/>
          <w:color w:val="auto"/>
          <w:sz w:val="24"/>
          <w:szCs w:val="24"/>
          <w:highlight w:val="none"/>
          <w:u w:val="single"/>
          <w:shd w:val="clear" w:color="auto" w:fill="FFFFFF"/>
        </w:rPr>
      </w:pPr>
      <w:r>
        <w:rPr>
          <w:rFonts w:hint="eastAsia" w:ascii="宋体" w:hAnsi="宋体" w:eastAsia="宋体" w:cs="宋体"/>
          <w:strike w:val="0"/>
          <w:color w:val="auto"/>
          <w:sz w:val="24"/>
          <w:szCs w:val="24"/>
          <w:highlight w:val="none"/>
          <w:u w:val="single"/>
          <w:shd w:val="clear" w:color="auto" w:fill="FFFFFF"/>
        </w:rPr>
        <w:t>3.</w:t>
      </w:r>
      <w:r>
        <w:rPr>
          <w:rFonts w:hint="eastAsia" w:ascii="宋体" w:hAnsi="宋体" w:cs="宋体"/>
          <w:strike w:val="0"/>
          <w:color w:val="auto"/>
          <w:sz w:val="24"/>
          <w:szCs w:val="24"/>
          <w:highlight w:val="none"/>
          <w:u w:val="single"/>
          <w:shd w:val="clear" w:color="auto" w:fill="FFFFFF"/>
          <w:lang w:val="en-US" w:eastAsia="zh-CN"/>
        </w:rPr>
        <w:t>9</w:t>
      </w:r>
      <w:r>
        <w:rPr>
          <w:rFonts w:hint="eastAsia" w:ascii="宋体" w:hAnsi="宋体" w:eastAsia="宋体" w:cs="宋体"/>
          <w:strike w:val="0"/>
          <w:color w:val="auto"/>
          <w:sz w:val="24"/>
          <w:szCs w:val="24"/>
          <w:highlight w:val="none"/>
          <w:u w:val="single"/>
          <w:shd w:val="clear" w:color="auto" w:fill="FFFFFF"/>
        </w:rPr>
        <w:t>未被列入本项目招标人书面拒绝投标的</w:t>
      </w:r>
      <w:r>
        <w:rPr>
          <w:rFonts w:hint="eastAsia" w:ascii="宋体" w:hAnsi="宋体" w:eastAsia="宋体" w:cs="宋体"/>
          <w:strike w:val="0"/>
          <w:color w:val="auto"/>
          <w:sz w:val="24"/>
          <w:szCs w:val="24"/>
          <w:highlight w:val="none"/>
          <w:u w:val="single"/>
          <w:shd w:val="clear" w:color="auto" w:fill="FFFFFF"/>
          <w:lang w:val="en-US" w:eastAsia="zh-CN"/>
        </w:rPr>
        <w:t>企业名单</w:t>
      </w:r>
      <w:r>
        <w:rPr>
          <w:rFonts w:hint="eastAsia" w:ascii="宋体" w:hAnsi="宋体" w:eastAsia="宋体" w:cs="宋体"/>
          <w:strike w:val="0"/>
          <w:color w:val="auto"/>
          <w:sz w:val="24"/>
          <w:szCs w:val="24"/>
          <w:highlight w:val="none"/>
          <w:u w:val="single"/>
          <w:shd w:val="clear" w:color="auto" w:fill="FFFFFF"/>
        </w:rPr>
        <w:t>（详见附件《被招标人拒绝投标的企业名单》）。</w:t>
      </w:r>
    </w:p>
    <w:p w14:paraId="10553320">
      <w:pPr>
        <w:wordWrap w:val="0"/>
        <w:topLinePunct/>
        <w:snapToGrid w:val="0"/>
        <w:spacing w:line="440" w:lineRule="exact"/>
        <w:ind w:firstLine="424" w:firstLineChars="177"/>
        <w:rPr>
          <w:rFonts w:ascii="宋体" w:hAnsi="宋体" w:cs="宋体"/>
          <w:color w:val="auto"/>
          <w:highlight w:val="none"/>
          <w:u w:val="single"/>
        </w:rPr>
      </w:pPr>
      <w:r>
        <w:rPr>
          <w:rFonts w:hint="eastAsia" w:ascii="宋体" w:hAnsi="宋体" w:cs="宋体"/>
          <w:color w:val="auto"/>
          <w:highlight w:val="none"/>
          <w:u w:val="single"/>
        </w:rPr>
        <w:t>注：未在招标公告第3条单列的投标人资格要求条件，不作为资审不合格的依据。</w:t>
      </w:r>
    </w:p>
    <w:p w14:paraId="2F36C65E">
      <w:pPr>
        <w:tabs>
          <w:tab w:val="left" w:pos="7513"/>
        </w:tabs>
        <w:spacing w:line="360" w:lineRule="auto"/>
        <w:ind w:firstLine="260" w:firstLineChars="200"/>
        <w:rPr>
          <w:rFonts w:cs="宋体"/>
          <w:color w:val="auto"/>
          <w:sz w:val="13"/>
          <w:highlight w:val="none"/>
        </w:rPr>
      </w:pPr>
    </w:p>
    <w:p w14:paraId="44C8F889">
      <w:pPr>
        <w:pStyle w:val="5"/>
        <w:spacing w:before="120" w:after="120"/>
        <w:rPr>
          <w:rFonts w:cs="宋体"/>
          <w:color w:val="auto"/>
          <w:highlight w:val="none"/>
        </w:rPr>
      </w:pPr>
      <w:bookmarkStart w:id="15" w:name="bookmark5"/>
      <w:bookmarkEnd w:id="15"/>
      <w:bookmarkStart w:id="16" w:name="_Toc31806"/>
      <w:r>
        <w:rPr>
          <w:rFonts w:cs="宋体"/>
          <w:color w:val="auto"/>
          <w:highlight w:val="none"/>
        </w:rPr>
        <w:t>4.招标文件的获取</w:t>
      </w:r>
      <w:bookmarkEnd w:id="16"/>
    </w:p>
    <w:p w14:paraId="2DC7D354">
      <w:pPr>
        <w:widowControl/>
        <w:topLinePunct/>
        <w:autoSpaceDE/>
        <w:autoSpaceDN/>
        <w:adjustRightInd/>
        <w:snapToGrid w:val="0"/>
        <w:spacing w:line="400" w:lineRule="exact"/>
        <w:ind w:firstLine="471" w:firstLineChars="198"/>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日至</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日 </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14:paraId="00359886">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14:paraId="2A86A7D3">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14:paraId="6078F966">
      <w:pPr>
        <w:widowControl/>
        <w:topLinePunct/>
        <w:autoSpaceDE/>
        <w:autoSpaceDN/>
        <w:adjustRightInd/>
        <w:snapToGrid w:val="0"/>
        <w:spacing w:line="400" w:lineRule="exact"/>
        <w:ind w:firstLine="480" w:firstLineChars="200"/>
        <w:outlineLvl w:val="2"/>
        <w:rPr>
          <w:rFonts w:ascii="宋体" w:hAnsi="宋体" w:cs="宋体"/>
          <w:color w:val="auto"/>
          <w:highlight w:val="none"/>
        </w:rPr>
      </w:pPr>
      <w:bookmarkStart w:id="17" w:name="_Toc31577"/>
      <w:r>
        <w:rPr>
          <w:rFonts w:hint="default" w:ascii="宋体" w:hAnsi="宋体" w:eastAsia="宋体" w:cs="Times New Roman"/>
          <w:color w:val="auto"/>
          <w:sz w:val="24"/>
          <w:szCs w:val="24"/>
          <w:highlight w:val="none"/>
          <w:lang w:val="en-US" w:eastAsia="zh-CN"/>
        </w:rPr>
        <w:t>4.3 本项目采用资格后审方式。</w:t>
      </w:r>
      <w:bookmarkEnd w:id="17"/>
    </w:p>
    <w:p w14:paraId="15BAD7B8">
      <w:pPr>
        <w:pStyle w:val="5"/>
        <w:spacing w:before="120" w:after="120"/>
        <w:rPr>
          <w:rFonts w:cs="宋体"/>
          <w:color w:val="auto"/>
          <w:highlight w:val="none"/>
        </w:rPr>
      </w:pPr>
      <w:bookmarkStart w:id="18" w:name="bookmark6"/>
      <w:bookmarkEnd w:id="18"/>
      <w:bookmarkStart w:id="19" w:name="_Toc8907"/>
      <w:r>
        <w:rPr>
          <w:rFonts w:cs="宋体"/>
          <w:color w:val="auto"/>
          <w:highlight w:val="none"/>
        </w:rPr>
        <w:t>5.投标文件的递交</w:t>
      </w:r>
      <w:bookmarkEnd w:id="19"/>
    </w:p>
    <w:p w14:paraId="4637B3F5">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14:paraId="7E85F096">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w:t>
      </w:r>
      <w:r>
        <w:rPr>
          <w:rFonts w:hint="eastAsia" w:ascii="宋体" w:hAnsi="宋体" w:cs="宋体"/>
          <w:color w:val="auto"/>
          <w:sz w:val="24"/>
          <w:szCs w:val="24"/>
          <w:highlight w:val="none"/>
          <w:lang w:eastAsia="zh-CN"/>
        </w:rPr>
        <w:t>一</w:t>
      </w:r>
      <w:r>
        <w:rPr>
          <w:rFonts w:hint="default" w:ascii="宋体" w:hAnsi="宋体" w:eastAsia="宋体" w:cs="宋体"/>
          <w:color w:val="auto"/>
          <w:sz w:val="24"/>
          <w:szCs w:val="24"/>
          <w:highlight w:val="none"/>
        </w:rPr>
        <w:t>小时内，投标人通过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14:paraId="66F40133">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14:paraId="7142D570">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年</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分。    </w:t>
      </w:r>
    </w:p>
    <w:p w14:paraId="450C7465">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00231383">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14:paraId="20166AAF">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0C609445">
      <w:pPr>
        <w:pStyle w:val="4"/>
        <w:rPr>
          <w:rFonts w:hint="default"/>
          <w:lang w:val="en-US" w:eastAsia="zh-CN"/>
        </w:rPr>
      </w:pPr>
    </w:p>
    <w:p w14:paraId="5200C8D6">
      <w:pPr>
        <w:pStyle w:val="5"/>
        <w:spacing w:before="120" w:after="120"/>
        <w:rPr>
          <w:color w:val="auto"/>
          <w:highlight w:val="none"/>
        </w:rPr>
      </w:pPr>
      <w:bookmarkStart w:id="20" w:name="bookmark7"/>
      <w:bookmarkEnd w:id="20"/>
      <w:bookmarkStart w:id="21" w:name="_Toc15859"/>
      <w:r>
        <w:rPr>
          <w:color w:val="auto"/>
          <w:highlight w:val="none"/>
        </w:rPr>
        <w:t>6.发布公告的媒介</w:t>
      </w:r>
      <w:bookmarkEnd w:id="21"/>
    </w:p>
    <w:p w14:paraId="4A4A5107">
      <w:pPr>
        <w:snapToGrid w:val="0"/>
        <w:spacing w:line="360" w:lineRule="auto"/>
        <w:ind w:firstLine="240" w:firstLineChars="10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w:t>
      </w:r>
      <w:r>
        <w:rPr>
          <w:rFonts w:hint="eastAsia" w:ascii="宋体" w:hAnsi="宋体" w:eastAsia="宋体" w:cs="宋体"/>
          <w:color w:val="auto"/>
          <w:sz w:val="24"/>
          <w:szCs w:val="24"/>
          <w:highlight w:val="none"/>
          <w:u w:val="single"/>
          <w:lang w:eastAsia="zh-CN"/>
        </w:rPr>
        <w:t>及</w:t>
      </w:r>
      <w:r>
        <w:rPr>
          <w:rFonts w:hint="eastAsia" w:ascii="宋体" w:hAnsi="宋体" w:eastAsia="宋体" w:cs="宋体"/>
          <w:color w:val="auto"/>
          <w:sz w:val="24"/>
          <w:szCs w:val="24"/>
          <w:highlight w:val="none"/>
          <w:u w:val="single"/>
        </w:rPr>
        <w:t>广东省招标投标监管</w:t>
      </w:r>
      <w:r>
        <w:rPr>
          <w:rFonts w:hint="eastAsia" w:ascii="宋体" w:hAnsi="宋体" w:eastAsia="宋体" w:cs="宋体"/>
          <w:color w:val="auto"/>
          <w:sz w:val="24"/>
          <w:szCs w:val="24"/>
          <w:highlight w:val="none"/>
        </w:rPr>
        <w:t>网上</w:t>
      </w:r>
      <w:r>
        <w:rPr>
          <w:rFonts w:hint="default" w:ascii="宋体" w:hAnsi="宋体" w:eastAsia="宋体" w:cs="Times New Roman"/>
          <w:color w:val="auto"/>
          <w:sz w:val="24"/>
          <w:szCs w:val="24"/>
          <w:highlight w:val="none"/>
        </w:rPr>
        <w:t>发布。</w:t>
      </w:r>
    </w:p>
    <w:p w14:paraId="01FE02C3">
      <w:pPr>
        <w:pStyle w:val="5"/>
        <w:spacing w:before="120" w:after="120"/>
        <w:rPr>
          <w:color w:val="auto"/>
          <w:highlight w:val="none"/>
        </w:rPr>
      </w:pPr>
      <w:bookmarkStart w:id="22" w:name="bookmark8"/>
      <w:bookmarkEnd w:id="22"/>
      <w:bookmarkStart w:id="23" w:name="_Toc12025"/>
      <w:bookmarkStart w:id="24" w:name="_Toc29700"/>
      <w:r>
        <w:rPr>
          <w:rFonts w:hint="eastAsia"/>
          <w:color w:val="auto"/>
          <w:highlight w:val="none"/>
        </w:rPr>
        <w:t>7</w:t>
      </w:r>
      <w:r>
        <w:rPr>
          <w:color w:val="auto"/>
          <w:highlight w:val="none"/>
        </w:rPr>
        <w:t>.疑问、异议、投诉处理</w:t>
      </w:r>
      <w:bookmarkEnd w:id="23"/>
    </w:p>
    <w:bookmarkEnd w:id="24"/>
    <w:p w14:paraId="2EA80C03">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71AAE02C">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6771924">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36F5A34F">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2714325">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325D952">
      <w:pPr>
        <w:pStyle w:val="5"/>
        <w:numPr>
          <w:ilvl w:val="0"/>
          <w:numId w:val="1"/>
        </w:numPr>
        <w:spacing w:before="120" w:after="12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投标人和中标候选人的重大变化告知义务：</w:t>
      </w:r>
    </w:p>
    <w:p w14:paraId="5D5562DB">
      <w:pPr>
        <w:pStyle w:val="5"/>
        <w:numPr>
          <w:ilvl w:val="-1"/>
          <w:numId w:val="0"/>
        </w:numPr>
        <w:spacing w:before="120" w:after="120"/>
        <w:ind w:firstLine="480" w:firstLineChars="200"/>
        <w:rPr>
          <w:color w:val="auto"/>
          <w:highlight w:val="none"/>
        </w:rPr>
      </w:pPr>
      <w:r>
        <w:rPr>
          <w:rFonts w:hint="eastAsia" w:ascii="宋体" w:hAnsi="宋体" w:eastAsia="宋体" w:cs="宋体"/>
          <w:b w:val="0"/>
          <w:bCs w:val="0"/>
          <w:color w:val="auto"/>
          <w:sz w:val="24"/>
          <w:szCs w:val="24"/>
          <w:highlight w:val="none"/>
          <w:lang w:val="en-US" w:eastAsia="zh-CN"/>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C130045">
      <w:pPr>
        <w:pStyle w:val="5"/>
        <w:spacing w:before="120" w:after="120"/>
        <w:rPr>
          <w:rFonts w:ascii="Microsoft JhengHei" w:hAnsi="Microsoft JhengHei" w:eastAsia="Microsoft JhengHei"/>
          <w:b w:val="0"/>
          <w:color w:val="auto"/>
          <w:sz w:val="19"/>
          <w:highlight w:val="none"/>
        </w:rPr>
      </w:pPr>
      <w:bookmarkStart w:id="25" w:name="_Toc20179"/>
      <w:r>
        <w:rPr>
          <w:rFonts w:hint="eastAsia"/>
          <w:color w:val="auto"/>
          <w:highlight w:val="none"/>
        </w:rPr>
        <w:t>9</w:t>
      </w:r>
      <w:r>
        <w:rPr>
          <w:color w:val="auto"/>
          <w:highlight w:val="none"/>
        </w:rPr>
        <w:t>.联系方式</w:t>
      </w:r>
      <w:bookmarkEnd w:id="25"/>
    </w:p>
    <w:p w14:paraId="7A435B62">
      <w:pPr>
        <w:spacing w:line="440" w:lineRule="exact"/>
        <w:ind w:firstLine="424" w:firstLineChars="177"/>
        <w:rPr>
          <w:rFonts w:ascii="宋体" w:hAnsi="宋体"/>
          <w:color w:val="auto"/>
          <w:highlight w:val="none"/>
        </w:rPr>
      </w:pPr>
      <w:r>
        <w:rPr>
          <w:rFonts w:hint="eastAsia" w:ascii="宋体" w:hAnsi="宋体"/>
          <w:color w:val="auto"/>
          <w:highlight w:val="none"/>
        </w:rPr>
        <w:t>招 标 人：</w:t>
      </w:r>
      <w:r>
        <w:rPr>
          <w:rFonts w:hint="eastAsia" w:ascii="宋体" w:hAnsi="宋体" w:eastAsia="宋体" w:cs="宋体"/>
          <w:color w:val="auto"/>
          <w:sz w:val="24"/>
          <w:szCs w:val="24"/>
          <w:highlight w:val="none"/>
          <w:u w:val="single"/>
        </w:rPr>
        <w:t>广州开发区财政投资建设项目管理中心</w:t>
      </w:r>
    </w:p>
    <w:p w14:paraId="66FF5EE5">
      <w:pPr>
        <w:spacing w:line="440" w:lineRule="exact"/>
        <w:ind w:firstLine="424" w:firstLineChars="177"/>
        <w:rPr>
          <w:rFonts w:ascii="宋体" w:hAnsi="宋体"/>
          <w:color w:val="auto"/>
          <w:highlight w:val="none"/>
        </w:rPr>
      </w:pPr>
      <w:r>
        <w:rPr>
          <w:rFonts w:hint="eastAsia" w:ascii="宋体" w:hAnsi="宋体"/>
          <w:color w:val="auto"/>
          <w:highlight w:val="none"/>
        </w:rPr>
        <w:t>地    址：</w:t>
      </w:r>
      <w:r>
        <w:rPr>
          <w:rFonts w:hint="eastAsia" w:ascii="宋体" w:hAnsi="宋体" w:eastAsia="宋体" w:cs="宋体"/>
          <w:color w:val="auto"/>
          <w:sz w:val="24"/>
          <w:szCs w:val="24"/>
          <w:highlight w:val="none"/>
          <w:u w:val="single"/>
        </w:rPr>
        <w:t>广州市科学城创意大厦B2主楼三楼</w:t>
      </w:r>
    </w:p>
    <w:p w14:paraId="163BDFF1">
      <w:pPr>
        <w:spacing w:line="440" w:lineRule="exact"/>
        <w:ind w:firstLine="424" w:firstLineChars="177"/>
        <w:rPr>
          <w:rFonts w:hint="default" w:ascii="宋体" w:hAnsi="宋体" w:eastAsia="宋体"/>
          <w:color w:val="auto"/>
          <w:highlight w:val="none"/>
          <w:lang w:val="en-US" w:eastAsia="zh-CN"/>
        </w:rPr>
      </w:pPr>
      <w:r>
        <w:rPr>
          <w:rFonts w:hint="eastAsia" w:ascii="宋体" w:hAnsi="宋体"/>
          <w:color w:val="auto"/>
          <w:highlight w:val="none"/>
        </w:rPr>
        <w:t>联 系 人：</w:t>
      </w:r>
      <w:r>
        <w:rPr>
          <w:rFonts w:hint="eastAsia" w:ascii="宋体" w:hAnsi="宋体"/>
          <w:color w:val="auto"/>
          <w:highlight w:val="none"/>
          <w:u w:val="single"/>
          <w:lang w:val="en-US" w:eastAsia="zh-CN"/>
        </w:rPr>
        <w:t>张工</w:t>
      </w:r>
      <w:r>
        <w:rPr>
          <w:rFonts w:hint="eastAsia" w:ascii="宋体" w:hAnsi="宋体"/>
          <w:color w:val="auto"/>
          <w:highlight w:val="none"/>
        </w:rPr>
        <w:t xml:space="preserve">      电    话：</w:t>
      </w:r>
      <w:r>
        <w:rPr>
          <w:rFonts w:hint="eastAsia" w:ascii="宋体" w:hAnsi="宋体"/>
          <w:color w:val="auto"/>
          <w:highlight w:val="none"/>
          <w:u w:val="single"/>
        </w:rPr>
        <w:t>020-</w:t>
      </w:r>
      <w:r>
        <w:rPr>
          <w:rFonts w:ascii="宋体" w:hAnsi="宋体" w:eastAsia="宋体" w:cs="宋体"/>
          <w:sz w:val="24"/>
          <w:szCs w:val="24"/>
          <w:u w:val="single"/>
        </w:rPr>
        <w:t>28068874</w:t>
      </w:r>
      <w:r>
        <w:rPr>
          <w:rFonts w:hint="eastAsia" w:ascii="宋体" w:hAnsi="宋体"/>
          <w:color w:val="auto"/>
          <w:highlight w:val="none"/>
          <w:u w:val="single"/>
          <w:lang w:val="en-US" w:eastAsia="zh-CN"/>
        </w:rPr>
        <w:t xml:space="preserve"> </w:t>
      </w:r>
    </w:p>
    <w:p w14:paraId="2269C570">
      <w:pPr>
        <w:spacing w:line="200" w:lineRule="exact"/>
        <w:ind w:firstLine="424" w:firstLineChars="177"/>
        <w:rPr>
          <w:rFonts w:ascii="宋体" w:hAnsi="宋体"/>
          <w:color w:val="auto"/>
          <w:highlight w:val="none"/>
        </w:rPr>
      </w:pPr>
      <w:r>
        <w:rPr>
          <w:rFonts w:hint="eastAsia" w:ascii="宋体" w:hAnsi="宋体"/>
          <w:color w:val="auto"/>
          <w:highlight w:val="none"/>
        </w:rPr>
        <w:t xml:space="preserve">    </w:t>
      </w:r>
    </w:p>
    <w:p w14:paraId="3C759631">
      <w:pPr>
        <w:spacing w:line="200" w:lineRule="exact"/>
        <w:ind w:firstLine="424" w:firstLineChars="177"/>
        <w:rPr>
          <w:rFonts w:ascii="宋体" w:hAnsi="宋体"/>
          <w:color w:val="auto"/>
          <w:highlight w:val="none"/>
        </w:rPr>
      </w:pPr>
    </w:p>
    <w:p w14:paraId="755D6A50">
      <w:pPr>
        <w:spacing w:line="440" w:lineRule="exact"/>
        <w:ind w:firstLine="424" w:firstLineChars="177"/>
        <w:rPr>
          <w:rFonts w:ascii="宋体" w:hAnsi="宋体"/>
          <w:color w:val="auto"/>
          <w:highlight w:val="none"/>
        </w:rPr>
      </w:pPr>
      <w:r>
        <w:rPr>
          <w:rFonts w:hint="eastAsia" w:ascii="宋体" w:hAnsi="宋体"/>
          <w:color w:val="auto"/>
          <w:highlight w:val="none"/>
        </w:rPr>
        <w:t>招标代理机构：</w:t>
      </w:r>
      <w:r>
        <w:rPr>
          <w:rFonts w:hint="eastAsia" w:ascii="宋体" w:hAnsi="宋体"/>
          <w:color w:val="auto"/>
          <w:highlight w:val="none"/>
          <w:u w:val="single"/>
        </w:rPr>
        <w:t>广东建瀚工程管理有限公司</w:t>
      </w:r>
    </w:p>
    <w:p w14:paraId="62CD3C48">
      <w:pPr>
        <w:spacing w:line="440" w:lineRule="exact"/>
        <w:ind w:firstLine="424" w:firstLineChars="177"/>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广州市白云区金沙街道春满街35号2号楼4楼</w:t>
      </w:r>
    </w:p>
    <w:p w14:paraId="3FCD45A0">
      <w:pPr>
        <w:spacing w:line="440" w:lineRule="exact"/>
        <w:ind w:firstLine="424" w:firstLineChars="177"/>
        <w:rPr>
          <w:rFonts w:hint="default" w:ascii="宋体" w:hAnsi="宋体" w:eastAsia="宋体"/>
          <w:color w:val="auto"/>
          <w:highlight w:val="none"/>
          <w:lang w:val="en-US" w:eastAsia="zh-CN"/>
        </w:rPr>
      </w:pPr>
      <w:r>
        <w:rPr>
          <w:rFonts w:hint="eastAsia" w:ascii="宋体" w:hAnsi="宋体"/>
          <w:color w:val="auto"/>
          <w:highlight w:val="none"/>
        </w:rPr>
        <w:t>联系人：邓工     联系电话：020-37871723、15999931226</w:t>
      </w:r>
    </w:p>
    <w:p w14:paraId="17D33928">
      <w:pPr>
        <w:spacing w:line="200" w:lineRule="exact"/>
        <w:ind w:firstLine="424" w:firstLineChars="177"/>
        <w:rPr>
          <w:rFonts w:ascii="宋体" w:hAnsi="宋体"/>
          <w:color w:val="auto"/>
          <w:highlight w:val="none"/>
        </w:rPr>
      </w:pPr>
    </w:p>
    <w:p w14:paraId="72E4F1D4">
      <w:pPr>
        <w:spacing w:line="440" w:lineRule="exact"/>
        <w:ind w:firstLine="424" w:firstLineChars="177"/>
        <w:rPr>
          <w:rFonts w:ascii="宋体" w:hAnsi="宋体"/>
          <w:color w:val="auto"/>
          <w:highlight w:val="none"/>
        </w:rPr>
      </w:pPr>
      <w:r>
        <w:rPr>
          <w:rFonts w:hint="eastAsia" w:ascii="宋体" w:hAnsi="宋体"/>
          <w:color w:val="auto"/>
          <w:highlight w:val="none"/>
        </w:rPr>
        <w:t>招标监督机构：</w:t>
      </w:r>
      <w:r>
        <w:rPr>
          <w:rFonts w:hint="eastAsia" w:ascii="宋体" w:hAnsi="宋体"/>
          <w:color w:val="auto"/>
          <w:highlight w:val="none"/>
          <w:u w:val="single"/>
        </w:rPr>
        <w:t>广州市黄埔区水务局</w:t>
      </w:r>
    </w:p>
    <w:p w14:paraId="57CE8098">
      <w:pPr>
        <w:spacing w:line="440" w:lineRule="exact"/>
        <w:ind w:firstLine="424" w:firstLineChars="177"/>
        <w:rPr>
          <w:rFonts w:ascii="宋体" w:hAnsi="宋体"/>
          <w:color w:val="auto"/>
          <w:highlight w:val="none"/>
        </w:rPr>
      </w:pPr>
      <w:r>
        <w:rPr>
          <w:rFonts w:hint="eastAsia" w:ascii="宋体" w:hAnsi="宋体"/>
          <w:color w:val="auto"/>
          <w:highlight w:val="none"/>
        </w:rPr>
        <w:t>地    址：</w:t>
      </w:r>
      <w:r>
        <w:rPr>
          <w:rFonts w:hint="eastAsia" w:ascii="宋体" w:hAnsi="宋体" w:cs="宋体"/>
          <w:color w:val="auto"/>
          <w:highlight w:val="none"/>
          <w:u w:val="single"/>
        </w:rPr>
        <w:t>广州市黄埔区水西路12号凯达楼B栋2楼210室</w:t>
      </w:r>
    </w:p>
    <w:p w14:paraId="2E1B0C8C">
      <w:pPr>
        <w:spacing w:line="440" w:lineRule="exact"/>
        <w:ind w:firstLine="424" w:firstLineChars="177"/>
        <w:rPr>
          <w:rFonts w:ascii="宋体" w:hAnsi="宋体"/>
          <w:color w:val="auto"/>
          <w:highlight w:val="none"/>
        </w:rPr>
      </w:pPr>
      <w:r>
        <w:rPr>
          <w:rFonts w:hint="eastAsia" w:ascii="宋体" w:hAnsi="宋体"/>
          <w:color w:val="auto"/>
          <w:highlight w:val="none"/>
        </w:rPr>
        <w:t>监督电话：</w:t>
      </w:r>
      <w:r>
        <w:rPr>
          <w:rFonts w:hint="eastAsia" w:ascii="宋体" w:hAnsi="宋体" w:cs="宋体"/>
          <w:color w:val="auto"/>
          <w:highlight w:val="none"/>
          <w:u w:val="single"/>
        </w:rPr>
        <w:t>020-82111879</w:t>
      </w:r>
    </w:p>
    <w:p w14:paraId="5D56063A">
      <w:pPr>
        <w:topLinePunct/>
        <w:spacing w:line="440" w:lineRule="exact"/>
        <w:ind w:right="240" w:firstLine="2880" w:firstLineChars="1200"/>
        <w:rPr>
          <w:rFonts w:hint="eastAsia" w:ascii="宋体" w:hAnsi="宋体"/>
          <w:color w:val="auto"/>
          <w:highlight w:val="none"/>
        </w:rPr>
      </w:pPr>
    </w:p>
    <w:p w14:paraId="7646614A">
      <w:pPr>
        <w:topLinePunct/>
        <w:spacing w:line="440" w:lineRule="exact"/>
        <w:ind w:right="240" w:firstLine="2880" w:firstLineChars="1200"/>
        <w:rPr>
          <w:rFonts w:ascii="宋体" w:hAnsi="宋体"/>
          <w:color w:val="auto"/>
          <w:highlight w:val="none"/>
        </w:rPr>
      </w:pPr>
      <w:r>
        <w:rPr>
          <w:rFonts w:hint="eastAsia" w:ascii="宋体" w:hAnsi="宋体"/>
          <w:color w:val="auto"/>
          <w:highlight w:val="none"/>
        </w:rPr>
        <w:t>招 标 人：广州开发区财政投资建设项目管理中心</w:t>
      </w:r>
    </w:p>
    <w:p w14:paraId="61DAC512">
      <w:pPr>
        <w:topLinePunct/>
        <w:spacing w:line="440" w:lineRule="exact"/>
        <w:ind w:right="240" w:firstLine="2880" w:firstLineChars="1200"/>
        <w:rPr>
          <w:rFonts w:hint="default" w:ascii="宋体" w:hAnsi="宋体" w:eastAsia="宋体"/>
          <w:color w:val="auto"/>
          <w:highlight w:val="none"/>
          <w:lang w:val="en-US" w:eastAsia="zh-CN"/>
        </w:rPr>
      </w:pPr>
      <w:r>
        <w:rPr>
          <w:rFonts w:hint="eastAsia" w:ascii="宋体" w:hAnsi="宋体"/>
          <w:color w:val="auto"/>
          <w:highlight w:val="none"/>
        </w:rPr>
        <w:t>招标代理机构：</w:t>
      </w:r>
      <w:r>
        <w:rPr>
          <w:rFonts w:hint="eastAsia" w:ascii="宋体" w:hAnsi="宋体"/>
          <w:color w:val="auto"/>
          <w:highlight w:val="none"/>
          <w:lang w:val="en-US" w:eastAsia="zh-CN"/>
        </w:rPr>
        <w:t>广东建瀚工程管理有限公司</w:t>
      </w:r>
    </w:p>
    <w:p w14:paraId="37A94EF4">
      <w:pPr>
        <w:topLinePunct/>
        <w:spacing w:line="440" w:lineRule="exact"/>
        <w:ind w:right="240" w:firstLine="2880" w:firstLineChars="1200"/>
        <w:rPr>
          <w:rFonts w:hint="eastAsia" w:ascii="宋体" w:hAnsi="宋体"/>
          <w:color w:val="auto"/>
          <w:highlight w:val="none"/>
        </w:rPr>
      </w:pPr>
      <w:r>
        <w:rPr>
          <w:rFonts w:hint="eastAsia" w:ascii="宋体" w:hAnsi="宋体"/>
          <w:color w:val="auto"/>
          <w:highlight w:val="none"/>
        </w:rPr>
        <w:t>日    期：</w:t>
      </w:r>
      <w:r>
        <w:rPr>
          <w:rFonts w:ascii="宋体" w:hAnsi="宋体"/>
          <w:color w:val="auto"/>
          <w:highlight w:val="none"/>
        </w:rPr>
        <w:t>202</w:t>
      </w:r>
      <w:r>
        <w:rPr>
          <w:rFonts w:hint="eastAsia" w:ascii="宋体" w:hAnsi="宋体"/>
          <w:color w:val="auto"/>
          <w:highlight w:val="none"/>
          <w:lang w:val="en-US" w:eastAsia="zh-CN"/>
        </w:rPr>
        <w:t>5</w:t>
      </w:r>
      <w:r>
        <w:rPr>
          <w:rFonts w:hint="eastAsia" w:ascii="宋体" w:hAnsi="宋体"/>
          <w:color w:val="auto"/>
          <w:highlight w:val="none"/>
        </w:rPr>
        <w:t>年</w:t>
      </w:r>
      <w:r>
        <w:rPr>
          <w:rFonts w:hint="eastAsia" w:ascii="宋体" w:hAnsi="宋体"/>
          <w:color w:val="auto"/>
          <w:highlight w:val="none"/>
          <w:lang w:val="en-US" w:eastAsia="zh-CN"/>
        </w:rPr>
        <w:t>9</w:t>
      </w:r>
      <w:r>
        <w:rPr>
          <w:rFonts w:hint="eastAsia" w:ascii="宋体" w:hAnsi="宋体"/>
          <w:color w:val="auto"/>
          <w:highlight w:val="none"/>
        </w:rPr>
        <w:t>月</w:t>
      </w:r>
      <w:r>
        <w:rPr>
          <w:rFonts w:hint="eastAsia" w:ascii="宋体" w:hAnsi="宋体"/>
          <w:color w:val="auto"/>
          <w:highlight w:val="none"/>
          <w:lang w:val="en-US" w:eastAsia="zh-CN"/>
        </w:rPr>
        <w:t>8</w:t>
      </w:r>
      <w:r>
        <w:rPr>
          <w:rFonts w:hint="eastAsia" w:ascii="宋体" w:hAnsi="宋体"/>
          <w:color w:val="auto"/>
          <w:highlight w:val="none"/>
        </w:rPr>
        <w:t>日</w:t>
      </w:r>
    </w:p>
    <w:p w14:paraId="41C33319">
      <w:pPr>
        <w:topLinePunct w:val="0"/>
        <w:spacing w:line="240" w:lineRule="auto"/>
        <w:ind w:right="0" w:firstLine="0" w:firstLineChars="0"/>
        <w:rPr>
          <w:rFonts w:hint="eastAsia" w:ascii="宋体" w:hAnsi="宋体"/>
          <w:color w:val="auto"/>
          <w:highlight w:val="none"/>
        </w:rPr>
      </w:pPr>
    </w:p>
    <w:p w14:paraId="712D946B">
      <w:pPr>
        <w:pStyle w:val="2"/>
        <w:rPr>
          <w:rFonts w:hint="eastAsia" w:ascii="宋体" w:hAnsi="宋体"/>
          <w:color w:val="auto"/>
          <w:highlight w:val="none"/>
        </w:rPr>
      </w:pPr>
    </w:p>
    <w:p w14:paraId="75155111">
      <w:pPr>
        <w:rPr>
          <w:rFonts w:hint="eastAsia" w:ascii="宋体" w:hAnsi="宋体"/>
          <w:color w:val="auto"/>
          <w:highlight w:val="none"/>
        </w:rPr>
      </w:pPr>
    </w:p>
    <w:p w14:paraId="464AAB56">
      <w:pPr>
        <w:pStyle w:val="2"/>
        <w:rPr>
          <w:rFonts w:hint="eastAsia" w:ascii="宋体" w:hAnsi="宋体"/>
          <w:color w:val="auto"/>
          <w:highlight w:val="none"/>
        </w:rPr>
      </w:pPr>
    </w:p>
    <w:p w14:paraId="3D6CC9CC">
      <w:pPr>
        <w:rPr>
          <w:rFonts w:hint="eastAsia" w:ascii="宋体" w:hAnsi="宋体"/>
          <w:color w:val="auto"/>
          <w:highlight w:val="none"/>
        </w:rPr>
      </w:pPr>
    </w:p>
    <w:p w14:paraId="2791E6F5">
      <w:pPr>
        <w:pStyle w:val="2"/>
        <w:rPr>
          <w:rFonts w:hint="eastAsia" w:ascii="宋体" w:hAnsi="宋体"/>
          <w:color w:val="auto"/>
          <w:highlight w:val="none"/>
        </w:rPr>
      </w:pPr>
    </w:p>
    <w:p w14:paraId="4E8E1091">
      <w:pPr>
        <w:rPr>
          <w:rFonts w:hint="eastAsia" w:ascii="宋体" w:hAnsi="宋体"/>
          <w:color w:val="auto"/>
          <w:highlight w:val="none"/>
        </w:rPr>
      </w:pPr>
    </w:p>
    <w:p w14:paraId="6F37B3B1">
      <w:pPr>
        <w:pStyle w:val="2"/>
        <w:rPr>
          <w:rFonts w:hint="eastAsia" w:ascii="宋体" w:hAnsi="宋体"/>
          <w:color w:val="auto"/>
          <w:highlight w:val="none"/>
        </w:rPr>
      </w:pPr>
    </w:p>
    <w:p w14:paraId="578B89FD">
      <w:pPr>
        <w:rPr>
          <w:rFonts w:hint="eastAsia" w:ascii="宋体" w:hAnsi="宋体"/>
          <w:color w:val="auto"/>
          <w:highlight w:val="none"/>
        </w:rPr>
      </w:pPr>
    </w:p>
    <w:p w14:paraId="324954D1">
      <w:pPr>
        <w:pStyle w:val="2"/>
        <w:rPr>
          <w:rFonts w:hint="eastAsia" w:ascii="宋体" w:hAnsi="宋体"/>
          <w:color w:val="auto"/>
          <w:highlight w:val="none"/>
        </w:rPr>
      </w:pPr>
    </w:p>
    <w:p w14:paraId="147B000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Style w:val="25"/>
          <w:rFonts w:hint="eastAsia" w:ascii="宋体" w:hAnsi="宋体" w:eastAsia="宋体" w:cs="宋体"/>
          <w:b/>
          <w:bCs/>
          <w:i w:val="0"/>
          <w:iCs w:val="0"/>
          <w:caps w:val="0"/>
          <w:color w:val="auto"/>
          <w:spacing w:val="0"/>
          <w:sz w:val="24"/>
          <w:szCs w:val="24"/>
          <w:highlight w:val="none"/>
          <w:u w:val="none"/>
          <w:shd w:val="clear" w:color="auto" w:fill="FFFFFF"/>
        </w:rPr>
      </w:pPr>
      <w:r>
        <w:rPr>
          <w:rStyle w:val="25"/>
          <w:rFonts w:hint="eastAsia" w:ascii="宋体" w:hAnsi="宋体" w:eastAsia="宋体" w:cs="宋体"/>
          <w:b/>
          <w:bCs/>
          <w:i w:val="0"/>
          <w:iCs w:val="0"/>
          <w:caps w:val="0"/>
          <w:color w:val="auto"/>
          <w:spacing w:val="0"/>
          <w:sz w:val="24"/>
          <w:szCs w:val="24"/>
          <w:highlight w:val="none"/>
          <w:u w:val="none"/>
          <w:shd w:val="clear" w:color="auto" w:fill="FFFFFF"/>
        </w:rPr>
        <w:t>附件：</w:t>
      </w:r>
    </w:p>
    <w:p w14:paraId="23D351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Style w:val="25"/>
          <w:rFonts w:hint="eastAsia" w:ascii="宋体" w:hAnsi="宋体" w:eastAsia="宋体" w:cs="宋体"/>
          <w:b/>
          <w:bCs/>
          <w:i w:val="0"/>
          <w:iCs w:val="0"/>
          <w:caps w:val="0"/>
          <w:color w:val="auto"/>
          <w:spacing w:val="0"/>
          <w:sz w:val="24"/>
          <w:szCs w:val="24"/>
          <w:highlight w:val="none"/>
          <w:u w:val="none"/>
          <w:shd w:val="clear" w:color="auto" w:fill="FFFFFF"/>
        </w:rPr>
      </w:pPr>
    </w:p>
    <w:p w14:paraId="43B4C92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eastAsia="宋体" w:cs="宋体"/>
          <w:i w:val="0"/>
          <w:iCs w:val="0"/>
          <w:caps w:val="0"/>
          <w:color w:val="auto"/>
          <w:spacing w:val="0"/>
          <w:sz w:val="24"/>
          <w:szCs w:val="24"/>
          <w:highlight w:val="none"/>
          <w:u w:val="none"/>
        </w:rPr>
      </w:pPr>
      <w:r>
        <w:rPr>
          <w:rStyle w:val="25"/>
          <w:rFonts w:hint="eastAsia" w:ascii="宋体" w:hAnsi="宋体" w:eastAsia="宋体" w:cs="宋体"/>
          <w:b/>
          <w:bCs/>
          <w:i w:val="0"/>
          <w:iCs w:val="0"/>
          <w:caps w:val="0"/>
          <w:color w:val="auto"/>
          <w:spacing w:val="0"/>
          <w:sz w:val="24"/>
          <w:szCs w:val="24"/>
          <w:highlight w:val="none"/>
          <w:u w:val="none"/>
          <w:shd w:val="clear" w:color="auto" w:fill="FFFFFF"/>
        </w:rPr>
        <w:t>《被招标人拒绝投标的企业名单》</w:t>
      </w:r>
    </w:p>
    <w:p w14:paraId="7C43E07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shd w:val="clear" w:color="auto" w:fill="FFFFFF"/>
        </w:rPr>
        <w:t> </w:t>
      </w:r>
    </w:p>
    <w:tbl>
      <w:tblPr>
        <w:tblStyle w:val="23"/>
        <w:tblW w:w="90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73"/>
        <w:gridCol w:w="3495"/>
        <w:gridCol w:w="4769"/>
      </w:tblGrid>
      <w:tr w14:paraId="5F8A1D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4" w:hRule="atLeast"/>
          <w:jc w:val="center"/>
        </w:trPr>
        <w:tc>
          <w:tcPr>
            <w:tcW w:w="773" w:type="dxa"/>
            <w:tcBorders>
              <w:top w:val="single" w:color="auto" w:sz="8" w:space="0"/>
              <w:left w:val="single" w:color="auto" w:sz="8" w:space="0"/>
              <w:bottom w:val="outset" w:color="auto" w:sz="6" w:space="0"/>
              <w:right w:val="single" w:color="auto" w:sz="8" w:space="0"/>
            </w:tcBorders>
            <w:noWrap w:val="0"/>
            <w:tcMar>
              <w:top w:w="0" w:type="dxa"/>
              <w:left w:w="108" w:type="dxa"/>
              <w:bottom w:w="0" w:type="dxa"/>
              <w:right w:w="108" w:type="dxa"/>
            </w:tcMar>
            <w:vAlign w:val="center"/>
          </w:tcPr>
          <w:p w14:paraId="77A59AD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highlight w:val="none"/>
                <w:u w:val="none"/>
              </w:rPr>
            </w:pPr>
            <w:r>
              <w:rPr>
                <w:rStyle w:val="25"/>
                <w:rFonts w:hint="eastAsia" w:ascii="宋体" w:hAnsi="宋体" w:eastAsia="宋体" w:cs="宋体"/>
                <w:b/>
                <w:bCs/>
                <w:color w:val="auto"/>
                <w:sz w:val="24"/>
                <w:szCs w:val="24"/>
                <w:highlight w:val="none"/>
                <w:u w:val="none"/>
              </w:rPr>
              <w:t>序号</w:t>
            </w:r>
          </w:p>
        </w:tc>
        <w:tc>
          <w:tcPr>
            <w:tcW w:w="3495" w:type="dxa"/>
            <w:tcBorders>
              <w:top w:val="single" w:color="auto" w:sz="8" w:space="0"/>
              <w:left w:val="nil"/>
              <w:bottom w:val="outset" w:color="auto" w:sz="6" w:space="0"/>
              <w:right w:val="single" w:color="auto" w:sz="8" w:space="0"/>
            </w:tcBorders>
            <w:noWrap w:val="0"/>
            <w:tcMar>
              <w:top w:w="0" w:type="dxa"/>
              <w:left w:w="108" w:type="dxa"/>
              <w:bottom w:w="0" w:type="dxa"/>
              <w:right w:w="108" w:type="dxa"/>
            </w:tcMar>
            <w:vAlign w:val="center"/>
          </w:tcPr>
          <w:p w14:paraId="7D7AFF5E">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highlight w:val="none"/>
                <w:u w:val="none"/>
              </w:rPr>
            </w:pPr>
            <w:r>
              <w:rPr>
                <w:rStyle w:val="25"/>
                <w:rFonts w:hint="eastAsia" w:ascii="宋体" w:hAnsi="宋体" w:eastAsia="宋体" w:cs="宋体"/>
                <w:b/>
                <w:bCs/>
                <w:color w:val="auto"/>
                <w:sz w:val="24"/>
                <w:szCs w:val="24"/>
                <w:highlight w:val="none"/>
                <w:u w:val="none"/>
              </w:rPr>
              <w:t>企业名称</w:t>
            </w:r>
          </w:p>
        </w:tc>
        <w:tc>
          <w:tcPr>
            <w:tcW w:w="4769" w:type="dxa"/>
            <w:tcBorders>
              <w:top w:val="single" w:color="auto" w:sz="8" w:space="0"/>
              <w:left w:val="nil"/>
              <w:bottom w:val="outset" w:color="auto" w:sz="6" w:space="0"/>
              <w:right w:val="single" w:color="auto" w:sz="8" w:space="0"/>
            </w:tcBorders>
            <w:noWrap w:val="0"/>
            <w:tcMar>
              <w:top w:w="0" w:type="dxa"/>
              <w:left w:w="108" w:type="dxa"/>
              <w:bottom w:w="0" w:type="dxa"/>
              <w:right w:w="108" w:type="dxa"/>
            </w:tcMar>
            <w:vAlign w:val="center"/>
          </w:tcPr>
          <w:p w14:paraId="7B0A4CC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highlight w:val="none"/>
                <w:u w:val="none"/>
              </w:rPr>
            </w:pPr>
            <w:r>
              <w:rPr>
                <w:rStyle w:val="25"/>
                <w:rFonts w:hint="eastAsia" w:ascii="宋体" w:hAnsi="宋体" w:eastAsia="宋体" w:cs="宋体"/>
                <w:b/>
                <w:bCs/>
                <w:color w:val="auto"/>
                <w:sz w:val="24"/>
                <w:szCs w:val="24"/>
                <w:highlight w:val="none"/>
                <w:u w:val="none"/>
              </w:rPr>
              <w:t>限制投标期限</w:t>
            </w:r>
          </w:p>
        </w:tc>
      </w:tr>
      <w:tr w14:paraId="49FEC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80" w:hRule="atLeast"/>
          <w:jc w:val="center"/>
        </w:trPr>
        <w:tc>
          <w:tcPr>
            <w:tcW w:w="773" w:type="dxa"/>
            <w:tcBorders>
              <w:top w:val="outset" w:color="auto" w:sz="6" w:space="0"/>
              <w:left w:val="outset" w:color="auto" w:sz="6" w:space="0"/>
              <w:bottom w:val="outset" w:color="auto" w:sz="6" w:space="0"/>
              <w:right w:val="outset" w:color="auto" w:sz="6" w:space="0"/>
            </w:tcBorders>
            <w:noWrap w:val="0"/>
            <w:tcMar>
              <w:top w:w="0" w:type="dxa"/>
              <w:left w:w="108" w:type="dxa"/>
              <w:bottom w:w="0" w:type="dxa"/>
              <w:right w:w="108" w:type="dxa"/>
            </w:tcMar>
            <w:vAlign w:val="center"/>
          </w:tcPr>
          <w:p w14:paraId="0F3B4570">
            <w:pPr>
              <w:keepNext w:val="0"/>
              <w:keepLines w:val="0"/>
              <w:suppressLineNumbers w:val="0"/>
              <w:adjustRightInd w:val="0"/>
              <w:snapToGrid w:val="0"/>
              <w:spacing w:before="0" w:beforeAutospacing="0" w:after="0" w:afterAutospacing="0" w:line="276" w:lineRule="auto"/>
              <w:ind w:left="0" w:leftChars="0" w:right="0" w:rightChars="0"/>
              <w:jc w:val="center"/>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3495" w:type="dxa"/>
            <w:tcBorders>
              <w:top w:val="outset" w:color="auto" w:sz="6" w:space="0"/>
              <w:left w:val="outset" w:color="auto" w:sz="6" w:space="0"/>
              <w:bottom w:val="outset" w:color="auto" w:sz="6" w:space="0"/>
              <w:right w:val="outset" w:color="auto" w:sz="6" w:space="0"/>
            </w:tcBorders>
            <w:noWrap w:val="0"/>
            <w:tcMar>
              <w:top w:w="0" w:type="dxa"/>
              <w:left w:w="108" w:type="dxa"/>
              <w:bottom w:w="0" w:type="dxa"/>
              <w:right w:w="108" w:type="dxa"/>
            </w:tcMar>
            <w:vAlign w:val="center"/>
          </w:tcPr>
          <w:p w14:paraId="6A0DA005">
            <w:pPr>
              <w:keepNext w:val="0"/>
              <w:keepLines w:val="0"/>
              <w:suppressLineNumbers w:val="0"/>
              <w:adjustRightInd w:val="0"/>
              <w:snapToGrid w:val="0"/>
              <w:spacing w:before="0" w:beforeAutospacing="0" w:after="0" w:afterAutospacing="0" w:line="276" w:lineRule="auto"/>
              <w:ind w:left="0" w:right="0"/>
              <w:jc w:val="center"/>
              <w:outlineLvl w:val="1"/>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广东华隧建设集团股份有限公司</w:t>
            </w:r>
          </w:p>
        </w:tc>
        <w:tc>
          <w:tcPr>
            <w:tcW w:w="4769" w:type="dxa"/>
            <w:tcBorders>
              <w:top w:val="outset" w:color="auto" w:sz="6" w:space="0"/>
              <w:left w:val="outset" w:color="auto" w:sz="6" w:space="0"/>
              <w:bottom w:val="outset" w:color="auto" w:sz="6" w:space="0"/>
              <w:right w:val="outset" w:color="auto" w:sz="6" w:space="0"/>
            </w:tcBorders>
            <w:noWrap w:val="0"/>
            <w:tcMar>
              <w:top w:w="0" w:type="dxa"/>
              <w:left w:w="108" w:type="dxa"/>
              <w:bottom w:w="0" w:type="dxa"/>
              <w:right w:w="108" w:type="dxa"/>
            </w:tcMar>
            <w:vAlign w:val="center"/>
          </w:tcPr>
          <w:p w14:paraId="51E292A5">
            <w:pPr>
              <w:keepNext w:val="0"/>
              <w:keepLines w:val="0"/>
              <w:suppressLineNumbers w:val="0"/>
              <w:tabs>
                <w:tab w:val="left" w:pos="4200"/>
              </w:tabs>
              <w:adjustRightInd w:val="0"/>
              <w:snapToGrid w:val="0"/>
              <w:spacing w:before="0" w:beforeAutospacing="0" w:after="0" w:afterAutospacing="0" w:line="276" w:lineRule="auto"/>
              <w:ind w:left="0" w:right="0"/>
              <w:jc w:val="center"/>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自2025年7月2日起至2025年10月1日</w:t>
            </w:r>
          </w:p>
        </w:tc>
      </w:tr>
    </w:tbl>
    <w:p w14:paraId="470C236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highlight w:val="none"/>
          <w:u w:val="none"/>
          <w:shd w:val="clear" w:color="auto" w:fill="FFFFFF"/>
        </w:rPr>
      </w:pPr>
    </w:p>
    <w:p w14:paraId="5C2D29D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4"/>
          <w:szCs w:val="24"/>
          <w:highlight w:val="none"/>
          <w:u w:val="none"/>
          <w:shd w:val="clear" w:color="auto" w:fill="FFFFFF"/>
        </w:rPr>
        <w:t>注：以上限制投标时间期限以截标时间为准。</w:t>
      </w:r>
    </w:p>
    <w:p w14:paraId="6D556B85">
      <w:pPr>
        <w:pStyle w:val="2"/>
        <w:rPr>
          <w:rFonts w:hint="eastAsia"/>
        </w:rPr>
      </w:pPr>
    </w:p>
    <w:sectPr>
      <w:headerReference r:id="rId3" w:type="default"/>
      <w:footerReference r:id="rId4" w:type="default"/>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41889"/>
      <w:docPartObj>
        <w:docPartGallery w:val="autotext"/>
      </w:docPartObj>
    </w:sdtPr>
    <w:sdtContent>
      <w:p w14:paraId="67BCD52A">
        <w:pPr>
          <w:pStyle w:val="16"/>
          <w:jc w:val="center"/>
        </w:pPr>
        <w:r>
          <w:fldChar w:fldCharType="begin"/>
        </w:r>
        <w:r>
          <w:instrText xml:space="preserve">PAGE   \* MERGEFORMAT</w:instrText>
        </w:r>
        <w:r>
          <w:fldChar w:fldCharType="separate"/>
        </w:r>
        <w:r>
          <w:rPr>
            <w:lang w:val="zh-CN"/>
          </w:rPr>
          <w:t>117</w:t>
        </w:r>
        <w:r>
          <w:fldChar w:fldCharType="end"/>
        </w:r>
      </w:p>
    </w:sdtContent>
  </w:sdt>
  <w:p w14:paraId="15E66AAC">
    <w:pPr>
      <w:pStyle w:val="12"/>
      <w:kinsoku w:val="0"/>
      <w:overflowPunct w:val="0"/>
      <w:spacing w:line="14" w:lineRule="auto"/>
      <w:ind w:left="0"/>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D45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A05DB"/>
    <w:multiLevelType w:val="singleLevel"/>
    <w:tmpl w:val="00DA05DB"/>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00005C1"/>
    <w:rsid w:val="000041AC"/>
    <w:rsid w:val="00006220"/>
    <w:rsid w:val="00010B82"/>
    <w:rsid w:val="00020DF9"/>
    <w:rsid w:val="000242D8"/>
    <w:rsid w:val="000365FF"/>
    <w:rsid w:val="00041F3A"/>
    <w:rsid w:val="00044BA3"/>
    <w:rsid w:val="00044F98"/>
    <w:rsid w:val="000450EB"/>
    <w:rsid w:val="00045D60"/>
    <w:rsid w:val="000470D7"/>
    <w:rsid w:val="00050AC1"/>
    <w:rsid w:val="000576AF"/>
    <w:rsid w:val="0005796D"/>
    <w:rsid w:val="000613BD"/>
    <w:rsid w:val="000615CE"/>
    <w:rsid w:val="0006462D"/>
    <w:rsid w:val="00066754"/>
    <w:rsid w:val="00074BAA"/>
    <w:rsid w:val="000760AE"/>
    <w:rsid w:val="00081210"/>
    <w:rsid w:val="000819B9"/>
    <w:rsid w:val="00081C24"/>
    <w:rsid w:val="00094E82"/>
    <w:rsid w:val="00096812"/>
    <w:rsid w:val="000A578D"/>
    <w:rsid w:val="000B009F"/>
    <w:rsid w:val="000B043C"/>
    <w:rsid w:val="000C01EF"/>
    <w:rsid w:val="000D777F"/>
    <w:rsid w:val="000E6191"/>
    <w:rsid w:val="000F229E"/>
    <w:rsid w:val="000F58D6"/>
    <w:rsid w:val="000F76C7"/>
    <w:rsid w:val="000F78C4"/>
    <w:rsid w:val="00101ACA"/>
    <w:rsid w:val="00103B41"/>
    <w:rsid w:val="001068E9"/>
    <w:rsid w:val="00111A70"/>
    <w:rsid w:val="001146CF"/>
    <w:rsid w:val="00121AF8"/>
    <w:rsid w:val="001230F2"/>
    <w:rsid w:val="001307FA"/>
    <w:rsid w:val="001310A4"/>
    <w:rsid w:val="00142CE9"/>
    <w:rsid w:val="00144E84"/>
    <w:rsid w:val="001450A3"/>
    <w:rsid w:val="001452F1"/>
    <w:rsid w:val="0014747E"/>
    <w:rsid w:val="00147D3B"/>
    <w:rsid w:val="001513AA"/>
    <w:rsid w:val="0015576B"/>
    <w:rsid w:val="001570BA"/>
    <w:rsid w:val="00157E38"/>
    <w:rsid w:val="0016155D"/>
    <w:rsid w:val="00165A6F"/>
    <w:rsid w:val="00166C5C"/>
    <w:rsid w:val="00167DD5"/>
    <w:rsid w:val="00172A27"/>
    <w:rsid w:val="00177325"/>
    <w:rsid w:val="00185A33"/>
    <w:rsid w:val="00192F89"/>
    <w:rsid w:val="0019487D"/>
    <w:rsid w:val="001A132E"/>
    <w:rsid w:val="001A142A"/>
    <w:rsid w:val="001A1BCC"/>
    <w:rsid w:val="001A2620"/>
    <w:rsid w:val="001A2784"/>
    <w:rsid w:val="001A7755"/>
    <w:rsid w:val="001B195A"/>
    <w:rsid w:val="001B70A5"/>
    <w:rsid w:val="001B7B30"/>
    <w:rsid w:val="001B7F85"/>
    <w:rsid w:val="001C638B"/>
    <w:rsid w:val="001C722B"/>
    <w:rsid w:val="001D05A2"/>
    <w:rsid w:val="001D0AE1"/>
    <w:rsid w:val="001D1737"/>
    <w:rsid w:val="001E62D4"/>
    <w:rsid w:val="001F4482"/>
    <w:rsid w:val="001F4F99"/>
    <w:rsid w:val="00206216"/>
    <w:rsid w:val="00214DEF"/>
    <w:rsid w:val="002218B7"/>
    <w:rsid w:val="00236EAC"/>
    <w:rsid w:val="00240F78"/>
    <w:rsid w:val="00244437"/>
    <w:rsid w:val="002467D5"/>
    <w:rsid w:val="00247502"/>
    <w:rsid w:val="00255554"/>
    <w:rsid w:val="002603DE"/>
    <w:rsid w:val="00261E55"/>
    <w:rsid w:val="00263D62"/>
    <w:rsid w:val="002672C0"/>
    <w:rsid w:val="00267A4C"/>
    <w:rsid w:val="002711D5"/>
    <w:rsid w:val="0027419A"/>
    <w:rsid w:val="00277267"/>
    <w:rsid w:val="00284021"/>
    <w:rsid w:val="002940E2"/>
    <w:rsid w:val="0029459D"/>
    <w:rsid w:val="00295916"/>
    <w:rsid w:val="002A2EC4"/>
    <w:rsid w:val="002A6538"/>
    <w:rsid w:val="002B1FAB"/>
    <w:rsid w:val="002B618F"/>
    <w:rsid w:val="002C3C39"/>
    <w:rsid w:val="002C6D08"/>
    <w:rsid w:val="002C7087"/>
    <w:rsid w:val="002D04DC"/>
    <w:rsid w:val="002D33FB"/>
    <w:rsid w:val="002D45D3"/>
    <w:rsid w:val="002E6D48"/>
    <w:rsid w:val="00300801"/>
    <w:rsid w:val="0030402F"/>
    <w:rsid w:val="00305695"/>
    <w:rsid w:val="00313F6C"/>
    <w:rsid w:val="0031560D"/>
    <w:rsid w:val="00324A75"/>
    <w:rsid w:val="003435B9"/>
    <w:rsid w:val="00347399"/>
    <w:rsid w:val="00351EA6"/>
    <w:rsid w:val="003563AE"/>
    <w:rsid w:val="00362653"/>
    <w:rsid w:val="00364EA5"/>
    <w:rsid w:val="003734F3"/>
    <w:rsid w:val="003735E5"/>
    <w:rsid w:val="0037701E"/>
    <w:rsid w:val="00380215"/>
    <w:rsid w:val="00381906"/>
    <w:rsid w:val="0039199D"/>
    <w:rsid w:val="003919FB"/>
    <w:rsid w:val="00392308"/>
    <w:rsid w:val="00392856"/>
    <w:rsid w:val="00393FE7"/>
    <w:rsid w:val="00394166"/>
    <w:rsid w:val="0039605C"/>
    <w:rsid w:val="003A3267"/>
    <w:rsid w:val="003B3D35"/>
    <w:rsid w:val="003C2C03"/>
    <w:rsid w:val="003C44EE"/>
    <w:rsid w:val="003C6503"/>
    <w:rsid w:val="003C65C7"/>
    <w:rsid w:val="003D1A06"/>
    <w:rsid w:val="003D362B"/>
    <w:rsid w:val="003D3EB3"/>
    <w:rsid w:val="003D54A8"/>
    <w:rsid w:val="003D6CA8"/>
    <w:rsid w:val="003D6D09"/>
    <w:rsid w:val="003E1BA0"/>
    <w:rsid w:val="003E60A7"/>
    <w:rsid w:val="003E7609"/>
    <w:rsid w:val="003E775E"/>
    <w:rsid w:val="003F17ED"/>
    <w:rsid w:val="003F4DAB"/>
    <w:rsid w:val="0040012E"/>
    <w:rsid w:val="00401CCE"/>
    <w:rsid w:val="00406E30"/>
    <w:rsid w:val="00421492"/>
    <w:rsid w:val="00421A93"/>
    <w:rsid w:val="0042754C"/>
    <w:rsid w:val="00431DB0"/>
    <w:rsid w:val="004514A3"/>
    <w:rsid w:val="00452824"/>
    <w:rsid w:val="004534A0"/>
    <w:rsid w:val="004557FD"/>
    <w:rsid w:val="00466A23"/>
    <w:rsid w:val="00466BD4"/>
    <w:rsid w:val="00467401"/>
    <w:rsid w:val="004718C2"/>
    <w:rsid w:val="00472568"/>
    <w:rsid w:val="00482F5F"/>
    <w:rsid w:val="004840D0"/>
    <w:rsid w:val="00485A9C"/>
    <w:rsid w:val="00492446"/>
    <w:rsid w:val="004B1AE8"/>
    <w:rsid w:val="004B325F"/>
    <w:rsid w:val="004B41F6"/>
    <w:rsid w:val="004B663D"/>
    <w:rsid w:val="004C3A3A"/>
    <w:rsid w:val="004D0B6E"/>
    <w:rsid w:val="004D0D6D"/>
    <w:rsid w:val="004E07EB"/>
    <w:rsid w:val="004E4324"/>
    <w:rsid w:val="004E5E44"/>
    <w:rsid w:val="004F102F"/>
    <w:rsid w:val="004F29D5"/>
    <w:rsid w:val="004F43E8"/>
    <w:rsid w:val="00507845"/>
    <w:rsid w:val="005114DE"/>
    <w:rsid w:val="005122C7"/>
    <w:rsid w:val="00514E2C"/>
    <w:rsid w:val="0051658E"/>
    <w:rsid w:val="00516D34"/>
    <w:rsid w:val="005228D6"/>
    <w:rsid w:val="00525F45"/>
    <w:rsid w:val="00526267"/>
    <w:rsid w:val="00533EF0"/>
    <w:rsid w:val="0054641A"/>
    <w:rsid w:val="0055408D"/>
    <w:rsid w:val="00557D84"/>
    <w:rsid w:val="0056730C"/>
    <w:rsid w:val="0057007A"/>
    <w:rsid w:val="005721DA"/>
    <w:rsid w:val="0057339A"/>
    <w:rsid w:val="0057771D"/>
    <w:rsid w:val="00577913"/>
    <w:rsid w:val="0058183D"/>
    <w:rsid w:val="00582A31"/>
    <w:rsid w:val="00592D71"/>
    <w:rsid w:val="00596C51"/>
    <w:rsid w:val="005B0BA2"/>
    <w:rsid w:val="005B1716"/>
    <w:rsid w:val="005B4301"/>
    <w:rsid w:val="005B639B"/>
    <w:rsid w:val="005E2AFB"/>
    <w:rsid w:val="005F00A4"/>
    <w:rsid w:val="005F0593"/>
    <w:rsid w:val="005F4D37"/>
    <w:rsid w:val="005F4D86"/>
    <w:rsid w:val="005F6C36"/>
    <w:rsid w:val="00603E13"/>
    <w:rsid w:val="00604C91"/>
    <w:rsid w:val="00607A11"/>
    <w:rsid w:val="00615A52"/>
    <w:rsid w:val="00617B07"/>
    <w:rsid w:val="00625602"/>
    <w:rsid w:val="00633401"/>
    <w:rsid w:val="006347A7"/>
    <w:rsid w:val="00635FE1"/>
    <w:rsid w:val="006367F8"/>
    <w:rsid w:val="006404BF"/>
    <w:rsid w:val="00640D66"/>
    <w:rsid w:val="00642693"/>
    <w:rsid w:val="00646248"/>
    <w:rsid w:val="00655FB0"/>
    <w:rsid w:val="00662AC4"/>
    <w:rsid w:val="006663F5"/>
    <w:rsid w:val="006670A6"/>
    <w:rsid w:val="006671AB"/>
    <w:rsid w:val="00667726"/>
    <w:rsid w:val="00672C6C"/>
    <w:rsid w:val="00675051"/>
    <w:rsid w:val="006776A1"/>
    <w:rsid w:val="00677BB7"/>
    <w:rsid w:val="00682911"/>
    <w:rsid w:val="00691BAD"/>
    <w:rsid w:val="006A51E6"/>
    <w:rsid w:val="006C195A"/>
    <w:rsid w:val="006C2CD3"/>
    <w:rsid w:val="006C5C02"/>
    <w:rsid w:val="006C63DE"/>
    <w:rsid w:val="006D1BCD"/>
    <w:rsid w:val="006D2BC3"/>
    <w:rsid w:val="006E3672"/>
    <w:rsid w:val="006F0B5D"/>
    <w:rsid w:val="006F136D"/>
    <w:rsid w:val="006F1E88"/>
    <w:rsid w:val="006F56BE"/>
    <w:rsid w:val="00700137"/>
    <w:rsid w:val="007058A6"/>
    <w:rsid w:val="00705B41"/>
    <w:rsid w:val="0070662C"/>
    <w:rsid w:val="00707030"/>
    <w:rsid w:val="00714FA4"/>
    <w:rsid w:val="007160BB"/>
    <w:rsid w:val="00716DEB"/>
    <w:rsid w:val="00720905"/>
    <w:rsid w:val="00725DD5"/>
    <w:rsid w:val="0073042E"/>
    <w:rsid w:val="007342C8"/>
    <w:rsid w:val="00734B60"/>
    <w:rsid w:val="0074121F"/>
    <w:rsid w:val="00741E06"/>
    <w:rsid w:val="007447F1"/>
    <w:rsid w:val="00744B34"/>
    <w:rsid w:val="00745BE0"/>
    <w:rsid w:val="00746842"/>
    <w:rsid w:val="00755711"/>
    <w:rsid w:val="00763F6E"/>
    <w:rsid w:val="00764E01"/>
    <w:rsid w:val="00771FDC"/>
    <w:rsid w:val="007746DE"/>
    <w:rsid w:val="00775226"/>
    <w:rsid w:val="00775D29"/>
    <w:rsid w:val="00777EB6"/>
    <w:rsid w:val="007802BE"/>
    <w:rsid w:val="007812D6"/>
    <w:rsid w:val="00790628"/>
    <w:rsid w:val="00791D84"/>
    <w:rsid w:val="007A7CF6"/>
    <w:rsid w:val="007B7BEC"/>
    <w:rsid w:val="007D1386"/>
    <w:rsid w:val="007D3D02"/>
    <w:rsid w:val="007D686A"/>
    <w:rsid w:val="007E160C"/>
    <w:rsid w:val="007E19CE"/>
    <w:rsid w:val="007E7994"/>
    <w:rsid w:val="007F51EC"/>
    <w:rsid w:val="00800462"/>
    <w:rsid w:val="0082156A"/>
    <w:rsid w:val="00823DB2"/>
    <w:rsid w:val="008300A1"/>
    <w:rsid w:val="00830794"/>
    <w:rsid w:val="00835DDC"/>
    <w:rsid w:val="0084094A"/>
    <w:rsid w:val="00843A58"/>
    <w:rsid w:val="00843AED"/>
    <w:rsid w:val="00844F36"/>
    <w:rsid w:val="008472D4"/>
    <w:rsid w:val="008475F6"/>
    <w:rsid w:val="00852C98"/>
    <w:rsid w:val="008536C1"/>
    <w:rsid w:val="00853ECD"/>
    <w:rsid w:val="00854FF4"/>
    <w:rsid w:val="00855671"/>
    <w:rsid w:val="00867385"/>
    <w:rsid w:val="0086788F"/>
    <w:rsid w:val="008731C0"/>
    <w:rsid w:val="0087706B"/>
    <w:rsid w:val="00880823"/>
    <w:rsid w:val="0088712E"/>
    <w:rsid w:val="008873CF"/>
    <w:rsid w:val="00897AE6"/>
    <w:rsid w:val="008A1309"/>
    <w:rsid w:val="008A25FD"/>
    <w:rsid w:val="008A66B3"/>
    <w:rsid w:val="008A7CA4"/>
    <w:rsid w:val="008B0863"/>
    <w:rsid w:val="008B09BA"/>
    <w:rsid w:val="008B6877"/>
    <w:rsid w:val="008B7056"/>
    <w:rsid w:val="008C177D"/>
    <w:rsid w:val="008C589D"/>
    <w:rsid w:val="008E45D7"/>
    <w:rsid w:val="008F4499"/>
    <w:rsid w:val="008F6168"/>
    <w:rsid w:val="009024F9"/>
    <w:rsid w:val="0090368B"/>
    <w:rsid w:val="00903A3C"/>
    <w:rsid w:val="009074F2"/>
    <w:rsid w:val="009077E3"/>
    <w:rsid w:val="00907CF6"/>
    <w:rsid w:val="009126C8"/>
    <w:rsid w:val="009154ED"/>
    <w:rsid w:val="00916ED4"/>
    <w:rsid w:val="00922560"/>
    <w:rsid w:val="009229C5"/>
    <w:rsid w:val="00923192"/>
    <w:rsid w:val="00924011"/>
    <w:rsid w:val="00924742"/>
    <w:rsid w:val="009267B2"/>
    <w:rsid w:val="0092798A"/>
    <w:rsid w:val="0093646C"/>
    <w:rsid w:val="0094576E"/>
    <w:rsid w:val="009706AD"/>
    <w:rsid w:val="0098004D"/>
    <w:rsid w:val="009819C6"/>
    <w:rsid w:val="00981CE8"/>
    <w:rsid w:val="00992DC5"/>
    <w:rsid w:val="00996E90"/>
    <w:rsid w:val="009A3286"/>
    <w:rsid w:val="009A4B03"/>
    <w:rsid w:val="009B01E6"/>
    <w:rsid w:val="009B6F2F"/>
    <w:rsid w:val="009C1C4B"/>
    <w:rsid w:val="009C756D"/>
    <w:rsid w:val="009C7DF8"/>
    <w:rsid w:val="009D000A"/>
    <w:rsid w:val="009D3E24"/>
    <w:rsid w:val="009D68FE"/>
    <w:rsid w:val="009D7885"/>
    <w:rsid w:val="009F020E"/>
    <w:rsid w:val="009F4564"/>
    <w:rsid w:val="00A03EF7"/>
    <w:rsid w:val="00A0664F"/>
    <w:rsid w:val="00A17D2F"/>
    <w:rsid w:val="00A20BB4"/>
    <w:rsid w:val="00A27C32"/>
    <w:rsid w:val="00A30593"/>
    <w:rsid w:val="00A341E5"/>
    <w:rsid w:val="00A42C47"/>
    <w:rsid w:val="00A5102C"/>
    <w:rsid w:val="00A53BA1"/>
    <w:rsid w:val="00A66C34"/>
    <w:rsid w:val="00A901D1"/>
    <w:rsid w:val="00A9624B"/>
    <w:rsid w:val="00AA166C"/>
    <w:rsid w:val="00AA3D7D"/>
    <w:rsid w:val="00AB31ED"/>
    <w:rsid w:val="00AB4FB4"/>
    <w:rsid w:val="00AB6A82"/>
    <w:rsid w:val="00AB6F32"/>
    <w:rsid w:val="00AC2908"/>
    <w:rsid w:val="00AD3E8D"/>
    <w:rsid w:val="00AD728A"/>
    <w:rsid w:val="00AE0E01"/>
    <w:rsid w:val="00AE30F3"/>
    <w:rsid w:val="00AE4926"/>
    <w:rsid w:val="00AE5FC5"/>
    <w:rsid w:val="00AE6216"/>
    <w:rsid w:val="00AF1302"/>
    <w:rsid w:val="00AF2725"/>
    <w:rsid w:val="00AF3CD5"/>
    <w:rsid w:val="00AF6CA2"/>
    <w:rsid w:val="00AF6CF9"/>
    <w:rsid w:val="00B024EE"/>
    <w:rsid w:val="00B2249A"/>
    <w:rsid w:val="00B25270"/>
    <w:rsid w:val="00B2704E"/>
    <w:rsid w:val="00B32102"/>
    <w:rsid w:val="00B342CF"/>
    <w:rsid w:val="00B35641"/>
    <w:rsid w:val="00B432F4"/>
    <w:rsid w:val="00B44AEA"/>
    <w:rsid w:val="00B44EE9"/>
    <w:rsid w:val="00B600B1"/>
    <w:rsid w:val="00B67A13"/>
    <w:rsid w:val="00B81DD7"/>
    <w:rsid w:val="00B96570"/>
    <w:rsid w:val="00BA36CA"/>
    <w:rsid w:val="00BB13B1"/>
    <w:rsid w:val="00BB4DE4"/>
    <w:rsid w:val="00BB6448"/>
    <w:rsid w:val="00BB7141"/>
    <w:rsid w:val="00BC082D"/>
    <w:rsid w:val="00BC1C6A"/>
    <w:rsid w:val="00BC2581"/>
    <w:rsid w:val="00BC42D7"/>
    <w:rsid w:val="00BC4B70"/>
    <w:rsid w:val="00BC7FCB"/>
    <w:rsid w:val="00BD1A2D"/>
    <w:rsid w:val="00BD5279"/>
    <w:rsid w:val="00BD791B"/>
    <w:rsid w:val="00BE0642"/>
    <w:rsid w:val="00BE1AB3"/>
    <w:rsid w:val="00BE504C"/>
    <w:rsid w:val="00BF3EEE"/>
    <w:rsid w:val="00C0666D"/>
    <w:rsid w:val="00C13056"/>
    <w:rsid w:val="00C239D6"/>
    <w:rsid w:val="00C23CFD"/>
    <w:rsid w:val="00C30E59"/>
    <w:rsid w:val="00C325EB"/>
    <w:rsid w:val="00C34D58"/>
    <w:rsid w:val="00C36603"/>
    <w:rsid w:val="00C37B5B"/>
    <w:rsid w:val="00C408DD"/>
    <w:rsid w:val="00C41448"/>
    <w:rsid w:val="00C43658"/>
    <w:rsid w:val="00C47493"/>
    <w:rsid w:val="00C608A3"/>
    <w:rsid w:val="00C63468"/>
    <w:rsid w:val="00C718C4"/>
    <w:rsid w:val="00C71A8E"/>
    <w:rsid w:val="00C80B18"/>
    <w:rsid w:val="00C81638"/>
    <w:rsid w:val="00C91B8E"/>
    <w:rsid w:val="00C96164"/>
    <w:rsid w:val="00CA7770"/>
    <w:rsid w:val="00CB4369"/>
    <w:rsid w:val="00CB4E75"/>
    <w:rsid w:val="00CB6357"/>
    <w:rsid w:val="00CB72AE"/>
    <w:rsid w:val="00CC71B4"/>
    <w:rsid w:val="00CC79EF"/>
    <w:rsid w:val="00CE5BE0"/>
    <w:rsid w:val="00CF2012"/>
    <w:rsid w:val="00CF2F21"/>
    <w:rsid w:val="00CF4F62"/>
    <w:rsid w:val="00CF59FA"/>
    <w:rsid w:val="00D00971"/>
    <w:rsid w:val="00D11617"/>
    <w:rsid w:val="00D141FA"/>
    <w:rsid w:val="00D1444A"/>
    <w:rsid w:val="00D15F7D"/>
    <w:rsid w:val="00D27B79"/>
    <w:rsid w:val="00D27E34"/>
    <w:rsid w:val="00D35360"/>
    <w:rsid w:val="00D51ED4"/>
    <w:rsid w:val="00D617D3"/>
    <w:rsid w:val="00D63D15"/>
    <w:rsid w:val="00D6453F"/>
    <w:rsid w:val="00D647AB"/>
    <w:rsid w:val="00D6557E"/>
    <w:rsid w:val="00D65C1A"/>
    <w:rsid w:val="00D67190"/>
    <w:rsid w:val="00D70B3E"/>
    <w:rsid w:val="00D752D1"/>
    <w:rsid w:val="00D8070D"/>
    <w:rsid w:val="00D80A2C"/>
    <w:rsid w:val="00D80D26"/>
    <w:rsid w:val="00D94327"/>
    <w:rsid w:val="00D965E1"/>
    <w:rsid w:val="00DA35B1"/>
    <w:rsid w:val="00DA5209"/>
    <w:rsid w:val="00DA59EC"/>
    <w:rsid w:val="00DB36B9"/>
    <w:rsid w:val="00DB6BC8"/>
    <w:rsid w:val="00DB7B94"/>
    <w:rsid w:val="00DC0B20"/>
    <w:rsid w:val="00DC2D5A"/>
    <w:rsid w:val="00DC6B43"/>
    <w:rsid w:val="00DD30AC"/>
    <w:rsid w:val="00DD30FD"/>
    <w:rsid w:val="00DE3FA5"/>
    <w:rsid w:val="00DF366C"/>
    <w:rsid w:val="00DF4758"/>
    <w:rsid w:val="00DF5392"/>
    <w:rsid w:val="00DF5BCC"/>
    <w:rsid w:val="00E058A8"/>
    <w:rsid w:val="00E12C3C"/>
    <w:rsid w:val="00E13424"/>
    <w:rsid w:val="00E15C52"/>
    <w:rsid w:val="00E16800"/>
    <w:rsid w:val="00E27A2F"/>
    <w:rsid w:val="00E34190"/>
    <w:rsid w:val="00E347CD"/>
    <w:rsid w:val="00E37632"/>
    <w:rsid w:val="00E41A07"/>
    <w:rsid w:val="00E46AF4"/>
    <w:rsid w:val="00E47D83"/>
    <w:rsid w:val="00E50CD8"/>
    <w:rsid w:val="00E559A6"/>
    <w:rsid w:val="00E64B03"/>
    <w:rsid w:val="00E70146"/>
    <w:rsid w:val="00E76758"/>
    <w:rsid w:val="00E81B43"/>
    <w:rsid w:val="00E85147"/>
    <w:rsid w:val="00E91DFA"/>
    <w:rsid w:val="00E93865"/>
    <w:rsid w:val="00EA39DC"/>
    <w:rsid w:val="00EA499D"/>
    <w:rsid w:val="00EA556F"/>
    <w:rsid w:val="00EA6C98"/>
    <w:rsid w:val="00EB5EAF"/>
    <w:rsid w:val="00EC65BA"/>
    <w:rsid w:val="00ED18B7"/>
    <w:rsid w:val="00EE1634"/>
    <w:rsid w:val="00EE36A3"/>
    <w:rsid w:val="00EE3727"/>
    <w:rsid w:val="00EE49D7"/>
    <w:rsid w:val="00EF4363"/>
    <w:rsid w:val="00F16248"/>
    <w:rsid w:val="00F17ACC"/>
    <w:rsid w:val="00F17D9B"/>
    <w:rsid w:val="00F20F11"/>
    <w:rsid w:val="00F2383C"/>
    <w:rsid w:val="00F27B12"/>
    <w:rsid w:val="00F27E40"/>
    <w:rsid w:val="00F31CFC"/>
    <w:rsid w:val="00F45A89"/>
    <w:rsid w:val="00F47FAE"/>
    <w:rsid w:val="00F520E8"/>
    <w:rsid w:val="00F551A6"/>
    <w:rsid w:val="00F66487"/>
    <w:rsid w:val="00F74CBA"/>
    <w:rsid w:val="00F76E97"/>
    <w:rsid w:val="00F831B1"/>
    <w:rsid w:val="00F837A0"/>
    <w:rsid w:val="00F94713"/>
    <w:rsid w:val="00F97A61"/>
    <w:rsid w:val="00FA2AB7"/>
    <w:rsid w:val="00FA34B7"/>
    <w:rsid w:val="00FB17ED"/>
    <w:rsid w:val="00FC0B6A"/>
    <w:rsid w:val="00FC1DEF"/>
    <w:rsid w:val="00FC30D1"/>
    <w:rsid w:val="00FC3B30"/>
    <w:rsid w:val="00FC4EB9"/>
    <w:rsid w:val="00FC52F6"/>
    <w:rsid w:val="00FC57C1"/>
    <w:rsid w:val="00FC7BFD"/>
    <w:rsid w:val="00FE08F5"/>
    <w:rsid w:val="00FE094C"/>
    <w:rsid w:val="00FE4C65"/>
    <w:rsid w:val="00FF63AC"/>
    <w:rsid w:val="010158D6"/>
    <w:rsid w:val="0102542E"/>
    <w:rsid w:val="01260E98"/>
    <w:rsid w:val="016D1799"/>
    <w:rsid w:val="01F40F97"/>
    <w:rsid w:val="02783976"/>
    <w:rsid w:val="028A78AE"/>
    <w:rsid w:val="02D51A04"/>
    <w:rsid w:val="0344331C"/>
    <w:rsid w:val="039C3694"/>
    <w:rsid w:val="03DB41BC"/>
    <w:rsid w:val="04162113"/>
    <w:rsid w:val="04BC223F"/>
    <w:rsid w:val="04DA126C"/>
    <w:rsid w:val="05486CD8"/>
    <w:rsid w:val="05BB5302"/>
    <w:rsid w:val="06AB256C"/>
    <w:rsid w:val="08F73310"/>
    <w:rsid w:val="08FB186C"/>
    <w:rsid w:val="08FC4BCA"/>
    <w:rsid w:val="08FC51DF"/>
    <w:rsid w:val="0918339F"/>
    <w:rsid w:val="09695DE1"/>
    <w:rsid w:val="09A60DC8"/>
    <w:rsid w:val="09C27272"/>
    <w:rsid w:val="0A6B1FEC"/>
    <w:rsid w:val="0AD96F7B"/>
    <w:rsid w:val="0C104C1F"/>
    <w:rsid w:val="0C5C70D2"/>
    <w:rsid w:val="0D756E7E"/>
    <w:rsid w:val="0DA01D29"/>
    <w:rsid w:val="0EF02D7D"/>
    <w:rsid w:val="0F517A28"/>
    <w:rsid w:val="0F6C0682"/>
    <w:rsid w:val="10062219"/>
    <w:rsid w:val="10804703"/>
    <w:rsid w:val="10913B38"/>
    <w:rsid w:val="11005262"/>
    <w:rsid w:val="114A0833"/>
    <w:rsid w:val="11513F57"/>
    <w:rsid w:val="11987B90"/>
    <w:rsid w:val="11E15093"/>
    <w:rsid w:val="132E7181"/>
    <w:rsid w:val="13623FB2"/>
    <w:rsid w:val="141708A4"/>
    <w:rsid w:val="142E0338"/>
    <w:rsid w:val="149F2FE4"/>
    <w:rsid w:val="15273DFF"/>
    <w:rsid w:val="1571672E"/>
    <w:rsid w:val="15BE6FA9"/>
    <w:rsid w:val="15BF56EC"/>
    <w:rsid w:val="15D55C6E"/>
    <w:rsid w:val="15EF3AF7"/>
    <w:rsid w:val="161C2B3E"/>
    <w:rsid w:val="16465E0D"/>
    <w:rsid w:val="16472A5F"/>
    <w:rsid w:val="166C05AB"/>
    <w:rsid w:val="1672275E"/>
    <w:rsid w:val="168406E3"/>
    <w:rsid w:val="16924BAE"/>
    <w:rsid w:val="1693176C"/>
    <w:rsid w:val="16D32075"/>
    <w:rsid w:val="1715758D"/>
    <w:rsid w:val="175F30F2"/>
    <w:rsid w:val="17864DA4"/>
    <w:rsid w:val="179C1785"/>
    <w:rsid w:val="17E46210"/>
    <w:rsid w:val="17F43647"/>
    <w:rsid w:val="17FA3BE0"/>
    <w:rsid w:val="198253AE"/>
    <w:rsid w:val="19A65341"/>
    <w:rsid w:val="1A4779A1"/>
    <w:rsid w:val="1A974E89"/>
    <w:rsid w:val="1C0A2194"/>
    <w:rsid w:val="1C5A43C0"/>
    <w:rsid w:val="1CFF2872"/>
    <w:rsid w:val="1D0D31E0"/>
    <w:rsid w:val="1D137258"/>
    <w:rsid w:val="1E067C30"/>
    <w:rsid w:val="1EA27958"/>
    <w:rsid w:val="1EAA7ACD"/>
    <w:rsid w:val="1EE53CE9"/>
    <w:rsid w:val="1F4153C3"/>
    <w:rsid w:val="1FAD3EC5"/>
    <w:rsid w:val="209534C5"/>
    <w:rsid w:val="20CD6908"/>
    <w:rsid w:val="21D13617"/>
    <w:rsid w:val="22345E5B"/>
    <w:rsid w:val="225673D8"/>
    <w:rsid w:val="22A30143"/>
    <w:rsid w:val="23722241"/>
    <w:rsid w:val="239669EF"/>
    <w:rsid w:val="23B87C1E"/>
    <w:rsid w:val="23E32EED"/>
    <w:rsid w:val="23E7074D"/>
    <w:rsid w:val="23E9602A"/>
    <w:rsid w:val="243906F0"/>
    <w:rsid w:val="24475584"/>
    <w:rsid w:val="24E707BB"/>
    <w:rsid w:val="25290DD3"/>
    <w:rsid w:val="25A44C59"/>
    <w:rsid w:val="25E205A5"/>
    <w:rsid w:val="25ED3EFB"/>
    <w:rsid w:val="26A63F87"/>
    <w:rsid w:val="26B306C3"/>
    <w:rsid w:val="28BC2737"/>
    <w:rsid w:val="28EF1334"/>
    <w:rsid w:val="2921747C"/>
    <w:rsid w:val="295A0648"/>
    <w:rsid w:val="297507A6"/>
    <w:rsid w:val="2A0B4F4C"/>
    <w:rsid w:val="2A657603"/>
    <w:rsid w:val="2A994270"/>
    <w:rsid w:val="2AB90504"/>
    <w:rsid w:val="2B3163E4"/>
    <w:rsid w:val="2B6C3C42"/>
    <w:rsid w:val="2B8325F8"/>
    <w:rsid w:val="2BAD5B8F"/>
    <w:rsid w:val="2BB4677D"/>
    <w:rsid w:val="2BB67139"/>
    <w:rsid w:val="2C520C10"/>
    <w:rsid w:val="2C686857"/>
    <w:rsid w:val="2D045741"/>
    <w:rsid w:val="2D9B5C29"/>
    <w:rsid w:val="2DEF5453"/>
    <w:rsid w:val="2F2D5955"/>
    <w:rsid w:val="2F9B208F"/>
    <w:rsid w:val="2FAB0637"/>
    <w:rsid w:val="30C67022"/>
    <w:rsid w:val="30CE282F"/>
    <w:rsid w:val="312356FF"/>
    <w:rsid w:val="31973569"/>
    <w:rsid w:val="31A348F2"/>
    <w:rsid w:val="32096215"/>
    <w:rsid w:val="322757E5"/>
    <w:rsid w:val="32292413"/>
    <w:rsid w:val="337B4EF0"/>
    <w:rsid w:val="34401C96"/>
    <w:rsid w:val="349B6ECC"/>
    <w:rsid w:val="355E2940"/>
    <w:rsid w:val="35B20971"/>
    <w:rsid w:val="364D41F6"/>
    <w:rsid w:val="36835E6A"/>
    <w:rsid w:val="36A91D74"/>
    <w:rsid w:val="36F80606"/>
    <w:rsid w:val="373B789A"/>
    <w:rsid w:val="374101FF"/>
    <w:rsid w:val="37E551DA"/>
    <w:rsid w:val="397877DC"/>
    <w:rsid w:val="3A2931D7"/>
    <w:rsid w:val="3A4A7D8D"/>
    <w:rsid w:val="3AE07D2F"/>
    <w:rsid w:val="3B985F13"/>
    <w:rsid w:val="3BAE713F"/>
    <w:rsid w:val="3BF045A5"/>
    <w:rsid w:val="3BFD68F1"/>
    <w:rsid w:val="3D22018A"/>
    <w:rsid w:val="3D37175C"/>
    <w:rsid w:val="3D9A6C3F"/>
    <w:rsid w:val="3DCD72DC"/>
    <w:rsid w:val="3E265A58"/>
    <w:rsid w:val="3E2A7656"/>
    <w:rsid w:val="3F723AFA"/>
    <w:rsid w:val="3FA7706D"/>
    <w:rsid w:val="3FB12286"/>
    <w:rsid w:val="3FC9068F"/>
    <w:rsid w:val="40632CF4"/>
    <w:rsid w:val="409A44DC"/>
    <w:rsid w:val="40AE2A0E"/>
    <w:rsid w:val="412546ED"/>
    <w:rsid w:val="41524DB6"/>
    <w:rsid w:val="41D35EF7"/>
    <w:rsid w:val="41E97814"/>
    <w:rsid w:val="426B25D4"/>
    <w:rsid w:val="42CC1DCC"/>
    <w:rsid w:val="42CE4911"/>
    <w:rsid w:val="43707776"/>
    <w:rsid w:val="43AF4742"/>
    <w:rsid w:val="43DA3072"/>
    <w:rsid w:val="43DE0B83"/>
    <w:rsid w:val="44293F63"/>
    <w:rsid w:val="44EE417D"/>
    <w:rsid w:val="44FF247F"/>
    <w:rsid w:val="45350C77"/>
    <w:rsid w:val="453B2E3D"/>
    <w:rsid w:val="45B1654F"/>
    <w:rsid w:val="46157C3C"/>
    <w:rsid w:val="463B050F"/>
    <w:rsid w:val="46EB4CDB"/>
    <w:rsid w:val="471C7F53"/>
    <w:rsid w:val="482C6361"/>
    <w:rsid w:val="48592ECE"/>
    <w:rsid w:val="48844422"/>
    <w:rsid w:val="48A24875"/>
    <w:rsid w:val="48C04CFB"/>
    <w:rsid w:val="4A7D2EA4"/>
    <w:rsid w:val="4A977AF4"/>
    <w:rsid w:val="4B217832"/>
    <w:rsid w:val="4B230A05"/>
    <w:rsid w:val="4BD9235C"/>
    <w:rsid w:val="4C1930A0"/>
    <w:rsid w:val="4C7C350E"/>
    <w:rsid w:val="4DF13BD0"/>
    <w:rsid w:val="4E04568A"/>
    <w:rsid w:val="4E3E294A"/>
    <w:rsid w:val="4E9F590E"/>
    <w:rsid w:val="4F2D00A8"/>
    <w:rsid w:val="4F7505EE"/>
    <w:rsid w:val="4FA62AF1"/>
    <w:rsid w:val="4FB46D0C"/>
    <w:rsid w:val="50373AF5"/>
    <w:rsid w:val="506036C9"/>
    <w:rsid w:val="51CE738D"/>
    <w:rsid w:val="51F85506"/>
    <w:rsid w:val="522B768A"/>
    <w:rsid w:val="526E487B"/>
    <w:rsid w:val="531B4789"/>
    <w:rsid w:val="544D38E7"/>
    <w:rsid w:val="545B4B0B"/>
    <w:rsid w:val="54927C0A"/>
    <w:rsid w:val="55264138"/>
    <w:rsid w:val="55BD2AE1"/>
    <w:rsid w:val="56000B25"/>
    <w:rsid w:val="563F3FC2"/>
    <w:rsid w:val="56DF0A43"/>
    <w:rsid w:val="56F5366D"/>
    <w:rsid w:val="56F87B9A"/>
    <w:rsid w:val="57D52571"/>
    <w:rsid w:val="58C66C34"/>
    <w:rsid w:val="58E51746"/>
    <w:rsid w:val="59017396"/>
    <w:rsid w:val="59B2243E"/>
    <w:rsid w:val="5A1170DE"/>
    <w:rsid w:val="5A250E62"/>
    <w:rsid w:val="5A33532D"/>
    <w:rsid w:val="5B0C447B"/>
    <w:rsid w:val="5BC715AF"/>
    <w:rsid w:val="5BDB3376"/>
    <w:rsid w:val="5BF40AEC"/>
    <w:rsid w:val="5CAD483A"/>
    <w:rsid w:val="5D443CF5"/>
    <w:rsid w:val="5D5E4AAE"/>
    <w:rsid w:val="5DA05A9F"/>
    <w:rsid w:val="5DBE13B2"/>
    <w:rsid w:val="5DC0747F"/>
    <w:rsid w:val="5E7F3237"/>
    <w:rsid w:val="5E8343A9"/>
    <w:rsid w:val="5EA20CD3"/>
    <w:rsid w:val="5EE4309A"/>
    <w:rsid w:val="5F1D035A"/>
    <w:rsid w:val="5F3538F6"/>
    <w:rsid w:val="5F836D59"/>
    <w:rsid w:val="5FEA20BE"/>
    <w:rsid w:val="5FF4555F"/>
    <w:rsid w:val="604678A4"/>
    <w:rsid w:val="605230FF"/>
    <w:rsid w:val="608202BA"/>
    <w:rsid w:val="61501F46"/>
    <w:rsid w:val="61723CCE"/>
    <w:rsid w:val="62127F1E"/>
    <w:rsid w:val="62763CA1"/>
    <w:rsid w:val="62AF1C11"/>
    <w:rsid w:val="632443AD"/>
    <w:rsid w:val="633E4358"/>
    <w:rsid w:val="638766EA"/>
    <w:rsid w:val="63A86D8C"/>
    <w:rsid w:val="64C33B59"/>
    <w:rsid w:val="64D94D23"/>
    <w:rsid w:val="64F831CA"/>
    <w:rsid w:val="654A0785"/>
    <w:rsid w:val="65F71905"/>
    <w:rsid w:val="664D7777"/>
    <w:rsid w:val="66882EA5"/>
    <w:rsid w:val="668C4B37"/>
    <w:rsid w:val="66997FA6"/>
    <w:rsid w:val="66A355E9"/>
    <w:rsid w:val="66AB743B"/>
    <w:rsid w:val="66CA3897"/>
    <w:rsid w:val="68B97345"/>
    <w:rsid w:val="68D73A49"/>
    <w:rsid w:val="692919FC"/>
    <w:rsid w:val="69715E72"/>
    <w:rsid w:val="699D4CD3"/>
    <w:rsid w:val="69FB573C"/>
    <w:rsid w:val="6AB53B3C"/>
    <w:rsid w:val="6AC840B3"/>
    <w:rsid w:val="6B340F05"/>
    <w:rsid w:val="6B98713B"/>
    <w:rsid w:val="6B9F2F40"/>
    <w:rsid w:val="6CA43E69"/>
    <w:rsid w:val="6DDA0185"/>
    <w:rsid w:val="6DEB3F8C"/>
    <w:rsid w:val="6E66587A"/>
    <w:rsid w:val="6E700C54"/>
    <w:rsid w:val="6E9A3775"/>
    <w:rsid w:val="6EC501F1"/>
    <w:rsid w:val="6EFC7F8C"/>
    <w:rsid w:val="6F0737B2"/>
    <w:rsid w:val="6F2B0871"/>
    <w:rsid w:val="6F2D283B"/>
    <w:rsid w:val="6F6C3363"/>
    <w:rsid w:val="70316526"/>
    <w:rsid w:val="722A54E3"/>
    <w:rsid w:val="72482193"/>
    <w:rsid w:val="729329B5"/>
    <w:rsid w:val="72BC1B31"/>
    <w:rsid w:val="72F571CC"/>
    <w:rsid w:val="7341797A"/>
    <w:rsid w:val="73FF13C6"/>
    <w:rsid w:val="75B0548E"/>
    <w:rsid w:val="76607052"/>
    <w:rsid w:val="767B079C"/>
    <w:rsid w:val="7683511F"/>
    <w:rsid w:val="77045839"/>
    <w:rsid w:val="77B0314A"/>
    <w:rsid w:val="784210E3"/>
    <w:rsid w:val="78A15E32"/>
    <w:rsid w:val="78BE7C47"/>
    <w:rsid w:val="791663CE"/>
    <w:rsid w:val="792663FA"/>
    <w:rsid w:val="7AC17867"/>
    <w:rsid w:val="7C0B35E0"/>
    <w:rsid w:val="7C9B5325"/>
    <w:rsid w:val="7CCA50E4"/>
    <w:rsid w:val="7D2F3C22"/>
    <w:rsid w:val="7D6F2271"/>
    <w:rsid w:val="7D7F0EF0"/>
    <w:rsid w:val="7D8C29F1"/>
    <w:rsid w:val="7DCE4049"/>
    <w:rsid w:val="7E724B78"/>
    <w:rsid w:val="7E7F0292"/>
    <w:rsid w:val="7ED834C2"/>
    <w:rsid w:val="7F373E42"/>
    <w:rsid w:val="7F68026A"/>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link w:val="55"/>
    <w:unhideWhenUsed/>
    <w:qFormat/>
    <w:uiPriority w:val="1"/>
    <w:pPr>
      <w:ind w:left="3"/>
      <w:outlineLvl w:val="0"/>
    </w:pPr>
    <w:rPr>
      <w:rFonts w:hint="eastAsia" w:ascii="Microsoft JhengHei" w:hAnsi="Microsoft JhengHei" w:eastAsia="Microsoft JhengHei"/>
    </w:rPr>
  </w:style>
  <w:style w:type="paragraph" w:styleId="4">
    <w:name w:val="heading 2"/>
    <w:basedOn w:val="1"/>
    <w:next w:val="1"/>
    <w:link w:val="38"/>
    <w:unhideWhenUsed/>
    <w:qFormat/>
    <w:uiPriority w:val="1"/>
    <w:pPr>
      <w:outlineLvl w:val="1"/>
    </w:pPr>
    <w:rPr>
      <w:rFonts w:hint="default" w:ascii="宋体" w:hAnsi="宋体" w:eastAsia="宋体"/>
      <w:sz w:val="30"/>
    </w:rPr>
  </w:style>
  <w:style w:type="paragraph" w:styleId="5">
    <w:name w:val="heading 3"/>
    <w:basedOn w:val="1"/>
    <w:next w:val="1"/>
    <w:link w:val="30"/>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4">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9">
    <w:name w:val="Normal Indent"/>
    <w:basedOn w:val="1"/>
    <w:next w:val="1"/>
    <w:unhideWhenUsed/>
    <w:qFormat/>
    <w:uiPriority w:val="99"/>
    <w:pPr>
      <w:autoSpaceDE/>
      <w:autoSpaceDN/>
      <w:adjustRightInd/>
      <w:spacing w:line="560" w:lineRule="exact"/>
      <w:ind w:firstLine="420" w:firstLineChars="200"/>
      <w:jc w:val="both"/>
    </w:pPr>
    <w:rPr>
      <w:rFonts w:ascii="Calibri" w:hAnsi="Calibri"/>
      <w:kern w:val="2"/>
      <w:sz w:val="21"/>
      <w:szCs w:val="22"/>
    </w:rPr>
  </w:style>
  <w:style w:type="paragraph" w:styleId="10">
    <w:name w:val="annotation text"/>
    <w:basedOn w:val="1"/>
    <w:link w:val="45"/>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link w:val="44"/>
    <w:unhideWhenUsed/>
    <w:qFormat/>
    <w:uiPriority w:val="1"/>
    <w:pPr>
      <w:ind w:left="520"/>
    </w:pPr>
    <w:rPr>
      <w:rFonts w:ascii="宋体" w:hAnsi="宋体"/>
      <w:sz w:val="21"/>
    </w:rPr>
  </w:style>
  <w:style w:type="paragraph" w:styleId="13">
    <w:name w:val="toc 3"/>
    <w:basedOn w:val="1"/>
    <w:next w:val="1"/>
    <w:qFormat/>
    <w:uiPriority w:val="99"/>
    <w:pPr>
      <w:ind w:left="840" w:leftChars="400"/>
    </w:pPr>
  </w:style>
  <w:style w:type="paragraph" w:styleId="14">
    <w:name w:val="Plain Text"/>
    <w:basedOn w:val="1"/>
    <w:link w:val="46"/>
    <w:unhideWhenUsed/>
    <w:qFormat/>
    <w:uiPriority w:val="0"/>
    <w:rPr>
      <w:rFonts w:ascii="宋体" w:hAnsi="Courier New"/>
    </w:rPr>
  </w:style>
  <w:style w:type="paragraph" w:styleId="15">
    <w:name w:val="Date"/>
    <w:basedOn w:val="1"/>
    <w:next w:val="1"/>
    <w:link w:val="47"/>
    <w:unhideWhenUsed/>
    <w:qFormat/>
    <w:uiPriority w:val="0"/>
    <w:pPr>
      <w:autoSpaceDE/>
      <w:autoSpaceDN/>
      <w:adjustRightInd/>
      <w:ind w:left="100" w:leftChars="2500"/>
      <w:jc w:val="both"/>
    </w:pPr>
    <w:rPr>
      <w:rFonts w:ascii="Calibri" w:hAnsi="Calibri"/>
      <w:sz w:val="20"/>
    </w:rPr>
  </w:style>
  <w:style w:type="paragraph" w:styleId="16">
    <w:name w:val="footer"/>
    <w:basedOn w:val="1"/>
    <w:link w:val="48"/>
    <w:unhideWhenUsed/>
    <w:qFormat/>
    <w:uiPriority w:val="99"/>
    <w:pPr>
      <w:tabs>
        <w:tab w:val="center" w:pos="4153"/>
        <w:tab w:val="right" w:pos="8306"/>
      </w:tabs>
      <w:snapToGrid w:val="0"/>
    </w:pPr>
    <w:rPr>
      <w:sz w:val="18"/>
    </w:rPr>
  </w:style>
  <w:style w:type="paragraph" w:styleId="17">
    <w:name w:val="header"/>
    <w:basedOn w:val="1"/>
    <w:link w:val="49"/>
    <w:unhideWhenUsed/>
    <w:qFormat/>
    <w:uiPriority w:val="99"/>
    <w:pPr>
      <w:tabs>
        <w:tab w:val="center" w:pos="4153"/>
        <w:tab w:val="right" w:pos="8306"/>
      </w:tabs>
      <w:snapToGrid w:val="0"/>
      <w:jc w:val="both"/>
    </w:pPr>
    <w:rPr>
      <w:sz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eastAsia="Times New Roman"/>
    </w:rPr>
  </w:style>
  <w:style w:type="paragraph" w:styleId="21">
    <w:name w:val="Body Text First Indent"/>
    <w:basedOn w:val="12"/>
    <w:link w:val="56"/>
    <w:unhideWhenUsed/>
    <w:qFormat/>
    <w:uiPriority w:val="0"/>
    <w:pPr>
      <w:ind w:firstLine="420"/>
    </w:pPr>
    <w:rPr>
      <w:rFonts w:hint="eastAsia" w:ascii="Times New Roman" w:hAnsi="Times New Roman" w:eastAsia="楷体_GB2312"/>
      <w:sz w:val="20"/>
    </w:rPr>
  </w:style>
  <w:style w:type="paragraph" w:styleId="2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5">
    <w:name w:val="Strong"/>
    <w:basedOn w:val="24"/>
    <w:qFormat/>
    <w:uiPriority w:val="22"/>
    <w:rPr>
      <w:b/>
    </w:rPr>
  </w:style>
  <w:style w:type="character" w:styleId="26">
    <w:name w:val="page number"/>
    <w:qFormat/>
    <w:uiPriority w:val="0"/>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正文缩进1"/>
    <w:basedOn w:val="29"/>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29">
    <w:name w:val="正文1"/>
    <w:basedOn w:val="1"/>
    <w:unhideWhenUsed/>
    <w:qFormat/>
    <w:uiPriority w:val="0"/>
    <w:pPr>
      <w:spacing w:line="240" w:lineRule="atLeast"/>
      <w:jc w:val="center"/>
      <w:textAlignment w:val="baseline"/>
    </w:pPr>
    <w:rPr>
      <w:rFonts w:ascii="Tahoma" w:hAnsi="Tahoma"/>
    </w:rPr>
  </w:style>
  <w:style w:type="character" w:customStyle="1" w:styleId="30">
    <w:name w:val="标题 3 字符"/>
    <w:link w:val="5"/>
    <w:unhideWhenUsed/>
    <w:qFormat/>
    <w:uiPriority w:val="1"/>
    <w:rPr>
      <w:rFonts w:hint="default" w:ascii="宋体" w:hAnsi="宋体" w:eastAsia="宋体"/>
      <w:b/>
      <w:sz w:val="24"/>
      <w:szCs w:val="24"/>
    </w:rPr>
  </w:style>
  <w:style w:type="paragraph" w:customStyle="1" w:styleId="31">
    <w:name w:val="Table Paragraph"/>
    <w:basedOn w:val="1"/>
    <w:unhideWhenUsed/>
    <w:qFormat/>
    <w:uiPriority w:val="1"/>
  </w:style>
  <w:style w:type="paragraph" w:customStyle="1" w:styleId="32">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3">
    <w:name w:val="p0"/>
    <w:basedOn w:val="1"/>
    <w:unhideWhenUsed/>
    <w:qFormat/>
    <w:uiPriority w:val="0"/>
    <w:pPr>
      <w:widowControl/>
      <w:spacing w:before="75" w:after="75"/>
    </w:pPr>
    <w:rPr>
      <w:rFonts w:ascii="宋体" w:hAnsi="宋体" w:cs="宋体"/>
    </w:rPr>
  </w:style>
  <w:style w:type="paragraph" w:styleId="34">
    <w:name w:val="List Paragraph"/>
    <w:basedOn w:val="1"/>
    <w:unhideWhenUsed/>
    <w:qFormat/>
    <w:uiPriority w:val="1"/>
  </w:style>
  <w:style w:type="paragraph" w:customStyle="1" w:styleId="35">
    <w:name w:val="文一"/>
    <w:basedOn w:val="1"/>
    <w:link w:val="50"/>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6">
    <w:name w:val="样式 宋体 行距: 1.5 倍行距"/>
    <w:basedOn w:val="1"/>
    <w:unhideWhenUsed/>
    <w:qFormat/>
    <w:uiPriority w:val="0"/>
    <w:pPr>
      <w:jc w:val="center"/>
    </w:pPr>
    <w:rPr>
      <w:b/>
    </w:rPr>
  </w:style>
  <w:style w:type="paragraph" w:customStyle="1" w:styleId="37">
    <w:name w:val="发文落款"/>
    <w:basedOn w:val="32"/>
    <w:unhideWhenUsed/>
    <w:qFormat/>
    <w:uiPriority w:val="99"/>
    <w:pPr>
      <w:ind w:left="4094" w:right="607" w:firstLine="0"/>
      <w:jc w:val="center"/>
    </w:pPr>
    <w:rPr>
      <w:rFonts w:cs="仿宋_GB2312"/>
      <w:szCs w:val="32"/>
    </w:rPr>
  </w:style>
  <w:style w:type="character" w:customStyle="1" w:styleId="38">
    <w:name w:val="标题 2 字符"/>
    <w:link w:val="4"/>
    <w:unhideWhenUsed/>
    <w:qFormat/>
    <w:uiPriority w:val="1"/>
    <w:rPr>
      <w:rFonts w:hint="default" w:ascii="宋体" w:hAnsi="宋体" w:eastAsia="宋体"/>
      <w:b/>
      <w:sz w:val="30"/>
      <w:szCs w:val="24"/>
    </w:rPr>
  </w:style>
  <w:style w:type="character" w:customStyle="1" w:styleId="39">
    <w:name w:val="NormalCharacter"/>
    <w:unhideWhenUsed/>
    <w:qFormat/>
    <w:uiPriority w:val="0"/>
    <w:rPr>
      <w:rFonts w:hint="default"/>
      <w:sz w:val="24"/>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正文文本 字符"/>
    <w:basedOn w:val="24"/>
    <w:link w:val="12"/>
    <w:qFormat/>
    <w:uiPriority w:val="1"/>
    <w:rPr>
      <w:rFonts w:ascii="宋体" w:hAnsi="宋体"/>
      <w:sz w:val="21"/>
      <w:szCs w:val="24"/>
    </w:rPr>
  </w:style>
  <w:style w:type="character" w:customStyle="1" w:styleId="45">
    <w:name w:val="批注文字 字符"/>
    <w:basedOn w:val="24"/>
    <w:link w:val="10"/>
    <w:qFormat/>
    <w:uiPriority w:val="99"/>
    <w:rPr>
      <w:sz w:val="24"/>
      <w:szCs w:val="24"/>
    </w:rPr>
  </w:style>
  <w:style w:type="character" w:customStyle="1" w:styleId="46">
    <w:name w:val="纯文本 字符"/>
    <w:basedOn w:val="24"/>
    <w:link w:val="14"/>
    <w:qFormat/>
    <w:uiPriority w:val="0"/>
    <w:rPr>
      <w:rFonts w:ascii="宋体" w:hAnsi="Courier New"/>
      <w:sz w:val="24"/>
      <w:szCs w:val="24"/>
    </w:rPr>
  </w:style>
  <w:style w:type="character" w:customStyle="1" w:styleId="47">
    <w:name w:val="日期 字符"/>
    <w:basedOn w:val="24"/>
    <w:link w:val="15"/>
    <w:qFormat/>
    <w:uiPriority w:val="0"/>
    <w:rPr>
      <w:rFonts w:ascii="Calibri" w:hAnsi="Calibri"/>
      <w:szCs w:val="24"/>
    </w:rPr>
  </w:style>
  <w:style w:type="character" w:customStyle="1" w:styleId="48">
    <w:name w:val="页脚 字符"/>
    <w:basedOn w:val="24"/>
    <w:link w:val="16"/>
    <w:qFormat/>
    <w:uiPriority w:val="99"/>
    <w:rPr>
      <w:sz w:val="18"/>
      <w:szCs w:val="24"/>
    </w:rPr>
  </w:style>
  <w:style w:type="character" w:customStyle="1" w:styleId="49">
    <w:name w:val="页眉 字符"/>
    <w:basedOn w:val="24"/>
    <w:link w:val="17"/>
    <w:qFormat/>
    <w:uiPriority w:val="0"/>
    <w:rPr>
      <w:sz w:val="18"/>
      <w:szCs w:val="24"/>
    </w:rPr>
  </w:style>
  <w:style w:type="character" w:customStyle="1" w:styleId="50">
    <w:name w:val="文一 Char Char"/>
    <w:link w:val="35"/>
    <w:qFormat/>
    <w:locked/>
    <w:uiPriority w:val="0"/>
    <w:rPr>
      <w:rFonts w:ascii="Calibri" w:hAnsi="Calibri"/>
      <w:snapToGrid w:val="0"/>
      <w:spacing w:val="4"/>
      <w:sz w:val="24"/>
      <w:szCs w:val="24"/>
    </w:rPr>
  </w:style>
  <w:style w:type="paragraph" w:customStyle="1" w:styleId="51">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2">
    <w:name w:val="正文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3">
    <w:name w:val="正文缩进 New"/>
    <w:basedOn w:val="51"/>
    <w:qFormat/>
    <w:uiPriority w:val="0"/>
    <w:pPr>
      <w:ind w:firstLine="420"/>
    </w:pPr>
    <w:rPr>
      <w:rFonts w:ascii="Times New Roman" w:hAnsi="Times New Roman" w:cs="Times New Roman"/>
      <w:snapToGrid/>
      <w:kern w:val="2"/>
      <w:szCs w:val="20"/>
    </w:rPr>
  </w:style>
  <w:style w:type="paragraph" w:customStyle="1" w:styleId="54">
    <w:name w:val="1"/>
    <w:basedOn w:val="1"/>
    <w:qFormat/>
    <w:uiPriority w:val="0"/>
    <w:pPr>
      <w:autoSpaceDE/>
      <w:autoSpaceDN/>
      <w:adjustRightInd/>
      <w:jc w:val="both"/>
    </w:pPr>
    <w:rPr>
      <w:kern w:val="2"/>
      <w:sz w:val="21"/>
      <w:szCs w:val="21"/>
    </w:rPr>
  </w:style>
  <w:style w:type="character" w:customStyle="1" w:styleId="55">
    <w:name w:val="标题 1 字符"/>
    <w:basedOn w:val="24"/>
    <w:link w:val="2"/>
    <w:qFormat/>
    <w:uiPriority w:val="0"/>
    <w:rPr>
      <w:rFonts w:hint="default" w:ascii="Calibri" w:hAnsi="Calibri" w:cs="Calibri"/>
      <w:b/>
      <w:bCs/>
      <w:kern w:val="44"/>
      <w:sz w:val="44"/>
      <w:szCs w:val="44"/>
    </w:rPr>
  </w:style>
  <w:style w:type="character" w:customStyle="1" w:styleId="56">
    <w:name w:val="正文首行缩进 字符"/>
    <w:link w:val="21"/>
    <w:qFormat/>
    <w:uiPriority w:val="0"/>
    <w:rPr>
      <w:sz w:val="24"/>
      <w:szCs w:val="24"/>
    </w:rPr>
  </w:style>
  <w:style w:type="paragraph" w:customStyle="1" w:styleId="57">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8">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5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4773</Words>
  <Characters>5203</Characters>
  <Lines>519</Lines>
  <Paragraphs>146</Paragraphs>
  <TotalTime>15</TotalTime>
  <ScaleCrop>false</ScaleCrop>
  <LinksUpToDate>false</LinksUpToDate>
  <CharactersWithSpaces>5424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广东建瀚</cp:lastModifiedBy>
  <dcterms:modified xsi:type="dcterms:W3CDTF">2025-09-09T04:36:51Z</dcterms:modified>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FA0F1A4E28C142E189DA7022E574D24C_13</vt:lpwstr>
  </property>
  <property fmtid="{D5CDD505-2E9C-101B-9397-08002B2CF9AE}" pid="4" name="KSOTemplateDocerSaveRecord">
    <vt:lpwstr>eyJoZGlkIjoiMjEzNDRjNWRkMjY3YjdkMzcxNGM4MjQ3YzIzMWI0MjIiLCJ1c2VySWQiOiI0NTU0NDY2NzUifQ==</vt:lpwstr>
  </property>
</Properties>
</file>