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auto"/>
          <w:highlight w:val="none"/>
        </w:rPr>
      </w:pPr>
    </w:p>
    <w:p>
      <w:pPr>
        <w:pStyle w:val="6"/>
        <w:rPr>
          <w:rFonts w:hint="eastAsia" w:ascii="宋体" w:hAnsi="宋体" w:eastAsia="宋体" w:cs="宋体"/>
          <w:color w:val="auto"/>
          <w:highlight w:val="none"/>
        </w:rPr>
      </w:pPr>
    </w:p>
    <w:p>
      <w:pPr>
        <w:spacing w:line="1000" w:lineRule="exact"/>
        <w:jc w:val="center"/>
        <w:rPr>
          <w:rFonts w:hint="eastAsia" w:ascii="宋体" w:hAnsi="宋体" w:eastAsia="宋体" w:cs="宋体"/>
          <w:b/>
          <w:color w:val="auto"/>
          <w:sz w:val="44"/>
          <w:szCs w:val="44"/>
          <w:highlight w:val="none"/>
        </w:rPr>
      </w:pPr>
      <w:r>
        <w:rPr>
          <w:rFonts w:hint="eastAsia" w:ascii="宋体" w:hAnsi="宋体" w:cs="宋体"/>
          <w:b/>
          <w:bCs/>
          <w:color w:val="auto"/>
          <w:spacing w:val="26"/>
          <w:sz w:val="44"/>
          <w:szCs w:val="44"/>
          <w:highlight w:val="none"/>
          <w:lang w:eastAsia="zh-CN"/>
          <w14:shadow w14:blurRad="50800" w14:dist="38100" w14:dir="2700000" w14:sx="100000" w14:sy="100000" w14:kx="0" w14:ky="0" w14:algn="tl">
            <w14:srgbClr w14:val="000000">
              <w14:alpha w14:val="60000"/>
            </w14:srgbClr>
          </w14:shadow>
        </w:rPr>
        <w:t>仙村镇沙滘村中坊社纪念公园建设工程施工总承包</w:t>
      </w:r>
    </w:p>
    <w:p>
      <w:pPr>
        <w:pStyle w:val="6"/>
        <w:rPr>
          <w:rFonts w:hint="eastAsia" w:ascii="宋体" w:hAnsi="宋体" w:eastAsia="宋体" w:cs="宋体"/>
          <w:color w:val="auto"/>
          <w:highlight w:val="none"/>
        </w:rPr>
      </w:pPr>
    </w:p>
    <w:p>
      <w:pPr>
        <w:jc w:val="center"/>
        <w:rPr>
          <w:rFonts w:hint="eastAsia" w:ascii="宋体" w:hAnsi="宋体" w:eastAsia="宋体" w:cs="宋体"/>
          <w:b/>
          <w:color w:val="auto"/>
          <w:sz w:val="120"/>
          <w:szCs w:val="120"/>
          <w:highlight w:val="none"/>
          <w14:shadow w14:blurRad="50800" w14:dist="38100" w14:dir="2700000" w14:sx="100000" w14:sy="100000" w14:kx="0" w14:ky="0" w14:algn="tl">
            <w14:srgbClr w14:val="000000">
              <w14:alpha w14:val="60000"/>
            </w14:srgbClr>
          </w14:shadow>
        </w:rPr>
      </w:pPr>
    </w:p>
    <w:p>
      <w:pPr>
        <w:jc w:val="center"/>
        <w:rPr>
          <w:rFonts w:hint="default" w:ascii="宋体" w:hAnsi="宋体" w:eastAsia="宋体" w:cs="宋体"/>
          <w:b/>
          <w:color w:val="auto"/>
          <w:sz w:val="96"/>
          <w:szCs w:val="96"/>
          <w:highlight w:val="none"/>
          <w:lang w:val="en-US" w:eastAsia="zh-CN"/>
        </w:rPr>
      </w:pPr>
      <w:r>
        <w:rPr>
          <w:rFonts w:hint="eastAsia" w:ascii="宋体" w:hAnsi="宋体" w:cs="宋体"/>
          <w:b/>
          <w:color w:val="auto"/>
          <w:sz w:val="96"/>
          <w:szCs w:val="96"/>
          <w:highlight w:val="none"/>
          <w:lang w:val="en-US" w:eastAsia="zh-CN"/>
          <w14:shadow w14:blurRad="50800" w14:dist="38100" w14:dir="2700000" w14:sx="100000" w14:sy="100000" w14:kx="0" w14:ky="0" w14:algn="tl">
            <w14:srgbClr w14:val="000000">
              <w14:alpha w14:val="60000"/>
            </w14:srgbClr>
          </w14:shadow>
        </w:rPr>
        <w:t>招标文件</w:t>
      </w: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p>
    <w:p>
      <w:pPr>
        <w:pStyle w:val="21"/>
        <w:rPr>
          <w:rFonts w:hint="eastAsia" w:ascii="宋体" w:hAnsi="宋体" w:eastAsia="宋体" w:cs="宋体"/>
          <w:b/>
          <w:color w:val="auto"/>
          <w:sz w:val="52"/>
          <w:szCs w:val="52"/>
          <w:highlight w:val="none"/>
        </w:rPr>
      </w:pPr>
    </w:p>
    <w:p>
      <w:pPr>
        <w:pStyle w:val="21"/>
        <w:rPr>
          <w:rFonts w:hint="eastAsia" w:ascii="宋体" w:hAnsi="宋体" w:eastAsia="宋体" w:cs="宋体"/>
          <w:b/>
          <w:color w:val="auto"/>
          <w:sz w:val="52"/>
          <w:szCs w:val="52"/>
          <w:highlight w:val="none"/>
        </w:rPr>
      </w:pPr>
    </w:p>
    <w:p>
      <w:pPr>
        <w:pStyle w:val="6"/>
        <w:rPr>
          <w:rFonts w:hint="eastAsia" w:ascii="宋体" w:hAnsi="宋体" w:eastAsia="宋体" w:cs="宋体"/>
          <w:color w:val="auto"/>
          <w:highlight w:val="none"/>
        </w:rPr>
      </w:pPr>
    </w:p>
    <w:p>
      <w:pPr>
        <w:autoSpaceDE w:val="0"/>
        <w:autoSpaceDN w:val="0"/>
        <w:adjustRightInd w:val="0"/>
        <w:spacing w:line="360" w:lineRule="auto"/>
        <w:ind w:firstLine="1205" w:firstLineChars="400"/>
        <w:jc w:val="left"/>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招  标 单 位：</w:t>
      </w:r>
      <w:r>
        <w:rPr>
          <w:rFonts w:hint="eastAsia" w:ascii="宋体" w:hAnsi="宋体" w:cs="宋体"/>
          <w:b/>
          <w:bCs/>
          <w:color w:val="auto"/>
          <w:sz w:val="30"/>
          <w:szCs w:val="30"/>
          <w:highlight w:val="none"/>
          <w:u w:val="single"/>
          <w:lang w:val="zh-CN"/>
        </w:rPr>
        <w:t>广州市增城区仙村镇沙滘村中坊股份经济合作社</w:t>
      </w:r>
    </w:p>
    <w:p>
      <w:pPr>
        <w:autoSpaceDE w:val="0"/>
        <w:autoSpaceDN w:val="0"/>
        <w:adjustRightInd w:val="0"/>
        <w:spacing w:line="360" w:lineRule="auto"/>
        <w:ind w:firstLine="1205"/>
        <w:jc w:val="left"/>
        <w:rPr>
          <w:rFonts w:hint="eastAsia" w:ascii="宋体" w:hAnsi="宋体" w:eastAsia="宋体" w:cs="宋体"/>
          <w:b/>
          <w:bCs/>
          <w:color w:val="auto"/>
          <w:sz w:val="30"/>
          <w:szCs w:val="30"/>
          <w:highlight w:val="none"/>
          <w:u w:val="single"/>
          <w:lang w:val="zh-CN"/>
        </w:rPr>
      </w:pPr>
      <w:r>
        <w:rPr>
          <w:rFonts w:hint="eastAsia" w:ascii="宋体" w:hAnsi="宋体" w:eastAsia="宋体" w:cs="宋体"/>
          <w:b/>
          <w:bCs/>
          <w:color w:val="auto"/>
          <w:sz w:val="30"/>
          <w:szCs w:val="30"/>
          <w:highlight w:val="none"/>
          <w:lang w:val="zh-CN"/>
        </w:rPr>
        <w:t>招标代理单位：</w:t>
      </w:r>
      <w:r>
        <w:rPr>
          <w:rFonts w:hint="eastAsia" w:ascii="宋体" w:hAnsi="宋体" w:cs="宋体"/>
          <w:b/>
          <w:bCs/>
          <w:color w:val="auto"/>
          <w:sz w:val="30"/>
          <w:szCs w:val="30"/>
          <w:highlight w:val="none"/>
          <w:u w:val="single"/>
          <w:lang w:val="zh-CN"/>
        </w:rPr>
        <w:t>广州穗诚建设管理有限公司</w:t>
      </w:r>
    </w:p>
    <w:p>
      <w:pPr>
        <w:spacing w:line="360" w:lineRule="auto"/>
        <w:ind w:firstLine="1193" w:firstLineChars="396"/>
        <w:jc w:val="left"/>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日        期：</w:t>
      </w:r>
      <w:r>
        <w:rPr>
          <w:rFonts w:hint="eastAsia" w:ascii="宋体" w:hAnsi="宋体" w:eastAsia="宋体" w:cs="宋体"/>
          <w:b/>
          <w:bCs/>
          <w:color w:val="auto"/>
          <w:sz w:val="30"/>
          <w:szCs w:val="30"/>
          <w:highlight w:val="none"/>
          <w:u w:val="single"/>
          <w:lang w:val="zh-CN"/>
        </w:rPr>
        <w:t>2025</w:t>
      </w:r>
      <w:r>
        <w:rPr>
          <w:rFonts w:hint="eastAsia" w:ascii="宋体" w:hAnsi="宋体" w:eastAsia="宋体" w:cs="宋体"/>
          <w:b/>
          <w:bCs/>
          <w:color w:val="auto"/>
          <w:sz w:val="30"/>
          <w:szCs w:val="30"/>
          <w:highlight w:val="none"/>
          <w:lang w:val="zh-CN"/>
        </w:rPr>
        <w:t>年</w:t>
      </w:r>
      <w:r>
        <w:rPr>
          <w:rFonts w:hint="eastAsia" w:ascii="宋体" w:hAnsi="宋体" w:cs="宋体"/>
          <w:b/>
          <w:bCs/>
          <w:color w:val="auto"/>
          <w:sz w:val="30"/>
          <w:szCs w:val="30"/>
          <w:highlight w:val="none"/>
          <w:u w:val="single"/>
          <w:lang w:val="en-US" w:eastAsia="zh-CN"/>
        </w:rPr>
        <w:t>9</w:t>
      </w:r>
      <w:r>
        <w:rPr>
          <w:rFonts w:hint="eastAsia" w:ascii="宋体" w:hAnsi="宋体" w:eastAsia="宋体" w:cs="宋体"/>
          <w:b/>
          <w:bCs/>
          <w:color w:val="auto"/>
          <w:sz w:val="30"/>
          <w:szCs w:val="30"/>
          <w:highlight w:val="none"/>
          <w:lang w:val="zh-CN"/>
        </w:rPr>
        <w:t>月</w:t>
      </w:r>
    </w:p>
    <w:p>
      <w:pPr>
        <w:spacing w:line="360" w:lineRule="auto"/>
        <w:jc w:val="center"/>
        <w:rPr>
          <w:color w:val="auto"/>
          <w:sz w:val="30"/>
          <w:szCs w:val="30"/>
          <w:highlight w:val="none"/>
        </w:rPr>
        <w:sectPr>
          <w:footerReference r:id="rId6" w:type="first"/>
          <w:headerReference r:id="rId3" w:type="default"/>
          <w:footerReference r:id="rId4" w:type="default"/>
          <w:footerReference r:id="rId5" w:type="even"/>
          <w:endnotePr>
            <w:numFmt w:val="decimal"/>
          </w:endnotePr>
          <w:pgSz w:w="11906" w:h="16838"/>
          <w:pgMar w:top="1440" w:right="1134" w:bottom="1440" w:left="1134" w:header="851" w:footer="992" w:gutter="0"/>
          <w:pgNumType w:start="0"/>
          <w:cols w:space="720" w:num="1"/>
          <w:docGrid w:type="lines" w:linePitch="312" w:charSpace="0"/>
        </w:sectPr>
      </w:pPr>
    </w:p>
    <w:p>
      <w:pPr>
        <w:spacing w:before="0" w:beforeLines="0" w:after="0" w:afterLines="0" w:line="240" w:lineRule="auto"/>
        <w:ind w:left="0" w:leftChars="0" w:right="0" w:rightChars="0" w:firstLine="0" w:firstLineChars="0"/>
        <w:jc w:val="center"/>
        <w:rPr>
          <w:color w:val="auto"/>
          <w:highlight w:val="none"/>
        </w:rPr>
      </w:pPr>
      <w:bookmarkStart w:id="0" w:name="_Toc2272545"/>
      <w:bookmarkStart w:id="1" w:name="_Toc21525489"/>
      <w:r>
        <w:rPr>
          <w:rFonts w:ascii="宋体" w:hAnsi="宋体" w:eastAsia="宋体"/>
          <w:b/>
          <w:bCs/>
          <w:color w:val="auto"/>
          <w:sz w:val="28"/>
          <w:szCs w:val="28"/>
          <w:highlight w:val="none"/>
        </w:rPr>
        <w:t>目录</w:t>
      </w:r>
    </w:p>
    <w:p>
      <w:pPr>
        <w:pStyle w:val="28"/>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TOC \o "1-3" \h \u </w:instrText>
      </w:r>
      <w:r>
        <w:rPr>
          <w:rFonts w:hint="eastAsia"/>
          <w:color w:val="auto"/>
          <w:highlight w:val="none"/>
        </w:rPr>
        <w:fldChar w:fldCharType="separate"/>
      </w:r>
      <w:r>
        <w:rPr>
          <w:rFonts w:hint="eastAsia"/>
          <w:color w:val="auto"/>
          <w:highlight w:val="none"/>
        </w:rPr>
        <w:fldChar w:fldCharType="begin"/>
      </w:r>
      <w:r>
        <w:rPr>
          <w:rFonts w:hint="eastAsia"/>
          <w:color w:val="auto"/>
          <w:highlight w:val="none"/>
        </w:rPr>
        <w:instrText xml:space="preserve"> HYPERLINK \l _Toc31735 </w:instrText>
      </w:r>
      <w:r>
        <w:rPr>
          <w:rFonts w:hint="eastAsia"/>
          <w:color w:val="auto"/>
          <w:highlight w:val="none"/>
        </w:rPr>
        <w:fldChar w:fldCharType="separate"/>
      </w:r>
      <w:r>
        <w:rPr>
          <w:rFonts w:hint="eastAsia"/>
          <w:color w:val="auto"/>
          <w:highlight w:val="none"/>
        </w:rPr>
        <w:t>第一章</w:t>
      </w:r>
      <w:r>
        <w:rPr>
          <w:color w:val="auto"/>
          <w:highlight w:val="none"/>
        </w:rPr>
        <w:t xml:space="preserve">  </w:t>
      </w:r>
      <w:r>
        <w:rPr>
          <w:rFonts w:hint="eastAsia"/>
          <w:color w:val="auto"/>
          <w:highlight w:val="none"/>
        </w:rPr>
        <w:t>投标须知</w:t>
      </w:r>
      <w:r>
        <w:rPr>
          <w:color w:val="auto"/>
          <w:highlight w:val="none"/>
        </w:rPr>
        <w:tab/>
      </w:r>
      <w:r>
        <w:rPr>
          <w:color w:val="auto"/>
          <w:highlight w:val="none"/>
        </w:rPr>
        <w:fldChar w:fldCharType="begin"/>
      </w:r>
      <w:r>
        <w:rPr>
          <w:color w:val="auto"/>
          <w:highlight w:val="none"/>
        </w:rPr>
        <w:instrText xml:space="preserve"> PAGEREF _Toc31735 \h </w:instrText>
      </w:r>
      <w:r>
        <w:rPr>
          <w:color w:val="auto"/>
          <w:highlight w:val="none"/>
        </w:rPr>
        <w:fldChar w:fldCharType="separate"/>
      </w:r>
      <w:r>
        <w:rPr>
          <w:color w:val="auto"/>
          <w:highlight w:val="none"/>
        </w:rPr>
        <w:t>2</w:t>
      </w:r>
      <w:r>
        <w:rPr>
          <w:color w:val="auto"/>
          <w:highlight w:val="none"/>
        </w:rPr>
        <w:fldChar w:fldCharType="end"/>
      </w:r>
      <w:r>
        <w:rPr>
          <w:rFonts w:hint="eastAsia"/>
          <w:color w:val="auto"/>
          <w:highlight w:val="none"/>
        </w:rPr>
        <w:fldChar w:fldCharType="end"/>
      </w:r>
    </w:p>
    <w:p>
      <w:pPr>
        <w:pStyle w:val="31"/>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_Toc7462 </w:instrText>
      </w:r>
      <w:r>
        <w:rPr>
          <w:rFonts w:hint="eastAsia"/>
          <w:color w:val="auto"/>
          <w:highlight w:val="none"/>
        </w:rPr>
        <w:fldChar w:fldCharType="separate"/>
      </w:r>
      <w:r>
        <w:rPr>
          <w:rFonts w:hint="eastAsia"/>
          <w:color w:val="auto"/>
          <w:highlight w:val="none"/>
        </w:rPr>
        <w:t>一、投标须知前附表</w:t>
      </w:r>
      <w:r>
        <w:rPr>
          <w:color w:val="auto"/>
          <w:highlight w:val="none"/>
        </w:rPr>
        <w:tab/>
      </w:r>
      <w:r>
        <w:rPr>
          <w:color w:val="auto"/>
          <w:highlight w:val="none"/>
        </w:rPr>
        <w:fldChar w:fldCharType="begin"/>
      </w:r>
      <w:r>
        <w:rPr>
          <w:color w:val="auto"/>
          <w:highlight w:val="none"/>
        </w:rPr>
        <w:instrText xml:space="preserve"> PAGEREF _Toc7462 \h </w:instrText>
      </w:r>
      <w:r>
        <w:rPr>
          <w:color w:val="auto"/>
          <w:highlight w:val="none"/>
        </w:rPr>
        <w:fldChar w:fldCharType="separate"/>
      </w:r>
      <w:r>
        <w:rPr>
          <w:color w:val="auto"/>
          <w:highlight w:val="none"/>
        </w:rPr>
        <w:t>2</w:t>
      </w:r>
      <w:r>
        <w:rPr>
          <w:color w:val="auto"/>
          <w:highlight w:val="none"/>
        </w:rPr>
        <w:fldChar w:fldCharType="end"/>
      </w:r>
      <w:r>
        <w:rPr>
          <w:rFonts w:hint="eastAsia"/>
          <w:color w:val="auto"/>
          <w:highlight w:val="none"/>
        </w:rPr>
        <w:fldChar w:fldCharType="end"/>
      </w:r>
    </w:p>
    <w:p>
      <w:pPr>
        <w:pStyle w:val="31"/>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_Toc28760 </w:instrText>
      </w:r>
      <w:r>
        <w:rPr>
          <w:rFonts w:hint="eastAsia"/>
          <w:color w:val="auto"/>
          <w:highlight w:val="none"/>
        </w:rPr>
        <w:fldChar w:fldCharType="separate"/>
      </w:r>
      <w:r>
        <w:rPr>
          <w:rFonts w:hint="eastAsia"/>
          <w:color w:val="auto"/>
          <w:highlight w:val="none"/>
        </w:rPr>
        <w:t>二、投标须知修改表</w:t>
      </w:r>
      <w:r>
        <w:rPr>
          <w:color w:val="auto"/>
          <w:highlight w:val="none"/>
        </w:rPr>
        <w:tab/>
      </w:r>
      <w:r>
        <w:rPr>
          <w:color w:val="auto"/>
          <w:highlight w:val="none"/>
        </w:rPr>
        <w:fldChar w:fldCharType="begin"/>
      </w:r>
      <w:r>
        <w:rPr>
          <w:color w:val="auto"/>
          <w:highlight w:val="none"/>
        </w:rPr>
        <w:instrText xml:space="preserve"> PAGEREF _Toc28760 \h </w:instrText>
      </w:r>
      <w:r>
        <w:rPr>
          <w:color w:val="auto"/>
          <w:highlight w:val="none"/>
        </w:rPr>
        <w:fldChar w:fldCharType="separate"/>
      </w:r>
      <w:r>
        <w:rPr>
          <w:color w:val="auto"/>
          <w:highlight w:val="none"/>
        </w:rPr>
        <w:t>8</w:t>
      </w:r>
      <w:r>
        <w:rPr>
          <w:color w:val="auto"/>
          <w:highlight w:val="none"/>
        </w:rPr>
        <w:fldChar w:fldCharType="end"/>
      </w:r>
      <w:r>
        <w:rPr>
          <w:rFonts w:hint="eastAsia"/>
          <w:color w:val="auto"/>
          <w:highlight w:val="none"/>
        </w:rPr>
        <w:fldChar w:fldCharType="end"/>
      </w:r>
    </w:p>
    <w:p>
      <w:pPr>
        <w:pStyle w:val="31"/>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_Toc19765 </w:instrText>
      </w:r>
      <w:r>
        <w:rPr>
          <w:rFonts w:hint="eastAsia"/>
          <w:color w:val="auto"/>
          <w:highlight w:val="none"/>
        </w:rPr>
        <w:fldChar w:fldCharType="separate"/>
      </w:r>
      <w:r>
        <w:rPr>
          <w:rFonts w:hint="eastAsia"/>
          <w:color w:val="auto"/>
          <w:highlight w:val="none"/>
        </w:rPr>
        <w:t>三、投标须知通用条款</w:t>
      </w:r>
      <w:r>
        <w:rPr>
          <w:color w:val="auto"/>
          <w:highlight w:val="none"/>
        </w:rPr>
        <w:tab/>
      </w:r>
      <w:r>
        <w:rPr>
          <w:color w:val="auto"/>
          <w:highlight w:val="none"/>
        </w:rPr>
        <w:fldChar w:fldCharType="begin"/>
      </w:r>
      <w:r>
        <w:rPr>
          <w:color w:val="auto"/>
          <w:highlight w:val="none"/>
        </w:rPr>
        <w:instrText xml:space="preserve"> PAGEREF _Toc19765 \h </w:instrText>
      </w:r>
      <w:r>
        <w:rPr>
          <w:color w:val="auto"/>
          <w:highlight w:val="none"/>
        </w:rPr>
        <w:fldChar w:fldCharType="separate"/>
      </w:r>
      <w:r>
        <w:rPr>
          <w:color w:val="auto"/>
          <w:highlight w:val="none"/>
        </w:rPr>
        <w:t>23</w:t>
      </w:r>
      <w:r>
        <w:rPr>
          <w:color w:val="auto"/>
          <w:highlight w:val="none"/>
        </w:rPr>
        <w:fldChar w:fldCharType="end"/>
      </w:r>
      <w:r>
        <w:rPr>
          <w:rFonts w:hint="eastAsia"/>
          <w:color w:val="auto"/>
          <w:highlight w:val="none"/>
        </w:rPr>
        <w:fldChar w:fldCharType="end"/>
      </w:r>
    </w:p>
    <w:p>
      <w:pPr>
        <w:pStyle w:val="20"/>
        <w:tabs>
          <w:tab w:val="right" w:leader="dot" w:pos="9070"/>
        </w:tabs>
        <w:rPr>
          <w:color w:val="auto"/>
          <w:highlight w:val="none"/>
        </w:rPr>
      </w:pPr>
      <w:r>
        <w:rPr>
          <w:rFonts w:hint="eastAsia"/>
          <w:color w:val="auto"/>
          <w:highlight w:val="none"/>
        </w:rPr>
        <w:fldChar w:fldCharType="begin"/>
      </w:r>
      <w:r>
        <w:rPr>
          <w:rFonts w:hint="eastAsia"/>
          <w:color w:val="auto"/>
          <w:highlight w:val="none"/>
        </w:rPr>
        <w:instrText xml:space="preserve"> HYPERLINK \l _Toc821 </w:instrText>
      </w:r>
      <w:r>
        <w:rPr>
          <w:rFonts w:hint="eastAsia"/>
          <w:color w:val="auto"/>
          <w:highlight w:val="none"/>
        </w:rPr>
        <w:fldChar w:fldCharType="separate"/>
      </w:r>
      <w:r>
        <w:rPr>
          <w:rFonts w:hint="eastAsia"/>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_Toc821 \h </w:instrText>
      </w:r>
      <w:r>
        <w:rPr>
          <w:color w:val="auto"/>
          <w:highlight w:val="none"/>
        </w:rPr>
        <w:fldChar w:fldCharType="separate"/>
      </w:r>
      <w:r>
        <w:rPr>
          <w:color w:val="auto"/>
          <w:highlight w:val="none"/>
        </w:rPr>
        <w:t>23</w:t>
      </w:r>
      <w:r>
        <w:rPr>
          <w:color w:val="auto"/>
          <w:highlight w:val="none"/>
        </w:rPr>
        <w:fldChar w:fldCharType="end"/>
      </w:r>
      <w:r>
        <w:rPr>
          <w:rFonts w:hint="eastAsia"/>
          <w:color w:val="auto"/>
          <w:highlight w:val="none"/>
        </w:rPr>
        <w:fldChar w:fldCharType="end"/>
      </w:r>
    </w:p>
    <w:p>
      <w:pPr>
        <w:pStyle w:val="20"/>
        <w:tabs>
          <w:tab w:val="right" w:leader="dot" w:pos="9070"/>
        </w:tabs>
        <w:rPr>
          <w:color w:val="auto"/>
          <w:highlight w:val="none"/>
        </w:rPr>
      </w:pPr>
      <w:r>
        <w:rPr>
          <w:rFonts w:hint="eastAsia"/>
          <w:color w:val="auto"/>
          <w:highlight w:val="none"/>
        </w:rPr>
        <w:fldChar w:fldCharType="begin"/>
      </w:r>
      <w:r>
        <w:rPr>
          <w:rFonts w:hint="eastAsia"/>
          <w:color w:val="auto"/>
          <w:highlight w:val="none"/>
        </w:rPr>
        <w:instrText xml:space="preserve"> HYPERLINK \l _Toc19361 </w:instrText>
      </w:r>
      <w:r>
        <w:rPr>
          <w:rFonts w:hint="eastAsia"/>
          <w:color w:val="auto"/>
          <w:highlight w:val="none"/>
        </w:rPr>
        <w:fldChar w:fldCharType="separate"/>
      </w:r>
      <w:r>
        <w:rPr>
          <w:rFonts w:hint="eastAsia"/>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_Toc19361 \h </w:instrText>
      </w:r>
      <w:r>
        <w:rPr>
          <w:color w:val="auto"/>
          <w:highlight w:val="none"/>
        </w:rPr>
        <w:fldChar w:fldCharType="separate"/>
      </w:r>
      <w:r>
        <w:rPr>
          <w:color w:val="auto"/>
          <w:highlight w:val="none"/>
        </w:rPr>
        <w:t>24</w:t>
      </w:r>
      <w:r>
        <w:rPr>
          <w:color w:val="auto"/>
          <w:highlight w:val="none"/>
        </w:rPr>
        <w:fldChar w:fldCharType="end"/>
      </w:r>
      <w:r>
        <w:rPr>
          <w:rFonts w:hint="eastAsia"/>
          <w:color w:val="auto"/>
          <w:highlight w:val="none"/>
        </w:rPr>
        <w:fldChar w:fldCharType="end"/>
      </w:r>
    </w:p>
    <w:p>
      <w:pPr>
        <w:pStyle w:val="20"/>
        <w:tabs>
          <w:tab w:val="right" w:leader="dot" w:pos="9070"/>
        </w:tabs>
        <w:rPr>
          <w:color w:val="auto"/>
          <w:highlight w:val="none"/>
        </w:rPr>
      </w:pPr>
      <w:r>
        <w:rPr>
          <w:rFonts w:hint="eastAsia"/>
          <w:color w:val="auto"/>
          <w:highlight w:val="none"/>
        </w:rPr>
        <w:fldChar w:fldCharType="begin"/>
      </w:r>
      <w:r>
        <w:rPr>
          <w:rFonts w:hint="eastAsia"/>
          <w:color w:val="auto"/>
          <w:highlight w:val="none"/>
        </w:rPr>
        <w:instrText xml:space="preserve"> HYPERLINK \l _Toc644 </w:instrText>
      </w:r>
      <w:r>
        <w:rPr>
          <w:rFonts w:hint="eastAsia"/>
          <w:color w:val="auto"/>
          <w:highlight w:val="none"/>
        </w:rPr>
        <w:fldChar w:fldCharType="separate"/>
      </w:r>
      <w:r>
        <w:rPr>
          <w:rFonts w:hint="eastAsia"/>
          <w:color w:val="auto"/>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_Toc644 \h </w:instrText>
      </w:r>
      <w:r>
        <w:rPr>
          <w:color w:val="auto"/>
          <w:highlight w:val="none"/>
        </w:rPr>
        <w:fldChar w:fldCharType="separate"/>
      </w:r>
      <w:r>
        <w:rPr>
          <w:color w:val="auto"/>
          <w:highlight w:val="none"/>
        </w:rPr>
        <w:t>26</w:t>
      </w:r>
      <w:r>
        <w:rPr>
          <w:color w:val="auto"/>
          <w:highlight w:val="none"/>
        </w:rPr>
        <w:fldChar w:fldCharType="end"/>
      </w:r>
      <w:r>
        <w:rPr>
          <w:rFonts w:hint="eastAsia"/>
          <w:color w:val="auto"/>
          <w:highlight w:val="none"/>
        </w:rPr>
        <w:fldChar w:fldCharType="end"/>
      </w:r>
    </w:p>
    <w:p>
      <w:pPr>
        <w:pStyle w:val="20"/>
        <w:tabs>
          <w:tab w:val="right" w:leader="dot" w:pos="9070"/>
        </w:tabs>
        <w:rPr>
          <w:color w:val="auto"/>
          <w:highlight w:val="none"/>
        </w:rPr>
      </w:pPr>
      <w:r>
        <w:rPr>
          <w:rFonts w:hint="eastAsia"/>
          <w:color w:val="auto"/>
          <w:highlight w:val="none"/>
        </w:rPr>
        <w:fldChar w:fldCharType="begin"/>
      </w:r>
      <w:r>
        <w:rPr>
          <w:rFonts w:hint="eastAsia"/>
          <w:color w:val="auto"/>
          <w:highlight w:val="none"/>
        </w:rPr>
        <w:instrText xml:space="preserve"> HYPERLINK \l _Toc32530 </w:instrText>
      </w:r>
      <w:r>
        <w:rPr>
          <w:rFonts w:hint="eastAsia"/>
          <w:color w:val="auto"/>
          <w:highlight w:val="none"/>
        </w:rPr>
        <w:fldChar w:fldCharType="separate"/>
      </w:r>
      <w:r>
        <w:rPr>
          <w:rFonts w:hint="eastAsia"/>
          <w:color w:val="auto"/>
          <w:highlight w:val="none"/>
        </w:rPr>
        <w:t>（四）投标文件的提交</w:t>
      </w:r>
      <w:r>
        <w:rPr>
          <w:color w:val="auto"/>
          <w:highlight w:val="none"/>
        </w:rPr>
        <w:tab/>
      </w:r>
      <w:r>
        <w:rPr>
          <w:color w:val="auto"/>
          <w:highlight w:val="none"/>
        </w:rPr>
        <w:fldChar w:fldCharType="begin"/>
      </w:r>
      <w:r>
        <w:rPr>
          <w:color w:val="auto"/>
          <w:highlight w:val="none"/>
        </w:rPr>
        <w:instrText xml:space="preserve"> PAGEREF _Toc32530 \h </w:instrText>
      </w:r>
      <w:r>
        <w:rPr>
          <w:color w:val="auto"/>
          <w:highlight w:val="none"/>
        </w:rPr>
        <w:fldChar w:fldCharType="separate"/>
      </w:r>
      <w:r>
        <w:rPr>
          <w:color w:val="auto"/>
          <w:highlight w:val="none"/>
        </w:rPr>
        <w:t>31</w:t>
      </w:r>
      <w:r>
        <w:rPr>
          <w:color w:val="auto"/>
          <w:highlight w:val="none"/>
        </w:rPr>
        <w:fldChar w:fldCharType="end"/>
      </w:r>
      <w:r>
        <w:rPr>
          <w:rFonts w:hint="eastAsia"/>
          <w:color w:val="auto"/>
          <w:highlight w:val="none"/>
        </w:rPr>
        <w:fldChar w:fldCharType="end"/>
      </w:r>
    </w:p>
    <w:p>
      <w:pPr>
        <w:pStyle w:val="20"/>
        <w:tabs>
          <w:tab w:val="right" w:leader="dot" w:pos="9070"/>
        </w:tabs>
        <w:rPr>
          <w:color w:val="auto"/>
          <w:highlight w:val="none"/>
        </w:rPr>
      </w:pPr>
      <w:r>
        <w:rPr>
          <w:rFonts w:hint="eastAsia"/>
          <w:color w:val="auto"/>
          <w:highlight w:val="none"/>
        </w:rPr>
        <w:fldChar w:fldCharType="begin"/>
      </w:r>
      <w:r>
        <w:rPr>
          <w:rFonts w:hint="eastAsia"/>
          <w:color w:val="auto"/>
          <w:highlight w:val="none"/>
        </w:rPr>
        <w:instrText xml:space="preserve"> HYPERLINK \l _Toc28853 </w:instrText>
      </w:r>
      <w:r>
        <w:rPr>
          <w:rFonts w:hint="eastAsia"/>
          <w:color w:val="auto"/>
          <w:highlight w:val="none"/>
        </w:rPr>
        <w:fldChar w:fldCharType="separate"/>
      </w:r>
      <w:r>
        <w:rPr>
          <w:rFonts w:hint="eastAsia"/>
          <w:color w:val="auto"/>
          <w:highlight w:val="none"/>
        </w:rPr>
        <w:t>（五）开标、评标、定标及合同签定</w:t>
      </w:r>
      <w:r>
        <w:rPr>
          <w:color w:val="auto"/>
          <w:highlight w:val="none"/>
        </w:rPr>
        <w:tab/>
      </w:r>
      <w:r>
        <w:rPr>
          <w:color w:val="auto"/>
          <w:highlight w:val="none"/>
        </w:rPr>
        <w:fldChar w:fldCharType="begin"/>
      </w:r>
      <w:r>
        <w:rPr>
          <w:color w:val="auto"/>
          <w:highlight w:val="none"/>
        </w:rPr>
        <w:instrText xml:space="preserve"> PAGEREF _Toc28853 \h </w:instrText>
      </w:r>
      <w:r>
        <w:rPr>
          <w:color w:val="auto"/>
          <w:highlight w:val="none"/>
        </w:rPr>
        <w:fldChar w:fldCharType="separate"/>
      </w:r>
      <w:r>
        <w:rPr>
          <w:color w:val="auto"/>
          <w:highlight w:val="none"/>
        </w:rPr>
        <w:t>33</w:t>
      </w:r>
      <w:r>
        <w:rPr>
          <w:color w:val="auto"/>
          <w:highlight w:val="none"/>
        </w:rPr>
        <w:fldChar w:fldCharType="end"/>
      </w:r>
      <w:r>
        <w:rPr>
          <w:rFonts w:hint="eastAsia"/>
          <w:color w:val="auto"/>
          <w:highlight w:val="none"/>
        </w:rPr>
        <w:fldChar w:fldCharType="end"/>
      </w:r>
    </w:p>
    <w:p>
      <w:pPr>
        <w:pStyle w:val="28"/>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_Toc17683 </w:instrText>
      </w:r>
      <w:r>
        <w:rPr>
          <w:rFonts w:hint="eastAsia"/>
          <w:color w:val="auto"/>
          <w:highlight w:val="none"/>
        </w:rPr>
        <w:fldChar w:fldCharType="separate"/>
      </w:r>
      <w:r>
        <w:rPr>
          <w:rFonts w:hint="eastAsia"/>
          <w:color w:val="auto"/>
          <w:highlight w:val="none"/>
        </w:rPr>
        <w:t>第二章</w:t>
      </w:r>
      <w:r>
        <w:rPr>
          <w:color w:val="auto"/>
          <w:highlight w:val="none"/>
        </w:rPr>
        <w:t xml:space="preserve">  </w:t>
      </w:r>
      <w:r>
        <w:rPr>
          <w:rFonts w:hint="eastAsia"/>
          <w:color w:val="auto"/>
          <w:highlight w:val="none"/>
        </w:rPr>
        <w:t>开标、评标及定标办法</w:t>
      </w:r>
      <w:r>
        <w:rPr>
          <w:color w:val="auto"/>
          <w:highlight w:val="none"/>
        </w:rPr>
        <w:tab/>
      </w:r>
      <w:r>
        <w:rPr>
          <w:color w:val="auto"/>
          <w:highlight w:val="none"/>
        </w:rPr>
        <w:fldChar w:fldCharType="begin"/>
      </w:r>
      <w:r>
        <w:rPr>
          <w:color w:val="auto"/>
          <w:highlight w:val="none"/>
        </w:rPr>
        <w:instrText xml:space="preserve"> PAGEREF _Toc17683 \h </w:instrText>
      </w:r>
      <w:r>
        <w:rPr>
          <w:color w:val="auto"/>
          <w:highlight w:val="none"/>
        </w:rPr>
        <w:fldChar w:fldCharType="separate"/>
      </w:r>
      <w:r>
        <w:rPr>
          <w:color w:val="auto"/>
          <w:highlight w:val="none"/>
        </w:rPr>
        <w:t>37</w:t>
      </w:r>
      <w:r>
        <w:rPr>
          <w:color w:val="auto"/>
          <w:highlight w:val="none"/>
        </w:rPr>
        <w:fldChar w:fldCharType="end"/>
      </w:r>
      <w:r>
        <w:rPr>
          <w:rFonts w:hint="eastAsia"/>
          <w:color w:val="auto"/>
          <w:highlight w:val="none"/>
        </w:rPr>
        <w:fldChar w:fldCharType="end"/>
      </w:r>
    </w:p>
    <w:p>
      <w:pPr>
        <w:pStyle w:val="31"/>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_Toc28311 </w:instrText>
      </w:r>
      <w:r>
        <w:rPr>
          <w:rFonts w:hint="eastAsia"/>
          <w:color w:val="auto"/>
          <w:highlight w:val="none"/>
        </w:rPr>
        <w:fldChar w:fldCharType="separate"/>
      </w:r>
      <w:r>
        <w:rPr>
          <w:rFonts w:hint="eastAsia"/>
          <w:color w:val="auto"/>
          <w:highlight w:val="none"/>
        </w:rPr>
        <w:t>一、开标、评标及定标办法修改表</w:t>
      </w:r>
      <w:r>
        <w:rPr>
          <w:color w:val="auto"/>
          <w:highlight w:val="none"/>
        </w:rPr>
        <w:tab/>
      </w:r>
      <w:r>
        <w:rPr>
          <w:color w:val="auto"/>
          <w:highlight w:val="none"/>
        </w:rPr>
        <w:fldChar w:fldCharType="begin"/>
      </w:r>
      <w:r>
        <w:rPr>
          <w:color w:val="auto"/>
          <w:highlight w:val="none"/>
        </w:rPr>
        <w:instrText xml:space="preserve"> PAGEREF _Toc28311 \h </w:instrText>
      </w:r>
      <w:r>
        <w:rPr>
          <w:color w:val="auto"/>
          <w:highlight w:val="none"/>
        </w:rPr>
        <w:fldChar w:fldCharType="separate"/>
      </w:r>
      <w:r>
        <w:rPr>
          <w:color w:val="auto"/>
          <w:highlight w:val="none"/>
        </w:rPr>
        <w:t>37</w:t>
      </w:r>
      <w:r>
        <w:rPr>
          <w:color w:val="auto"/>
          <w:highlight w:val="none"/>
        </w:rPr>
        <w:fldChar w:fldCharType="end"/>
      </w:r>
      <w:r>
        <w:rPr>
          <w:rFonts w:hint="eastAsia"/>
          <w:color w:val="auto"/>
          <w:highlight w:val="none"/>
        </w:rPr>
        <w:fldChar w:fldCharType="end"/>
      </w:r>
    </w:p>
    <w:p>
      <w:pPr>
        <w:pStyle w:val="31"/>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_Toc22241 </w:instrText>
      </w:r>
      <w:r>
        <w:rPr>
          <w:rFonts w:hint="eastAsia"/>
          <w:color w:val="auto"/>
          <w:highlight w:val="none"/>
        </w:rPr>
        <w:fldChar w:fldCharType="separate"/>
      </w:r>
      <w:r>
        <w:rPr>
          <w:rFonts w:hint="eastAsia"/>
          <w:color w:val="auto"/>
          <w:highlight w:val="none"/>
        </w:rPr>
        <w:t>二、开标、评标及定标办法通用条款</w:t>
      </w:r>
      <w:r>
        <w:rPr>
          <w:color w:val="auto"/>
          <w:highlight w:val="none"/>
        </w:rPr>
        <w:tab/>
      </w:r>
      <w:r>
        <w:rPr>
          <w:color w:val="auto"/>
          <w:highlight w:val="none"/>
        </w:rPr>
        <w:fldChar w:fldCharType="begin"/>
      </w:r>
      <w:r>
        <w:rPr>
          <w:color w:val="auto"/>
          <w:highlight w:val="none"/>
        </w:rPr>
        <w:instrText xml:space="preserve"> PAGEREF _Toc22241 \h </w:instrText>
      </w:r>
      <w:r>
        <w:rPr>
          <w:color w:val="auto"/>
          <w:highlight w:val="none"/>
        </w:rPr>
        <w:fldChar w:fldCharType="separate"/>
      </w:r>
      <w:r>
        <w:rPr>
          <w:color w:val="auto"/>
          <w:highlight w:val="none"/>
        </w:rPr>
        <w:t>48</w:t>
      </w:r>
      <w:r>
        <w:rPr>
          <w:color w:val="auto"/>
          <w:highlight w:val="none"/>
        </w:rPr>
        <w:fldChar w:fldCharType="end"/>
      </w:r>
      <w:r>
        <w:rPr>
          <w:rFonts w:hint="eastAsia"/>
          <w:color w:val="auto"/>
          <w:highlight w:val="none"/>
        </w:rPr>
        <w:fldChar w:fldCharType="end"/>
      </w:r>
    </w:p>
    <w:p>
      <w:pPr>
        <w:pStyle w:val="20"/>
        <w:tabs>
          <w:tab w:val="right" w:leader="dot" w:pos="9070"/>
        </w:tabs>
        <w:rPr>
          <w:color w:val="auto"/>
          <w:highlight w:val="none"/>
        </w:rPr>
      </w:pPr>
      <w:r>
        <w:rPr>
          <w:rFonts w:hint="eastAsia"/>
          <w:color w:val="auto"/>
          <w:highlight w:val="none"/>
        </w:rPr>
        <w:fldChar w:fldCharType="begin"/>
      </w:r>
      <w:r>
        <w:rPr>
          <w:rFonts w:hint="eastAsia"/>
          <w:color w:val="auto"/>
          <w:highlight w:val="none"/>
        </w:rPr>
        <w:instrText xml:space="preserve"> HYPERLINK \l _Toc9587 </w:instrText>
      </w:r>
      <w:r>
        <w:rPr>
          <w:rFonts w:hint="eastAsia"/>
          <w:color w:val="auto"/>
          <w:highlight w:val="none"/>
        </w:rPr>
        <w:fldChar w:fldCharType="separate"/>
      </w:r>
      <w:r>
        <w:rPr>
          <w:rFonts w:hint="eastAsia"/>
          <w:color w:val="auto"/>
          <w:highlight w:val="none"/>
          <w:lang w:val="en-US" w:eastAsia="zh-CN"/>
        </w:rPr>
        <w:t>（一）总则</w:t>
      </w:r>
      <w:r>
        <w:rPr>
          <w:color w:val="auto"/>
          <w:highlight w:val="none"/>
        </w:rPr>
        <w:tab/>
      </w:r>
      <w:r>
        <w:rPr>
          <w:color w:val="auto"/>
          <w:highlight w:val="none"/>
        </w:rPr>
        <w:fldChar w:fldCharType="begin"/>
      </w:r>
      <w:r>
        <w:rPr>
          <w:color w:val="auto"/>
          <w:highlight w:val="none"/>
        </w:rPr>
        <w:instrText xml:space="preserve"> PAGEREF _Toc9587 \h </w:instrText>
      </w:r>
      <w:r>
        <w:rPr>
          <w:color w:val="auto"/>
          <w:highlight w:val="none"/>
        </w:rPr>
        <w:fldChar w:fldCharType="separate"/>
      </w:r>
      <w:r>
        <w:rPr>
          <w:color w:val="auto"/>
          <w:highlight w:val="none"/>
        </w:rPr>
        <w:t>48</w:t>
      </w:r>
      <w:r>
        <w:rPr>
          <w:color w:val="auto"/>
          <w:highlight w:val="none"/>
        </w:rPr>
        <w:fldChar w:fldCharType="end"/>
      </w:r>
      <w:r>
        <w:rPr>
          <w:rFonts w:hint="eastAsia"/>
          <w:color w:val="auto"/>
          <w:highlight w:val="none"/>
        </w:rPr>
        <w:fldChar w:fldCharType="end"/>
      </w:r>
    </w:p>
    <w:p>
      <w:pPr>
        <w:pStyle w:val="20"/>
        <w:tabs>
          <w:tab w:val="right" w:leader="dot" w:pos="9070"/>
        </w:tabs>
        <w:rPr>
          <w:color w:val="auto"/>
          <w:highlight w:val="none"/>
        </w:rPr>
      </w:pPr>
      <w:r>
        <w:rPr>
          <w:rFonts w:hint="eastAsia"/>
          <w:color w:val="auto"/>
          <w:highlight w:val="none"/>
        </w:rPr>
        <w:fldChar w:fldCharType="begin"/>
      </w:r>
      <w:r>
        <w:rPr>
          <w:rFonts w:hint="eastAsia"/>
          <w:color w:val="auto"/>
          <w:highlight w:val="none"/>
        </w:rPr>
        <w:instrText xml:space="preserve"> HYPERLINK \l _Toc16793 </w:instrText>
      </w:r>
      <w:r>
        <w:rPr>
          <w:rFonts w:hint="eastAsia"/>
          <w:color w:val="auto"/>
          <w:highlight w:val="none"/>
        </w:rPr>
        <w:fldChar w:fldCharType="separate"/>
      </w:r>
      <w:r>
        <w:rPr>
          <w:rFonts w:hint="eastAsia"/>
          <w:bCs/>
          <w:color w:val="auto"/>
          <w:highlight w:val="none"/>
          <w:lang w:eastAsia="zh-CN"/>
        </w:rPr>
        <w:t>（二）</w:t>
      </w:r>
      <w:r>
        <w:rPr>
          <w:rFonts w:hint="eastAsia"/>
          <w:bCs/>
          <w:color w:val="auto"/>
          <w:highlight w:val="none"/>
        </w:rPr>
        <w:t>开标评标办法程序和细则</w:t>
      </w:r>
      <w:r>
        <w:rPr>
          <w:rFonts w:hint="eastAsia"/>
          <w:bCs/>
          <w:color w:val="auto"/>
          <w:highlight w:val="none"/>
          <w:u w:val="single"/>
          <w:lang w:eastAsia="zh-CN"/>
        </w:rPr>
        <w:t>（</w:t>
      </w:r>
      <w:r>
        <w:rPr>
          <w:rFonts w:hint="eastAsia"/>
          <w:color w:val="auto"/>
          <w:highlight w:val="none"/>
          <w:u w:val="single"/>
        </w:rPr>
        <w:t>可选办法七（适合综合评分法四，技术标与经济标同时开启</w:t>
      </w:r>
      <w:r>
        <w:rPr>
          <w:rFonts w:hint="eastAsia" w:ascii="宋体" w:hAnsi="宋体" w:eastAsia="宋体" w:cs="Times New Roman"/>
          <w:color w:val="auto"/>
          <w:kern w:val="2"/>
          <w:szCs w:val="24"/>
          <w:highlight w:val="none"/>
          <w:u w:val="single"/>
          <w:lang w:val="en-US" w:eastAsia="zh-CN" w:bidi="ar-SA"/>
        </w:rPr>
        <w:t>）</w:t>
      </w:r>
      <w:r>
        <w:rPr>
          <w:color w:val="auto"/>
          <w:highlight w:val="none"/>
        </w:rPr>
        <w:tab/>
      </w:r>
      <w:r>
        <w:rPr>
          <w:color w:val="auto"/>
          <w:highlight w:val="none"/>
        </w:rPr>
        <w:fldChar w:fldCharType="begin"/>
      </w:r>
      <w:r>
        <w:rPr>
          <w:color w:val="auto"/>
          <w:highlight w:val="none"/>
        </w:rPr>
        <w:instrText xml:space="preserve"> PAGEREF _Toc16793 \h </w:instrText>
      </w:r>
      <w:r>
        <w:rPr>
          <w:color w:val="auto"/>
          <w:highlight w:val="none"/>
        </w:rPr>
        <w:fldChar w:fldCharType="separate"/>
      </w:r>
      <w:r>
        <w:rPr>
          <w:color w:val="auto"/>
          <w:highlight w:val="none"/>
        </w:rPr>
        <w:t>52</w:t>
      </w:r>
      <w:r>
        <w:rPr>
          <w:color w:val="auto"/>
          <w:highlight w:val="none"/>
        </w:rPr>
        <w:fldChar w:fldCharType="end"/>
      </w:r>
      <w:r>
        <w:rPr>
          <w:rFonts w:hint="eastAsia"/>
          <w:color w:val="auto"/>
          <w:highlight w:val="none"/>
        </w:rPr>
        <w:fldChar w:fldCharType="end"/>
      </w:r>
    </w:p>
    <w:p>
      <w:pPr>
        <w:pStyle w:val="28"/>
        <w:tabs>
          <w:tab w:val="right" w:leader="dot" w:pos="9070"/>
          <w:tab w:val="clear" w:pos="9060"/>
        </w:tabs>
        <w:rPr>
          <w:rFonts w:hint="eastAsia" w:eastAsia="宋体"/>
          <w:color w:val="auto"/>
          <w:highlight w:val="none"/>
          <w:lang w:eastAsia="zh-CN"/>
        </w:rPr>
      </w:pPr>
      <w:r>
        <w:rPr>
          <w:rFonts w:hint="eastAsia"/>
          <w:color w:val="auto"/>
          <w:highlight w:val="none"/>
        </w:rPr>
        <w:fldChar w:fldCharType="begin"/>
      </w:r>
      <w:r>
        <w:rPr>
          <w:rFonts w:hint="eastAsia"/>
          <w:color w:val="auto"/>
          <w:highlight w:val="none"/>
        </w:rPr>
        <w:instrText xml:space="preserve"> HYPERLINK \l _Toc15112 </w:instrText>
      </w:r>
      <w:r>
        <w:rPr>
          <w:rFonts w:hint="eastAsia"/>
          <w:color w:val="auto"/>
          <w:highlight w:val="none"/>
        </w:rPr>
        <w:fldChar w:fldCharType="separate"/>
      </w:r>
      <w:r>
        <w:rPr>
          <w:rFonts w:hint="eastAsia"/>
          <w:color w:val="auto"/>
          <w:highlight w:val="none"/>
        </w:rPr>
        <w:t>第三章</w:t>
      </w:r>
      <w:r>
        <w:rPr>
          <w:color w:val="auto"/>
          <w:highlight w:val="none"/>
        </w:rPr>
        <w:t xml:space="preserve">  </w:t>
      </w:r>
      <w:r>
        <w:rPr>
          <w:rFonts w:hint="eastAsia"/>
          <w:color w:val="auto"/>
          <w:highlight w:val="none"/>
        </w:rPr>
        <w:t>合同条款</w:t>
      </w:r>
      <w:r>
        <w:rPr>
          <w:rFonts w:hint="eastAsia"/>
          <w:color w:val="auto"/>
          <w:highlight w:val="none"/>
          <w:lang w:eastAsia="zh-CN"/>
        </w:rPr>
        <w:t>及格式</w:t>
      </w:r>
      <w:r>
        <w:rPr>
          <w:color w:val="auto"/>
          <w:highlight w:val="none"/>
        </w:rPr>
        <w:tab/>
      </w:r>
      <w:r>
        <w:rPr>
          <w:color w:val="auto"/>
          <w:highlight w:val="none"/>
        </w:rPr>
        <w:fldChar w:fldCharType="begin"/>
      </w:r>
      <w:r>
        <w:rPr>
          <w:color w:val="auto"/>
          <w:highlight w:val="none"/>
        </w:rPr>
        <w:instrText xml:space="preserve"> PAGEREF _Toc15112 \h </w:instrText>
      </w:r>
      <w:r>
        <w:rPr>
          <w:color w:val="auto"/>
          <w:highlight w:val="none"/>
        </w:rPr>
        <w:fldChar w:fldCharType="separate"/>
      </w:r>
      <w:r>
        <w:rPr>
          <w:color w:val="auto"/>
          <w:highlight w:val="none"/>
        </w:rPr>
        <w:t>72</w:t>
      </w:r>
      <w:r>
        <w:rPr>
          <w:color w:val="auto"/>
          <w:highlight w:val="none"/>
        </w:rPr>
        <w:fldChar w:fldCharType="end"/>
      </w:r>
      <w:r>
        <w:rPr>
          <w:rFonts w:hint="eastAsia"/>
          <w:color w:val="auto"/>
          <w:highlight w:val="none"/>
        </w:rPr>
        <w:fldChar w:fldCharType="end"/>
      </w:r>
      <w:r>
        <w:rPr>
          <w:rFonts w:hint="eastAsia"/>
          <w:color w:val="auto"/>
          <w:highlight w:val="none"/>
          <w:lang w:val="en-US" w:eastAsia="zh-CN"/>
        </w:rPr>
        <w:t>2</w:t>
      </w:r>
    </w:p>
    <w:p>
      <w:pPr>
        <w:pStyle w:val="28"/>
        <w:tabs>
          <w:tab w:val="right" w:leader="dot" w:pos="9070"/>
          <w:tab w:val="clear" w:pos="9060"/>
        </w:tabs>
        <w:rPr>
          <w:rFonts w:hint="eastAsia" w:eastAsia="宋体"/>
          <w:color w:val="auto"/>
          <w:highlight w:val="none"/>
          <w:lang w:eastAsia="zh-CN"/>
        </w:rPr>
      </w:pPr>
      <w:r>
        <w:rPr>
          <w:rFonts w:hint="eastAsia"/>
          <w:color w:val="auto"/>
          <w:highlight w:val="none"/>
        </w:rPr>
        <w:fldChar w:fldCharType="begin"/>
      </w:r>
      <w:r>
        <w:rPr>
          <w:rFonts w:hint="eastAsia"/>
          <w:color w:val="auto"/>
          <w:highlight w:val="none"/>
        </w:rPr>
        <w:instrText xml:space="preserve"> HYPERLINK \l _Toc29898 </w:instrText>
      </w:r>
      <w:r>
        <w:rPr>
          <w:rFonts w:hint="eastAsia"/>
          <w:color w:val="auto"/>
          <w:highlight w:val="none"/>
        </w:rPr>
        <w:fldChar w:fldCharType="separate"/>
      </w:r>
      <w:r>
        <w:rPr>
          <w:rFonts w:hint="eastAsia"/>
          <w:color w:val="auto"/>
          <w:highlight w:val="none"/>
        </w:rPr>
        <w:t>第四章</w:t>
      </w:r>
      <w:r>
        <w:rPr>
          <w:color w:val="auto"/>
          <w:highlight w:val="none"/>
        </w:rPr>
        <w:t xml:space="preserve">  </w:t>
      </w:r>
      <w:r>
        <w:rPr>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_Toc29898 \h </w:instrText>
      </w:r>
      <w:r>
        <w:rPr>
          <w:color w:val="auto"/>
          <w:highlight w:val="none"/>
        </w:rPr>
        <w:fldChar w:fldCharType="separate"/>
      </w:r>
      <w:r>
        <w:rPr>
          <w:color w:val="auto"/>
          <w:highlight w:val="none"/>
        </w:rPr>
        <w:t>73</w:t>
      </w:r>
      <w:r>
        <w:rPr>
          <w:color w:val="auto"/>
          <w:highlight w:val="none"/>
        </w:rPr>
        <w:fldChar w:fldCharType="end"/>
      </w:r>
      <w:r>
        <w:rPr>
          <w:rFonts w:hint="eastAsia"/>
          <w:color w:val="auto"/>
          <w:highlight w:val="none"/>
        </w:rPr>
        <w:fldChar w:fldCharType="end"/>
      </w:r>
      <w:r>
        <w:rPr>
          <w:rFonts w:hint="eastAsia"/>
          <w:color w:val="auto"/>
          <w:highlight w:val="none"/>
          <w:lang w:val="en-US" w:eastAsia="zh-CN"/>
        </w:rPr>
        <w:t>3</w:t>
      </w:r>
    </w:p>
    <w:p>
      <w:pPr>
        <w:pStyle w:val="28"/>
        <w:tabs>
          <w:tab w:val="right" w:leader="dot" w:pos="9070"/>
          <w:tab w:val="clear" w:pos="9060"/>
        </w:tabs>
        <w:rPr>
          <w:rFonts w:hint="eastAsia" w:eastAsia="宋体"/>
          <w:color w:val="auto"/>
          <w:highlight w:val="none"/>
          <w:lang w:eastAsia="zh-CN"/>
        </w:rPr>
      </w:pPr>
      <w:r>
        <w:rPr>
          <w:rFonts w:hint="eastAsia"/>
          <w:color w:val="auto"/>
          <w:highlight w:val="none"/>
        </w:rPr>
        <w:fldChar w:fldCharType="begin"/>
      </w:r>
      <w:r>
        <w:rPr>
          <w:rFonts w:hint="eastAsia"/>
          <w:color w:val="auto"/>
          <w:highlight w:val="none"/>
        </w:rPr>
        <w:instrText xml:space="preserve"> HYPERLINK \l _Toc26180 </w:instrText>
      </w:r>
      <w:r>
        <w:rPr>
          <w:rFonts w:hint="eastAsia"/>
          <w:color w:val="auto"/>
          <w:highlight w:val="none"/>
        </w:rPr>
        <w:fldChar w:fldCharType="separate"/>
      </w:r>
      <w:r>
        <w:rPr>
          <w:rFonts w:hint="eastAsia"/>
          <w:color w:val="auto"/>
          <w:highlight w:val="none"/>
        </w:rPr>
        <w:t>第五章</w:t>
      </w:r>
      <w:r>
        <w:rPr>
          <w:color w:val="auto"/>
          <w:highlight w:val="none"/>
        </w:rPr>
        <w:t xml:space="preserve">  </w:t>
      </w:r>
      <w:r>
        <w:rPr>
          <w:rFonts w:hint="eastAsia"/>
          <w:color w:val="auto"/>
          <w:highlight w:val="none"/>
        </w:rPr>
        <w:t>技术条件（工程建设标准）</w:t>
      </w:r>
      <w:r>
        <w:rPr>
          <w:color w:val="auto"/>
          <w:highlight w:val="none"/>
        </w:rPr>
        <w:tab/>
      </w:r>
      <w:r>
        <w:rPr>
          <w:color w:val="auto"/>
          <w:highlight w:val="none"/>
        </w:rPr>
        <w:fldChar w:fldCharType="begin"/>
      </w:r>
      <w:r>
        <w:rPr>
          <w:color w:val="auto"/>
          <w:highlight w:val="none"/>
        </w:rPr>
        <w:instrText xml:space="preserve"> PAGEREF _Toc26180 \h </w:instrText>
      </w:r>
      <w:r>
        <w:rPr>
          <w:color w:val="auto"/>
          <w:highlight w:val="none"/>
        </w:rPr>
        <w:fldChar w:fldCharType="separate"/>
      </w:r>
      <w:r>
        <w:rPr>
          <w:color w:val="auto"/>
          <w:highlight w:val="none"/>
        </w:rPr>
        <w:t>98</w:t>
      </w:r>
      <w:r>
        <w:rPr>
          <w:color w:val="auto"/>
          <w:highlight w:val="none"/>
        </w:rPr>
        <w:fldChar w:fldCharType="end"/>
      </w:r>
      <w:r>
        <w:rPr>
          <w:rFonts w:hint="eastAsia"/>
          <w:color w:val="auto"/>
          <w:highlight w:val="none"/>
        </w:rPr>
        <w:fldChar w:fldCharType="end"/>
      </w:r>
      <w:r>
        <w:rPr>
          <w:rFonts w:hint="eastAsia"/>
          <w:color w:val="auto"/>
          <w:highlight w:val="none"/>
          <w:lang w:val="en-US" w:eastAsia="zh-CN"/>
        </w:rPr>
        <w:t>0</w:t>
      </w:r>
    </w:p>
    <w:p>
      <w:pPr>
        <w:pStyle w:val="28"/>
        <w:tabs>
          <w:tab w:val="right" w:leader="dot" w:pos="9070"/>
          <w:tab w:val="clear" w:pos="9060"/>
        </w:tabs>
        <w:rPr>
          <w:rFonts w:hint="eastAsia" w:eastAsia="宋体"/>
          <w:color w:val="auto"/>
          <w:highlight w:val="none"/>
          <w:lang w:val="en-US" w:eastAsia="zh-CN"/>
        </w:rPr>
      </w:pPr>
      <w:r>
        <w:rPr>
          <w:rFonts w:hint="eastAsia"/>
          <w:color w:val="auto"/>
          <w:highlight w:val="none"/>
        </w:rPr>
        <w:fldChar w:fldCharType="begin"/>
      </w:r>
      <w:r>
        <w:rPr>
          <w:rFonts w:hint="eastAsia"/>
          <w:color w:val="auto"/>
          <w:highlight w:val="none"/>
        </w:rPr>
        <w:instrText xml:space="preserve"> HYPERLINK \l _Toc17091 </w:instrText>
      </w:r>
      <w:r>
        <w:rPr>
          <w:rFonts w:hint="eastAsia"/>
          <w:color w:val="auto"/>
          <w:highlight w:val="none"/>
        </w:rPr>
        <w:fldChar w:fldCharType="separate"/>
      </w:r>
      <w:r>
        <w:rPr>
          <w:rFonts w:hint="eastAsia"/>
          <w:color w:val="auto"/>
          <w:highlight w:val="none"/>
        </w:rPr>
        <w:t>第六章</w:t>
      </w:r>
      <w:r>
        <w:rPr>
          <w:color w:val="auto"/>
          <w:highlight w:val="none"/>
        </w:rPr>
        <w:t xml:space="preserve">  </w:t>
      </w:r>
      <w:r>
        <w:rPr>
          <w:rFonts w:hint="eastAsia"/>
          <w:color w:val="auto"/>
          <w:highlight w:val="none"/>
        </w:rPr>
        <w:t>图纸及勘察资料</w:t>
      </w:r>
      <w:r>
        <w:rPr>
          <w:color w:val="auto"/>
          <w:highlight w:val="none"/>
        </w:rPr>
        <w:tab/>
      </w:r>
      <w:r>
        <w:rPr>
          <w:color w:val="auto"/>
          <w:highlight w:val="none"/>
        </w:rPr>
        <w:fldChar w:fldCharType="begin"/>
      </w:r>
      <w:r>
        <w:rPr>
          <w:color w:val="auto"/>
          <w:highlight w:val="none"/>
        </w:rPr>
        <w:instrText xml:space="preserve"> PAGEREF _Toc17091 \h </w:instrText>
      </w:r>
      <w:r>
        <w:rPr>
          <w:color w:val="auto"/>
          <w:highlight w:val="none"/>
        </w:rPr>
        <w:fldChar w:fldCharType="separate"/>
      </w:r>
      <w:r>
        <w:rPr>
          <w:color w:val="auto"/>
          <w:highlight w:val="none"/>
        </w:rPr>
        <w:t>101</w:t>
      </w:r>
      <w:r>
        <w:rPr>
          <w:color w:val="auto"/>
          <w:highlight w:val="none"/>
        </w:rPr>
        <w:fldChar w:fldCharType="end"/>
      </w:r>
      <w:r>
        <w:rPr>
          <w:rFonts w:hint="eastAsia"/>
          <w:color w:val="auto"/>
          <w:highlight w:val="none"/>
        </w:rPr>
        <w:fldChar w:fldCharType="end"/>
      </w:r>
      <w:r>
        <w:rPr>
          <w:rFonts w:hint="eastAsia"/>
          <w:color w:val="auto"/>
          <w:highlight w:val="none"/>
          <w:lang w:val="en-US" w:eastAsia="zh-CN"/>
        </w:rPr>
        <w:t>1</w:t>
      </w:r>
    </w:p>
    <w:p>
      <w:pPr>
        <w:pStyle w:val="28"/>
        <w:tabs>
          <w:tab w:val="right" w:leader="dot" w:pos="9070"/>
          <w:tab w:val="clear" w:pos="9060"/>
        </w:tabs>
        <w:rPr>
          <w:rFonts w:hint="eastAsia" w:eastAsia="宋体"/>
          <w:color w:val="auto"/>
          <w:highlight w:val="none"/>
          <w:lang w:eastAsia="zh-CN"/>
        </w:rPr>
      </w:pPr>
      <w:r>
        <w:rPr>
          <w:rFonts w:hint="eastAsia"/>
          <w:color w:val="auto"/>
          <w:highlight w:val="none"/>
        </w:rPr>
        <w:fldChar w:fldCharType="begin"/>
      </w:r>
      <w:r>
        <w:rPr>
          <w:rFonts w:hint="eastAsia"/>
          <w:color w:val="auto"/>
          <w:highlight w:val="none"/>
        </w:rPr>
        <w:instrText xml:space="preserve"> HYPERLINK \l _Toc13042 </w:instrText>
      </w:r>
      <w:r>
        <w:rPr>
          <w:rFonts w:hint="eastAsia"/>
          <w:color w:val="auto"/>
          <w:highlight w:val="none"/>
        </w:rPr>
        <w:fldChar w:fldCharType="separate"/>
      </w:r>
      <w:r>
        <w:rPr>
          <w:rFonts w:hint="eastAsia"/>
          <w:color w:val="auto"/>
          <w:highlight w:val="none"/>
        </w:rPr>
        <w:t>第七章</w:t>
      </w:r>
      <w:r>
        <w:rPr>
          <w:color w:val="auto"/>
          <w:highlight w:val="none"/>
        </w:rPr>
        <w:t xml:space="preserve">  </w:t>
      </w:r>
      <w:r>
        <w:rPr>
          <w:rFonts w:hint="eastAsia"/>
          <w:color w:val="auto"/>
          <w:highlight w:val="none"/>
        </w:rPr>
        <w:t>工程量清单</w:t>
      </w:r>
      <w:r>
        <w:rPr>
          <w:color w:val="auto"/>
          <w:highlight w:val="none"/>
        </w:rPr>
        <w:tab/>
      </w:r>
      <w:r>
        <w:rPr>
          <w:color w:val="auto"/>
          <w:highlight w:val="none"/>
        </w:rPr>
        <w:fldChar w:fldCharType="begin"/>
      </w:r>
      <w:r>
        <w:rPr>
          <w:color w:val="auto"/>
          <w:highlight w:val="none"/>
        </w:rPr>
        <w:instrText xml:space="preserve"> PAGEREF _Toc13042 \h </w:instrText>
      </w:r>
      <w:r>
        <w:rPr>
          <w:color w:val="auto"/>
          <w:highlight w:val="none"/>
        </w:rPr>
        <w:fldChar w:fldCharType="separate"/>
      </w:r>
      <w:r>
        <w:rPr>
          <w:color w:val="auto"/>
          <w:highlight w:val="none"/>
        </w:rPr>
        <w:t>102</w:t>
      </w:r>
      <w:r>
        <w:rPr>
          <w:color w:val="auto"/>
          <w:highlight w:val="none"/>
        </w:rPr>
        <w:fldChar w:fldCharType="end"/>
      </w:r>
      <w:r>
        <w:rPr>
          <w:rFonts w:hint="eastAsia"/>
          <w:color w:val="auto"/>
          <w:highlight w:val="none"/>
        </w:rPr>
        <w:fldChar w:fldCharType="end"/>
      </w:r>
      <w:r>
        <w:rPr>
          <w:rFonts w:hint="eastAsia"/>
          <w:color w:val="auto"/>
          <w:highlight w:val="none"/>
          <w:lang w:val="en-US" w:eastAsia="zh-CN"/>
        </w:rPr>
        <w:t>2</w:t>
      </w:r>
    </w:p>
    <w:p>
      <w:pPr>
        <w:pStyle w:val="28"/>
        <w:tabs>
          <w:tab w:val="right" w:leader="dot" w:pos="9070"/>
          <w:tab w:val="clear" w:pos="9060"/>
        </w:tabs>
        <w:rPr>
          <w:rFonts w:hint="eastAsia" w:eastAsia="宋体"/>
          <w:color w:val="auto"/>
          <w:highlight w:val="none"/>
          <w:lang w:eastAsia="zh-CN"/>
        </w:rPr>
      </w:pPr>
      <w:r>
        <w:rPr>
          <w:rFonts w:hint="eastAsia"/>
          <w:color w:val="auto"/>
          <w:highlight w:val="none"/>
        </w:rPr>
        <w:fldChar w:fldCharType="begin"/>
      </w:r>
      <w:r>
        <w:rPr>
          <w:rFonts w:hint="eastAsia"/>
          <w:color w:val="auto"/>
          <w:highlight w:val="none"/>
        </w:rPr>
        <w:instrText xml:space="preserve"> HYPERLINK \l _Toc18445 </w:instrText>
      </w:r>
      <w:r>
        <w:rPr>
          <w:rFonts w:hint="eastAsia"/>
          <w:color w:val="auto"/>
          <w:highlight w:val="none"/>
        </w:rPr>
        <w:fldChar w:fldCharType="separate"/>
      </w:r>
      <w:r>
        <w:rPr>
          <w:rFonts w:hint="eastAsia"/>
          <w:color w:val="auto"/>
          <w:highlight w:val="none"/>
        </w:rPr>
        <w:t>第八章</w:t>
      </w:r>
      <w:r>
        <w:rPr>
          <w:color w:val="auto"/>
          <w:highlight w:val="none"/>
        </w:rPr>
        <w:t xml:space="preserve">  </w:t>
      </w:r>
      <w:r>
        <w:rPr>
          <w:rFonts w:hint="eastAsia"/>
          <w:color w:val="auto"/>
          <w:highlight w:val="none"/>
        </w:rPr>
        <w:t>最高投标限价</w:t>
      </w:r>
      <w:r>
        <w:rPr>
          <w:color w:val="auto"/>
          <w:highlight w:val="none"/>
        </w:rPr>
        <w:tab/>
      </w:r>
      <w:r>
        <w:rPr>
          <w:color w:val="auto"/>
          <w:highlight w:val="none"/>
        </w:rPr>
        <w:fldChar w:fldCharType="begin"/>
      </w:r>
      <w:r>
        <w:rPr>
          <w:color w:val="auto"/>
          <w:highlight w:val="none"/>
        </w:rPr>
        <w:instrText xml:space="preserve"> PAGEREF _Toc18445 \h </w:instrText>
      </w:r>
      <w:r>
        <w:rPr>
          <w:color w:val="auto"/>
          <w:highlight w:val="none"/>
        </w:rPr>
        <w:fldChar w:fldCharType="separate"/>
      </w:r>
      <w:r>
        <w:rPr>
          <w:color w:val="auto"/>
          <w:highlight w:val="none"/>
        </w:rPr>
        <w:t>103</w:t>
      </w:r>
      <w:r>
        <w:rPr>
          <w:color w:val="auto"/>
          <w:highlight w:val="none"/>
        </w:rPr>
        <w:fldChar w:fldCharType="end"/>
      </w:r>
      <w:r>
        <w:rPr>
          <w:rFonts w:hint="eastAsia"/>
          <w:color w:val="auto"/>
          <w:highlight w:val="none"/>
        </w:rPr>
        <w:fldChar w:fldCharType="end"/>
      </w:r>
      <w:r>
        <w:rPr>
          <w:rFonts w:hint="eastAsia"/>
          <w:color w:val="auto"/>
          <w:highlight w:val="none"/>
          <w:lang w:val="en-US" w:eastAsia="zh-CN"/>
        </w:rPr>
        <w:t>3</w:t>
      </w:r>
    </w:p>
    <w:p>
      <w:pPr>
        <w:pStyle w:val="3"/>
        <w:rPr>
          <w:rFonts w:hint="eastAsia"/>
          <w:color w:val="auto"/>
          <w:highlight w:val="none"/>
        </w:rPr>
      </w:pPr>
      <w:r>
        <w:rPr>
          <w:rFonts w:hint="eastAsia"/>
          <w:color w:val="auto"/>
          <w:highlight w:val="none"/>
        </w:rPr>
        <w:fldChar w:fldCharType="end"/>
      </w:r>
    </w:p>
    <w:p>
      <w:pPr>
        <w:pStyle w:val="3"/>
        <w:bidi w:val="0"/>
        <w:rPr>
          <w:rFonts w:hint="eastAsia"/>
          <w:color w:val="auto"/>
          <w:highlight w:val="none"/>
        </w:rPr>
      </w:pPr>
      <w:bookmarkStart w:id="2" w:name="_Toc31735"/>
      <w:bookmarkStart w:id="3" w:name="_Toc20110"/>
    </w:p>
    <w:p>
      <w:pPr>
        <w:pStyle w:val="5"/>
        <w:rPr>
          <w:rFonts w:hint="eastAsia"/>
          <w:color w:val="auto"/>
          <w:highlight w:val="none"/>
        </w:rPr>
      </w:pPr>
    </w:p>
    <w:p>
      <w:pPr>
        <w:rPr>
          <w:rFonts w:hint="eastAsia"/>
          <w:color w:val="auto"/>
          <w:highlight w:val="none"/>
        </w:rPr>
      </w:pPr>
      <w:r>
        <w:rPr>
          <w:rFonts w:hint="eastAsia"/>
          <w:color w:val="auto"/>
          <w:highlight w:val="none"/>
        </w:rPr>
        <w:br w:type="page"/>
      </w:r>
    </w:p>
    <w:p>
      <w:pPr>
        <w:pStyle w:val="3"/>
        <w:bidi w:val="0"/>
        <w:rPr>
          <w:color w:val="auto"/>
          <w:highlight w:val="none"/>
        </w:rPr>
      </w:pPr>
      <w:r>
        <w:rPr>
          <w:rFonts w:hint="eastAsia"/>
          <w:color w:val="auto"/>
          <w:highlight w:val="none"/>
        </w:rPr>
        <w:t>第一章</w:t>
      </w:r>
      <w:r>
        <w:rPr>
          <w:color w:val="auto"/>
          <w:highlight w:val="none"/>
        </w:rPr>
        <w:t xml:space="preserve">  </w:t>
      </w:r>
      <w:r>
        <w:rPr>
          <w:rFonts w:hint="eastAsia"/>
          <w:color w:val="auto"/>
          <w:highlight w:val="none"/>
        </w:rPr>
        <w:t>投标须知</w:t>
      </w:r>
      <w:bookmarkEnd w:id="0"/>
      <w:bookmarkEnd w:id="1"/>
      <w:bookmarkEnd w:id="2"/>
      <w:bookmarkEnd w:id="3"/>
    </w:p>
    <w:p>
      <w:pPr>
        <w:pStyle w:val="7"/>
        <w:bidi w:val="0"/>
        <w:rPr>
          <w:color w:val="auto"/>
          <w:highlight w:val="none"/>
        </w:rPr>
      </w:pPr>
      <w:bookmarkStart w:id="4" w:name="_Toc28976"/>
      <w:bookmarkStart w:id="5" w:name="_Toc7462"/>
      <w:bookmarkStart w:id="6" w:name="_Toc2272546"/>
      <w:bookmarkStart w:id="7" w:name="_Toc21525490"/>
      <w:r>
        <w:rPr>
          <w:rFonts w:hint="eastAsia"/>
          <w:color w:val="auto"/>
          <w:highlight w:val="none"/>
        </w:rPr>
        <w:t>一、投标须知前附表</w:t>
      </w:r>
      <w:bookmarkEnd w:id="4"/>
      <w:bookmarkEnd w:id="5"/>
      <w:bookmarkEnd w:id="6"/>
      <w:bookmarkEnd w:id="7"/>
    </w:p>
    <w:p>
      <w:pPr>
        <w:pStyle w:val="10"/>
        <w:spacing w:line="360" w:lineRule="auto"/>
        <w:ind w:firstLine="0"/>
        <w:rPr>
          <w:rFonts w:ascii="宋体" w:hAnsi="宋体"/>
          <w:b/>
          <w:color w:val="auto"/>
          <w:sz w:val="24"/>
          <w:szCs w:val="24"/>
          <w:highlight w:val="none"/>
        </w:rPr>
      </w:pPr>
      <w:r>
        <w:rPr>
          <w:rFonts w:hint="eastAsia" w:ascii="宋体" w:hAnsi="宋体"/>
          <w:b/>
          <w:color w:val="auto"/>
          <w:sz w:val="24"/>
          <w:szCs w:val="24"/>
          <w:highlight w:val="none"/>
        </w:rPr>
        <w:t>声明：本投标须知前附表使用</w:t>
      </w:r>
      <w:r>
        <w:rPr>
          <w:rFonts w:hint="eastAsia" w:ascii="宋体" w:hAnsi="宋体"/>
          <w:b/>
          <w:color w:val="auto"/>
          <w:sz w:val="24"/>
          <w:szCs w:val="24"/>
          <w:highlight w:val="none"/>
          <w:lang w:eastAsia="zh-CN"/>
        </w:rPr>
        <w:t>GZJTZB202</w:t>
      </w:r>
      <w:r>
        <w:rPr>
          <w:rFonts w:hint="eastAsia" w:ascii="宋体" w:hAnsi="宋体"/>
          <w:b/>
          <w:color w:val="auto"/>
          <w:sz w:val="24"/>
          <w:szCs w:val="24"/>
          <w:highlight w:val="none"/>
          <w:lang w:val="en-US" w:eastAsia="zh-CN"/>
        </w:rPr>
        <w:t>5</w:t>
      </w:r>
      <w:r>
        <w:rPr>
          <w:rFonts w:hint="eastAsia" w:ascii="宋体" w:hAnsi="宋体"/>
          <w:b/>
          <w:color w:val="auto"/>
          <w:sz w:val="24"/>
          <w:szCs w:val="24"/>
          <w:highlight w:val="none"/>
          <w:lang w:eastAsia="zh-CN"/>
        </w:rPr>
        <w:t>-3</w:t>
      </w:r>
      <w:r>
        <w:rPr>
          <w:rFonts w:hint="eastAsia" w:ascii="宋体" w:hAnsi="宋体"/>
          <w:b/>
          <w:color w:val="auto"/>
          <w:sz w:val="24"/>
          <w:szCs w:val="24"/>
          <w:highlight w:val="none"/>
        </w:rPr>
        <w:t>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7"/>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733"/>
        <w:gridCol w:w="59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blHeader/>
        </w:trPr>
        <w:tc>
          <w:tcPr>
            <w:tcW w:w="702" w:type="dxa"/>
            <w:tcBorders>
              <w:top w:val="doub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条款号</w:t>
            </w:r>
          </w:p>
        </w:tc>
        <w:tc>
          <w:tcPr>
            <w:tcW w:w="1733" w:type="dxa"/>
            <w:tcBorders>
              <w:top w:val="double" w:color="auto" w:sz="4" w:space="0"/>
              <w:left w:val="single" w:color="auto" w:sz="4" w:space="0"/>
              <w:bottom w:val="single" w:color="auto" w:sz="4" w:space="0"/>
              <w:right w:val="single" w:color="auto" w:sz="4" w:space="0"/>
            </w:tcBorders>
            <w:vAlign w:val="center"/>
          </w:tcPr>
          <w:p>
            <w:pPr>
              <w:ind w:firstLine="458"/>
              <w:rPr>
                <w:rFonts w:ascii="宋体" w:hAnsi="宋体"/>
                <w:color w:val="auto"/>
                <w:szCs w:val="21"/>
                <w:highlight w:val="none"/>
              </w:rPr>
            </w:pPr>
            <w:r>
              <w:rPr>
                <w:rFonts w:hint="eastAsia" w:ascii="宋体" w:hAnsi="宋体"/>
                <w:color w:val="auto"/>
                <w:szCs w:val="21"/>
                <w:highlight w:val="none"/>
              </w:rPr>
              <w:t>内容</w:t>
            </w:r>
          </w:p>
        </w:tc>
        <w:tc>
          <w:tcPr>
            <w:tcW w:w="5934" w:type="dxa"/>
            <w:tcBorders>
              <w:top w:val="double" w:color="auto" w:sz="4" w:space="0"/>
              <w:left w:val="single" w:color="auto" w:sz="4" w:space="0"/>
              <w:bottom w:val="single" w:color="auto" w:sz="4" w:space="0"/>
              <w:right w:val="double" w:color="auto" w:sz="4" w:space="0"/>
            </w:tcBorders>
            <w:vAlign w:val="center"/>
          </w:tcPr>
          <w:p>
            <w:pPr>
              <w:pStyle w:val="22"/>
              <w:ind w:firstLine="458"/>
              <w:jc w:val="center"/>
              <w:rPr>
                <w:rFonts w:ascii="宋体" w:hAnsi="宋体"/>
                <w:color w:val="auto"/>
                <w:szCs w:val="21"/>
                <w:highlight w:val="none"/>
              </w:rPr>
            </w:pPr>
            <w:r>
              <w:rPr>
                <w:rFonts w:hint="eastAsia" w:ascii="宋体" w:hAnsi="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w:t>
            </w:r>
          </w:p>
        </w:tc>
        <w:tc>
          <w:tcPr>
            <w:tcW w:w="17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定义</w:t>
            </w:r>
          </w:p>
        </w:tc>
        <w:tc>
          <w:tcPr>
            <w:tcW w:w="5934"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招标人（即发包人）：</w:t>
            </w:r>
            <w:r>
              <w:rPr>
                <w:rFonts w:hint="eastAsia" w:ascii="宋体" w:hAnsi="宋体"/>
                <w:color w:val="auto"/>
                <w:szCs w:val="21"/>
                <w:highlight w:val="none"/>
                <w:u w:val="single"/>
                <w:lang w:eastAsia="zh-CN"/>
              </w:rPr>
              <w:t>广州市增城区仙村镇沙滘村中坊股份经济合作社</w:t>
            </w:r>
          </w:p>
          <w:p>
            <w:pPr>
              <w:rPr>
                <w:rFonts w:hint="eastAsia" w:ascii="宋体" w:hAnsi="宋体" w:eastAsia="宋体"/>
                <w:color w:val="auto"/>
                <w:szCs w:val="21"/>
                <w:highlight w:val="none"/>
                <w:lang w:eastAsia="zh-CN"/>
              </w:rPr>
            </w:pPr>
            <w:r>
              <w:rPr>
                <w:rFonts w:hint="eastAsia" w:ascii="宋体" w:hAnsi="宋体"/>
                <w:color w:val="auto"/>
                <w:szCs w:val="21"/>
                <w:highlight w:val="none"/>
              </w:rPr>
              <w:t>招标代理：</w:t>
            </w:r>
            <w:r>
              <w:rPr>
                <w:rFonts w:hint="eastAsia" w:ascii="宋体" w:hAnsi="宋体"/>
                <w:color w:val="auto"/>
                <w:szCs w:val="21"/>
                <w:highlight w:val="none"/>
                <w:u w:val="single"/>
                <w:lang w:eastAsia="zh-CN"/>
              </w:rPr>
              <w:t>广州穗诚建设管理有限公司</w:t>
            </w:r>
          </w:p>
          <w:p>
            <w:pPr>
              <w:rPr>
                <w:rFonts w:ascii="宋体" w:hAnsi="宋体"/>
                <w:color w:val="auto"/>
                <w:szCs w:val="21"/>
                <w:highlight w:val="none"/>
              </w:rPr>
            </w:pPr>
            <w:r>
              <w:rPr>
                <w:rFonts w:hint="eastAsia" w:ascii="宋体" w:hAnsi="宋体"/>
                <w:color w:val="auto"/>
                <w:szCs w:val="21"/>
                <w:highlight w:val="none"/>
              </w:rPr>
              <w:t>设计单位：</w:t>
            </w:r>
            <w:r>
              <w:rPr>
                <w:rFonts w:ascii="宋体" w:hAnsi="宋体"/>
                <w:color w:val="auto"/>
                <w:szCs w:val="21"/>
                <w:highlight w:val="none"/>
                <w:u w:val="single"/>
              </w:rPr>
              <w:t xml:space="preserve"> </w:t>
            </w:r>
            <w:r>
              <w:rPr>
                <w:rFonts w:hint="eastAsia" w:ascii="宋体" w:hAnsi="宋体"/>
                <w:color w:val="auto"/>
                <w:szCs w:val="21"/>
                <w:highlight w:val="none"/>
                <w:u w:val="single"/>
              </w:rPr>
              <w:t>中撰工程设计有限公司</w:t>
            </w:r>
            <w:r>
              <w:rPr>
                <w:rFonts w:ascii="宋体" w:hAnsi="宋体"/>
                <w:color w:val="auto"/>
                <w:szCs w:val="21"/>
                <w:highlight w:val="none"/>
                <w:u w:val="single"/>
              </w:rPr>
              <w:t xml:space="preserve"> </w:t>
            </w:r>
          </w:p>
          <w:p>
            <w:pPr>
              <w:rPr>
                <w:rFonts w:ascii="宋体" w:hAnsi="宋体"/>
                <w:color w:val="auto"/>
                <w:szCs w:val="21"/>
                <w:highlight w:val="none"/>
                <w:u w:val="single"/>
              </w:rPr>
            </w:pPr>
            <w:r>
              <w:rPr>
                <w:rFonts w:hint="eastAsia" w:ascii="宋体" w:hAnsi="宋体"/>
                <w:color w:val="auto"/>
                <w:szCs w:val="21"/>
                <w:highlight w:val="none"/>
              </w:rPr>
              <w:t>监理单位：</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ascii="宋体" w:hAnsi="宋体"/>
                <w:color w:val="auto"/>
                <w:szCs w:val="21"/>
                <w:highlight w:val="none"/>
                <w:u w:val="single"/>
              </w:rPr>
              <w:t xml:space="preserve">   </w:t>
            </w:r>
          </w:p>
          <w:p>
            <w:pPr>
              <w:rPr>
                <w:rFonts w:ascii="宋体" w:hAnsi="宋体"/>
                <w:color w:val="auto"/>
                <w:szCs w:val="21"/>
                <w:highlight w:val="none"/>
              </w:rPr>
            </w:pPr>
            <w:r>
              <w:rPr>
                <w:rFonts w:hint="eastAsia" w:ascii="宋体" w:hAnsi="宋体"/>
                <w:color w:val="auto"/>
                <w:szCs w:val="21"/>
                <w:highlight w:val="none"/>
              </w:rPr>
              <w:t>检测机构：</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ascii="宋体" w:hAnsi="宋体"/>
                <w:color w:val="auto"/>
                <w:szCs w:val="21"/>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名称</w:t>
            </w:r>
          </w:p>
        </w:tc>
        <w:tc>
          <w:tcPr>
            <w:tcW w:w="5934" w:type="dxa"/>
            <w:tcBorders>
              <w:top w:val="single" w:color="auto" w:sz="4" w:space="0"/>
              <w:left w:val="single" w:color="auto" w:sz="4" w:space="0"/>
              <w:bottom w:val="single" w:color="auto" w:sz="4" w:space="0"/>
              <w:right w:val="double" w:color="auto" w:sz="4" w:space="0"/>
            </w:tcBorders>
            <w:vAlign w:val="center"/>
          </w:tcPr>
          <w:p>
            <w:pPr>
              <w:rPr>
                <w:rFonts w:hint="default" w:eastAsia="宋体"/>
                <w:color w:val="auto"/>
                <w:highlight w:val="none"/>
                <w:lang w:val="en-US" w:eastAsia="zh-CN"/>
              </w:rPr>
            </w:pPr>
            <w:r>
              <w:rPr>
                <w:rFonts w:hint="eastAsia"/>
                <w:color w:val="auto"/>
                <w:highlight w:val="none"/>
                <w:lang w:eastAsia="zh-CN"/>
              </w:rPr>
              <w:t>工程名称：</w:t>
            </w:r>
            <w:bookmarkStart w:id="8" w:name="OLE_LINK1"/>
            <w:r>
              <w:rPr>
                <w:rFonts w:hint="eastAsia"/>
                <w:color w:val="auto"/>
                <w:highlight w:val="none"/>
                <w:u w:val="single"/>
              </w:rPr>
              <w:t>仙村镇沙滘村中坊社纪念公园建设工程</w:t>
            </w:r>
            <w:bookmarkEnd w:id="8"/>
          </w:p>
          <w:p>
            <w:pPr>
              <w:pStyle w:val="21"/>
              <w:rPr>
                <w:rFonts w:hint="default" w:eastAsia="宋体"/>
                <w:color w:val="auto"/>
                <w:highlight w:val="none"/>
                <w:u w:val="single"/>
                <w:lang w:val="en-US" w:eastAsia="zh-CN"/>
              </w:rPr>
            </w:pPr>
            <w:r>
              <w:rPr>
                <w:rFonts w:hint="eastAsia" w:hAnsi="宋体"/>
                <w:color w:val="auto"/>
                <w:szCs w:val="21"/>
                <w:highlight w:val="none"/>
                <w:lang w:eastAsia="zh-CN"/>
              </w:rPr>
              <w:t>招标项目名称：</w:t>
            </w:r>
            <w:r>
              <w:rPr>
                <w:rFonts w:hint="eastAsia" w:hAnsi="宋体"/>
                <w:color w:val="auto"/>
                <w:szCs w:val="21"/>
                <w:highlight w:val="none"/>
                <w:u w:val="single"/>
                <w:lang w:val="en-US" w:eastAsia="zh-CN"/>
              </w:rPr>
              <w:t>仙村镇沙滘村中坊社纪念公园建设工程施工总承包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建设地点</w:t>
            </w:r>
          </w:p>
        </w:tc>
        <w:tc>
          <w:tcPr>
            <w:tcW w:w="5934"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建设规模</w:t>
            </w:r>
          </w:p>
        </w:tc>
        <w:tc>
          <w:tcPr>
            <w:tcW w:w="5934"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承包方式</w:t>
            </w:r>
          </w:p>
        </w:tc>
        <w:tc>
          <w:tcPr>
            <w:tcW w:w="5934"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（1）投标人根据招标人的招标文件、施工图纸及工程量清单等规定的范围内的工程内容。</w:t>
            </w:r>
          </w:p>
          <w:p>
            <w:pPr>
              <w:rPr>
                <w:rFonts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u w:val="single"/>
              </w:rPr>
              <w:t>由承包人包括但不限于包工、包料、包工期、包质量、包安全、包文明施工，包承包范围内工程验收通过、包移交、包结算、包资料整理、包总承包管理和现场整体组织、包专业协调及配合等。按招标文件和本合同规定的范围以分部分项工程综合单价包干，工程</w:t>
            </w:r>
            <w:r>
              <w:rPr>
                <w:rFonts w:hint="eastAsia" w:ascii="宋体" w:hAnsi="宋体" w:cs="宋体"/>
                <w:color w:val="auto"/>
                <w:szCs w:val="21"/>
                <w:highlight w:val="none"/>
                <w:u w:val="single"/>
                <w:lang w:val="en-US" w:eastAsia="zh-CN"/>
              </w:rPr>
              <w:t>量</w:t>
            </w:r>
            <w:r>
              <w:rPr>
                <w:rFonts w:hint="eastAsia" w:ascii="宋体" w:hAnsi="宋体" w:cs="宋体"/>
                <w:color w:val="auto"/>
                <w:szCs w:val="21"/>
                <w:highlight w:val="none"/>
                <w:u w:val="single"/>
              </w:rPr>
              <w:t>按实结算。措施项目费合价包干。</w:t>
            </w:r>
          </w:p>
          <w:p>
            <w:pPr>
              <w:pStyle w:val="10"/>
              <w:ind w:firstLine="0" w:firstLineChars="0"/>
              <w:rPr>
                <w:rFonts w:ascii="宋体" w:hAnsi="宋体"/>
                <w:color w:val="auto"/>
                <w:szCs w:val="21"/>
                <w:highlight w:val="none"/>
              </w:rPr>
            </w:pPr>
            <w:r>
              <w:rPr>
                <w:rFonts w:hint="eastAsia"/>
                <w:color w:val="auto"/>
                <w:highlight w:val="none"/>
                <w:u w:val="single"/>
              </w:rPr>
              <w:t>具体详见合同条款约定。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shd w:val="clear"/>
              </w:rPr>
              <w:t>质量标准</w:t>
            </w:r>
          </w:p>
        </w:tc>
        <w:tc>
          <w:tcPr>
            <w:tcW w:w="5934" w:type="dxa"/>
            <w:tcBorders>
              <w:top w:val="single" w:color="auto" w:sz="4" w:space="0"/>
              <w:left w:val="single" w:color="auto" w:sz="4" w:space="0"/>
              <w:bottom w:val="single" w:color="auto" w:sz="4" w:space="0"/>
              <w:right w:val="double" w:color="auto" w:sz="4" w:space="0"/>
            </w:tcBorders>
            <w:vAlign w:val="center"/>
          </w:tcPr>
          <w:p>
            <w:pPr>
              <w:pStyle w:val="10"/>
              <w:numPr>
                <w:ilvl w:val="0"/>
                <w:numId w:val="0"/>
              </w:numPr>
              <w:ind w:firstLine="0"/>
              <w:rPr>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1）</w:t>
            </w:r>
            <w:r>
              <w:rPr>
                <w:rFonts w:hint="eastAsia" w:ascii="宋体" w:hAnsi="宋体"/>
                <w:color w:val="auto"/>
                <w:highlight w:val="none"/>
              </w:rPr>
              <w:t>工程质量标准：</w:t>
            </w:r>
            <w:r>
              <w:rPr>
                <w:rFonts w:hint="eastAsia" w:ascii="宋体" w:hAnsi="宋体"/>
                <w:color w:val="auto"/>
                <w:highlight w:val="none"/>
                <w:u w:val="single"/>
              </w:rPr>
              <w:t>按现行工程质量验收标准达到质量一次竣工验收合格，并符合施工图纸要求和国家、行业有关标准、要求和规范，满足水务、供电</w:t>
            </w:r>
            <w:r>
              <w:rPr>
                <w:rFonts w:hint="eastAsia" w:ascii="宋体" w:hAnsi="宋体"/>
                <w:color w:val="auto"/>
                <w:highlight w:val="none"/>
                <w:u w:val="single"/>
                <w:lang w:eastAsia="zh-CN"/>
              </w:rPr>
              <w:t>、</w:t>
            </w:r>
            <w:r>
              <w:rPr>
                <w:rFonts w:hint="eastAsia" w:ascii="宋体" w:hAnsi="宋体"/>
                <w:color w:val="auto"/>
                <w:highlight w:val="none"/>
                <w:u w:val="single"/>
              </w:rPr>
              <w:t>市政等部门接管单位验收标准。</w:t>
            </w:r>
          </w:p>
          <w:p>
            <w:pPr>
              <w:pStyle w:val="10"/>
              <w:numPr>
                <w:ilvl w:val="0"/>
                <w:numId w:val="0"/>
              </w:numPr>
              <w:ind w:firstLine="0"/>
              <w:rPr>
                <w:rFonts w:hint="eastAsia" w:ascii="宋体" w:hAnsi="宋体" w:cs="宋体"/>
                <w:color w:val="auto"/>
                <w:szCs w:val="21"/>
                <w:highlight w:val="none"/>
                <w:u w:val="single"/>
              </w:rPr>
            </w:pPr>
            <w:r>
              <w:rPr>
                <w:rFonts w:hint="eastAsia" w:ascii="宋体" w:hAnsi="宋体"/>
                <w:color w:val="auto"/>
                <w:highlight w:val="none"/>
                <w:lang w:eastAsia="zh-CN"/>
              </w:rPr>
              <w:t>（</w:t>
            </w:r>
            <w:r>
              <w:rPr>
                <w:rFonts w:hint="eastAsia" w:ascii="宋体" w:hAnsi="宋体"/>
                <w:color w:val="auto"/>
                <w:highlight w:val="none"/>
                <w:lang w:val="en-US" w:eastAsia="zh-CN"/>
              </w:rPr>
              <w:t>2）</w:t>
            </w:r>
            <w:r>
              <w:rPr>
                <w:rFonts w:hint="eastAsia" w:ascii="宋体" w:hAnsi="宋体"/>
                <w:color w:val="auto"/>
                <w:highlight w:val="none"/>
              </w:rPr>
              <w:t>安全文明施工目标：</w:t>
            </w:r>
            <w:r>
              <w:rPr>
                <w:rFonts w:hint="eastAsia" w:ascii="宋体" w:hAnsi="宋体" w:cs="宋体"/>
                <w:color w:val="auto"/>
                <w:szCs w:val="21"/>
                <w:highlight w:val="none"/>
                <w:u w:val="single"/>
              </w:rPr>
              <w:t>杜绝一般事故等级以上的伤亡事故且工伤责任事故死亡人数为零。</w:t>
            </w:r>
          </w:p>
          <w:p>
            <w:pPr>
              <w:pStyle w:val="10"/>
              <w:numPr>
                <w:ilvl w:val="0"/>
                <w:numId w:val="0"/>
              </w:numPr>
              <w:ind w:left="0" w:leftChars="0" w:firstLine="0" w:firstLineChars="0"/>
              <w:rPr>
                <w:rFonts w:ascii="宋体" w:hAnsi="宋体"/>
                <w:color w:val="auto"/>
                <w:szCs w:val="21"/>
                <w:highlight w:val="none"/>
                <w:u w:val="single"/>
              </w:rPr>
            </w:pP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lang w:eastAsia="zh-CN"/>
              </w:rPr>
              <w:t>绿色建筑标准：按照绿色施工最新标准执行，工程质量等级达优良标准。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招标范围</w:t>
            </w:r>
          </w:p>
        </w:tc>
        <w:tc>
          <w:tcPr>
            <w:tcW w:w="5934"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工期要求</w:t>
            </w:r>
          </w:p>
        </w:tc>
        <w:tc>
          <w:tcPr>
            <w:tcW w:w="5934"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2025</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日计划开工，施工总</w:t>
            </w:r>
            <w:r>
              <w:rPr>
                <w:rFonts w:hint="eastAsia" w:ascii="宋体" w:hAnsi="宋体"/>
                <w:color w:val="auto"/>
                <w:szCs w:val="21"/>
                <w:highlight w:val="none"/>
                <w:lang w:val="en-US" w:eastAsia="zh-CN"/>
              </w:rPr>
              <w:t>工</w:t>
            </w:r>
            <w:r>
              <w:rPr>
                <w:rFonts w:hint="eastAsia" w:ascii="宋体" w:hAnsi="宋体"/>
                <w:color w:val="auto"/>
                <w:szCs w:val="21"/>
                <w:highlight w:val="none"/>
              </w:rPr>
              <w:t>期：</w:t>
            </w:r>
            <w:r>
              <w:rPr>
                <w:rFonts w:hint="eastAsia" w:ascii="宋体" w:hAnsi="宋体"/>
                <w:color w:val="auto"/>
                <w:szCs w:val="21"/>
                <w:highlight w:val="none"/>
                <w:u w:val="single"/>
                <w:lang w:val="en-US" w:eastAsia="zh-CN"/>
              </w:rPr>
              <w:t>90</w:t>
            </w:r>
            <w:r>
              <w:rPr>
                <w:rFonts w:ascii="宋体" w:hAnsi="宋体"/>
                <w:color w:val="auto"/>
                <w:szCs w:val="21"/>
                <w:highlight w:val="none"/>
                <w:u w:val="single"/>
              </w:rPr>
              <w:t xml:space="preserve"> </w:t>
            </w:r>
            <w:r>
              <w:rPr>
                <w:rFonts w:hint="eastAsia" w:ascii="宋体" w:hAnsi="宋体"/>
                <w:color w:val="auto"/>
                <w:szCs w:val="21"/>
                <w:highlight w:val="none"/>
              </w:rPr>
              <w:t>日历天。</w:t>
            </w:r>
            <w:r>
              <w:rPr>
                <w:rFonts w:ascii="宋体" w:hAnsi="宋体"/>
                <w:color w:val="auto"/>
                <w:szCs w:val="21"/>
                <w:highlight w:val="none"/>
              </w:rPr>
              <w:t xml:space="preserve">  </w:t>
            </w:r>
          </w:p>
          <w:p>
            <w:pPr>
              <w:rPr>
                <w:rFonts w:ascii="宋体" w:hAnsi="宋体"/>
                <w:color w:val="auto"/>
                <w:szCs w:val="21"/>
                <w:highlight w:val="none"/>
              </w:rPr>
            </w:pPr>
            <w:r>
              <w:rPr>
                <w:rFonts w:hint="eastAsia" w:ascii="宋体" w:hAnsi="宋体" w:cs="宋体"/>
                <w:color w:val="auto"/>
                <w:szCs w:val="21"/>
                <w:highlight w:val="none"/>
                <w:u w:val="single"/>
              </w:rPr>
              <w:t>具体开工日期以总监理工程师发出的开工令为准，</w:t>
            </w:r>
            <w:r>
              <w:rPr>
                <w:rFonts w:hint="eastAsia"/>
                <w:color w:val="auto"/>
                <w:highlight w:val="none"/>
                <w:u w:val="single"/>
              </w:rPr>
              <w:t>具体详见合同条款约定。</w:t>
            </w:r>
            <w:r>
              <w:rPr>
                <w:rFonts w:ascii="宋体" w:hAnsi="宋体"/>
                <w:color w:val="auto"/>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3.1</w:t>
            </w:r>
          </w:p>
        </w:tc>
        <w:tc>
          <w:tcPr>
            <w:tcW w:w="17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资金来源</w:t>
            </w:r>
          </w:p>
        </w:tc>
        <w:tc>
          <w:tcPr>
            <w:tcW w:w="5934"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4.1</w:t>
            </w:r>
          </w:p>
        </w:tc>
        <w:tc>
          <w:tcPr>
            <w:tcW w:w="17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投标人资质等级及项目负责人等级要求</w:t>
            </w:r>
          </w:p>
        </w:tc>
        <w:tc>
          <w:tcPr>
            <w:tcW w:w="5934"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4.2</w:t>
            </w:r>
          </w:p>
        </w:tc>
        <w:tc>
          <w:tcPr>
            <w:tcW w:w="17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资格审查方式</w:t>
            </w:r>
          </w:p>
        </w:tc>
        <w:tc>
          <w:tcPr>
            <w:tcW w:w="5934"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12</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lang w:val="en-US" w:eastAsia="zh-CN"/>
              </w:rPr>
            </w:pPr>
            <w:r>
              <w:rPr>
                <w:rFonts w:ascii="宋体" w:hAnsi="宋体"/>
                <w:color w:val="auto"/>
                <w:szCs w:val="21"/>
                <w:highlight w:val="none"/>
              </w:rPr>
              <w:t>5</w:t>
            </w:r>
          </w:p>
        </w:tc>
        <w:tc>
          <w:tcPr>
            <w:tcW w:w="17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踏勘现场及投标费用</w:t>
            </w:r>
          </w:p>
        </w:tc>
        <w:tc>
          <w:tcPr>
            <w:tcW w:w="593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Times New Roman"/>
                <w:color w:val="auto"/>
                <w:sz w:val="21"/>
                <w:highlight w:val="none"/>
                <w:u w:val="single"/>
                <w:lang w:val="en-US" w:eastAsia="zh-CN" w:bidi="ar-SA"/>
              </w:rPr>
            </w:pPr>
            <w:r>
              <w:rPr>
                <w:rFonts w:hint="eastAsia" w:ascii="宋体" w:hAnsi="宋体" w:eastAsia="宋体" w:cs="Times New Roman"/>
                <w:color w:val="auto"/>
                <w:sz w:val="21"/>
                <w:highlight w:val="none"/>
                <w:lang w:val="en-US" w:eastAsia="zh-CN" w:bidi="ar-SA"/>
              </w:rPr>
              <w:t>招标人不集中组织，由投标人自行踏勘；</w:t>
            </w:r>
            <w:r>
              <w:rPr>
                <w:rFonts w:hint="eastAsia" w:ascii="宋体" w:hAnsi="宋体" w:eastAsia="宋体" w:cs="Times New Roman"/>
                <w:color w:val="auto"/>
                <w:sz w:val="21"/>
                <w:highlight w:val="none"/>
                <w:u w:val="single"/>
                <w:lang w:val="en-US" w:eastAsia="zh-CN" w:bidi="ar-SA"/>
              </w:rPr>
              <w:t>自招标公告发布之日起</w:t>
            </w:r>
            <w:r>
              <w:rPr>
                <w:rFonts w:hint="eastAsia" w:ascii="宋体" w:hAnsi="宋体" w:eastAsia="宋体" w:cs="Times New Roman"/>
                <w:color w:val="auto"/>
                <w:sz w:val="21"/>
                <w:highlight w:val="none"/>
                <w:lang w:val="en-US" w:eastAsia="zh-CN" w:bidi="ar-SA"/>
              </w:rPr>
              <w:t>具备现场踏勘条件；现场详细地点：</w:t>
            </w:r>
            <w:r>
              <w:rPr>
                <w:rFonts w:hint="eastAsia" w:ascii="宋体" w:hAnsi="宋体" w:eastAsia="宋体" w:cs="Times New Roman"/>
                <w:color w:val="auto"/>
                <w:sz w:val="21"/>
                <w:highlight w:val="none"/>
                <w:u w:val="single"/>
                <w:lang w:val="en-US" w:eastAsia="zh-CN" w:bidi="ar-SA"/>
              </w:rPr>
              <w:t>项目地点</w:t>
            </w:r>
            <w:r>
              <w:rPr>
                <w:rFonts w:hint="eastAsia" w:ascii="宋体" w:hAnsi="宋体" w:cs="Times New Roman"/>
                <w:color w:val="auto"/>
                <w:sz w:val="21"/>
                <w:highlight w:val="none"/>
                <w:u w:val="single"/>
                <w:lang w:val="en-US" w:eastAsia="zh-CN" w:bidi="ar-SA"/>
              </w:rPr>
              <w:t>。</w:t>
            </w:r>
          </w:p>
          <w:p>
            <w:pPr>
              <w:rPr>
                <w:rFonts w:hint="eastAsia"/>
                <w:color w:val="auto"/>
                <w:highlight w:val="none"/>
                <w:u w:val="single"/>
                <w:lang w:val="en-US" w:eastAsia="zh-CN"/>
              </w:rPr>
            </w:pPr>
            <w:r>
              <w:rPr>
                <w:rFonts w:hint="eastAsia"/>
                <w:color w:val="auto"/>
                <w:highlight w:val="none"/>
                <w:u w:val="single"/>
                <w:lang w:val="en-US" w:eastAsia="zh-CN"/>
              </w:rPr>
              <w:t>补充说明如下：</w:t>
            </w:r>
          </w:p>
          <w:p>
            <w:pPr>
              <w:rPr>
                <w:rFonts w:hint="eastAsia"/>
                <w:color w:val="auto"/>
                <w:highlight w:val="none"/>
                <w:u w:val="single"/>
                <w:lang w:val="en-US" w:eastAsia="zh-CN"/>
              </w:rPr>
            </w:pPr>
            <w:r>
              <w:rPr>
                <w:rFonts w:hint="eastAsia"/>
                <w:color w:val="auto"/>
                <w:highlight w:val="none"/>
                <w:u w:val="single"/>
                <w:lang w:val="en-US" w:eastAsia="zh-CN"/>
              </w:rPr>
              <w:t>（1）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投标人若认为必要时，也可以独自增加现场考察活动。</w:t>
            </w:r>
          </w:p>
          <w:p>
            <w:pPr>
              <w:rPr>
                <w:rFonts w:hint="eastAsia"/>
                <w:color w:val="auto"/>
                <w:highlight w:val="none"/>
                <w:u w:val="single"/>
                <w:lang w:val="en-US" w:eastAsia="zh-CN"/>
              </w:rPr>
            </w:pPr>
            <w:r>
              <w:rPr>
                <w:rFonts w:hint="eastAsia"/>
                <w:color w:val="auto"/>
                <w:highlight w:val="none"/>
                <w:u w:val="single"/>
                <w:lang w:val="en-US" w:eastAsia="zh-CN"/>
              </w:rPr>
              <w:t>（2）投标人及其代表必须承担那些进入现场后，由于他们的行为所造成的人身伤害（不管是否致命）、财产损失或损坏，以及其他任何原因造成的损失、损坏或费用。招标人在投标人及其代表考察过程中不负任何责任。</w:t>
            </w:r>
          </w:p>
          <w:p>
            <w:pPr>
              <w:pStyle w:val="22"/>
              <w:rPr>
                <w:rFonts w:hint="eastAsia" w:ascii="宋体" w:hAnsi="宋体"/>
                <w:color w:val="auto"/>
                <w:szCs w:val="21"/>
                <w:highlight w:val="none"/>
              </w:rPr>
            </w:pPr>
            <w:r>
              <w:rPr>
                <w:rFonts w:hint="eastAsia"/>
                <w:color w:val="auto"/>
                <w:highlight w:val="none"/>
                <w:u w:val="single"/>
                <w:lang w:val="en-US" w:eastAsia="zh-CN"/>
              </w:rPr>
              <w:t>（3）由招标人提供的资料和数据，只是为了使投标人能够利用招标人现有的资料。招标人对投标人由此而作出的推论、解释和结论概不负责。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8</w:t>
            </w:r>
          </w:p>
        </w:tc>
        <w:tc>
          <w:tcPr>
            <w:tcW w:w="17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投标答疑</w:t>
            </w:r>
          </w:p>
        </w:tc>
        <w:tc>
          <w:tcPr>
            <w:tcW w:w="5934"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疑问提交时间：</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时前；</w:t>
            </w:r>
          </w:p>
          <w:p>
            <w:pPr>
              <w:rPr>
                <w:rFonts w:ascii="宋体" w:hAnsi="宋体"/>
                <w:color w:val="auto"/>
                <w:szCs w:val="21"/>
                <w:highlight w:val="none"/>
              </w:rPr>
            </w:pPr>
            <w:r>
              <w:rPr>
                <w:rFonts w:hint="eastAsia" w:ascii="宋体" w:hAnsi="宋体"/>
                <w:color w:val="auto"/>
                <w:szCs w:val="21"/>
                <w:highlight w:val="none"/>
              </w:rPr>
              <w:t>形式：投标人的疑问通过</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olor w:val="auto"/>
                <w:szCs w:val="21"/>
                <w:highlight w:val="none"/>
              </w:rPr>
              <w:t>交易平台提交。</w:t>
            </w:r>
          </w:p>
          <w:p>
            <w:pPr>
              <w:rPr>
                <w:rFonts w:hint="eastAsia" w:ascii="宋体" w:hAnsi="宋体"/>
                <w:color w:val="auto"/>
                <w:szCs w:val="21"/>
                <w:highlight w:val="none"/>
              </w:rPr>
            </w:pPr>
            <w:r>
              <w:rPr>
                <w:rFonts w:hint="eastAsia" w:ascii="宋体" w:hAnsi="宋体"/>
                <w:color w:val="auto"/>
                <w:szCs w:val="21"/>
                <w:highlight w:val="none"/>
              </w:rPr>
              <w:t>具体要求：按照交易平台关于全流程电子化项目的相关指南进行操作，详见：</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w:t>
            </w:r>
            <w:r>
              <w:rPr>
                <w:rFonts w:hint="eastAsia" w:ascii="宋体" w:hAnsi="宋体"/>
                <w:color w:val="auto"/>
                <w:szCs w:val="21"/>
                <w:highlight w:val="none"/>
              </w:rPr>
              <w:t>。提问一律不得署名。</w:t>
            </w:r>
          </w:p>
          <w:p>
            <w:pPr>
              <w:pStyle w:val="21"/>
              <w:rPr>
                <w:rFonts w:hint="eastAsia"/>
                <w:color w:val="auto"/>
                <w:highlight w:val="none"/>
                <w:lang w:val="en-US" w:eastAsia="zh-CN"/>
              </w:rPr>
            </w:pPr>
            <w:r>
              <w:rPr>
                <w:rFonts w:hint="eastAsia" w:ascii="宋体" w:hAnsi="宋体" w:eastAsia="宋体" w:cs="宋体"/>
                <w:b/>
                <w:bCs/>
                <w:color w:val="auto"/>
                <w:highlight w:val="none"/>
                <w:u w:val="single"/>
              </w:rPr>
              <w:t>请各投标人密切留意广州交易集团有限公司（广州公共资源交易中心）公布本项目的日程安排，投标人可登录广州交易集团有限公司（广州公共资源交易中心）网站首页，点击“建设工程”专栏中的“项目查询（日程安排、答疑纪要）”输入项目编号或项目名称查询最新信息安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13.1</w:t>
            </w:r>
          </w:p>
        </w:tc>
        <w:tc>
          <w:tcPr>
            <w:tcW w:w="17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报价以及单价和总价计算方式</w:t>
            </w:r>
          </w:p>
        </w:tc>
        <w:tc>
          <w:tcPr>
            <w:tcW w:w="5934"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u w:val="single"/>
              </w:rPr>
              <w:t>工程量清单计价。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15.1</w:t>
            </w:r>
          </w:p>
        </w:tc>
        <w:tc>
          <w:tcPr>
            <w:tcW w:w="17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投标有效期</w:t>
            </w:r>
          </w:p>
        </w:tc>
        <w:tc>
          <w:tcPr>
            <w:tcW w:w="5934"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u w:val="single"/>
                <w:lang w:val="en-US" w:eastAsia="zh-CN"/>
              </w:rPr>
              <w:t>180</w:t>
            </w:r>
            <w:r>
              <w:rPr>
                <w:rFonts w:hint="eastAsia" w:ascii="宋体" w:hAnsi="宋体"/>
                <w:color w:val="auto"/>
                <w:szCs w:val="21"/>
                <w:highlight w:val="none"/>
              </w:rPr>
              <w:t>日历天。（从投标截止之日计起）</w:t>
            </w:r>
            <w:r>
              <w:rPr>
                <w:rFonts w:hint="eastAsia" w:ascii="宋体" w:hAnsi="宋体"/>
                <w:color w:val="auto"/>
                <w:szCs w:val="21"/>
                <w:highlight w:val="none"/>
                <w:u w:val="single"/>
              </w:rPr>
              <w:t>如出现异议或投诉，则投标有效期自动延长至异议或投诉处理结束。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16.1</w:t>
            </w:r>
          </w:p>
        </w:tc>
        <w:tc>
          <w:tcPr>
            <w:tcW w:w="17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投标保证金</w:t>
            </w:r>
          </w:p>
        </w:tc>
        <w:tc>
          <w:tcPr>
            <w:tcW w:w="5934" w:type="dxa"/>
            <w:tcBorders>
              <w:top w:val="single" w:color="auto" w:sz="4" w:space="0"/>
              <w:left w:val="single" w:color="auto" w:sz="4" w:space="0"/>
              <w:bottom w:val="single" w:color="auto" w:sz="4" w:space="0"/>
              <w:right w:val="double" w:color="auto" w:sz="4" w:space="0"/>
            </w:tcBorders>
            <w:vAlign w:val="center"/>
          </w:tcPr>
          <w:p>
            <w:pPr>
              <w:pStyle w:val="21"/>
              <w:wordWrap w:val="0"/>
              <w:adjustRightInd w:val="0"/>
              <w:snapToGrid w:val="0"/>
              <w:spacing w:line="300" w:lineRule="auto"/>
              <w:rPr>
                <w:rFonts w:hint="eastAsia"/>
                <w:color w:val="auto"/>
                <w:highlight w:val="none"/>
                <w:u w:val="single"/>
              </w:rPr>
            </w:pPr>
            <w:r>
              <w:rPr>
                <w:rFonts w:hint="eastAsia"/>
                <w:color w:val="auto"/>
                <w:highlight w:val="none"/>
                <w:u w:val="single"/>
              </w:rPr>
              <w:t>本项目不收投标保证金。</w:t>
            </w:r>
          </w:p>
          <w:p>
            <w:pPr>
              <w:pStyle w:val="21"/>
              <w:wordWrap w:val="0"/>
              <w:adjustRightInd w:val="0"/>
              <w:snapToGrid w:val="0"/>
              <w:spacing w:line="300" w:lineRule="auto"/>
              <w:rPr>
                <w:rFonts w:hint="eastAsia" w:hAnsi="宋体" w:cs="宋体"/>
                <w:color w:val="auto"/>
                <w:szCs w:val="21"/>
                <w:highlight w:val="none"/>
                <w:u w:val="single"/>
              </w:rPr>
            </w:pPr>
            <w:r>
              <w:rPr>
                <w:rFonts w:hint="eastAsia" w:hAnsi="宋体" w:cs="宋体"/>
                <w:color w:val="auto"/>
                <w:szCs w:val="21"/>
                <w:highlight w:val="none"/>
                <w:u w:val="single"/>
              </w:rPr>
              <w:t>1、提供《关于投标保证金的承诺》（须按本招标文件第四章的“技术标投标文件格式”格式十</w:t>
            </w:r>
            <w:r>
              <w:rPr>
                <w:rFonts w:hint="eastAsia" w:hAnsi="宋体" w:cs="宋体"/>
                <w:color w:val="auto"/>
                <w:szCs w:val="21"/>
                <w:highlight w:val="none"/>
                <w:u w:val="single"/>
                <w:lang w:val="en-US" w:eastAsia="zh-CN"/>
              </w:rPr>
              <w:t>五</w:t>
            </w:r>
            <w:r>
              <w:rPr>
                <w:rFonts w:hint="eastAsia" w:hAnsi="宋体" w:cs="宋体"/>
                <w:color w:val="auto"/>
                <w:szCs w:val="21"/>
                <w:highlight w:val="none"/>
                <w:u w:val="single"/>
              </w:rPr>
              <w:t>）。</w:t>
            </w:r>
          </w:p>
          <w:p>
            <w:pPr>
              <w:pStyle w:val="21"/>
              <w:wordWrap w:val="0"/>
              <w:adjustRightInd w:val="0"/>
              <w:snapToGrid w:val="0"/>
              <w:spacing w:line="300" w:lineRule="auto"/>
              <w:rPr>
                <w:rFonts w:hint="eastAsia" w:ascii="楷体" w:hAnsi="楷体" w:eastAsia="楷体" w:cs="楷体"/>
                <w:color w:val="auto"/>
                <w:szCs w:val="21"/>
                <w:highlight w:val="none"/>
              </w:rPr>
            </w:pPr>
            <w:r>
              <w:rPr>
                <w:rFonts w:hint="eastAsia" w:ascii="楷体" w:hAnsi="楷体" w:eastAsia="楷体" w:cs="楷体"/>
                <w:color w:val="auto"/>
                <w:szCs w:val="21"/>
                <w:highlight w:val="none"/>
              </w:rPr>
              <w:t>注：</w:t>
            </w:r>
          </w:p>
          <w:p>
            <w:pPr>
              <w:pStyle w:val="21"/>
              <w:wordWrap w:val="0"/>
              <w:adjustRightInd w:val="0"/>
              <w:snapToGrid w:val="0"/>
              <w:spacing w:line="300" w:lineRule="auto"/>
              <w:rPr>
                <w:rFonts w:hint="eastAsia" w:ascii="楷体" w:hAnsi="楷体" w:eastAsia="楷体" w:cs="楷体"/>
                <w:color w:val="auto"/>
                <w:szCs w:val="21"/>
                <w:highlight w:val="none"/>
              </w:rPr>
            </w:pPr>
            <w:r>
              <w:rPr>
                <w:rFonts w:hint="eastAsia" w:ascii="楷体" w:hAnsi="楷体" w:eastAsia="楷体" w:cs="楷体"/>
                <w:color w:val="auto"/>
                <w:szCs w:val="21"/>
                <w:highlight w:val="none"/>
              </w:rPr>
              <w:t>1、政府投资项目不得收取投标保证金。鼓励招标人对简单小额项目不要求提供投标担保，对中小企业投标人免除投标担保。</w:t>
            </w:r>
          </w:p>
          <w:p>
            <w:pPr>
              <w:pStyle w:val="21"/>
              <w:wordWrap w:val="0"/>
              <w:adjustRightInd w:val="0"/>
              <w:snapToGrid w:val="0"/>
              <w:spacing w:line="300" w:lineRule="auto"/>
              <w:rPr>
                <w:rFonts w:hint="eastAsia" w:ascii="楷体" w:hAnsi="楷体" w:eastAsia="楷体" w:cs="楷体"/>
                <w:color w:val="auto"/>
                <w:szCs w:val="21"/>
                <w:highlight w:val="none"/>
              </w:rPr>
            </w:pPr>
            <w:r>
              <w:rPr>
                <w:rFonts w:hint="eastAsia" w:ascii="楷体" w:hAnsi="楷体" w:eastAsia="楷体" w:cs="楷体"/>
                <w:color w:val="auto"/>
                <w:szCs w:val="21"/>
                <w:highlight w:val="none"/>
              </w:rPr>
              <w:t>2、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pPr>
              <w:pStyle w:val="21"/>
              <w:rPr>
                <w:rFonts w:hint="eastAsia"/>
                <w:color w:val="auto"/>
                <w:highlight w:val="none"/>
                <w:lang w:eastAsia="zh-CN"/>
              </w:rPr>
            </w:pPr>
            <w:r>
              <w:rPr>
                <w:rFonts w:hint="eastAsia" w:ascii="楷体" w:hAnsi="楷体" w:eastAsia="楷体" w:cs="楷体"/>
                <w:strike w:val="0"/>
                <w:color w:val="auto"/>
                <w:szCs w:val="21"/>
                <w:highlight w:val="none"/>
              </w:rPr>
              <w:t>3、招标人在免收投标保证金的同时，应约定免交投标保证金的投标人存在16.4条款所列情形的后续处理措施。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.1</w:t>
            </w:r>
          </w:p>
        </w:tc>
        <w:tc>
          <w:tcPr>
            <w:tcW w:w="17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投标截止时间</w:t>
            </w:r>
          </w:p>
        </w:tc>
        <w:tc>
          <w:tcPr>
            <w:tcW w:w="5934" w:type="dxa"/>
            <w:tcBorders>
              <w:top w:val="single" w:color="auto" w:sz="4" w:space="0"/>
              <w:left w:val="single" w:color="auto" w:sz="4" w:space="0"/>
              <w:bottom w:val="single" w:color="auto" w:sz="4" w:space="0"/>
              <w:right w:val="double" w:color="auto" w:sz="4" w:space="0"/>
            </w:tcBorders>
            <w:vAlign w:val="center"/>
          </w:tcPr>
          <w:p>
            <w:pPr>
              <w:rPr>
                <w:rFonts w:ascii="宋体" w:hAnsi="宋体"/>
                <w:strike/>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20.1</w:t>
            </w:r>
          </w:p>
        </w:tc>
        <w:tc>
          <w:tcPr>
            <w:tcW w:w="17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开标开始时间和地点</w:t>
            </w:r>
          </w:p>
        </w:tc>
        <w:tc>
          <w:tcPr>
            <w:tcW w:w="5934" w:type="dxa"/>
            <w:tcBorders>
              <w:top w:val="single" w:color="auto" w:sz="4" w:space="0"/>
              <w:left w:val="single" w:color="auto" w:sz="4" w:space="0"/>
              <w:bottom w:val="single" w:color="auto" w:sz="4" w:space="0"/>
              <w:right w:val="double" w:color="auto" w:sz="4" w:space="0"/>
            </w:tcBorders>
            <w:vAlign w:val="center"/>
          </w:tcPr>
          <w:p>
            <w:pPr>
              <w:widowControl/>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（技术标和经济标同时开标）</w:t>
            </w:r>
          </w:p>
          <w:p>
            <w:pPr>
              <w:widowControl/>
              <w:numPr>
                <w:ilvl w:val="0"/>
                <w:numId w:val="3"/>
              </w:numPr>
              <w:jc w:val="left"/>
              <w:rPr>
                <w:rFonts w:hint="eastAsia" w:ascii="宋体" w:hAnsi="宋体" w:cs="宋体"/>
                <w:b w:val="0"/>
                <w:bCs w:val="0"/>
                <w:color w:val="auto"/>
                <w:kern w:val="0"/>
                <w:szCs w:val="21"/>
                <w:highlight w:val="none"/>
              </w:rPr>
            </w:pPr>
            <w:r>
              <w:rPr>
                <w:rFonts w:hint="eastAsia" w:ascii="宋体" w:hAnsi="宋体" w:cs="宋体"/>
                <w:bCs/>
                <w:color w:val="auto"/>
                <w:kern w:val="0"/>
                <w:szCs w:val="21"/>
                <w:highlight w:val="none"/>
              </w:rPr>
              <w:t>开标开始时间：</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日</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时</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分（与投标截止时间为同一时间），地点：</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第   开标室（广州市天河区天润路333号）</w:t>
            </w:r>
            <w:r>
              <w:rPr>
                <w:rFonts w:hint="eastAsia" w:ascii="宋体" w:hAnsi="宋体" w:cs="宋体"/>
                <w:bCs/>
                <w:color w:val="auto"/>
                <w:kern w:val="0"/>
                <w:szCs w:val="21"/>
                <w:highlight w:val="none"/>
              </w:rPr>
              <w:t>。</w:t>
            </w:r>
            <w:r>
              <w:rPr>
                <w:rFonts w:hint="eastAsia" w:ascii="宋体" w:hAnsi="宋体" w:cs="宋体"/>
                <w:b w:val="0"/>
                <w:bCs w:val="0"/>
                <w:color w:val="auto"/>
                <w:kern w:val="0"/>
                <w:szCs w:val="21"/>
                <w:highlight w:val="none"/>
              </w:rPr>
              <w:t>投标人也可选择参加在线开标，具体按照交易平台相关指南进行操作。详见：</w:t>
            </w:r>
            <w:r>
              <w:rPr>
                <w:rFonts w:hint="eastAsia" w:ascii="宋体" w:hAnsi="宋体" w:cs="宋体"/>
                <w:color w:val="auto"/>
                <w:kern w:val="0"/>
                <w:szCs w:val="21"/>
                <w:highlight w:val="none"/>
                <w:u w:val="single"/>
                <w:lang w:eastAsia="zh-CN"/>
              </w:rPr>
              <w:t>广州交易集团有限公司（广州公共资源交易中心）</w:t>
            </w:r>
            <w:r>
              <w:rPr>
                <w:rFonts w:hint="eastAsia" w:ascii="宋体" w:hAnsi="宋体" w:cs="宋体"/>
                <w:color w:val="auto"/>
                <w:kern w:val="0"/>
                <w:szCs w:val="21"/>
                <w:highlight w:val="none"/>
                <w:u w:val="single"/>
              </w:rPr>
              <w:t>网站</w:t>
            </w:r>
            <w:r>
              <w:rPr>
                <w:rFonts w:hint="eastAsia" w:ascii="宋体" w:hAnsi="宋体" w:cs="宋体"/>
                <w:b w:val="0"/>
                <w:bCs w:val="0"/>
                <w:color w:val="auto"/>
                <w:kern w:val="0"/>
                <w:szCs w:val="21"/>
                <w:highlight w:val="none"/>
              </w:rPr>
              <w:t>。</w:t>
            </w:r>
          </w:p>
          <w:p>
            <w:pPr>
              <w:widowControl/>
              <w:jc w:val="left"/>
              <w:rPr>
                <w:color w:val="auto"/>
                <w:highlight w:val="none"/>
              </w:rPr>
            </w:pPr>
            <w:r>
              <w:rPr>
                <w:rFonts w:hint="eastAsia"/>
                <w:color w:val="auto"/>
                <w:highlight w:val="none"/>
              </w:rPr>
              <w:t>注：投标文件解密问题。投标人只用执行一次解密，招标人执行解密次数根据招标文件开标次数确定。</w:t>
            </w:r>
          </w:p>
          <w:p>
            <w:pPr>
              <w:widowControl/>
              <w:jc w:val="left"/>
              <w:rPr>
                <w:color w:val="auto"/>
                <w:highlight w:val="none"/>
              </w:rPr>
            </w:pPr>
            <w:r>
              <w:rPr>
                <w:color w:val="auto"/>
                <w:highlight w:val="none"/>
              </w:rPr>
              <w:t>2、递交投标文件备用光盘时间：</w:t>
            </w:r>
            <w:r>
              <w:rPr>
                <w:color w:val="auto"/>
                <w:highlight w:val="none"/>
                <w:u w:val="single"/>
              </w:rPr>
              <w:t xml:space="preserve">    </w:t>
            </w:r>
            <w:r>
              <w:rPr>
                <w:rFonts w:hint="eastAsia"/>
                <w:color w:val="auto"/>
                <w:highlight w:val="none"/>
                <w:u w:val="single"/>
              </w:rPr>
              <w:t>年</w:t>
            </w:r>
            <w:r>
              <w:rPr>
                <w:color w:val="auto"/>
                <w:highlight w:val="none"/>
                <w:u w:val="single"/>
              </w:rPr>
              <w:t xml:space="preserve">   </w:t>
            </w:r>
            <w:r>
              <w:rPr>
                <w:rFonts w:hint="eastAsia"/>
                <w:color w:val="auto"/>
                <w:highlight w:val="none"/>
                <w:u w:val="single"/>
              </w:rPr>
              <w:t>月</w:t>
            </w:r>
            <w:r>
              <w:rPr>
                <w:color w:val="auto"/>
                <w:highlight w:val="none"/>
                <w:u w:val="single"/>
              </w:rPr>
              <w:t xml:space="preserve">   </w:t>
            </w:r>
            <w:r>
              <w:rPr>
                <w:rFonts w:hint="eastAsia"/>
                <w:color w:val="auto"/>
                <w:highlight w:val="none"/>
                <w:u w:val="single"/>
              </w:rPr>
              <w:t>日</w:t>
            </w:r>
            <w:r>
              <w:rPr>
                <w:color w:val="auto"/>
                <w:highlight w:val="none"/>
                <w:u w:val="single"/>
              </w:rPr>
              <w:t xml:space="preserve">   </w:t>
            </w:r>
            <w:r>
              <w:rPr>
                <w:rFonts w:hint="eastAsia"/>
                <w:color w:val="auto"/>
                <w:highlight w:val="none"/>
                <w:u w:val="single"/>
              </w:rPr>
              <w:t>时</w:t>
            </w:r>
            <w:r>
              <w:rPr>
                <w:color w:val="auto"/>
                <w:highlight w:val="none"/>
                <w:u w:val="single"/>
              </w:rPr>
              <w:t xml:space="preserve">   </w:t>
            </w:r>
            <w:r>
              <w:rPr>
                <w:rFonts w:hint="eastAsia"/>
                <w:color w:val="auto"/>
                <w:highlight w:val="none"/>
                <w:u w:val="single"/>
              </w:rPr>
              <w:t>分至</w:t>
            </w:r>
            <w:r>
              <w:rPr>
                <w:color w:val="auto"/>
                <w:highlight w:val="none"/>
                <w:u w:val="single"/>
              </w:rPr>
              <w:t xml:space="preserve">     </w:t>
            </w:r>
            <w:r>
              <w:rPr>
                <w:rFonts w:hint="eastAsia"/>
                <w:color w:val="auto"/>
                <w:highlight w:val="none"/>
                <w:u w:val="single"/>
              </w:rPr>
              <w:t>年</w:t>
            </w:r>
            <w:r>
              <w:rPr>
                <w:color w:val="auto"/>
                <w:highlight w:val="none"/>
                <w:u w:val="single"/>
              </w:rPr>
              <w:t xml:space="preserve">   </w:t>
            </w:r>
            <w:r>
              <w:rPr>
                <w:rFonts w:hint="eastAsia"/>
                <w:color w:val="auto"/>
                <w:highlight w:val="none"/>
                <w:u w:val="single"/>
              </w:rPr>
              <w:t>月</w:t>
            </w:r>
            <w:r>
              <w:rPr>
                <w:color w:val="auto"/>
                <w:highlight w:val="none"/>
                <w:u w:val="single"/>
              </w:rPr>
              <w:t xml:space="preserve">   </w:t>
            </w:r>
            <w:r>
              <w:rPr>
                <w:rFonts w:hint="eastAsia"/>
                <w:color w:val="auto"/>
                <w:highlight w:val="none"/>
                <w:u w:val="single"/>
              </w:rPr>
              <w:t>日</w:t>
            </w:r>
            <w:r>
              <w:rPr>
                <w:color w:val="auto"/>
                <w:highlight w:val="none"/>
                <w:u w:val="single"/>
              </w:rPr>
              <w:t xml:space="preserve">   </w:t>
            </w:r>
            <w:r>
              <w:rPr>
                <w:rFonts w:hint="eastAsia"/>
                <w:color w:val="auto"/>
                <w:highlight w:val="none"/>
                <w:u w:val="single"/>
              </w:rPr>
              <w:t>时</w:t>
            </w:r>
            <w:r>
              <w:rPr>
                <w:color w:val="auto"/>
                <w:highlight w:val="none"/>
                <w:u w:val="single"/>
              </w:rPr>
              <w:t xml:space="preserve">   </w:t>
            </w:r>
            <w:r>
              <w:rPr>
                <w:rFonts w:hint="eastAsia"/>
                <w:color w:val="auto"/>
                <w:highlight w:val="none"/>
                <w:u w:val="single"/>
              </w:rPr>
              <w:t>分；递交地点：</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第   开标室（广州市天河区天润路333号）</w:t>
            </w:r>
            <w:r>
              <w:rPr>
                <w:rFonts w:hint="eastAsia"/>
                <w:color w:val="auto"/>
                <w:highlight w:val="none"/>
              </w:rPr>
              <w:t>。</w:t>
            </w:r>
            <w:r>
              <w:rPr>
                <w:color w:val="auto"/>
                <w:highlight w:val="none"/>
              </w:rPr>
              <w:t>(建议安排在投标文件截止时间前15分钟至投标文件截止时间）</w:t>
            </w:r>
          </w:p>
          <w:p>
            <w:pPr>
              <w:rPr>
                <w:rFonts w:ascii="宋体" w:hAnsi="宋体" w:cs="宋体"/>
                <w:b/>
                <w:bCs/>
                <w:color w:val="auto"/>
                <w:szCs w:val="21"/>
                <w:highlight w:val="none"/>
                <w:u w:val="single"/>
              </w:rPr>
            </w:pPr>
            <w:r>
              <w:rPr>
                <w:rFonts w:ascii="宋体" w:hAnsi="宋体" w:cs="宋体"/>
                <w:b/>
                <w:bCs/>
                <w:color w:val="auto"/>
                <w:szCs w:val="21"/>
                <w:highlight w:val="none"/>
                <w:u w:val="single"/>
              </w:rPr>
              <w:t>3</w:t>
            </w:r>
            <w:r>
              <w:rPr>
                <w:rFonts w:hint="eastAsia" w:ascii="宋体" w:hAnsi="宋体" w:cs="宋体"/>
                <w:b/>
                <w:bCs/>
                <w:color w:val="auto"/>
                <w:szCs w:val="21"/>
                <w:highlight w:val="none"/>
                <w:u w:val="single"/>
                <w:lang w:eastAsia="zh-CN"/>
              </w:rPr>
              <w:t>、</w:t>
            </w:r>
            <w:r>
              <w:rPr>
                <w:rFonts w:hint="eastAsia" w:ascii="宋体" w:hAnsi="宋体" w:cs="宋体"/>
                <w:b/>
                <w:bCs/>
                <w:color w:val="auto"/>
                <w:szCs w:val="21"/>
                <w:highlight w:val="none"/>
                <w:u w:val="single"/>
              </w:rPr>
              <w:t>投标人应在投标文件或定标文件递交截止时间前通过</w:t>
            </w:r>
            <w:r>
              <w:rPr>
                <w:rFonts w:hint="eastAsia" w:ascii="宋体" w:hAnsi="宋体" w:cs="宋体"/>
                <w:b/>
                <w:bCs/>
                <w:color w:val="auto"/>
                <w:szCs w:val="21"/>
                <w:highlight w:val="none"/>
                <w:u w:val="single"/>
                <w:lang w:eastAsia="zh-CN"/>
              </w:rPr>
              <w:t>广州交易集团有限公司（广州公共资源交易中心）</w:t>
            </w:r>
            <w:r>
              <w:rPr>
                <w:rFonts w:hint="eastAsia" w:ascii="宋体" w:hAnsi="宋体" w:cs="宋体"/>
                <w:b/>
                <w:bCs/>
                <w:color w:val="auto"/>
                <w:szCs w:val="21"/>
                <w:highlight w:val="none"/>
                <w:u w:val="single"/>
              </w:rPr>
              <w:t>电子招标投标交易平台递交电子投标文件、电子定标文件。</w:t>
            </w:r>
          </w:p>
          <w:p>
            <w:pPr>
              <w:widowControl/>
              <w:jc w:val="left"/>
              <w:rPr>
                <w:rFonts w:hint="eastAsia" w:ascii="宋体" w:hAnsi="宋体" w:cs="宋体"/>
                <w:bCs/>
                <w:color w:val="auto"/>
                <w:kern w:val="0"/>
                <w:szCs w:val="21"/>
                <w:highlight w:val="none"/>
              </w:rPr>
            </w:pPr>
            <w:r>
              <w:rPr>
                <w:rFonts w:hint="eastAsia"/>
                <w:color w:val="auto"/>
                <w:highlight w:val="none"/>
              </w:rPr>
              <w:t>上述时间及地点是否有改变，请密切留意补充公告和招标答疑纪要的相关信息。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26</w:t>
            </w:r>
          </w:p>
        </w:tc>
        <w:tc>
          <w:tcPr>
            <w:tcW w:w="17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开标评标办法</w:t>
            </w:r>
          </w:p>
        </w:tc>
        <w:tc>
          <w:tcPr>
            <w:tcW w:w="5934" w:type="dxa"/>
            <w:tcBorders>
              <w:top w:val="single" w:color="auto" w:sz="4" w:space="0"/>
              <w:left w:val="single" w:color="auto" w:sz="4" w:space="0"/>
              <w:bottom w:val="single" w:color="auto" w:sz="4" w:space="0"/>
              <w:right w:val="double" w:color="auto" w:sz="4" w:space="0"/>
            </w:tcBorders>
            <w:vAlign w:val="center"/>
          </w:tcPr>
          <w:p>
            <w:pPr>
              <w:ind w:firstLine="211" w:firstLineChars="100"/>
              <w:rPr>
                <w:rFonts w:hint="eastAsia" w:ascii="宋体" w:hAnsi="宋体"/>
                <w:color w:val="auto"/>
                <w:szCs w:val="21"/>
                <w:highlight w:val="none"/>
              </w:rPr>
            </w:pPr>
            <w:r>
              <w:rPr>
                <w:rFonts w:hint="eastAsia" w:ascii="宋体" w:hAnsi="宋体"/>
                <w:b/>
                <w:bCs/>
                <w:color w:val="auto"/>
                <w:szCs w:val="21"/>
                <w:highlight w:val="none"/>
                <w:u w:val="single"/>
              </w:rPr>
              <w:t>本工程采用“有限数量制评审法”</w:t>
            </w:r>
            <w:r>
              <w:rPr>
                <w:rFonts w:hint="eastAsia" w:ascii="宋体" w:hAnsi="宋体"/>
                <w:color w:val="auto"/>
                <w:szCs w:val="21"/>
                <w:highlight w:val="none"/>
                <w:u w:val="single"/>
              </w:rPr>
              <w:t>。</w:t>
            </w:r>
          </w:p>
          <w:p>
            <w:pPr>
              <w:ind w:firstLine="210" w:firstLineChars="100"/>
              <w:rPr>
                <w:rFonts w:hint="eastAsia" w:ascii="宋体" w:hAnsi="宋体" w:cs="宋体"/>
                <w:color w:val="auto"/>
                <w:szCs w:val="21"/>
                <w:highlight w:val="none"/>
                <w:u w:val="none"/>
              </w:rPr>
            </w:pPr>
            <w:r>
              <w:rPr>
                <w:rFonts w:hint="eastAsia" w:ascii="宋体" w:hAnsi="宋体" w:cs="宋体"/>
                <w:color w:val="auto"/>
                <w:szCs w:val="21"/>
                <w:highlight w:val="none"/>
                <w:u w:val="none"/>
              </w:rPr>
              <w:t>评标办法：可选办法七（适合综合评分法四，技术标与经济标同时开启）</w:t>
            </w:r>
          </w:p>
          <w:p>
            <w:pPr>
              <w:ind w:firstLine="210" w:firstLineChars="100"/>
              <w:rPr>
                <w:rFonts w:hint="eastAsia" w:ascii="宋体" w:hAnsi="宋体" w:cs="宋体"/>
                <w:color w:val="auto"/>
                <w:highlight w:val="none"/>
                <w:u w:val="none"/>
                <w:lang w:eastAsia="zh-CN"/>
              </w:rPr>
            </w:pPr>
            <w:r>
              <w:rPr>
                <w:rFonts w:hint="eastAsia" w:ascii="宋体" w:hAnsi="宋体" w:cs="宋体"/>
                <w:color w:val="auto"/>
                <w:highlight w:val="none"/>
                <w:u w:val="none"/>
              </w:rPr>
              <w:t>评标委员会按照招标文件规定的评标程序对投标人进行评审。若通过</w:t>
            </w:r>
            <w:r>
              <w:rPr>
                <w:rFonts w:hint="eastAsia" w:ascii="宋体" w:hAnsi="宋体" w:cs="宋体"/>
                <w:color w:val="auto"/>
                <w:highlight w:val="none"/>
                <w:u w:val="none"/>
                <w:lang w:val="en-US" w:eastAsia="zh-CN"/>
              </w:rPr>
              <w:t>资格审查、</w:t>
            </w:r>
            <w:r>
              <w:rPr>
                <w:rFonts w:hint="eastAsia" w:ascii="宋体" w:hAnsi="宋体" w:cs="宋体"/>
                <w:color w:val="auto"/>
                <w:highlight w:val="none"/>
                <w:u w:val="none"/>
              </w:rPr>
              <w:t>技术标及经济标有效性审查的合格投标人大于等于3家且少于等于20家的，则推荐全部合格的投标人</w:t>
            </w:r>
            <w:r>
              <w:rPr>
                <w:rFonts w:hint="eastAsia" w:ascii="宋体" w:hAnsi="宋体" w:cs="宋体"/>
                <w:color w:val="auto"/>
                <w:highlight w:val="none"/>
                <w:u w:val="none"/>
                <w:lang w:val="en-US" w:eastAsia="zh-CN"/>
              </w:rPr>
              <w:t>为合格中标候选人（</w:t>
            </w:r>
            <w:r>
              <w:rPr>
                <w:rFonts w:hint="eastAsia" w:ascii="宋体" w:hAnsi="宋体" w:cs="宋体"/>
                <w:color w:val="auto"/>
                <w:highlight w:val="none"/>
                <w:u w:val="none"/>
              </w:rPr>
              <w:t>不排序</w:t>
            </w:r>
            <w:r>
              <w:rPr>
                <w:rFonts w:hint="eastAsia" w:ascii="宋体" w:hAnsi="宋体" w:cs="宋体"/>
                <w:color w:val="auto"/>
                <w:highlight w:val="none"/>
                <w:u w:val="none"/>
                <w:lang w:val="en-US" w:eastAsia="zh-CN"/>
              </w:rPr>
              <w:t>）</w:t>
            </w:r>
            <w:r>
              <w:rPr>
                <w:rFonts w:hint="eastAsia" w:ascii="宋体" w:hAnsi="宋体" w:cs="宋体"/>
                <w:color w:val="auto"/>
                <w:highlight w:val="none"/>
                <w:u w:val="none"/>
              </w:rPr>
              <w:t>进入定标阶段。若通过</w:t>
            </w:r>
            <w:r>
              <w:rPr>
                <w:rFonts w:hint="eastAsia" w:ascii="宋体" w:hAnsi="宋体" w:cs="宋体"/>
                <w:color w:val="auto"/>
                <w:highlight w:val="none"/>
                <w:u w:val="none"/>
                <w:lang w:val="en-US" w:eastAsia="zh-CN"/>
              </w:rPr>
              <w:t>资格审查、</w:t>
            </w:r>
            <w:r>
              <w:rPr>
                <w:rFonts w:hint="eastAsia" w:ascii="宋体" w:hAnsi="宋体" w:cs="宋体"/>
                <w:color w:val="auto"/>
                <w:highlight w:val="none"/>
                <w:u w:val="none"/>
              </w:rPr>
              <w:t>技术标及经济标有效性审查的合格投标人大于20家的，</w:t>
            </w:r>
            <w:r>
              <w:rPr>
                <w:rFonts w:hint="eastAsia" w:ascii="宋体" w:hAnsi="宋体" w:cs="宋体"/>
                <w:color w:val="auto"/>
                <w:highlight w:val="none"/>
                <w:u w:val="none"/>
                <w:lang w:val="en-US" w:eastAsia="zh-CN"/>
              </w:rPr>
              <w:t>由评标委员会根据《附表四：技术标详细审查评分表》的标准对通过资格审查、</w:t>
            </w:r>
            <w:r>
              <w:rPr>
                <w:rFonts w:hint="eastAsia" w:ascii="宋体" w:hAnsi="宋体" w:cs="宋体"/>
                <w:color w:val="auto"/>
                <w:highlight w:val="none"/>
                <w:u w:val="none"/>
              </w:rPr>
              <w:t>技术标及经济标有效性审查的合格投标人</w:t>
            </w:r>
            <w:r>
              <w:rPr>
                <w:rFonts w:hint="eastAsia" w:ascii="宋体" w:hAnsi="宋体" w:cs="宋体"/>
                <w:color w:val="auto"/>
                <w:highlight w:val="none"/>
                <w:u w:val="none"/>
                <w:lang w:val="en-US" w:eastAsia="zh-CN"/>
              </w:rPr>
              <w:t>的技术标投标文件进行详细审查，评出技术标得分</w:t>
            </w:r>
            <w:r>
              <w:rPr>
                <w:rFonts w:hint="eastAsia" w:ascii="宋体" w:hAnsi="宋体" w:cs="宋体"/>
                <w:b/>
                <w:bCs/>
                <w:color w:val="auto"/>
                <w:highlight w:val="none"/>
                <w:u w:val="none"/>
                <w:lang w:val="en-US" w:eastAsia="zh-CN"/>
              </w:rPr>
              <w:t>（投标人总得分=项目管理机构能力评审得分（满分40分）+企业资信评审得分（满分20分）+施工组织设计（满分40分））</w:t>
            </w:r>
            <w:r>
              <w:rPr>
                <w:rFonts w:hint="eastAsia" w:ascii="宋体" w:hAnsi="宋体" w:cs="宋体"/>
                <w:color w:val="auto"/>
                <w:highlight w:val="none"/>
                <w:u w:val="none"/>
                <w:lang w:val="en-US" w:eastAsia="zh-CN"/>
              </w:rPr>
              <w:t>。</w:t>
            </w:r>
            <w:r>
              <w:rPr>
                <w:rFonts w:hint="eastAsia" w:ascii="宋体" w:hAnsi="宋体" w:eastAsia="宋体" w:cs="宋体"/>
                <w:b w:val="0"/>
                <w:bCs w:val="0"/>
                <w:color w:val="auto"/>
                <w:kern w:val="2"/>
                <w:sz w:val="21"/>
                <w:szCs w:val="22"/>
                <w:highlight w:val="none"/>
                <w:u w:val="none"/>
                <w:lang w:val="en-US" w:eastAsia="zh-CN" w:bidi="ar-SA"/>
              </w:rPr>
              <w:t>按投标人总得分由高至低推荐排前20名的合格中标候选人【不排序，按统一社会信用代码后4位（除校验码外）大小排位】进入定标阶段</w:t>
            </w:r>
            <w:r>
              <w:rPr>
                <w:rFonts w:hint="eastAsia" w:ascii="宋体" w:hAnsi="宋体" w:cs="宋体"/>
                <w:color w:val="auto"/>
                <w:highlight w:val="none"/>
                <w:u w:val="none"/>
                <w:lang w:eastAsia="zh-CN"/>
              </w:rPr>
              <w:t>。</w:t>
            </w:r>
          </w:p>
          <w:p>
            <w:pPr>
              <w:ind w:firstLine="210" w:firstLineChars="100"/>
              <w:rPr>
                <w:rFonts w:ascii="宋体" w:hAnsi="宋体"/>
                <w:color w:val="auto"/>
                <w:szCs w:val="21"/>
                <w:highlight w:val="none"/>
              </w:rPr>
            </w:pPr>
            <w:r>
              <w:rPr>
                <w:rFonts w:hint="eastAsia" w:ascii="宋体" w:hAnsi="宋体" w:cs="宋体"/>
                <w:color w:val="auto"/>
                <w:highlight w:val="none"/>
                <w:u w:val="none"/>
              </w:rPr>
              <w:t>总得分相同的投标文件，以施工组织设计部分得分较高的排前；总得分与施工组织设计部分得分均相同的投标文件，则按名次并列计算。若名次排列出现并列，则占用下一名次(如：第一名分数均相同的投标人有N个，则该N个投标人并列为第一名，下一名按第N+1名计算，</w:t>
            </w:r>
            <w:r>
              <w:rPr>
                <w:rFonts w:hint="eastAsia" w:ascii="宋体" w:hAnsi="宋体" w:cs="宋体"/>
                <w:color w:val="auto"/>
                <w:highlight w:val="none"/>
                <w:u w:val="none"/>
                <w:lang w:eastAsia="zh-CN"/>
              </w:rPr>
              <w:t>以此类推</w:t>
            </w:r>
            <w:r>
              <w:rPr>
                <w:rFonts w:hint="eastAsia" w:ascii="宋体" w:hAnsi="宋体" w:cs="宋体"/>
                <w:color w:val="auto"/>
                <w:highlight w:val="none"/>
                <w:u w:val="none"/>
              </w:rPr>
              <w:t>）。如排名第20名的投标人有N个，则这N个投标人都推荐进入定标阶段</w:t>
            </w:r>
            <w:r>
              <w:rPr>
                <w:rFonts w:hint="eastAsia" w:ascii="宋体" w:hAnsi="宋体" w:cs="宋体"/>
                <w:b/>
                <w:bCs/>
                <w:color w:val="auto"/>
                <w:highlight w:val="none"/>
                <w:u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20</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27</w:t>
            </w:r>
          </w:p>
        </w:tc>
        <w:tc>
          <w:tcPr>
            <w:tcW w:w="1733"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定标</w:t>
            </w:r>
            <w:r>
              <w:rPr>
                <w:rFonts w:hint="eastAsia" w:ascii="宋体" w:hAnsi="宋体"/>
                <w:color w:val="auto"/>
                <w:szCs w:val="21"/>
                <w:highlight w:val="none"/>
                <w:lang w:val="en-US" w:eastAsia="zh-CN"/>
              </w:rPr>
              <w:t>办法</w:t>
            </w:r>
          </w:p>
        </w:tc>
        <w:tc>
          <w:tcPr>
            <w:tcW w:w="5934" w:type="dxa"/>
            <w:tcBorders>
              <w:top w:val="single" w:color="auto" w:sz="4" w:space="0"/>
              <w:left w:val="single" w:color="auto" w:sz="4" w:space="0"/>
              <w:bottom w:val="single" w:color="auto" w:sz="4" w:space="0"/>
              <w:right w:val="double" w:color="auto" w:sz="4" w:space="0"/>
            </w:tcBorders>
            <w:vAlign w:val="center"/>
          </w:tcPr>
          <w:p>
            <w:pPr>
              <w:pStyle w:val="5"/>
              <w:ind w:firstLine="0"/>
              <w:rPr>
                <w:rFonts w:hint="eastAsia" w:ascii="宋体" w:hAnsi="宋体"/>
                <w:color w:val="auto"/>
                <w:szCs w:val="21"/>
                <w:highlight w:val="none"/>
              </w:rPr>
            </w:pPr>
            <w:r>
              <w:rPr>
                <w:rFonts w:hint="eastAsia" w:ascii="宋体" w:hAnsi="宋体"/>
                <w:color w:val="auto"/>
                <w:szCs w:val="21"/>
                <w:highlight w:val="none"/>
                <w:u w:val="single"/>
              </w:rPr>
              <w:t>评分法（答辩因素+投标价格因素）。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eastAsia="宋体"/>
                <w:color w:val="auto"/>
                <w:szCs w:val="21"/>
                <w:highlight w:val="none"/>
                <w:lang w:eastAsia="zh-CN"/>
              </w:rPr>
            </w:pPr>
            <w:r>
              <w:rPr>
                <w:rFonts w:ascii="宋体" w:hAnsi="宋体"/>
                <w:color w:val="auto"/>
                <w:szCs w:val="21"/>
                <w:highlight w:val="none"/>
              </w:rPr>
              <w:t>2</w:t>
            </w:r>
            <w:r>
              <w:rPr>
                <w:rFonts w:hint="eastAsia" w:ascii="宋体" w:hAnsi="宋体"/>
                <w:color w:val="auto"/>
                <w:szCs w:val="21"/>
                <w:highlight w:val="none"/>
                <w:lang w:val="en-US" w:eastAsia="zh-CN"/>
              </w:rPr>
              <w:t>1</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29.1</w:t>
            </w:r>
          </w:p>
        </w:tc>
        <w:tc>
          <w:tcPr>
            <w:tcW w:w="17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履约担保</w:t>
            </w:r>
          </w:p>
        </w:tc>
        <w:tc>
          <w:tcPr>
            <w:tcW w:w="5934" w:type="dxa"/>
            <w:tcBorders>
              <w:top w:val="single" w:color="auto" w:sz="4" w:space="0"/>
              <w:left w:val="single" w:color="auto" w:sz="4" w:space="0"/>
              <w:bottom w:val="single" w:color="auto" w:sz="4" w:space="0"/>
              <w:right w:val="double" w:color="auto" w:sz="4" w:space="0"/>
            </w:tcBorders>
            <w:vAlign w:val="center"/>
          </w:tcPr>
          <w:p>
            <w:pPr>
              <w:rPr>
                <w:rFonts w:hint="eastAsia"/>
                <w:color w:val="auto"/>
                <w:highlight w:val="none"/>
                <w:lang w:eastAsia="zh-CN"/>
              </w:rPr>
            </w:pPr>
            <w:r>
              <w:rPr>
                <w:rFonts w:hint="eastAsia"/>
                <w:color w:val="auto"/>
                <w:highlight w:val="none"/>
                <w:lang w:eastAsia="zh-CN"/>
              </w:rPr>
              <w:t>是否要求投标人提交履约担保：</w:t>
            </w:r>
          </w:p>
          <w:p>
            <w:pPr>
              <w:pStyle w:val="21"/>
              <w:rPr>
                <w:rFonts w:hint="eastAsia"/>
                <w:color w:val="auto"/>
                <w:highlight w:val="none"/>
                <w:lang w:eastAsia="zh-CN"/>
              </w:rPr>
            </w:pPr>
            <w:r>
              <w:rPr>
                <w:rFonts w:hint="eastAsia"/>
                <w:color w:val="auto"/>
                <w:highlight w:val="none"/>
                <w:lang w:eastAsia="zh-CN"/>
              </w:rPr>
              <w:t>□不要求</w:t>
            </w:r>
          </w:p>
          <w:p>
            <w:pPr>
              <w:pStyle w:val="21"/>
              <w:rPr>
                <w:rFonts w:hint="eastAsia"/>
                <w:color w:val="auto"/>
                <w:highlight w:val="none"/>
                <w:lang w:eastAsia="zh-CN"/>
              </w:rPr>
            </w:pPr>
            <w:r>
              <w:rPr>
                <w:rFonts w:hint="eastAsia"/>
                <w:color w:val="auto"/>
                <w:highlight w:val="none"/>
                <w:lang w:eastAsia="zh-CN"/>
              </w:rPr>
              <w:t>☑要求：</w:t>
            </w:r>
          </w:p>
          <w:p>
            <w:pPr>
              <w:pStyle w:val="21"/>
              <w:rPr>
                <w:rFonts w:hint="default"/>
                <w:strike/>
                <w:color w:val="auto"/>
                <w:highlight w:val="none"/>
                <w:u w:val="single"/>
                <w:lang w:val="en-US" w:eastAsia="zh-CN"/>
              </w:rPr>
            </w:pPr>
            <w:r>
              <w:rPr>
                <w:rFonts w:hint="eastAsia"/>
                <w:strike/>
                <w:color w:val="auto"/>
                <w:highlight w:val="none"/>
                <w:lang w:eastAsia="zh-CN"/>
              </w:rPr>
              <w:t>履约保证金的金额：</w:t>
            </w:r>
            <w:r>
              <w:rPr>
                <w:rFonts w:hint="eastAsia"/>
                <w:strike/>
                <w:color w:val="auto"/>
                <w:highlight w:val="none"/>
                <w:u w:val="single"/>
                <w:lang w:val="en-US" w:eastAsia="zh-CN"/>
              </w:rPr>
              <w:t xml:space="preserve">      </w:t>
            </w:r>
          </w:p>
          <w:p>
            <w:pPr>
              <w:rPr>
                <w:rFonts w:ascii="宋体" w:hAnsi="宋体"/>
                <w:color w:val="auto"/>
                <w:highlight w:val="none"/>
              </w:rPr>
            </w:pPr>
            <w:r>
              <w:rPr>
                <w:rFonts w:hint="eastAsia"/>
                <w:color w:val="auto"/>
                <w:highlight w:val="none"/>
                <w:lang w:eastAsia="zh-CN"/>
              </w:rPr>
              <w:t>☑</w:t>
            </w:r>
            <w:r>
              <w:rPr>
                <w:rFonts w:hint="eastAsia" w:ascii="宋体" w:hAnsi="宋体"/>
                <w:color w:val="auto"/>
                <w:highlight w:val="none"/>
              </w:rPr>
              <w:t>方式一：中标人提供的履约保证金为中标价款的</w:t>
            </w:r>
            <w:r>
              <w:rPr>
                <w:rFonts w:hint="eastAsia" w:ascii="宋体" w:hAnsi="宋体"/>
                <w:color w:val="auto"/>
                <w:highlight w:val="none"/>
                <w:u w:val="single"/>
                <w:lang w:val="en-US" w:eastAsia="zh-CN"/>
              </w:rPr>
              <w:t>10</w:t>
            </w:r>
            <w:r>
              <w:rPr>
                <w:rFonts w:hint="eastAsia" w:ascii="宋体" w:hAnsi="宋体"/>
                <w:color w:val="auto"/>
                <w:highlight w:val="none"/>
              </w:rPr>
              <w:t>%。</w:t>
            </w:r>
          </w:p>
          <w:p>
            <w:pPr>
              <w:pStyle w:val="5"/>
              <w:spacing w:after="0"/>
              <w:ind w:firstLine="0"/>
              <w:rPr>
                <w:rFonts w:hint="eastAsia" w:ascii="宋体" w:hAnsi="宋体"/>
                <w:color w:val="auto"/>
                <w:highlight w:val="none"/>
              </w:rPr>
            </w:pPr>
            <w:r>
              <w:rPr>
                <w:rFonts w:hint="eastAsia"/>
                <w:color w:val="auto"/>
                <w:highlight w:val="none"/>
                <w:lang w:eastAsia="zh-CN"/>
              </w:rPr>
              <w:t>□</w:t>
            </w:r>
            <w:r>
              <w:rPr>
                <w:rFonts w:hint="eastAsia" w:ascii="宋体" w:hAnsi="宋体"/>
                <w:color w:val="auto"/>
                <w:highlight w:val="none"/>
              </w:rPr>
              <w:t>方式二：中标人提供的履约保函的保证额为中标价款与最高投标限价之间的差额，且不</w:t>
            </w:r>
            <w:r>
              <w:rPr>
                <w:rFonts w:hint="eastAsia" w:ascii="宋体" w:hAnsi="宋体"/>
                <w:color w:val="auto"/>
                <w:highlight w:val="none"/>
                <w:lang w:eastAsia="zh-CN"/>
              </w:rPr>
              <w:t>超过</w:t>
            </w:r>
            <w:r>
              <w:rPr>
                <w:rFonts w:hint="eastAsia" w:ascii="宋体" w:hAnsi="宋体"/>
                <w:color w:val="auto"/>
                <w:highlight w:val="none"/>
              </w:rPr>
              <w:t>中标价款的10%。</w:t>
            </w:r>
          </w:p>
          <w:p>
            <w:pPr>
              <w:widowControl/>
              <w:jc w:val="left"/>
              <w:rPr>
                <w:rFonts w:hint="eastAsia" w:ascii="宋体" w:hAnsi="宋体"/>
                <w:color w:val="auto"/>
                <w:szCs w:val="21"/>
                <w:highlight w:val="none"/>
                <w:u w:val="single"/>
                <w:lang w:val="en-US" w:eastAsia="zh-CN"/>
              </w:rPr>
            </w:pPr>
            <w:r>
              <w:rPr>
                <w:rFonts w:hint="eastAsia" w:ascii="宋体" w:hAnsi="宋体"/>
                <w:color w:val="auto"/>
                <w:highlight w:val="none"/>
                <w:lang w:eastAsia="zh-CN"/>
              </w:rPr>
              <w:t>履约保证金的形式：</w:t>
            </w:r>
            <w:r>
              <w:rPr>
                <w:rFonts w:hint="eastAsia" w:ascii="宋体" w:hAnsi="宋体"/>
                <w:color w:val="auto"/>
                <w:highlight w:val="none"/>
                <w:u w:val="single"/>
                <w:lang w:val="en-US" w:eastAsia="zh-CN"/>
              </w:rPr>
              <w:t>具体详见合同条款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lang w:val="en-US" w:eastAsia="zh-CN"/>
              </w:rPr>
              <w:t>22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lang w:val="en-US" w:eastAsia="zh-CN"/>
              </w:rPr>
              <w:t>32.1</w:t>
            </w:r>
          </w:p>
        </w:tc>
        <w:tc>
          <w:tcPr>
            <w:tcW w:w="17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lang w:val="en-US" w:eastAsia="zh-CN"/>
              </w:rPr>
              <w:t>专业</w:t>
            </w:r>
            <w:r>
              <w:rPr>
                <w:rFonts w:hint="eastAsia" w:ascii="宋体" w:hAnsi="宋体"/>
                <w:color w:val="auto"/>
                <w:szCs w:val="21"/>
                <w:highlight w:val="none"/>
                <w:lang w:eastAsia="zh-CN"/>
              </w:rPr>
              <w:t>分包</w:t>
            </w:r>
          </w:p>
        </w:tc>
        <w:tc>
          <w:tcPr>
            <w:tcW w:w="5934"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kern w:val="0"/>
                <w:szCs w:val="21"/>
                <w:highlight w:val="none"/>
                <w:lang w:val="zh-CN"/>
              </w:rPr>
            </w:pPr>
            <w:r>
              <w:rPr>
                <w:rFonts w:hint="eastAsia" w:ascii="宋体" w:hAnsi="宋体"/>
                <w:color w:val="auto"/>
                <w:kern w:val="0"/>
                <w:szCs w:val="21"/>
                <w:highlight w:val="none"/>
                <w:lang w:val="zh-CN"/>
              </w:rPr>
              <w:t>☑不允许；</w:t>
            </w:r>
          </w:p>
          <w:p>
            <w:pPr>
              <w:rPr>
                <w:rFonts w:ascii="宋体" w:hAnsi="宋体"/>
                <w:color w:val="auto"/>
                <w:kern w:val="0"/>
                <w:szCs w:val="21"/>
                <w:highlight w:val="none"/>
                <w:lang w:val="zh-CN"/>
              </w:rPr>
            </w:pPr>
            <w:r>
              <w:rPr>
                <w:rFonts w:hint="eastAsia" w:ascii="宋体" w:hAnsi="宋体"/>
                <w:color w:val="auto"/>
                <w:kern w:val="0"/>
                <w:szCs w:val="21"/>
                <w:highlight w:val="none"/>
                <w:lang w:val="zh-CN"/>
              </w:rPr>
              <w:t>□允许：分包内容要求：</w:t>
            </w:r>
          </w:p>
          <w:p>
            <w:pPr>
              <w:rPr>
                <w:rFonts w:ascii="宋体" w:hAnsi="宋体"/>
                <w:color w:val="auto"/>
                <w:kern w:val="0"/>
                <w:szCs w:val="21"/>
                <w:highlight w:val="none"/>
                <w:lang w:val="zh-CN"/>
              </w:rPr>
            </w:pPr>
            <w:r>
              <w:rPr>
                <w:rFonts w:hint="eastAsia" w:ascii="宋体" w:hAnsi="宋体"/>
                <w:color w:val="auto"/>
                <w:kern w:val="0"/>
                <w:szCs w:val="21"/>
                <w:highlight w:val="none"/>
                <w:lang w:val="zh-CN"/>
              </w:rPr>
              <w:t xml:space="preserve">        分包金额要求：</w:t>
            </w:r>
          </w:p>
          <w:p>
            <w:pPr>
              <w:rPr>
                <w:rFonts w:ascii="宋体" w:hAnsi="宋体"/>
                <w:color w:val="auto"/>
                <w:kern w:val="0"/>
                <w:szCs w:val="21"/>
                <w:highlight w:val="none"/>
                <w:lang w:val="zh-CN"/>
              </w:rPr>
            </w:pPr>
            <w:r>
              <w:rPr>
                <w:rFonts w:hint="eastAsia" w:ascii="宋体" w:hAnsi="宋体"/>
                <w:color w:val="auto"/>
                <w:kern w:val="0"/>
                <w:szCs w:val="21"/>
                <w:highlight w:val="none"/>
                <w:lang w:val="zh-CN"/>
              </w:rPr>
              <w:t xml:space="preserve">        对分包人的资质要求：</w:t>
            </w:r>
          </w:p>
          <w:p>
            <w:pPr>
              <w:pStyle w:val="5"/>
              <w:spacing w:after="0"/>
              <w:ind w:firstLine="0" w:firstLineChars="0"/>
              <w:rPr>
                <w:rFonts w:hint="eastAsia" w:ascii="宋体" w:hAnsi="宋体"/>
                <w:color w:val="auto"/>
                <w:highlight w:val="none"/>
                <w:lang w:eastAsia="zh-CN"/>
              </w:rPr>
            </w:pPr>
            <w:r>
              <w:rPr>
                <w:rFonts w:hint="eastAsia" w:ascii="宋体" w:hAnsi="宋体"/>
                <w:color w:val="auto"/>
                <w:kern w:val="0"/>
                <w:szCs w:val="21"/>
                <w:highlight w:val="none"/>
                <w:lang w:val="zh-CN"/>
              </w:rPr>
              <w:t xml:space="preserve">        对分包人的其他要求：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eastAsia="宋体"/>
                <w:color w:val="auto"/>
                <w:szCs w:val="21"/>
                <w:highlight w:val="none"/>
                <w:lang w:val="en-US" w:eastAsia="zh-CN"/>
              </w:rPr>
            </w:pPr>
            <w:r>
              <w:rPr>
                <w:rFonts w:ascii="宋体" w:hAnsi="宋体"/>
                <w:color w:val="auto"/>
                <w:szCs w:val="21"/>
                <w:highlight w:val="none"/>
              </w:rPr>
              <w:t>2</w:t>
            </w:r>
            <w:r>
              <w:rPr>
                <w:rFonts w:hint="eastAsia" w:ascii="宋体" w:hAnsi="宋体"/>
                <w:color w:val="auto"/>
                <w:szCs w:val="21"/>
                <w:highlight w:val="none"/>
                <w:lang w:val="en-US" w:eastAsia="zh-CN"/>
              </w:rPr>
              <w:t>3</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lang w:val="en-US" w:eastAsia="zh-CN"/>
              </w:rPr>
            </w:pPr>
          </w:p>
        </w:tc>
        <w:tc>
          <w:tcPr>
            <w:tcW w:w="17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lang w:eastAsia="zh-CN"/>
              </w:rPr>
            </w:pPr>
            <w:r>
              <w:rPr>
                <w:rFonts w:hint="eastAsia" w:ascii="宋体" w:hAnsi="宋体"/>
                <w:color w:val="auto"/>
                <w:szCs w:val="21"/>
                <w:highlight w:val="none"/>
              </w:rPr>
              <w:t>最高投标限价</w:t>
            </w:r>
          </w:p>
        </w:tc>
        <w:tc>
          <w:tcPr>
            <w:tcW w:w="593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最高投标限价为人民币</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4068420.58</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元。</w:t>
            </w:r>
          </w:p>
          <w:p>
            <w:pPr>
              <w:pStyle w:val="5"/>
              <w:spacing w:after="0"/>
              <w:ind w:firstLine="0" w:firstLineChars="0"/>
              <w:rPr>
                <w:rFonts w:hint="eastAsia" w:ascii="宋体" w:hAnsi="宋体"/>
                <w:color w:val="auto"/>
                <w:kern w:val="0"/>
                <w:szCs w:val="21"/>
                <w:highlight w:val="none"/>
                <w:lang w:val="zh-CN"/>
              </w:rPr>
            </w:pPr>
            <w:r>
              <w:rPr>
                <w:rFonts w:hint="eastAsia" w:ascii="宋体" w:hAnsi="宋体"/>
                <w:color w:val="auto"/>
                <w:szCs w:val="21"/>
                <w:highlight w:val="none"/>
                <w:u w:val="single"/>
              </w:rPr>
              <w:t>本项目实行双限价，即</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投标人的投标总报价及综合单价都不能超过招标人公布的最高投标限价总价或综合单价限价(具体详见最高投标限价公布函、工程量清单)。投标总报价超过最高投标限价总价或综合单价超过综合单价限价的投标文件将不通过否决性条款审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eastAsia="宋体"/>
                <w:color w:val="auto"/>
                <w:szCs w:val="21"/>
                <w:highlight w:val="none"/>
                <w:lang w:eastAsia="zh-CN"/>
              </w:rPr>
            </w:pPr>
            <w:r>
              <w:rPr>
                <w:rFonts w:ascii="宋体" w:hAnsi="宋体"/>
                <w:color w:val="auto"/>
                <w:szCs w:val="21"/>
                <w:highlight w:val="none"/>
              </w:rPr>
              <w:t>2</w:t>
            </w:r>
            <w:r>
              <w:rPr>
                <w:rFonts w:hint="eastAsia" w:ascii="宋体" w:hAnsi="宋体"/>
                <w:color w:val="auto"/>
                <w:szCs w:val="21"/>
                <w:highlight w:val="none"/>
                <w:lang w:val="en-US" w:eastAsia="zh-CN"/>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olor w:val="auto"/>
                <w:szCs w:val="21"/>
                <w:highlight w:val="none"/>
              </w:rPr>
            </w:pPr>
            <w:r>
              <w:rPr>
                <w:rFonts w:hint="eastAsia" w:ascii="宋体" w:hAnsi="宋体"/>
                <w:color w:val="auto"/>
                <w:szCs w:val="21"/>
                <w:highlight w:val="none"/>
              </w:rPr>
              <w:t>非竞争费用</w:t>
            </w:r>
          </w:p>
        </w:tc>
        <w:tc>
          <w:tcPr>
            <w:tcW w:w="5934"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本项目绿色施工安全防护措施费为</w:t>
            </w:r>
            <w:r>
              <w:rPr>
                <w:rFonts w:ascii="宋体" w:hAnsi="宋体"/>
                <w:color w:val="auto"/>
                <w:szCs w:val="21"/>
                <w:highlight w:val="none"/>
                <w:u w:val="single"/>
              </w:rPr>
              <w:t xml:space="preserve"> </w:t>
            </w:r>
            <w:r>
              <w:rPr>
                <w:rFonts w:hint="eastAsia" w:ascii="宋体" w:hAnsi="宋体"/>
                <w:color w:val="auto"/>
                <w:szCs w:val="21"/>
                <w:highlight w:val="none"/>
                <w:u w:val="single"/>
              </w:rPr>
              <w:t>191533.41</w:t>
            </w:r>
            <w:r>
              <w:rPr>
                <w:rFonts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不含税</w:t>
            </w:r>
            <w:r>
              <w:rPr>
                <w:rFonts w:hint="eastAsia" w:ascii="宋体" w:hAnsi="宋体"/>
                <w:color w:val="auto"/>
                <w:szCs w:val="21"/>
                <w:highlight w:val="none"/>
                <w:lang w:eastAsia="zh-CN"/>
              </w:rPr>
              <w:t>）</w:t>
            </w:r>
            <w:r>
              <w:rPr>
                <w:rFonts w:hint="eastAsia" w:ascii="宋体" w:hAnsi="宋体"/>
                <w:color w:val="auto"/>
                <w:szCs w:val="21"/>
                <w:highlight w:val="none"/>
              </w:rPr>
              <w:t>，暂列金额为</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不含税</w:t>
            </w:r>
            <w:r>
              <w:rPr>
                <w:rFonts w:hint="eastAsia" w:ascii="宋体" w:hAnsi="宋体"/>
                <w:color w:val="auto"/>
                <w:szCs w:val="21"/>
                <w:highlight w:val="none"/>
                <w:lang w:eastAsia="zh-CN"/>
              </w:rPr>
              <w:t>）</w:t>
            </w:r>
            <w:r>
              <w:rPr>
                <w:rFonts w:hint="eastAsia" w:ascii="宋体" w:hAnsi="宋体"/>
                <w:color w:val="auto"/>
                <w:szCs w:val="21"/>
                <w:highlight w:val="none"/>
              </w:rPr>
              <w:t>，暂估价为</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ascii="宋体" w:hAnsi="宋体"/>
                <w:color w:val="auto"/>
                <w:szCs w:val="21"/>
                <w:highlight w:val="none"/>
                <w:u w:val="single"/>
              </w:rPr>
              <w:t xml:space="preserve">  </w:t>
            </w:r>
            <w:r>
              <w:rPr>
                <w:rFonts w:hint="eastAsia" w:ascii="宋体" w:hAnsi="宋体"/>
                <w:color w:val="auto"/>
                <w:szCs w:val="21"/>
                <w:highlight w:val="none"/>
              </w:rPr>
              <w:t>元。（未按招标文件规定的金额填写的，由评标委员会按照招标文件规定的金额进行修正）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保修期</w:t>
            </w:r>
          </w:p>
        </w:tc>
        <w:tc>
          <w:tcPr>
            <w:tcW w:w="5934"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按照《建设工程质量管理条例》和《工程质量保修书》规定。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eastAsia="宋体"/>
                <w:color w:val="auto"/>
                <w:szCs w:val="21"/>
                <w:highlight w:val="none"/>
                <w:lang w:eastAsia="zh-CN"/>
              </w:rPr>
            </w:pPr>
            <w:r>
              <w:rPr>
                <w:rFonts w:ascii="宋体" w:hAnsi="宋体"/>
                <w:color w:val="auto"/>
                <w:szCs w:val="21"/>
                <w:highlight w:val="none"/>
              </w:rPr>
              <w:t>2</w:t>
            </w:r>
            <w:r>
              <w:rPr>
                <w:rFonts w:hint="eastAsia" w:ascii="宋体" w:hAnsi="宋体"/>
                <w:color w:val="auto"/>
                <w:szCs w:val="21"/>
                <w:highlight w:val="none"/>
                <w:lang w:val="en-US" w:eastAsia="zh-CN"/>
              </w:rPr>
              <w:t>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计算评标参考价的等分点值</w:t>
            </w:r>
          </w:p>
        </w:tc>
        <w:tc>
          <w:tcPr>
            <w:tcW w:w="5934"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s="宋体"/>
                <w:color w:val="auto"/>
                <w:szCs w:val="21"/>
                <w:highlight w:val="none"/>
                <w:u w:val="singl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7</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进入第二阶段评审的家数</w:t>
            </w:r>
          </w:p>
        </w:tc>
        <w:tc>
          <w:tcPr>
            <w:tcW w:w="5934"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s="宋体"/>
                <w:color w:val="auto"/>
                <w:szCs w:val="21"/>
                <w:highlight w:val="none"/>
                <w:u w:val="singl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工程成本警</w:t>
            </w:r>
            <w:r>
              <w:rPr>
                <w:rFonts w:hint="eastAsia" w:ascii="宋体" w:hAnsi="宋体"/>
                <w:color w:val="auto"/>
                <w:szCs w:val="21"/>
                <w:highlight w:val="none"/>
                <w:lang w:val="en-US" w:eastAsia="zh-CN"/>
              </w:rPr>
              <w:t>示</w:t>
            </w:r>
            <w:r>
              <w:rPr>
                <w:rFonts w:hint="eastAsia" w:ascii="宋体" w:hAnsi="宋体"/>
                <w:color w:val="auto"/>
                <w:szCs w:val="21"/>
                <w:highlight w:val="none"/>
              </w:rPr>
              <w:t>价</w:t>
            </w:r>
          </w:p>
        </w:tc>
        <w:tc>
          <w:tcPr>
            <w:tcW w:w="593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工程成本警</w:t>
            </w:r>
            <w:r>
              <w:rPr>
                <w:rFonts w:hint="eastAsia" w:ascii="宋体" w:hAnsi="宋体"/>
                <w:color w:val="auto"/>
                <w:szCs w:val="21"/>
                <w:highlight w:val="none"/>
                <w:lang w:val="en-US" w:eastAsia="zh-CN"/>
              </w:rPr>
              <w:t>示</w:t>
            </w:r>
            <w:r>
              <w:rPr>
                <w:rFonts w:hint="eastAsia" w:ascii="宋体" w:hAnsi="宋体"/>
                <w:color w:val="auto"/>
                <w:szCs w:val="21"/>
                <w:highlight w:val="none"/>
              </w:rPr>
              <w:t>价为</w:t>
            </w:r>
            <w:r>
              <w:rPr>
                <w:rFonts w:hint="eastAsia" w:ascii="宋体" w:hAnsi="宋体"/>
                <w:color w:val="auto"/>
                <w:szCs w:val="21"/>
                <w:highlight w:val="none"/>
                <w:u w:val="single"/>
              </w:rPr>
              <w:t xml:space="preserve"> 3864999.55 </w:t>
            </w:r>
            <w:r>
              <w:rPr>
                <w:rFonts w:hint="eastAsia" w:ascii="宋体" w:hAnsi="宋体"/>
                <w:color w:val="auto"/>
                <w:szCs w:val="21"/>
                <w:highlight w:val="none"/>
              </w:rPr>
              <w:t>元。对低于该警</w:t>
            </w:r>
            <w:r>
              <w:rPr>
                <w:rFonts w:hint="eastAsia" w:ascii="宋体" w:hAnsi="宋体"/>
                <w:color w:val="auto"/>
                <w:szCs w:val="21"/>
                <w:highlight w:val="none"/>
                <w:lang w:val="en-US" w:eastAsia="zh-CN"/>
              </w:rPr>
              <w:t>示</w:t>
            </w:r>
            <w:r>
              <w:rPr>
                <w:rFonts w:hint="eastAsia" w:ascii="宋体" w:hAnsi="宋体"/>
                <w:color w:val="auto"/>
                <w:szCs w:val="21"/>
                <w:highlight w:val="none"/>
              </w:rPr>
              <w:t>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w:t>
            </w:r>
            <w:r>
              <w:rPr>
                <w:rFonts w:hint="eastAsia" w:ascii="宋体" w:hAnsi="宋体"/>
                <w:color w:val="auto"/>
                <w:szCs w:val="21"/>
                <w:highlight w:val="none"/>
                <w:lang w:val="en-US" w:eastAsia="zh-CN"/>
              </w:rPr>
              <w:t>示</w:t>
            </w:r>
            <w:r>
              <w:rPr>
                <w:rFonts w:hint="eastAsia" w:ascii="宋体" w:hAnsi="宋体"/>
                <w:color w:val="auto"/>
                <w:szCs w:val="21"/>
                <w:highlight w:val="none"/>
              </w:rPr>
              <w:t>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rFonts w:ascii="宋体" w:hAnsi="宋体"/>
                <w:color w:val="auto"/>
                <w:szCs w:val="21"/>
                <w:highlight w:val="none"/>
                <w:u w:val="single"/>
              </w:rPr>
            </w:pPr>
            <w:r>
              <w:rPr>
                <w:rFonts w:hint="eastAsia" w:ascii="楷体" w:hAnsi="楷体" w:eastAsia="楷体" w:cs="楷体"/>
                <w:strike w:val="0"/>
                <w:color w:val="auto"/>
                <w:szCs w:val="21"/>
                <w:highlight w:val="none"/>
              </w:rPr>
              <w:t>注：为充分体现招标人意愿及落实项目招标人负责制，警</w:t>
            </w:r>
            <w:r>
              <w:rPr>
                <w:rFonts w:hint="eastAsia" w:ascii="楷体" w:hAnsi="楷体" w:eastAsia="楷体" w:cs="楷体"/>
                <w:strike w:val="0"/>
                <w:color w:val="auto"/>
                <w:szCs w:val="21"/>
                <w:highlight w:val="none"/>
                <w:lang w:val="en-US" w:eastAsia="zh-CN"/>
              </w:rPr>
              <w:t>示</w:t>
            </w:r>
            <w:r>
              <w:rPr>
                <w:rFonts w:hint="eastAsia" w:ascii="楷体" w:hAnsi="楷体" w:eastAsia="楷体" w:cs="楷体"/>
                <w:strike w:val="0"/>
                <w:color w:val="auto"/>
                <w:szCs w:val="21"/>
                <w:highlight w:val="none"/>
              </w:rPr>
              <w:t>价由招标人</w:t>
            </w:r>
            <w:r>
              <w:rPr>
                <w:rFonts w:hint="eastAsia" w:ascii="楷体" w:hAnsi="楷体" w:eastAsia="楷体" w:cs="楷体"/>
                <w:strike w:val="0"/>
                <w:color w:val="auto"/>
                <w:szCs w:val="21"/>
                <w:highlight w:val="none"/>
                <w:lang w:eastAsia="zh-CN"/>
              </w:rPr>
              <w:t>确</w:t>
            </w:r>
            <w:r>
              <w:rPr>
                <w:rFonts w:hint="eastAsia" w:ascii="楷体" w:hAnsi="楷体" w:eastAsia="楷体" w:cs="楷体"/>
                <w:strike w:val="0"/>
                <w:color w:val="auto"/>
                <w:szCs w:val="21"/>
                <w:highlight w:val="none"/>
              </w:rPr>
              <w:t>定</w:t>
            </w:r>
            <w:r>
              <w:rPr>
                <w:rFonts w:hint="eastAsia" w:ascii="楷体" w:hAnsi="楷体" w:eastAsia="楷体" w:cs="楷体"/>
                <w:strike w:val="0"/>
                <w:color w:val="auto"/>
                <w:szCs w:val="21"/>
                <w:highlight w:val="none"/>
                <w:lang w:eastAsia="zh-CN"/>
              </w:rPr>
              <w:t>，并随招标文件一并公布</w:t>
            </w:r>
            <w:r>
              <w:rPr>
                <w:rFonts w:hint="eastAsia" w:ascii="楷体" w:hAnsi="楷体" w:eastAsia="楷体" w:cs="楷体"/>
                <w:strike w:val="0"/>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第一阶段各分值的权重</w:t>
            </w:r>
          </w:p>
        </w:tc>
        <w:tc>
          <w:tcPr>
            <w:tcW w:w="5934"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s="宋体"/>
                <w:color w:val="auto"/>
                <w:szCs w:val="21"/>
                <w:highlight w:val="none"/>
                <w:u w:val="singl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vMerge w:val="restart"/>
            <w:tcBorders>
              <w:top w:val="single" w:color="auto" w:sz="4" w:space="0"/>
              <w:left w:val="double" w:color="auto" w:sz="4" w:space="0"/>
              <w:right w:val="single" w:color="auto" w:sz="4" w:space="0"/>
            </w:tcBorders>
            <w:vAlign w:val="center"/>
          </w:tcPr>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30</w:t>
            </w:r>
          </w:p>
        </w:tc>
        <w:tc>
          <w:tcPr>
            <w:tcW w:w="981" w:type="dxa"/>
            <w:vMerge w:val="restart"/>
            <w:tcBorders>
              <w:top w:val="single" w:color="auto" w:sz="4" w:space="0"/>
              <w:left w:val="single" w:color="auto" w:sz="4" w:space="0"/>
              <w:right w:val="single" w:color="auto" w:sz="4" w:space="0"/>
            </w:tcBorders>
            <w:vAlign w:val="center"/>
          </w:tcPr>
          <w:p>
            <w:pPr>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评标委员会人数</w:t>
            </w:r>
          </w:p>
        </w:tc>
        <w:tc>
          <w:tcPr>
            <w:tcW w:w="5934"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vMerge w:val="continue"/>
            <w:tcBorders>
              <w:left w:val="double" w:color="auto" w:sz="4" w:space="0"/>
              <w:bottom w:val="single" w:color="auto" w:sz="4" w:space="0"/>
              <w:right w:val="single" w:color="auto" w:sz="4" w:space="0"/>
            </w:tcBorders>
            <w:vAlign w:val="center"/>
          </w:tcPr>
          <w:p>
            <w:pPr>
              <w:rPr>
                <w:rFonts w:hint="eastAsia" w:ascii="宋体" w:hAnsi="宋体"/>
                <w:color w:val="auto"/>
                <w:szCs w:val="21"/>
                <w:highlight w:val="none"/>
                <w:lang w:val="en-US" w:eastAsia="zh-CN"/>
              </w:rPr>
            </w:pPr>
          </w:p>
        </w:tc>
        <w:tc>
          <w:tcPr>
            <w:tcW w:w="981" w:type="dxa"/>
            <w:vMerge w:val="continue"/>
            <w:tcBorders>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auto"/>
                <w:szCs w:val="21"/>
                <w:highlight w:val="none"/>
              </w:rPr>
            </w:pPr>
            <w:r>
              <w:rPr>
                <w:rFonts w:hint="eastAsia" w:ascii="宋体" w:hAnsi="宋体" w:cs="宋体"/>
                <w:color w:val="auto"/>
                <w:szCs w:val="21"/>
                <w:highlight w:val="none"/>
                <w:u w:val="none"/>
              </w:rPr>
              <w:t>定标委员会人数</w:t>
            </w:r>
          </w:p>
        </w:tc>
        <w:tc>
          <w:tcPr>
            <w:tcW w:w="5934" w:type="dxa"/>
            <w:tcBorders>
              <w:top w:val="single" w:color="auto" w:sz="4" w:space="0"/>
              <w:left w:val="single" w:color="auto" w:sz="4" w:space="0"/>
              <w:bottom w:val="single" w:color="auto" w:sz="4" w:space="0"/>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s="宋体"/>
                <w:color w:val="auto"/>
                <w:szCs w:val="21"/>
                <w:highlight w:val="none"/>
                <w:u w:val="none"/>
                <w:lang w:val="en-US" w:eastAsia="zh-CN"/>
              </w:rPr>
              <w:t>定标</w:t>
            </w:r>
            <w:r>
              <w:rPr>
                <w:rFonts w:hint="eastAsia" w:ascii="宋体" w:hAnsi="宋体" w:cs="宋体"/>
                <w:color w:val="auto"/>
                <w:szCs w:val="21"/>
                <w:highlight w:val="none"/>
                <w:u w:val="none"/>
              </w:rPr>
              <w:t>委员会由招标人依法组建，人数为5名。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31</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企业</w:t>
            </w:r>
            <w:r>
              <w:rPr>
                <w:rFonts w:hint="eastAsia" w:ascii="宋体" w:hAnsi="宋体"/>
                <w:color w:val="auto"/>
                <w:szCs w:val="21"/>
                <w:highlight w:val="none"/>
                <w:lang w:eastAsia="zh-CN"/>
              </w:rPr>
              <w:t>信用评价</w:t>
            </w:r>
            <w:r>
              <w:rPr>
                <w:rFonts w:hint="eastAsia" w:ascii="宋体" w:hAnsi="宋体"/>
                <w:color w:val="auto"/>
                <w:szCs w:val="21"/>
                <w:highlight w:val="none"/>
              </w:rPr>
              <w:t>分数</w:t>
            </w:r>
          </w:p>
        </w:tc>
        <w:tc>
          <w:tcPr>
            <w:tcW w:w="5934" w:type="dxa"/>
            <w:tcBorders>
              <w:top w:val="single" w:color="auto" w:sz="4" w:space="0"/>
              <w:left w:val="single" w:color="auto" w:sz="4" w:space="0"/>
              <w:bottom w:val="single" w:color="auto" w:sz="4" w:space="0"/>
              <w:right w:val="double" w:color="auto" w:sz="4" w:space="0"/>
            </w:tcBorders>
            <w:vAlign w:val="center"/>
          </w:tcPr>
          <w:p>
            <w:pPr>
              <w:pStyle w:val="10"/>
              <w:ind w:firstLine="0" w:firstLineChars="0"/>
              <w:rPr>
                <w:rFonts w:hint="default" w:eastAsia="宋体"/>
                <w:color w:val="auto"/>
                <w:highlight w:val="none"/>
                <w:u w:val="single"/>
                <w:lang w:val="en-US" w:eastAsia="zh-CN"/>
              </w:rPr>
            </w:pPr>
            <w:r>
              <w:rPr>
                <w:rFonts w:hint="eastAsia" w:ascii="宋体" w:hAnsi="宋体" w:cs="宋体"/>
                <w:color w:val="auto"/>
                <w:szCs w:val="21"/>
                <w:highlight w:val="none"/>
                <w:u w:val="singl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32</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第二阶段投标人名次的排序方法（适用于办法一、办法二）</w:t>
            </w:r>
          </w:p>
        </w:tc>
        <w:tc>
          <w:tcPr>
            <w:tcW w:w="5934"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s="宋体"/>
                <w:color w:val="auto"/>
                <w:szCs w:val="21"/>
                <w:highlight w:val="none"/>
                <w:u w:val="singl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33</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经济分相同情况下的排序方法（适用于办法三、办法四）</w:t>
            </w:r>
          </w:p>
        </w:tc>
        <w:tc>
          <w:tcPr>
            <w:tcW w:w="593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u w:val="single"/>
              </w:rPr>
            </w:pPr>
            <w:r>
              <w:rPr>
                <w:rFonts w:hint="eastAsia" w:ascii="宋体" w:hAnsi="宋体" w:cs="宋体"/>
                <w:color w:val="auto"/>
                <w:szCs w:val="21"/>
                <w:highlight w:val="none"/>
                <w:u w:val="singl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34</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第二阶段投标人名次的排序方法（适用于办法五、办法六）</w:t>
            </w:r>
          </w:p>
        </w:tc>
        <w:tc>
          <w:tcPr>
            <w:tcW w:w="5934" w:type="dxa"/>
            <w:tcBorders>
              <w:top w:val="single" w:color="auto" w:sz="4" w:space="0"/>
              <w:left w:val="single" w:color="auto" w:sz="4" w:space="0"/>
              <w:bottom w:val="single" w:color="auto" w:sz="4" w:space="0"/>
              <w:right w:val="double" w:color="auto" w:sz="4" w:space="0"/>
            </w:tcBorders>
            <w:vAlign w:val="center"/>
          </w:tcPr>
          <w:p>
            <w:pPr>
              <w:pStyle w:val="10"/>
              <w:ind w:firstLine="0" w:firstLineChars="0"/>
              <w:rPr>
                <w:rFonts w:hint="eastAsia" w:ascii="宋体" w:hAnsi="宋体"/>
                <w:color w:val="auto"/>
                <w:szCs w:val="21"/>
                <w:highlight w:val="none"/>
                <w:u w:val="single"/>
              </w:rPr>
            </w:pPr>
            <w:r>
              <w:rPr>
                <w:rFonts w:hint="eastAsia" w:ascii="宋体" w:hAnsi="宋体" w:cs="宋体"/>
                <w:color w:val="auto"/>
                <w:szCs w:val="21"/>
                <w:highlight w:val="none"/>
                <w:u w:val="singl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13.4</w:t>
            </w:r>
            <w:r>
              <w:rPr>
                <w:rFonts w:hint="eastAsia" w:ascii="宋体" w:hAnsi="宋体"/>
                <w:color w:val="auto"/>
                <w:szCs w:val="21"/>
                <w:highlight w:val="none"/>
              </w:rPr>
              <w:t>、</w:t>
            </w:r>
            <w:r>
              <w:rPr>
                <w:rFonts w:ascii="宋体" w:hAnsi="宋体"/>
                <w:color w:val="auto"/>
                <w:szCs w:val="21"/>
                <w:highlight w:val="none"/>
              </w:rPr>
              <w:t>13.5.2</w:t>
            </w:r>
          </w:p>
        </w:tc>
        <w:tc>
          <w:tcPr>
            <w:tcW w:w="17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合同价款的调整办法</w:t>
            </w:r>
          </w:p>
        </w:tc>
        <w:tc>
          <w:tcPr>
            <w:tcW w:w="5934"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s="宋体"/>
                <w:color w:val="auto"/>
                <w:szCs w:val="21"/>
                <w:highlight w:val="none"/>
                <w:u w:val="single"/>
              </w:rPr>
              <w:t>见招标文件相关合同条款</w:t>
            </w:r>
            <w:r>
              <w:rPr>
                <w:rFonts w:hint="eastAsia" w:ascii="宋体" w:hAnsi="宋体"/>
                <w:color w:val="auto"/>
                <w:szCs w:val="21"/>
                <w:highlight w:val="none"/>
                <w:u w:val="single"/>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kern w:val="0"/>
                <w:szCs w:val="21"/>
                <w:highlight w:val="none"/>
                <w:lang w:val="zh-CN"/>
              </w:rPr>
              <w:t>建设工程质量检测单位</w:t>
            </w:r>
          </w:p>
        </w:tc>
        <w:tc>
          <w:tcPr>
            <w:tcW w:w="5934"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kern w:val="0"/>
                <w:szCs w:val="21"/>
                <w:highlight w:val="none"/>
                <w:lang w:val="zh-CN"/>
              </w:rPr>
            </w:pPr>
            <w:r>
              <w:rPr>
                <w:rFonts w:hint="eastAsia" w:ascii="宋体" w:hAnsi="宋体"/>
                <w:color w:val="auto"/>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37</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电子招标投标解密失败及突发情况的补救</w:t>
            </w:r>
          </w:p>
        </w:tc>
        <w:tc>
          <w:tcPr>
            <w:tcW w:w="5934" w:type="dxa"/>
            <w:tcBorders>
              <w:top w:val="single" w:color="auto" w:sz="4" w:space="0"/>
              <w:left w:val="single" w:color="auto" w:sz="4" w:space="0"/>
              <w:bottom w:val="single" w:color="auto" w:sz="4" w:space="0"/>
              <w:right w:val="double" w:color="auto" w:sz="4" w:space="0"/>
            </w:tcBorders>
            <w:vAlign w:val="center"/>
          </w:tcPr>
          <w:p>
            <w:pPr>
              <w:rPr>
                <w:rFonts w:ascii="宋体" w:hAnsi="宋体" w:cs="Courier New"/>
                <w:color w:val="auto"/>
                <w:szCs w:val="21"/>
                <w:highlight w:val="none"/>
              </w:rPr>
            </w:pPr>
            <w:r>
              <w:rPr>
                <w:rFonts w:hint="eastAsia" w:ascii="宋体" w:hAnsi="宋体" w:cs="Courier New"/>
                <w:color w:val="auto"/>
                <w:szCs w:val="21"/>
                <w:highlight w:val="none"/>
              </w:rPr>
              <w:t>1、按照交易平台关于全流程电子化项目的相关指南进行操作。详见：</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w:t>
            </w:r>
            <w:r>
              <w:rPr>
                <w:rFonts w:hint="eastAsia" w:ascii="宋体" w:hAnsi="宋体" w:cs="Courier New"/>
                <w:color w:val="auto"/>
                <w:szCs w:val="21"/>
                <w:highlight w:val="none"/>
              </w:rPr>
              <w:t xml:space="preserve">。  </w:t>
            </w:r>
          </w:p>
          <w:p>
            <w:pPr>
              <w:rPr>
                <w:rFonts w:ascii="宋体" w:hAnsi="宋体" w:cs="Courier New"/>
                <w:color w:val="auto"/>
                <w:szCs w:val="21"/>
                <w:highlight w:val="none"/>
              </w:rPr>
            </w:pPr>
            <w:r>
              <w:rPr>
                <w:rFonts w:hint="eastAsia" w:ascii="宋体" w:hAnsi="宋体" w:cs="Courier New"/>
                <w:color w:val="auto"/>
                <w:szCs w:val="21"/>
                <w:highlight w:val="none"/>
              </w:rPr>
              <w:t>2、提交投标文件光盘备用</w:t>
            </w:r>
          </w:p>
          <w:p>
            <w:pPr>
              <w:rPr>
                <w:rFonts w:ascii="宋体" w:hAnsi="宋体" w:cs="Courier New"/>
                <w:color w:val="auto"/>
                <w:szCs w:val="21"/>
                <w:highlight w:val="none"/>
              </w:rPr>
            </w:pPr>
            <w:r>
              <w:rPr>
                <w:rFonts w:hint="eastAsia" w:ascii="宋体" w:hAnsi="宋体" w:cs="Courier New"/>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rPr>
                <w:rFonts w:ascii="宋体" w:hAnsi="宋体" w:cs="Courier New"/>
                <w:color w:val="auto"/>
                <w:szCs w:val="21"/>
                <w:highlight w:val="none"/>
              </w:rPr>
            </w:pPr>
            <w:r>
              <w:rPr>
                <w:rFonts w:hint="eastAsia" w:ascii="宋体" w:hAnsi="宋体" w:cs="Courier New"/>
                <w:color w:val="auto"/>
                <w:szCs w:val="21"/>
                <w:highlight w:val="none"/>
              </w:rPr>
              <w:t>3、补救方案</w:t>
            </w:r>
          </w:p>
          <w:p>
            <w:pPr>
              <w:rPr>
                <w:rFonts w:ascii="宋体" w:hAnsi="宋体" w:cs="Courier New"/>
                <w:color w:val="auto"/>
                <w:szCs w:val="21"/>
                <w:highlight w:val="none"/>
              </w:rPr>
            </w:pPr>
            <w:r>
              <w:rPr>
                <w:rFonts w:hint="eastAsia" w:ascii="宋体" w:hAnsi="宋体" w:cs="Courier New"/>
                <w:color w:val="auto"/>
                <w:szCs w:val="21"/>
                <w:highlight w:val="none"/>
              </w:rPr>
              <w:t>（1）投标文件解密失败的补救方案：</w:t>
            </w:r>
          </w:p>
          <w:p>
            <w:pPr>
              <w:rPr>
                <w:rFonts w:ascii="宋体" w:hAnsi="宋体" w:cs="Courier New"/>
                <w:color w:val="auto"/>
                <w:szCs w:val="21"/>
                <w:highlight w:val="none"/>
              </w:rPr>
            </w:pPr>
            <w:r>
              <w:rPr>
                <w:rFonts w:hint="eastAsia" w:ascii="宋体" w:hAnsi="宋体" w:cs="Courier New"/>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rPr>
                <w:rFonts w:ascii="宋体" w:hAnsi="宋体" w:cs="Courier New"/>
                <w:color w:val="auto"/>
                <w:szCs w:val="21"/>
                <w:highlight w:val="none"/>
              </w:rPr>
            </w:pPr>
            <w:r>
              <w:rPr>
                <w:rFonts w:hint="eastAsia" w:ascii="宋体" w:hAnsi="宋体" w:cs="Courier New"/>
                <w:color w:val="auto"/>
                <w:szCs w:val="21"/>
                <w:highlight w:val="none"/>
              </w:rPr>
              <w:t>（2）评标时突发情况的补救方案</w:t>
            </w:r>
          </w:p>
          <w:p>
            <w:pPr>
              <w:rPr>
                <w:rFonts w:ascii="宋体" w:hAnsi="宋体" w:cs="Courier New"/>
                <w:color w:val="auto"/>
                <w:szCs w:val="21"/>
                <w:highlight w:val="none"/>
              </w:rPr>
            </w:pPr>
            <w:r>
              <w:rPr>
                <w:rFonts w:hint="eastAsia" w:ascii="宋体" w:hAnsi="宋体" w:cs="Courier New"/>
                <w:color w:val="auto"/>
                <w:szCs w:val="21"/>
                <w:highlight w:val="none"/>
              </w:rPr>
              <w:t>若遇不可抗力发生（指网络瘫痪、服务器损坏、交易系统故障短期无法恢复等因素），由评标委员会开启投标人递交的全部投标文件光盘，并按光盘内容进行评审。</w:t>
            </w:r>
          </w:p>
          <w:p>
            <w:pPr>
              <w:rPr>
                <w:rFonts w:ascii="宋体" w:hAnsi="宋体" w:cs="Courier New"/>
                <w:color w:val="auto"/>
                <w:szCs w:val="21"/>
                <w:highlight w:val="none"/>
              </w:rPr>
            </w:pPr>
            <w:r>
              <w:rPr>
                <w:rFonts w:hint="eastAsia" w:ascii="宋体" w:hAnsi="宋体" w:cs="Courier New"/>
                <w:color w:val="auto"/>
                <w:szCs w:val="21"/>
                <w:highlight w:val="none"/>
              </w:rPr>
              <w:t>（3）除发生上述情况外，开标评标均以投标人通过交易平台网上递交的电子投标文件为准。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38 </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highlight w:val="none"/>
              </w:rPr>
            </w:pPr>
            <w:r>
              <w:rPr>
                <w:rFonts w:hint="eastAsia" w:ascii="宋体" w:hAnsi="宋体" w:cs="Courier New"/>
                <w:color w:val="auto"/>
                <w:szCs w:val="21"/>
                <w:highlight w:val="none"/>
              </w:rPr>
              <w:t>招标人对中标人参与“百千万工程”的具体要求</w:t>
            </w:r>
          </w:p>
        </w:tc>
        <w:tc>
          <w:tcPr>
            <w:tcW w:w="593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Courier New"/>
                <w:color w:val="auto"/>
                <w:szCs w:val="21"/>
                <w:highlight w:val="none"/>
              </w:rPr>
            </w:pPr>
            <w:r>
              <w:rPr>
                <w:rFonts w:hint="eastAsia" w:ascii="宋体" w:hAnsi="宋体" w:cs="Courier New"/>
                <w:color w:val="auto"/>
                <w:szCs w:val="21"/>
                <w:highlight w:val="none"/>
                <w:lang w:eastAsia="zh-CN"/>
              </w:rPr>
              <w:t>☑</w:t>
            </w:r>
            <w:r>
              <w:rPr>
                <w:rFonts w:hint="eastAsia" w:ascii="宋体" w:hAnsi="宋体" w:cs="Courier New"/>
                <w:color w:val="auto"/>
                <w:szCs w:val="21"/>
                <w:highlight w:val="none"/>
              </w:rPr>
              <w:t>具体要求在中标后按照投标承诺和招标人的要求执行。</w:t>
            </w:r>
            <w:r>
              <w:rPr>
                <w:rFonts w:hint="eastAsia" w:ascii="宋体" w:hAnsi="宋体" w:cs="Courier New"/>
                <w:color w:val="auto"/>
                <w:szCs w:val="21"/>
                <w:highlight w:val="none"/>
                <w:u w:val="single"/>
              </w:rPr>
              <w:t>如政府部门有“百干万工程”相关要求，中标人须无条件配合。</w:t>
            </w:r>
          </w:p>
          <w:p>
            <w:pPr>
              <w:rPr>
                <w:rFonts w:hint="eastAsia" w:ascii="宋体" w:hAnsi="宋体" w:cs="Courier New"/>
                <w:color w:val="auto"/>
                <w:szCs w:val="21"/>
                <w:highlight w:val="none"/>
              </w:rPr>
            </w:pPr>
            <w:r>
              <w:rPr>
                <w:rFonts w:hint="eastAsia" w:ascii="宋体" w:hAnsi="宋体" w:cs="Courier New"/>
                <w:color w:val="auto"/>
                <w:szCs w:val="21"/>
                <w:highlight w:val="none"/>
              </w:rPr>
              <w:t>□具体要求：（由招标人填写）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u w:val="single"/>
                <w:lang w:val="en-US" w:eastAsia="zh-CN"/>
              </w:rPr>
            </w:pPr>
            <w:r>
              <w:rPr>
                <w:rFonts w:hint="eastAsia" w:ascii="宋体" w:hAnsi="宋体"/>
                <w:color w:val="auto"/>
                <w:szCs w:val="21"/>
                <w:highlight w:val="none"/>
                <w:u w:val="single"/>
                <w:lang w:val="en-US" w:eastAsia="zh-CN"/>
              </w:rPr>
              <w:t>39</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u w:val="single"/>
              </w:rPr>
            </w:pPr>
          </w:p>
        </w:tc>
        <w:tc>
          <w:tcPr>
            <w:tcW w:w="173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Courier New"/>
                <w:color w:val="auto"/>
                <w:szCs w:val="21"/>
                <w:highlight w:val="none"/>
                <w:u w:val="single"/>
              </w:rPr>
            </w:pPr>
            <w:r>
              <w:rPr>
                <w:rFonts w:hint="eastAsia" w:ascii="宋体" w:hAnsi="宋体" w:eastAsia="宋体" w:cs="Courier New"/>
                <w:b w:val="0"/>
                <w:bCs w:val="0"/>
                <w:color w:val="auto"/>
                <w:szCs w:val="21"/>
                <w:highlight w:val="none"/>
                <w:u w:val="single"/>
                <w:lang w:val="zh-CN"/>
              </w:rPr>
              <w:t>工人工资分账管理</w:t>
            </w:r>
          </w:p>
        </w:tc>
        <w:tc>
          <w:tcPr>
            <w:tcW w:w="593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Courier New"/>
                <w:color w:val="auto"/>
                <w:szCs w:val="21"/>
                <w:highlight w:val="none"/>
                <w:u w:val="single"/>
              </w:rPr>
            </w:pPr>
            <w:r>
              <w:rPr>
                <w:rFonts w:hint="eastAsia" w:ascii="宋体" w:hAnsi="宋体" w:eastAsia="宋体" w:cs="Courier New"/>
                <w:bCs w:val="0"/>
                <w:color w:val="auto"/>
                <w:kern w:val="2"/>
                <w:szCs w:val="21"/>
                <w:highlight w:val="none"/>
                <w:u w:val="single"/>
              </w:rPr>
              <w:t>本项目按照《关于印发广州市建设领域工人工资支付分账管理实施细则的通知》（穗建规字〔2020〕37号）实行工人工资分账管理。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u w:val="single"/>
                <w:lang w:val="en-US" w:eastAsia="zh-CN"/>
              </w:rPr>
            </w:pPr>
            <w:r>
              <w:rPr>
                <w:rFonts w:hint="eastAsia" w:ascii="宋体" w:hAnsi="宋体"/>
                <w:color w:val="auto"/>
                <w:szCs w:val="21"/>
                <w:highlight w:val="none"/>
                <w:u w:val="single"/>
                <w:lang w:val="en-US" w:eastAsia="zh-CN"/>
              </w:rPr>
              <w:t>40</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u w:val="single"/>
              </w:rPr>
            </w:pPr>
          </w:p>
        </w:tc>
        <w:tc>
          <w:tcPr>
            <w:tcW w:w="173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Courier New"/>
                <w:color w:val="auto"/>
                <w:szCs w:val="21"/>
                <w:highlight w:val="none"/>
                <w:u w:val="single"/>
              </w:rPr>
            </w:pPr>
            <w:r>
              <w:rPr>
                <w:rFonts w:hint="eastAsia" w:ascii="宋体" w:hAnsi="宋体" w:eastAsia="宋体" w:cs="Courier New"/>
                <w:b w:val="0"/>
                <w:bCs w:val="0"/>
                <w:color w:val="auto"/>
                <w:szCs w:val="21"/>
                <w:highlight w:val="none"/>
                <w:u w:val="single"/>
              </w:rPr>
              <w:t>质量保修责任</w:t>
            </w:r>
          </w:p>
        </w:tc>
        <w:tc>
          <w:tcPr>
            <w:tcW w:w="593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Courier New"/>
                <w:color w:val="auto"/>
                <w:szCs w:val="21"/>
                <w:highlight w:val="none"/>
                <w:u w:val="single"/>
              </w:rPr>
            </w:pPr>
            <w:r>
              <w:rPr>
                <w:rFonts w:hint="eastAsia" w:ascii="宋体" w:hAnsi="宋体" w:eastAsia="宋体" w:cs="Courier New"/>
                <w:color w:val="auto"/>
                <w:szCs w:val="21"/>
                <w:highlight w:val="none"/>
                <w:u w:val="single"/>
              </w:rPr>
              <w:t>具体详见合同条款约定。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double" w:color="auto" w:sz="4" w:space="0"/>
              <w:right w:val="single" w:color="auto" w:sz="4" w:space="0"/>
            </w:tcBorders>
            <w:vAlign w:val="center"/>
          </w:tcPr>
          <w:p>
            <w:pPr>
              <w:rPr>
                <w:rFonts w:hint="eastAsia" w:ascii="宋体" w:hAnsi="宋体"/>
                <w:color w:val="auto"/>
                <w:szCs w:val="21"/>
                <w:highlight w:val="none"/>
                <w:u w:val="single"/>
                <w:lang w:val="en-US" w:eastAsia="zh-CN"/>
              </w:rPr>
            </w:pPr>
            <w:r>
              <w:rPr>
                <w:rFonts w:hint="eastAsia" w:ascii="宋体" w:hAnsi="宋体"/>
                <w:color w:val="auto"/>
                <w:szCs w:val="21"/>
                <w:highlight w:val="none"/>
                <w:u w:val="single"/>
                <w:lang w:val="en-US" w:eastAsia="zh-CN"/>
              </w:rPr>
              <w:t>41</w:t>
            </w:r>
          </w:p>
        </w:tc>
        <w:tc>
          <w:tcPr>
            <w:tcW w:w="981" w:type="dxa"/>
            <w:tcBorders>
              <w:top w:val="single" w:color="auto" w:sz="4" w:space="0"/>
              <w:left w:val="single" w:color="auto" w:sz="4" w:space="0"/>
              <w:bottom w:val="double" w:color="auto" w:sz="4" w:space="0"/>
              <w:right w:val="single" w:color="auto" w:sz="4" w:space="0"/>
            </w:tcBorders>
            <w:vAlign w:val="center"/>
          </w:tcPr>
          <w:p>
            <w:pPr>
              <w:jc w:val="center"/>
              <w:rPr>
                <w:rFonts w:ascii="宋体" w:hAnsi="宋体"/>
                <w:color w:val="auto"/>
                <w:highlight w:val="none"/>
                <w:u w:val="single"/>
              </w:rPr>
            </w:pPr>
          </w:p>
        </w:tc>
        <w:tc>
          <w:tcPr>
            <w:tcW w:w="1733" w:type="dxa"/>
            <w:tcBorders>
              <w:top w:val="single" w:color="auto" w:sz="4" w:space="0"/>
              <w:left w:val="single" w:color="auto" w:sz="4" w:space="0"/>
              <w:bottom w:val="double" w:color="auto" w:sz="4" w:space="0"/>
              <w:right w:val="single" w:color="auto" w:sz="4" w:space="0"/>
            </w:tcBorders>
            <w:vAlign w:val="center"/>
          </w:tcPr>
          <w:p>
            <w:pPr>
              <w:spacing w:line="240" w:lineRule="auto"/>
              <w:jc w:val="left"/>
              <w:rPr>
                <w:rFonts w:hint="eastAsia" w:ascii="宋体" w:hAnsi="宋体" w:cs="Courier New"/>
                <w:color w:val="auto"/>
                <w:szCs w:val="21"/>
                <w:highlight w:val="none"/>
                <w:u w:val="single"/>
              </w:rPr>
            </w:pPr>
            <w:r>
              <w:rPr>
                <w:rFonts w:hint="eastAsia" w:ascii="宋体" w:hAnsi="宋体" w:eastAsia="宋体" w:cs="Courier New"/>
                <w:b w:val="0"/>
                <w:bCs w:val="0"/>
                <w:color w:val="auto"/>
                <w:szCs w:val="21"/>
                <w:highlight w:val="none"/>
                <w:u w:val="single"/>
              </w:rPr>
              <w:t>交易服务费</w:t>
            </w:r>
          </w:p>
        </w:tc>
        <w:tc>
          <w:tcPr>
            <w:tcW w:w="5934" w:type="dxa"/>
            <w:tcBorders>
              <w:top w:val="single" w:color="auto" w:sz="4" w:space="0"/>
              <w:left w:val="single" w:color="auto" w:sz="4" w:space="0"/>
              <w:bottom w:val="double" w:color="auto" w:sz="4" w:space="0"/>
              <w:right w:val="double" w:color="auto" w:sz="4" w:space="0"/>
            </w:tcBorders>
            <w:vAlign w:val="center"/>
          </w:tcPr>
          <w:p>
            <w:pPr>
              <w:spacing w:line="240" w:lineRule="auto"/>
              <w:rPr>
                <w:rFonts w:hint="eastAsia" w:ascii="宋体" w:hAnsi="宋体" w:cs="Courier New"/>
                <w:color w:val="auto"/>
                <w:szCs w:val="21"/>
                <w:highlight w:val="none"/>
                <w:u w:val="single"/>
              </w:rPr>
            </w:pPr>
            <w:r>
              <w:rPr>
                <w:rFonts w:hint="eastAsia" w:ascii="宋体" w:hAnsi="宋体" w:eastAsia="宋体" w:cs="Courier New"/>
                <w:color w:val="auto"/>
                <w:szCs w:val="21"/>
                <w:highlight w:val="none"/>
                <w:u w:val="single"/>
              </w:rPr>
              <w:t>中标人自行支付</w:t>
            </w:r>
            <w:r>
              <w:rPr>
                <w:rFonts w:hint="eastAsia" w:ascii="宋体" w:hAnsi="宋体" w:eastAsia="宋体" w:cs="Courier New"/>
                <w:color w:val="auto"/>
                <w:szCs w:val="21"/>
                <w:highlight w:val="none"/>
                <w:u w:val="single"/>
                <w:lang w:eastAsia="zh-CN"/>
              </w:rPr>
              <w:t>广州交易集团有限公司（广州公共资源交易中心）</w:t>
            </w:r>
            <w:r>
              <w:rPr>
                <w:rFonts w:hint="eastAsia" w:ascii="宋体" w:hAnsi="宋体" w:eastAsia="宋体" w:cs="Courier New"/>
                <w:color w:val="auto"/>
                <w:szCs w:val="21"/>
                <w:highlight w:val="none"/>
                <w:u w:val="single"/>
              </w:rPr>
              <w:t>交易服务费，其费用包含在中标人投标报价中，由</w:t>
            </w:r>
            <w:r>
              <w:rPr>
                <w:rFonts w:hint="eastAsia" w:ascii="宋体" w:hAnsi="宋体" w:eastAsia="宋体" w:cs="Courier New"/>
                <w:color w:val="auto"/>
                <w:szCs w:val="21"/>
                <w:highlight w:val="none"/>
                <w:u w:val="single"/>
                <w:lang w:eastAsia="zh-CN"/>
              </w:rPr>
              <w:t>广州交易集团有限公司（广州公共资源交易中心）</w:t>
            </w:r>
            <w:r>
              <w:rPr>
                <w:rFonts w:hint="eastAsia" w:ascii="宋体" w:hAnsi="宋体" w:eastAsia="宋体" w:cs="Courier New"/>
                <w:color w:val="auto"/>
                <w:szCs w:val="21"/>
                <w:highlight w:val="none"/>
                <w:u w:val="single"/>
              </w:rPr>
              <w:t>向中标人开具发票。</w:t>
            </w:r>
          </w:p>
        </w:tc>
      </w:tr>
    </w:tbl>
    <w:p>
      <w:pPr>
        <w:pStyle w:val="7"/>
        <w:rPr>
          <w:color w:val="auto"/>
          <w:highlight w:val="none"/>
        </w:rPr>
      </w:pPr>
      <w:r>
        <w:rPr>
          <w:color w:val="auto"/>
          <w:highlight w:val="none"/>
        </w:rPr>
        <w:br w:type="page"/>
      </w:r>
      <w:bookmarkStart w:id="9" w:name="_Toc21525491"/>
      <w:bookmarkStart w:id="10" w:name="_Toc2272547"/>
      <w:bookmarkStart w:id="11" w:name="_Toc25354"/>
      <w:bookmarkStart w:id="12" w:name="_Toc28760"/>
      <w:r>
        <w:rPr>
          <w:rStyle w:val="62"/>
          <w:rFonts w:hint="eastAsia"/>
          <w:b/>
          <w:color w:val="auto"/>
          <w:highlight w:val="none"/>
        </w:rPr>
        <w:t>二、投标须知修改表</w:t>
      </w:r>
      <w:bookmarkEnd w:id="9"/>
      <w:bookmarkEnd w:id="10"/>
      <w:bookmarkEnd w:id="11"/>
      <w:bookmarkEnd w:id="12"/>
    </w:p>
    <w:p>
      <w:pPr>
        <w:pStyle w:val="5"/>
        <w:spacing w:line="360" w:lineRule="auto"/>
        <w:rPr>
          <w:b/>
          <w:color w:val="auto"/>
          <w:szCs w:val="21"/>
          <w:highlight w:val="none"/>
        </w:rPr>
      </w:pPr>
      <w:r>
        <w:rPr>
          <w:rFonts w:hint="eastAsia"/>
          <w:b/>
          <w:color w:val="auto"/>
          <w:szCs w:val="21"/>
          <w:highlight w:val="none"/>
        </w:rPr>
        <w:t>声明：本投标须知使用招标文件范本的投标须知通用条款，与该通用条款不同之处，均在本表中列明，并以现文为准，原文不再有效。</w:t>
      </w:r>
      <w:r>
        <w:rPr>
          <w:rFonts w:hint="eastAsia" w:ascii="宋体" w:hAnsi="宋体"/>
          <w:b w:val="0"/>
          <w:bCs/>
          <w:color w:val="auto"/>
          <w:sz w:val="21"/>
          <w:szCs w:val="21"/>
          <w:highlight w:val="none"/>
          <w:lang w:eastAsia="zh-CN"/>
        </w:rPr>
        <w:t>（注：招标人按《投标须知修改表》修改的内容对应修改通用条款，属于删除的采用“</w:t>
      </w:r>
      <w:r>
        <w:rPr>
          <w:rFonts w:hint="eastAsia" w:ascii="宋体" w:hAnsi="宋体"/>
          <w:b w:val="0"/>
          <w:bCs/>
          <w:strike/>
          <w:dstrike w:val="0"/>
          <w:color w:val="auto"/>
          <w:sz w:val="21"/>
          <w:szCs w:val="21"/>
          <w:highlight w:val="none"/>
          <w:lang w:val="en-US" w:eastAsia="zh-CN"/>
        </w:rPr>
        <w:t xml:space="preserve">   </w:t>
      </w:r>
      <w:r>
        <w:rPr>
          <w:rFonts w:hint="eastAsia" w:ascii="宋体" w:hAnsi="宋体"/>
          <w:b w:val="0"/>
          <w:bCs/>
          <w:strike w:val="0"/>
          <w:dstrike w:val="0"/>
          <w:color w:val="auto"/>
          <w:sz w:val="21"/>
          <w:szCs w:val="21"/>
          <w:highlight w:val="none"/>
          <w:lang w:val="en-US" w:eastAsia="zh-CN"/>
        </w:rPr>
        <w:t>”表示，</w:t>
      </w:r>
      <w:r>
        <w:rPr>
          <w:rFonts w:hint="eastAsia" w:ascii="宋体" w:hAnsi="宋体"/>
          <w:b w:val="0"/>
          <w:bCs/>
          <w:color w:val="auto"/>
          <w:sz w:val="21"/>
          <w:szCs w:val="21"/>
          <w:highlight w:val="none"/>
          <w:lang w:eastAsia="zh-CN"/>
        </w:rPr>
        <w:t>如“</w:t>
      </w:r>
      <w:r>
        <w:rPr>
          <w:rFonts w:hint="eastAsia" w:ascii="宋体" w:hAnsi="宋体"/>
          <w:b w:val="0"/>
          <w:bCs/>
          <w:strike/>
          <w:dstrike w:val="0"/>
          <w:color w:val="auto"/>
          <w:sz w:val="21"/>
          <w:szCs w:val="21"/>
          <w:highlight w:val="none"/>
          <w:u w:val="none"/>
          <w:lang w:eastAsia="zh-CN"/>
        </w:rPr>
        <w:t>删除</w:t>
      </w:r>
      <w:r>
        <w:rPr>
          <w:rFonts w:hint="eastAsia" w:ascii="宋体" w:hAnsi="宋体"/>
          <w:b w:val="0"/>
          <w:bCs/>
          <w:color w:val="auto"/>
          <w:sz w:val="21"/>
          <w:szCs w:val="21"/>
          <w:highlight w:val="none"/>
          <w:lang w:eastAsia="zh-CN"/>
        </w:rPr>
        <w:t>”；属于新增、修改的内容，用</w:t>
      </w:r>
      <w:r>
        <w:rPr>
          <w:rFonts w:hint="eastAsia" w:ascii="宋体" w:hAnsi="宋体"/>
          <w:b/>
          <w:bCs w:val="0"/>
          <w:color w:val="auto"/>
          <w:sz w:val="21"/>
          <w:szCs w:val="21"/>
          <w:highlight w:val="none"/>
          <w:lang w:eastAsia="zh-CN"/>
        </w:rPr>
        <w:t>黑色加粗</w:t>
      </w:r>
      <w:r>
        <w:rPr>
          <w:rFonts w:hint="eastAsia" w:ascii="宋体" w:hAnsi="宋体"/>
          <w:b w:val="0"/>
          <w:bCs/>
          <w:color w:val="auto"/>
          <w:sz w:val="21"/>
          <w:szCs w:val="21"/>
          <w:highlight w:val="none"/>
          <w:lang w:eastAsia="zh-CN"/>
        </w:rPr>
        <w:t>字体显示</w:t>
      </w:r>
      <w:r>
        <w:rPr>
          <w:rFonts w:hint="eastAsia" w:ascii="宋体" w:hAnsi="宋体"/>
          <w:b w:val="0"/>
          <w:bCs/>
          <w:color w:val="auto"/>
          <w:sz w:val="21"/>
          <w:szCs w:val="21"/>
          <w:highlight w:val="none"/>
          <w:lang w:val="en-US" w:eastAsia="zh-CN"/>
        </w:rPr>
        <w:t>,并加注下划线，如“</w:t>
      </w:r>
      <w:r>
        <w:rPr>
          <w:rFonts w:hint="eastAsia" w:ascii="宋体" w:hAnsi="宋体"/>
          <w:b/>
          <w:bCs w:val="0"/>
          <w:color w:val="auto"/>
          <w:sz w:val="21"/>
          <w:szCs w:val="21"/>
          <w:highlight w:val="none"/>
          <w:u w:val="single"/>
          <w:lang w:val="en-US" w:eastAsia="zh-CN"/>
        </w:rPr>
        <w:t>新增修改</w:t>
      </w:r>
      <w:r>
        <w:rPr>
          <w:rFonts w:hint="eastAsia" w:ascii="宋体" w:hAnsi="宋体"/>
          <w:b w:val="0"/>
          <w:bCs/>
          <w:color w:val="auto"/>
          <w:sz w:val="21"/>
          <w:szCs w:val="21"/>
          <w:highlight w:val="none"/>
          <w:lang w:val="en-US" w:eastAsia="zh-CN"/>
        </w:rPr>
        <w:t>”</w:t>
      </w:r>
      <w:r>
        <w:rPr>
          <w:rFonts w:hint="eastAsia" w:ascii="宋体" w:hAnsi="宋体"/>
          <w:b w:val="0"/>
          <w:bCs/>
          <w:color w:val="auto"/>
          <w:sz w:val="21"/>
          <w:szCs w:val="21"/>
          <w:highlight w:val="none"/>
          <w:lang w:eastAsia="zh-CN"/>
        </w:rPr>
        <w:t>。</w:t>
      </w:r>
      <w:r>
        <w:rPr>
          <w:rFonts w:hint="eastAsia" w:ascii="宋体" w:hAnsi="宋体"/>
          <w:b w:val="0"/>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.1                    修改类型：修改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lang w:val="en-US" w:eastAsia="zh-CN"/>
        </w:rPr>
        <w:t>5.1投标人应按本投标须知前附表第12项所述时间和要求自行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val="0"/>
          <w:color w:val="auto"/>
          <w:sz w:val="21"/>
          <w:szCs w:val="21"/>
          <w:highlight w:val="none"/>
          <w:lang w:val="en-US" w:eastAsia="zh-CN"/>
        </w:rPr>
        <w:t>5.1</w:t>
      </w:r>
      <w:r>
        <w:rPr>
          <w:rFonts w:hint="eastAsia" w:ascii="宋体" w:hAnsi="宋体" w:eastAsia="宋体" w:cs="宋体"/>
          <w:b w:val="0"/>
          <w:bCs/>
          <w:color w:val="auto"/>
          <w:sz w:val="21"/>
          <w:szCs w:val="21"/>
          <w:highlight w:val="none"/>
          <w:lang w:val="en-US" w:eastAsia="zh-CN"/>
        </w:rPr>
        <w:t>投标人应按本投标须知前附表第12项所述时间和要求自行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eastAsia="宋体" w:cs="宋体"/>
          <w:b w:val="0"/>
          <w:bCs/>
          <w:color w:val="auto"/>
          <w:sz w:val="21"/>
          <w:szCs w:val="21"/>
          <w:highlight w:val="none"/>
          <w:u w:val="single"/>
          <w:lang w:val="en-US" w:eastAsia="zh-CN"/>
        </w:rPr>
        <w:t>投标人不进行踏勘的，视为已熟知现场条件，自行承担相关风险。投标人自行勘察并对工程量清单及图纸内容、准确性进行复核，如有误差必须在答疑中提出，否则视为已认可本项目的工程量清单及图纸所有内容。</w:t>
      </w:r>
      <w:r>
        <w:rPr>
          <w:rFonts w:hint="eastAsia" w:ascii="宋体" w:hAnsi="宋体" w:eastAsia="宋体" w:cs="宋体"/>
          <w:b w:val="0"/>
          <w:bCs/>
          <w:color w:val="auto"/>
          <w:sz w:val="21"/>
          <w:szCs w:val="21"/>
          <w:highlight w:val="none"/>
          <w:lang w:val="en-US" w:eastAsia="zh-CN"/>
        </w:rPr>
        <w:t>一旦中标，这种考察即被认为其结果已在中标文件中得到充分反映。</w:t>
      </w:r>
      <w:r>
        <w:rPr>
          <w:rFonts w:hint="eastAsia" w:ascii="宋体" w:hAnsi="宋体" w:eastAsia="宋体" w:cs="宋体"/>
          <w:b w:val="0"/>
          <w:bCs/>
          <w:color w:val="auto"/>
          <w:sz w:val="21"/>
          <w:szCs w:val="21"/>
          <w:highlight w:val="none"/>
          <w:u w:val="single"/>
          <w:lang w:val="en-US" w:eastAsia="zh-CN"/>
        </w:rPr>
        <w:t>招标人不受理因投标人缺乏对现场条件的了解或掌握而提出的任何索赔。</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条款号：7.1                      修改类型：修改</w:t>
      </w:r>
    </w:p>
    <w:p>
      <w:pPr>
        <w:widowControl w:val="0"/>
        <w:numPr>
          <w:ilvl w:val="0"/>
          <w:numId w:val="0"/>
        </w:numPr>
        <w:spacing w:after="0" w:line="360" w:lineRule="auto"/>
        <w:ind w:leftChars="200" w:firstLine="42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原文：7.1</w:t>
      </w:r>
      <w:r>
        <w:rPr>
          <w:rFonts w:hint="eastAsia" w:ascii="宋体" w:hAnsi="宋体" w:eastAsia="宋体" w:cs="宋体"/>
          <w:color w:val="auto"/>
          <w:sz w:val="21"/>
          <w:szCs w:val="21"/>
          <w:highlight w:val="none"/>
        </w:rPr>
        <w:t>本招标文件包括下列文件，以及所有按本须知第8条发出的招标答疑会会议纪要和按本须知第9条发出的澄清或修改：</w:t>
      </w:r>
    </w:p>
    <w:p>
      <w:pPr>
        <w:widowControl w:val="0"/>
        <w:numPr>
          <w:ilvl w:val="0"/>
          <w:numId w:val="0"/>
        </w:numPr>
        <w:spacing w:after="0" w:line="360" w:lineRule="auto"/>
        <w:ind w:leftChars="200" w:firstLine="42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（1）招标公告</w:t>
      </w:r>
    </w:p>
    <w:p>
      <w:pPr>
        <w:widowControl w:val="0"/>
        <w:numPr>
          <w:ilvl w:val="0"/>
          <w:numId w:val="0"/>
        </w:numPr>
        <w:spacing w:after="0" w:line="360" w:lineRule="auto"/>
        <w:ind w:leftChars="200"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投标须知</w:t>
      </w:r>
    </w:p>
    <w:p>
      <w:pPr>
        <w:widowControl w:val="0"/>
        <w:numPr>
          <w:ilvl w:val="0"/>
          <w:numId w:val="0"/>
        </w:numPr>
        <w:spacing w:after="0" w:line="360" w:lineRule="auto"/>
        <w:ind w:leftChars="200"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开标、评标及定标办法</w:t>
      </w:r>
    </w:p>
    <w:p>
      <w:pPr>
        <w:widowControl w:val="0"/>
        <w:numPr>
          <w:ilvl w:val="0"/>
          <w:numId w:val="0"/>
        </w:numPr>
        <w:spacing w:after="0" w:line="360" w:lineRule="auto"/>
        <w:ind w:leftChars="200"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合同条款</w:t>
      </w:r>
    </w:p>
    <w:p>
      <w:pPr>
        <w:widowControl w:val="0"/>
        <w:numPr>
          <w:ilvl w:val="0"/>
          <w:numId w:val="0"/>
        </w:numPr>
        <w:spacing w:after="0" w:line="360" w:lineRule="auto"/>
        <w:ind w:leftChars="200"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投标文件格式</w:t>
      </w:r>
    </w:p>
    <w:p>
      <w:pPr>
        <w:widowControl w:val="0"/>
        <w:numPr>
          <w:ilvl w:val="0"/>
          <w:numId w:val="0"/>
        </w:numPr>
        <w:spacing w:after="0" w:line="360" w:lineRule="auto"/>
        <w:ind w:leftChars="200"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技术条件（工程建设标准）</w:t>
      </w:r>
    </w:p>
    <w:p>
      <w:pPr>
        <w:widowControl w:val="0"/>
        <w:numPr>
          <w:ilvl w:val="0"/>
          <w:numId w:val="0"/>
        </w:numPr>
        <w:spacing w:after="0" w:line="360" w:lineRule="auto"/>
        <w:ind w:leftChars="200"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图纸及勘察资料</w:t>
      </w:r>
    </w:p>
    <w:p>
      <w:pPr>
        <w:widowControl w:val="0"/>
        <w:numPr>
          <w:ilvl w:val="0"/>
          <w:numId w:val="0"/>
        </w:numPr>
        <w:spacing w:after="0" w:line="360" w:lineRule="auto"/>
        <w:ind w:leftChars="200"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招标工程量清单</w:t>
      </w:r>
    </w:p>
    <w:p>
      <w:pPr>
        <w:widowControl w:val="0"/>
        <w:numPr>
          <w:ilvl w:val="0"/>
          <w:numId w:val="0"/>
        </w:numPr>
        <w:spacing w:after="0" w:line="360" w:lineRule="auto"/>
        <w:ind w:leftChars="200" w:firstLine="420"/>
        <w:jc w:val="both"/>
        <w:rPr>
          <w:rFonts w:hint="eastAsia" w:ascii="宋体" w:hAnsi="宋体" w:eastAsia="宋体" w:cs="Times New Roman"/>
          <w:color w:val="auto"/>
          <w:kern w:val="2"/>
          <w:sz w:val="24"/>
          <w:szCs w:val="20"/>
          <w:highlight w:val="none"/>
          <w:u w:val="singl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最高投标限价</w:t>
      </w:r>
    </w:p>
    <w:p>
      <w:pPr>
        <w:pStyle w:val="5"/>
        <w:numPr>
          <w:ilvl w:val="0"/>
          <w:numId w:val="0"/>
        </w:numPr>
        <w:spacing w:after="0" w:line="360" w:lineRule="auto"/>
        <w:ind w:firstLine="420" w:firstLineChars="200"/>
        <w:rPr>
          <w:rFonts w:hint="eastAsia" w:ascii="楷体" w:hAnsi="楷体" w:eastAsia="楷体" w:cs="楷体"/>
          <w:b w:val="0"/>
          <w:bCs w:val="0"/>
          <w:color w:val="auto"/>
          <w:sz w:val="21"/>
          <w:szCs w:val="21"/>
          <w:highlight w:val="none"/>
          <w:lang w:eastAsia="zh-CN"/>
        </w:rPr>
      </w:pPr>
      <w:r>
        <w:rPr>
          <w:rFonts w:hint="eastAsia" w:ascii="楷体" w:hAnsi="楷体" w:eastAsia="楷体" w:cs="楷体"/>
          <w:b w:val="0"/>
          <w:bCs w:val="0"/>
          <w:color w:val="auto"/>
          <w:sz w:val="21"/>
          <w:szCs w:val="21"/>
          <w:highlight w:val="none"/>
        </w:rPr>
        <w:t>注：招标人应在技术条件（工程建设标准）中明确</w:t>
      </w:r>
      <w:r>
        <w:rPr>
          <w:rFonts w:hint="eastAsia" w:ascii="楷体" w:hAnsi="楷体" w:eastAsia="楷体" w:cs="楷体"/>
          <w:b w:val="0"/>
          <w:bCs w:val="0"/>
          <w:color w:val="auto"/>
          <w:sz w:val="21"/>
          <w:szCs w:val="21"/>
          <w:highlight w:val="none"/>
          <w:lang w:eastAsia="zh-CN"/>
        </w:rPr>
        <w:t>如下内容：</w:t>
      </w:r>
    </w:p>
    <w:p>
      <w:pPr>
        <w:pStyle w:val="5"/>
        <w:numPr>
          <w:ilvl w:val="0"/>
          <w:numId w:val="0"/>
        </w:numPr>
        <w:spacing w:after="0" w:line="360" w:lineRule="auto"/>
        <w:ind w:firstLine="420" w:firstLineChars="200"/>
        <w:rPr>
          <w:rFonts w:hint="eastAsia" w:ascii="楷体" w:hAnsi="楷体" w:eastAsia="楷体" w:cs="楷体"/>
          <w:b w:val="0"/>
          <w:bCs w:val="0"/>
          <w:color w:val="auto"/>
          <w:sz w:val="21"/>
          <w:szCs w:val="21"/>
          <w:highlight w:val="none"/>
        </w:rPr>
      </w:pPr>
      <w:r>
        <w:rPr>
          <w:rFonts w:hint="eastAsia" w:ascii="楷体" w:hAnsi="楷体" w:eastAsia="楷体" w:cs="楷体"/>
          <w:b w:val="0"/>
          <w:bCs w:val="0"/>
          <w:color w:val="auto"/>
          <w:sz w:val="21"/>
          <w:szCs w:val="21"/>
          <w:highlight w:val="none"/>
          <w:lang w:val="en-US" w:eastAsia="zh-CN"/>
        </w:rPr>
        <w:t>1.</w:t>
      </w:r>
      <w:r>
        <w:rPr>
          <w:rFonts w:hint="eastAsia" w:ascii="楷体" w:hAnsi="楷体" w:eastAsia="楷体" w:cs="楷体"/>
          <w:b w:val="0"/>
          <w:bCs w:val="0"/>
          <w:color w:val="auto"/>
          <w:sz w:val="21"/>
          <w:szCs w:val="21"/>
          <w:highlight w:val="none"/>
        </w:rPr>
        <w:t>施工现场建筑垃圾源头减量的具体要求和建筑垃圾综合利用产品的使用要求。</w:t>
      </w:r>
    </w:p>
    <w:p>
      <w:pPr>
        <w:pStyle w:val="5"/>
        <w:numPr>
          <w:ilvl w:val="0"/>
          <w:numId w:val="0"/>
        </w:numPr>
        <w:spacing w:after="0" w:line="360" w:lineRule="auto"/>
        <w:ind w:firstLine="420" w:firstLineChars="200"/>
        <w:rPr>
          <w:rFonts w:hint="eastAsia" w:ascii="楷体" w:hAnsi="楷体" w:eastAsia="楷体" w:cs="楷体"/>
          <w:b w:val="0"/>
          <w:bCs w:val="0"/>
          <w:color w:val="auto"/>
          <w:sz w:val="21"/>
          <w:szCs w:val="21"/>
          <w:highlight w:val="none"/>
        </w:rPr>
      </w:pPr>
      <w:r>
        <w:rPr>
          <w:rFonts w:hint="eastAsia" w:ascii="楷体" w:hAnsi="楷体" w:eastAsia="楷体" w:cs="楷体"/>
          <w:b w:val="0"/>
          <w:bCs w:val="0"/>
          <w:color w:val="auto"/>
          <w:sz w:val="21"/>
          <w:szCs w:val="21"/>
          <w:highlight w:val="none"/>
          <w:lang w:val="en-US" w:eastAsia="zh-CN"/>
        </w:rPr>
        <w:t>2.</w:t>
      </w:r>
      <w:r>
        <w:rPr>
          <w:rFonts w:hint="eastAsia" w:ascii="楷体" w:hAnsi="楷体" w:eastAsia="楷体" w:cs="楷体"/>
          <w:b w:val="0"/>
          <w:bCs w:val="0"/>
          <w:color w:val="auto"/>
          <w:sz w:val="21"/>
          <w:szCs w:val="21"/>
          <w:highlight w:val="none"/>
          <w:lang w:eastAsia="zh-CN"/>
        </w:rPr>
        <w:t>占道施工相关告知、围蔽、修复等要求。</w:t>
      </w:r>
    </w:p>
    <w:p>
      <w:pPr>
        <w:pStyle w:val="5"/>
        <w:numPr>
          <w:ilvl w:val="0"/>
          <w:numId w:val="0"/>
        </w:numPr>
        <w:spacing w:after="0" w:line="360" w:lineRule="auto"/>
        <w:ind w:firstLine="420" w:firstLineChars="200"/>
        <w:rPr>
          <w:rFonts w:hint="eastAsia" w:ascii="楷体" w:hAnsi="楷体" w:eastAsia="楷体" w:cs="楷体"/>
          <w:b w:val="0"/>
          <w:bCs w:val="0"/>
          <w:color w:val="auto"/>
          <w:sz w:val="21"/>
          <w:szCs w:val="21"/>
          <w:highlight w:val="none"/>
          <w:lang w:val="en-US" w:eastAsia="zh-CN"/>
        </w:rPr>
      </w:pPr>
      <w:r>
        <w:rPr>
          <w:rFonts w:hint="eastAsia" w:ascii="楷体" w:hAnsi="楷体" w:eastAsia="楷体" w:cs="楷体"/>
          <w:b w:val="0"/>
          <w:bCs w:val="0"/>
          <w:color w:val="auto"/>
          <w:sz w:val="21"/>
          <w:szCs w:val="21"/>
          <w:highlight w:val="none"/>
          <w:lang w:val="en-US" w:eastAsia="zh-CN"/>
        </w:rPr>
        <w:t>3.</w:t>
      </w:r>
      <w:r>
        <w:rPr>
          <w:rFonts w:hint="eastAsia" w:ascii="楷体" w:hAnsi="楷体" w:eastAsia="楷体" w:cs="楷体"/>
          <w:b w:val="0"/>
          <w:bCs w:val="0"/>
          <w:color w:val="auto"/>
          <w:sz w:val="21"/>
          <w:szCs w:val="21"/>
          <w:highlight w:val="none"/>
          <w:lang w:eastAsia="zh-CN"/>
        </w:rPr>
        <w:t>对照《广州市智能建造技术清单（</w:t>
      </w:r>
      <w:r>
        <w:rPr>
          <w:rFonts w:hint="eastAsia" w:ascii="楷体" w:hAnsi="楷体" w:eastAsia="楷体" w:cs="楷体"/>
          <w:b w:val="0"/>
          <w:bCs w:val="0"/>
          <w:color w:val="auto"/>
          <w:sz w:val="21"/>
          <w:szCs w:val="21"/>
          <w:highlight w:val="none"/>
          <w:lang w:val="en-US" w:eastAsia="zh-CN"/>
        </w:rPr>
        <w:t>1.0版）》对招标项目智能建造提出要求。</w:t>
      </w:r>
    </w:p>
    <w:p>
      <w:pPr>
        <w:pStyle w:val="5"/>
        <w:numPr>
          <w:ilvl w:val="0"/>
          <w:numId w:val="0"/>
        </w:numPr>
        <w:spacing w:after="0" w:line="360" w:lineRule="auto"/>
        <w:ind w:firstLine="420" w:firstLineChars="200"/>
        <w:rPr>
          <w:rFonts w:hint="eastAsia" w:ascii="楷体" w:hAnsi="楷体" w:eastAsia="楷体" w:cs="楷体"/>
          <w:b w:val="0"/>
          <w:bCs w:val="0"/>
          <w:color w:val="auto"/>
          <w:sz w:val="21"/>
          <w:szCs w:val="21"/>
          <w:highlight w:val="none"/>
          <w:lang w:val="en-US" w:eastAsia="zh-CN"/>
        </w:rPr>
      </w:pPr>
      <w:r>
        <w:rPr>
          <w:rFonts w:hint="eastAsia" w:ascii="楷体" w:hAnsi="楷体" w:eastAsia="楷体" w:cs="楷体"/>
          <w:b w:val="0"/>
          <w:bCs w:val="0"/>
          <w:color w:val="auto"/>
          <w:sz w:val="21"/>
          <w:szCs w:val="21"/>
          <w:highlight w:val="none"/>
          <w:lang w:val="en-US" w:eastAsia="zh-CN"/>
        </w:rPr>
        <w:t>4.招标人对中标人参与“百千万工程”的具体要求。</w:t>
      </w:r>
    </w:p>
    <w:p>
      <w:pPr>
        <w:pStyle w:val="5"/>
        <w:numPr>
          <w:ilvl w:val="0"/>
          <w:numId w:val="0"/>
        </w:numPr>
        <w:spacing w:after="0" w:line="360" w:lineRule="auto"/>
        <w:ind w:firstLine="420" w:firstLineChars="200"/>
        <w:rPr>
          <w:rFonts w:hint="default" w:ascii="楷体" w:hAnsi="楷体" w:eastAsia="楷体" w:cs="楷体"/>
          <w:b w:val="0"/>
          <w:bCs w:val="0"/>
          <w:color w:val="auto"/>
          <w:kern w:val="0"/>
          <w:sz w:val="21"/>
          <w:szCs w:val="21"/>
          <w:highlight w:val="none"/>
          <w:lang w:val="en-US" w:eastAsia="zh-CN"/>
        </w:rPr>
      </w:pPr>
      <w:r>
        <w:rPr>
          <w:rFonts w:hint="eastAsia" w:ascii="楷体" w:hAnsi="楷体" w:eastAsia="楷体" w:cs="楷体"/>
          <w:b w:val="0"/>
          <w:bCs w:val="0"/>
          <w:color w:val="auto"/>
          <w:sz w:val="21"/>
          <w:szCs w:val="21"/>
          <w:highlight w:val="none"/>
          <w:lang w:val="en-US" w:eastAsia="zh-CN"/>
        </w:rPr>
        <w:t>5.在建筑废弃物运输上落实《关于加快推动氢能产业高质量发展的若干措施》的要求</w:t>
      </w:r>
      <w:r>
        <w:rPr>
          <w:rFonts w:hint="eastAsia" w:ascii="楷体" w:hAnsi="楷体" w:eastAsia="楷体" w:cs="楷体"/>
          <w:b w:val="0"/>
          <w:bCs w:val="0"/>
          <w:color w:val="auto"/>
          <w:kern w:val="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现</w:t>
      </w:r>
      <w:r>
        <w:rPr>
          <w:rFonts w:hint="eastAsia" w:ascii="宋体" w:hAnsi="宋体" w:eastAsia="宋体" w:cs="宋体"/>
          <w:b/>
          <w:color w:val="auto"/>
          <w:sz w:val="21"/>
          <w:szCs w:val="21"/>
          <w:highlight w:val="none"/>
        </w:rPr>
        <w:t>文：7.1</w:t>
      </w:r>
      <w:r>
        <w:rPr>
          <w:rFonts w:hint="eastAsia" w:ascii="宋体" w:hAnsi="宋体" w:eastAsia="宋体" w:cs="宋体"/>
          <w:color w:val="auto"/>
          <w:sz w:val="21"/>
          <w:szCs w:val="21"/>
          <w:highlight w:val="none"/>
        </w:rPr>
        <w:t>本招标文件包括下列文件，以及所有按本须知第8条发出的</w:t>
      </w:r>
      <w:r>
        <w:rPr>
          <w:rFonts w:hint="eastAsia" w:ascii="宋体" w:hAnsi="宋体" w:eastAsia="宋体" w:cs="宋体"/>
          <w:b/>
          <w:bCs/>
          <w:color w:val="auto"/>
          <w:sz w:val="21"/>
          <w:szCs w:val="21"/>
          <w:highlight w:val="none"/>
          <w:u w:val="single"/>
        </w:rPr>
        <w:t>招标答疑纪要</w:t>
      </w:r>
      <w:r>
        <w:rPr>
          <w:rFonts w:hint="eastAsia" w:ascii="宋体" w:hAnsi="宋体" w:eastAsia="宋体" w:cs="宋体"/>
          <w:color w:val="auto"/>
          <w:sz w:val="21"/>
          <w:szCs w:val="21"/>
          <w:highlight w:val="none"/>
        </w:rPr>
        <w:t>和按本须知第9条发出的澄清或修改：</w:t>
      </w:r>
    </w:p>
    <w:p>
      <w:pPr>
        <w:pStyle w:val="5"/>
        <w:numPr>
          <w:ilvl w:val="0"/>
          <w:numId w:val="4"/>
        </w:numPr>
        <w:spacing w:after="0" w:line="360" w:lineRule="auto"/>
        <w:ind w:left="0" w:leftChars="0" w:firstLine="420" w:firstLineChars="200"/>
        <w:rPr>
          <w:rFonts w:hint="eastAsia" w:ascii="宋体" w:hAnsi="宋体"/>
          <w:bCs/>
          <w:color w:val="auto"/>
          <w:sz w:val="21"/>
          <w:szCs w:val="21"/>
          <w:highlight w:val="none"/>
          <w:u w:val="none"/>
          <w:lang w:val="en-US" w:eastAsia="zh-CN"/>
        </w:rPr>
      </w:pPr>
      <w:r>
        <w:rPr>
          <w:rFonts w:hint="eastAsia" w:ascii="宋体" w:hAnsi="宋体"/>
          <w:bCs/>
          <w:color w:val="auto"/>
          <w:sz w:val="21"/>
          <w:szCs w:val="21"/>
          <w:highlight w:val="none"/>
          <w:u w:val="none"/>
          <w:lang w:val="en-US" w:eastAsia="zh-CN"/>
        </w:rPr>
        <w:t>招标公告</w:t>
      </w:r>
    </w:p>
    <w:p>
      <w:pPr>
        <w:pStyle w:val="5"/>
        <w:numPr>
          <w:ilvl w:val="0"/>
          <w:numId w:val="4"/>
        </w:numPr>
        <w:spacing w:after="0" w:line="360" w:lineRule="auto"/>
        <w:ind w:left="0" w:leftChars="0" w:firstLine="420" w:firstLineChars="200"/>
        <w:rPr>
          <w:rFonts w:ascii="宋体"/>
          <w:color w:val="auto"/>
          <w:sz w:val="21"/>
          <w:szCs w:val="21"/>
          <w:highlight w:val="none"/>
          <w:u w:val="none"/>
        </w:rPr>
      </w:pPr>
      <w:r>
        <w:rPr>
          <w:rFonts w:hint="eastAsia" w:ascii="宋体" w:hAnsi="宋体"/>
          <w:color w:val="auto"/>
          <w:sz w:val="21"/>
          <w:szCs w:val="21"/>
          <w:highlight w:val="none"/>
          <w:u w:val="none"/>
        </w:rPr>
        <w:t>投标须知</w:t>
      </w:r>
    </w:p>
    <w:p>
      <w:pPr>
        <w:pStyle w:val="5"/>
        <w:numPr>
          <w:ilvl w:val="0"/>
          <w:numId w:val="4"/>
        </w:numPr>
        <w:spacing w:after="0" w:line="360" w:lineRule="auto"/>
        <w:ind w:left="0" w:leftChars="0" w:firstLine="420" w:firstLineChars="200"/>
        <w:rPr>
          <w:rFonts w:ascii="宋体"/>
          <w:color w:val="auto"/>
          <w:sz w:val="21"/>
          <w:szCs w:val="21"/>
          <w:highlight w:val="none"/>
          <w:u w:val="none"/>
        </w:rPr>
      </w:pPr>
      <w:r>
        <w:rPr>
          <w:rFonts w:hint="eastAsia" w:ascii="宋体" w:hAnsi="宋体"/>
          <w:color w:val="auto"/>
          <w:sz w:val="21"/>
          <w:szCs w:val="21"/>
          <w:highlight w:val="none"/>
          <w:u w:val="none"/>
        </w:rPr>
        <w:t>开标、评标及定标办法</w:t>
      </w:r>
    </w:p>
    <w:p>
      <w:pPr>
        <w:pStyle w:val="5"/>
        <w:numPr>
          <w:ilvl w:val="0"/>
          <w:numId w:val="4"/>
        </w:numPr>
        <w:spacing w:after="0" w:line="360" w:lineRule="auto"/>
        <w:ind w:left="0" w:leftChars="0" w:firstLine="420" w:firstLineChars="200"/>
        <w:rPr>
          <w:rFonts w:ascii="宋体"/>
          <w:color w:val="auto"/>
          <w:sz w:val="21"/>
          <w:szCs w:val="21"/>
          <w:highlight w:val="none"/>
          <w:u w:val="none"/>
        </w:rPr>
      </w:pPr>
      <w:r>
        <w:rPr>
          <w:rFonts w:hint="eastAsia" w:ascii="宋体" w:hAnsi="宋体"/>
          <w:b w:val="0"/>
          <w:bCs w:val="0"/>
          <w:color w:val="auto"/>
          <w:sz w:val="21"/>
          <w:szCs w:val="21"/>
          <w:highlight w:val="none"/>
          <w:u w:val="none"/>
        </w:rPr>
        <w:t>合同条款</w:t>
      </w:r>
      <w:r>
        <w:rPr>
          <w:rFonts w:hint="eastAsia" w:ascii="宋体" w:hAnsi="宋体"/>
          <w:b/>
          <w:bCs/>
          <w:color w:val="auto"/>
          <w:sz w:val="21"/>
          <w:szCs w:val="21"/>
          <w:highlight w:val="none"/>
          <w:u w:val="single"/>
          <w:lang w:eastAsia="zh-CN"/>
        </w:rPr>
        <w:t>（另册）</w:t>
      </w:r>
    </w:p>
    <w:p>
      <w:pPr>
        <w:pStyle w:val="5"/>
        <w:numPr>
          <w:ilvl w:val="0"/>
          <w:numId w:val="4"/>
        </w:numPr>
        <w:spacing w:after="0" w:line="360" w:lineRule="auto"/>
        <w:ind w:left="0" w:leftChars="0" w:firstLine="420" w:firstLineChars="200"/>
        <w:rPr>
          <w:rFonts w:hint="eastAsia" w:ascii="宋体" w:hAnsi="宋体"/>
          <w:color w:val="auto"/>
          <w:sz w:val="21"/>
          <w:szCs w:val="21"/>
          <w:highlight w:val="none"/>
          <w:u w:val="none"/>
        </w:rPr>
      </w:pPr>
      <w:r>
        <w:rPr>
          <w:rFonts w:hint="eastAsia" w:ascii="宋体" w:hAnsi="宋体"/>
          <w:color w:val="auto"/>
          <w:sz w:val="21"/>
          <w:szCs w:val="21"/>
          <w:highlight w:val="none"/>
          <w:u w:val="none"/>
        </w:rPr>
        <w:t>投标文件格式</w:t>
      </w:r>
    </w:p>
    <w:p>
      <w:pPr>
        <w:pStyle w:val="5"/>
        <w:numPr>
          <w:ilvl w:val="0"/>
          <w:numId w:val="4"/>
        </w:numPr>
        <w:spacing w:after="0" w:line="360" w:lineRule="auto"/>
        <w:ind w:left="0" w:leftChars="0" w:firstLine="420" w:firstLineChars="200"/>
        <w:rPr>
          <w:rFonts w:hint="eastAsia" w:ascii="宋体" w:hAnsi="宋体"/>
          <w:color w:val="auto"/>
          <w:sz w:val="21"/>
          <w:szCs w:val="21"/>
          <w:highlight w:val="none"/>
          <w:u w:val="none"/>
        </w:rPr>
      </w:pPr>
      <w:r>
        <w:rPr>
          <w:rFonts w:hint="eastAsia" w:ascii="宋体" w:hAnsi="宋体"/>
          <w:color w:val="auto"/>
          <w:sz w:val="21"/>
          <w:szCs w:val="21"/>
          <w:highlight w:val="none"/>
          <w:u w:val="none"/>
        </w:rPr>
        <w:t>技术条件（工程建设标准）</w:t>
      </w:r>
    </w:p>
    <w:p>
      <w:pPr>
        <w:pStyle w:val="5"/>
        <w:numPr>
          <w:ilvl w:val="0"/>
          <w:numId w:val="4"/>
        </w:numPr>
        <w:spacing w:after="0" w:line="360" w:lineRule="auto"/>
        <w:ind w:left="0" w:leftChars="0" w:firstLine="420" w:firstLineChars="200"/>
        <w:rPr>
          <w:rFonts w:hint="eastAsia" w:ascii="宋体" w:hAnsi="宋体"/>
          <w:color w:val="auto"/>
          <w:sz w:val="21"/>
          <w:szCs w:val="21"/>
          <w:highlight w:val="none"/>
          <w:u w:val="none"/>
        </w:rPr>
      </w:pPr>
      <w:r>
        <w:rPr>
          <w:rFonts w:hint="eastAsia" w:ascii="宋体" w:hAnsi="宋体"/>
          <w:color w:val="auto"/>
          <w:sz w:val="21"/>
          <w:szCs w:val="21"/>
          <w:highlight w:val="none"/>
          <w:u w:val="none"/>
        </w:rPr>
        <w:t>图纸及勘察资料</w:t>
      </w:r>
      <w:r>
        <w:rPr>
          <w:rFonts w:hint="eastAsia" w:ascii="宋体" w:hAnsi="宋体"/>
          <w:b/>
          <w:bCs/>
          <w:color w:val="auto"/>
          <w:sz w:val="21"/>
          <w:szCs w:val="21"/>
          <w:highlight w:val="none"/>
          <w:u w:val="single"/>
          <w:lang w:eastAsia="zh-CN"/>
        </w:rPr>
        <w:t>（另册）</w:t>
      </w:r>
    </w:p>
    <w:p>
      <w:pPr>
        <w:pStyle w:val="5"/>
        <w:numPr>
          <w:ilvl w:val="0"/>
          <w:numId w:val="4"/>
        </w:numPr>
        <w:spacing w:after="0" w:line="360" w:lineRule="auto"/>
        <w:ind w:left="0" w:leftChars="0" w:firstLine="420" w:firstLineChars="200"/>
        <w:rPr>
          <w:rFonts w:hint="eastAsia" w:ascii="宋体" w:hAnsi="宋体"/>
          <w:color w:val="auto"/>
          <w:sz w:val="21"/>
          <w:szCs w:val="21"/>
          <w:highlight w:val="none"/>
          <w:u w:val="none"/>
        </w:rPr>
      </w:pPr>
      <w:r>
        <w:rPr>
          <w:rFonts w:hint="eastAsia" w:ascii="宋体" w:hAnsi="宋体"/>
          <w:bCs/>
          <w:color w:val="auto"/>
          <w:sz w:val="21"/>
          <w:szCs w:val="21"/>
          <w:highlight w:val="none"/>
          <w:u w:val="none"/>
        </w:rPr>
        <w:t>招标</w:t>
      </w:r>
      <w:r>
        <w:rPr>
          <w:rFonts w:hint="eastAsia" w:ascii="宋体" w:hAnsi="宋体"/>
          <w:color w:val="auto"/>
          <w:sz w:val="21"/>
          <w:szCs w:val="21"/>
          <w:highlight w:val="none"/>
          <w:u w:val="none"/>
        </w:rPr>
        <w:t>工程量清单</w:t>
      </w:r>
      <w:r>
        <w:rPr>
          <w:rFonts w:hint="eastAsia" w:ascii="宋体" w:hAnsi="宋体"/>
          <w:b/>
          <w:bCs/>
          <w:color w:val="auto"/>
          <w:sz w:val="21"/>
          <w:szCs w:val="21"/>
          <w:highlight w:val="none"/>
          <w:u w:val="single"/>
          <w:lang w:eastAsia="zh-CN"/>
        </w:rPr>
        <w:t>（另册）</w:t>
      </w:r>
    </w:p>
    <w:p>
      <w:pPr>
        <w:pStyle w:val="5"/>
        <w:numPr>
          <w:ilvl w:val="0"/>
          <w:numId w:val="4"/>
        </w:numPr>
        <w:spacing w:after="0" w:line="360" w:lineRule="auto"/>
        <w:ind w:left="0" w:leftChars="0" w:firstLine="420" w:firstLineChars="200"/>
        <w:rPr>
          <w:rFonts w:hint="eastAsia" w:ascii="宋体" w:hAnsi="宋体"/>
          <w:color w:val="auto"/>
          <w:sz w:val="21"/>
          <w:szCs w:val="21"/>
          <w:highlight w:val="none"/>
          <w:u w:val="none"/>
        </w:rPr>
      </w:pPr>
      <w:r>
        <w:rPr>
          <w:rFonts w:hint="eastAsia" w:ascii="宋体" w:hAnsi="宋体"/>
          <w:color w:val="auto"/>
          <w:sz w:val="21"/>
          <w:szCs w:val="21"/>
          <w:highlight w:val="none"/>
          <w:u w:val="none"/>
        </w:rPr>
        <w:t>最高投标限价</w:t>
      </w:r>
      <w:r>
        <w:rPr>
          <w:rFonts w:hint="eastAsia" w:ascii="宋体" w:hAnsi="宋体"/>
          <w:b/>
          <w:bCs/>
          <w:color w:val="auto"/>
          <w:sz w:val="21"/>
          <w:szCs w:val="21"/>
          <w:highlight w:val="none"/>
          <w:u w:val="single"/>
          <w:lang w:eastAsia="zh-CN"/>
        </w:rPr>
        <w:t>（另册）</w:t>
      </w:r>
    </w:p>
    <w:p>
      <w:pPr>
        <w:pStyle w:val="5"/>
        <w:numPr>
          <w:ilvl w:val="0"/>
          <w:numId w:val="0"/>
        </w:numPr>
        <w:spacing w:after="0" w:line="360" w:lineRule="auto"/>
        <w:ind w:firstLine="420" w:firstLineChars="200"/>
        <w:rPr>
          <w:rFonts w:hint="eastAsia" w:ascii="楷体" w:hAnsi="楷体" w:eastAsia="楷体" w:cs="楷体"/>
          <w:b w:val="0"/>
          <w:bCs w:val="0"/>
          <w:color w:val="auto"/>
          <w:sz w:val="21"/>
          <w:szCs w:val="21"/>
          <w:highlight w:val="none"/>
          <w:lang w:eastAsia="zh-CN"/>
        </w:rPr>
      </w:pPr>
      <w:r>
        <w:rPr>
          <w:rFonts w:hint="eastAsia" w:ascii="楷体" w:hAnsi="楷体" w:eastAsia="楷体" w:cs="楷体"/>
          <w:b w:val="0"/>
          <w:bCs w:val="0"/>
          <w:color w:val="auto"/>
          <w:sz w:val="21"/>
          <w:szCs w:val="21"/>
          <w:highlight w:val="none"/>
        </w:rPr>
        <w:t>注：招标人应在技术条件（工程建设标准）中明确</w:t>
      </w:r>
      <w:r>
        <w:rPr>
          <w:rFonts w:hint="eastAsia" w:ascii="楷体" w:hAnsi="楷体" w:eastAsia="楷体" w:cs="楷体"/>
          <w:b w:val="0"/>
          <w:bCs w:val="0"/>
          <w:color w:val="auto"/>
          <w:sz w:val="21"/>
          <w:szCs w:val="21"/>
          <w:highlight w:val="none"/>
          <w:lang w:eastAsia="zh-CN"/>
        </w:rPr>
        <w:t>如下内容：</w:t>
      </w:r>
    </w:p>
    <w:p>
      <w:pPr>
        <w:pStyle w:val="5"/>
        <w:numPr>
          <w:ilvl w:val="0"/>
          <w:numId w:val="0"/>
        </w:numPr>
        <w:spacing w:after="0" w:line="360" w:lineRule="auto"/>
        <w:ind w:firstLine="420" w:firstLineChars="200"/>
        <w:rPr>
          <w:rFonts w:hint="eastAsia" w:ascii="楷体" w:hAnsi="楷体" w:eastAsia="楷体" w:cs="楷体"/>
          <w:b w:val="0"/>
          <w:bCs w:val="0"/>
          <w:color w:val="auto"/>
          <w:sz w:val="21"/>
          <w:szCs w:val="21"/>
          <w:highlight w:val="none"/>
        </w:rPr>
      </w:pPr>
      <w:r>
        <w:rPr>
          <w:rFonts w:hint="eastAsia" w:ascii="楷体" w:hAnsi="楷体" w:eastAsia="楷体" w:cs="楷体"/>
          <w:b w:val="0"/>
          <w:bCs w:val="0"/>
          <w:color w:val="auto"/>
          <w:sz w:val="21"/>
          <w:szCs w:val="21"/>
          <w:highlight w:val="none"/>
          <w:lang w:val="en-US" w:eastAsia="zh-CN"/>
        </w:rPr>
        <w:t>1.</w:t>
      </w:r>
      <w:r>
        <w:rPr>
          <w:rFonts w:hint="eastAsia" w:ascii="楷体" w:hAnsi="楷体" w:eastAsia="楷体" w:cs="楷体"/>
          <w:b w:val="0"/>
          <w:bCs w:val="0"/>
          <w:color w:val="auto"/>
          <w:sz w:val="21"/>
          <w:szCs w:val="21"/>
          <w:highlight w:val="none"/>
        </w:rPr>
        <w:t>施工现场建筑垃圾源头减量的具体要求和建筑垃圾综合利用产品的使用要求。</w:t>
      </w:r>
    </w:p>
    <w:p>
      <w:pPr>
        <w:pStyle w:val="5"/>
        <w:numPr>
          <w:ilvl w:val="0"/>
          <w:numId w:val="0"/>
        </w:numPr>
        <w:spacing w:after="0" w:line="360" w:lineRule="auto"/>
        <w:ind w:firstLine="420" w:firstLineChars="200"/>
        <w:rPr>
          <w:rFonts w:hint="eastAsia" w:ascii="楷体" w:hAnsi="楷体" w:eastAsia="楷体" w:cs="楷体"/>
          <w:b w:val="0"/>
          <w:bCs w:val="0"/>
          <w:color w:val="auto"/>
          <w:sz w:val="21"/>
          <w:szCs w:val="21"/>
          <w:highlight w:val="none"/>
        </w:rPr>
      </w:pPr>
      <w:r>
        <w:rPr>
          <w:rFonts w:hint="eastAsia" w:ascii="楷体" w:hAnsi="楷体" w:eastAsia="楷体" w:cs="楷体"/>
          <w:b w:val="0"/>
          <w:bCs w:val="0"/>
          <w:color w:val="auto"/>
          <w:sz w:val="21"/>
          <w:szCs w:val="21"/>
          <w:highlight w:val="none"/>
          <w:lang w:val="en-US" w:eastAsia="zh-CN"/>
        </w:rPr>
        <w:t>2.</w:t>
      </w:r>
      <w:r>
        <w:rPr>
          <w:rFonts w:hint="eastAsia" w:ascii="楷体" w:hAnsi="楷体" w:eastAsia="楷体" w:cs="楷体"/>
          <w:b w:val="0"/>
          <w:bCs w:val="0"/>
          <w:color w:val="auto"/>
          <w:sz w:val="21"/>
          <w:szCs w:val="21"/>
          <w:highlight w:val="none"/>
          <w:lang w:eastAsia="zh-CN"/>
        </w:rPr>
        <w:t>占道施工相关告知、围蔽、修复等要求。</w:t>
      </w:r>
    </w:p>
    <w:p>
      <w:pPr>
        <w:pStyle w:val="5"/>
        <w:numPr>
          <w:ilvl w:val="0"/>
          <w:numId w:val="0"/>
        </w:numPr>
        <w:spacing w:after="0" w:line="360" w:lineRule="auto"/>
        <w:ind w:firstLine="420" w:firstLineChars="200"/>
        <w:rPr>
          <w:rFonts w:hint="eastAsia" w:ascii="楷体" w:hAnsi="楷体" w:eastAsia="楷体" w:cs="楷体"/>
          <w:b w:val="0"/>
          <w:bCs w:val="0"/>
          <w:color w:val="auto"/>
          <w:sz w:val="21"/>
          <w:szCs w:val="21"/>
          <w:highlight w:val="none"/>
          <w:lang w:val="en-US" w:eastAsia="zh-CN"/>
        </w:rPr>
      </w:pPr>
      <w:r>
        <w:rPr>
          <w:rFonts w:hint="eastAsia" w:ascii="楷体" w:hAnsi="楷体" w:eastAsia="楷体" w:cs="楷体"/>
          <w:b w:val="0"/>
          <w:bCs w:val="0"/>
          <w:color w:val="auto"/>
          <w:sz w:val="21"/>
          <w:szCs w:val="21"/>
          <w:highlight w:val="none"/>
          <w:lang w:val="en-US" w:eastAsia="zh-CN"/>
        </w:rPr>
        <w:t>3.</w:t>
      </w:r>
      <w:r>
        <w:rPr>
          <w:rFonts w:hint="eastAsia" w:ascii="楷体" w:hAnsi="楷体" w:eastAsia="楷体" w:cs="楷体"/>
          <w:b w:val="0"/>
          <w:bCs w:val="0"/>
          <w:color w:val="auto"/>
          <w:sz w:val="21"/>
          <w:szCs w:val="21"/>
          <w:highlight w:val="none"/>
          <w:lang w:eastAsia="zh-CN"/>
        </w:rPr>
        <w:t>对照《广州市智能建造技术清单（</w:t>
      </w:r>
      <w:r>
        <w:rPr>
          <w:rFonts w:hint="eastAsia" w:ascii="楷体" w:hAnsi="楷体" w:eastAsia="楷体" w:cs="楷体"/>
          <w:b w:val="0"/>
          <w:bCs w:val="0"/>
          <w:color w:val="auto"/>
          <w:sz w:val="21"/>
          <w:szCs w:val="21"/>
          <w:highlight w:val="none"/>
          <w:lang w:val="en-US" w:eastAsia="zh-CN"/>
        </w:rPr>
        <w:t>1.0版）》对招标项目智能建造提出要求。</w:t>
      </w:r>
    </w:p>
    <w:p>
      <w:pPr>
        <w:pStyle w:val="5"/>
        <w:numPr>
          <w:ilvl w:val="0"/>
          <w:numId w:val="0"/>
        </w:numPr>
        <w:spacing w:after="0" w:line="360" w:lineRule="auto"/>
        <w:ind w:firstLine="420" w:firstLineChars="200"/>
        <w:rPr>
          <w:rFonts w:hint="eastAsia" w:ascii="楷体" w:hAnsi="楷体" w:eastAsia="楷体" w:cs="楷体"/>
          <w:b w:val="0"/>
          <w:bCs w:val="0"/>
          <w:color w:val="auto"/>
          <w:sz w:val="21"/>
          <w:szCs w:val="21"/>
          <w:highlight w:val="none"/>
          <w:lang w:val="en-US" w:eastAsia="zh-CN"/>
        </w:rPr>
      </w:pPr>
      <w:r>
        <w:rPr>
          <w:rFonts w:hint="eastAsia" w:ascii="楷体" w:hAnsi="楷体" w:eastAsia="楷体" w:cs="楷体"/>
          <w:b w:val="0"/>
          <w:bCs w:val="0"/>
          <w:color w:val="auto"/>
          <w:sz w:val="21"/>
          <w:szCs w:val="21"/>
          <w:highlight w:val="none"/>
          <w:lang w:val="en-US" w:eastAsia="zh-CN"/>
        </w:rPr>
        <w:t>4.招标人对中标人参与“百千万工程”的具体要求。</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楷体" w:hAnsi="楷体" w:eastAsia="楷体" w:cs="楷体"/>
          <w:b w:val="0"/>
          <w:bCs w:val="0"/>
          <w:color w:val="auto"/>
          <w:sz w:val="21"/>
          <w:szCs w:val="21"/>
          <w:highlight w:val="none"/>
          <w:lang w:val="en-US" w:eastAsia="zh-CN"/>
        </w:rPr>
        <w:t>5.在建筑废弃物运输上落实《关于加快推动氢能产业高质量发展的若干措施》的要求</w:t>
      </w:r>
      <w:r>
        <w:rPr>
          <w:rFonts w:hint="eastAsia" w:ascii="楷体" w:hAnsi="楷体" w:eastAsia="楷体" w:cs="楷体"/>
          <w:b w:val="0"/>
          <w:bCs w:val="0"/>
          <w:color w:val="auto"/>
          <w:kern w:val="0"/>
          <w:sz w:val="21"/>
          <w:szCs w:val="21"/>
          <w:highlight w:val="none"/>
          <w:lang w:val="en-US" w:eastAsia="zh-CN"/>
        </w:rPr>
        <w:t>。</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条款号：8.1                    修改类型：修改</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原文：8.1</w:t>
      </w:r>
      <w:r>
        <w:rPr>
          <w:rFonts w:hint="eastAsia" w:ascii="宋体" w:hAnsi="宋体" w:eastAsia="宋体" w:cs="宋体"/>
          <w:b w:val="0"/>
          <w:bCs/>
          <w:color w:val="auto"/>
          <w:sz w:val="21"/>
          <w:szCs w:val="21"/>
          <w:highlight w:val="none"/>
        </w:rPr>
        <w:t>投标人若对招标文件（包括招标图纸）中有疑问，可以书面形式通过</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交易平台提交给招标人或招标代理人，提交形式见本须知前附表第13项</w:t>
      </w:r>
      <w:r>
        <w:rPr>
          <w:rFonts w:hint="eastAsia" w:ascii="宋体" w:hAnsi="宋体" w:eastAsia="宋体" w:cs="宋体"/>
          <w:color w:val="auto"/>
          <w:sz w:val="21"/>
          <w:szCs w:val="21"/>
          <w:highlight w:val="none"/>
        </w:rPr>
        <w:t>。</w:t>
      </w:r>
    </w:p>
    <w:p>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现文：8.1</w:t>
      </w:r>
      <w:r>
        <w:rPr>
          <w:rFonts w:hint="eastAsia" w:ascii="宋体" w:hAnsi="宋体" w:eastAsia="宋体" w:cs="宋体"/>
          <w:color w:val="auto"/>
          <w:sz w:val="21"/>
          <w:szCs w:val="21"/>
          <w:highlight w:val="none"/>
          <w:u w:val="single"/>
        </w:rPr>
        <w:t>招标答疑采用网上答疑方式进行。投标人若对招标文件有疑问的，可在规定的时间内通过登录</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u w:val="single"/>
        </w:rPr>
        <w:t>网站交易系统将问题提交给招标人或招标代理人，提交问题时一律不得署名。网上答疑的操作指南为：登陆</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u w:val="single"/>
        </w:rPr>
        <w:t>网站交易系统→进入“我的投标”专区→进入“招标答疑”选项→通过项目编号或名称找到所需的项目→在答疑时间内点击“答疑提问</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新增提问”→提出问题</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提问一律不得署名</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条款号：8.2                  修改类型：修改</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原文：8.2</w:t>
      </w:r>
      <w:r>
        <w:rPr>
          <w:rFonts w:hint="eastAsia" w:ascii="宋体" w:hAnsi="宋体" w:cs="宋体"/>
          <w:color w:val="auto"/>
          <w:sz w:val="21"/>
          <w:szCs w:val="21"/>
          <w:highlight w:val="none"/>
        </w:rPr>
        <w:t>招标答疑会会议纪要将在提交投标文件截止时间15日前在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 “项目答疑纪要”专区公开发布。答疑纪要一经在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交易平台发布，视作已发放给所有投标人</w:t>
      </w:r>
      <w:r>
        <w:rPr>
          <w:rFonts w:hint="eastAsia" w:ascii="宋体" w:hAnsi="宋体" w:eastAsia="宋体" w:cs="宋体"/>
          <w:bCs/>
          <w:color w:val="auto"/>
          <w:sz w:val="21"/>
          <w:szCs w:val="21"/>
          <w:highlight w:val="none"/>
        </w:rPr>
        <w:t>。</w:t>
      </w:r>
    </w:p>
    <w:p>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现文：8.2</w:t>
      </w:r>
      <w:r>
        <w:rPr>
          <w:rFonts w:hint="eastAsia" w:ascii="宋体" w:hAnsi="宋体" w:eastAsia="宋体" w:cs="宋体"/>
          <w:bCs/>
          <w:color w:val="auto"/>
          <w:sz w:val="21"/>
          <w:szCs w:val="21"/>
          <w:highlight w:val="none"/>
          <w:u w:val="single"/>
        </w:rPr>
        <w:t>招标答疑纪要</w:t>
      </w:r>
      <w:r>
        <w:rPr>
          <w:rFonts w:hint="eastAsia" w:ascii="宋体" w:hAnsi="宋体" w:eastAsia="宋体" w:cs="宋体"/>
          <w:bCs/>
          <w:color w:val="auto"/>
          <w:sz w:val="21"/>
          <w:szCs w:val="21"/>
          <w:highlight w:val="none"/>
        </w:rPr>
        <w:t>将在提交投标文件截止时间15日前在</w:t>
      </w:r>
      <w:r>
        <w:rPr>
          <w:rFonts w:hint="eastAsia" w:ascii="宋体" w:hAnsi="宋体" w:eastAsia="宋体" w:cs="宋体"/>
          <w:bCs/>
          <w:color w:val="auto"/>
          <w:sz w:val="21"/>
          <w:szCs w:val="21"/>
          <w:highlight w:val="none"/>
          <w:u w:val="single"/>
          <w:lang w:eastAsia="zh-CN"/>
        </w:rPr>
        <w:t>广州交易集团有限公司（广州公共资源交易中心）</w:t>
      </w:r>
      <w:r>
        <w:rPr>
          <w:rFonts w:hint="eastAsia" w:ascii="宋体" w:hAnsi="宋体" w:eastAsia="宋体" w:cs="宋体"/>
          <w:bCs/>
          <w:color w:val="auto"/>
          <w:sz w:val="21"/>
          <w:szCs w:val="21"/>
          <w:highlight w:val="none"/>
        </w:rPr>
        <w:t>交易平台</w:t>
      </w:r>
      <w:r>
        <w:rPr>
          <w:rFonts w:hint="eastAsia" w:ascii="宋体" w:hAnsi="宋体" w:eastAsia="宋体" w:cs="宋体"/>
          <w:bCs/>
          <w:color w:val="auto"/>
          <w:sz w:val="21"/>
          <w:szCs w:val="21"/>
          <w:highlight w:val="none"/>
          <w:u w:val="single"/>
        </w:rPr>
        <w:t>“</w:t>
      </w:r>
      <w:bookmarkStart w:id="13" w:name="_Hlk62738754"/>
      <w:r>
        <w:rPr>
          <w:rFonts w:hint="eastAsia" w:ascii="宋体" w:hAnsi="宋体" w:eastAsia="宋体" w:cs="宋体"/>
          <w:bCs/>
          <w:color w:val="auto"/>
          <w:sz w:val="21"/>
          <w:szCs w:val="21"/>
          <w:highlight w:val="none"/>
          <w:u w:val="single"/>
        </w:rPr>
        <w:t>项目查询（日程安排、答疑纪要）</w:t>
      </w:r>
      <w:bookmarkEnd w:id="13"/>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专区公开发布。答疑纪要一经在</w:t>
      </w:r>
      <w:r>
        <w:rPr>
          <w:rFonts w:hint="eastAsia" w:ascii="宋体" w:hAnsi="宋体" w:eastAsia="宋体" w:cs="宋体"/>
          <w:bCs/>
          <w:color w:val="auto"/>
          <w:sz w:val="21"/>
          <w:szCs w:val="21"/>
          <w:highlight w:val="none"/>
          <w:u w:val="single"/>
          <w:lang w:eastAsia="zh-CN"/>
        </w:rPr>
        <w:t>广州交易集团有限公司（广州公共资源交易中心）</w:t>
      </w:r>
      <w:r>
        <w:rPr>
          <w:rFonts w:hint="eastAsia" w:ascii="宋体" w:hAnsi="宋体" w:eastAsia="宋体" w:cs="宋体"/>
          <w:bCs/>
          <w:color w:val="auto"/>
          <w:sz w:val="21"/>
          <w:szCs w:val="21"/>
          <w:highlight w:val="none"/>
          <w:u w:val="single"/>
        </w:rPr>
        <w:t>网站</w:t>
      </w:r>
      <w:r>
        <w:rPr>
          <w:rFonts w:hint="eastAsia" w:ascii="宋体" w:hAnsi="宋体" w:eastAsia="宋体" w:cs="宋体"/>
          <w:bCs/>
          <w:color w:val="auto"/>
          <w:sz w:val="21"/>
          <w:szCs w:val="21"/>
          <w:highlight w:val="none"/>
        </w:rPr>
        <w:t>发布，视作已发放给所有投标人。</w:t>
      </w:r>
    </w:p>
    <w:p>
      <w:pPr>
        <w:pStyle w:val="5"/>
        <w:keepNext w:val="0"/>
        <w:keepLines w:val="0"/>
        <w:pageBreakBefore w:val="0"/>
        <w:widowControl w:val="0"/>
        <w:kinsoku/>
        <w:wordWrap/>
        <w:overflowPunct/>
        <w:topLinePunct w:val="0"/>
        <w:autoSpaceDE/>
        <w:autoSpaceDN/>
        <w:bidi w:val="0"/>
        <w:snapToGrid/>
        <w:spacing w:after="0" w:line="360" w:lineRule="auto"/>
        <w:ind w:firstLine="422" w:firstLineChars="200"/>
        <w:rPr>
          <w:rFonts w:hint="eastAsia" w:ascii="宋体" w:hAnsi="宋体" w:eastAsia="宋体" w:cs="宋体"/>
          <w:b/>
          <w:color w:val="auto"/>
          <w:sz w:val="21"/>
          <w:szCs w:val="21"/>
          <w:highlight w:val="none"/>
        </w:rPr>
      </w:pPr>
      <w:bookmarkStart w:id="14" w:name="_Hlk61366684"/>
      <w:r>
        <w:rPr>
          <w:rFonts w:hint="eastAsia" w:ascii="宋体" w:hAnsi="宋体" w:eastAsia="宋体" w:cs="宋体"/>
          <w:b/>
          <w:color w:val="auto"/>
          <w:sz w:val="21"/>
          <w:szCs w:val="21"/>
          <w:highlight w:val="none"/>
        </w:rPr>
        <w:t>条款号：8.3                  修改类型：修改</w:t>
      </w:r>
    </w:p>
    <w:p>
      <w:pPr>
        <w:pStyle w:val="5"/>
        <w:keepNext w:val="0"/>
        <w:keepLines w:val="0"/>
        <w:pageBreakBefore w:val="0"/>
        <w:widowControl w:val="0"/>
        <w:kinsoku/>
        <w:wordWrap/>
        <w:overflowPunct/>
        <w:topLinePunct w:val="0"/>
        <w:autoSpaceDE/>
        <w:autoSpaceDN/>
        <w:bidi w:val="0"/>
        <w:snapToGrid/>
        <w:spacing w:after="0" w:line="360" w:lineRule="auto"/>
        <w:ind w:firstLine="422" w:firstLineChars="200"/>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Cs/>
          <w:color w:val="auto"/>
          <w:sz w:val="21"/>
          <w:szCs w:val="21"/>
          <w:highlight w:val="none"/>
        </w:rPr>
        <w:t>：</w:t>
      </w:r>
      <w:r>
        <w:rPr>
          <w:rFonts w:hint="eastAsia" w:ascii="宋体" w:hAnsi="宋体" w:eastAsia="宋体" w:cs="宋体"/>
          <w:b/>
          <w:color w:val="auto"/>
          <w:sz w:val="21"/>
          <w:szCs w:val="21"/>
          <w:highlight w:val="none"/>
        </w:rPr>
        <w:t>8.3</w:t>
      </w:r>
      <w:r>
        <w:rPr>
          <w:rFonts w:hint="eastAsia" w:ascii="宋体" w:hAnsi="宋体" w:eastAsia="宋体" w:cs="宋体"/>
          <w:bCs/>
          <w:color w:val="auto"/>
          <w:sz w:val="21"/>
          <w:szCs w:val="21"/>
          <w:highlight w:val="none"/>
        </w:rPr>
        <w:t>答疑会会议纪要为招标文件的一部分。</w:t>
      </w:r>
    </w:p>
    <w:p>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color w:val="auto"/>
          <w:kern w:val="0"/>
          <w:sz w:val="21"/>
          <w:szCs w:val="21"/>
          <w:highlight w:val="none"/>
        </w:rPr>
        <w:t>8.3</w:t>
      </w:r>
      <w:r>
        <w:rPr>
          <w:rFonts w:hint="eastAsia" w:ascii="宋体" w:hAnsi="宋体" w:eastAsia="宋体" w:cs="宋体"/>
          <w:color w:val="auto"/>
          <w:sz w:val="21"/>
          <w:szCs w:val="21"/>
          <w:highlight w:val="none"/>
          <w:u w:val="single"/>
        </w:rPr>
        <w:t>招标答疑纪要</w:t>
      </w:r>
      <w:r>
        <w:rPr>
          <w:rFonts w:hint="eastAsia" w:ascii="宋体" w:hAnsi="宋体" w:eastAsia="宋体" w:cs="宋体"/>
          <w:color w:val="auto"/>
          <w:sz w:val="21"/>
          <w:szCs w:val="21"/>
          <w:highlight w:val="none"/>
        </w:rPr>
        <w:t>为招标文件的一部分。</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条款号：8.4                 修改类型：修改</w:t>
      </w:r>
      <w:bookmarkEnd w:id="14"/>
    </w:p>
    <w:p>
      <w:pPr>
        <w:pStyle w:val="5"/>
        <w:keepNext w:val="0"/>
        <w:keepLines w:val="0"/>
        <w:pageBreakBefore w:val="0"/>
        <w:widowControl w:val="0"/>
        <w:kinsoku/>
        <w:wordWrap/>
        <w:overflowPunct/>
        <w:topLinePunct w:val="0"/>
        <w:autoSpaceDE/>
        <w:autoSpaceDN/>
        <w:bidi w:val="0"/>
        <w:snapToGrid/>
        <w:spacing w:after="0" w:line="360" w:lineRule="auto"/>
        <w:ind w:firstLine="422" w:firstLineChars="200"/>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原文：8.4</w:t>
      </w:r>
      <w:r>
        <w:rPr>
          <w:rFonts w:hint="eastAsia" w:ascii="宋体" w:hAnsi="宋体" w:eastAsia="宋体" w:cs="宋体"/>
          <w:bCs/>
          <w:color w:val="auto"/>
          <w:sz w:val="21"/>
          <w:szCs w:val="21"/>
          <w:highlight w:val="none"/>
        </w:rPr>
        <w:t>若招标答疑会会议纪要与招标文件有矛盾，以答疑会议纪要最后发出的书面形式的文件为准。</w:t>
      </w:r>
    </w:p>
    <w:p>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color w:val="auto"/>
          <w:kern w:val="0"/>
          <w:sz w:val="21"/>
          <w:szCs w:val="21"/>
          <w:highlight w:val="none"/>
        </w:rPr>
        <w:t>8.4</w:t>
      </w:r>
      <w:r>
        <w:rPr>
          <w:rFonts w:hint="eastAsia" w:ascii="宋体" w:hAnsi="宋体" w:eastAsia="宋体" w:cs="宋体"/>
          <w:color w:val="auto"/>
          <w:sz w:val="21"/>
          <w:szCs w:val="21"/>
          <w:highlight w:val="none"/>
        </w:rPr>
        <w:t>若</w:t>
      </w:r>
      <w:r>
        <w:rPr>
          <w:rFonts w:hint="eastAsia" w:ascii="宋体" w:hAnsi="宋体" w:eastAsia="宋体" w:cs="宋体"/>
          <w:color w:val="auto"/>
          <w:sz w:val="21"/>
          <w:szCs w:val="21"/>
          <w:highlight w:val="none"/>
          <w:u w:val="single"/>
        </w:rPr>
        <w:t>招标答疑纪要</w:t>
      </w:r>
      <w:r>
        <w:rPr>
          <w:rFonts w:hint="eastAsia" w:ascii="宋体" w:hAnsi="宋体" w:eastAsia="宋体" w:cs="宋体"/>
          <w:color w:val="auto"/>
          <w:sz w:val="21"/>
          <w:szCs w:val="21"/>
          <w:highlight w:val="none"/>
        </w:rPr>
        <w:t>与招标文件有矛盾时，以</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u w:val="single"/>
        </w:rPr>
        <w:t>交易平台最后发布的答疑纪要为准</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条款号：9.2                修改类型：修改</w:t>
      </w:r>
    </w:p>
    <w:p>
      <w:pPr>
        <w:pStyle w:val="5"/>
        <w:keepNext w:val="0"/>
        <w:keepLines w:val="0"/>
        <w:pageBreakBefore w:val="0"/>
        <w:widowControl w:val="0"/>
        <w:kinsoku/>
        <w:wordWrap/>
        <w:overflowPunct/>
        <w:topLinePunct w:val="0"/>
        <w:autoSpaceDE/>
        <w:autoSpaceDN/>
        <w:bidi w:val="0"/>
        <w:snapToGrid/>
        <w:spacing w:after="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color w:val="auto"/>
          <w:sz w:val="21"/>
          <w:szCs w:val="21"/>
          <w:highlight w:val="none"/>
        </w:rPr>
        <w:t>9.2</w:t>
      </w:r>
      <w:r>
        <w:rPr>
          <w:rFonts w:hint="eastAsia" w:ascii="宋体" w:hAnsi="宋体" w:eastAsia="宋体" w:cs="宋体"/>
          <w:bCs/>
          <w:color w:val="auto"/>
          <w:sz w:val="21"/>
          <w:szCs w:val="21"/>
          <w:highlight w:val="none"/>
        </w:rPr>
        <w:t>招标文件的澄清或修改将在</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交易平台“项目答疑纪要”专区公开发布。答疑纪要一经在</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交易平台发布，视作已发放给所有投标人，以</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交易平台上网发布时间作为送达时间。</w:t>
      </w:r>
    </w:p>
    <w:p>
      <w:pPr>
        <w:keepNext w:val="0"/>
        <w:keepLines w:val="0"/>
        <w:pageBreakBefore w:val="0"/>
        <w:widowControl w:val="0"/>
        <w:pBdr>
          <w:bottom w:val="single" w:color="auto" w:sz="4" w:space="0"/>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rPr>
        <w:t>9.2</w:t>
      </w:r>
      <w:r>
        <w:rPr>
          <w:rFonts w:hint="eastAsia" w:ascii="宋体" w:hAnsi="宋体" w:eastAsia="宋体" w:cs="宋体"/>
          <w:color w:val="auto"/>
          <w:sz w:val="21"/>
          <w:szCs w:val="21"/>
          <w:highlight w:val="none"/>
        </w:rPr>
        <w:t>招标文件的澄清或修改将在</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rPr>
        <w:t>交易平台“</w:t>
      </w:r>
      <w:r>
        <w:rPr>
          <w:rFonts w:hint="eastAsia" w:ascii="宋体" w:hAnsi="宋体" w:eastAsia="宋体" w:cs="宋体"/>
          <w:color w:val="auto"/>
          <w:sz w:val="21"/>
          <w:szCs w:val="21"/>
          <w:highlight w:val="none"/>
          <w:u w:val="single"/>
        </w:rPr>
        <w:t>项目查询（日程安排、答疑纪要</w:t>
      </w:r>
      <w:r>
        <w:rPr>
          <w:rFonts w:hint="eastAsia" w:ascii="宋体" w:hAnsi="宋体" w:eastAsia="宋体" w:cs="宋体"/>
          <w:color w:val="auto"/>
          <w:sz w:val="21"/>
          <w:szCs w:val="21"/>
          <w:highlight w:val="none"/>
        </w:rPr>
        <w:t>）”专区公开发布。答疑纪要一经在</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rPr>
        <w:t>交易平台发布，视作已发放给所有投标人，以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rPr>
        <w:t>交易平台上网发布时间作为送达时间。</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bCs/>
          <w:color w:val="auto"/>
          <w:sz w:val="21"/>
          <w:szCs w:val="21"/>
          <w:highlight w:val="none"/>
        </w:rPr>
        <w:t xml:space="preserve">9.4 </w:t>
      </w:r>
      <w:r>
        <w:rPr>
          <w:rFonts w:hint="eastAsia" w:ascii="宋体" w:hAnsi="宋体" w:eastAsia="宋体" w:cs="宋体"/>
          <w:b/>
          <w:color w:val="auto"/>
          <w:sz w:val="21"/>
          <w:szCs w:val="21"/>
          <w:highlight w:val="none"/>
        </w:rPr>
        <w:t xml:space="preserve">               修改类型：修改</w:t>
      </w:r>
    </w:p>
    <w:p>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color w:val="auto"/>
          <w:sz w:val="21"/>
          <w:szCs w:val="21"/>
          <w:highlight w:val="none"/>
        </w:rPr>
        <w:t>9.4</w:t>
      </w:r>
      <w:r>
        <w:rPr>
          <w:rFonts w:hint="eastAsia" w:ascii="宋体" w:hAnsi="宋体" w:eastAsia="宋体"/>
          <w:color w:val="auto"/>
          <w:sz w:val="21"/>
          <w:szCs w:val="21"/>
          <w:highlight w:val="none"/>
        </w:rPr>
        <w:t>招标文件的澄清或修改均以</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u w:val="single"/>
          <w:lang w:eastAsia="zh-CN"/>
        </w:rPr>
        <w:t>网站</w:t>
      </w:r>
      <w:r>
        <w:rPr>
          <w:rFonts w:hint="eastAsia" w:ascii="宋体" w:hAnsi="宋体" w:eastAsia="宋体"/>
          <w:color w:val="auto"/>
          <w:sz w:val="21"/>
          <w:szCs w:val="21"/>
          <w:highlight w:val="none"/>
        </w:rPr>
        <w:t>发布的内容为准。当招标文件的澄清、修改、补充等在同一内容的表述不一致时，以最后</w:t>
      </w:r>
      <w:r>
        <w:rPr>
          <w:rFonts w:hint="eastAsia" w:ascii="宋体" w:hAnsi="宋体"/>
          <w:color w:val="auto"/>
          <w:sz w:val="21"/>
          <w:szCs w:val="21"/>
          <w:highlight w:val="none"/>
        </w:rPr>
        <w:t>发出的书面形式的文件为准。</w:t>
      </w:r>
    </w:p>
    <w:p>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rPr>
        <w:t>9.4</w:t>
      </w:r>
      <w:r>
        <w:rPr>
          <w:rFonts w:hint="eastAsia" w:ascii="宋体" w:hAnsi="宋体" w:eastAsia="宋体" w:cs="宋体"/>
          <w:b w:val="0"/>
          <w:bCs w:val="0"/>
          <w:color w:val="auto"/>
          <w:sz w:val="21"/>
          <w:szCs w:val="21"/>
          <w:highlight w:val="none"/>
        </w:rPr>
        <w:t>招标文件的澄清或修改均</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u w:val="single"/>
        </w:rPr>
        <w:t>网</w:t>
      </w:r>
      <w:r>
        <w:rPr>
          <w:rFonts w:hint="eastAsia" w:ascii="宋体" w:hAnsi="宋体" w:eastAsia="宋体" w:cs="宋体"/>
          <w:color w:val="auto"/>
          <w:sz w:val="21"/>
          <w:szCs w:val="21"/>
          <w:highlight w:val="none"/>
          <w:u w:val="single"/>
          <w:lang w:eastAsia="zh-CN"/>
        </w:rPr>
        <w:t>站</w:t>
      </w:r>
      <w:r>
        <w:rPr>
          <w:rFonts w:hint="eastAsia" w:ascii="宋体" w:hAnsi="宋体" w:eastAsia="宋体" w:cs="宋体"/>
          <w:color w:val="auto"/>
          <w:sz w:val="21"/>
          <w:szCs w:val="21"/>
          <w:highlight w:val="none"/>
        </w:rPr>
        <w:t>发布的内容为准。当招标文件的澄清、修改、补充等在同一内容的表述不一致时，以</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u w:val="single"/>
        </w:rPr>
        <w:t>网</w:t>
      </w:r>
      <w:r>
        <w:rPr>
          <w:rFonts w:hint="eastAsia" w:ascii="宋体" w:hAnsi="宋体" w:eastAsia="宋体" w:cs="宋体"/>
          <w:color w:val="auto"/>
          <w:sz w:val="21"/>
          <w:szCs w:val="21"/>
          <w:highlight w:val="none"/>
          <w:u w:val="single"/>
          <w:lang w:eastAsia="zh-CN"/>
        </w:rPr>
        <w:t>站</w:t>
      </w:r>
      <w:r>
        <w:rPr>
          <w:rFonts w:hint="eastAsia" w:ascii="宋体" w:hAnsi="宋体" w:eastAsia="宋体" w:cs="宋体"/>
          <w:color w:val="auto"/>
          <w:sz w:val="21"/>
          <w:szCs w:val="21"/>
          <w:highlight w:val="none"/>
          <w:u w:val="single"/>
        </w:rPr>
        <w:t>最后发布的内容为准</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11.1、</w:t>
      </w:r>
      <w:r>
        <w:rPr>
          <w:rFonts w:hint="eastAsia" w:ascii="宋体" w:hAnsi="宋体" w:eastAsia="宋体" w:cs="宋体"/>
          <w:b/>
          <w:color w:val="auto"/>
          <w:sz w:val="21"/>
          <w:szCs w:val="21"/>
          <w:highlight w:val="none"/>
        </w:rPr>
        <w:t>11.2               修改类型：修改</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Cs/>
          <w:color w:val="auto"/>
          <w:sz w:val="21"/>
          <w:szCs w:val="21"/>
          <w:highlight w:val="none"/>
        </w:rPr>
        <w:t>11.1投标文件由技术部分（含资格审查文件）和经济部分二部分投标文件组成。</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11.2投标文件技术标部分主要包括下列内容：</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11.2.1资格审查文件</w:t>
      </w:r>
      <w:r>
        <w:rPr>
          <w:rFonts w:hint="eastAsia" w:ascii="宋体" w:hAnsi="宋体" w:eastAsia="宋体" w:cs="宋体"/>
          <w:bCs/>
          <w:color w:val="auto"/>
          <w:sz w:val="21"/>
          <w:szCs w:val="21"/>
          <w:highlight w:val="none"/>
          <w:lang w:eastAsia="zh-CN"/>
        </w:rPr>
        <w:t>：</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（1）投标人声明；</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（2）法定代表人证明书、法定代表人签字或盖章的本投标文件授权委托证明书；</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（3）企业营业执照；</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（4）企业资质证书；</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（5）建筑施工企业安全生产许可证；</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（6）项目负责人（按网上投标登记时选择拟投标的项目负责人。投标人须在广州市交通建设项目企业信息库建立企业信用信息档案，拟担任本工程项目负责人须是本企业信息档案中的在册人员）；</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（7）专职安全员（按网上投标登记时选择拟投标的专职安全员，投标人须在广州市交通建设项目企业信息库建立企业信用信息档案，拟担任本工程专职安全员须是本企业信息档案中的在册人员）；</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（8）拟委派项目负责人的建造师注册证书（取自广州市交通建设项目企业信息库内上传件）；</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（9）项目负责人安全生产考核合格证明或在有效期内的安全考核合格证书（B类）或建筑施工企业项目负责人安全生产考核合格证书；</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（10）专职安全员须具有在有效期内的安全考核合格证书（C类）或建筑施工企业专职安全生产管理人员安全生产考核合格证书（C3）；</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（11）用于资格审查的业绩（设置业绩要求时选择此项，具体格式由招标人自定）</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（12）列明主办单位的联合体工作协议（采用联合体投标时需递交，联合体工作协议应明确约定各方拟承担的工作和责任）；</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（13）投标人认为应提交的其他资料。</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11.2.2技术投标文件主要包括下列内容：</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（1）《广州建设工程施工招标投标书》；</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（2）项目管理机构配备：</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①投标人应列出该项目工程的施工组织机构构成和画出机构框架图及其负责人；</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②投标人应详细列出该施工组织机构中主要成员的名单、简历资料、职务职称和在本项目中拟担任的职务等资料，并附上有关证明材料扫描件；</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③其他辅助说明资料。</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（3）施工组织设计或施工方案；</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楷体" w:hAnsi="楷体" w:eastAsia="楷体" w:cs="楷体"/>
          <w:color w:val="auto"/>
          <w:kern w:val="2"/>
          <w:sz w:val="21"/>
          <w:szCs w:val="21"/>
          <w:highlight w:val="none"/>
          <w:u w:val="none"/>
          <w:lang w:val="en-US" w:eastAsia="zh-CN" w:bidi="ar-SA"/>
        </w:rPr>
      </w:pPr>
      <w:r>
        <w:rPr>
          <w:rFonts w:hint="eastAsia" w:ascii="楷体" w:hAnsi="楷体" w:eastAsia="楷体" w:cs="楷体"/>
          <w:color w:val="auto"/>
          <w:kern w:val="2"/>
          <w:sz w:val="21"/>
          <w:szCs w:val="21"/>
          <w:highlight w:val="none"/>
          <w:u w:val="none"/>
          <w:lang w:val="en-US" w:eastAsia="zh-CN" w:bidi="ar-SA"/>
        </w:rPr>
        <w:t>注：建议招标人在招标文件中提出篇幅上限，国家及地方现有工法规范已有的内容无需重复提交。</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（4）（选择性条款）有余泥渣土产生的项目可要求提供余泥渣土运输与排放方案；</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（5）（选择性条款）投标人可使用适合本工程的机械设备；</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（6）（选择性条款）类似工程业绩材料；</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（7）按本招标文件规定提交的其它所有技术资料；</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（8）按照招标文件要求填写的《参与编制技术标投标文件人员名单》。</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val="0"/>
          <w:bCs/>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eastAsia="宋体" w:cs="宋体"/>
          <w:bCs/>
          <w:color w:val="auto"/>
          <w:sz w:val="21"/>
          <w:szCs w:val="21"/>
          <w:highlight w:val="none"/>
          <w:u w:val="single"/>
        </w:rPr>
        <w:t>11.1投标文件由技术部分（含资格审查文件）和经济部分、定标文件组成，其中定标文件组成详见11.4条。</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11.2投标文件技术标</w:t>
      </w:r>
      <w:r>
        <w:rPr>
          <w:rFonts w:hint="eastAsia" w:ascii="宋体" w:hAnsi="宋体" w:cs="宋体"/>
          <w:bCs/>
          <w:color w:val="auto"/>
          <w:sz w:val="21"/>
          <w:szCs w:val="21"/>
          <w:highlight w:val="none"/>
          <w:u w:val="single"/>
          <w:lang w:val="en-US" w:eastAsia="zh-CN"/>
        </w:rPr>
        <w:t>部分</w:t>
      </w:r>
      <w:r>
        <w:rPr>
          <w:rFonts w:hint="eastAsia" w:ascii="宋体" w:hAnsi="宋体" w:eastAsia="宋体" w:cs="宋体"/>
          <w:bCs/>
          <w:color w:val="auto"/>
          <w:sz w:val="21"/>
          <w:szCs w:val="21"/>
          <w:highlight w:val="none"/>
          <w:u w:val="single"/>
        </w:rPr>
        <w:t>主要包括下列内容</w:t>
      </w:r>
      <w:r>
        <w:rPr>
          <w:rFonts w:hint="eastAsia" w:ascii="宋体" w:hAnsi="宋体" w:eastAsia="宋体" w:cs="宋体"/>
          <w:bCs/>
          <w:color w:val="auto"/>
          <w:sz w:val="21"/>
          <w:szCs w:val="21"/>
          <w:highlight w:val="none"/>
          <w:u w:val="single"/>
          <w:lang w:eastAsia="zh-CN"/>
        </w:rPr>
        <w:t>：</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11.2.1</w:t>
      </w:r>
      <w:bookmarkStart w:id="15" w:name="_Hlk47945758"/>
      <w:r>
        <w:rPr>
          <w:rFonts w:hint="eastAsia" w:ascii="宋体" w:hAnsi="宋体" w:eastAsia="宋体" w:cs="宋体"/>
          <w:bCs/>
          <w:color w:val="auto"/>
          <w:sz w:val="21"/>
          <w:szCs w:val="21"/>
          <w:highlight w:val="none"/>
          <w:u w:val="single"/>
        </w:rPr>
        <w:t>投标文件技术标</w:t>
      </w:r>
      <w:r>
        <w:rPr>
          <w:rFonts w:hint="eastAsia" w:ascii="宋体" w:hAnsi="宋体" w:cs="宋体"/>
          <w:bCs/>
          <w:color w:val="auto"/>
          <w:sz w:val="21"/>
          <w:szCs w:val="21"/>
          <w:highlight w:val="none"/>
          <w:u w:val="single"/>
          <w:lang w:val="en-US" w:eastAsia="zh-CN"/>
        </w:rPr>
        <w:t>部分</w:t>
      </w:r>
      <w:r>
        <w:rPr>
          <w:rFonts w:hint="eastAsia" w:ascii="宋体" w:hAnsi="宋体" w:eastAsia="宋体" w:cs="宋体"/>
          <w:color w:val="auto"/>
          <w:sz w:val="21"/>
          <w:szCs w:val="21"/>
          <w:highlight w:val="none"/>
          <w:u w:val="single"/>
        </w:rPr>
        <w:t>（按本招标文件第四章“技术标投标文件格式”）</w:t>
      </w:r>
      <w:bookmarkEnd w:id="15"/>
      <w:r>
        <w:rPr>
          <w:rFonts w:hint="eastAsia" w:ascii="宋体" w:hAnsi="宋体" w:eastAsia="宋体" w:cs="宋体"/>
          <w:bCs/>
          <w:color w:val="auto"/>
          <w:sz w:val="21"/>
          <w:szCs w:val="21"/>
          <w:highlight w:val="none"/>
          <w:u w:val="single"/>
        </w:rPr>
        <w:t>；</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11.2.2资格审查文件：</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（1）投标人声明（扫描件）（须按招标公告附件一内容及格式要求编制）；</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（2）法定代表人证明书、法定代表人签字或盖章的本投标文件授权委托证明书（扫描件）；</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（3）企业营业执照（扫描件或电子证照）；</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（4）企业资质证书（扫描件或电子证照）；</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（5）建筑施工企业安全生产许可证（扫描件或电子证照）；</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（6）项目负责人（按网上投标登记时选择拟投标的项目负责人员）</w:t>
      </w:r>
      <w:r>
        <w:rPr>
          <w:rFonts w:hint="eastAsia" w:ascii="宋体" w:hAnsi="宋体" w:eastAsia="宋体" w:cs="宋体"/>
          <w:bCs/>
          <w:color w:val="auto"/>
          <w:sz w:val="21"/>
          <w:szCs w:val="21"/>
          <w:highlight w:val="none"/>
          <w:u w:val="single"/>
          <w:lang w:eastAsia="zh-CN"/>
        </w:rPr>
        <w:t>；</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（7）专职安全员（按网上投标登记时选择拟投标的专职安全员）；</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8</w:t>
      </w:r>
      <w:r>
        <w:rPr>
          <w:rFonts w:hint="eastAsia" w:ascii="宋体" w:hAnsi="宋体" w:eastAsia="宋体" w:cs="宋体"/>
          <w:bCs/>
          <w:color w:val="auto"/>
          <w:sz w:val="21"/>
          <w:szCs w:val="21"/>
          <w:highlight w:val="none"/>
          <w:u w:val="single"/>
        </w:rPr>
        <w:t>）拟委派项目负责人的有效期内的建造师注册证书（扫描件或电子证</w:t>
      </w:r>
      <w:r>
        <w:rPr>
          <w:rFonts w:hint="eastAsia" w:ascii="宋体" w:hAnsi="宋体" w:eastAsia="宋体" w:cs="宋体"/>
          <w:bCs/>
          <w:color w:val="auto"/>
          <w:sz w:val="21"/>
          <w:szCs w:val="21"/>
          <w:highlight w:val="none"/>
          <w:u w:val="single"/>
          <w:lang w:eastAsia="zh-CN"/>
        </w:rPr>
        <w:t>书</w:t>
      </w:r>
      <w:r>
        <w:rPr>
          <w:rFonts w:hint="eastAsia" w:ascii="宋体" w:hAnsi="宋体" w:eastAsia="宋体" w:cs="宋体"/>
          <w:bCs/>
          <w:color w:val="auto"/>
          <w:sz w:val="21"/>
          <w:szCs w:val="21"/>
          <w:highlight w:val="none"/>
          <w:u w:val="single"/>
        </w:rPr>
        <w:t>）；</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9</w:t>
      </w:r>
      <w:r>
        <w:rPr>
          <w:rFonts w:hint="eastAsia" w:ascii="宋体" w:hAnsi="宋体" w:eastAsia="宋体" w:cs="宋体"/>
          <w:bCs/>
          <w:color w:val="auto"/>
          <w:sz w:val="21"/>
          <w:szCs w:val="21"/>
          <w:highlight w:val="none"/>
          <w:u w:val="single"/>
        </w:rPr>
        <w:t>）项目负责人安全生产考核合格证明或在有效期内的安全</w:t>
      </w:r>
      <w:r>
        <w:rPr>
          <w:rFonts w:hint="eastAsia" w:ascii="宋体" w:hAnsi="宋体" w:cs="宋体"/>
          <w:bCs/>
          <w:color w:val="auto"/>
          <w:sz w:val="21"/>
          <w:szCs w:val="21"/>
          <w:highlight w:val="none"/>
          <w:u w:val="single"/>
          <w:lang w:eastAsia="zh-CN"/>
        </w:rPr>
        <w:t>生产</w:t>
      </w:r>
      <w:r>
        <w:rPr>
          <w:rFonts w:hint="eastAsia" w:ascii="宋体" w:hAnsi="宋体" w:eastAsia="宋体" w:cs="宋体"/>
          <w:bCs/>
          <w:color w:val="auto"/>
          <w:sz w:val="21"/>
          <w:szCs w:val="21"/>
          <w:highlight w:val="none"/>
          <w:u w:val="single"/>
        </w:rPr>
        <w:t>考核合格证书（B类）或建筑施工企业项目负责人安全生产考核合格证书（扫描件或电子证书）；</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（1</w:t>
      </w:r>
      <w:r>
        <w:rPr>
          <w:rFonts w:hint="eastAsia" w:ascii="宋体" w:hAnsi="宋体" w:cs="宋体"/>
          <w:bCs/>
          <w:color w:val="auto"/>
          <w:sz w:val="21"/>
          <w:szCs w:val="21"/>
          <w:highlight w:val="none"/>
          <w:u w:val="single"/>
          <w:lang w:val="en-US" w:eastAsia="zh-CN"/>
        </w:rPr>
        <w:t>0</w:t>
      </w:r>
      <w:r>
        <w:rPr>
          <w:rFonts w:hint="eastAsia" w:ascii="宋体" w:hAnsi="宋体" w:eastAsia="宋体" w:cs="宋体"/>
          <w:bCs/>
          <w:color w:val="auto"/>
          <w:sz w:val="21"/>
          <w:szCs w:val="21"/>
          <w:highlight w:val="none"/>
          <w:u w:val="single"/>
        </w:rPr>
        <w:t>）专职安全员须具有在有效期内的安全</w:t>
      </w:r>
      <w:r>
        <w:rPr>
          <w:rFonts w:hint="eastAsia" w:ascii="宋体" w:hAnsi="宋体" w:cs="宋体"/>
          <w:bCs/>
          <w:color w:val="auto"/>
          <w:sz w:val="21"/>
          <w:szCs w:val="21"/>
          <w:highlight w:val="none"/>
          <w:u w:val="single"/>
          <w:lang w:eastAsia="zh-CN"/>
        </w:rPr>
        <w:t>生产</w:t>
      </w:r>
      <w:r>
        <w:rPr>
          <w:rFonts w:hint="eastAsia" w:ascii="宋体" w:hAnsi="宋体" w:eastAsia="宋体" w:cs="宋体"/>
          <w:bCs/>
          <w:color w:val="auto"/>
          <w:sz w:val="21"/>
          <w:szCs w:val="21"/>
          <w:highlight w:val="none"/>
          <w:u w:val="single"/>
        </w:rPr>
        <w:t>考核合格证书（C类）或建筑施工企业专职安全生产管理人员安全生产考核合格证书（C3）（扫描件或电子证书），项目负责人和专职安全员不为同一人；</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（1</w:t>
      </w:r>
      <w:r>
        <w:rPr>
          <w:rFonts w:hint="eastAsia" w:ascii="宋体" w:hAnsi="宋体" w:cs="宋体"/>
          <w:bCs/>
          <w:color w:val="auto"/>
          <w:sz w:val="21"/>
          <w:szCs w:val="21"/>
          <w:highlight w:val="none"/>
          <w:u w:val="single"/>
          <w:lang w:val="en-US" w:eastAsia="zh-CN"/>
        </w:rPr>
        <w:t>1</w:t>
      </w:r>
      <w:r>
        <w:rPr>
          <w:rFonts w:hint="eastAsia" w:ascii="宋体" w:hAnsi="宋体" w:eastAsia="宋体" w:cs="宋体"/>
          <w:bCs/>
          <w:color w:val="auto"/>
          <w:sz w:val="21"/>
          <w:szCs w:val="21"/>
          <w:highlight w:val="none"/>
          <w:u w:val="single"/>
        </w:rPr>
        <w:t>）关于联合体投标：本项目不接受联合体投标。</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（1</w:t>
      </w:r>
      <w:r>
        <w:rPr>
          <w:rFonts w:hint="eastAsia" w:ascii="宋体" w:hAnsi="宋体" w:cs="宋体"/>
          <w:bCs/>
          <w:color w:val="auto"/>
          <w:sz w:val="21"/>
          <w:szCs w:val="21"/>
          <w:highlight w:val="none"/>
          <w:u w:val="single"/>
          <w:lang w:val="en-US" w:eastAsia="zh-CN"/>
        </w:rPr>
        <w:t>2</w:t>
      </w:r>
      <w:r>
        <w:rPr>
          <w:rFonts w:hint="eastAsia" w:ascii="宋体" w:hAnsi="宋体" w:eastAsia="宋体" w:cs="宋体"/>
          <w:bCs/>
          <w:color w:val="auto"/>
          <w:sz w:val="21"/>
          <w:szCs w:val="21"/>
          <w:highlight w:val="none"/>
          <w:u w:val="single"/>
        </w:rPr>
        <w:t>）投标人未出现以下情形：</w:t>
      </w:r>
      <w:r>
        <w:rPr>
          <w:rFonts w:hint="eastAsia" w:ascii="宋体" w:hAnsi="宋体"/>
          <w:color w:val="auto"/>
          <w:sz w:val="21"/>
          <w:szCs w:val="21"/>
          <w:highlight w:val="none"/>
          <w:u w:val="single"/>
        </w:rPr>
        <w:t>与</w:t>
      </w:r>
      <w:r>
        <w:rPr>
          <w:rFonts w:hint="eastAsia" w:ascii="宋体" w:hAnsi="宋体"/>
          <w:color w:val="auto"/>
          <w:sz w:val="21"/>
          <w:szCs w:val="21"/>
          <w:highlight w:val="none"/>
          <w:u w:val="single"/>
          <w:lang w:val="en-US" w:eastAsia="zh-CN"/>
        </w:rPr>
        <w:t>本招标项目其他</w:t>
      </w:r>
      <w:r>
        <w:rPr>
          <w:rFonts w:hint="eastAsia" w:ascii="宋体" w:hAnsi="宋体"/>
          <w:color w:val="auto"/>
          <w:sz w:val="21"/>
          <w:szCs w:val="21"/>
          <w:highlight w:val="none"/>
          <w:u w:val="single"/>
        </w:rPr>
        <w:t>投标人的单位负责人为同一人或者存在控股、管理关系的（按投标人提供的《投标人声明》第八条内容进行评审）。如不同投标申请人出现单位负责人为同一人或者存在控股、管理关系的情形，则相关投标均无效</w:t>
      </w:r>
      <w:r>
        <w:rPr>
          <w:rFonts w:hint="eastAsia" w:ascii="宋体" w:hAnsi="宋体" w:eastAsia="宋体" w:cs="宋体"/>
          <w:bCs/>
          <w:color w:val="auto"/>
          <w:sz w:val="21"/>
          <w:szCs w:val="21"/>
          <w:highlight w:val="none"/>
          <w:u w:val="single"/>
        </w:rPr>
        <w:t>。</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（1</w:t>
      </w:r>
      <w:r>
        <w:rPr>
          <w:rFonts w:hint="eastAsia" w:ascii="宋体" w:hAnsi="宋体" w:cs="宋体"/>
          <w:bCs/>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rPr>
        <w:t>）</w:t>
      </w:r>
      <w:r>
        <w:rPr>
          <w:rFonts w:hint="eastAsia" w:ascii="宋体" w:hAnsi="宋体" w:eastAsia="宋体" w:cs="宋体"/>
          <w:color w:val="auto"/>
          <w:sz w:val="21"/>
          <w:szCs w:val="21"/>
          <w:highlight w:val="none"/>
          <w:u w:val="single"/>
        </w:rPr>
        <w:t>在投标截止时间前</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eastAsia="zh-CN"/>
        </w:rPr>
        <w:t>投标人</w:t>
      </w:r>
      <w:r>
        <w:rPr>
          <w:rFonts w:hint="eastAsia" w:ascii="宋体" w:hAnsi="宋体"/>
          <w:color w:val="auto"/>
          <w:sz w:val="21"/>
          <w:szCs w:val="21"/>
          <w:highlight w:val="none"/>
          <w:u w:val="single"/>
        </w:rPr>
        <w:t>未被列入拖欠农民工工资失信联合惩戒对象名单。（</w:t>
      </w:r>
      <w:r>
        <w:rPr>
          <w:rFonts w:hint="eastAsia" w:ascii="宋体" w:hAnsi="宋体"/>
          <w:color w:val="auto"/>
          <w:sz w:val="21"/>
          <w:szCs w:val="21"/>
          <w:highlight w:val="none"/>
          <w:u w:val="single"/>
          <w:lang w:val="en-US" w:eastAsia="zh-CN"/>
        </w:rPr>
        <w:t>注：</w:t>
      </w:r>
      <w:r>
        <w:rPr>
          <w:rFonts w:hint="eastAsia" w:ascii="宋体" w:hAnsi="宋体"/>
          <w:color w:val="auto"/>
          <w:sz w:val="21"/>
          <w:szCs w:val="21"/>
          <w:highlight w:val="none"/>
          <w:u w:val="single"/>
          <w:lang w:eastAsia="zh-CN"/>
        </w:rPr>
        <w:t>投标人无需提供资料，按投标截止时间广州交易集团有限公司（广州公共资源交易中心）交易系统比对的结果进行评审</w:t>
      </w:r>
      <w:r>
        <w:rPr>
          <w:rFonts w:hint="eastAsia" w:ascii="宋体" w:hAnsi="宋体"/>
          <w:color w:val="auto"/>
          <w:sz w:val="21"/>
          <w:szCs w:val="21"/>
          <w:highlight w:val="none"/>
          <w:u w:val="single"/>
        </w:rPr>
        <w:t>）</w:t>
      </w:r>
      <w:r>
        <w:rPr>
          <w:rFonts w:hint="eastAsia" w:ascii="宋体" w:hAnsi="宋体" w:eastAsia="宋体" w:cs="宋体"/>
          <w:bCs/>
          <w:color w:val="auto"/>
          <w:sz w:val="21"/>
          <w:szCs w:val="21"/>
          <w:highlight w:val="none"/>
          <w:u w:val="single"/>
        </w:rPr>
        <w:t>；</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（1</w:t>
      </w:r>
      <w:r>
        <w:rPr>
          <w:rFonts w:hint="eastAsia" w:ascii="宋体" w:hAnsi="宋体" w:cs="宋体"/>
          <w:bCs/>
          <w:color w:val="auto"/>
          <w:sz w:val="21"/>
          <w:szCs w:val="21"/>
          <w:highlight w:val="none"/>
          <w:u w:val="single"/>
          <w:lang w:val="en-US" w:eastAsia="zh-CN"/>
        </w:rPr>
        <w:t>4</w:t>
      </w:r>
      <w:r>
        <w:rPr>
          <w:rFonts w:hint="eastAsia" w:ascii="宋体" w:hAnsi="宋体" w:eastAsia="宋体" w:cs="宋体"/>
          <w:bCs/>
          <w:color w:val="auto"/>
          <w:sz w:val="21"/>
          <w:szCs w:val="21"/>
          <w:highlight w:val="none"/>
          <w:u w:val="single"/>
        </w:rPr>
        <w:t>）投标人认为应提供的其他资料。</w:t>
      </w:r>
    </w:p>
    <w:p>
      <w:pPr>
        <w:pBdr>
          <w:bottom w:val="single" w:color="auto" w:sz="6" w:space="1"/>
        </w:pBd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11.2.3项目管理机构配备。</w:t>
      </w:r>
    </w:p>
    <w:p>
      <w:pPr>
        <w:numPr>
          <w:ilvl w:val="0"/>
          <w:numId w:val="5"/>
        </w:numPr>
        <w:pBdr>
          <w:bottom w:val="single" w:color="auto" w:sz="6" w:space="1"/>
        </w:pBdr>
        <w:spacing w:line="360" w:lineRule="auto"/>
        <w:ind w:firstLine="525" w:firstLineChars="25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投标人应列出该项目工程的施工组织机构构成和画出机构框架图及其负责人；</w:t>
      </w:r>
    </w:p>
    <w:p>
      <w:pPr>
        <w:numPr>
          <w:ilvl w:val="0"/>
          <w:numId w:val="5"/>
        </w:numPr>
        <w:pBdr>
          <w:bottom w:val="single" w:color="auto" w:sz="6" w:space="1"/>
        </w:pBdr>
        <w:spacing w:line="360" w:lineRule="auto"/>
        <w:ind w:firstLine="525" w:firstLineChars="25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投标人应详细列出该施工组织机构中主要成员的名单、简历资料、职务职称和在本项目中拟担任的职务等资料，并附上有关证明材料扫描件；</w:t>
      </w:r>
    </w:p>
    <w:p>
      <w:pPr>
        <w:numPr>
          <w:ilvl w:val="0"/>
          <w:numId w:val="5"/>
        </w:numPr>
        <w:pBdr>
          <w:bottom w:val="single" w:color="auto" w:sz="6" w:space="1"/>
        </w:pBd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rPr>
        <w:t>其他辅助说明资料。</w:t>
      </w:r>
      <w:r>
        <w:rPr>
          <w:rFonts w:hint="eastAsia" w:ascii="宋体" w:hAnsi="宋体" w:eastAsia="宋体" w:cs="宋体"/>
          <w:color w:val="auto"/>
          <w:sz w:val="21"/>
          <w:szCs w:val="21"/>
          <w:highlight w:val="none"/>
          <w:u w:val="single"/>
        </w:rPr>
        <w:t>（若有）</w:t>
      </w:r>
    </w:p>
    <w:p>
      <w:pPr>
        <w:pBdr>
          <w:bottom w:val="single" w:color="auto" w:sz="6" w:space="1"/>
        </w:pBd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11.2.4广州建设工程施工招标投标书（见本招标文件第四章“技术标投标文件格式”）</w:t>
      </w:r>
    </w:p>
    <w:p>
      <w:pPr>
        <w:pBdr>
          <w:bottom w:val="single" w:color="auto" w:sz="6" w:space="1"/>
        </w:pBd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11.2.5投标函（见本招标文件第四章“技术标投标文件格式”）</w:t>
      </w:r>
    </w:p>
    <w:p>
      <w:pPr>
        <w:pBdr>
          <w:bottom w:val="single" w:color="auto" w:sz="6" w:space="1"/>
        </w:pBd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11.2.6承诺书（见本招标文件第四章“技术标投标文件格式”）</w:t>
      </w:r>
    </w:p>
    <w:p>
      <w:pPr>
        <w:pBdr>
          <w:bottom w:val="single" w:color="auto" w:sz="6" w:space="1"/>
        </w:pBd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11.2.7危险性较大的分部分项工程安全管理措施（见本招标文件第四章“技术标投标文件格式”）</w:t>
      </w:r>
    </w:p>
    <w:p>
      <w:pPr>
        <w:pBdr>
          <w:bottom w:val="single" w:color="auto" w:sz="6" w:space="1"/>
        </w:pBd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11.2.8按照招标文件要求填写的《参与编制技术标投标文件人员名单》。（见本招标文件第四章“技术标投标文件格式”</w:t>
      </w:r>
      <w:r>
        <w:rPr>
          <w:rFonts w:hint="eastAsia" w:ascii="宋体" w:hAnsi="宋体" w:eastAsia="宋体" w:cs="宋体"/>
          <w:color w:val="auto"/>
          <w:sz w:val="21"/>
          <w:szCs w:val="21"/>
          <w:highlight w:val="none"/>
          <w:u w:val="single"/>
          <w:lang w:eastAsia="zh-CN"/>
        </w:rPr>
        <w:t>）</w:t>
      </w:r>
    </w:p>
    <w:p>
      <w:pPr>
        <w:pBdr>
          <w:bottom w:val="single" w:color="auto" w:sz="6" w:space="1"/>
        </w:pBd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val="en-US" w:eastAsia="zh-CN"/>
        </w:rPr>
        <w:t>11.2.9投</w:t>
      </w:r>
      <w:r>
        <w:rPr>
          <w:rFonts w:hint="eastAsia" w:ascii="宋体" w:hAnsi="宋体" w:eastAsia="宋体" w:cs="宋体"/>
          <w:color w:val="auto"/>
          <w:sz w:val="21"/>
          <w:szCs w:val="21"/>
          <w:highlight w:val="none"/>
          <w:u w:val="single"/>
        </w:rPr>
        <w:t>标人如采用非电子形式的银行保函、专业工程担保公司担保或保证保险提交投标保证金的，应在投标文件中提交相应扫描件并加盖投标人电子印章</w:t>
      </w:r>
      <w:r>
        <w:rPr>
          <w:rFonts w:hint="eastAsia" w:ascii="宋体" w:hAnsi="宋体" w:eastAsia="宋体" w:cs="宋体"/>
          <w:color w:val="auto"/>
          <w:sz w:val="21"/>
          <w:szCs w:val="21"/>
          <w:highlight w:val="none"/>
          <w:u w:val="single"/>
          <w:lang w:eastAsia="zh-CN"/>
        </w:rPr>
        <w:t>。</w:t>
      </w:r>
    </w:p>
    <w:p>
      <w:pPr>
        <w:pBdr>
          <w:bottom w:val="single" w:color="auto" w:sz="6" w:space="1"/>
        </w:pBd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val="en-US" w:eastAsia="zh-CN"/>
        </w:rPr>
        <w:t>11.2.10中小企业声明函（如有，</w:t>
      </w:r>
      <w:r>
        <w:rPr>
          <w:rFonts w:hint="eastAsia" w:ascii="宋体" w:hAnsi="宋体" w:eastAsia="宋体" w:cs="宋体"/>
          <w:color w:val="auto"/>
          <w:sz w:val="21"/>
          <w:szCs w:val="21"/>
          <w:highlight w:val="none"/>
          <w:u w:val="single"/>
        </w:rPr>
        <w:t>见本招标文件第四章“技术标投标文件格式”</w:t>
      </w:r>
      <w:r>
        <w:rPr>
          <w:rFonts w:hint="eastAsia" w:ascii="宋体" w:hAnsi="宋体" w:eastAsia="宋体" w:cs="宋体"/>
          <w:color w:val="auto"/>
          <w:sz w:val="21"/>
          <w:szCs w:val="21"/>
          <w:highlight w:val="none"/>
          <w:u w:val="single"/>
          <w:lang w:val="en-US" w:eastAsia="zh-CN"/>
        </w:rPr>
        <w:t>）；</w:t>
      </w:r>
    </w:p>
    <w:p>
      <w:pPr>
        <w:pBdr>
          <w:bottom w:val="single" w:color="auto" w:sz="6" w:space="1"/>
        </w:pBd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val="en-US" w:eastAsia="zh-CN"/>
        </w:rPr>
        <w:t>11.2.11关于投标保证金的承诺（如有，</w:t>
      </w:r>
      <w:r>
        <w:rPr>
          <w:rFonts w:hint="eastAsia" w:ascii="宋体" w:hAnsi="宋体" w:eastAsia="宋体" w:cs="宋体"/>
          <w:color w:val="auto"/>
          <w:sz w:val="21"/>
          <w:szCs w:val="21"/>
          <w:highlight w:val="none"/>
          <w:u w:val="single"/>
        </w:rPr>
        <w:t>见本招标文件第四章“技术标投标文件格式”</w:t>
      </w:r>
      <w:r>
        <w:rPr>
          <w:rFonts w:hint="eastAsia" w:ascii="宋体" w:hAnsi="宋体" w:eastAsia="宋体" w:cs="宋体"/>
          <w:color w:val="auto"/>
          <w:sz w:val="21"/>
          <w:szCs w:val="21"/>
          <w:highlight w:val="none"/>
          <w:u w:val="single"/>
          <w:lang w:val="en-US" w:eastAsia="zh-CN"/>
        </w:rPr>
        <w:t>）；</w:t>
      </w:r>
    </w:p>
    <w:p>
      <w:pPr>
        <w:pBdr>
          <w:bottom w:val="single" w:color="auto" w:sz="6" w:space="1"/>
        </w:pBdr>
        <w:spacing w:line="360" w:lineRule="auto"/>
        <w:ind w:firstLine="420" w:firstLineChars="200"/>
        <w:rPr>
          <w:rFonts w:hint="eastAsia" w:ascii="宋体" w:hAnsi="宋体" w:cs="宋体"/>
          <w:color w:val="auto"/>
          <w:szCs w:val="21"/>
          <w:highlight w:val="none"/>
          <w:u w:val="single"/>
          <w:lang w:eastAsia="zh-CN"/>
        </w:rPr>
      </w:pPr>
      <w:r>
        <w:rPr>
          <w:rFonts w:hint="eastAsia" w:ascii="宋体" w:hAnsi="宋体" w:eastAsia="宋体" w:cs="宋体"/>
          <w:color w:val="auto"/>
          <w:sz w:val="21"/>
          <w:szCs w:val="21"/>
          <w:highlight w:val="none"/>
          <w:u w:val="single"/>
          <w:lang w:val="en-US" w:eastAsia="zh-CN"/>
        </w:rPr>
        <w:t>11.2.1</w:t>
      </w:r>
      <w:r>
        <w:rPr>
          <w:rFonts w:hint="eastAsia" w:ascii="宋体" w:hAnsi="宋体" w:cs="宋体"/>
          <w:color w:val="auto"/>
          <w:sz w:val="21"/>
          <w:szCs w:val="21"/>
          <w:highlight w:val="none"/>
          <w:u w:val="single"/>
          <w:lang w:val="en-US" w:eastAsia="zh-CN"/>
        </w:rPr>
        <w:t>2</w:t>
      </w:r>
      <w:r>
        <w:rPr>
          <w:rFonts w:hint="eastAsia" w:ascii="宋体" w:hAnsi="宋体" w:cs="宋体"/>
          <w:color w:val="auto"/>
          <w:szCs w:val="21"/>
          <w:highlight w:val="none"/>
          <w:u w:val="single"/>
        </w:rPr>
        <w:t>技术标详细审查评分表要求提供的证明材料</w:t>
      </w:r>
      <w:r>
        <w:rPr>
          <w:rFonts w:hint="eastAsia" w:ascii="宋体" w:hAnsi="宋体" w:cs="宋体"/>
          <w:color w:val="auto"/>
          <w:szCs w:val="21"/>
          <w:highlight w:val="none"/>
          <w:u w:val="single"/>
          <w:lang w:eastAsia="zh-CN"/>
        </w:rPr>
        <w:t>。</w:t>
      </w:r>
    </w:p>
    <w:p>
      <w:pPr>
        <w:pBdr>
          <w:bottom w:val="single" w:color="auto" w:sz="6" w:space="1"/>
        </w:pBdr>
        <w:spacing w:line="360" w:lineRule="auto"/>
        <w:ind w:firstLine="420" w:firstLineChars="200"/>
        <w:rPr>
          <w:rFonts w:hint="eastAsia" w:eastAsia="宋体"/>
          <w:color w:val="auto"/>
          <w:szCs w:val="21"/>
          <w:highlight w:val="none"/>
          <w:lang w:eastAsia="zh-CN"/>
        </w:rPr>
      </w:pPr>
      <w:r>
        <w:rPr>
          <w:rFonts w:hint="eastAsia" w:ascii="宋体" w:hAnsi="宋体" w:eastAsia="宋体" w:cs="宋体"/>
          <w:color w:val="auto"/>
          <w:sz w:val="21"/>
          <w:szCs w:val="21"/>
          <w:highlight w:val="none"/>
          <w:u w:val="single"/>
          <w:lang w:val="en-US" w:eastAsia="zh-CN"/>
        </w:rPr>
        <w:t>11.2.1</w:t>
      </w:r>
      <w:r>
        <w:rPr>
          <w:rFonts w:hint="eastAsia" w:ascii="宋体" w:hAnsi="宋体" w:cs="宋体"/>
          <w:color w:val="auto"/>
          <w:sz w:val="21"/>
          <w:szCs w:val="21"/>
          <w:highlight w:val="none"/>
          <w:u w:val="single"/>
          <w:lang w:val="en-US" w:eastAsia="zh-CN"/>
        </w:rPr>
        <w:t>3</w:t>
      </w:r>
      <w:r>
        <w:rPr>
          <w:rFonts w:hint="eastAsia"/>
          <w:color w:val="auto"/>
          <w:szCs w:val="21"/>
          <w:highlight w:val="none"/>
          <w:u w:val="single"/>
        </w:rPr>
        <w:t>《施工组织设计》。（投标人在编制</w:t>
      </w:r>
      <w:r>
        <w:rPr>
          <w:color w:val="auto"/>
          <w:szCs w:val="21"/>
          <w:highlight w:val="none"/>
          <w:u w:val="single"/>
        </w:rPr>
        <w:t>施工组织设计</w:t>
      </w:r>
      <w:r>
        <w:rPr>
          <w:rFonts w:hint="eastAsia"/>
          <w:color w:val="auto"/>
          <w:szCs w:val="21"/>
          <w:highlight w:val="none"/>
          <w:u w:val="single"/>
        </w:rPr>
        <w:t>应按照招标人提出的施工现场建筑垃圾源头减量的具体要求以及建筑垃圾综合利用产品的使用要求提供相应措施</w:t>
      </w:r>
      <w:r>
        <w:rPr>
          <w:rFonts w:hint="eastAsia"/>
          <w:color w:val="auto"/>
          <w:szCs w:val="21"/>
          <w:highlight w:val="none"/>
          <w:u w:val="single"/>
          <w:lang w:eastAsia="zh-CN"/>
        </w:rPr>
        <w:t>。投标人在编制施工组织设计时应按照招标文件要求，并针对本项目的关键技术、工艺、重点、难点以及拟在本项目采用的新工艺、新技术、新材料编制，应突出重点，标准、规范中已有的内容无需赘述，一般篇幅不宜超过150页。超过部分不予评审）</w:t>
      </w:r>
      <w:r>
        <w:rPr>
          <w:rFonts w:hint="eastAsia"/>
          <w:color w:val="auto"/>
          <w:szCs w:val="21"/>
          <w:highlight w:val="none"/>
          <w:u w:val="single"/>
        </w:rPr>
        <w:t>。</w:t>
      </w:r>
    </w:p>
    <w:p>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cs="宋体"/>
          <w:color w:val="auto"/>
          <w:szCs w:val="21"/>
          <w:highlight w:val="none"/>
          <w:u w:val="single"/>
          <w:lang w:val="en-US" w:eastAsia="zh-CN"/>
        </w:rPr>
        <w:t>11.2.14</w:t>
      </w:r>
      <w:r>
        <w:rPr>
          <w:rFonts w:hint="eastAsia" w:ascii="宋体" w:hAnsi="宋体" w:eastAsia="宋体" w:cs="宋体"/>
          <w:bCs/>
          <w:color w:val="auto"/>
          <w:sz w:val="21"/>
          <w:szCs w:val="21"/>
          <w:highlight w:val="none"/>
          <w:u w:val="single"/>
        </w:rPr>
        <w:t>其他投标人认为应该提供的资料。</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条款号：11.3                 修改类型：修改</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11.3经济部分投标文件主要包括下列内容：</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11.3.1经济投标文件</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（1）投标总价封面、扉页；</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（2）总说明；</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（3）工程项目投标报价汇总表；</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（4）单项工程投标报价汇总表；</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（5）单位工程投标报价汇总表；</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（6）分部分项工程清单与计价表；</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（7）单价措施项目清单与计价表；</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（8）总价措施项目清单与计价表；</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（9）综合单价分析表；</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（10）其他项目清单与计价汇总表；</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（11）暂列金额明细表；</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（12）材料（工程设备）暂估价明细表；</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（13）专业工程暂估价明细表；</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（14）计日工表；</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（15）总承包服务计价表；</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（16）规费和税金项目计价表；</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（17）人工、主要材料和设备一览表</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11.3.3按照招标文件要求填写的《参与编制经济标投标文件人员名单》。</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11.3.4若投标人的投标报价低于工程成本警示价的，投标人还须提供详细的施工组织设计、单价、措施性费用、单价分析表、主要材料价格表、投标人成本分析供评标委员会评审。</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u w:val="single"/>
        </w:rPr>
        <w:t>11.3经济标投标文件主要包括下列内容：</w:t>
      </w:r>
    </w:p>
    <w:p>
      <w:pPr>
        <w:keepNext w:val="0"/>
        <w:keepLines w:val="0"/>
        <w:pageBreakBefore w:val="0"/>
        <w:widowControl w:val="0"/>
        <w:pBdr>
          <w:bottom w:val="single" w:color="auto" w:sz="4" w:space="1"/>
        </w:pBdr>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11.3.1</w:t>
      </w:r>
      <w:bookmarkStart w:id="16" w:name="_Hlk60754295"/>
      <w:r>
        <w:rPr>
          <w:rFonts w:hint="eastAsia" w:ascii="宋体" w:hAnsi="宋体" w:eastAsia="宋体" w:cs="宋体"/>
          <w:color w:val="auto"/>
          <w:sz w:val="21"/>
          <w:szCs w:val="21"/>
          <w:highlight w:val="none"/>
          <w:u w:val="single"/>
        </w:rPr>
        <w:t>经济标投标文件封面</w:t>
      </w:r>
      <w:bookmarkEnd w:id="16"/>
      <w:r>
        <w:rPr>
          <w:rFonts w:hint="eastAsia" w:ascii="宋体" w:hAnsi="宋体" w:eastAsia="宋体" w:cs="宋体"/>
          <w:bCs/>
          <w:color w:val="auto"/>
          <w:sz w:val="21"/>
          <w:szCs w:val="21"/>
          <w:highlight w:val="none"/>
          <w:u w:val="single"/>
        </w:rPr>
        <w:t>（须按招标文件第四章 “经济标投标文件格式”）</w:t>
      </w:r>
      <w:r>
        <w:rPr>
          <w:rFonts w:hint="eastAsia" w:ascii="宋体" w:hAnsi="宋体" w:eastAsia="宋体" w:cs="宋体"/>
          <w:color w:val="auto"/>
          <w:sz w:val="21"/>
          <w:szCs w:val="21"/>
          <w:highlight w:val="none"/>
          <w:u w:val="single"/>
        </w:rPr>
        <w:t>。</w:t>
      </w:r>
    </w:p>
    <w:p>
      <w:pPr>
        <w:keepNext w:val="0"/>
        <w:keepLines w:val="0"/>
        <w:pageBreakBefore w:val="0"/>
        <w:widowControl w:val="0"/>
        <w:pBdr>
          <w:bottom w:val="single" w:color="auto" w:sz="4" w:space="1"/>
        </w:pBdr>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eastAsia="宋体" w:cs="宋体"/>
          <w:color w:val="auto"/>
          <w:sz w:val="21"/>
          <w:szCs w:val="21"/>
          <w:highlight w:val="none"/>
          <w:u w:val="single"/>
        </w:rPr>
        <w:t>（投标报价的工程量清单的组成、格式等由</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u w:val="single"/>
        </w:rPr>
        <w:t>的投标文件管理软件自动生成）</w:t>
      </w:r>
    </w:p>
    <w:p>
      <w:pPr>
        <w:keepNext w:val="0"/>
        <w:keepLines w:val="0"/>
        <w:pageBreakBefore w:val="0"/>
        <w:widowControl w:val="0"/>
        <w:pBdr>
          <w:bottom w:val="single" w:color="auto" w:sz="4" w:space="1"/>
        </w:pBdr>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11.3.3按照招标文件要求填写的《参与编制经济标投标文件人员名单》</w:t>
      </w:r>
      <w:r>
        <w:rPr>
          <w:rFonts w:hint="eastAsia" w:ascii="宋体" w:hAnsi="宋体" w:eastAsia="宋体" w:cs="宋体"/>
          <w:color w:val="auto"/>
          <w:sz w:val="21"/>
          <w:szCs w:val="21"/>
          <w:highlight w:val="none"/>
          <w:u w:val="single"/>
        </w:rPr>
        <w:t>（须按招标文件第四章 “经济标投标文件格式”）</w:t>
      </w:r>
      <w:r>
        <w:rPr>
          <w:rFonts w:hint="eastAsia" w:ascii="宋体" w:hAnsi="宋体" w:eastAsia="宋体" w:cs="宋体"/>
          <w:color w:val="auto"/>
          <w:sz w:val="21"/>
          <w:szCs w:val="21"/>
          <w:highlight w:val="none"/>
        </w:rPr>
        <w:t>。</w:t>
      </w:r>
    </w:p>
    <w:p>
      <w:pPr>
        <w:keepNext w:val="0"/>
        <w:keepLines w:val="0"/>
        <w:pageBreakBefore w:val="0"/>
        <w:widowControl w:val="0"/>
        <w:pBdr>
          <w:bottom w:val="single" w:color="auto" w:sz="4" w:space="1"/>
        </w:pBdr>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color w:val="auto"/>
          <w:sz w:val="21"/>
          <w:szCs w:val="21"/>
          <w:highlight w:val="none"/>
          <w:u w:val="single"/>
        </w:rPr>
        <w:t>11.3.4 对投标文件编制的承诺</w:t>
      </w:r>
      <w:r>
        <w:rPr>
          <w:rFonts w:hint="eastAsia" w:ascii="宋体" w:hAnsi="宋体" w:eastAsia="宋体" w:cs="宋体"/>
          <w:bCs/>
          <w:color w:val="auto"/>
          <w:sz w:val="21"/>
          <w:szCs w:val="21"/>
          <w:highlight w:val="none"/>
          <w:u w:val="single"/>
        </w:rPr>
        <w:t>（须按招标文件第四章 “经济标投标文件格式”）</w:t>
      </w:r>
      <w:r>
        <w:rPr>
          <w:rFonts w:hint="eastAsia" w:ascii="宋体" w:hAnsi="宋体" w:eastAsia="宋体" w:cs="宋体"/>
          <w:bCs/>
          <w:color w:val="auto"/>
          <w:sz w:val="21"/>
          <w:szCs w:val="21"/>
          <w:highlight w:val="none"/>
          <w:u w:val="single"/>
          <w:lang w:eastAsia="zh-CN"/>
        </w:rPr>
        <w:t>。</w:t>
      </w:r>
    </w:p>
    <w:p>
      <w:pPr>
        <w:keepNext w:val="0"/>
        <w:keepLines w:val="0"/>
        <w:pageBreakBefore w:val="0"/>
        <w:widowControl w:val="0"/>
        <w:pBdr>
          <w:bottom w:val="single" w:color="auto" w:sz="4" w:space="1"/>
        </w:pBdr>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11.3.5若投标人的投标报价低于工程成本警戒价的，投标人还须提供详细的施工组织设计、单价、措施性费用、单价分析表、主要材料价格表、投标人成本分析供评标委员会评审。</w:t>
      </w:r>
    </w:p>
    <w:p>
      <w:pPr>
        <w:keepNext w:val="0"/>
        <w:keepLines w:val="0"/>
        <w:pageBreakBefore w:val="0"/>
        <w:widowControl w:val="0"/>
        <w:pBdr>
          <w:bottom w:val="single" w:color="auto" w:sz="4" w:space="1"/>
        </w:pBdr>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11.3.</w:t>
      </w: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其他投标人认为应该提供的资料。</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11.4</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val="en-US" w:eastAsia="zh-CN"/>
        </w:rPr>
        <w:t>增加</w:t>
      </w:r>
    </w:p>
    <w:p>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b w:val="0"/>
          <w:bCs/>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eastAsia="宋体" w:cs="宋体"/>
          <w:b w:val="0"/>
          <w:bCs/>
          <w:color w:val="auto"/>
          <w:sz w:val="21"/>
          <w:szCs w:val="21"/>
          <w:highlight w:val="none"/>
          <w:u w:val="single"/>
        </w:rPr>
        <w:t>11.4定标文件的组成</w:t>
      </w:r>
    </w:p>
    <w:p>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u w:val="single"/>
        </w:rPr>
      </w:pPr>
      <w:r>
        <w:rPr>
          <w:rFonts w:hint="eastAsia" w:ascii="宋体" w:hAnsi="宋体" w:eastAsia="宋体" w:cs="宋体"/>
          <w:b w:val="0"/>
          <w:bCs/>
          <w:color w:val="auto"/>
          <w:sz w:val="21"/>
          <w:szCs w:val="21"/>
          <w:highlight w:val="none"/>
          <w:u w:val="single"/>
        </w:rPr>
        <w:t>11.4.</w:t>
      </w:r>
      <w:r>
        <w:rPr>
          <w:rFonts w:hint="eastAsia" w:ascii="宋体" w:hAnsi="宋体" w:eastAsia="宋体" w:cs="宋体"/>
          <w:b w:val="0"/>
          <w:bCs/>
          <w:color w:val="auto"/>
          <w:sz w:val="21"/>
          <w:szCs w:val="21"/>
          <w:highlight w:val="none"/>
          <w:u w:val="single"/>
          <w:lang w:val="en-US" w:eastAsia="zh-CN"/>
        </w:rPr>
        <w:t>1</w:t>
      </w:r>
      <w:r>
        <w:rPr>
          <w:rFonts w:hint="eastAsia" w:ascii="宋体" w:hAnsi="宋体" w:eastAsia="宋体" w:cs="宋体"/>
          <w:b w:val="0"/>
          <w:bCs/>
          <w:color w:val="auto"/>
          <w:sz w:val="21"/>
          <w:szCs w:val="21"/>
          <w:highlight w:val="none"/>
          <w:u w:val="single"/>
        </w:rPr>
        <w:t>投标人依据《定标因素表》提供资料；</w:t>
      </w:r>
    </w:p>
    <w:p>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u w:val="single"/>
        </w:rPr>
      </w:pPr>
      <w:r>
        <w:rPr>
          <w:rFonts w:hint="eastAsia" w:ascii="宋体" w:hAnsi="宋体" w:eastAsia="宋体" w:cs="宋体"/>
          <w:b w:val="0"/>
          <w:bCs/>
          <w:color w:val="auto"/>
          <w:sz w:val="21"/>
          <w:szCs w:val="21"/>
          <w:highlight w:val="none"/>
          <w:u w:val="single"/>
        </w:rPr>
        <w:t>11.4.</w:t>
      </w:r>
      <w:r>
        <w:rPr>
          <w:rFonts w:hint="eastAsia" w:ascii="宋体" w:hAnsi="宋体" w:eastAsia="宋体" w:cs="宋体"/>
          <w:b w:val="0"/>
          <w:bCs/>
          <w:color w:val="auto"/>
          <w:sz w:val="21"/>
          <w:szCs w:val="21"/>
          <w:highlight w:val="none"/>
          <w:u w:val="single"/>
          <w:lang w:val="en-US" w:eastAsia="zh-CN"/>
        </w:rPr>
        <w:t>2</w:t>
      </w:r>
      <w:r>
        <w:rPr>
          <w:rFonts w:hint="eastAsia" w:ascii="宋体" w:hAnsi="宋体" w:eastAsia="宋体" w:cs="宋体"/>
          <w:b w:val="0"/>
          <w:bCs/>
          <w:color w:val="auto"/>
          <w:sz w:val="21"/>
          <w:szCs w:val="21"/>
          <w:highlight w:val="none"/>
          <w:u w:val="single"/>
        </w:rPr>
        <w:t>投标人认为应该提供的资料。</w:t>
      </w:r>
    </w:p>
    <w:p>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b w:val="0"/>
          <w:bCs/>
          <w:color w:val="auto"/>
          <w:sz w:val="21"/>
          <w:szCs w:val="21"/>
          <w:highlight w:val="none"/>
          <w:u w:val="single"/>
          <w:lang w:eastAsia="zh-CN"/>
        </w:rPr>
      </w:pPr>
      <w:r>
        <w:rPr>
          <w:rFonts w:hint="eastAsia" w:ascii="宋体" w:hAnsi="宋体" w:cs="宋体"/>
          <w:b/>
          <w:color w:val="auto"/>
          <w:kern w:val="0"/>
          <w:szCs w:val="20"/>
          <w:highlight w:val="none"/>
          <w:u w:val="single"/>
        </w:rPr>
        <w:t>注：定标文件的递交时间和形式由投标人按照投标须知前附表第18项所规定的时间及本须知第18条的相关要求执行</w:t>
      </w:r>
      <w:r>
        <w:rPr>
          <w:rFonts w:hint="eastAsia" w:ascii="宋体" w:hAnsi="宋体" w:cs="宋体"/>
          <w:b/>
          <w:color w:val="auto"/>
          <w:kern w:val="0"/>
          <w:szCs w:val="20"/>
          <w:highlight w:val="none"/>
          <w:u w:val="single"/>
          <w:lang w:eastAsia="zh-CN"/>
        </w:rPr>
        <w:t>。</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条款号：12</w:t>
      </w:r>
      <w:r>
        <w:rPr>
          <w:rFonts w:hint="eastAsia" w:ascii="宋体" w:hAnsi="宋体" w:cs="宋体"/>
          <w:b/>
          <w:color w:val="auto"/>
          <w:sz w:val="21"/>
          <w:szCs w:val="21"/>
          <w:highlight w:val="none"/>
          <w:lang w:val="en-US" w:eastAsia="zh-CN"/>
        </w:rPr>
        <w:t xml:space="preserve">.2   </w:t>
      </w:r>
      <w:r>
        <w:rPr>
          <w:rFonts w:hint="eastAsia" w:ascii="宋体" w:hAnsi="宋体" w:eastAsia="宋体" w:cs="宋体"/>
          <w:b/>
          <w:color w:val="auto"/>
          <w:sz w:val="21"/>
          <w:szCs w:val="21"/>
          <w:highlight w:val="none"/>
        </w:rPr>
        <w:t xml:space="preserve">                修改类型：修改</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pBdr>
          <w:bottom w:val="single" w:color="auto" w:sz="4"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12.2投标文件全部采用电子文档，投标文件所附证书证件均为</w:t>
      </w:r>
      <w:r>
        <w:rPr>
          <w:rFonts w:hint="eastAsia" w:ascii="宋体" w:hAnsi="宋体" w:cs="宋体"/>
          <w:b w:val="0"/>
          <w:bCs w:val="0"/>
          <w:color w:val="auto"/>
          <w:sz w:val="21"/>
          <w:szCs w:val="21"/>
          <w:highlight w:val="none"/>
          <w:u w:val="single"/>
          <w:lang w:val="en-US" w:eastAsia="zh-CN"/>
        </w:rPr>
        <w:t>清晰</w:t>
      </w:r>
      <w:r>
        <w:rPr>
          <w:rFonts w:hint="eastAsia" w:ascii="宋体" w:hAnsi="宋体" w:eastAsia="宋体" w:cs="宋体"/>
          <w:b w:val="0"/>
          <w:bCs w:val="0"/>
          <w:color w:val="auto"/>
          <w:sz w:val="21"/>
          <w:szCs w:val="21"/>
          <w:highlight w:val="none"/>
          <w:u w:val="none"/>
        </w:rPr>
        <w:t>扫描件</w:t>
      </w:r>
      <w:r>
        <w:rPr>
          <w:rFonts w:hint="eastAsia" w:ascii="宋体" w:hAnsi="宋体" w:eastAsia="宋体" w:cs="宋体"/>
          <w:color w:val="auto"/>
          <w:sz w:val="21"/>
          <w:szCs w:val="21"/>
          <w:highlight w:val="none"/>
        </w:rPr>
        <w:t>，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u w:val="single"/>
        </w:rPr>
        <w:t>网站发布的最新版操作指引</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cs="宋体"/>
          <w:b/>
          <w:color w:val="auto"/>
          <w:sz w:val="21"/>
          <w:szCs w:val="21"/>
          <w:highlight w:val="none"/>
          <w:lang w:val="en-US" w:eastAsia="zh-CN"/>
        </w:rPr>
        <w:t>12.3</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修改类型：修改</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12.3投标文件应按照交易平台关于全流程电子化项目的相关指南进行编制，详见：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如不按上述要求编制引起系统无法检索、读取相关信息的，其后果由投标人承担。</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12.3投标文件应按照交易平台关于全流程电子化项目的相关指南进行编制，详见：</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u w:val="single"/>
        </w:rPr>
        <w:t>网站发布的最新版操作指引。</w:t>
      </w:r>
    </w:p>
    <w:p>
      <w:pPr>
        <w:keepNext w:val="0"/>
        <w:keepLines w:val="0"/>
        <w:pageBreakBefore w:val="0"/>
        <w:widowControl w:val="0"/>
        <w:pBdr>
          <w:bottom w:val="single" w:color="auto" w:sz="4" w:space="1"/>
        </w:pBdr>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如不按上述要求编制引起系统无法检索、读取相关信息的，其后果由投标人承担。</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条款号：13.1                  修改类型：修改</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val="0"/>
          <w:color w:val="auto"/>
          <w:sz w:val="21"/>
          <w:szCs w:val="21"/>
          <w:highlight w:val="none"/>
        </w:rPr>
        <w:t>13.1本工程的投标报价采用投标须知前附表第14项所规定的方式。投标报价（含单价及总价）精确到“分”</w:t>
      </w:r>
      <w:r>
        <w:rPr>
          <w:rFonts w:hint="eastAsia" w:ascii="宋体" w:hAnsi="宋体" w:eastAsia="宋体" w:cs="宋体"/>
          <w:color w:val="auto"/>
          <w:sz w:val="21"/>
          <w:szCs w:val="21"/>
          <w:highlight w:val="none"/>
        </w:rPr>
        <w:t>。</w:t>
      </w:r>
    </w:p>
    <w:p>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rPr>
        <w:t>13.1</w:t>
      </w:r>
      <w:r>
        <w:rPr>
          <w:rFonts w:hint="eastAsia" w:ascii="宋体" w:hAnsi="宋体" w:eastAsia="宋体" w:cs="宋体"/>
          <w:b w:val="0"/>
          <w:bCs w:val="0"/>
          <w:color w:val="auto"/>
          <w:sz w:val="21"/>
          <w:szCs w:val="21"/>
          <w:highlight w:val="none"/>
        </w:rPr>
        <w:t>本工程的投标报价采用投标须知前附表第14项所规定的方式</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投标文件中的大写金额和小写金额不一致的，以大写金额为准，投标报价（含单价及总价）精确到“分”。</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条款号：13.3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w:t>
      </w:r>
      <w:r>
        <w:rPr>
          <w:rFonts w:hint="eastAsia" w:ascii="宋体" w:hAnsi="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修改类型：修改</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13.3</w:t>
      </w:r>
      <w:r>
        <w:rPr>
          <w:rFonts w:hint="eastAsia" w:ascii="宋体" w:hAnsi="宋体"/>
          <w:color w:val="auto"/>
          <w:sz w:val="21"/>
          <w:szCs w:val="21"/>
          <w:highlight w:val="none"/>
        </w:rPr>
        <w:t>投标人的投标报价，应是按照投标须知前附表第</w:t>
      </w:r>
      <w:r>
        <w:rPr>
          <w:rFonts w:ascii="宋体" w:hAnsi="宋体"/>
          <w:color w:val="auto"/>
          <w:sz w:val="21"/>
          <w:szCs w:val="21"/>
          <w:highlight w:val="none"/>
        </w:rPr>
        <w:t>8</w:t>
      </w:r>
      <w:r>
        <w:rPr>
          <w:rFonts w:hint="eastAsia" w:ascii="宋体" w:hAnsi="宋体"/>
          <w:color w:val="auto"/>
          <w:sz w:val="21"/>
          <w:szCs w:val="21"/>
          <w:highlight w:val="none"/>
        </w:rPr>
        <w:t>项的工期要求，在投标须知前附表第</w:t>
      </w:r>
      <w:r>
        <w:rPr>
          <w:rFonts w:ascii="宋体" w:hAnsi="宋体"/>
          <w:color w:val="auto"/>
          <w:sz w:val="21"/>
          <w:szCs w:val="21"/>
          <w:highlight w:val="none"/>
        </w:rPr>
        <w:t>3</w:t>
      </w:r>
      <w:r>
        <w:rPr>
          <w:rFonts w:hint="eastAsia" w:ascii="宋体" w:hAnsi="宋体"/>
          <w:color w:val="auto"/>
          <w:sz w:val="21"/>
          <w:szCs w:val="21"/>
          <w:highlight w:val="none"/>
        </w:rPr>
        <w:t>项的建设地点，完成投标须知前附表第</w:t>
      </w:r>
      <w:r>
        <w:rPr>
          <w:rFonts w:ascii="宋体" w:hAnsi="宋体"/>
          <w:color w:val="auto"/>
          <w:sz w:val="21"/>
          <w:szCs w:val="21"/>
          <w:highlight w:val="none"/>
        </w:rPr>
        <w:t>7</w:t>
      </w:r>
      <w:r>
        <w:rPr>
          <w:rFonts w:hint="eastAsia" w:ascii="宋体" w:hAnsi="宋体"/>
          <w:color w:val="auto"/>
          <w:sz w:val="21"/>
          <w:szCs w:val="21"/>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r>
        <w:rPr>
          <w:rFonts w:hint="eastAsia" w:ascii="宋体" w:hAnsi="宋体" w:eastAsia="宋体" w:cs="宋体"/>
          <w:bCs/>
          <w:color w:val="auto"/>
          <w:sz w:val="21"/>
          <w:szCs w:val="21"/>
          <w:highlight w:val="none"/>
        </w:rPr>
        <w:t>。</w:t>
      </w:r>
    </w:p>
    <w:p>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Cs/>
          <w:color w:val="auto"/>
          <w:sz w:val="21"/>
          <w:szCs w:val="21"/>
          <w:highlight w:val="none"/>
        </w:rPr>
        <w:t>13.3</w:t>
      </w:r>
      <w:r>
        <w:rPr>
          <w:rFonts w:hint="eastAsia" w:ascii="宋体" w:hAnsi="宋体"/>
          <w:color w:val="auto"/>
          <w:sz w:val="21"/>
          <w:szCs w:val="21"/>
          <w:highlight w:val="none"/>
        </w:rPr>
        <w:t>投标人的投标报价，应是按照投标须知前附表第</w:t>
      </w:r>
      <w:r>
        <w:rPr>
          <w:rFonts w:ascii="宋体" w:hAnsi="宋体"/>
          <w:color w:val="auto"/>
          <w:sz w:val="21"/>
          <w:szCs w:val="21"/>
          <w:highlight w:val="none"/>
        </w:rPr>
        <w:t>8</w:t>
      </w:r>
      <w:r>
        <w:rPr>
          <w:rFonts w:hint="eastAsia" w:ascii="宋体" w:hAnsi="宋体"/>
          <w:color w:val="auto"/>
          <w:sz w:val="21"/>
          <w:szCs w:val="21"/>
          <w:highlight w:val="none"/>
        </w:rPr>
        <w:t>项的工期要求，在投标须知前附表第</w:t>
      </w:r>
      <w:r>
        <w:rPr>
          <w:rFonts w:ascii="宋体" w:hAnsi="宋体"/>
          <w:color w:val="auto"/>
          <w:sz w:val="21"/>
          <w:szCs w:val="21"/>
          <w:highlight w:val="none"/>
        </w:rPr>
        <w:t>3</w:t>
      </w:r>
      <w:r>
        <w:rPr>
          <w:rFonts w:hint="eastAsia" w:ascii="宋体" w:hAnsi="宋体"/>
          <w:color w:val="auto"/>
          <w:sz w:val="21"/>
          <w:szCs w:val="21"/>
          <w:highlight w:val="none"/>
        </w:rPr>
        <w:t>项的建设地点，完成投标须知前附表第</w:t>
      </w:r>
      <w:r>
        <w:rPr>
          <w:rFonts w:ascii="宋体" w:hAnsi="宋体"/>
          <w:color w:val="auto"/>
          <w:sz w:val="21"/>
          <w:szCs w:val="21"/>
          <w:highlight w:val="none"/>
        </w:rPr>
        <w:t>7</w:t>
      </w:r>
      <w:r>
        <w:rPr>
          <w:rFonts w:hint="eastAsia" w:ascii="宋体" w:hAnsi="宋体"/>
          <w:color w:val="auto"/>
          <w:sz w:val="21"/>
          <w:szCs w:val="21"/>
          <w:highlight w:val="none"/>
        </w:rPr>
        <w:t>项的招标范围内已由招标人</w:t>
      </w:r>
      <w:r>
        <w:rPr>
          <w:rFonts w:hint="eastAsia" w:ascii="宋体" w:hAnsi="宋体" w:eastAsia="宋体" w:cs="宋体"/>
          <w:b w:val="0"/>
          <w:bCs/>
          <w:color w:val="auto"/>
          <w:sz w:val="21"/>
          <w:szCs w:val="21"/>
          <w:highlight w:val="none"/>
          <w:u w:val="single"/>
        </w:rPr>
        <w:t>提供的招标图纸（包括有关于本项目招标的相关资料）</w:t>
      </w:r>
      <w:r>
        <w:rPr>
          <w:rFonts w:hint="eastAsia" w:ascii="宋体" w:hAnsi="宋体" w:eastAsia="宋体" w:cs="宋体"/>
          <w:bCs/>
          <w:color w:val="auto"/>
          <w:sz w:val="21"/>
          <w:szCs w:val="21"/>
          <w:highlight w:val="none"/>
          <w:u w:val="single"/>
        </w:rPr>
        <w:t>及</w:t>
      </w:r>
      <w:r>
        <w:rPr>
          <w:rFonts w:hint="eastAsia" w:ascii="宋体" w:hAnsi="宋体"/>
          <w:color w:val="auto"/>
          <w:sz w:val="21"/>
          <w:szCs w:val="21"/>
          <w:highlight w:val="none"/>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r>
        <w:rPr>
          <w:rFonts w:hint="eastAsia" w:ascii="宋体" w:hAnsi="宋体" w:eastAsia="宋体" w:cs="宋体"/>
          <w:bCs/>
          <w:color w:val="auto"/>
          <w:sz w:val="21"/>
          <w:szCs w:val="21"/>
          <w:highlight w:val="none"/>
        </w:rPr>
        <w:t>。</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条款号：13.4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w:t>
      </w:r>
      <w:r>
        <w:rPr>
          <w:rFonts w:hint="eastAsia" w:ascii="宋体" w:hAnsi="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w:t>
      </w:r>
      <w:r>
        <w:rPr>
          <w:rFonts w:hint="eastAsia" w:ascii="宋体" w:hAnsi="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修改类型：修改</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原文：13.4</w:t>
      </w:r>
      <w:r>
        <w:rPr>
          <w:rFonts w:hint="eastAsia" w:ascii="宋体" w:hAnsi="宋体"/>
          <w:color w:val="auto"/>
          <w:sz w:val="21"/>
          <w:szCs w:val="21"/>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r>
        <w:rPr>
          <w:rFonts w:hint="eastAsia" w:ascii="宋体" w:hAnsi="宋体" w:eastAsia="宋体" w:cs="宋体"/>
          <w:color w:val="auto"/>
          <w:sz w:val="21"/>
          <w:szCs w:val="21"/>
          <w:highlight w:val="none"/>
        </w:rPr>
        <w:t>。</w:t>
      </w:r>
    </w:p>
    <w:p>
      <w:pPr>
        <w:keepNext w:val="0"/>
        <w:keepLines w:val="0"/>
        <w:pageBreakBefore w:val="0"/>
        <w:widowControl w:val="0"/>
        <w:pBdr>
          <w:bottom w:val="single" w:color="auto" w:sz="4"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eastAsia="宋体" w:cs="宋体"/>
          <w:bCs/>
          <w:color w:val="auto"/>
          <w:sz w:val="21"/>
          <w:szCs w:val="21"/>
          <w:highlight w:val="none"/>
        </w:rPr>
        <w:t>13.4</w:t>
      </w:r>
      <w:r>
        <w:rPr>
          <w:rFonts w:hint="eastAsia" w:ascii="宋体" w:hAnsi="宋体" w:eastAsia="宋体" w:cs="宋体"/>
          <w:color w:val="auto"/>
          <w:sz w:val="21"/>
          <w:szCs w:val="21"/>
          <w:highlight w:val="none"/>
        </w:rPr>
        <w:t>投标人一旦中标，投标人对招标人提供的招标工程量清单中列出的工程项目所报出的综合单价，在工程结算时将不得变更。</w:t>
      </w:r>
      <w:r>
        <w:rPr>
          <w:rFonts w:hint="eastAsia" w:ascii="宋体" w:hAnsi="宋体" w:eastAsia="宋体" w:cs="宋体"/>
          <w:color w:val="auto"/>
          <w:sz w:val="21"/>
          <w:szCs w:val="21"/>
          <w:highlight w:val="none"/>
          <w:u w:val="single"/>
        </w:rPr>
        <w:t>人工、材料、设备或机械台班市场价格发生异常变动情况时，价格调整方式按招标文件及施工合同相关约定执行。由于工程量偏差，引起的相关措施项目相应发生变化时，措施费调整方式按施工合同相关约定执行</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条款号：13.5  13.5.1  13.5.2  13.5.3  13.5.4          修改类型：修改</w:t>
      </w:r>
    </w:p>
    <w:p>
      <w:pPr>
        <w:pStyle w:val="5"/>
        <w:keepNext w:val="0"/>
        <w:keepLines w:val="0"/>
        <w:pageBreakBefore w:val="0"/>
        <w:widowControl w:val="0"/>
        <w:pBdr>
          <w:bottom w:val="single" w:color="auto" w:sz="6" w:space="1"/>
        </w:pBdr>
        <w:kinsoku/>
        <w:wordWrap/>
        <w:overflowPunct/>
        <w:topLinePunct w:val="0"/>
        <w:autoSpaceDE/>
        <w:autoSpaceDN/>
        <w:bidi w:val="0"/>
        <w:snapToGrid/>
        <w:spacing w:after="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color w:val="auto"/>
          <w:sz w:val="21"/>
          <w:szCs w:val="21"/>
          <w:highlight w:val="none"/>
        </w:rPr>
        <w:t>13.5</w:t>
      </w:r>
      <w:r>
        <w:rPr>
          <w:rFonts w:hint="eastAsia" w:ascii="宋体" w:hAnsi="宋体" w:eastAsia="宋体" w:cs="宋体"/>
          <w:color w:val="auto"/>
          <w:sz w:val="21"/>
          <w:szCs w:val="21"/>
          <w:highlight w:val="none"/>
        </w:rPr>
        <w:t>工程项目实施期间……，中标后双方协商约定。</w:t>
      </w:r>
    </w:p>
    <w:p>
      <w:pPr>
        <w:pStyle w:val="5"/>
        <w:keepNext w:val="0"/>
        <w:keepLines w:val="0"/>
        <w:pageBreakBefore w:val="0"/>
        <w:widowControl w:val="0"/>
        <w:pBdr>
          <w:bottom w:val="single" w:color="auto" w:sz="6" w:space="1"/>
        </w:pBdr>
        <w:kinsoku/>
        <w:wordWrap/>
        <w:overflowPunct/>
        <w:topLinePunct w:val="0"/>
        <w:autoSpaceDE/>
        <w:autoSpaceDN/>
        <w:bidi w:val="0"/>
        <w:snapToGrid/>
        <w:spacing w:after="0"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现文：13.5</w:t>
      </w:r>
      <w:r>
        <w:rPr>
          <w:rFonts w:hint="eastAsia" w:ascii="宋体" w:hAnsi="宋体" w:eastAsia="宋体" w:cs="宋体"/>
          <w:b w:val="0"/>
          <w:bCs w:val="0"/>
          <w:color w:val="auto"/>
          <w:sz w:val="21"/>
          <w:szCs w:val="21"/>
          <w:highlight w:val="none"/>
          <w:u w:val="single"/>
        </w:rPr>
        <w:t>变更结算方式按招标文件及施工合同相关规定执行</w:t>
      </w:r>
      <w:r>
        <w:rPr>
          <w:rFonts w:hint="eastAsia" w:ascii="宋体" w:hAnsi="宋体" w:eastAsia="宋体" w:cs="宋体"/>
          <w:color w:val="auto"/>
          <w:sz w:val="21"/>
          <w:szCs w:val="21"/>
          <w:highlight w:val="none"/>
          <w:u w:val="single"/>
        </w:rPr>
        <w:t>。</w:t>
      </w:r>
    </w:p>
    <w:p>
      <w:pPr>
        <w:pStyle w:val="5"/>
        <w:spacing w:line="4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条款号：16                      修改类型：修改</w:t>
      </w:r>
    </w:p>
    <w:p>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16.1投标人应按</w:t>
      </w:r>
      <w:r>
        <w:rPr>
          <w:rFonts w:hint="eastAsia" w:ascii="宋体" w:hAnsi="宋体" w:eastAsia="宋体" w:cs="宋体"/>
          <w:color w:val="auto"/>
          <w:sz w:val="21"/>
          <w:szCs w:val="21"/>
          <w:highlight w:val="none"/>
          <w:lang w:eastAsia="zh-CN"/>
        </w:rPr>
        <w:t>国家、省、市有关规定和</w:t>
      </w:r>
      <w:r>
        <w:rPr>
          <w:rFonts w:hint="eastAsia" w:ascii="宋体" w:hAnsi="宋体" w:eastAsia="宋体" w:cs="宋体"/>
          <w:color w:val="auto"/>
          <w:sz w:val="21"/>
          <w:szCs w:val="21"/>
          <w:highlight w:val="none"/>
        </w:rPr>
        <w:t>投标须知前附表第</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项所述金额和时间递交投标保证金。招标人应当允许投标人自主选择现金、银行保函、保证保险、专业工程担保公司担保等方式缴纳投标保证金。</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 采用现金或者支票形式提交的，投标保证金须从投标人的银行基本账户转出。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16.1.2 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16.1.3 采用电子形式的保函、担保或保证保险提交投标保证金的，应在招标文件中明确电子递交途径。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16.3投标保证金应依据法律法规的相关规定退还。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16.4如有下列情况之一的，招标人可以不予退还投标保证金（是否退还投标保证金由招标人</w:t>
      </w:r>
      <w:r>
        <w:rPr>
          <w:rFonts w:hint="eastAsia" w:ascii="宋体" w:hAnsi="宋体" w:eastAsia="宋体" w:cs="宋体"/>
          <w:color w:val="auto"/>
          <w:sz w:val="21"/>
          <w:szCs w:val="21"/>
          <w:highlight w:val="none"/>
          <w:lang w:eastAsia="zh-CN"/>
        </w:rPr>
        <w:t>依法依规</w:t>
      </w:r>
      <w:r>
        <w:rPr>
          <w:rFonts w:hint="eastAsia" w:ascii="宋体" w:hAnsi="宋体" w:eastAsia="宋体" w:cs="宋体"/>
          <w:color w:val="auto"/>
          <w:sz w:val="21"/>
          <w:szCs w:val="21"/>
          <w:highlight w:val="none"/>
        </w:rPr>
        <w:t>在招标文件中规定）：</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16.5投标人如存在下列情况之一的，将被拒绝在一定时期内参与招标人后续工程投标（由招标人</w:t>
      </w:r>
      <w:r>
        <w:rPr>
          <w:rFonts w:hint="eastAsia" w:ascii="宋体" w:hAnsi="宋体" w:eastAsia="宋体" w:cs="宋体"/>
          <w:color w:val="auto"/>
          <w:sz w:val="21"/>
          <w:szCs w:val="21"/>
          <w:highlight w:val="none"/>
          <w:lang w:eastAsia="zh-CN"/>
        </w:rPr>
        <w:t>依法依规</w:t>
      </w:r>
      <w:r>
        <w:rPr>
          <w:rFonts w:hint="eastAsia" w:ascii="宋体" w:hAnsi="宋体" w:eastAsia="宋体" w:cs="宋体"/>
          <w:color w:val="auto"/>
          <w:sz w:val="21"/>
          <w:szCs w:val="21"/>
          <w:highlight w:val="none"/>
        </w:rPr>
        <w:t>在招标文件中明确）</w:t>
      </w:r>
      <w:r>
        <w:rPr>
          <w:rFonts w:hint="eastAsia" w:ascii="宋体" w:hAnsi="宋体" w:eastAsia="宋体" w:cs="宋体"/>
          <w:color w:val="auto"/>
          <w:sz w:val="21"/>
          <w:szCs w:val="21"/>
          <w:highlight w:val="none"/>
          <w:lang w:eastAsia="zh-CN"/>
        </w:rPr>
        <w:t>：</w:t>
      </w:r>
    </w:p>
    <w:p>
      <w:pPr>
        <w:widowControl/>
        <w:spacing w:line="360" w:lineRule="auto"/>
        <w:ind w:firstLine="424" w:firstLineChars="201"/>
        <w:jc w:val="left"/>
        <w:rPr>
          <w:rFonts w:hint="eastAsia" w:ascii="宋体" w:hAnsi="宋体" w:cs="宋体"/>
          <w:color w:val="auto"/>
          <w:kern w:val="0"/>
          <w:szCs w:val="21"/>
          <w:highlight w:val="none"/>
        </w:rPr>
      </w:pPr>
      <w:r>
        <w:rPr>
          <w:rFonts w:hint="eastAsia" w:ascii="宋体" w:hAnsi="宋体" w:eastAsia="宋体" w:cs="宋体"/>
          <w:b/>
          <w:color w:val="auto"/>
          <w:sz w:val="21"/>
          <w:szCs w:val="21"/>
          <w:highlight w:val="none"/>
        </w:rPr>
        <w:t>现文：</w:t>
      </w:r>
      <w:r>
        <w:rPr>
          <w:rFonts w:hint="eastAsia" w:ascii="宋体" w:hAnsi="宋体" w:cs="宋体"/>
          <w:color w:val="auto"/>
          <w:kern w:val="0"/>
          <w:szCs w:val="21"/>
          <w:highlight w:val="none"/>
        </w:rPr>
        <w:t>16.1本项目不收取投标保证金。</w:t>
      </w:r>
    </w:p>
    <w:p>
      <w:pPr>
        <w:widowControl/>
        <w:spacing w:line="360" w:lineRule="auto"/>
        <w:ind w:firstLine="422" w:firstLineChars="201"/>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16.2提供《关于投标保证金的承诺》（详见第四章投标文件格式）。</w:t>
      </w:r>
    </w:p>
    <w:p>
      <w:pPr>
        <w:pBdr>
          <w:bottom w:val="single" w:color="auto" w:sz="6" w:space="1"/>
        </w:pBdr>
        <w:spacing w:line="440" w:lineRule="exact"/>
        <w:ind w:firstLine="411" w:firstLineChars="196"/>
        <w:rPr>
          <w:rFonts w:hint="eastAsia" w:ascii="宋体" w:hAnsi="宋体" w:eastAsia="宋体" w:cs="宋体"/>
          <w:color w:val="auto"/>
          <w:kern w:val="0"/>
          <w:sz w:val="21"/>
          <w:szCs w:val="21"/>
          <w:highlight w:val="none"/>
          <w:u w:val="single"/>
        </w:rPr>
      </w:pPr>
      <w:r>
        <w:rPr>
          <w:rFonts w:hint="eastAsia" w:ascii="宋体" w:hAnsi="宋体" w:cs="宋体"/>
          <w:color w:val="auto"/>
          <w:kern w:val="0"/>
          <w:szCs w:val="21"/>
          <w:highlight w:val="none"/>
        </w:rPr>
        <w:t>16.3对于投标人已提供《关于投标保证金的承诺》，若投标人在中标后存在下列情形：（1）未能在规定期限内按要求提交履约担保；</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条款号：17.1             修改类型：修改</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原文：17.1</w:t>
      </w:r>
      <w:r>
        <w:rPr>
          <w:rFonts w:hint="eastAsia" w:ascii="宋体" w:hAnsi="宋体"/>
          <w:color w:val="auto"/>
          <w:sz w:val="21"/>
          <w:szCs w:val="21"/>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w:t>
      </w:r>
      <w:r>
        <w:rPr>
          <w:rFonts w:hint="eastAsia" w:ascii="宋体" w:hAnsi="宋体" w:eastAsia="宋体" w:cs="宋体"/>
          <w:bCs/>
          <w:color w:val="auto"/>
          <w:sz w:val="21"/>
          <w:szCs w:val="21"/>
          <w:highlight w:val="none"/>
        </w:rPr>
        <w:t>。详见：</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w:t>
      </w:r>
    </w:p>
    <w:p>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现文：17.1</w:t>
      </w:r>
      <w:r>
        <w:rPr>
          <w:rFonts w:hint="eastAsia" w:ascii="宋体" w:hAnsi="宋体"/>
          <w:color w:val="auto"/>
          <w:sz w:val="21"/>
          <w:szCs w:val="21"/>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w:t>
      </w:r>
      <w:r>
        <w:rPr>
          <w:rFonts w:hint="eastAsia" w:ascii="宋体" w:hAnsi="宋体" w:eastAsia="宋体" w:cs="宋体"/>
          <w:bCs/>
          <w:color w:val="auto"/>
          <w:sz w:val="21"/>
          <w:szCs w:val="21"/>
          <w:highlight w:val="none"/>
        </w:rPr>
        <w:t>。详见：</w:t>
      </w:r>
      <w:r>
        <w:rPr>
          <w:rFonts w:hint="eastAsia" w:ascii="宋体" w:hAnsi="宋体" w:eastAsia="宋体" w:cs="宋体"/>
          <w:b w:val="0"/>
          <w:bCs w:val="0"/>
          <w:color w:val="auto"/>
          <w:sz w:val="21"/>
          <w:szCs w:val="21"/>
          <w:highlight w:val="none"/>
          <w:u w:val="single"/>
          <w:lang w:eastAsia="zh-CN"/>
        </w:rPr>
        <w:t>广州交易集团有限公司（广州公共资源交易中心）</w:t>
      </w:r>
      <w:r>
        <w:rPr>
          <w:rFonts w:hint="eastAsia" w:ascii="宋体" w:hAnsi="宋体" w:eastAsia="宋体" w:cs="宋体"/>
          <w:b w:val="0"/>
          <w:bCs w:val="0"/>
          <w:color w:val="auto"/>
          <w:sz w:val="21"/>
          <w:szCs w:val="21"/>
          <w:highlight w:val="none"/>
          <w:u w:val="single"/>
        </w:rPr>
        <w:t>网站发布的最新版操作指引。</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条款号：18.             修改类型：修改</w:t>
      </w:r>
    </w:p>
    <w:p>
      <w:pPr>
        <w:keepNext w:val="0"/>
        <w:keepLines w:val="0"/>
        <w:pageBreakBefore w:val="0"/>
        <w:widowControl w:val="0"/>
        <w:kinsoku/>
        <w:wordWrap/>
        <w:overflowPunct/>
        <w:topLinePunct w:val="0"/>
        <w:autoSpaceDE/>
        <w:autoSpaceDN/>
        <w:bidi w:val="0"/>
        <w:snapToGrid/>
        <w:spacing w:line="360" w:lineRule="auto"/>
        <w:ind w:left="0" w:leftChars="0" w:firstLine="422" w:firstLineChars="200"/>
        <w:rPr>
          <w:rFonts w:hint="eastAsia" w:ascii="宋体" w:hAnsi="宋体" w:eastAsia="宋体" w:cs="宋体"/>
          <w:b/>
          <w:bCs/>
          <w:color w:val="auto"/>
          <w:sz w:val="21"/>
          <w:szCs w:val="21"/>
          <w:highlight w:val="none"/>
          <w:lang w:bidi="ar-SA"/>
        </w:rPr>
      </w:pPr>
      <w:r>
        <w:rPr>
          <w:rFonts w:hint="eastAsia" w:ascii="宋体" w:hAnsi="宋体" w:eastAsia="宋体" w:cs="宋体"/>
          <w:b/>
          <w:color w:val="auto"/>
          <w:sz w:val="21"/>
          <w:szCs w:val="21"/>
          <w:highlight w:val="none"/>
        </w:rPr>
        <w:t>原文：</w:t>
      </w:r>
      <w:r>
        <w:rPr>
          <w:rFonts w:hint="eastAsia" w:ascii="宋体" w:hAnsi="宋体" w:eastAsia="宋体" w:cs="宋体"/>
          <w:b/>
          <w:bCs w:val="0"/>
          <w:color w:val="auto"/>
          <w:sz w:val="21"/>
          <w:szCs w:val="21"/>
          <w:highlight w:val="none"/>
          <w:lang w:bidi="ar-SA"/>
        </w:rPr>
        <w:t>18</w:t>
      </w:r>
      <w:r>
        <w:rPr>
          <w:rFonts w:hint="eastAsia" w:ascii="宋体" w:hAnsi="宋体" w:eastAsia="宋体" w:cs="宋体"/>
          <w:b/>
          <w:color w:val="auto"/>
          <w:sz w:val="21"/>
          <w:szCs w:val="21"/>
          <w:highlight w:val="none"/>
          <w:lang w:bidi="ar-SA"/>
        </w:rPr>
        <w:t>投标文件的密封和标记</w:t>
      </w:r>
    </w:p>
    <w:p>
      <w:pPr>
        <w:keepNext w:val="0"/>
        <w:keepLines w:val="0"/>
        <w:pageBreakBefore w:val="0"/>
        <w:widowControl w:val="0"/>
        <w:kinsoku/>
        <w:wordWrap/>
        <w:overflowPunct/>
        <w:topLinePunct w:val="0"/>
        <w:autoSpaceDE/>
        <w:autoSpaceDN/>
        <w:bidi w:val="0"/>
        <w:snapToGrid/>
        <w:spacing w:line="360" w:lineRule="auto"/>
        <w:ind w:left="0" w:leftChars="0" w:firstLine="422" w:firstLineChars="200"/>
        <w:rPr>
          <w:rFonts w:hint="eastAsia" w:ascii="宋体" w:hAnsi="宋体" w:eastAsia="宋体" w:cs="宋体"/>
          <w:bCs/>
          <w:color w:val="auto"/>
          <w:sz w:val="21"/>
          <w:szCs w:val="21"/>
          <w:highlight w:val="none"/>
          <w:lang w:bidi="ar-SA"/>
        </w:rPr>
      </w:pPr>
      <w:r>
        <w:rPr>
          <w:rFonts w:hint="eastAsia" w:ascii="宋体" w:hAnsi="宋体" w:eastAsia="宋体" w:cs="宋体"/>
          <w:b/>
          <w:bCs w:val="0"/>
          <w:color w:val="auto"/>
          <w:sz w:val="21"/>
          <w:szCs w:val="21"/>
          <w:highlight w:val="none"/>
          <w:lang w:bidi="ar-SA"/>
        </w:rPr>
        <w:t>18.1</w:t>
      </w:r>
      <w:r>
        <w:rPr>
          <w:rFonts w:hint="eastAsia" w:ascii="宋体" w:hAnsi="宋体" w:eastAsia="宋体" w:cs="宋体"/>
          <w:bCs/>
          <w:color w:val="auto"/>
          <w:sz w:val="21"/>
          <w:szCs w:val="21"/>
          <w:highlight w:val="none"/>
          <w:lang w:bidi="ar-SA"/>
        </w:rPr>
        <w:t>递交的电子投标文件（不含备用光盘）必须进行加密。按照交易平台关于</w:t>
      </w:r>
      <w:r>
        <w:rPr>
          <w:rFonts w:hint="eastAsia" w:ascii="宋体" w:hAnsi="宋体" w:eastAsia="宋体" w:cs="宋体"/>
          <w:color w:val="auto"/>
          <w:sz w:val="21"/>
          <w:szCs w:val="21"/>
          <w:highlight w:val="none"/>
          <w:lang w:bidi="ar-SA"/>
        </w:rPr>
        <w:t>全流程电子化项目的相关指南进行操作。详见：</w:t>
      </w:r>
      <w:r>
        <w:rPr>
          <w:rFonts w:hint="eastAsia" w:ascii="宋体" w:hAnsi="宋体" w:eastAsia="宋体" w:cs="宋体"/>
          <w:color w:val="auto"/>
          <w:sz w:val="21"/>
          <w:szCs w:val="21"/>
          <w:highlight w:val="none"/>
          <w:u w:val="single"/>
          <w:lang w:bidi="ar-SA"/>
        </w:rPr>
        <w:t xml:space="preserve">           </w:t>
      </w:r>
      <w:r>
        <w:rPr>
          <w:rFonts w:hint="eastAsia" w:ascii="宋体" w:hAnsi="宋体" w:eastAsia="宋体" w:cs="宋体"/>
          <w:color w:val="auto"/>
          <w:sz w:val="21"/>
          <w:szCs w:val="21"/>
          <w:highlight w:val="none"/>
          <w:lang w:bidi="ar-SA"/>
        </w:rPr>
        <w:t xml:space="preserve"> 。</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bCs w:val="0"/>
          <w:color w:val="auto"/>
          <w:sz w:val="21"/>
          <w:szCs w:val="21"/>
          <w:highlight w:val="none"/>
          <w:lang w:bidi="ar-SA"/>
        </w:rPr>
        <w:t>18.2</w:t>
      </w:r>
      <w:r>
        <w:rPr>
          <w:rFonts w:hint="eastAsia" w:ascii="宋体" w:hAnsi="宋体" w:eastAsia="宋体" w:cs="宋体"/>
          <w:bCs/>
          <w:color w:val="auto"/>
          <w:sz w:val="21"/>
          <w:szCs w:val="21"/>
          <w:highlight w:val="none"/>
          <w:lang w:bidi="ar-SA"/>
        </w:rPr>
        <w:t>未按要求加密的投标文件，</w:t>
      </w:r>
      <w:r>
        <w:rPr>
          <w:rFonts w:hint="eastAsia" w:ascii="宋体" w:hAnsi="宋体" w:eastAsia="宋体" w:cs="宋体"/>
          <w:color w:val="auto"/>
          <w:sz w:val="21"/>
          <w:szCs w:val="21"/>
          <w:highlight w:val="none"/>
          <w:u w:val="single"/>
          <w:lang w:bidi="ar-SA"/>
        </w:rPr>
        <w:t xml:space="preserve">        </w:t>
      </w:r>
      <w:r>
        <w:rPr>
          <w:rFonts w:hint="eastAsia" w:ascii="宋体" w:hAnsi="宋体" w:eastAsia="宋体" w:cs="宋体"/>
          <w:color w:val="auto"/>
          <w:sz w:val="21"/>
          <w:szCs w:val="21"/>
          <w:highlight w:val="none"/>
          <w:lang w:bidi="ar-SA"/>
        </w:rPr>
        <w:t>交易平台</w:t>
      </w:r>
      <w:r>
        <w:rPr>
          <w:rFonts w:hint="eastAsia" w:ascii="宋体" w:hAnsi="宋体" w:eastAsia="宋体" w:cs="宋体"/>
          <w:bCs/>
          <w:color w:val="auto"/>
          <w:sz w:val="21"/>
          <w:szCs w:val="21"/>
          <w:highlight w:val="none"/>
          <w:lang w:bidi="ar-SA"/>
        </w:rPr>
        <w:t>将予以拒收。</w:t>
      </w:r>
    </w:p>
    <w:p>
      <w:pPr>
        <w:keepNext w:val="0"/>
        <w:keepLines w:val="0"/>
        <w:pageBreakBefore w:val="0"/>
        <w:widowControl w:val="0"/>
        <w:kinsoku/>
        <w:wordWrap/>
        <w:overflowPunct/>
        <w:topLinePunct w:val="0"/>
        <w:autoSpaceDE/>
        <w:autoSpaceDN/>
        <w:bidi w:val="0"/>
        <w:snapToGrid/>
        <w:spacing w:line="360" w:lineRule="auto"/>
        <w:ind w:left="0" w:leftChars="0" w:firstLine="422" w:firstLineChars="200"/>
        <w:rPr>
          <w:rFonts w:hint="eastAsia" w:ascii="宋体" w:hAnsi="宋体" w:eastAsia="宋体" w:cs="宋体"/>
          <w:b/>
          <w:bCs/>
          <w:color w:val="auto"/>
          <w:sz w:val="21"/>
          <w:szCs w:val="21"/>
          <w:highlight w:val="none"/>
          <w:lang w:bidi="ar-SA"/>
        </w:rPr>
      </w:pPr>
      <w:r>
        <w:rPr>
          <w:rFonts w:hint="eastAsia" w:ascii="宋体" w:hAnsi="宋体" w:eastAsia="宋体" w:cs="宋体"/>
          <w:b/>
          <w:color w:val="auto"/>
          <w:sz w:val="21"/>
          <w:szCs w:val="21"/>
          <w:highlight w:val="none"/>
        </w:rPr>
        <w:t>现文：</w:t>
      </w:r>
      <w:r>
        <w:rPr>
          <w:rFonts w:hint="eastAsia" w:ascii="宋体" w:hAnsi="宋体" w:eastAsia="宋体" w:cs="宋体"/>
          <w:b/>
          <w:bCs w:val="0"/>
          <w:color w:val="auto"/>
          <w:sz w:val="21"/>
          <w:szCs w:val="21"/>
          <w:highlight w:val="none"/>
          <w:lang w:bidi="ar-SA"/>
        </w:rPr>
        <w:t>18</w:t>
      </w:r>
      <w:r>
        <w:rPr>
          <w:rFonts w:hint="eastAsia" w:ascii="宋体" w:hAnsi="宋体" w:eastAsia="宋体" w:cs="宋体"/>
          <w:b/>
          <w:color w:val="auto"/>
          <w:sz w:val="21"/>
          <w:szCs w:val="21"/>
          <w:highlight w:val="none"/>
          <w:lang w:bidi="ar-SA"/>
        </w:rPr>
        <w:t>投标文件的密封和标记</w:t>
      </w:r>
    </w:p>
    <w:p>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18.1</w:t>
      </w:r>
      <w:r>
        <w:rPr>
          <w:rFonts w:hint="eastAsia" w:ascii="宋体" w:hAnsi="宋体" w:eastAsia="宋体" w:cs="宋体"/>
          <w:bCs/>
          <w:color w:val="auto"/>
          <w:sz w:val="21"/>
          <w:szCs w:val="21"/>
          <w:highlight w:val="none"/>
        </w:rPr>
        <w:t>递交的电子投标文件必须进行加密。按照</w:t>
      </w:r>
      <w:r>
        <w:rPr>
          <w:rFonts w:hint="eastAsia" w:ascii="宋体" w:hAnsi="宋体" w:eastAsia="宋体" w:cs="宋体"/>
          <w:b w:val="0"/>
          <w:bCs w:val="0"/>
          <w:color w:val="auto"/>
          <w:sz w:val="21"/>
          <w:szCs w:val="21"/>
          <w:highlight w:val="none"/>
          <w:u w:val="single"/>
          <w:lang w:eastAsia="zh-CN"/>
        </w:rPr>
        <w:t>广州交易集团有限公司（广州公共资源交易中心）</w:t>
      </w:r>
      <w:r>
        <w:rPr>
          <w:rFonts w:hint="eastAsia" w:ascii="宋体" w:hAnsi="宋体" w:eastAsia="宋体" w:cs="宋体"/>
          <w:bCs/>
          <w:color w:val="auto"/>
          <w:sz w:val="21"/>
          <w:szCs w:val="21"/>
          <w:highlight w:val="none"/>
        </w:rPr>
        <w:t>交易平台关于全流程电子化项目的相关指南进行操作。详见：</w:t>
      </w:r>
      <w:r>
        <w:rPr>
          <w:rFonts w:hint="eastAsia" w:ascii="宋体" w:hAnsi="宋体" w:eastAsia="宋体" w:cs="宋体"/>
          <w:b w:val="0"/>
          <w:bCs w:val="0"/>
          <w:color w:val="auto"/>
          <w:sz w:val="21"/>
          <w:szCs w:val="21"/>
          <w:highlight w:val="none"/>
          <w:u w:val="single"/>
          <w:lang w:eastAsia="zh-CN"/>
        </w:rPr>
        <w:t>广州交易集团有限公司（广州公共资源交易中心）</w:t>
      </w:r>
      <w:r>
        <w:rPr>
          <w:rFonts w:hint="eastAsia" w:ascii="宋体" w:hAnsi="宋体" w:eastAsia="宋体" w:cs="宋体"/>
          <w:b w:val="0"/>
          <w:bCs w:val="0"/>
          <w:color w:val="auto"/>
          <w:sz w:val="21"/>
          <w:szCs w:val="21"/>
          <w:highlight w:val="none"/>
          <w:u w:val="single"/>
        </w:rPr>
        <w:t>网站发布的最新版操作指引。</w:t>
      </w:r>
    </w:p>
    <w:p>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18.2</w:t>
      </w:r>
      <w:r>
        <w:rPr>
          <w:rFonts w:hint="eastAsia" w:ascii="宋体" w:hAnsi="宋体" w:eastAsia="宋体" w:cs="宋体"/>
          <w:bCs/>
          <w:color w:val="auto"/>
          <w:sz w:val="21"/>
          <w:szCs w:val="21"/>
          <w:highlight w:val="none"/>
        </w:rPr>
        <w:t xml:space="preserve"> 未按要求加密的投标文件，</w:t>
      </w:r>
      <w:r>
        <w:rPr>
          <w:rFonts w:hint="eastAsia" w:ascii="宋体" w:hAnsi="宋体" w:eastAsia="宋体" w:cs="宋体"/>
          <w:bCs/>
          <w:color w:val="auto"/>
          <w:sz w:val="21"/>
          <w:szCs w:val="21"/>
          <w:highlight w:val="none"/>
          <w:u w:val="single"/>
          <w:lang w:eastAsia="zh-CN"/>
        </w:rPr>
        <w:t>广州交易集团有限公司（广州公共资源交易中心）</w:t>
      </w:r>
      <w:r>
        <w:rPr>
          <w:rFonts w:hint="eastAsia" w:ascii="宋体" w:hAnsi="宋体" w:eastAsia="宋体" w:cs="宋体"/>
          <w:bCs/>
          <w:color w:val="auto"/>
          <w:sz w:val="21"/>
          <w:szCs w:val="21"/>
          <w:highlight w:val="none"/>
        </w:rPr>
        <w:t>交易平台将予以拒收。</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条款号：19               修改类型：修改</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color w:val="auto"/>
          <w:sz w:val="21"/>
          <w:szCs w:val="21"/>
          <w:highlight w:val="none"/>
        </w:rPr>
        <w:t>19．</w:t>
      </w:r>
      <w:r>
        <w:rPr>
          <w:rFonts w:hint="eastAsia" w:ascii="宋体" w:hAnsi="宋体" w:eastAsia="宋体" w:cs="宋体"/>
          <w:color w:val="auto"/>
          <w:sz w:val="21"/>
          <w:szCs w:val="21"/>
          <w:highlight w:val="none"/>
        </w:rPr>
        <w:t>投标文件的递交和接收</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19.1</w:t>
      </w:r>
      <w:r>
        <w:rPr>
          <w:rFonts w:hint="eastAsia" w:ascii="宋体" w:hAnsi="宋体" w:eastAsia="宋体" w:cs="宋体"/>
          <w:color w:val="auto"/>
          <w:sz w:val="21"/>
          <w:szCs w:val="21"/>
          <w:highlight w:val="none"/>
        </w:rPr>
        <w:t>投标人通过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交易平台递交电子投标文件。</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19.2</w:t>
      </w:r>
      <w:r>
        <w:rPr>
          <w:rFonts w:hint="eastAsia" w:ascii="宋体" w:hAnsi="宋体" w:eastAsia="宋体" w:cs="宋体"/>
          <w:color w:val="auto"/>
          <w:sz w:val="21"/>
          <w:szCs w:val="21"/>
          <w:highlight w:val="none"/>
        </w:rPr>
        <w:t>投标人完成电子投标文件上传后，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交易平台即时向投标人发出递交回执通知。递交时间以递交回执通知载明的传输完成时间为准。</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19.3</w:t>
      </w:r>
      <w:r>
        <w:rPr>
          <w:rFonts w:hint="eastAsia" w:ascii="宋体" w:hAnsi="宋体" w:eastAsia="宋体" w:cs="宋体"/>
          <w:color w:val="auto"/>
          <w:sz w:val="21"/>
          <w:szCs w:val="21"/>
          <w:highlight w:val="none"/>
        </w:rPr>
        <w:t>逾期送达的电子投标文件，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交易平台将予以拒收。</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19.4</w:t>
      </w:r>
      <w:r>
        <w:rPr>
          <w:rFonts w:hint="eastAsia" w:ascii="宋体" w:hAnsi="宋体" w:eastAsia="宋体" w:cs="宋体"/>
          <w:color w:val="auto"/>
          <w:sz w:val="21"/>
          <w:szCs w:val="21"/>
          <w:highlight w:val="none"/>
        </w:rPr>
        <w:t>投标截止前，招标人拒绝接收符合条件的投标文件，投标人可向招标投标监督机构投诉。</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19.5</w:t>
      </w:r>
      <w:r>
        <w:rPr>
          <w:rFonts w:hint="eastAsia" w:ascii="宋体" w:hAnsi="宋体" w:eastAsia="宋体" w:cs="宋体"/>
          <w:color w:val="auto"/>
          <w:sz w:val="21"/>
          <w:szCs w:val="21"/>
          <w:highlight w:val="none"/>
        </w:rPr>
        <w:t>如技术标和经济标先后分别开启，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交易平台将按招标文件规定的时间分别开启技术标和经济标。</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rPr>
        <w:t>19．</w:t>
      </w:r>
      <w:r>
        <w:rPr>
          <w:rFonts w:hint="eastAsia" w:ascii="宋体" w:hAnsi="宋体" w:eastAsia="宋体" w:cs="宋体"/>
          <w:color w:val="auto"/>
          <w:sz w:val="21"/>
          <w:szCs w:val="21"/>
          <w:highlight w:val="none"/>
        </w:rPr>
        <w:t>投标文件的递交和接收</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19.1</w:t>
      </w:r>
      <w:r>
        <w:rPr>
          <w:rFonts w:hint="eastAsia" w:ascii="宋体" w:hAnsi="宋体" w:eastAsia="宋体" w:cs="宋体"/>
          <w:color w:val="auto"/>
          <w:sz w:val="21"/>
          <w:szCs w:val="21"/>
          <w:highlight w:val="none"/>
        </w:rPr>
        <w:t>投标人通过</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rPr>
        <w:t>交易平台递交电子投标文件。</w:t>
      </w:r>
    </w:p>
    <w:p>
      <w:pPr>
        <w:keepNext w:val="0"/>
        <w:keepLines w:val="0"/>
        <w:pageBreakBefore w:val="0"/>
        <w:widowControl w:val="0"/>
        <w:pBdr>
          <w:bottom w:val="none" w:color="auto" w:sz="0"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19.2</w:t>
      </w:r>
      <w:r>
        <w:rPr>
          <w:rFonts w:hint="eastAsia" w:ascii="宋体" w:hAnsi="宋体" w:eastAsia="宋体" w:cs="宋体"/>
          <w:color w:val="auto"/>
          <w:sz w:val="21"/>
          <w:szCs w:val="21"/>
          <w:highlight w:val="none"/>
        </w:rPr>
        <w:t>投标人完成电子投标文件上传后，</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rPr>
        <w:t>交易平台即时向投标人发出递交回执通知。递交时间以递交回执通知载明的传输完成时间为准。</w:t>
      </w:r>
    </w:p>
    <w:p>
      <w:pPr>
        <w:keepNext w:val="0"/>
        <w:keepLines w:val="0"/>
        <w:pageBreakBefore w:val="0"/>
        <w:widowControl w:val="0"/>
        <w:pBdr>
          <w:bottom w:val="none" w:color="auto" w:sz="0"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19.3</w:t>
      </w:r>
      <w:r>
        <w:rPr>
          <w:rFonts w:hint="eastAsia" w:ascii="宋体" w:hAnsi="宋体" w:eastAsia="宋体" w:cs="宋体"/>
          <w:color w:val="auto"/>
          <w:sz w:val="21"/>
          <w:szCs w:val="21"/>
          <w:highlight w:val="none"/>
        </w:rPr>
        <w:t>逾期送达的电子投标文件，</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rPr>
        <w:t>交易平台将予以拒收。</w:t>
      </w:r>
    </w:p>
    <w:p>
      <w:pPr>
        <w:keepNext w:val="0"/>
        <w:keepLines w:val="0"/>
        <w:pageBreakBefore w:val="0"/>
        <w:widowControl w:val="0"/>
        <w:pBdr>
          <w:bottom w:val="none" w:color="auto" w:sz="0"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19.4</w:t>
      </w:r>
      <w:r>
        <w:rPr>
          <w:rFonts w:hint="eastAsia" w:ascii="宋体" w:hAnsi="宋体" w:eastAsia="宋体" w:cs="宋体"/>
          <w:color w:val="auto"/>
          <w:sz w:val="21"/>
          <w:szCs w:val="21"/>
          <w:highlight w:val="none"/>
        </w:rPr>
        <w:t>投标截止前，招标人拒绝接收符合条件的投标文件，投标人可向招标投标监督机构投诉。</w:t>
      </w:r>
    </w:p>
    <w:p>
      <w:pPr>
        <w:keepNext w:val="0"/>
        <w:keepLines w:val="0"/>
        <w:pageBreakBefore w:val="0"/>
        <w:widowControl w:val="0"/>
        <w:pBdr>
          <w:bottom w:val="none" w:color="auto" w:sz="0"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bCs w:val="0"/>
          <w:color w:val="auto"/>
          <w:sz w:val="21"/>
          <w:szCs w:val="21"/>
          <w:highlight w:val="none"/>
        </w:rPr>
        <w:t>19.5</w:t>
      </w:r>
      <w:r>
        <w:rPr>
          <w:rFonts w:hint="eastAsia" w:ascii="宋体" w:hAnsi="宋体" w:eastAsia="宋体" w:cs="宋体"/>
          <w:color w:val="auto"/>
          <w:sz w:val="21"/>
          <w:szCs w:val="21"/>
          <w:highlight w:val="none"/>
          <w:u w:val="single"/>
        </w:rPr>
        <w:t>广州交易集团有限公司（广州公共资源交易中心）交易平台将按招标文件规定的时间同时开启技术标投标文件（含资格审查文件）、经济标投标文件和定标文件。</w:t>
      </w:r>
    </w:p>
    <w:p>
      <w:pPr>
        <w:keepNext w:val="0"/>
        <w:keepLines w:val="0"/>
        <w:pageBreakBefore w:val="0"/>
        <w:widowControl w:val="0"/>
        <w:pBdr>
          <w:bottom w:val="none" w:color="auto" w:sz="0"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bCs w:val="0"/>
          <w:color w:val="auto"/>
          <w:sz w:val="21"/>
          <w:szCs w:val="21"/>
          <w:highlight w:val="none"/>
          <w:u w:val="single"/>
        </w:rPr>
        <w:t>19.</w:t>
      </w:r>
      <w:r>
        <w:rPr>
          <w:rFonts w:hint="eastAsia" w:ascii="宋体" w:hAnsi="宋体" w:eastAsia="宋体" w:cs="宋体"/>
          <w:b/>
          <w:bCs w:val="0"/>
          <w:color w:val="auto"/>
          <w:sz w:val="21"/>
          <w:szCs w:val="21"/>
          <w:highlight w:val="none"/>
          <w:u w:val="single"/>
          <w:lang w:val="en-US" w:eastAsia="zh-CN"/>
        </w:rPr>
        <w:t>6</w:t>
      </w:r>
      <w:r>
        <w:rPr>
          <w:rFonts w:hint="eastAsia" w:ascii="宋体" w:hAnsi="宋体" w:eastAsia="宋体" w:cs="宋体"/>
          <w:b w:val="0"/>
          <w:bCs/>
          <w:color w:val="auto"/>
          <w:sz w:val="21"/>
          <w:szCs w:val="21"/>
          <w:highlight w:val="none"/>
          <w:u w:val="single"/>
          <w:lang w:val="en-US" w:eastAsia="zh-CN"/>
        </w:rPr>
        <w:t>投标人代表应按投标须知前附表第18项所规定的时间和地点向招标人递交定标文件，投标人代表应由投标人法定代表人或法定代表人书面授权的委托代理人担任，若出现以下情况之一的，招标人将拒绝接收定标文件</w:t>
      </w:r>
      <w:r>
        <w:rPr>
          <w:rFonts w:hint="eastAsia" w:ascii="宋体" w:hAnsi="宋体" w:eastAsia="宋体" w:cs="宋体"/>
          <w:color w:val="auto"/>
          <w:sz w:val="21"/>
          <w:szCs w:val="21"/>
          <w:highlight w:val="none"/>
          <w:u w:val="single"/>
        </w:rPr>
        <w:t>。</w:t>
      </w:r>
    </w:p>
    <w:p>
      <w:pPr>
        <w:keepNext w:val="0"/>
        <w:keepLines w:val="0"/>
        <w:pageBreakBefore w:val="0"/>
        <w:widowControl w:val="0"/>
        <w:pBdr>
          <w:bottom w:val="none" w:color="auto" w:sz="0"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bCs w:val="0"/>
          <w:color w:val="auto"/>
          <w:sz w:val="21"/>
          <w:szCs w:val="21"/>
          <w:highlight w:val="none"/>
          <w:u w:val="single"/>
        </w:rPr>
        <w:t>19.</w:t>
      </w:r>
      <w:r>
        <w:rPr>
          <w:rFonts w:hint="eastAsia" w:ascii="宋体" w:hAnsi="宋体" w:eastAsia="宋体" w:cs="宋体"/>
          <w:b/>
          <w:bCs w:val="0"/>
          <w:color w:val="auto"/>
          <w:sz w:val="21"/>
          <w:szCs w:val="21"/>
          <w:highlight w:val="none"/>
          <w:u w:val="single"/>
          <w:lang w:val="en-US" w:eastAsia="zh-CN"/>
        </w:rPr>
        <w:t>6.1</w:t>
      </w:r>
      <w:r>
        <w:rPr>
          <w:rFonts w:hint="eastAsia" w:ascii="宋体" w:hAnsi="宋体" w:eastAsia="宋体" w:cs="宋体"/>
          <w:color w:val="auto"/>
          <w:sz w:val="21"/>
          <w:szCs w:val="21"/>
          <w:highlight w:val="none"/>
          <w:u w:val="single"/>
        </w:rPr>
        <w:t>逾期或未在指定地点递交定标文件的。</w:t>
      </w:r>
    </w:p>
    <w:p>
      <w:pPr>
        <w:keepNext w:val="0"/>
        <w:keepLines w:val="0"/>
        <w:pageBreakBefore w:val="0"/>
        <w:widowControl w:val="0"/>
        <w:pBdr>
          <w:bottom w:val="single" w:color="auto" w:sz="4" w:space="0"/>
        </w:pBdr>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bCs w:val="0"/>
          <w:color w:val="auto"/>
          <w:sz w:val="21"/>
          <w:szCs w:val="21"/>
          <w:highlight w:val="none"/>
          <w:u w:val="single"/>
        </w:rPr>
        <w:t>19.</w:t>
      </w:r>
      <w:r>
        <w:rPr>
          <w:rFonts w:hint="eastAsia" w:ascii="宋体" w:hAnsi="宋体" w:eastAsia="宋体" w:cs="宋体"/>
          <w:b/>
          <w:bCs w:val="0"/>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投标人如不提交定标文件，不被认定为不通过资格审查或有效性审查，但如该投标人成为定标阶段合格的中标候选人，将影响其定标阶段的最终排名。</w:t>
      </w:r>
    </w:p>
    <w:p>
      <w:pPr>
        <w:pStyle w:val="119"/>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条款号：20.3                       修改类型：修改</w:t>
      </w:r>
    </w:p>
    <w:p>
      <w:pPr>
        <w:pStyle w:val="119"/>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color w:val="auto"/>
          <w:sz w:val="21"/>
          <w:szCs w:val="21"/>
          <w:highlight w:val="none"/>
          <w:lang w:val="en-US" w:eastAsia="zh-CN"/>
        </w:rPr>
        <w:t>20.3</w:t>
      </w:r>
      <w:r>
        <w:rPr>
          <w:rFonts w:hint="eastAsia" w:ascii="宋体" w:hAnsi="宋体"/>
          <w:color w:val="auto"/>
          <w:sz w:val="21"/>
          <w:szCs w:val="21"/>
          <w:highlight w:val="none"/>
        </w:rPr>
        <w:t>到投标截止时间止，招标人收到的投标文件少于3家的，招标人将重新组织招标（当</w:t>
      </w:r>
      <w:r>
        <w:rPr>
          <w:rFonts w:ascii="宋体" w:hAnsi="宋体"/>
          <w:color w:val="auto"/>
          <w:sz w:val="21"/>
          <w:szCs w:val="21"/>
          <w:highlight w:val="none"/>
        </w:rPr>
        <w:t>N</w:t>
      </w:r>
      <w:r>
        <w:rPr>
          <w:rFonts w:hint="eastAsia" w:ascii="宋体" w:hAnsi="宋体"/>
          <w:color w:val="auto"/>
          <w:sz w:val="21"/>
          <w:szCs w:val="21"/>
          <w:highlight w:val="none"/>
        </w:rPr>
        <w:t>个标段同时招标且不允许兼中时，若有效投标人不足</w:t>
      </w:r>
      <w:r>
        <w:rPr>
          <w:rFonts w:ascii="宋体" w:hAnsi="宋体"/>
          <w:color w:val="auto"/>
          <w:sz w:val="21"/>
          <w:szCs w:val="21"/>
          <w:highlight w:val="none"/>
        </w:rPr>
        <w:t>N+</w:t>
      </w:r>
      <w:r>
        <w:rPr>
          <w:rFonts w:hint="eastAsia" w:ascii="宋体" w:hAnsi="宋体"/>
          <w:color w:val="auto"/>
          <w:sz w:val="21"/>
          <w:szCs w:val="21"/>
          <w:highlight w:val="none"/>
        </w:rPr>
        <w:t>2家，则重新组织招标）</w:t>
      </w:r>
      <w:r>
        <w:rPr>
          <w:rFonts w:hint="eastAsia" w:ascii="宋体" w:hAnsi="宋体" w:eastAsia="宋体" w:cs="宋体"/>
          <w:color w:val="auto"/>
          <w:sz w:val="21"/>
          <w:szCs w:val="21"/>
          <w:highlight w:val="none"/>
        </w:rPr>
        <w:t>。</w:t>
      </w:r>
    </w:p>
    <w:p>
      <w:pPr>
        <w:keepNext w:val="0"/>
        <w:keepLines w:val="0"/>
        <w:pageBreakBefore w:val="0"/>
        <w:widowControl w:val="0"/>
        <w:pBdr>
          <w:bottom w:val="single" w:color="auto" w:sz="4" w:space="0"/>
        </w:pBdr>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color w:val="auto"/>
          <w:sz w:val="21"/>
          <w:szCs w:val="21"/>
          <w:highlight w:val="none"/>
          <w:lang w:val="en-US" w:eastAsia="zh-CN"/>
        </w:rPr>
        <w:t>20.3</w:t>
      </w:r>
      <w:r>
        <w:rPr>
          <w:rFonts w:hint="eastAsia" w:ascii="宋体" w:hAnsi="宋体" w:eastAsia="宋体" w:cs="宋体"/>
          <w:color w:val="auto"/>
          <w:sz w:val="21"/>
          <w:szCs w:val="21"/>
          <w:highlight w:val="none"/>
          <w:u w:val="single"/>
        </w:rPr>
        <w:t>到投标截止时间止，招标人收到的投标文件少于3家的，招标人将重新组织招标。</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条款号：21.1                       修改类型：修改</w:t>
      </w:r>
    </w:p>
    <w:p>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color w:val="auto"/>
          <w:sz w:val="21"/>
          <w:szCs w:val="21"/>
          <w:highlight w:val="none"/>
        </w:rPr>
        <w:t>21.1</w:t>
      </w:r>
      <w:r>
        <w:rPr>
          <w:rFonts w:hint="eastAsia" w:ascii="宋体" w:hAnsi="宋体"/>
          <w:color w:val="auto"/>
          <w:sz w:val="21"/>
          <w:szCs w:val="21"/>
          <w:highlight w:val="none"/>
        </w:rPr>
        <w:t>本须知前附表第</w:t>
      </w:r>
      <w:r>
        <w:rPr>
          <w:rFonts w:hint="eastAsia" w:ascii="宋体" w:hAnsi="宋体"/>
          <w:color w:val="auto"/>
          <w:sz w:val="21"/>
          <w:szCs w:val="21"/>
          <w:highlight w:val="none"/>
          <w:lang w:val="en-US" w:eastAsia="zh-CN"/>
        </w:rPr>
        <w:t>17</w:t>
      </w:r>
      <w:r>
        <w:rPr>
          <w:rFonts w:hint="eastAsia" w:ascii="宋体" w:hAnsi="宋体"/>
          <w:color w:val="auto"/>
          <w:sz w:val="21"/>
          <w:szCs w:val="21"/>
          <w:highlight w:val="none"/>
        </w:rPr>
        <w:t>项规定的投标截止时间</w:t>
      </w:r>
      <w:r>
        <w:rPr>
          <w:rFonts w:hint="eastAsia"/>
          <w:bCs/>
          <w:color w:val="auto"/>
          <w:sz w:val="21"/>
          <w:szCs w:val="21"/>
          <w:highlight w:val="none"/>
        </w:rPr>
        <w:t>后送达的</w:t>
      </w:r>
      <w:r>
        <w:rPr>
          <w:rFonts w:hint="eastAsia" w:ascii="宋体" w:hAnsi="宋体"/>
          <w:bCs/>
          <w:color w:val="auto"/>
          <w:sz w:val="21"/>
          <w:szCs w:val="21"/>
          <w:highlight w:val="none"/>
        </w:rPr>
        <w:t>电子投标文件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交易平台将予以拒收。</w:t>
      </w:r>
    </w:p>
    <w:p>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rPr>
        <w:t>21.1</w:t>
      </w:r>
      <w:r>
        <w:rPr>
          <w:rFonts w:hint="eastAsia" w:ascii="宋体" w:hAnsi="宋体" w:eastAsia="宋体" w:cs="宋体"/>
          <w:color w:val="auto"/>
          <w:sz w:val="21"/>
          <w:szCs w:val="21"/>
          <w:highlight w:val="none"/>
        </w:rPr>
        <w:t>本须知前附表第17项规定的投标截止时间后送达的电子投标文件，</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rPr>
        <w:t>交易平台将予以拒收。</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条款号：2</w:t>
      </w:r>
      <w:r>
        <w:rPr>
          <w:rFonts w:hint="eastAsia" w:ascii="宋体" w:hAnsi="宋体" w:eastAsia="宋体" w:cs="宋体"/>
          <w:b/>
          <w:color w:val="auto"/>
          <w:sz w:val="21"/>
          <w:szCs w:val="21"/>
          <w:highlight w:val="none"/>
          <w:lang w:val="en-US" w:eastAsia="zh-CN"/>
        </w:rPr>
        <w:t>4.1</w:t>
      </w:r>
      <w:r>
        <w:rPr>
          <w:rFonts w:hint="eastAsia" w:ascii="宋体" w:hAnsi="宋体" w:eastAsia="宋体" w:cs="宋体"/>
          <w:b/>
          <w:color w:val="auto"/>
          <w:sz w:val="21"/>
          <w:szCs w:val="21"/>
          <w:highlight w:val="none"/>
        </w:rPr>
        <w:t xml:space="preserve">                      修改类型：修改</w:t>
      </w:r>
    </w:p>
    <w:p>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color w:val="auto"/>
          <w:sz w:val="21"/>
          <w:szCs w:val="21"/>
          <w:highlight w:val="none"/>
        </w:rPr>
        <w:t>24.1</w:t>
      </w:r>
      <w:r>
        <w:rPr>
          <w:rFonts w:hint="eastAsia" w:ascii="宋体" w:hAnsi="宋体"/>
          <w:color w:val="auto"/>
          <w:sz w:val="21"/>
          <w:szCs w:val="21"/>
          <w:highlight w:val="none"/>
        </w:rPr>
        <w:t>开标后，直至中标公示为止，凡属于对投标文件的审查、澄清、评价和比较有关的资料以及中标候选人的推荐情况，与评标有关的其他任何情况均严格保密</w:t>
      </w:r>
      <w:r>
        <w:rPr>
          <w:rFonts w:hint="eastAsia" w:ascii="宋体" w:hAnsi="宋体" w:eastAsia="宋体" w:cs="宋体"/>
          <w:b w:val="0"/>
          <w:bCs w:val="0"/>
          <w:color w:val="auto"/>
          <w:sz w:val="21"/>
          <w:szCs w:val="21"/>
          <w:highlight w:val="none"/>
        </w:rPr>
        <w:t>。</w:t>
      </w:r>
    </w:p>
    <w:p>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rPr>
        <w:t>24.1</w:t>
      </w:r>
      <w:r>
        <w:rPr>
          <w:rFonts w:hint="eastAsia" w:ascii="宋体" w:hAnsi="宋体" w:eastAsia="宋体" w:cs="宋体"/>
          <w:color w:val="auto"/>
          <w:sz w:val="21"/>
          <w:szCs w:val="21"/>
          <w:highlight w:val="none"/>
        </w:rPr>
        <w:t>开标后，直至</w:t>
      </w:r>
      <w:r>
        <w:rPr>
          <w:rFonts w:hint="eastAsia" w:ascii="宋体" w:hAnsi="宋体" w:eastAsia="宋体" w:cs="宋体"/>
          <w:color w:val="auto"/>
          <w:sz w:val="21"/>
          <w:szCs w:val="21"/>
          <w:highlight w:val="none"/>
          <w:u w:val="single"/>
          <w:lang w:val="en-US" w:eastAsia="zh-CN"/>
        </w:rPr>
        <w:t>合格中标</w:t>
      </w:r>
      <w:r>
        <w:rPr>
          <w:rFonts w:hint="eastAsia" w:ascii="宋体" w:hAnsi="宋体" w:eastAsia="宋体" w:cs="宋体"/>
          <w:color w:val="auto"/>
          <w:sz w:val="21"/>
          <w:szCs w:val="21"/>
          <w:highlight w:val="none"/>
          <w:u w:val="single"/>
        </w:rPr>
        <w:t>候选人</w:t>
      </w:r>
      <w:r>
        <w:rPr>
          <w:rFonts w:hint="eastAsia" w:ascii="宋体" w:hAnsi="宋体" w:eastAsia="宋体" w:cs="宋体"/>
          <w:color w:val="auto"/>
          <w:sz w:val="21"/>
          <w:szCs w:val="21"/>
          <w:highlight w:val="none"/>
        </w:rPr>
        <w:t>公示为止，凡属于对投标文件的审查、澄清、评价和比较有关的资料以及</w:t>
      </w:r>
      <w:r>
        <w:rPr>
          <w:rFonts w:hint="eastAsia" w:ascii="宋体" w:hAnsi="宋体" w:eastAsia="宋体" w:cs="宋体"/>
          <w:color w:val="auto"/>
          <w:sz w:val="21"/>
          <w:szCs w:val="21"/>
          <w:highlight w:val="none"/>
          <w:u w:val="single"/>
          <w:lang w:val="en-US" w:eastAsia="zh-CN"/>
        </w:rPr>
        <w:t>合格中标</w:t>
      </w:r>
      <w:r>
        <w:rPr>
          <w:rFonts w:hint="eastAsia" w:ascii="宋体" w:hAnsi="宋体" w:eastAsia="宋体" w:cs="宋体"/>
          <w:color w:val="auto"/>
          <w:sz w:val="21"/>
          <w:szCs w:val="21"/>
          <w:highlight w:val="none"/>
          <w:u w:val="single"/>
        </w:rPr>
        <w:t>候选人</w:t>
      </w:r>
      <w:r>
        <w:rPr>
          <w:rFonts w:hint="eastAsia" w:ascii="宋体" w:hAnsi="宋体" w:eastAsia="宋体" w:cs="宋体"/>
          <w:color w:val="auto"/>
          <w:sz w:val="21"/>
          <w:szCs w:val="21"/>
          <w:highlight w:val="none"/>
        </w:rPr>
        <w:t>的推荐</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情况，与评标有关的其他任何情况均严格保密</w:t>
      </w:r>
      <w:r>
        <w:rPr>
          <w:rFonts w:hint="eastAsia" w:ascii="宋体" w:hAnsi="宋体" w:eastAsia="宋体" w:cs="宋体"/>
          <w:b w:val="0"/>
          <w:bCs w:val="0"/>
          <w:color w:val="auto"/>
          <w:sz w:val="21"/>
          <w:szCs w:val="21"/>
          <w:highlight w:val="none"/>
        </w:rPr>
        <w:t>。</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24.2</w:t>
      </w:r>
      <w:r>
        <w:rPr>
          <w:rFonts w:hint="eastAsia" w:ascii="宋体" w:hAnsi="宋体" w:eastAsia="宋体" w:cs="宋体"/>
          <w:b/>
          <w:color w:val="auto"/>
          <w:sz w:val="21"/>
          <w:szCs w:val="21"/>
          <w:highlight w:val="none"/>
        </w:rPr>
        <w:t xml:space="preserve">                       修改类型：修改</w:t>
      </w:r>
    </w:p>
    <w:p>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color w:val="auto"/>
          <w:sz w:val="21"/>
          <w:szCs w:val="21"/>
          <w:highlight w:val="none"/>
        </w:rPr>
        <w:t>24.2</w:t>
      </w:r>
      <w:r>
        <w:rPr>
          <w:rFonts w:hint="eastAsia" w:ascii="宋体" w:hAnsi="宋体"/>
          <w:color w:val="auto"/>
          <w:sz w:val="21"/>
          <w:szCs w:val="21"/>
          <w:highlight w:val="none"/>
        </w:rPr>
        <w:t>在投标文件的评审和比较、中标候选人推荐以及授予合同的过程中，投标人向招标人和评标委员会施加不公正影响的任何行为，都将会导致其投标被拒绝</w:t>
      </w:r>
      <w:r>
        <w:rPr>
          <w:rFonts w:hint="eastAsia" w:ascii="宋体" w:hAnsi="宋体" w:eastAsia="宋体" w:cs="宋体"/>
          <w:b w:val="0"/>
          <w:bCs w:val="0"/>
          <w:color w:val="auto"/>
          <w:sz w:val="21"/>
          <w:szCs w:val="21"/>
          <w:highlight w:val="none"/>
        </w:rPr>
        <w:t>。</w:t>
      </w:r>
    </w:p>
    <w:p>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rPr>
        <w:t>24.2</w:t>
      </w:r>
      <w:r>
        <w:rPr>
          <w:rFonts w:hint="eastAsia" w:ascii="宋体" w:hAnsi="宋体" w:eastAsia="宋体" w:cs="宋体"/>
          <w:b w:val="0"/>
          <w:bCs w:val="0"/>
          <w:color w:val="auto"/>
          <w:sz w:val="21"/>
          <w:szCs w:val="21"/>
          <w:highlight w:val="none"/>
        </w:rPr>
        <w:t>在投标文件的评审和比较、</w:t>
      </w:r>
      <w:r>
        <w:rPr>
          <w:rFonts w:hint="eastAsia" w:ascii="宋体" w:hAnsi="宋体" w:eastAsia="宋体" w:cs="宋体"/>
          <w:b w:val="0"/>
          <w:bCs w:val="0"/>
          <w:color w:val="auto"/>
          <w:sz w:val="21"/>
          <w:szCs w:val="21"/>
          <w:highlight w:val="none"/>
          <w:u w:val="single"/>
          <w:lang w:val="en-US" w:eastAsia="zh-CN"/>
        </w:rPr>
        <w:t>合格中标</w:t>
      </w:r>
      <w:r>
        <w:rPr>
          <w:rFonts w:hint="eastAsia" w:ascii="宋体" w:hAnsi="宋体" w:eastAsia="宋体" w:cs="宋体"/>
          <w:b w:val="0"/>
          <w:bCs w:val="0"/>
          <w:color w:val="auto"/>
          <w:sz w:val="21"/>
          <w:szCs w:val="21"/>
          <w:highlight w:val="none"/>
          <w:u w:val="single"/>
        </w:rPr>
        <w:t>候选人</w:t>
      </w:r>
      <w:r>
        <w:rPr>
          <w:rFonts w:hint="eastAsia" w:ascii="宋体" w:hAnsi="宋体" w:eastAsia="宋体" w:cs="宋体"/>
          <w:b w:val="0"/>
          <w:bCs w:val="0"/>
          <w:color w:val="auto"/>
          <w:sz w:val="21"/>
          <w:szCs w:val="21"/>
          <w:highlight w:val="none"/>
        </w:rPr>
        <w:t>推荐</w:t>
      </w:r>
      <w:r>
        <w:rPr>
          <w:rFonts w:hint="eastAsia" w:ascii="宋体" w:hAnsi="宋体" w:eastAsia="宋体" w:cs="宋体"/>
          <w:b w:val="0"/>
          <w:bCs w:val="0"/>
          <w:color w:val="auto"/>
          <w:sz w:val="21"/>
          <w:szCs w:val="21"/>
          <w:highlight w:val="none"/>
          <w:u w:val="single"/>
        </w:rPr>
        <w:t>【</w:t>
      </w:r>
      <w:r>
        <w:rPr>
          <w:rFonts w:hint="eastAsia" w:ascii="宋体" w:hAnsi="宋体" w:eastAsia="宋体" w:cs="宋体"/>
          <w:b w:val="0"/>
          <w:bCs w:val="0"/>
          <w:color w:val="auto"/>
          <w:sz w:val="21"/>
          <w:szCs w:val="21"/>
          <w:highlight w:val="none"/>
          <w:u w:val="single"/>
          <w:lang w:eastAsia="zh-CN"/>
        </w:rPr>
        <w:t>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eastAsia="宋体" w:cs="宋体"/>
          <w:b w:val="0"/>
          <w:bCs w:val="0"/>
          <w:color w:val="auto"/>
          <w:sz w:val="21"/>
          <w:szCs w:val="21"/>
          <w:highlight w:val="none"/>
          <w:u w:val="single"/>
        </w:rPr>
        <w:t>】、定标</w:t>
      </w:r>
      <w:r>
        <w:rPr>
          <w:rFonts w:hint="eastAsia" w:ascii="宋体" w:hAnsi="宋体" w:eastAsia="宋体" w:cs="宋体"/>
          <w:b w:val="0"/>
          <w:bCs w:val="0"/>
          <w:color w:val="auto"/>
          <w:sz w:val="21"/>
          <w:szCs w:val="21"/>
          <w:highlight w:val="none"/>
          <w:u w:val="none"/>
        </w:rPr>
        <w:t>以及</w:t>
      </w:r>
      <w:r>
        <w:rPr>
          <w:rFonts w:hint="eastAsia" w:ascii="宋体" w:hAnsi="宋体" w:eastAsia="宋体" w:cs="宋体"/>
          <w:b w:val="0"/>
          <w:bCs w:val="0"/>
          <w:color w:val="auto"/>
          <w:sz w:val="21"/>
          <w:szCs w:val="21"/>
          <w:highlight w:val="none"/>
        </w:rPr>
        <w:t>授予合同的过程中，投标人向招标人、评标委员会和定标委员会施加不公正影响的任何行为，都将会导致其投标被拒绝。</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条款号：2</w:t>
      </w:r>
      <w:r>
        <w:rPr>
          <w:rFonts w:hint="eastAsia" w:ascii="宋体" w:hAnsi="宋体" w:eastAsia="宋体" w:cs="宋体"/>
          <w:b/>
          <w:color w:val="auto"/>
          <w:sz w:val="21"/>
          <w:szCs w:val="21"/>
          <w:highlight w:val="none"/>
          <w:lang w:val="en-US" w:eastAsia="zh-CN"/>
        </w:rPr>
        <w:t>8</w:t>
      </w:r>
      <w:r>
        <w:rPr>
          <w:rFonts w:hint="eastAsia" w:ascii="宋体" w:hAnsi="宋体" w:cs="宋体"/>
          <w:b/>
          <w:color w:val="auto"/>
          <w:sz w:val="21"/>
          <w:szCs w:val="21"/>
          <w:highlight w:val="none"/>
          <w:lang w:val="en-US" w:eastAsia="zh-CN"/>
        </w:rPr>
        <w:t>.1</w:t>
      </w:r>
      <w:r>
        <w:rPr>
          <w:rFonts w:hint="eastAsia" w:ascii="宋体" w:hAnsi="宋体" w:eastAsia="宋体" w:cs="宋体"/>
          <w:b/>
          <w:color w:val="auto"/>
          <w:sz w:val="21"/>
          <w:szCs w:val="21"/>
          <w:highlight w:val="none"/>
        </w:rPr>
        <w:t xml:space="preserve">                         修改类型：修改</w:t>
      </w:r>
    </w:p>
    <w:p>
      <w:pPr>
        <w:spacing w:line="360" w:lineRule="auto"/>
        <w:ind w:firstLine="422" w:firstLineChars="200"/>
        <w:rPr>
          <w:rFonts w:hint="eastAsia" w:eastAsia="宋体"/>
          <w:color w:val="auto"/>
          <w:szCs w:val="21"/>
          <w:highlight w:val="none"/>
          <w:lang w:eastAsia="zh-CN"/>
        </w:rPr>
      </w:pPr>
      <w:r>
        <w:rPr>
          <w:rFonts w:hint="eastAsia" w:ascii="宋体" w:hAnsi="宋体" w:eastAsia="宋体" w:cs="宋体"/>
          <w:b/>
          <w:color w:val="auto"/>
          <w:sz w:val="21"/>
          <w:szCs w:val="21"/>
          <w:highlight w:val="none"/>
        </w:rPr>
        <w:t>原文：</w:t>
      </w: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.1</w:t>
      </w:r>
      <w:r>
        <w:rPr>
          <w:rFonts w:hint="eastAsia" w:ascii="宋体" w:hAnsi="宋体"/>
          <w:color w:val="auto"/>
          <w:sz w:val="21"/>
          <w:szCs w:val="21"/>
          <w:highlight w:val="none"/>
        </w:rPr>
        <w:t>招标人将在</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交易平台、广东省招标投标监管网和中国招标投标公共服务平台公示中标候选人，公示期为三天</w:t>
      </w:r>
      <w:r>
        <w:rPr>
          <w:rFonts w:hint="eastAsia" w:ascii="宋体" w:hAnsi="宋体"/>
          <w:color w:val="auto"/>
          <w:sz w:val="21"/>
          <w:szCs w:val="21"/>
          <w:highlight w:val="none"/>
          <w:lang w:eastAsia="zh-CN"/>
        </w:rPr>
        <w:t>（最后一天应为工作日）</w:t>
      </w:r>
      <w:r>
        <w:rPr>
          <w:rFonts w:hint="eastAsia" w:ascii="宋体" w:hAnsi="宋体"/>
          <w:color w:val="auto"/>
          <w:sz w:val="21"/>
          <w:szCs w:val="21"/>
          <w:highlight w:val="none"/>
        </w:rPr>
        <w:t>。投标人或其他利害关系人对评标结果有异议的，应当在中标候选人公示期间提出，通过</w:t>
      </w:r>
      <w:r>
        <w:rPr>
          <w:rFonts w:hint="eastAsia" w:ascii="宋体" w:hAnsi="宋体"/>
          <w:color w:val="auto"/>
          <w:sz w:val="21"/>
          <w:szCs w:val="21"/>
          <w:highlight w:val="none"/>
          <w:lang w:eastAsia="zh-CN"/>
        </w:rPr>
        <w:t>电子交易系统向招标人</w:t>
      </w:r>
      <w:r>
        <w:rPr>
          <w:rFonts w:hint="eastAsia" w:ascii="宋体" w:hAnsi="宋体"/>
          <w:color w:val="auto"/>
          <w:sz w:val="21"/>
          <w:szCs w:val="21"/>
          <w:highlight w:val="none"/>
        </w:rPr>
        <w:t>提出异议</w:t>
      </w:r>
      <w:r>
        <w:rPr>
          <w:rFonts w:hint="eastAsia" w:ascii="宋体" w:hAnsi="宋体"/>
          <w:color w:val="auto"/>
          <w:sz w:val="21"/>
          <w:szCs w:val="21"/>
          <w:highlight w:val="none"/>
          <w:lang w:eastAsia="zh-CN"/>
        </w:rPr>
        <w:t>，</w:t>
      </w:r>
      <w:r>
        <w:rPr>
          <w:rFonts w:hint="eastAsia" w:ascii="宋体" w:hAnsi="宋体"/>
          <w:color w:val="auto"/>
          <w:sz w:val="21"/>
          <w:szCs w:val="21"/>
          <w:highlight w:val="none"/>
        </w:rPr>
        <w:t>招标人也应通过交易平台答复线上提交的异议</w:t>
      </w:r>
      <w:r>
        <w:rPr>
          <w:rFonts w:hint="eastAsia" w:ascii="宋体" w:hAnsi="宋体"/>
          <w:color w:val="auto"/>
          <w:sz w:val="21"/>
          <w:szCs w:val="21"/>
          <w:highlight w:val="none"/>
          <w:lang w:eastAsia="zh-CN"/>
        </w:rPr>
        <w:t>，</w:t>
      </w:r>
      <w:r>
        <w:rPr>
          <w:rFonts w:hint="eastAsia" w:ascii="宋体" w:hAnsi="宋体"/>
          <w:color w:val="auto"/>
          <w:sz w:val="21"/>
          <w:szCs w:val="21"/>
          <w:highlight w:val="none"/>
        </w:rPr>
        <w:t>具体按照</w:t>
      </w:r>
      <w:r>
        <w:rPr>
          <w:rFonts w:hint="eastAsia" w:ascii="宋体" w:hAnsi="宋体"/>
          <w:color w:val="auto"/>
          <w:sz w:val="21"/>
          <w:szCs w:val="21"/>
          <w:highlight w:val="none"/>
          <w:lang w:eastAsia="zh-CN"/>
        </w:rPr>
        <w:t>电子招标投标</w:t>
      </w:r>
      <w:r>
        <w:rPr>
          <w:rFonts w:hint="eastAsia" w:ascii="宋体" w:hAnsi="宋体"/>
          <w:color w:val="auto"/>
          <w:sz w:val="21"/>
          <w:szCs w:val="21"/>
          <w:highlight w:val="none"/>
        </w:rPr>
        <w:t>交易平台相关指南进行操作。作出答复前，应当暂停招标投标活动。</w:t>
      </w:r>
      <w:r>
        <w:rPr>
          <w:rFonts w:hint="eastAsia" w:ascii="宋体" w:hAnsi="宋体"/>
          <w:color w:val="auto"/>
          <w:sz w:val="21"/>
          <w:szCs w:val="21"/>
          <w:highlight w:val="none"/>
          <w:u w:val="none"/>
          <w:lang w:eastAsia="zh-CN"/>
        </w:rPr>
        <w:t>投标人提出异议时需</w:t>
      </w:r>
      <w:r>
        <w:rPr>
          <w:rFonts w:hint="eastAsia" w:ascii="宋体" w:hAnsi="宋体"/>
          <w:color w:val="auto"/>
          <w:sz w:val="21"/>
          <w:szCs w:val="21"/>
          <w:highlight w:val="none"/>
          <w:u w:val="none"/>
          <w:lang w:val="en-US" w:eastAsia="zh-CN"/>
        </w:rPr>
        <w:t>在线提交</w:t>
      </w:r>
      <w:r>
        <w:rPr>
          <w:rFonts w:hint="eastAsia" w:ascii="宋体" w:hAnsi="宋体"/>
          <w:color w:val="auto"/>
          <w:sz w:val="21"/>
          <w:szCs w:val="21"/>
          <w:highlight w:val="none"/>
          <w:u w:val="none"/>
          <w:lang w:eastAsia="zh-CN"/>
        </w:rPr>
        <w:t>书面的异议书（异议书应清晰表述异议事项、依据、线索、请求或主张、有效的联系方式等）并附法定代表人证明书、有效的授权委托书、被授权人的有效身份证明。</w:t>
      </w:r>
    </w:p>
    <w:p>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b w:val="0"/>
          <w:bCs w:val="0"/>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.1</w:t>
      </w:r>
      <w:r>
        <w:rPr>
          <w:rFonts w:hint="eastAsia" w:ascii="宋体" w:hAnsi="宋体" w:eastAsia="宋体" w:cs="宋体"/>
          <w:b w:val="0"/>
          <w:bCs w:val="0"/>
          <w:color w:val="auto"/>
          <w:sz w:val="21"/>
          <w:szCs w:val="21"/>
          <w:highlight w:val="none"/>
        </w:rPr>
        <w:t>招标人将在</w:t>
      </w:r>
      <w:r>
        <w:rPr>
          <w:rFonts w:hint="eastAsia" w:ascii="宋体" w:hAnsi="宋体" w:eastAsia="宋体" w:cs="宋体"/>
          <w:b w:val="0"/>
          <w:bCs w:val="0"/>
          <w:color w:val="auto"/>
          <w:sz w:val="21"/>
          <w:szCs w:val="21"/>
          <w:highlight w:val="none"/>
          <w:u w:val="single"/>
        </w:rPr>
        <w:t>广州交易集团有限公司（广州公共资源交易中心）</w:t>
      </w:r>
      <w:r>
        <w:rPr>
          <w:rFonts w:hint="eastAsia" w:ascii="宋体" w:hAnsi="宋体" w:eastAsia="宋体" w:cs="宋体"/>
          <w:b w:val="0"/>
          <w:bCs w:val="0"/>
          <w:color w:val="auto"/>
          <w:sz w:val="21"/>
          <w:szCs w:val="21"/>
          <w:highlight w:val="none"/>
        </w:rPr>
        <w:t>交易平台、广东省招标投标监管网和中国招标投标公共服务平台公示</w:t>
      </w:r>
      <w:r>
        <w:rPr>
          <w:rFonts w:hint="eastAsia" w:ascii="宋体" w:hAnsi="宋体" w:eastAsia="宋体" w:cs="宋体"/>
          <w:b w:val="0"/>
          <w:bCs w:val="0"/>
          <w:color w:val="auto"/>
          <w:sz w:val="21"/>
          <w:szCs w:val="21"/>
          <w:highlight w:val="none"/>
          <w:u w:val="single"/>
          <w:lang w:val="en-US" w:eastAsia="zh-CN"/>
        </w:rPr>
        <w:t>合格中标</w:t>
      </w:r>
      <w:r>
        <w:rPr>
          <w:rFonts w:hint="eastAsia" w:ascii="宋体" w:hAnsi="宋体" w:eastAsia="宋体" w:cs="宋体"/>
          <w:b w:val="0"/>
          <w:bCs w:val="0"/>
          <w:color w:val="auto"/>
          <w:sz w:val="21"/>
          <w:szCs w:val="21"/>
          <w:highlight w:val="none"/>
          <w:u w:val="single"/>
        </w:rPr>
        <w:t>候选人【</w:t>
      </w:r>
      <w:r>
        <w:rPr>
          <w:rFonts w:hint="eastAsia" w:ascii="宋体" w:hAnsi="宋体" w:eastAsia="宋体" w:cs="宋体"/>
          <w:b w:val="0"/>
          <w:bCs w:val="0"/>
          <w:color w:val="auto"/>
          <w:sz w:val="21"/>
          <w:szCs w:val="21"/>
          <w:highlight w:val="none"/>
          <w:u w:val="single"/>
          <w:lang w:eastAsia="zh-CN"/>
        </w:rPr>
        <w:t>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eastAsia="宋体" w:cs="宋体"/>
          <w:b w:val="0"/>
          <w:bCs w:val="0"/>
          <w:color w:val="auto"/>
          <w:sz w:val="21"/>
          <w:szCs w:val="21"/>
          <w:highlight w:val="none"/>
          <w:u w:val="single"/>
        </w:rPr>
        <w:t>】</w:t>
      </w:r>
      <w:r>
        <w:rPr>
          <w:rFonts w:hint="eastAsia" w:ascii="宋体" w:hAnsi="宋体" w:eastAsia="宋体" w:cs="宋体"/>
          <w:b w:val="0"/>
          <w:bCs w:val="0"/>
          <w:color w:val="auto"/>
          <w:sz w:val="21"/>
          <w:szCs w:val="21"/>
          <w:highlight w:val="none"/>
        </w:rPr>
        <w:t>，公示期为三天</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color w:val="auto"/>
          <w:sz w:val="21"/>
          <w:szCs w:val="21"/>
          <w:highlight w:val="none"/>
          <w:u w:val="none"/>
          <w:lang w:val="en-US" w:eastAsia="zh-CN"/>
        </w:rPr>
        <w:t>最后一天为工作日</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color w:val="auto"/>
          <w:sz w:val="21"/>
          <w:szCs w:val="21"/>
          <w:highlight w:val="none"/>
        </w:rPr>
        <w:t>。投标人或其他利害关系人对评标结果有异议的，应当在</w:t>
      </w:r>
      <w:r>
        <w:rPr>
          <w:rFonts w:hint="eastAsia" w:ascii="宋体" w:hAnsi="宋体" w:cs="宋体"/>
          <w:b w:val="0"/>
          <w:bCs w:val="0"/>
          <w:color w:val="auto"/>
          <w:sz w:val="21"/>
          <w:szCs w:val="21"/>
          <w:highlight w:val="none"/>
          <w:u w:val="single"/>
          <w:lang w:eastAsia="zh-CN"/>
        </w:rPr>
        <w:t>合格</w:t>
      </w:r>
      <w:r>
        <w:rPr>
          <w:rFonts w:hint="eastAsia" w:ascii="宋体" w:hAnsi="宋体" w:eastAsia="宋体" w:cs="宋体"/>
          <w:b w:val="0"/>
          <w:bCs w:val="0"/>
          <w:color w:val="auto"/>
          <w:sz w:val="21"/>
          <w:szCs w:val="21"/>
          <w:highlight w:val="none"/>
        </w:rPr>
        <w:t>中标候选人公示期间提出，通过电子交易系统向招标人提出异议，招标人也应通过交易平台答复线上提交的异议，具体按照电子招标投标交易平台相关指南进行操作。作出答复前，应当暂停招标投标活动。投标人提出异议时需在线提交书面的异议书（异议书应清晰表述异议事项、依据、线索、请求或主张、有效的联系方式等）并附法定代表人证明书、有效的授权委托书、被授权人的有效身份证明。</w:t>
      </w:r>
    </w:p>
    <w:p>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0" w:firstLineChars="200"/>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u w:val="single"/>
        </w:rPr>
        <w:t>在中标结果公示前若发现中标人委派的项目负责人在其他在建项目中任职已被锁定的，其中标人资格将会被取消，招标人可从其他合格的中标候选人中采用原定标办法，由定标委员会确定中标人，也可以重新招标。</w:t>
      </w:r>
    </w:p>
    <w:p>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u w:val="single"/>
        </w:rPr>
        <w:t>在定标委员会完成定标工作后，招标人将在广州交易集团有限公司（广州公共资源交易中心）交易平台、广东省招标投标监管网和中国招标投标公共服务平台公示中标</w:t>
      </w:r>
      <w:r>
        <w:rPr>
          <w:rFonts w:hint="eastAsia" w:ascii="宋体" w:hAnsi="宋体" w:eastAsia="宋体" w:cs="宋体"/>
          <w:b w:val="0"/>
          <w:bCs w:val="0"/>
          <w:color w:val="auto"/>
          <w:sz w:val="21"/>
          <w:szCs w:val="21"/>
          <w:highlight w:val="none"/>
          <w:u w:val="single"/>
          <w:lang w:val="en-US" w:eastAsia="zh-CN"/>
        </w:rPr>
        <w:t>结果</w:t>
      </w:r>
      <w:r>
        <w:rPr>
          <w:rFonts w:hint="eastAsia" w:ascii="宋体" w:hAnsi="宋体" w:eastAsia="宋体" w:cs="宋体"/>
          <w:b w:val="0"/>
          <w:bCs w:val="0"/>
          <w:color w:val="auto"/>
          <w:sz w:val="21"/>
          <w:szCs w:val="21"/>
          <w:highlight w:val="none"/>
          <w:u w:val="single"/>
        </w:rPr>
        <w:t>。投标人或其他利害关系人对结果有异议的，应当在公示期间提出，可以通过线下或线上的形式提出异议。线上提交的，应通过交易平台进行，招标人也应通过交易平台答复线上提交的异议，具体按照电子招标投标交易平台相关指南进行操作。作出答复前，应当暂停招标投标活动。投标人提出异议时需提交书面的异议书（异议书应清晰表述异议事项、依据、线索、请求或主张、有效的联系方式等）并附法定代表人证明书、有效的授权委托书、被授权人的有效身份证明</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条款号：2</w:t>
      </w:r>
      <w:r>
        <w:rPr>
          <w:rFonts w:hint="eastAsia" w:ascii="宋体" w:hAnsi="宋体" w:eastAsia="宋体" w:cs="宋体"/>
          <w:b/>
          <w:color w:val="auto"/>
          <w:sz w:val="21"/>
          <w:szCs w:val="21"/>
          <w:highlight w:val="none"/>
          <w:lang w:val="en-US" w:eastAsia="zh-CN"/>
        </w:rPr>
        <w:t>8</w:t>
      </w:r>
      <w:r>
        <w:rPr>
          <w:rFonts w:hint="eastAsia" w:ascii="宋体" w:hAnsi="宋体" w:cs="宋体"/>
          <w:b/>
          <w:color w:val="auto"/>
          <w:sz w:val="21"/>
          <w:szCs w:val="21"/>
          <w:highlight w:val="none"/>
          <w:lang w:val="en-US" w:eastAsia="zh-CN"/>
        </w:rPr>
        <w:t>.2</w:t>
      </w:r>
      <w:r>
        <w:rPr>
          <w:rFonts w:hint="eastAsia" w:ascii="宋体" w:hAnsi="宋体" w:eastAsia="宋体" w:cs="宋体"/>
          <w:b/>
          <w:color w:val="auto"/>
          <w:sz w:val="21"/>
          <w:szCs w:val="21"/>
          <w:highlight w:val="none"/>
        </w:rPr>
        <w:t xml:space="preserve">                        修改类型：修改</w:t>
      </w:r>
    </w:p>
    <w:p>
      <w:pPr>
        <w:spacing w:line="360" w:lineRule="auto"/>
        <w:ind w:firstLine="422" w:firstLineChars="200"/>
        <w:rPr>
          <w:rFonts w:hint="eastAsia" w:eastAsia="宋体"/>
          <w:color w:val="auto"/>
          <w:szCs w:val="21"/>
          <w:highlight w:val="none"/>
          <w:lang w:eastAsia="zh-CN"/>
        </w:rPr>
      </w:pPr>
      <w:r>
        <w:rPr>
          <w:rFonts w:hint="eastAsia" w:ascii="宋体" w:hAnsi="宋体" w:eastAsia="宋体" w:cs="宋体"/>
          <w:b/>
          <w:color w:val="auto"/>
          <w:sz w:val="21"/>
          <w:szCs w:val="21"/>
          <w:highlight w:val="none"/>
        </w:rPr>
        <w:t>原文：</w:t>
      </w: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2</w:t>
      </w:r>
      <w:r>
        <w:rPr>
          <w:rFonts w:hint="eastAsia" w:ascii="宋体" w:hAnsi="宋体"/>
          <w:color w:val="auto"/>
          <w:sz w:val="21"/>
          <w:szCs w:val="21"/>
          <w:highlight w:val="none"/>
        </w:rPr>
        <w:t>招标人应当自确定中标人后，向招标投标监管机构提交招标投标情况的书面报告</w:t>
      </w:r>
      <w:r>
        <w:rPr>
          <w:rFonts w:hint="eastAsia" w:ascii="宋体" w:hAnsi="宋体"/>
          <w:color w:val="auto"/>
          <w:sz w:val="21"/>
          <w:szCs w:val="21"/>
          <w:highlight w:val="none"/>
          <w:u w:val="none"/>
          <w:lang w:eastAsia="zh-CN"/>
        </w:rPr>
        <w:t>。</w:t>
      </w:r>
    </w:p>
    <w:p>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.2</w:t>
      </w:r>
      <w:r>
        <w:rPr>
          <w:rFonts w:hint="eastAsia" w:ascii="宋体" w:hAnsi="宋体" w:eastAsia="宋体" w:cs="宋体"/>
          <w:b w:val="0"/>
          <w:bCs w:val="0"/>
          <w:color w:val="auto"/>
          <w:sz w:val="21"/>
          <w:szCs w:val="21"/>
          <w:highlight w:val="none"/>
        </w:rPr>
        <w:t>招标人应当自确定中标人后，向招标投标监管机构提交招标投标情况的书面报告</w:t>
      </w:r>
      <w:r>
        <w:rPr>
          <w:rFonts w:hint="eastAsia" w:ascii="宋体" w:hAnsi="宋体" w:eastAsia="宋体" w:cs="宋体"/>
          <w:b w:val="0"/>
          <w:bCs w:val="0"/>
          <w:color w:val="auto"/>
          <w:sz w:val="21"/>
          <w:szCs w:val="21"/>
          <w:highlight w:val="none"/>
          <w:u w:val="single"/>
          <w:lang w:eastAsia="zh-CN"/>
        </w:rPr>
        <w:t>，</w:t>
      </w:r>
      <w:r>
        <w:rPr>
          <w:rFonts w:hint="eastAsia" w:ascii="宋体" w:hAnsi="宋体" w:eastAsia="宋体" w:cs="宋体"/>
          <w:color w:val="auto"/>
          <w:sz w:val="21"/>
          <w:szCs w:val="21"/>
          <w:highlight w:val="none"/>
          <w:u w:val="single"/>
        </w:rPr>
        <w:t>经招投标监管机构备案后，方可发出中标通知书</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条款号：2</w:t>
      </w:r>
      <w:r>
        <w:rPr>
          <w:rFonts w:hint="eastAsia" w:ascii="宋体" w:hAnsi="宋体" w:eastAsia="宋体" w:cs="宋体"/>
          <w:b/>
          <w:color w:val="auto"/>
          <w:sz w:val="21"/>
          <w:szCs w:val="21"/>
          <w:highlight w:val="none"/>
          <w:lang w:val="en-US" w:eastAsia="zh-CN"/>
        </w:rPr>
        <w:t>8</w:t>
      </w: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rPr>
        <w:t xml:space="preserve">                       修改类型：修改</w:t>
      </w:r>
    </w:p>
    <w:p>
      <w:pPr>
        <w:spacing w:line="360" w:lineRule="auto"/>
        <w:ind w:firstLine="422" w:firstLineChars="200"/>
        <w:rPr>
          <w:rFonts w:hint="eastAsia" w:eastAsia="宋体"/>
          <w:color w:val="auto"/>
          <w:szCs w:val="21"/>
          <w:highlight w:val="none"/>
          <w:lang w:eastAsia="zh-CN"/>
        </w:rPr>
      </w:pPr>
      <w:r>
        <w:rPr>
          <w:rFonts w:hint="eastAsia" w:ascii="宋体" w:hAnsi="宋体" w:eastAsia="宋体" w:cs="宋体"/>
          <w:b/>
          <w:color w:val="auto"/>
          <w:sz w:val="21"/>
          <w:szCs w:val="21"/>
          <w:highlight w:val="none"/>
        </w:rPr>
        <w:t>原文：</w:t>
      </w: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4</w:t>
      </w:r>
      <w:r>
        <w:rPr>
          <w:rFonts w:hint="eastAsia" w:ascii="宋体" w:hAnsi="宋体"/>
          <w:color w:val="auto"/>
          <w:sz w:val="21"/>
          <w:szCs w:val="21"/>
          <w:highlight w:val="none"/>
        </w:rPr>
        <w:t>在产生中标候选人后，招标人将中标候选人的投标文件商务部分文件的所有内容（包括人员、业绩、奖项等资料）在</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交易平台和广东省招标投标监管网公开</w:t>
      </w:r>
      <w:r>
        <w:rPr>
          <w:rFonts w:hint="eastAsia" w:ascii="宋体" w:hAnsi="宋体"/>
          <w:color w:val="auto"/>
          <w:sz w:val="21"/>
          <w:szCs w:val="21"/>
          <w:highlight w:val="none"/>
          <w:u w:val="single"/>
          <w:lang w:eastAsia="zh-CN"/>
        </w:rPr>
        <w:t>。</w:t>
      </w:r>
    </w:p>
    <w:p>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color w:val="auto"/>
          <w:sz w:val="21"/>
          <w:szCs w:val="21"/>
          <w:highlight w:val="none"/>
        </w:rPr>
        <w:t>在产生</w:t>
      </w:r>
      <w:r>
        <w:rPr>
          <w:rFonts w:hint="eastAsia" w:ascii="宋体" w:hAnsi="宋体" w:eastAsia="宋体" w:cs="宋体"/>
          <w:color w:val="auto"/>
          <w:sz w:val="21"/>
          <w:szCs w:val="21"/>
          <w:highlight w:val="none"/>
          <w:u w:val="single"/>
          <w:lang w:val="en-US" w:eastAsia="zh-CN"/>
        </w:rPr>
        <w:t>合格</w:t>
      </w:r>
      <w:r>
        <w:rPr>
          <w:rFonts w:hint="eastAsia" w:ascii="宋体" w:hAnsi="宋体" w:eastAsia="宋体" w:cs="宋体"/>
          <w:color w:val="auto"/>
          <w:sz w:val="21"/>
          <w:szCs w:val="21"/>
          <w:highlight w:val="none"/>
        </w:rPr>
        <w:t>中标候选人后，招标人将</w:t>
      </w:r>
      <w:r>
        <w:rPr>
          <w:rFonts w:hint="eastAsia" w:ascii="宋体" w:hAnsi="宋体" w:eastAsia="宋体" w:cs="宋体"/>
          <w:color w:val="auto"/>
          <w:sz w:val="21"/>
          <w:szCs w:val="21"/>
          <w:highlight w:val="none"/>
          <w:u w:val="single"/>
          <w:lang w:val="en-US" w:eastAsia="zh-CN"/>
        </w:rPr>
        <w:t>合格</w:t>
      </w:r>
      <w:r>
        <w:rPr>
          <w:rFonts w:hint="eastAsia" w:ascii="宋体" w:hAnsi="宋体" w:eastAsia="宋体" w:cs="宋体"/>
          <w:color w:val="auto"/>
          <w:sz w:val="21"/>
          <w:szCs w:val="21"/>
          <w:highlight w:val="none"/>
        </w:rPr>
        <w:t>中标候选人的投标文件商务部分文件的</w:t>
      </w:r>
      <w:r>
        <w:rPr>
          <w:rFonts w:hint="eastAsia" w:ascii="宋体" w:hAnsi="宋体" w:eastAsia="宋体" w:cs="宋体"/>
          <w:color w:val="auto"/>
          <w:sz w:val="21"/>
          <w:szCs w:val="21"/>
          <w:highlight w:val="none"/>
          <w:u w:val="single"/>
        </w:rPr>
        <w:t>总报价（不含报价明细）、人员、业绩、奖项等资料</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rPr>
        <w:t>交易平台</w:t>
      </w:r>
      <w:r>
        <w:rPr>
          <w:rFonts w:hint="eastAsia" w:ascii="宋体" w:hAnsi="宋体" w:eastAsia="宋体" w:cs="宋体"/>
          <w:color w:val="auto"/>
          <w:sz w:val="21"/>
          <w:szCs w:val="21"/>
          <w:highlight w:val="none"/>
          <w:u w:val="none"/>
        </w:rPr>
        <w:t>和广东省招标投标监管网</w:t>
      </w:r>
      <w:r>
        <w:rPr>
          <w:rFonts w:hint="eastAsia" w:ascii="宋体" w:hAnsi="宋体" w:eastAsia="宋体" w:cs="宋体"/>
          <w:color w:val="auto"/>
          <w:sz w:val="21"/>
          <w:szCs w:val="21"/>
          <w:highlight w:val="none"/>
        </w:rPr>
        <w:t>公开。</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bidi="ar"/>
        </w:rPr>
        <w:t>条款号：2</w:t>
      </w:r>
      <w:r>
        <w:rPr>
          <w:rFonts w:hint="eastAsia" w:ascii="宋体" w:hAnsi="宋体" w:eastAsia="宋体" w:cs="宋体"/>
          <w:b/>
          <w:bCs w:val="0"/>
          <w:color w:val="auto"/>
          <w:sz w:val="21"/>
          <w:szCs w:val="21"/>
          <w:highlight w:val="none"/>
          <w:lang w:val="en-US" w:eastAsia="zh-CN" w:bidi="ar"/>
        </w:rPr>
        <w:t>9</w:t>
      </w:r>
      <w:r>
        <w:rPr>
          <w:rFonts w:hint="eastAsia" w:ascii="宋体" w:hAnsi="宋体" w:eastAsia="宋体" w:cs="宋体"/>
          <w:b/>
          <w:bCs w:val="0"/>
          <w:color w:val="auto"/>
          <w:sz w:val="21"/>
          <w:szCs w:val="21"/>
          <w:highlight w:val="none"/>
          <w:lang w:bidi="ar"/>
        </w:rPr>
        <w:t>.1             修改类型：修改</w:t>
      </w:r>
    </w:p>
    <w:p>
      <w:pPr>
        <w:keepNext w:val="0"/>
        <w:keepLines w:val="0"/>
        <w:pageBreakBefore w:val="0"/>
        <w:widowControl w:val="0"/>
        <w:pBdr>
          <w:bottom w:val="none" w:color="auto" w:sz="0"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lang w:bidi="ar"/>
        </w:rPr>
      </w:pPr>
      <w:r>
        <w:rPr>
          <w:rFonts w:hint="eastAsia" w:ascii="宋体" w:hAnsi="宋体" w:eastAsia="宋体" w:cs="宋体"/>
          <w:b/>
          <w:bCs/>
          <w:color w:val="auto"/>
          <w:sz w:val="21"/>
          <w:szCs w:val="21"/>
          <w:highlight w:val="none"/>
          <w:lang w:bidi="ar"/>
        </w:rPr>
        <w:t>原文：2</w:t>
      </w:r>
      <w:r>
        <w:rPr>
          <w:rFonts w:hint="eastAsia" w:ascii="宋体" w:hAnsi="宋体" w:eastAsia="宋体" w:cs="宋体"/>
          <w:b/>
          <w:bCs/>
          <w:color w:val="auto"/>
          <w:sz w:val="21"/>
          <w:szCs w:val="21"/>
          <w:highlight w:val="none"/>
          <w:lang w:val="en-US" w:eastAsia="zh-CN" w:bidi="ar"/>
        </w:rPr>
        <w:t>9</w:t>
      </w:r>
      <w:r>
        <w:rPr>
          <w:rFonts w:hint="eastAsia" w:ascii="宋体" w:hAnsi="宋体" w:eastAsia="宋体" w:cs="宋体"/>
          <w:b/>
          <w:bCs/>
          <w:color w:val="auto"/>
          <w:sz w:val="21"/>
          <w:szCs w:val="21"/>
          <w:highlight w:val="none"/>
          <w:lang w:bidi="ar"/>
        </w:rPr>
        <w:t>.1</w:t>
      </w:r>
      <w:r>
        <w:rPr>
          <w:rFonts w:hint="eastAsia" w:ascii="宋体" w:hAnsi="宋体"/>
          <w:color w:val="auto"/>
          <w:sz w:val="21"/>
          <w:szCs w:val="21"/>
          <w:highlight w:val="none"/>
        </w:rPr>
        <w:t>招标人与中标人将于中标通知书发出之日起</w:t>
      </w:r>
      <w:r>
        <w:rPr>
          <w:rFonts w:ascii="宋体" w:hAnsi="宋体"/>
          <w:color w:val="auto"/>
          <w:sz w:val="21"/>
          <w:szCs w:val="21"/>
          <w:highlight w:val="none"/>
        </w:rPr>
        <w:t>30</w:t>
      </w:r>
      <w:r>
        <w:rPr>
          <w:rFonts w:hint="eastAsia" w:ascii="宋体" w:hAnsi="宋体"/>
          <w:color w:val="auto"/>
          <w:sz w:val="21"/>
          <w:szCs w:val="21"/>
          <w:highlight w:val="none"/>
        </w:rPr>
        <w:t>日内，按照招标文件和中标人的投标文件商定和签订合同，招标人和中标人不得再行订立背离合同实质性内容的其他协议</w:t>
      </w:r>
      <w:r>
        <w:rPr>
          <w:rFonts w:hint="eastAsia" w:ascii="宋体" w:hAnsi="宋体" w:eastAsia="宋体" w:cs="宋体"/>
          <w:color w:val="auto"/>
          <w:sz w:val="21"/>
          <w:szCs w:val="21"/>
          <w:highlight w:val="none"/>
          <w:lang w:bidi="ar"/>
        </w:rPr>
        <w:t>。</w:t>
      </w:r>
    </w:p>
    <w:p>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lang w:bidi="ar"/>
        </w:rPr>
      </w:pPr>
      <w:r>
        <w:rPr>
          <w:rFonts w:hint="eastAsia" w:ascii="宋体" w:hAnsi="宋体" w:eastAsia="宋体" w:cs="宋体"/>
          <w:b/>
          <w:bCs/>
          <w:color w:val="auto"/>
          <w:sz w:val="21"/>
          <w:szCs w:val="21"/>
          <w:highlight w:val="none"/>
          <w:lang w:bidi="ar"/>
        </w:rPr>
        <w:t>现文：2</w:t>
      </w:r>
      <w:r>
        <w:rPr>
          <w:rFonts w:hint="eastAsia" w:ascii="宋体" w:hAnsi="宋体" w:cs="宋体"/>
          <w:b/>
          <w:bCs/>
          <w:color w:val="auto"/>
          <w:sz w:val="21"/>
          <w:szCs w:val="21"/>
          <w:highlight w:val="none"/>
          <w:lang w:val="en-US" w:eastAsia="zh-CN" w:bidi="ar"/>
        </w:rPr>
        <w:t>9</w:t>
      </w:r>
      <w:r>
        <w:rPr>
          <w:rFonts w:hint="eastAsia" w:ascii="宋体" w:hAnsi="宋体" w:eastAsia="宋体" w:cs="宋体"/>
          <w:b/>
          <w:bCs/>
          <w:color w:val="auto"/>
          <w:sz w:val="21"/>
          <w:szCs w:val="21"/>
          <w:highlight w:val="none"/>
          <w:lang w:bidi="ar"/>
        </w:rPr>
        <w:t>.1</w:t>
      </w:r>
      <w:r>
        <w:rPr>
          <w:rFonts w:hint="eastAsia" w:ascii="宋体" w:hAnsi="宋体" w:eastAsia="宋体" w:cs="宋体"/>
          <w:color w:val="auto"/>
          <w:sz w:val="21"/>
          <w:szCs w:val="21"/>
          <w:highlight w:val="none"/>
          <w:u w:val="single"/>
          <w:lang w:bidi="ar"/>
        </w:rPr>
        <w:t>根据《广州市交通运输局转发广东省发展和改革委员会等8部门关于印发广东省工程建设项目电子招标投标交易规则的通知》（穗交运函</w:t>
      </w:r>
      <w:r>
        <w:rPr>
          <w:rFonts w:hint="eastAsia" w:ascii="宋体" w:hAnsi="宋体" w:eastAsia="宋体" w:cs="宋体"/>
          <w:color w:val="auto"/>
          <w:sz w:val="21"/>
          <w:szCs w:val="21"/>
          <w:highlight w:val="none"/>
          <w:u w:val="single"/>
          <w:lang w:eastAsia="zh-CN" w:bidi="ar"/>
        </w:rPr>
        <w:t>〔2023〕117号</w:t>
      </w:r>
      <w:r>
        <w:rPr>
          <w:rFonts w:hint="eastAsia" w:ascii="宋体" w:hAnsi="宋体" w:eastAsia="宋体" w:cs="宋体"/>
          <w:color w:val="auto"/>
          <w:sz w:val="21"/>
          <w:szCs w:val="21"/>
          <w:highlight w:val="none"/>
          <w:u w:val="single"/>
          <w:lang w:bidi="ar"/>
        </w:rPr>
        <w:t>）的要求</w:t>
      </w:r>
      <w:r>
        <w:rPr>
          <w:rFonts w:hint="eastAsia" w:ascii="宋体" w:hAnsi="宋体" w:cs="宋体"/>
          <w:color w:val="auto"/>
          <w:sz w:val="21"/>
          <w:szCs w:val="21"/>
          <w:highlight w:val="none"/>
          <w:u w:val="single"/>
          <w:lang w:eastAsia="zh-CN" w:bidi="ar"/>
        </w:rPr>
        <w:t>（</w:t>
      </w:r>
      <w:r>
        <w:rPr>
          <w:rFonts w:hint="eastAsia" w:ascii="宋体" w:hAnsi="宋体" w:cs="宋体"/>
          <w:color w:val="auto"/>
          <w:sz w:val="21"/>
          <w:szCs w:val="21"/>
          <w:highlight w:val="none"/>
          <w:u w:val="single"/>
          <w:lang w:bidi="ar"/>
        </w:rPr>
        <w:t>如有新的</w:t>
      </w:r>
      <w:r>
        <w:rPr>
          <w:rFonts w:hint="eastAsia" w:ascii="宋体" w:hAnsi="宋体" w:cs="宋体"/>
          <w:color w:val="auto"/>
          <w:sz w:val="21"/>
          <w:szCs w:val="21"/>
          <w:highlight w:val="none"/>
          <w:u w:val="single"/>
          <w:lang w:val="en-US" w:eastAsia="zh-CN" w:bidi="ar"/>
        </w:rPr>
        <w:t>指引要求</w:t>
      </w:r>
      <w:r>
        <w:rPr>
          <w:rFonts w:hint="eastAsia" w:ascii="宋体" w:hAnsi="宋体" w:cs="宋体"/>
          <w:color w:val="auto"/>
          <w:sz w:val="21"/>
          <w:szCs w:val="21"/>
          <w:highlight w:val="none"/>
          <w:u w:val="single"/>
          <w:lang w:bidi="ar"/>
        </w:rPr>
        <w:t>，则按新的</w:t>
      </w:r>
      <w:r>
        <w:rPr>
          <w:rFonts w:hint="eastAsia" w:ascii="宋体" w:hAnsi="宋体" w:cs="宋体"/>
          <w:color w:val="auto"/>
          <w:sz w:val="21"/>
          <w:szCs w:val="21"/>
          <w:highlight w:val="none"/>
          <w:u w:val="single"/>
          <w:lang w:val="en-US" w:eastAsia="zh-CN" w:bidi="ar"/>
        </w:rPr>
        <w:t>指引要求</w:t>
      </w:r>
      <w:r>
        <w:rPr>
          <w:rFonts w:hint="eastAsia" w:ascii="宋体" w:hAnsi="宋体" w:cs="宋体"/>
          <w:color w:val="auto"/>
          <w:sz w:val="21"/>
          <w:szCs w:val="21"/>
          <w:highlight w:val="none"/>
          <w:u w:val="single"/>
          <w:lang w:bidi="ar"/>
        </w:rPr>
        <w:t>执行</w:t>
      </w:r>
      <w:r>
        <w:rPr>
          <w:rFonts w:hint="eastAsia" w:ascii="宋体" w:hAnsi="宋体" w:cs="宋体"/>
          <w:color w:val="auto"/>
          <w:sz w:val="21"/>
          <w:szCs w:val="21"/>
          <w:highlight w:val="none"/>
          <w:u w:val="single"/>
          <w:lang w:eastAsia="zh-CN" w:bidi="ar"/>
        </w:rPr>
        <w:t>）</w:t>
      </w:r>
      <w:r>
        <w:rPr>
          <w:rFonts w:hint="eastAsia" w:ascii="宋体" w:hAnsi="宋体" w:eastAsia="宋体" w:cs="宋体"/>
          <w:color w:val="auto"/>
          <w:sz w:val="21"/>
          <w:szCs w:val="21"/>
          <w:highlight w:val="none"/>
          <w:u w:val="single"/>
          <w:lang w:bidi="ar"/>
        </w:rPr>
        <w:t>，招标人和中标人应当在中标通知书发出之日起30日内，通过电子交易系统，以数据电文形式签订合同</w:t>
      </w:r>
      <w:r>
        <w:rPr>
          <w:rFonts w:hint="eastAsia" w:ascii="宋体" w:hAnsi="宋体" w:eastAsia="宋体" w:cs="宋体"/>
          <w:color w:val="auto"/>
          <w:sz w:val="21"/>
          <w:szCs w:val="21"/>
          <w:highlight w:val="none"/>
          <w:lang w:bidi="ar"/>
        </w:rPr>
        <w:t>，招标人和中标人不得再行订立背离合同实质性内容的其他协议。</w:t>
      </w:r>
    </w:p>
    <w:p>
      <w:pPr>
        <w:spacing w:line="440" w:lineRule="exact"/>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eastAsia="宋体" w:cs="宋体"/>
          <w:b/>
          <w:bCs/>
          <w:color w:val="auto"/>
          <w:szCs w:val="21"/>
          <w:highlight w:val="none"/>
          <w:lang w:eastAsia="zh-CN"/>
        </w:rPr>
        <w:t>3</w:t>
      </w:r>
      <w:r>
        <w:rPr>
          <w:rFonts w:hint="eastAsia" w:ascii="宋体" w:hAnsi="宋体" w:eastAsia="宋体" w:cs="宋体"/>
          <w:b/>
          <w:bCs/>
          <w:color w:val="auto"/>
          <w:szCs w:val="21"/>
          <w:highlight w:val="none"/>
          <w:lang w:val="en-US" w:eastAsia="zh-CN"/>
        </w:rPr>
        <w:t>0</w:t>
      </w:r>
      <w:r>
        <w:rPr>
          <w:rFonts w:hint="eastAsia" w:ascii="宋体" w:hAnsi="宋体" w:cs="宋体"/>
          <w:b/>
          <w:bCs/>
          <w:color w:val="auto"/>
          <w:szCs w:val="21"/>
          <w:highlight w:val="none"/>
        </w:rPr>
        <w:t xml:space="preserve">.1 </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修改类型：修改</w:t>
      </w:r>
    </w:p>
    <w:p>
      <w:pPr>
        <w:snapToGrid w:val="0"/>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b/>
          <w:bCs w:val="0"/>
          <w:color w:val="auto"/>
          <w:szCs w:val="21"/>
          <w:highlight w:val="none"/>
        </w:rPr>
        <w:t>：</w:t>
      </w:r>
      <w:r>
        <w:rPr>
          <w:rFonts w:hint="eastAsia" w:ascii="宋体" w:hAnsi="宋体" w:eastAsia="宋体" w:cs="宋体"/>
          <w:b/>
          <w:bCs w:val="0"/>
          <w:color w:val="auto"/>
          <w:szCs w:val="21"/>
          <w:highlight w:val="none"/>
          <w:lang w:eastAsia="zh-CN"/>
        </w:rPr>
        <w:t>3</w:t>
      </w:r>
      <w:r>
        <w:rPr>
          <w:rFonts w:hint="eastAsia" w:ascii="宋体" w:hAnsi="宋体" w:eastAsia="宋体" w:cs="宋体"/>
          <w:b/>
          <w:bCs w:val="0"/>
          <w:color w:val="auto"/>
          <w:szCs w:val="21"/>
          <w:highlight w:val="none"/>
          <w:lang w:val="en-US" w:eastAsia="zh-CN"/>
        </w:rPr>
        <w:t>0</w:t>
      </w:r>
      <w:r>
        <w:rPr>
          <w:rFonts w:hint="eastAsia" w:ascii="宋体" w:hAnsi="宋体" w:cs="宋体"/>
          <w:b/>
          <w:bCs w:val="0"/>
          <w:color w:val="auto"/>
          <w:szCs w:val="21"/>
          <w:highlight w:val="none"/>
        </w:rPr>
        <w:t>.1</w:t>
      </w:r>
      <w:r>
        <w:rPr>
          <w:rFonts w:hint="eastAsia" w:ascii="宋体" w:hAnsi="宋体" w:eastAsia="宋体" w:cs="宋体"/>
          <w:color w:val="auto"/>
          <w:szCs w:val="21"/>
          <w:highlight w:val="none"/>
        </w:rPr>
        <w:t>在收到中标通知书后的15日内，中标人应按本须知前附表第20项的规定向招标人提交履约担保</w:t>
      </w:r>
      <w:r>
        <w:rPr>
          <w:rFonts w:hint="eastAsia" w:ascii="宋体" w:hAnsi="宋体" w:cs="宋体"/>
          <w:color w:val="auto"/>
          <w:szCs w:val="21"/>
          <w:highlight w:val="none"/>
        </w:rPr>
        <w:t>。</w:t>
      </w:r>
    </w:p>
    <w:p>
      <w:pPr>
        <w:pBdr>
          <w:bottom w:val="single" w:color="auto" w:sz="6" w:space="1"/>
        </w:pBdr>
        <w:spacing w:line="440" w:lineRule="exact"/>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bookmarkStart w:id="17" w:name="OLE_LINK3"/>
      <w:r>
        <w:rPr>
          <w:rFonts w:hint="eastAsia" w:ascii="宋体" w:hAnsi="宋体" w:eastAsia="宋体" w:cs="宋体"/>
          <w:b/>
          <w:bCs w:val="0"/>
          <w:color w:val="auto"/>
          <w:szCs w:val="21"/>
          <w:highlight w:val="none"/>
        </w:rPr>
        <w:t>：</w:t>
      </w:r>
      <w:r>
        <w:rPr>
          <w:rFonts w:hint="eastAsia" w:ascii="宋体" w:hAnsi="宋体" w:eastAsia="宋体" w:cs="宋体"/>
          <w:b/>
          <w:bCs w:val="0"/>
          <w:color w:val="auto"/>
          <w:szCs w:val="21"/>
          <w:highlight w:val="none"/>
          <w:lang w:eastAsia="zh-CN"/>
        </w:rPr>
        <w:t>3</w:t>
      </w:r>
      <w:r>
        <w:rPr>
          <w:rFonts w:hint="eastAsia" w:ascii="宋体" w:hAnsi="宋体" w:eastAsia="宋体" w:cs="宋体"/>
          <w:b/>
          <w:bCs w:val="0"/>
          <w:color w:val="auto"/>
          <w:szCs w:val="21"/>
          <w:highlight w:val="none"/>
          <w:lang w:val="en-US" w:eastAsia="zh-CN"/>
        </w:rPr>
        <w:t>0</w:t>
      </w:r>
      <w:r>
        <w:rPr>
          <w:rFonts w:hint="eastAsia" w:ascii="宋体" w:hAnsi="宋体" w:eastAsia="宋体" w:cs="宋体"/>
          <w:b/>
          <w:bCs w:val="0"/>
          <w:color w:val="auto"/>
          <w:szCs w:val="21"/>
          <w:highlight w:val="none"/>
        </w:rPr>
        <w:t>.1</w:t>
      </w:r>
      <w:bookmarkEnd w:id="17"/>
      <w:r>
        <w:rPr>
          <w:rFonts w:hint="eastAsia" w:ascii="宋体" w:hAnsi="宋体" w:eastAsia="宋体" w:cs="宋体"/>
          <w:color w:val="auto"/>
          <w:szCs w:val="21"/>
          <w:highlight w:val="none"/>
        </w:rPr>
        <w:t>在收到中标通知书后的</w:t>
      </w:r>
      <w:r>
        <w:rPr>
          <w:rFonts w:hint="eastAsia" w:ascii="宋体" w:hAnsi="宋体" w:eastAsia="宋体" w:cs="宋体"/>
          <w:color w:val="auto"/>
          <w:szCs w:val="21"/>
          <w:highlight w:val="none"/>
          <w:u w:val="single"/>
          <w:lang w:val="en-US" w:eastAsia="zh-CN"/>
        </w:rPr>
        <w:t>28</w:t>
      </w:r>
      <w:r>
        <w:rPr>
          <w:rFonts w:hint="eastAsia" w:ascii="宋体" w:hAnsi="宋体" w:eastAsia="宋体" w:cs="宋体"/>
          <w:color w:val="auto"/>
          <w:szCs w:val="21"/>
          <w:highlight w:val="none"/>
          <w:u w:val="single"/>
        </w:rPr>
        <w:t>日内</w:t>
      </w:r>
      <w:r>
        <w:rPr>
          <w:rFonts w:hint="eastAsia" w:ascii="宋体" w:hAnsi="宋体" w:eastAsia="宋体" w:cs="宋体"/>
          <w:color w:val="auto"/>
          <w:szCs w:val="21"/>
          <w:highlight w:val="none"/>
        </w:rPr>
        <w:t>，中标人应按本须知前附表第</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项</w:t>
      </w:r>
      <w:r>
        <w:rPr>
          <w:rFonts w:hint="eastAsia" w:ascii="宋体" w:hAnsi="宋体" w:eastAsia="宋体" w:cs="宋体"/>
          <w:color w:val="auto"/>
          <w:szCs w:val="21"/>
          <w:highlight w:val="none"/>
        </w:rPr>
        <w:t>的规定向招标人提交履约担保</w:t>
      </w:r>
      <w:r>
        <w:rPr>
          <w:rFonts w:hint="eastAsia" w:ascii="宋体" w:hAnsi="宋体" w:cs="宋体"/>
          <w:color w:val="auto"/>
          <w:szCs w:val="21"/>
          <w:highlight w:val="none"/>
        </w:rPr>
        <w:t>。</w:t>
      </w:r>
    </w:p>
    <w:p>
      <w:pPr>
        <w:spacing w:line="48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bCs/>
          <w:color w:val="auto"/>
          <w:sz w:val="21"/>
          <w:szCs w:val="21"/>
          <w:highlight w:val="none"/>
          <w:lang w:eastAsia="zh-CN"/>
        </w:rPr>
        <w:t>3</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.2</w:t>
      </w:r>
      <w:r>
        <w:rPr>
          <w:rFonts w:hint="eastAsia" w:ascii="宋体" w:hAnsi="宋体" w:eastAsia="宋体" w:cs="宋体"/>
          <w:b/>
          <w:color w:val="auto"/>
          <w:sz w:val="21"/>
          <w:szCs w:val="21"/>
          <w:highlight w:val="none"/>
        </w:rPr>
        <w:t xml:space="preserve">             修改类型：修改</w:t>
      </w:r>
    </w:p>
    <w:p>
      <w:pPr>
        <w:spacing w:line="360" w:lineRule="auto"/>
        <w:ind w:firstLine="422" w:firstLineChars="200"/>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原文：</w:t>
      </w:r>
      <w:r>
        <w:rPr>
          <w:rFonts w:hint="eastAsia" w:ascii="宋体" w:hAnsi="宋体" w:eastAsia="宋体" w:cs="宋体"/>
          <w:b/>
          <w:bCs/>
          <w:color w:val="auto"/>
          <w:sz w:val="21"/>
          <w:szCs w:val="21"/>
          <w:highlight w:val="none"/>
          <w:lang w:eastAsia="zh-CN"/>
        </w:rPr>
        <w:t>3</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rPr>
        <w:t>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Bdr>
          <w:bottom w:val="single" w:color="auto" w:sz="6" w:space="1"/>
        </w:pBd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eastAsia="zh-CN"/>
        </w:rPr>
        <w:t>3</w:t>
      </w:r>
      <w:r>
        <w:rPr>
          <w:rFonts w:hint="eastAsia" w:ascii="宋体" w:hAnsi="宋体" w:eastAsia="宋体" w:cs="宋体"/>
          <w:b/>
          <w:bCs w:val="0"/>
          <w:color w:val="auto"/>
          <w:sz w:val="21"/>
          <w:szCs w:val="21"/>
          <w:highlight w:val="none"/>
          <w:lang w:val="en-US" w:eastAsia="zh-CN"/>
        </w:rPr>
        <w:t>0</w:t>
      </w:r>
      <w:r>
        <w:rPr>
          <w:rFonts w:hint="eastAsia" w:ascii="宋体" w:hAnsi="宋体" w:eastAsia="宋体" w:cs="宋体"/>
          <w:b/>
          <w:bCs w:val="0"/>
          <w:color w:val="auto"/>
          <w:sz w:val="21"/>
          <w:szCs w:val="21"/>
          <w:highlight w:val="none"/>
        </w:rPr>
        <w:t>.2</w:t>
      </w:r>
      <w:r>
        <w:rPr>
          <w:rFonts w:hint="eastAsia" w:ascii="宋体" w:hAnsi="宋体" w:eastAsia="宋体" w:cs="宋体"/>
          <w:color w:val="auto"/>
          <w:sz w:val="21"/>
          <w:szCs w:val="21"/>
          <w:highlight w:val="none"/>
        </w:rPr>
        <w:t>中标通知书发出之日起</w:t>
      </w:r>
      <w:r>
        <w:rPr>
          <w:rFonts w:hint="eastAsia" w:ascii="宋体" w:hAnsi="宋体" w:eastAsia="宋体" w:cs="宋体"/>
          <w:color w:val="auto"/>
          <w:sz w:val="21"/>
          <w:szCs w:val="21"/>
          <w:highlight w:val="none"/>
          <w:u w:val="single"/>
          <w:lang w:val="en-US" w:eastAsia="zh-CN"/>
        </w:rPr>
        <w:t>28</w:t>
      </w:r>
      <w:r>
        <w:rPr>
          <w:rFonts w:hint="eastAsia" w:ascii="宋体" w:hAnsi="宋体" w:eastAsia="宋体" w:cs="宋体"/>
          <w:color w:val="auto"/>
          <w:sz w:val="21"/>
          <w:szCs w:val="21"/>
          <w:highlight w:val="none"/>
          <w:u w:val="single"/>
        </w:rPr>
        <w:t>日后</w:t>
      </w:r>
      <w:r>
        <w:rPr>
          <w:rFonts w:hint="eastAsia" w:ascii="宋体" w:hAnsi="宋体" w:eastAsia="宋体" w:cs="宋体"/>
          <w:color w:val="auto"/>
          <w:sz w:val="21"/>
          <w:szCs w:val="21"/>
          <w:highlight w:val="none"/>
        </w:rPr>
        <w:t>，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条款号：3</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.1                      修改类型：修改</w:t>
      </w:r>
    </w:p>
    <w:p>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.1</w:t>
      </w:r>
      <w:r>
        <w:rPr>
          <w:rFonts w:hint="eastAsia" w:ascii="宋体" w:hAnsi="宋体"/>
          <w:color w:val="auto"/>
          <w:sz w:val="21"/>
          <w:szCs w:val="21"/>
          <w:highlight w:val="none"/>
        </w:rPr>
        <w:t>在合同双方全权代表在合同协议书上签字，并分别加盖双方单位的公章后，合同正式生效</w:t>
      </w:r>
      <w:r>
        <w:rPr>
          <w:rFonts w:hint="eastAsia" w:ascii="宋体" w:hAnsi="宋体" w:eastAsia="宋体" w:cs="宋体"/>
          <w:color w:val="auto"/>
          <w:sz w:val="21"/>
          <w:szCs w:val="21"/>
          <w:highlight w:val="none"/>
        </w:rPr>
        <w:t>。</w:t>
      </w:r>
    </w:p>
    <w:p>
      <w:pPr>
        <w:keepNext w:val="0"/>
        <w:keepLines w:val="0"/>
        <w:pageBreakBefore w:val="0"/>
        <w:widowControl w:val="0"/>
        <w:pBdr>
          <w:bottom w:val="single" w:color="auto" w:sz="6" w:space="1"/>
        </w:pBdr>
        <w:kinsoku/>
        <w:wordWrap/>
        <w:overflowPunct/>
        <w:topLinePunct w:val="0"/>
        <w:autoSpaceDE/>
        <w:autoSpaceDN/>
        <w:bidi w:val="0"/>
        <w:adjustRightInd w:val="0"/>
        <w:snapToGrid/>
        <w:spacing w:line="360" w:lineRule="auto"/>
        <w:ind w:firstLine="422" w:firstLineChars="200"/>
        <w:textAlignment w:val="baseline"/>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.1</w:t>
      </w:r>
      <w:r>
        <w:rPr>
          <w:rFonts w:hint="eastAsia" w:ascii="宋体" w:hAnsi="宋体" w:eastAsia="宋体" w:cs="宋体"/>
          <w:color w:val="auto"/>
          <w:sz w:val="21"/>
          <w:szCs w:val="21"/>
          <w:highlight w:val="none"/>
        </w:rPr>
        <w:t>在合同双方全权代表在合同协议书上签字，并分别加盖双方单位的公章</w:t>
      </w:r>
      <w:r>
        <w:rPr>
          <w:rFonts w:hint="eastAsia" w:ascii="宋体" w:hAnsi="宋体" w:eastAsia="宋体" w:cs="宋体"/>
          <w:color w:val="auto"/>
          <w:sz w:val="21"/>
          <w:szCs w:val="21"/>
          <w:highlight w:val="none"/>
          <w:u w:val="single"/>
        </w:rPr>
        <w:t>且承包人提交履约担保后</w:t>
      </w:r>
      <w:r>
        <w:rPr>
          <w:rFonts w:hint="eastAsia" w:ascii="宋体" w:hAnsi="宋体" w:eastAsia="宋体" w:cs="宋体"/>
          <w:color w:val="auto"/>
          <w:sz w:val="21"/>
          <w:szCs w:val="21"/>
          <w:highlight w:val="none"/>
          <w:u w:val="none"/>
        </w:rPr>
        <w:t>，合同正式生效。</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条款号：3</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 xml:space="preserve">                        修改类型：修改</w:t>
      </w:r>
    </w:p>
    <w:p>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原文：</w:t>
      </w:r>
      <w:r>
        <w:rPr>
          <w:rFonts w:hint="eastAsia" w:ascii="宋体" w:hAnsi="宋体" w:cs="宋体"/>
          <w:b/>
          <w:bCs/>
          <w:color w:val="auto"/>
          <w:sz w:val="21"/>
          <w:szCs w:val="21"/>
          <w:highlight w:val="none"/>
          <w:lang w:val="en-US" w:eastAsia="zh-CN"/>
        </w:rPr>
        <w:t>34.</w:t>
      </w:r>
      <w:r>
        <w:rPr>
          <w:rFonts w:hint="eastAsia" w:ascii="宋体" w:hAnsi="宋体" w:eastAsia="宋体" w:cs="宋体"/>
          <w:b/>
          <w:bCs/>
          <w:color w:val="auto"/>
          <w:sz w:val="21"/>
          <w:szCs w:val="21"/>
          <w:highlight w:val="none"/>
        </w:rPr>
        <w:t>其它费用</w:t>
      </w:r>
    </w:p>
    <w:p>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4</w:t>
      </w:r>
      <w:r>
        <w:rPr>
          <w:rFonts w:hint="eastAsia" w:ascii="宋体" w:hAnsi="宋体" w:cs="宋体"/>
          <w:b/>
          <w:bCs/>
          <w:color w:val="auto"/>
          <w:sz w:val="21"/>
          <w:szCs w:val="21"/>
          <w:highlight w:val="none"/>
          <w:lang w:val="en-US" w:eastAsia="zh-CN"/>
        </w:rPr>
        <w:t>.</w:t>
      </w:r>
      <w:r>
        <w:rPr>
          <w:rFonts w:hint="eastAsia" w:ascii="宋体" w:hAnsi="宋体" w:eastAsia="宋体" w:cs="宋体"/>
          <w:bCs/>
          <w:color w:val="auto"/>
          <w:sz w:val="21"/>
          <w:szCs w:val="21"/>
          <w:highlight w:val="none"/>
        </w:rPr>
        <w:t>其它费用：</w:t>
      </w:r>
      <w:r>
        <w:rPr>
          <w:rFonts w:hint="eastAsia" w:ascii="宋体" w:hAnsi="宋体" w:eastAsia="宋体" w:cs="宋体"/>
          <w:color w:val="auto"/>
          <w:sz w:val="21"/>
          <w:szCs w:val="21"/>
          <w:highlight w:val="none"/>
          <w:u w:val="single"/>
        </w:rPr>
        <w:t>中标人自行支付公共资源交易服务费，交易中心向中标人开具增值税发票。</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条款号：3</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bCs/>
          <w:color w:val="auto"/>
          <w:sz w:val="21"/>
          <w:szCs w:val="21"/>
          <w:highlight w:val="none"/>
        </w:rPr>
        <w:t xml:space="preserve">                        </w:t>
      </w:r>
      <w:r>
        <w:rPr>
          <w:rFonts w:hint="eastAsia" w:ascii="宋体" w:hAnsi="宋体" w:eastAsia="宋体" w:cs="宋体"/>
          <w:b/>
          <w:color w:val="auto"/>
          <w:sz w:val="21"/>
          <w:szCs w:val="21"/>
          <w:highlight w:val="none"/>
        </w:rPr>
        <w:t>修改类型：增加</w:t>
      </w:r>
    </w:p>
    <w:p>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u w:val="single"/>
        </w:rPr>
        <w:t>3</w:t>
      </w:r>
      <w:r>
        <w:rPr>
          <w:rFonts w:hint="eastAsia" w:ascii="宋体" w:hAnsi="宋体" w:eastAsia="宋体"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rPr>
        <w:t>.</w:t>
      </w:r>
      <w:r>
        <w:rPr>
          <w:rFonts w:hint="eastAsia" w:ascii="宋体" w:hAnsi="宋体" w:eastAsia="宋体" w:cs="宋体"/>
          <w:color w:val="auto"/>
          <w:sz w:val="21"/>
          <w:szCs w:val="21"/>
          <w:highlight w:val="none"/>
          <w:u w:val="single"/>
        </w:rPr>
        <w:t>中标单位在本项目结束中标公示后3天内，须提供与递交投标文件电子标书内容一致且每页加盖单位公章的纸质文件</w:t>
      </w:r>
      <w:r>
        <w:rPr>
          <w:rFonts w:hint="eastAsia" w:ascii="宋体" w:hAnsi="宋体" w:cs="宋体"/>
          <w:color w:val="auto"/>
          <w:sz w:val="21"/>
          <w:szCs w:val="21"/>
          <w:highlight w:val="none"/>
          <w:u w:val="single"/>
          <w:lang w:val="en-US" w:eastAsia="zh-CN"/>
        </w:rPr>
        <w:t>二</w:t>
      </w:r>
      <w:r>
        <w:rPr>
          <w:rFonts w:hint="eastAsia" w:ascii="宋体" w:hAnsi="宋体" w:eastAsia="宋体" w:cs="宋体"/>
          <w:color w:val="auto"/>
          <w:sz w:val="21"/>
          <w:szCs w:val="21"/>
          <w:highlight w:val="none"/>
          <w:u w:val="single"/>
        </w:rPr>
        <w:t>套（原件）及电子文件二套（不用生成投标书）送达招标人；内容包括完整投标文件。电子文件介质使用U盘或CD-R光盘，所有电子文件不能采用压缩处理。</w:t>
      </w:r>
    </w:p>
    <w:p>
      <w:pPr>
        <w:spacing w:line="360" w:lineRule="auto"/>
        <w:ind w:firstLine="211" w:firstLineChars="100"/>
        <w:rPr>
          <w:b/>
          <w:color w:val="auto"/>
          <w:szCs w:val="21"/>
          <w:highlight w:val="none"/>
        </w:rPr>
      </w:pPr>
      <w:r>
        <w:rPr>
          <w:rFonts w:hint="eastAsia"/>
          <w:b/>
          <w:color w:val="auto"/>
          <w:szCs w:val="21"/>
          <w:highlight w:val="none"/>
        </w:rPr>
        <w:t>注：以上修改，仅限于本范本中有可供选择条款的情形。</w:t>
      </w:r>
    </w:p>
    <w:p>
      <w:pPr>
        <w:spacing w:line="360" w:lineRule="auto"/>
        <w:rPr>
          <w:color w:val="auto"/>
          <w:highlight w:val="none"/>
        </w:rPr>
      </w:pPr>
      <w:r>
        <w:rPr>
          <w:rFonts w:hint="eastAsia"/>
          <w:b/>
          <w:color w:val="auto"/>
          <w:szCs w:val="21"/>
          <w:highlight w:val="none"/>
        </w:rPr>
        <w:t>（以下无正文）</w:t>
      </w:r>
    </w:p>
    <w:p>
      <w:pPr>
        <w:pStyle w:val="7"/>
        <w:rPr>
          <w:color w:val="auto"/>
          <w:highlight w:val="none"/>
        </w:rPr>
      </w:pPr>
      <w:r>
        <w:rPr>
          <w:color w:val="auto"/>
          <w:highlight w:val="none"/>
        </w:rPr>
        <w:br w:type="page"/>
      </w:r>
      <w:bookmarkStart w:id="18" w:name="_Toc12778"/>
      <w:bookmarkStart w:id="19" w:name="_Toc19765"/>
      <w:bookmarkStart w:id="20" w:name="_Toc2272548"/>
      <w:bookmarkStart w:id="21" w:name="_Toc21525492"/>
      <w:r>
        <w:rPr>
          <w:rFonts w:hint="eastAsia"/>
          <w:color w:val="auto"/>
          <w:highlight w:val="none"/>
        </w:rPr>
        <w:t>三、投标须知通用条款</w:t>
      </w:r>
      <w:bookmarkEnd w:id="18"/>
      <w:bookmarkEnd w:id="19"/>
      <w:bookmarkEnd w:id="20"/>
      <w:bookmarkEnd w:id="21"/>
    </w:p>
    <w:p>
      <w:pPr>
        <w:pStyle w:val="8"/>
        <w:bidi w:val="0"/>
        <w:rPr>
          <w:color w:val="auto"/>
          <w:highlight w:val="none"/>
        </w:rPr>
      </w:pPr>
      <w:bookmarkStart w:id="22" w:name="_Toc2272549"/>
      <w:bookmarkStart w:id="23" w:name="_Toc821"/>
      <w:bookmarkStart w:id="24" w:name="_Toc752"/>
      <w:bookmarkStart w:id="25" w:name="_Toc21525493"/>
      <w:r>
        <w:rPr>
          <w:rFonts w:hint="eastAsia"/>
          <w:color w:val="auto"/>
          <w:highlight w:val="none"/>
        </w:rPr>
        <w:t>（一）总则</w:t>
      </w:r>
      <w:bookmarkEnd w:id="22"/>
      <w:bookmarkEnd w:id="23"/>
      <w:bookmarkEnd w:id="24"/>
      <w:bookmarkEnd w:id="25"/>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、定义</w:t>
      </w:r>
    </w:p>
    <w:p>
      <w:pPr>
        <w:pStyle w:val="5"/>
        <w:spacing w:after="0"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pPr>
        <w:pStyle w:val="5"/>
        <w:spacing w:after="0"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pPr>
        <w:pStyle w:val="5"/>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r>
        <w:rPr>
          <w:rFonts w:ascii="宋体" w:hAnsi="宋体"/>
          <w:color w:val="auto"/>
          <w:sz w:val="24"/>
          <w:highlight w:val="none"/>
        </w:rPr>
        <w:t xml:space="preserve">   </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pPr>
        <w:pStyle w:val="5"/>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pPr>
        <w:spacing w:line="360" w:lineRule="auto"/>
        <w:ind w:firstLine="482"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w:t>
      </w:r>
      <w:r>
        <w:rPr>
          <w:rFonts w:hint="eastAsia" w:ascii="宋体" w:hAnsi="宋体"/>
          <w:bCs/>
          <w:color w:val="auto"/>
          <w:sz w:val="24"/>
          <w:highlight w:val="none"/>
          <w:lang w:eastAsia="zh-CN"/>
        </w:rPr>
        <w:t>招标项目名称、</w:t>
      </w:r>
      <w:r>
        <w:rPr>
          <w:rFonts w:hint="eastAsia" w:ascii="宋体" w:hAnsi="宋体"/>
          <w:bCs/>
          <w:color w:val="auto"/>
          <w:sz w:val="24"/>
          <w:highlight w:val="none"/>
        </w:rPr>
        <w:t>建设地点、建设规模、承包方式、质量标准、招标范围、工期要求等均在投标须知前附表中列明。</w:t>
      </w:r>
    </w:p>
    <w:p>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pPr>
        <w:spacing w:line="360" w:lineRule="auto"/>
        <w:ind w:firstLine="480" w:firstLineChars="200"/>
        <w:rPr>
          <w:rFonts w:asci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pPr>
        <w:spacing w:line="360" w:lineRule="auto"/>
        <w:ind w:firstLine="480" w:firstLineChars="200"/>
        <w:rPr>
          <w:rFonts w:hint="eastAsia" w:ascii="宋体" w:hAnsi="宋体" w:eastAsia="宋体"/>
          <w:bCs/>
          <w:color w:val="auto"/>
          <w:sz w:val="24"/>
          <w:highlight w:val="none"/>
          <w:lang w:eastAsia="zh-CN"/>
        </w:rPr>
      </w:pPr>
      <w:r>
        <w:rPr>
          <w:rFonts w:ascii="宋体" w:hAnsi="宋体"/>
          <w:bCs/>
          <w:color w:val="auto"/>
          <w:sz w:val="24"/>
          <w:highlight w:val="none"/>
        </w:rPr>
        <w:t>4.1</w:t>
      </w:r>
      <w:r>
        <w:rPr>
          <w:rFonts w:hint="eastAsia" w:ascii="宋体" w:hAnsi="宋体"/>
          <w:bCs/>
          <w:color w:val="auto"/>
          <w:sz w:val="24"/>
          <w:highlight w:val="none"/>
          <w:lang w:eastAsia="zh-CN"/>
        </w:rPr>
        <w:t>投标人合格条件</w:t>
      </w:r>
      <w:r>
        <w:rPr>
          <w:rFonts w:hint="eastAsia" w:ascii="宋体" w:hAnsi="宋体"/>
          <w:bCs/>
          <w:color w:val="auto"/>
          <w:sz w:val="24"/>
          <w:highlight w:val="none"/>
        </w:rPr>
        <w:t>详见本项目招标公告</w:t>
      </w:r>
      <w:r>
        <w:rPr>
          <w:rFonts w:hint="eastAsia" w:ascii="宋体" w:hAnsi="宋体"/>
          <w:bCs/>
          <w:color w:val="auto"/>
          <w:sz w:val="24"/>
          <w:highlight w:val="none"/>
          <w:lang w:eastAsia="zh-CN"/>
        </w:rPr>
        <w:t>。</w:t>
      </w:r>
    </w:p>
    <w:p>
      <w:pPr>
        <w:pStyle w:val="21"/>
        <w:ind w:firstLine="480" w:firstLineChars="200"/>
        <w:rPr>
          <w:rFonts w:hint="default" w:eastAsia="宋体"/>
          <w:color w:val="auto"/>
          <w:highlight w:val="none"/>
          <w:lang w:val="en-US" w:eastAsia="zh-CN"/>
        </w:rPr>
      </w:pPr>
      <w:r>
        <w:rPr>
          <w:rFonts w:hint="eastAsia" w:hAnsi="宋体"/>
          <w:bCs/>
          <w:color w:val="auto"/>
          <w:sz w:val="24"/>
          <w:highlight w:val="none"/>
          <w:lang w:val="en-US" w:eastAsia="zh-CN"/>
        </w:rPr>
        <w:t>4.2资格审查方式详见本项目招标公告。</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pPr>
        <w:spacing w:line="360" w:lineRule="auto"/>
        <w:ind w:firstLine="480" w:firstLineChars="200"/>
        <w:rPr>
          <w:rFonts w:hint="eastAsia" w:ascii="宋体" w:hAnsi="宋体"/>
          <w:color w:val="auto"/>
          <w:sz w:val="24"/>
          <w:highlight w:val="none"/>
        </w:rPr>
      </w:pPr>
      <w:r>
        <w:rPr>
          <w:rFonts w:ascii="宋体" w:hAnsi="宋体"/>
          <w:bCs/>
          <w:color w:val="auto"/>
          <w:sz w:val="24"/>
          <w:highlight w:val="none"/>
        </w:rPr>
        <w:t xml:space="preserve">5.1 </w:t>
      </w:r>
      <w:r>
        <w:rPr>
          <w:rFonts w:hint="eastAsia" w:ascii="宋体" w:hAnsi="宋体" w:eastAsia="宋体" w:cs="宋体"/>
          <w:b w:val="0"/>
          <w:bCs/>
          <w:color w:val="auto"/>
          <w:sz w:val="24"/>
          <w:szCs w:val="24"/>
          <w:highlight w:val="none"/>
          <w:lang w:val="en-US" w:eastAsia="zh-CN"/>
        </w:rPr>
        <w:t>投标人应按本投标须知前附表第12项所述时间和要求自行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eastAsia="宋体" w:cs="宋体"/>
          <w:b/>
          <w:bCs w:val="0"/>
          <w:color w:val="auto"/>
          <w:sz w:val="24"/>
          <w:szCs w:val="24"/>
          <w:highlight w:val="none"/>
          <w:u w:val="single"/>
          <w:lang w:val="en-US" w:eastAsia="zh-CN"/>
        </w:rPr>
        <w:t>投标人不进行踏勘的，视为已熟知现场条件，自行承担相关风险。投标人自行勘察并对工程量清单及图纸内容、准确性进行复核，如有误差必须在答疑中提出，否则视为已认可本项目的工程量清单及图纸所有内容。</w:t>
      </w:r>
      <w:r>
        <w:rPr>
          <w:rFonts w:hint="eastAsia" w:ascii="宋体" w:hAnsi="宋体" w:eastAsia="宋体" w:cs="宋体"/>
          <w:b w:val="0"/>
          <w:bCs/>
          <w:color w:val="auto"/>
          <w:sz w:val="24"/>
          <w:szCs w:val="24"/>
          <w:highlight w:val="none"/>
          <w:lang w:val="en-US" w:eastAsia="zh-CN"/>
        </w:rPr>
        <w:t>一旦中标，这种考察即被认为其结果已在中标文件中得到充分反映。</w:t>
      </w:r>
      <w:r>
        <w:rPr>
          <w:rFonts w:hint="eastAsia" w:ascii="宋体" w:hAnsi="宋体" w:eastAsia="宋体" w:cs="宋体"/>
          <w:b/>
          <w:bCs w:val="0"/>
          <w:color w:val="auto"/>
          <w:sz w:val="24"/>
          <w:szCs w:val="24"/>
          <w:highlight w:val="none"/>
          <w:u w:val="single"/>
          <w:lang w:val="en-US" w:eastAsia="zh-CN"/>
        </w:rPr>
        <w:t>招标人不受理因投标人缺乏对现场条件的了解或掌握而提出的任何索赔</w:t>
      </w:r>
      <w:r>
        <w:rPr>
          <w:rFonts w:hint="eastAsia" w:ascii="宋体" w:hAnsi="宋体"/>
          <w:color w:val="auto"/>
          <w:sz w:val="24"/>
          <w:highlight w:val="none"/>
        </w:rPr>
        <w:t>。</w:t>
      </w:r>
    </w:p>
    <w:p>
      <w:pPr>
        <w:spacing w:line="360" w:lineRule="auto"/>
        <w:ind w:firstLine="480" w:firstLineChars="200"/>
        <w:rPr>
          <w:rFonts w:ascii="宋体"/>
          <w:bCs/>
          <w:color w:val="auto"/>
          <w:sz w:val="24"/>
          <w:highlight w:val="none"/>
          <w:u w:val="single"/>
        </w:rPr>
      </w:pPr>
      <w:r>
        <w:rPr>
          <w:rFonts w:hint="eastAsia" w:ascii="宋体" w:hAnsi="宋体"/>
          <w:color w:val="auto"/>
          <w:sz w:val="24"/>
          <w:highlight w:val="none"/>
          <w:lang w:val="en-US" w:eastAsia="zh-CN"/>
        </w:rPr>
        <w:t>5.2投标人</w:t>
      </w:r>
      <w:r>
        <w:rPr>
          <w:rFonts w:hint="eastAsia" w:ascii="宋体" w:hAnsi="宋体"/>
          <w:bCs/>
          <w:color w:val="auto"/>
          <w:sz w:val="24"/>
          <w:highlight w:val="none"/>
        </w:rPr>
        <w:t>踏勘</w:t>
      </w:r>
      <w:r>
        <w:rPr>
          <w:rFonts w:hint="eastAsia" w:ascii="宋体" w:hAnsi="宋体"/>
          <w:color w:val="auto"/>
          <w:sz w:val="24"/>
          <w:highlight w:val="none"/>
        </w:rPr>
        <w:t>现场的费用</w:t>
      </w:r>
      <w:r>
        <w:rPr>
          <w:rFonts w:hint="eastAsia" w:ascii="宋体" w:hAnsi="宋体"/>
          <w:color w:val="auto"/>
          <w:sz w:val="24"/>
          <w:highlight w:val="none"/>
          <w:lang w:eastAsia="zh-CN"/>
        </w:rPr>
        <w:t>自理</w:t>
      </w:r>
      <w:r>
        <w:rPr>
          <w:rFonts w:hint="eastAsia" w:ascii="宋体" w:hAnsi="宋体"/>
          <w:color w:val="auto"/>
          <w:sz w:val="24"/>
          <w:highlight w:val="none"/>
        </w:rPr>
        <w:t>。</w:t>
      </w:r>
    </w:p>
    <w:p>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5.</w:t>
      </w:r>
      <w:r>
        <w:rPr>
          <w:rFonts w:hint="eastAsia" w:ascii="宋体" w:hAnsi="宋体"/>
          <w:bCs/>
          <w:color w:val="auto"/>
          <w:sz w:val="24"/>
          <w:highlight w:val="none"/>
          <w:lang w:val="en-US" w:eastAsia="zh-CN"/>
        </w:rPr>
        <w:t>3</w:t>
      </w:r>
      <w:r>
        <w:rPr>
          <w:rFonts w:ascii="宋体" w:hAnsi="宋体"/>
          <w:bCs/>
          <w:color w:val="auto"/>
          <w:sz w:val="24"/>
          <w:highlight w:val="none"/>
        </w:rPr>
        <w:t xml:space="preserve">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5.</w:t>
      </w:r>
      <w:r>
        <w:rPr>
          <w:rFonts w:hint="eastAsia" w:ascii="宋体" w:hAnsi="宋体"/>
          <w:bCs/>
          <w:color w:val="auto"/>
          <w:sz w:val="24"/>
          <w:highlight w:val="none"/>
          <w:lang w:val="en-US" w:eastAsia="zh-CN"/>
        </w:rPr>
        <w:t>4</w:t>
      </w:r>
      <w:r>
        <w:rPr>
          <w:rFonts w:ascii="宋体" w:hAnsi="宋体"/>
          <w:bCs/>
          <w:color w:val="auto"/>
          <w:sz w:val="24"/>
          <w:highlight w:val="none"/>
        </w:rPr>
        <w:t xml:space="preserve">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pPr>
        <w:pStyle w:val="21"/>
        <w:spacing w:line="360" w:lineRule="auto"/>
        <w:rPr>
          <w:rFonts w:hint="eastAsia" w:eastAsia="宋体"/>
          <w:color w:val="auto"/>
          <w:highlight w:val="none"/>
          <w:lang w:val="en-US" w:eastAsia="zh-CN"/>
        </w:rPr>
      </w:pPr>
      <w:r>
        <w:rPr>
          <w:rFonts w:hint="eastAsia" w:hAnsi="宋体"/>
          <w:bCs/>
          <w:color w:val="auto"/>
          <w:sz w:val="24"/>
          <w:highlight w:val="none"/>
          <w:lang w:val="en-US" w:eastAsia="zh-CN"/>
        </w:rPr>
        <w:t xml:space="preserve">    5.4由于投标人没有对工程现场及周围环境进行</w:t>
      </w:r>
      <w:r>
        <w:rPr>
          <w:rFonts w:hint="eastAsia" w:ascii="宋体" w:hAnsi="宋体"/>
          <w:bCs/>
          <w:color w:val="auto"/>
          <w:sz w:val="24"/>
          <w:highlight w:val="none"/>
        </w:rPr>
        <w:t>踏勘</w:t>
      </w:r>
      <w:r>
        <w:rPr>
          <w:rFonts w:hint="eastAsia" w:ascii="宋体" w:hAnsi="宋体"/>
          <w:bCs/>
          <w:color w:val="auto"/>
          <w:sz w:val="24"/>
          <w:highlight w:val="none"/>
          <w:lang w:eastAsia="zh-CN"/>
        </w:rPr>
        <w:t>，造成投标失误的，由投标人自行承担责任和损失。</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pPr>
        <w:tabs>
          <w:tab w:val="left" w:pos="105"/>
        </w:tabs>
        <w:spacing w:line="360" w:lineRule="auto"/>
        <w:ind w:firstLine="480" w:firstLineChars="200"/>
        <w:rPr>
          <w:rFonts w:hint="eastAsia" w:ascii="宋体" w:hAnsi="宋体"/>
          <w:bCs/>
          <w:color w:val="auto"/>
          <w:sz w:val="24"/>
          <w:highlight w:val="none"/>
          <w:lang w:eastAsia="zh-CN"/>
        </w:rPr>
      </w:pPr>
      <w:r>
        <w:rPr>
          <w:rFonts w:ascii="宋体" w:hAnsi="宋体"/>
          <w:bCs/>
          <w:color w:val="auto"/>
          <w:sz w:val="24"/>
          <w:highlight w:val="none"/>
        </w:rPr>
        <w:t>6.1</w:t>
      </w:r>
      <w:r>
        <w:rPr>
          <w:rFonts w:hint="eastAsia" w:ascii="宋体" w:hAnsi="宋体"/>
          <w:bCs/>
          <w:color w:val="auto"/>
          <w:sz w:val="24"/>
          <w:highlight w:val="none"/>
          <w:lang w:eastAsia="zh-CN"/>
        </w:rPr>
        <w:t>投标人准备和参加投标活动发生的费用自理。</w:t>
      </w:r>
    </w:p>
    <w:p>
      <w:pPr>
        <w:tabs>
          <w:tab w:val="left" w:pos="105"/>
        </w:tabs>
        <w:spacing w:line="360" w:lineRule="auto"/>
        <w:ind w:firstLine="480" w:firstLineChars="200"/>
        <w:rPr>
          <w:rFonts w:ascii="宋体"/>
          <w:bCs/>
          <w:color w:val="auto"/>
          <w:sz w:val="24"/>
          <w:highlight w:val="none"/>
        </w:rPr>
      </w:pPr>
      <w:r>
        <w:rPr>
          <w:rFonts w:hint="eastAsia" w:ascii="宋体" w:hAnsi="宋体"/>
          <w:bCs/>
          <w:color w:val="auto"/>
          <w:sz w:val="24"/>
          <w:highlight w:val="none"/>
          <w:lang w:val="en-US" w:eastAsia="zh-CN"/>
        </w:rPr>
        <w:t>6.2</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pPr>
        <w:pStyle w:val="8"/>
        <w:bidi w:val="0"/>
        <w:rPr>
          <w:color w:val="auto"/>
          <w:highlight w:val="none"/>
        </w:rPr>
      </w:pPr>
      <w:bookmarkStart w:id="26" w:name="_Toc2272550"/>
      <w:bookmarkStart w:id="27" w:name="_Toc5661"/>
      <w:bookmarkStart w:id="28" w:name="_Toc21525494"/>
      <w:bookmarkStart w:id="29" w:name="_Toc19361"/>
      <w:r>
        <w:rPr>
          <w:rFonts w:hint="eastAsia"/>
          <w:color w:val="auto"/>
          <w:highlight w:val="none"/>
        </w:rPr>
        <w:t>（二）招标文件</w:t>
      </w:r>
      <w:bookmarkEnd w:id="26"/>
      <w:bookmarkEnd w:id="27"/>
      <w:bookmarkEnd w:id="28"/>
      <w:bookmarkEnd w:id="29"/>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pPr>
        <w:spacing w:line="360" w:lineRule="auto"/>
        <w:ind w:firstLine="480" w:firstLineChars="200"/>
        <w:rPr>
          <w:rFonts w:ascii="宋体"/>
          <w:color w:val="auto"/>
          <w:sz w:val="24"/>
          <w:highlight w:val="none"/>
          <w:u w:val="none"/>
        </w:rPr>
      </w:pPr>
      <w:r>
        <w:rPr>
          <w:rFonts w:ascii="宋体" w:hAnsi="宋体"/>
          <w:bCs/>
          <w:color w:val="auto"/>
          <w:sz w:val="24"/>
          <w:highlight w:val="none"/>
          <w:u w:val="none"/>
        </w:rPr>
        <w:t>7.1</w:t>
      </w:r>
      <w:r>
        <w:rPr>
          <w:rFonts w:hint="eastAsia" w:ascii="宋体" w:hAnsi="宋体"/>
          <w:color w:val="auto"/>
          <w:sz w:val="24"/>
          <w:highlight w:val="none"/>
          <w:u w:val="none"/>
        </w:rPr>
        <w:t>本招标文件包括下列文件，以及所有按本须知第</w:t>
      </w:r>
      <w:r>
        <w:rPr>
          <w:rFonts w:ascii="宋体" w:hAnsi="宋体"/>
          <w:color w:val="auto"/>
          <w:sz w:val="24"/>
          <w:highlight w:val="none"/>
          <w:u w:val="none"/>
        </w:rPr>
        <w:t>8</w:t>
      </w:r>
      <w:r>
        <w:rPr>
          <w:rFonts w:hint="eastAsia" w:ascii="宋体" w:hAnsi="宋体"/>
          <w:color w:val="auto"/>
          <w:sz w:val="24"/>
          <w:highlight w:val="none"/>
          <w:u w:val="none"/>
        </w:rPr>
        <w:t>条发出的</w:t>
      </w:r>
      <w:r>
        <w:rPr>
          <w:rFonts w:hint="eastAsia" w:ascii="宋体" w:hAnsi="宋体"/>
          <w:b/>
          <w:bCs/>
          <w:color w:val="auto"/>
          <w:sz w:val="24"/>
          <w:highlight w:val="none"/>
          <w:u w:val="single"/>
        </w:rPr>
        <w:t>招标答疑纪要</w:t>
      </w:r>
      <w:r>
        <w:rPr>
          <w:rFonts w:hint="eastAsia" w:ascii="宋体" w:hAnsi="宋体"/>
          <w:color w:val="auto"/>
          <w:sz w:val="24"/>
          <w:highlight w:val="none"/>
          <w:u w:val="none"/>
        </w:rPr>
        <w:t>和按本须知第</w:t>
      </w:r>
      <w:r>
        <w:rPr>
          <w:rFonts w:ascii="宋体" w:hAnsi="宋体"/>
          <w:color w:val="auto"/>
          <w:sz w:val="24"/>
          <w:highlight w:val="none"/>
          <w:u w:val="none"/>
        </w:rPr>
        <w:t>9</w:t>
      </w:r>
      <w:r>
        <w:rPr>
          <w:rFonts w:hint="eastAsia" w:ascii="宋体" w:hAnsi="宋体"/>
          <w:color w:val="auto"/>
          <w:sz w:val="24"/>
          <w:highlight w:val="none"/>
          <w:u w:val="none"/>
        </w:rPr>
        <w:t>条发出的澄清或修改：</w:t>
      </w:r>
    </w:p>
    <w:p>
      <w:pPr>
        <w:pStyle w:val="5"/>
        <w:numPr>
          <w:ilvl w:val="0"/>
          <w:numId w:val="0"/>
        </w:numPr>
        <w:spacing w:after="0" w:line="360" w:lineRule="auto"/>
        <w:ind w:leftChars="200"/>
        <w:rPr>
          <w:rFonts w:hint="eastAsia" w:ascii="宋体" w:hAnsi="宋体"/>
          <w:bCs/>
          <w:color w:val="auto"/>
          <w:sz w:val="24"/>
          <w:highlight w:val="none"/>
          <w:u w:val="none"/>
          <w:lang w:val="en-US" w:eastAsia="zh-CN"/>
        </w:rPr>
      </w:pPr>
      <w:r>
        <w:rPr>
          <w:rFonts w:hint="eastAsia" w:ascii="宋体" w:hAnsi="宋体"/>
          <w:bCs/>
          <w:color w:val="auto"/>
          <w:sz w:val="24"/>
          <w:highlight w:val="none"/>
          <w:u w:val="none"/>
          <w:lang w:val="en-US" w:eastAsia="zh-CN"/>
        </w:rPr>
        <w:t>（1）招标公告</w:t>
      </w:r>
    </w:p>
    <w:p>
      <w:pPr>
        <w:pStyle w:val="5"/>
        <w:numPr>
          <w:ilvl w:val="-1"/>
          <w:numId w:val="0"/>
        </w:numPr>
        <w:spacing w:after="0" w:line="360" w:lineRule="auto"/>
        <w:ind w:left="420" w:leftChars="200" w:firstLine="0" w:firstLineChars="0"/>
        <w:rPr>
          <w:rFonts w:ascii="宋体"/>
          <w:color w:val="auto"/>
          <w:sz w:val="24"/>
          <w:highlight w:val="none"/>
          <w:u w:val="none"/>
        </w:rPr>
      </w:pPr>
      <w:r>
        <w:rPr>
          <w:rFonts w:hint="eastAsia" w:ascii="宋体" w:hAnsi="宋体"/>
          <w:color w:val="auto"/>
          <w:sz w:val="24"/>
          <w:highlight w:val="none"/>
          <w:u w:val="none"/>
          <w:lang w:eastAsia="zh-CN"/>
        </w:rPr>
        <w:t>（</w:t>
      </w:r>
      <w:r>
        <w:rPr>
          <w:rFonts w:hint="eastAsia" w:ascii="宋体" w:hAnsi="宋体"/>
          <w:color w:val="auto"/>
          <w:sz w:val="24"/>
          <w:highlight w:val="none"/>
          <w:u w:val="none"/>
          <w:lang w:val="en-US" w:eastAsia="zh-CN"/>
        </w:rPr>
        <w:t>2）</w:t>
      </w:r>
      <w:r>
        <w:rPr>
          <w:rFonts w:hint="eastAsia" w:ascii="宋体" w:hAnsi="宋体"/>
          <w:color w:val="auto"/>
          <w:sz w:val="24"/>
          <w:highlight w:val="none"/>
          <w:u w:val="none"/>
        </w:rPr>
        <w:t>投标须知</w:t>
      </w:r>
    </w:p>
    <w:p>
      <w:pPr>
        <w:pStyle w:val="5"/>
        <w:numPr>
          <w:ilvl w:val="-1"/>
          <w:numId w:val="0"/>
        </w:numPr>
        <w:spacing w:after="0" w:line="360" w:lineRule="auto"/>
        <w:ind w:left="420" w:leftChars="200" w:firstLine="0" w:firstLineChars="0"/>
        <w:rPr>
          <w:rFonts w:ascii="宋体"/>
          <w:color w:val="auto"/>
          <w:sz w:val="24"/>
          <w:highlight w:val="none"/>
          <w:u w:val="none"/>
        </w:rPr>
      </w:pPr>
      <w:r>
        <w:rPr>
          <w:rFonts w:hint="eastAsia" w:ascii="宋体" w:hAnsi="宋体"/>
          <w:color w:val="auto"/>
          <w:sz w:val="24"/>
          <w:highlight w:val="none"/>
          <w:u w:val="none"/>
          <w:lang w:eastAsia="zh-CN"/>
        </w:rPr>
        <w:t>（</w:t>
      </w:r>
      <w:r>
        <w:rPr>
          <w:rFonts w:hint="eastAsia" w:ascii="宋体" w:hAnsi="宋体"/>
          <w:color w:val="auto"/>
          <w:sz w:val="24"/>
          <w:highlight w:val="none"/>
          <w:u w:val="none"/>
          <w:lang w:val="en-US" w:eastAsia="zh-CN"/>
        </w:rPr>
        <w:t>3）</w:t>
      </w:r>
      <w:r>
        <w:rPr>
          <w:rFonts w:hint="eastAsia" w:ascii="宋体" w:hAnsi="宋体"/>
          <w:color w:val="auto"/>
          <w:sz w:val="24"/>
          <w:highlight w:val="none"/>
          <w:u w:val="none"/>
        </w:rPr>
        <w:t>开标、评标及定标办法</w:t>
      </w:r>
    </w:p>
    <w:p>
      <w:pPr>
        <w:pStyle w:val="5"/>
        <w:numPr>
          <w:ilvl w:val="0"/>
          <w:numId w:val="0"/>
        </w:numPr>
        <w:spacing w:after="0" w:line="360" w:lineRule="auto"/>
        <w:ind w:leftChars="200"/>
        <w:rPr>
          <w:rFonts w:ascii="宋体"/>
          <w:color w:val="auto"/>
          <w:sz w:val="24"/>
          <w:highlight w:val="none"/>
          <w:u w:val="none"/>
        </w:rPr>
      </w:pPr>
      <w:r>
        <w:rPr>
          <w:rFonts w:hint="eastAsia" w:ascii="宋体" w:hAnsi="宋体"/>
          <w:color w:val="auto"/>
          <w:sz w:val="24"/>
          <w:highlight w:val="none"/>
          <w:u w:val="none"/>
          <w:lang w:eastAsia="zh-CN"/>
        </w:rPr>
        <w:t>（</w:t>
      </w:r>
      <w:r>
        <w:rPr>
          <w:rFonts w:hint="eastAsia" w:ascii="宋体" w:hAnsi="宋体"/>
          <w:color w:val="auto"/>
          <w:sz w:val="24"/>
          <w:highlight w:val="none"/>
          <w:u w:val="none"/>
          <w:lang w:val="en-US" w:eastAsia="zh-CN"/>
        </w:rPr>
        <w:t>4）</w:t>
      </w:r>
      <w:r>
        <w:rPr>
          <w:rFonts w:hint="eastAsia" w:ascii="宋体" w:hAnsi="宋体"/>
          <w:color w:val="auto"/>
          <w:sz w:val="24"/>
          <w:highlight w:val="none"/>
          <w:u w:val="none"/>
        </w:rPr>
        <w:t>合同条款</w:t>
      </w:r>
      <w:r>
        <w:rPr>
          <w:rFonts w:hint="eastAsia" w:ascii="宋体" w:hAnsi="宋体"/>
          <w:b/>
          <w:bCs/>
          <w:color w:val="auto"/>
          <w:sz w:val="24"/>
          <w:highlight w:val="none"/>
          <w:u w:val="single"/>
          <w:lang w:eastAsia="zh-CN"/>
        </w:rPr>
        <w:t>（另册）</w:t>
      </w:r>
    </w:p>
    <w:p>
      <w:pPr>
        <w:pStyle w:val="5"/>
        <w:numPr>
          <w:ilvl w:val="0"/>
          <w:numId w:val="0"/>
        </w:numPr>
        <w:spacing w:after="0" w:line="360" w:lineRule="auto"/>
        <w:ind w:leftChars="200"/>
        <w:rPr>
          <w:rFonts w:hint="eastAsia" w:ascii="宋体" w:hAnsi="宋体"/>
          <w:color w:val="auto"/>
          <w:sz w:val="24"/>
          <w:highlight w:val="none"/>
          <w:u w:val="none"/>
        </w:rPr>
      </w:pPr>
      <w:r>
        <w:rPr>
          <w:rFonts w:hint="eastAsia" w:ascii="宋体" w:hAnsi="宋体"/>
          <w:color w:val="auto"/>
          <w:sz w:val="24"/>
          <w:highlight w:val="none"/>
          <w:u w:val="none"/>
          <w:lang w:eastAsia="zh-CN"/>
        </w:rPr>
        <w:t>（</w:t>
      </w:r>
      <w:r>
        <w:rPr>
          <w:rFonts w:hint="eastAsia" w:ascii="宋体" w:hAnsi="宋体"/>
          <w:color w:val="auto"/>
          <w:sz w:val="24"/>
          <w:highlight w:val="none"/>
          <w:u w:val="none"/>
          <w:lang w:val="en-US" w:eastAsia="zh-CN"/>
        </w:rPr>
        <w:t>5）</w:t>
      </w:r>
      <w:r>
        <w:rPr>
          <w:rFonts w:hint="eastAsia" w:ascii="宋体" w:hAnsi="宋体"/>
          <w:color w:val="auto"/>
          <w:sz w:val="24"/>
          <w:highlight w:val="none"/>
          <w:u w:val="none"/>
        </w:rPr>
        <w:t>投标文件格式</w:t>
      </w:r>
    </w:p>
    <w:p>
      <w:pPr>
        <w:pStyle w:val="5"/>
        <w:numPr>
          <w:ilvl w:val="0"/>
          <w:numId w:val="0"/>
        </w:numPr>
        <w:spacing w:after="0" w:line="360" w:lineRule="auto"/>
        <w:ind w:leftChars="200"/>
        <w:rPr>
          <w:rFonts w:hint="eastAsia" w:ascii="宋体" w:hAnsi="宋体"/>
          <w:color w:val="auto"/>
          <w:sz w:val="24"/>
          <w:highlight w:val="none"/>
          <w:u w:val="none"/>
        </w:rPr>
      </w:pPr>
      <w:r>
        <w:rPr>
          <w:rFonts w:hint="eastAsia" w:ascii="宋体" w:hAnsi="宋体"/>
          <w:color w:val="auto"/>
          <w:sz w:val="24"/>
          <w:highlight w:val="none"/>
          <w:u w:val="none"/>
          <w:lang w:eastAsia="zh-CN"/>
        </w:rPr>
        <w:t>（</w:t>
      </w:r>
      <w:r>
        <w:rPr>
          <w:rFonts w:hint="eastAsia" w:ascii="宋体" w:hAnsi="宋体"/>
          <w:color w:val="auto"/>
          <w:sz w:val="24"/>
          <w:highlight w:val="none"/>
          <w:u w:val="none"/>
          <w:lang w:val="en-US" w:eastAsia="zh-CN"/>
        </w:rPr>
        <w:t>6）</w:t>
      </w:r>
      <w:r>
        <w:rPr>
          <w:rFonts w:hint="eastAsia" w:ascii="宋体" w:hAnsi="宋体"/>
          <w:color w:val="auto"/>
          <w:sz w:val="24"/>
          <w:highlight w:val="none"/>
          <w:u w:val="none"/>
        </w:rPr>
        <w:t>技术条件（工程建设标准）</w:t>
      </w:r>
    </w:p>
    <w:p>
      <w:pPr>
        <w:pStyle w:val="5"/>
        <w:numPr>
          <w:ilvl w:val="0"/>
          <w:numId w:val="0"/>
        </w:numPr>
        <w:spacing w:after="0" w:line="360" w:lineRule="auto"/>
        <w:ind w:leftChars="200"/>
        <w:rPr>
          <w:rFonts w:hint="eastAsia" w:ascii="宋体" w:hAnsi="宋体"/>
          <w:color w:val="auto"/>
          <w:sz w:val="24"/>
          <w:highlight w:val="none"/>
          <w:u w:val="none"/>
        </w:rPr>
      </w:pPr>
      <w:r>
        <w:rPr>
          <w:rFonts w:hint="eastAsia" w:ascii="宋体" w:hAnsi="宋体"/>
          <w:color w:val="auto"/>
          <w:sz w:val="24"/>
          <w:highlight w:val="none"/>
          <w:u w:val="none"/>
          <w:lang w:eastAsia="zh-CN"/>
        </w:rPr>
        <w:t>（</w:t>
      </w:r>
      <w:r>
        <w:rPr>
          <w:rFonts w:hint="eastAsia" w:ascii="宋体" w:hAnsi="宋体"/>
          <w:color w:val="auto"/>
          <w:sz w:val="24"/>
          <w:highlight w:val="none"/>
          <w:u w:val="none"/>
          <w:lang w:val="en-US" w:eastAsia="zh-CN"/>
        </w:rPr>
        <w:t>7）</w:t>
      </w:r>
      <w:r>
        <w:rPr>
          <w:rFonts w:hint="eastAsia" w:ascii="宋体" w:hAnsi="宋体"/>
          <w:color w:val="auto"/>
          <w:sz w:val="24"/>
          <w:highlight w:val="none"/>
          <w:u w:val="none"/>
        </w:rPr>
        <w:t>图纸及勘察资料</w:t>
      </w:r>
      <w:r>
        <w:rPr>
          <w:rFonts w:hint="eastAsia" w:ascii="宋体" w:hAnsi="宋体"/>
          <w:b/>
          <w:bCs/>
          <w:color w:val="auto"/>
          <w:sz w:val="24"/>
          <w:highlight w:val="none"/>
          <w:u w:val="single"/>
          <w:lang w:eastAsia="zh-CN"/>
        </w:rPr>
        <w:t>（另册）</w:t>
      </w:r>
    </w:p>
    <w:p>
      <w:pPr>
        <w:pStyle w:val="5"/>
        <w:numPr>
          <w:ilvl w:val="0"/>
          <w:numId w:val="0"/>
        </w:numPr>
        <w:spacing w:after="0" w:line="360" w:lineRule="auto"/>
        <w:ind w:leftChars="200"/>
        <w:rPr>
          <w:rFonts w:hint="eastAsia" w:ascii="宋体" w:hAnsi="宋体"/>
          <w:color w:val="auto"/>
          <w:sz w:val="24"/>
          <w:highlight w:val="none"/>
          <w:u w:val="none"/>
        </w:rPr>
      </w:pPr>
      <w:r>
        <w:rPr>
          <w:rFonts w:hint="eastAsia" w:ascii="宋体" w:hAnsi="宋体"/>
          <w:bCs/>
          <w:color w:val="auto"/>
          <w:sz w:val="24"/>
          <w:highlight w:val="none"/>
          <w:u w:val="none"/>
          <w:lang w:eastAsia="zh-CN"/>
        </w:rPr>
        <w:t>（</w:t>
      </w:r>
      <w:r>
        <w:rPr>
          <w:rFonts w:hint="eastAsia" w:ascii="宋体" w:hAnsi="宋体"/>
          <w:bCs/>
          <w:color w:val="auto"/>
          <w:sz w:val="24"/>
          <w:highlight w:val="none"/>
          <w:u w:val="none"/>
          <w:lang w:val="en-US" w:eastAsia="zh-CN"/>
        </w:rPr>
        <w:t>8）</w:t>
      </w:r>
      <w:r>
        <w:rPr>
          <w:rFonts w:hint="eastAsia" w:ascii="宋体" w:hAnsi="宋体"/>
          <w:bCs/>
          <w:color w:val="auto"/>
          <w:sz w:val="24"/>
          <w:highlight w:val="none"/>
          <w:u w:val="none"/>
        </w:rPr>
        <w:t>招标</w:t>
      </w:r>
      <w:r>
        <w:rPr>
          <w:rFonts w:hint="eastAsia" w:ascii="宋体" w:hAnsi="宋体"/>
          <w:color w:val="auto"/>
          <w:sz w:val="24"/>
          <w:highlight w:val="none"/>
          <w:u w:val="none"/>
        </w:rPr>
        <w:t>工程量清单</w:t>
      </w:r>
      <w:r>
        <w:rPr>
          <w:rFonts w:hint="eastAsia" w:ascii="宋体" w:hAnsi="宋体"/>
          <w:b/>
          <w:bCs/>
          <w:color w:val="auto"/>
          <w:sz w:val="24"/>
          <w:highlight w:val="none"/>
          <w:u w:val="single"/>
          <w:lang w:eastAsia="zh-CN"/>
        </w:rPr>
        <w:t>（另册）</w:t>
      </w:r>
    </w:p>
    <w:p>
      <w:pPr>
        <w:pStyle w:val="5"/>
        <w:numPr>
          <w:ilvl w:val="0"/>
          <w:numId w:val="0"/>
        </w:numPr>
        <w:spacing w:after="0" w:line="360" w:lineRule="auto"/>
        <w:ind w:leftChars="200"/>
        <w:rPr>
          <w:rFonts w:hint="eastAsia" w:ascii="宋体" w:hAnsi="宋体"/>
          <w:color w:val="auto"/>
          <w:sz w:val="24"/>
          <w:highlight w:val="none"/>
          <w:u w:val="none"/>
        </w:rPr>
      </w:pPr>
      <w:r>
        <w:rPr>
          <w:rFonts w:hint="eastAsia" w:ascii="宋体" w:hAnsi="宋体"/>
          <w:color w:val="auto"/>
          <w:sz w:val="24"/>
          <w:highlight w:val="none"/>
          <w:u w:val="none"/>
          <w:lang w:eastAsia="zh-CN"/>
        </w:rPr>
        <w:t>（</w:t>
      </w:r>
      <w:r>
        <w:rPr>
          <w:rFonts w:hint="eastAsia" w:ascii="宋体" w:hAnsi="宋体"/>
          <w:color w:val="auto"/>
          <w:sz w:val="24"/>
          <w:highlight w:val="none"/>
          <w:u w:val="none"/>
          <w:lang w:val="en-US" w:eastAsia="zh-CN"/>
        </w:rPr>
        <w:t>9）</w:t>
      </w:r>
      <w:r>
        <w:rPr>
          <w:rFonts w:hint="eastAsia" w:ascii="宋体" w:hAnsi="宋体"/>
          <w:color w:val="auto"/>
          <w:sz w:val="24"/>
          <w:highlight w:val="none"/>
          <w:u w:val="none"/>
        </w:rPr>
        <w:t>最高投标限价</w:t>
      </w:r>
      <w:r>
        <w:rPr>
          <w:rFonts w:hint="eastAsia" w:ascii="宋体" w:hAnsi="宋体"/>
          <w:b/>
          <w:bCs/>
          <w:color w:val="auto"/>
          <w:sz w:val="24"/>
          <w:highlight w:val="none"/>
          <w:u w:val="single"/>
          <w:lang w:eastAsia="zh-CN"/>
        </w:rPr>
        <w:t>（另册）</w:t>
      </w:r>
    </w:p>
    <w:p>
      <w:pPr>
        <w:pStyle w:val="5"/>
        <w:spacing w:after="0" w:line="360" w:lineRule="auto"/>
        <w:ind w:left="-2" w:firstLine="480" w:firstLineChars="200"/>
        <w:rPr>
          <w:rFonts w:hint="eastAsia" w:ascii="楷体" w:hAnsi="楷体" w:eastAsia="楷体" w:cs="楷体"/>
          <w:b w:val="0"/>
          <w:bCs w:val="0"/>
          <w:color w:val="auto"/>
          <w:kern w:val="0"/>
          <w:sz w:val="24"/>
          <w:szCs w:val="24"/>
          <w:highlight w:val="none"/>
          <w:lang w:eastAsia="zh-CN"/>
        </w:rPr>
      </w:pPr>
      <w:r>
        <w:rPr>
          <w:rFonts w:hint="eastAsia" w:ascii="楷体" w:hAnsi="楷体" w:eastAsia="楷体" w:cs="楷体"/>
          <w:b w:val="0"/>
          <w:bCs w:val="0"/>
          <w:color w:val="auto"/>
          <w:sz w:val="24"/>
          <w:highlight w:val="none"/>
        </w:rPr>
        <w:t>注：</w:t>
      </w:r>
      <w:r>
        <w:rPr>
          <w:rFonts w:hint="eastAsia" w:ascii="楷体" w:hAnsi="楷体" w:eastAsia="楷体" w:cs="楷体"/>
          <w:b w:val="0"/>
          <w:bCs w:val="0"/>
          <w:color w:val="auto"/>
          <w:kern w:val="0"/>
          <w:sz w:val="24"/>
          <w:szCs w:val="24"/>
          <w:highlight w:val="none"/>
        </w:rPr>
        <w:t>招标人应在技术条件（工程建设标准）中明确</w:t>
      </w:r>
      <w:r>
        <w:rPr>
          <w:rFonts w:hint="eastAsia" w:ascii="楷体" w:hAnsi="楷体" w:eastAsia="楷体" w:cs="楷体"/>
          <w:b w:val="0"/>
          <w:bCs w:val="0"/>
          <w:color w:val="auto"/>
          <w:kern w:val="0"/>
          <w:sz w:val="24"/>
          <w:szCs w:val="24"/>
          <w:highlight w:val="none"/>
          <w:lang w:eastAsia="zh-CN"/>
        </w:rPr>
        <w:t>如下内容：</w:t>
      </w:r>
    </w:p>
    <w:p>
      <w:pPr>
        <w:pStyle w:val="5"/>
        <w:numPr>
          <w:ilvl w:val="0"/>
          <w:numId w:val="0"/>
        </w:numPr>
        <w:spacing w:after="0" w:line="360" w:lineRule="auto"/>
        <w:ind w:leftChars="200"/>
        <w:rPr>
          <w:rFonts w:hint="eastAsia" w:ascii="楷体" w:hAnsi="楷体" w:eastAsia="楷体" w:cs="楷体"/>
          <w:b w:val="0"/>
          <w:bCs w:val="0"/>
          <w:color w:val="auto"/>
          <w:kern w:val="0"/>
          <w:sz w:val="24"/>
          <w:szCs w:val="24"/>
          <w:highlight w:val="none"/>
        </w:rPr>
      </w:pPr>
      <w:r>
        <w:rPr>
          <w:rFonts w:hint="eastAsia" w:ascii="楷体" w:hAnsi="楷体" w:eastAsia="楷体" w:cs="楷体"/>
          <w:b w:val="0"/>
          <w:bCs w:val="0"/>
          <w:color w:val="auto"/>
          <w:kern w:val="0"/>
          <w:sz w:val="24"/>
          <w:szCs w:val="24"/>
          <w:highlight w:val="none"/>
          <w:lang w:val="en-US" w:eastAsia="zh-CN"/>
        </w:rPr>
        <w:t>1.</w:t>
      </w:r>
      <w:r>
        <w:rPr>
          <w:rFonts w:hint="eastAsia" w:ascii="楷体" w:hAnsi="楷体" w:eastAsia="楷体" w:cs="楷体"/>
          <w:b w:val="0"/>
          <w:bCs w:val="0"/>
          <w:color w:val="auto"/>
          <w:kern w:val="0"/>
          <w:sz w:val="24"/>
          <w:szCs w:val="24"/>
          <w:highlight w:val="none"/>
        </w:rPr>
        <w:t>施工现场建筑垃圾源头减量的具体要求和建筑垃圾综合利用产品的使用要求。</w:t>
      </w:r>
    </w:p>
    <w:p>
      <w:pPr>
        <w:pStyle w:val="5"/>
        <w:numPr>
          <w:ilvl w:val="0"/>
          <w:numId w:val="0"/>
        </w:numPr>
        <w:spacing w:after="0" w:line="360" w:lineRule="auto"/>
        <w:ind w:leftChars="200"/>
        <w:rPr>
          <w:rFonts w:hint="eastAsia" w:ascii="楷体" w:hAnsi="楷体" w:eastAsia="楷体" w:cs="楷体"/>
          <w:b w:val="0"/>
          <w:bCs w:val="0"/>
          <w:color w:val="auto"/>
          <w:kern w:val="0"/>
          <w:sz w:val="24"/>
          <w:szCs w:val="24"/>
          <w:highlight w:val="none"/>
        </w:rPr>
      </w:pPr>
      <w:r>
        <w:rPr>
          <w:rFonts w:hint="eastAsia" w:ascii="楷体" w:hAnsi="楷体" w:eastAsia="楷体" w:cs="楷体"/>
          <w:b w:val="0"/>
          <w:bCs w:val="0"/>
          <w:color w:val="auto"/>
          <w:kern w:val="0"/>
          <w:sz w:val="24"/>
          <w:szCs w:val="24"/>
          <w:highlight w:val="none"/>
          <w:lang w:val="en-US" w:eastAsia="zh-CN"/>
        </w:rPr>
        <w:t>2.</w:t>
      </w:r>
      <w:r>
        <w:rPr>
          <w:rFonts w:hint="eastAsia" w:ascii="楷体" w:hAnsi="楷体" w:eastAsia="楷体" w:cs="楷体"/>
          <w:b w:val="0"/>
          <w:bCs w:val="0"/>
          <w:color w:val="auto"/>
          <w:kern w:val="0"/>
          <w:sz w:val="24"/>
          <w:szCs w:val="24"/>
          <w:highlight w:val="none"/>
          <w:lang w:eastAsia="zh-CN"/>
        </w:rPr>
        <w:t>占道施工相关告知、围蔽、修复等要求。</w:t>
      </w:r>
    </w:p>
    <w:p>
      <w:pPr>
        <w:pStyle w:val="5"/>
        <w:numPr>
          <w:ilvl w:val="0"/>
          <w:numId w:val="0"/>
        </w:numPr>
        <w:spacing w:after="0" w:line="360" w:lineRule="auto"/>
        <w:ind w:leftChars="200"/>
        <w:rPr>
          <w:rFonts w:hint="eastAsia"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3.</w:t>
      </w:r>
      <w:r>
        <w:rPr>
          <w:rFonts w:hint="eastAsia" w:ascii="楷体" w:hAnsi="楷体" w:eastAsia="楷体" w:cs="楷体"/>
          <w:b w:val="0"/>
          <w:bCs w:val="0"/>
          <w:color w:val="auto"/>
          <w:kern w:val="0"/>
          <w:sz w:val="24"/>
          <w:szCs w:val="24"/>
          <w:highlight w:val="none"/>
          <w:lang w:eastAsia="zh-CN"/>
        </w:rPr>
        <w:t>对照《广州市智能建造技术清单（</w:t>
      </w:r>
      <w:r>
        <w:rPr>
          <w:rFonts w:hint="eastAsia" w:ascii="楷体" w:hAnsi="楷体" w:eastAsia="楷体" w:cs="楷体"/>
          <w:b w:val="0"/>
          <w:bCs w:val="0"/>
          <w:color w:val="auto"/>
          <w:kern w:val="0"/>
          <w:sz w:val="24"/>
          <w:szCs w:val="24"/>
          <w:highlight w:val="none"/>
          <w:lang w:val="en-US" w:eastAsia="zh-CN"/>
        </w:rPr>
        <w:t>1.0版）》对招标项目智能建造提出要求。</w:t>
      </w:r>
    </w:p>
    <w:p>
      <w:pPr>
        <w:pStyle w:val="5"/>
        <w:numPr>
          <w:ilvl w:val="0"/>
          <w:numId w:val="0"/>
        </w:numPr>
        <w:spacing w:after="0" w:line="360" w:lineRule="auto"/>
        <w:ind w:leftChars="200"/>
        <w:rPr>
          <w:rFonts w:hint="eastAsia"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4.招标人对中标人参与“百千万工程”的具体要求。</w:t>
      </w:r>
    </w:p>
    <w:p>
      <w:pPr>
        <w:pStyle w:val="5"/>
        <w:numPr>
          <w:ilvl w:val="0"/>
          <w:numId w:val="0"/>
        </w:numPr>
        <w:spacing w:after="0" w:line="360" w:lineRule="auto"/>
        <w:ind w:firstLine="480" w:firstLineChars="200"/>
        <w:rPr>
          <w:rFonts w:hint="default"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5.在建筑废弃物运输上落实《关于加快推动氢能产业高质量发展的若干措施》的要求。</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．招标答疑</w:t>
      </w:r>
    </w:p>
    <w:p>
      <w:pPr>
        <w:pStyle w:val="5"/>
        <w:spacing w:after="0" w:line="360" w:lineRule="auto"/>
        <w:ind w:firstLine="480" w:firstLineChars="200"/>
        <w:rPr>
          <w:rFonts w:ascii="宋体"/>
          <w:b/>
          <w:bCs/>
          <w:color w:val="auto"/>
          <w:sz w:val="24"/>
          <w:highlight w:val="none"/>
        </w:rPr>
      </w:pPr>
      <w:r>
        <w:rPr>
          <w:rFonts w:ascii="宋体" w:hAnsi="宋体"/>
          <w:color w:val="auto"/>
          <w:sz w:val="24"/>
          <w:highlight w:val="none"/>
        </w:rPr>
        <w:t xml:space="preserve">8.1 </w:t>
      </w:r>
      <w:r>
        <w:rPr>
          <w:rFonts w:hint="eastAsia" w:ascii="宋体" w:hAnsi="宋体" w:eastAsia="宋体" w:cs="Times New Roman"/>
          <w:b/>
          <w:bCs/>
          <w:color w:val="auto"/>
          <w:sz w:val="24"/>
          <w:szCs w:val="20"/>
          <w:highlight w:val="none"/>
          <w:u w:val="single"/>
        </w:rPr>
        <w:t>招标答疑采用网上答疑方式进行。投标人若对招标文件有疑问的，可在规定的时间内通过登录</w:t>
      </w:r>
      <w:r>
        <w:rPr>
          <w:rFonts w:hint="eastAsia" w:ascii="宋体" w:hAnsi="宋体" w:eastAsia="宋体" w:cs="Times New Roman"/>
          <w:b/>
          <w:bCs/>
          <w:color w:val="auto"/>
          <w:sz w:val="24"/>
          <w:szCs w:val="20"/>
          <w:highlight w:val="none"/>
          <w:u w:val="single"/>
          <w:lang w:eastAsia="zh-CN"/>
        </w:rPr>
        <w:t>广州交易集团有限公司（广州公共资源交易中心）</w:t>
      </w:r>
      <w:r>
        <w:rPr>
          <w:rFonts w:hint="eastAsia" w:ascii="宋体" w:hAnsi="宋体" w:eastAsia="宋体" w:cs="Times New Roman"/>
          <w:b/>
          <w:bCs/>
          <w:color w:val="auto"/>
          <w:sz w:val="24"/>
          <w:szCs w:val="20"/>
          <w:highlight w:val="none"/>
          <w:u w:val="single"/>
        </w:rPr>
        <w:t>网站交易系统将问题提交给招标人或招标代理人，提交问题时一律不得署名。网上答疑的操作指南为：登陆</w:t>
      </w:r>
      <w:r>
        <w:rPr>
          <w:rFonts w:hint="eastAsia" w:ascii="宋体" w:hAnsi="宋体" w:eastAsia="宋体" w:cs="Times New Roman"/>
          <w:b/>
          <w:bCs/>
          <w:color w:val="auto"/>
          <w:sz w:val="24"/>
          <w:szCs w:val="20"/>
          <w:highlight w:val="none"/>
          <w:u w:val="single"/>
          <w:lang w:eastAsia="zh-CN"/>
        </w:rPr>
        <w:t>广州交易集团有限公司（广州公共资源交易中心）</w:t>
      </w:r>
      <w:r>
        <w:rPr>
          <w:rFonts w:hint="eastAsia" w:ascii="宋体" w:hAnsi="宋体" w:eastAsia="宋体" w:cs="Times New Roman"/>
          <w:b/>
          <w:bCs/>
          <w:color w:val="auto"/>
          <w:sz w:val="24"/>
          <w:szCs w:val="20"/>
          <w:highlight w:val="none"/>
          <w:u w:val="single"/>
        </w:rPr>
        <w:t>网站交易系统→进入“我的投标”专区→进入“招标答疑”选项→通过项目编号或名称找到所需的项目→在答疑时间内点击“答疑提问</w:t>
      </w:r>
      <w:r>
        <w:rPr>
          <w:rFonts w:hint="eastAsia" w:ascii="宋体" w:hAnsi="宋体" w:eastAsia="宋体" w:cs="Times New Roman"/>
          <w:b/>
          <w:bCs/>
          <w:color w:val="auto"/>
          <w:sz w:val="24"/>
          <w:szCs w:val="20"/>
          <w:highlight w:val="none"/>
          <w:u w:val="single"/>
          <w:lang w:eastAsia="zh-CN"/>
        </w:rPr>
        <w:t>－</w:t>
      </w:r>
      <w:r>
        <w:rPr>
          <w:rFonts w:hint="eastAsia" w:ascii="宋体" w:hAnsi="宋体" w:eastAsia="宋体" w:cs="Times New Roman"/>
          <w:b/>
          <w:bCs/>
          <w:color w:val="auto"/>
          <w:sz w:val="24"/>
          <w:szCs w:val="20"/>
          <w:highlight w:val="none"/>
          <w:u w:val="single"/>
        </w:rPr>
        <w:t>新增提问”→提出问题</w:t>
      </w:r>
      <w:r>
        <w:rPr>
          <w:rFonts w:hint="eastAsia" w:ascii="宋体" w:hAnsi="宋体" w:eastAsia="宋体" w:cs="Times New Roman"/>
          <w:b/>
          <w:bCs/>
          <w:color w:val="auto"/>
          <w:sz w:val="24"/>
          <w:szCs w:val="20"/>
          <w:highlight w:val="none"/>
          <w:u w:val="single"/>
          <w:lang w:eastAsia="zh-CN"/>
        </w:rPr>
        <w:t>（</w:t>
      </w:r>
      <w:r>
        <w:rPr>
          <w:rFonts w:hint="eastAsia" w:ascii="宋体" w:hAnsi="宋体" w:eastAsia="宋体" w:cs="Times New Roman"/>
          <w:b/>
          <w:bCs/>
          <w:color w:val="auto"/>
          <w:sz w:val="24"/>
          <w:szCs w:val="20"/>
          <w:highlight w:val="none"/>
          <w:u w:val="single"/>
        </w:rPr>
        <w:t>提问一律不得署名</w:t>
      </w:r>
      <w:r>
        <w:rPr>
          <w:rFonts w:hint="eastAsia" w:ascii="宋体" w:hAnsi="宋体" w:eastAsia="宋体" w:cs="Times New Roman"/>
          <w:b/>
          <w:bCs/>
          <w:color w:val="auto"/>
          <w:sz w:val="24"/>
          <w:szCs w:val="20"/>
          <w:highlight w:val="none"/>
          <w:u w:val="single"/>
          <w:lang w:eastAsia="zh-CN"/>
        </w:rPr>
        <w:t>）</w:t>
      </w:r>
      <w:r>
        <w:rPr>
          <w:rFonts w:hint="eastAsia" w:ascii="宋体" w:hAnsi="宋体"/>
          <w:b/>
          <w:bCs/>
          <w:color w:val="auto"/>
          <w:sz w:val="24"/>
          <w:highlight w:val="none"/>
          <w:u w:val="single"/>
        </w:rPr>
        <w:t>。</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8.2</w:t>
      </w:r>
      <w:r>
        <w:rPr>
          <w:rFonts w:hint="eastAsia" w:ascii="宋体" w:hAnsi="宋体" w:eastAsia="宋体" w:cs="宋体"/>
          <w:b/>
          <w:bCs w:val="0"/>
          <w:color w:val="auto"/>
          <w:sz w:val="24"/>
          <w:szCs w:val="24"/>
          <w:highlight w:val="none"/>
          <w:u w:val="single"/>
        </w:rPr>
        <w:t>招标答疑纪要</w:t>
      </w:r>
      <w:r>
        <w:rPr>
          <w:rFonts w:hint="eastAsia" w:ascii="宋体" w:hAnsi="宋体" w:eastAsia="宋体" w:cs="宋体"/>
          <w:bCs/>
          <w:color w:val="auto"/>
          <w:sz w:val="24"/>
          <w:szCs w:val="24"/>
          <w:highlight w:val="none"/>
        </w:rPr>
        <w:t>将在提交投标文件截止时间15日前在</w:t>
      </w:r>
      <w:r>
        <w:rPr>
          <w:rFonts w:hint="eastAsia" w:ascii="宋体" w:hAnsi="宋体" w:eastAsia="宋体" w:cs="宋体"/>
          <w:b/>
          <w:bCs w:val="0"/>
          <w:color w:val="auto"/>
          <w:sz w:val="24"/>
          <w:szCs w:val="24"/>
          <w:highlight w:val="none"/>
          <w:u w:val="single"/>
          <w:lang w:eastAsia="zh-CN"/>
        </w:rPr>
        <w:t>广州交易集团有限公司（广州公共资源交易中心）</w:t>
      </w:r>
      <w:r>
        <w:rPr>
          <w:rFonts w:hint="eastAsia" w:ascii="宋体" w:hAnsi="宋体" w:eastAsia="宋体" w:cs="宋体"/>
          <w:bCs/>
          <w:color w:val="auto"/>
          <w:sz w:val="24"/>
          <w:szCs w:val="24"/>
          <w:highlight w:val="none"/>
        </w:rPr>
        <w:t>交易平台</w:t>
      </w:r>
      <w:r>
        <w:rPr>
          <w:rFonts w:hint="eastAsia" w:ascii="宋体" w:hAnsi="宋体" w:eastAsia="宋体" w:cs="宋体"/>
          <w:b/>
          <w:bCs w:val="0"/>
          <w:color w:val="auto"/>
          <w:sz w:val="24"/>
          <w:szCs w:val="24"/>
          <w:highlight w:val="none"/>
          <w:u w:val="single"/>
        </w:rPr>
        <w:t>“项目查询（日程安排、答疑纪要）”</w:t>
      </w:r>
      <w:r>
        <w:rPr>
          <w:rFonts w:hint="eastAsia" w:ascii="宋体" w:hAnsi="宋体" w:eastAsia="宋体" w:cs="宋体"/>
          <w:bCs/>
          <w:color w:val="auto"/>
          <w:sz w:val="24"/>
          <w:szCs w:val="24"/>
          <w:highlight w:val="none"/>
        </w:rPr>
        <w:t>专区公开发布。答疑纪要一经在</w:t>
      </w:r>
      <w:r>
        <w:rPr>
          <w:rFonts w:hint="eastAsia" w:ascii="宋体" w:hAnsi="宋体" w:eastAsia="宋体" w:cs="宋体"/>
          <w:b/>
          <w:bCs w:val="0"/>
          <w:color w:val="auto"/>
          <w:sz w:val="24"/>
          <w:szCs w:val="24"/>
          <w:highlight w:val="none"/>
          <w:u w:val="single"/>
          <w:lang w:eastAsia="zh-CN"/>
        </w:rPr>
        <w:t>广州交易集团有限公司（广州公共资源交易中心）</w:t>
      </w:r>
      <w:r>
        <w:rPr>
          <w:rFonts w:hint="eastAsia" w:ascii="宋体" w:hAnsi="宋体" w:eastAsia="宋体" w:cs="宋体"/>
          <w:b/>
          <w:bCs w:val="0"/>
          <w:color w:val="auto"/>
          <w:sz w:val="24"/>
          <w:szCs w:val="24"/>
          <w:highlight w:val="none"/>
          <w:u w:val="single"/>
        </w:rPr>
        <w:t>网站</w:t>
      </w:r>
      <w:r>
        <w:rPr>
          <w:rFonts w:hint="eastAsia" w:ascii="宋体" w:hAnsi="宋体" w:eastAsia="宋体" w:cs="宋体"/>
          <w:bCs/>
          <w:color w:val="auto"/>
          <w:sz w:val="24"/>
          <w:szCs w:val="24"/>
          <w:highlight w:val="none"/>
        </w:rPr>
        <w:t>发布，视作已发放给所有投标人</w:t>
      </w:r>
      <w:r>
        <w:rPr>
          <w:rFonts w:hint="eastAsia" w:ascii="宋体"/>
          <w:color w:val="auto"/>
          <w:sz w:val="24"/>
          <w:highlight w:val="none"/>
        </w:rPr>
        <w:t>。</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8.3</w:t>
      </w:r>
      <w:r>
        <w:rPr>
          <w:rFonts w:hint="eastAsia" w:ascii="宋体" w:hAnsi="宋体" w:eastAsia="宋体" w:cs="宋体"/>
          <w:b/>
          <w:bCs/>
          <w:color w:val="auto"/>
          <w:sz w:val="24"/>
          <w:szCs w:val="24"/>
          <w:highlight w:val="none"/>
          <w:u w:val="single"/>
        </w:rPr>
        <w:t>招标答疑纪要</w:t>
      </w:r>
      <w:r>
        <w:rPr>
          <w:rFonts w:hint="eastAsia" w:ascii="宋体" w:hAnsi="宋体" w:eastAsia="宋体" w:cs="宋体"/>
          <w:color w:val="auto"/>
          <w:sz w:val="24"/>
          <w:szCs w:val="24"/>
          <w:highlight w:val="none"/>
        </w:rPr>
        <w:t>为招标文件的一部分</w:t>
      </w:r>
      <w:r>
        <w:rPr>
          <w:rFonts w:hint="eastAsia" w:ascii="宋体" w:hAnsi="宋体"/>
          <w:color w:val="auto"/>
          <w:sz w:val="24"/>
          <w:highlight w:val="none"/>
        </w:rPr>
        <w:t>。</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8.4</w:t>
      </w:r>
      <w:r>
        <w:rPr>
          <w:rFonts w:hint="eastAsia" w:ascii="宋体" w:hAnsi="宋体"/>
          <w:color w:val="auto"/>
          <w:sz w:val="24"/>
          <w:highlight w:val="none"/>
        </w:rPr>
        <w:t>若招标答疑会会议纪要与招标文件有矛盾，以答疑会议纪要最后发出的书面形式的文件为准。</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招标文件的澄清与修改</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招标文件发出后</w:t>
      </w:r>
      <w:r>
        <w:rPr>
          <w:rFonts w:ascii="宋体"/>
          <w:color w:val="auto"/>
          <w:sz w:val="24"/>
          <w:highlight w:val="none"/>
        </w:rPr>
        <w:t>,</w:t>
      </w:r>
      <w:r>
        <w:rPr>
          <w:rFonts w:hint="eastAsia" w:ascii="宋体" w:hAnsi="宋体"/>
          <w:color w:val="auto"/>
          <w:sz w:val="24"/>
          <w:highlight w:val="none"/>
        </w:rPr>
        <w:t>在提交投标文件截止时间15日前，招标人可对招标文件进行必要的澄清或修改。</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9.2</w:t>
      </w:r>
      <w:r>
        <w:rPr>
          <w:rFonts w:hint="eastAsia" w:ascii="宋体" w:hAnsi="宋体" w:eastAsia="宋体" w:cs="宋体"/>
          <w:color w:val="auto"/>
          <w:sz w:val="24"/>
          <w:szCs w:val="24"/>
          <w:highlight w:val="none"/>
        </w:rPr>
        <w:t>招标文件的澄清或修改将在</w:t>
      </w:r>
      <w:r>
        <w:rPr>
          <w:rFonts w:hint="eastAsia" w:ascii="宋体" w:hAnsi="宋体" w:eastAsia="宋体" w:cs="宋体"/>
          <w:b/>
          <w:bCs/>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b/>
          <w:bCs/>
          <w:color w:val="auto"/>
          <w:sz w:val="24"/>
          <w:szCs w:val="24"/>
          <w:highlight w:val="none"/>
          <w:u w:val="single"/>
        </w:rPr>
        <w:t>项目查询（日程安排、答疑纪要</w:t>
      </w:r>
      <w:r>
        <w:rPr>
          <w:rFonts w:hint="eastAsia" w:ascii="宋体" w:hAnsi="宋体" w:eastAsia="宋体" w:cs="宋体"/>
          <w:color w:val="auto"/>
          <w:sz w:val="24"/>
          <w:szCs w:val="24"/>
          <w:highlight w:val="none"/>
        </w:rPr>
        <w:t>）”专区公开发布。答疑纪要一经在</w:t>
      </w:r>
      <w:r>
        <w:rPr>
          <w:rFonts w:hint="eastAsia" w:ascii="宋体" w:hAnsi="宋体" w:eastAsia="宋体" w:cs="宋体"/>
          <w:b/>
          <w:bCs/>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交易平台发布，视作已发放给所有投标人，以</w:t>
      </w:r>
      <w:r>
        <w:rPr>
          <w:rFonts w:hint="eastAsia" w:ascii="宋体" w:hAnsi="宋体" w:eastAsia="宋体" w:cs="宋体"/>
          <w:b/>
          <w:bCs/>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交易平台上网发布时间作为送达时间</w:t>
      </w:r>
      <w:r>
        <w:rPr>
          <w:rFonts w:hint="eastAsia" w:ascii="宋体"/>
          <w:color w:val="auto"/>
          <w:sz w:val="24"/>
          <w:highlight w:val="none"/>
        </w:rPr>
        <w:t>。</w:t>
      </w:r>
    </w:p>
    <w:p>
      <w:pPr>
        <w:pStyle w:val="5"/>
        <w:spacing w:after="0" w:line="360" w:lineRule="auto"/>
        <w:ind w:firstLine="480" w:firstLineChars="200"/>
        <w:rPr>
          <w:rFonts w:hint="eastAsia" w:ascii="宋体" w:hAnsi="宋体" w:eastAsia="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w:t>
      </w:r>
      <w:r>
        <w:rPr>
          <w:rFonts w:hint="eastAsia" w:ascii="宋体" w:hAnsi="宋体"/>
          <w:color w:val="auto"/>
          <w:sz w:val="24"/>
          <w:highlight w:val="none"/>
          <w:lang w:eastAsia="zh-CN"/>
        </w:rPr>
        <w:t>澄清或</w:t>
      </w:r>
      <w:r>
        <w:rPr>
          <w:rFonts w:hint="eastAsia" w:ascii="宋体" w:hAnsi="宋体" w:eastAsia="宋体"/>
          <w:color w:val="auto"/>
          <w:sz w:val="24"/>
          <w:highlight w:val="none"/>
        </w:rPr>
        <w:t>修改内容为招标文件的组成部分</w:t>
      </w:r>
      <w:r>
        <w:rPr>
          <w:rFonts w:hint="eastAsia" w:ascii="宋体" w:hAnsi="宋体" w:eastAsia="宋体"/>
          <w:color w:val="auto"/>
          <w:sz w:val="24"/>
          <w:highlight w:val="none"/>
          <w:lang w:eastAsia="zh-CN"/>
        </w:rPr>
        <w:t>，对投标人起约束作用</w:t>
      </w:r>
      <w:r>
        <w:rPr>
          <w:rFonts w:hint="eastAsia" w:ascii="宋体" w:hAnsi="宋体" w:eastAsia="宋体"/>
          <w:color w:val="auto"/>
          <w:sz w:val="24"/>
          <w:highlight w:val="none"/>
        </w:rPr>
        <w:t>。</w:t>
      </w:r>
    </w:p>
    <w:p>
      <w:pPr>
        <w:pStyle w:val="5"/>
        <w:spacing w:after="0" w:line="360" w:lineRule="auto"/>
        <w:ind w:firstLine="480" w:firstLineChars="200"/>
        <w:rPr>
          <w:rFonts w:ascii="宋体"/>
          <w:color w:val="auto"/>
          <w:sz w:val="24"/>
          <w:highlight w:val="none"/>
        </w:rPr>
      </w:pPr>
      <w:r>
        <w:rPr>
          <w:rFonts w:hint="eastAsia" w:ascii="宋体" w:hAnsi="宋体" w:eastAsia="宋体"/>
          <w:color w:val="auto"/>
          <w:sz w:val="24"/>
          <w:highlight w:val="none"/>
        </w:rPr>
        <w:t>9.4</w:t>
      </w:r>
      <w:r>
        <w:rPr>
          <w:rFonts w:hint="eastAsia" w:ascii="宋体" w:hAnsi="宋体" w:eastAsia="宋体" w:cs="宋体"/>
          <w:b w:val="0"/>
          <w:bCs w:val="0"/>
          <w:color w:val="auto"/>
          <w:sz w:val="24"/>
          <w:szCs w:val="24"/>
          <w:highlight w:val="none"/>
        </w:rPr>
        <w:t>招标文件的澄清或修改均</w:t>
      </w:r>
      <w:r>
        <w:rPr>
          <w:rFonts w:hint="eastAsia" w:ascii="宋体" w:hAnsi="宋体" w:eastAsia="宋体" w:cs="宋体"/>
          <w:color w:val="auto"/>
          <w:sz w:val="24"/>
          <w:szCs w:val="24"/>
          <w:highlight w:val="none"/>
        </w:rPr>
        <w:t>以</w:t>
      </w:r>
      <w:r>
        <w:rPr>
          <w:rFonts w:hint="eastAsia" w:ascii="宋体" w:hAnsi="宋体" w:eastAsia="宋体" w:cs="宋体"/>
          <w:b/>
          <w:bCs/>
          <w:color w:val="auto"/>
          <w:sz w:val="24"/>
          <w:szCs w:val="24"/>
          <w:highlight w:val="none"/>
          <w:u w:val="single"/>
          <w:lang w:eastAsia="zh-CN"/>
        </w:rPr>
        <w:t>广州交易集团有限公司（广州公共资源交易中心）</w:t>
      </w:r>
      <w:r>
        <w:rPr>
          <w:rFonts w:hint="eastAsia" w:ascii="宋体" w:hAnsi="宋体" w:eastAsia="宋体" w:cs="宋体"/>
          <w:b/>
          <w:bCs/>
          <w:color w:val="auto"/>
          <w:sz w:val="24"/>
          <w:szCs w:val="24"/>
          <w:highlight w:val="none"/>
          <w:u w:val="single"/>
        </w:rPr>
        <w:t>网</w:t>
      </w:r>
      <w:r>
        <w:rPr>
          <w:rFonts w:hint="eastAsia" w:ascii="宋体" w:hAnsi="宋体" w:eastAsia="宋体" w:cs="宋体"/>
          <w:b/>
          <w:bCs/>
          <w:color w:val="auto"/>
          <w:sz w:val="24"/>
          <w:szCs w:val="24"/>
          <w:highlight w:val="none"/>
          <w:u w:val="single"/>
          <w:lang w:eastAsia="zh-CN"/>
        </w:rPr>
        <w:t>站</w:t>
      </w:r>
      <w:r>
        <w:rPr>
          <w:rFonts w:hint="eastAsia" w:ascii="宋体" w:hAnsi="宋体" w:eastAsia="宋体" w:cs="宋体"/>
          <w:color w:val="auto"/>
          <w:sz w:val="24"/>
          <w:szCs w:val="24"/>
          <w:highlight w:val="none"/>
        </w:rPr>
        <w:t>发布的内容为准。当招标文件的澄清、修改、补充等在同一内容的表述不一致时，以</w:t>
      </w:r>
      <w:r>
        <w:rPr>
          <w:rFonts w:hint="eastAsia" w:ascii="宋体" w:hAnsi="宋体" w:eastAsia="宋体" w:cs="宋体"/>
          <w:b/>
          <w:bCs/>
          <w:color w:val="auto"/>
          <w:sz w:val="24"/>
          <w:szCs w:val="24"/>
          <w:highlight w:val="none"/>
          <w:u w:val="single"/>
          <w:lang w:eastAsia="zh-CN"/>
        </w:rPr>
        <w:t>广州交易集团有限公司（广州公共资源交易中心）</w:t>
      </w:r>
      <w:r>
        <w:rPr>
          <w:rFonts w:hint="eastAsia" w:ascii="宋体" w:hAnsi="宋体" w:eastAsia="宋体" w:cs="宋体"/>
          <w:b/>
          <w:bCs/>
          <w:color w:val="auto"/>
          <w:sz w:val="24"/>
          <w:szCs w:val="24"/>
          <w:highlight w:val="none"/>
          <w:u w:val="single"/>
        </w:rPr>
        <w:t>网</w:t>
      </w:r>
      <w:r>
        <w:rPr>
          <w:rFonts w:hint="eastAsia" w:ascii="宋体" w:hAnsi="宋体" w:eastAsia="宋体" w:cs="宋体"/>
          <w:b/>
          <w:bCs/>
          <w:color w:val="auto"/>
          <w:sz w:val="24"/>
          <w:szCs w:val="24"/>
          <w:highlight w:val="none"/>
          <w:u w:val="single"/>
          <w:lang w:eastAsia="zh-CN"/>
        </w:rPr>
        <w:t>站</w:t>
      </w:r>
      <w:r>
        <w:rPr>
          <w:rFonts w:hint="eastAsia" w:ascii="宋体" w:hAnsi="宋体" w:eastAsia="宋体" w:cs="宋体"/>
          <w:b/>
          <w:bCs/>
          <w:color w:val="auto"/>
          <w:sz w:val="24"/>
          <w:szCs w:val="24"/>
          <w:highlight w:val="none"/>
          <w:u w:val="single"/>
        </w:rPr>
        <w:t>最后发布的内容为准</w:t>
      </w:r>
      <w:r>
        <w:rPr>
          <w:rFonts w:hint="eastAsia" w:ascii="宋体" w:hAnsi="宋体"/>
          <w:color w:val="auto"/>
          <w:sz w:val="24"/>
          <w:szCs w:val="24"/>
          <w:highlight w:val="none"/>
        </w:rPr>
        <w:t>。</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8"/>
        <w:bidi w:val="0"/>
        <w:rPr>
          <w:color w:val="auto"/>
          <w:highlight w:val="none"/>
        </w:rPr>
      </w:pPr>
      <w:bookmarkStart w:id="30" w:name="_Toc21525495"/>
      <w:bookmarkStart w:id="31" w:name="_Toc644"/>
      <w:bookmarkStart w:id="32" w:name="_Toc2272551"/>
      <w:bookmarkStart w:id="33" w:name="_Toc19531"/>
      <w:r>
        <w:rPr>
          <w:rFonts w:hint="eastAsia"/>
          <w:color w:val="auto"/>
          <w:highlight w:val="none"/>
        </w:rPr>
        <w:t>（三）投标文件的编制</w:t>
      </w:r>
      <w:bookmarkEnd w:id="30"/>
      <w:bookmarkEnd w:id="31"/>
      <w:bookmarkEnd w:id="32"/>
      <w:bookmarkEnd w:id="33"/>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．投标文件的语言及度量衡单位</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10.1 </w:t>
      </w:r>
      <w:r>
        <w:rPr>
          <w:rFonts w:hint="eastAsia" w:ascii="宋体" w:hAnsi="宋体"/>
          <w:color w:val="auto"/>
          <w:sz w:val="24"/>
          <w:highlight w:val="none"/>
        </w:rPr>
        <w:t>投标文件和与投标有关的所有文件均应使用中文。</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10.2 </w:t>
      </w:r>
      <w:r>
        <w:rPr>
          <w:rFonts w:hint="eastAsia" w:ascii="宋体" w:hAnsi="宋体"/>
          <w:color w:val="auto"/>
          <w:sz w:val="24"/>
          <w:highlight w:val="none"/>
        </w:rPr>
        <w:t>除工程规范另有规定外，投标文件使用的度量衡单位，均采用中华人民共和国法定计量单位。</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11</w:t>
      </w:r>
      <w:r>
        <w:rPr>
          <w:rFonts w:hint="eastAsia" w:ascii="宋体" w:hAnsi="宋体"/>
          <w:b/>
          <w:bCs/>
          <w:color w:val="auto"/>
          <w:sz w:val="24"/>
          <w:highlight w:val="none"/>
        </w:rPr>
        <w:t>．投标文件的组成</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rPr>
        <w:t>11.1投标文件由技术部分（含资格审查文件）和经济部分、定标文件组成，其中定标文件组成详见11.4条。</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rPr>
        <w:t>11.2投标文件技术标</w:t>
      </w:r>
      <w:r>
        <w:rPr>
          <w:rFonts w:hint="eastAsia" w:ascii="宋体" w:hAnsi="宋体" w:cs="宋体"/>
          <w:b/>
          <w:bCs w:val="0"/>
          <w:color w:val="auto"/>
          <w:sz w:val="24"/>
          <w:szCs w:val="24"/>
          <w:highlight w:val="none"/>
          <w:u w:val="single"/>
          <w:lang w:val="en-US" w:eastAsia="zh-CN"/>
        </w:rPr>
        <w:t>部分</w:t>
      </w:r>
      <w:r>
        <w:rPr>
          <w:rFonts w:hint="eastAsia" w:ascii="宋体" w:hAnsi="宋体" w:eastAsia="宋体" w:cs="宋体"/>
          <w:b/>
          <w:bCs w:val="0"/>
          <w:color w:val="auto"/>
          <w:sz w:val="24"/>
          <w:szCs w:val="24"/>
          <w:highlight w:val="none"/>
          <w:u w:val="single"/>
        </w:rPr>
        <w:t>主要包括下列内容</w:t>
      </w:r>
      <w:r>
        <w:rPr>
          <w:rFonts w:hint="eastAsia" w:ascii="宋体" w:hAnsi="宋体" w:eastAsia="宋体" w:cs="宋体"/>
          <w:b/>
          <w:bCs w:val="0"/>
          <w:color w:val="auto"/>
          <w:sz w:val="24"/>
          <w:szCs w:val="24"/>
          <w:highlight w:val="none"/>
          <w:u w:val="single"/>
          <w:lang w:eastAsia="zh-CN"/>
        </w:rPr>
        <w:t>：</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rPr>
        <w:t>11.2.1投标文件技术标</w:t>
      </w:r>
      <w:r>
        <w:rPr>
          <w:rFonts w:hint="eastAsia" w:ascii="宋体" w:hAnsi="宋体" w:cs="宋体"/>
          <w:b/>
          <w:bCs w:val="0"/>
          <w:color w:val="auto"/>
          <w:sz w:val="24"/>
          <w:szCs w:val="24"/>
          <w:highlight w:val="none"/>
          <w:u w:val="single"/>
          <w:lang w:val="en-US" w:eastAsia="zh-CN"/>
        </w:rPr>
        <w:t>部分</w:t>
      </w:r>
      <w:r>
        <w:rPr>
          <w:rFonts w:hint="eastAsia" w:ascii="宋体" w:hAnsi="宋体" w:eastAsia="宋体" w:cs="宋体"/>
          <w:b/>
          <w:color w:val="auto"/>
          <w:sz w:val="24"/>
          <w:szCs w:val="24"/>
          <w:highlight w:val="none"/>
          <w:u w:val="single"/>
        </w:rPr>
        <w:t>（按本招标文件第四章“技术标投标文件格式”）</w:t>
      </w:r>
      <w:r>
        <w:rPr>
          <w:rFonts w:hint="eastAsia" w:ascii="宋体" w:hAnsi="宋体" w:eastAsia="宋体" w:cs="宋体"/>
          <w:b/>
          <w:bCs w:val="0"/>
          <w:color w:val="auto"/>
          <w:sz w:val="24"/>
          <w:szCs w:val="24"/>
          <w:highlight w:val="none"/>
          <w:u w:val="single"/>
        </w:rPr>
        <w:t>；</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rPr>
        <w:t>11.2.2资格审查文件：</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rPr>
        <w:t>（1）投标人声明（扫描件）（须按招标公告附件一内容及格式要求编制）；</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rPr>
        <w:t>（2）法定代表人证明书、法定代表人签字或盖章的本投标文件授权委托证明书（扫描件）；</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rPr>
        <w:t>（3）企业营业执照（扫描件或电子证照）；</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rPr>
        <w:t>（4）企业资质证书（扫描件或电子证照）；</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rPr>
        <w:t>（5）建筑施工企业安全生产许可证（扫描件或电子证照）；</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rPr>
        <w:t>（6）项目负责人（按网上投标登记时选择拟投标的项目负责人员）</w:t>
      </w:r>
      <w:r>
        <w:rPr>
          <w:rFonts w:hint="eastAsia" w:ascii="宋体" w:hAnsi="宋体" w:eastAsia="宋体" w:cs="宋体"/>
          <w:b/>
          <w:bCs w:val="0"/>
          <w:color w:val="auto"/>
          <w:sz w:val="24"/>
          <w:szCs w:val="24"/>
          <w:highlight w:val="none"/>
          <w:u w:val="single"/>
          <w:lang w:eastAsia="zh-CN"/>
        </w:rPr>
        <w:t>；</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rPr>
        <w:t>（7）专职安全员（按网上投标登记时选择拟投标的专职安全员）；</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rPr>
        <w:t>（</w:t>
      </w:r>
      <w:r>
        <w:rPr>
          <w:rFonts w:hint="eastAsia" w:ascii="宋体" w:hAnsi="宋体" w:eastAsia="宋体" w:cs="宋体"/>
          <w:b/>
          <w:bCs w:val="0"/>
          <w:color w:val="auto"/>
          <w:sz w:val="24"/>
          <w:szCs w:val="24"/>
          <w:highlight w:val="none"/>
          <w:u w:val="single"/>
          <w:lang w:val="en-US" w:eastAsia="zh-CN"/>
        </w:rPr>
        <w:t>8</w:t>
      </w:r>
      <w:r>
        <w:rPr>
          <w:rFonts w:hint="eastAsia" w:ascii="宋体" w:hAnsi="宋体" w:eastAsia="宋体" w:cs="宋体"/>
          <w:b/>
          <w:bCs w:val="0"/>
          <w:color w:val="auto"/>
          <w:sz w:val="24"/>
          <w:szCs w:val="24"/>
          <w:highlight w:val="none"/>
          <w:u w:val="single"/>
        </w:rPr>
        <w:t>）拟委派项目负责人的有效期内的建造师注册证书（扫描件或电子证</w:t>
      </w:r>
      <w:r>
        <w:rPr>
          <w:rFonts w:hint="eastAsia" w:ascii="宋体" w:hAnsi="宋体" w:eastAsia="宋体" w:cs="宋体"/>
          <w:b/>
          <w:bCs w:val="0"/>
          <w:color w:val="auto"/>
          <w:sz w:val="24"/>
          <w:szCs w:val="24"/>
          <w:highlight w:val="none"/>
          <w:u w:val="single"/>
          <w:lang w:eastAsia="zh-CN"/>
        </w:rPr>
        <w:t>书</w:t>
      </w:r>
      <w:r>
        <w:rPr>
          <w:rFonts w:hint="eastAsia" w:ascii="宋体" w:hAnsi="宋体" w:eastAsia="宋体" w:cs="宋体"/>
          <w:b/>
          <w:bCs w:val="0"/>
          <w:color w:val="auto"/>
          <w:sz w:val="24"/>
          <w:szCs w:val="24"/>
          <w:highlight w:val="none"/>
          <w:u w:val="single"/>
        </w:rPr>
        <w:t>）；</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rPr>
        <w:t>（</w:t>
      </w:r>
      <w:r>
        <w:rPr>
          <w:rFonts w:hint="eastAsia" w:ascii="宋体" w:hAnsi="宋体" w:eastAsia="宋体" w:cs="宋体"/>
          <w:b/>
          <w:bCs w:val="0"/>
          <w:color w:val="auto"/>
          <w:sz w:val="24"/>
          <w:szCs w:val="24"/>
          <w:highlight w:val="none"/>
          <w:u w:val="single"/>
          <w:lang w:val="en-US" w:eastAsia="zh-CN"/>
        </w:rPr>
        <w:t>9</w:t>
      </w:r>
      <w:r>
        <w:rPr>
          <w:rFonts w:hint="eastAsia" w:ascii="宋体" w:hAnsi="宋体" w:eastAsia="宋体" w:cs="宋体"/>
          <w:b/>
          <w:bCs w:val="0"/>
          <w:color w:val="auto"/>
          <w:sz w:val="24"/>
          <w:szCs w:val="24"/>
          <w:highlight w:val="none"/>
          <w:u w:val="single"/>
        </w:rPr>
        <w:t>）项目负责人安全生产考核合格证明或在有效期内的安全</w:t>
      </w:r>
      <w:r>
        <w:rPr>
          <w:rFonts w:hint="eastAsia" w:ascii="宋体" w:hAnsi="宋体" w:cs="宋体"/>
          <w:b/>
          <w:bCs w:val="0"/>
          <w:color w:val="auto"/>
          <w:sz w:val="24"/>
          <w:szCs w:val="24"/>
          <w:highlight w:val="none"/>
          <w:u w:val="single"/>
          <w:lang w:eastAsia="zh-CN"/>
        </w:rPr>
        <w:t>生产</w:t>
      </w:r>
      <w:r>
        <w:rPr>
          <w:rFonts w:hint="eastAsia" w:ascii="宋体" w:hAnsi="宋体" w:eastAsia="宋体" w:cs="宋体"/>
          <w:b/>
          <w:bCs w:val="0"/>
          <w:color w:val="auto"/>
          <w:sz w:val="24"/>
          <w:szCs w:val="24"/>
          <w:highlight w:val="none"/>
          <w:u w:val="single"/>
        </w:rPr>
        <w:t>考核合格证书（B类）或建筑施工企业项目负责人安全生产考核合格证书（扫描件或电子证书）；</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rPr>
        <w:t>（1</w:t>
      </w:r>
      <w:r>
        <w:rPr>
          <w:rFonts w:hint="eastAsia" w:ascii="宋体" w:hAnsi="宋体" w:cs="宋体"/>
          <w:b/>
          <w:bCs w:val="0"/>
          <w:color w:val="auto"/>
          <w:sz w:val="24"/>
          <w:szCs w:val="24"/>
          <w:highlight w:val="none"/>
          <w:u w:val="single"/>
          <w:lang w:val="en-US" w:eastAsia="zh-CN"/>
        </w:rPr>
        <w:t>0</w:t>
      </w:r>
      <w:r>
        <w:rPr>
          <w:rFonts w:hint="eastAsia" w:ascii="宋体" w:hAnsi="宋体" w:eastAsia="宋体" w:cs="宋体"/>
          <w:b/>
          <w:bCs w:val="0"/>
          <w:color w:val="auto"/>
          <w:sz w:val="24"/>
          <w:szCs w:val="24"/>
          <w:highlight w:val="none"/>
          <w:u w:val="single"/>
        </w:rPr>
        <w:t>）专职安全员须具有在有效期内的安全</w:t>
      </w:r>
      <w:r>
        <w:rPr>
          <w:rFonts w:hint="eastAsia" w:ascii="宋体" w:hAnsi="宋体" w:cs="宋体"/>
          <w:b/>
          <w:bCs w:val="0"/>
          <w:color w:val="auto"/>
          <w:sz w:val="24"/>
          <w:szCs w:val="24"/>
          <w:highlight w:val="none"/>
          <w:u w:val="single"/>
          <w:lang w:eastAsia="zh-CN"/>
        </w:rPr>
        <w:t>生产</w:t>
      </w:r>
      <w:r>
        <w:rPr>
          <w:rFonts w:hint="eastAsia" w:ascii="宋体" w:hAnsi="宋体" w:eastAsia="宋体" w:cs="宋体"/>
          <w:b/>
          <w:bCs w:val="0"/>
          <w:color w:val="auto"/>
          <w:sz w:val="24"/>
          <w:szCs w:val="24"/>
          <w:highlight w:val="none"/>
          <w:u w:val="single"/>
        </w:rPr>
        <w:t>考核合格证书（C类）或建筑施工企业专职安全生产管理人员安全生产考核合格证书（C3）（扫描件或电子证书），项目负责人和专职安全员不为同一人；</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rPr>
        <w:t>（1</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rPr>
        <w:t>）关于联合体投标：本项目不接受联合体投标。</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rPr>
        <w:t>（1</w:t>
      </w:r>
      <w:r>
        <w:rPr>
          <w:rFonts w:hint="eastAsia" w:ascii="宋体" w:hAnsi="宋体" w:cs="宋体"/>
          <w:b/>
          <w:bCs w:val="0"/>
          <w:color w:val="auto"/>
          <w:sz w:val="24"/>
          <w:szCs w:val="24"/>
          <w:highlight w:val="none"/>
          <w:u w:val="single"/>
          <w:lang w:val="en-US" w:eastAsia="zh-CN"/>
        </w:rPr>
        <w:t>2</w:t>
      </w:r>
      <w:r>
        <w:rPr>
          <w:rFonts w:hint="eastAsia" w:ascii="宋体" w:hAnsi="宋体" w:eastAsia="宋体" w:cs="宋体"/>
          <w:b/>
          <w:bCs w:val="0"/>
          <w:color w:val="auto"/>
          <w:sz w:val="24"/>
          <w:szCs w:val="24"/>
          <w:highlight w:val="none"/>
          <w:u w:val="single"/>
        </w:rPr>
        <w:t>）投标人未出现以下情形：</w:t>
      </w:r>
      <w:r>
        <w:rPr>
          <w:rFonts w:hint="eastAsia" w:ascii="宋体" w:hAnsi="宋体" w:cs="宋体"/>
          <w:b/>
          <w:color w:val="auto"/>
          <w:sz w:val="24"/>
          <w:szCs w:val="24"/>
          <w:highlight w:val="none"/>
          <w:u w:val="single"/>
        </w:rPr>
        <w:t>与</w:t>
      </w:r>
      <w:r>
        <w:rPr>
          <w:rFonts w:hint="eastAsia" w:ascii="宋体" w:hAnsi="宋体" w:cs="宋体"/>
          <w:b/>
          <w:color w:val="auto"/>
          <w:sz w:val="24"/>
          <w:szCs w:val="24"/>
          <w:highlight w:val="none"/>
          <w:u w:val="single"/>
          <w:lang w:val="en-US" w:eastAsia="zh-CN"/>
        </w:rPr>
        <w:t>本招标项目其他</w:t>
      </w:r>
      <w:r>
        <w:rPr>
          <w:rFonts w:hint="eastAsia" w:ascii="宋体" w:hAnsi="宋体" w:cs="宋体"/>
          <w:b/>
          <w:color w:val="auto"/>
          <w:sz w:val="24"/>
          <w:szCs w:val="24"/>
          <w:highlight w:val="none"/>
          <w:u w:val="single"/>
        </w:rPr>
        <w:t>投标人的单位负责人为同一人或者存在控股、管理关系的（按投标人提供的《投标人声明》第八条内容进行评审）。如不同投标申请人出现单位负责人为同一人或者存在控股、管理关系的情形，则相关投标均无效</w:t>
      </w:r>
      <w:r>
        <w:rPr>
          <w:rFonts w:hint="eastAsia" w:ascii="宋体" w:hAnsi="宋体" w:eastAsia="宋体" w:cs="宋体"/>
          <w:b/>
          <w:bCs w:val="0"/>
          <w:color w:val="auto"/>
          <w:sz w:val="24"/>
          <w:szCs w:val="24"/>
          <w:highlight w:val="none"/>
          <w:u w:val="single"/>
        </w:rPr>
        <w:t>。</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rPr>
        <w:t>（1</w:t>
      </w:r>
      <w:r>
        <w:rPr>
          <w:rFonts w:hint="eastAsia" w:ascii="宋体" w:hAnsi="宋体" w:cs="宋体"/>
          <w:b/>
          <w:bCs w:val="0"/>
          <w:color w:val="auto"/>
          <w:sz w:val="24"/>
          <w:szCs w:val="24"/>
          <w:highlight w:val="none"/>
          <w:u w:val="single"/>
          <w:lang w:val="en-US" w:eastAsia="zh-CN"/>
        </w:rPr>
        <w:t>3</w:t>
      </w:r>
      <w:r>
        <w:rPr>
          <w:rFonts w:hint="eastAsia" w:ascii="宋体" w:hAnsi="宋体" w:eastAsia="宋体" w:cs="宋体"/>
          <w:b/>
          <w:bCs w:val="0"/>
          <w:color w:val="auto"/>
          <w:sz w:val="24"/>
          <w:szCs w:val="24"/>
          <w:highlight w:val="none"/>
          <w:u w:val="single"/>
        </w:rPr>
        <w:t>）</w:t>
      </w:r>
      <w:r>
        <w:rPr>
          <w:rFonts w:hint="eastAsia" w:ascii="宋体" w:hAnsi="宋体" w:eastAsia="宋体" w:cs="宋体"/>
          <w:b/>
          <w:color w:val="auto"/>
          <w:sz w:val="24"/>
          <w:szCs w:val="24"/>
          <w:highlight w:val="none"/>
          <w:u w:val="single"/>
        </w:rPr>
        <w:t>在投标截止时间前</w:t>
      </w:r>
      <w:r>
        <w:rPr>
          <w:rFonts w:hint="eastAsia" w:ascii="宋体" w:hAnsi="宋体" w:cs="宋体"/>
          <w:b/>
          <w:color w:val="auto"/>
          <w:sz w:val="24"/>
          <w:szCs w:val="24"/>
          <w:highlight w:val="none"/>
          <w:u w:val="single"/>
        </w:rPr>
        <w:t>，</w:t>
      </w:r>
      <w:r>
        <w:rPr>
          <w:rFonts w:hint="eastAsia" w:ascii="宋体" w:hAnsi="宋体" w:cs="宋体"/>
          <w:b/>
          <w:color w:val="auto"/>
          <w:sz w:val="24"/>
          <w:szCs w:val="24"/>
          <w:highlight w:val="none"/>
          <w:u w:val="single"/>
          <w:lang w:eastAsia="zh-CN"/>
        </w:rPr>
        <w:t>投标人</w:t>
      </w:r>
      <w:r>
        <w:rPr>
          <w:rFonts w:hint="eastAsia" w:ascii="宋体" w:hAnsi="宋体" w:cs="宋体"/>
          <w:b/>
          <w:color w:val="auto"/>
          <w:sz w:val="24"/>
          <w:szCs w:val="24"/>
          <w:highlight w:val="none"/>
          <w:u w:val="single"/>
        </w:rPr>
        <w:t>未被列入拖欠农民工工资失信联合惩戒对象名单。（</w:t>
      </w:r>
      <w:r>
        <w:rPr>
          <w:rFonts w:hint="eastAsia" w:ascii="宋体" w:hAnsi="宋体" w:cs="宋体"/>
          <w:b/>
          <w:color w:val="auto"/>
          <w:sz w:val="24"/>
          <w:szCs w:val="24"/>
          <w:highlight w:val="none"/>
          <w:u w:val="single"/>
          <w:lang w:val="en-US" w:eastAsia="zh-CN"/>
        </w:rPr>
        <w:t>注：</w:t>
      </w:r>
      <w:r>
        <w:rPr>
          <w:rFonts w:hint="eastAsia" w:ascii="宋体" w:hAnsi="宋体" w:cs="宋体"/>
          <w:b/>
          <w:color w:val="auto"/>
          <w:sz w:val="24"/>
          <w:szCs w:val="24"/>
          <w:highlight w:val="none"/>
          <w:u w:val="single"/>
          <w:lang w:eastAsia="zh-CN"/>
        </w:rPr>
        <w:t>投标人无需提供资料，按投标截止时间广州交易集团有限公司（广州公共资源交易中心）交易系统比对的结果进行评审</w:t>
      </w:r>
      <w:r>
        <w:rPr>
          <w:rFonts w:hint="eastAsia" w:ascii="宋体" w:hAnsi="宋体" w:cs="宋体"/>
          <w:b/>
          <w:color w:val="auto"/>
          <w:sz w:val="24"/>
          <w:szCs w:val="24"/>
          <w:highlight w:val="none"/>
          <w:u w:val="single"/>
        </w:rPr>
        <w:t>）</w:t>
      </w:r>
      <w:r>
        <w:rPr>
          <w:rFonts w:hint="eastAsia" w:ascii="宋体" w:hAnsi="宋体" w:eastAsia="宋体" w:cs="宋体"/>
          <w:b/>
          <w:bCs w:val="0"/>
          <w:color w:val="auto"/>
          <w:sz w:val="24"/>
          <w:szCs w:val="24"/>
          <w:highlight w:val="none"/>
          <w:u w:val="single"/>
        </w:rPr>
        <w:t>；</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rPr>
        <w:t>（1</w:t>
      </w:r>
      <w:r>
        <w:rPr>
          <w:rFonts w:hint="eastAsia" w:ascii="宋体" w:hAnsi="宋体" w:cs="宋体"/>
          <w:b/>
          <w:bCs w:val="0"/>
          <w:color w:val="auto"/>
          <w:sz w:val="24"/>
          <w:szCs w:val="24"/>
          <w:highlight w:val="none"/>
          <w:u w:val="single"/>
          <w:lang w:val="en-US" w:eastAsia="zh-CN"/>
        </w:rPr>
        <w:t>4</w:t>
      </w:r>
      <w:r>
        <w:rPr>
          <w:rFonts w:hint="eastAsia" w:ascii="宋体" w:hAnsi="宋体" w:eastAsia="宋体" w:cs="宋体"/>
          <w:b/>
          <w:bCs w:val="0"/>
          <w:color w:val="auto"/>
          <w:sz w:val="24"/>
          <w:szCs w:val="24"/>
          <w:highlight w:val="none"/>
          <w:u w:val="single"/>
        </w:rPr>
        <w:t>）投标人认为应提供的其他资料。</w:t>
      </w:r>
    </w:p>
    <w:p>
      <w:pPr>
        <w:spacing w:line="360" w:lineRule="auto"/>
        <w:ind w:firstLine="482" w:firstLineChars="200"/>
        <w:rPr>
          <w:rFonts w:hint="eastAsia" w:ascii="宋体" w:hAnsi="宋体"/>
          <w:b/>
          <w:color w:val="auto"/>
          <w:sz w:val="24"/>
          <w:highlight w:val="none"/>
          <w:u w:val="single"/>
        </w:rPr>
      </w:pPr>
      <w:r>
        <w:rPr>
          <w:rFonts w:hint="eastAsia" w:ascii="宋体" w:hAnsi="宋体"/>
          <w:b/>
          <w:color w:val="auto"/>
          <w:sz w:val="24"/>
          <w:highlight w:val="none"/>
          <w:u w:val="single"/>
        </w:rPr>
        <w:t>11.2.3项目管理机构配备。</w:t>
      </w:r>
    </w:p>
    <w:p>
      <w:pPr>
        <w:spacing w:line="360" w:lineRule="auto"/>
        <w:ind w:firstLine="482" w:firstLineChars="200"/>
        <w:rPr>
          <w:rFonts w:hint="eastAsia" w:ascii="宋体" w:hAnsi="宋体"/>
          <w:b/>
          <w:color w:val="auto"/>
          <w:sz w:val="24"/>
          <w:highlight w:val="none"/>
          <w:u w:val="single"/>
        </w:rPr>
      </w:pPr>
      <w:r>
        <w:rPr>
          <w:rFonts w:hint="eastAsia" w:ascii="宋体" w:hAnsi="宋体"/>
          <w:b/>
          <w:color w:val="auto"/>
          <w:sz w:val="24"/>
          <w:highlight w:val="none"/>
          <w:u w:val="single"/>
        </w:rPr>
        <w:t>投标人应列出该项目工程的施工组织机构构成和画出机构框架图及其负责人；</w:t>
      </w:r>
    </w:p>
    <w:p>
      <w:pPr>
        <w:spacing w:line="360" w:lineRule="auto"/>
        <w:ind w:firstLine="482" w:firstLineChars="200"/>
        <w:rPr>
          <w:rFonts w:hint="eastAsia" w:ascii="宋体" w:hAnsi="宋体"/>
          <w:b/>
          <w:color w:val="auto"/>
          <w:sz w:val="24"/>
          <w:highlight w:val="none"/>
          <w:u w:val="single"/>
        </w:rPr>
      </w:pPr>
      <w:r>
        <w:rPr>
          <w:rFonts w:hint="eastAsia" w:ascii="宋体" w:hAnsi="宋体"/>
          <w:b/>
          <w:color w:val="auto"/>
          <w:sz w:val="24"/>
          <w:highlight w:val="none"/>
          <w:u w:val="single"/>
        </w:rPr>
        <w:t>投标人应详细列出该施工组织机构中主要成员的名单、简历资料、职务职称和在本项目中拟担任的职务等资料，并附上有关证明材料扫描件；</w:t>
      </w:r>
    </w:p>
    <w:p>
      <w:pPr>
        <w:spacing w:line="360" w:lineRule="auto"/>
        <w:ind w:firstLine="482" w:firstLineChars="200"/>
        <w:rPr>
          <w:rFonts w:hint="eastAsia" w:ascii="宋体" w:hAnsi="宋体"/>
          <w:b/>
          <w:color w:val="auto"/>
          <w:sz w:val="24"/>
          <w:highlight w:val="none"/>
          <w:u w:val="single"/>
        </w:rPr>
      </w:pPr>
      <w:r>
        <w:rPr>
          <w:rFonts w:hint="eastAsia" w:ascii="宋体" w:hAnsi="宋体"/>
          <w:b/>
          <w:color w:val="auto"/>
          <w:sz w:val="24"/>
          <w:highlight w:val="none"/>
          <w:u w:val="single"/>
        </w:rPr>
        <w:t>其他辅助说明资料。（若有）</w:t>
      </w:r>
    </w:p>
    <w:p>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11.2.4广州建设工程施工招标投标书（见本招标文件第四章“技术标投标文件格式”）</w:t>
      </w:r>
    </w:p>
    <w:p>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11.2.5投标函（见本招标文件第四章“技术标投标文件格式”）</w:t>
      </w:r>
    </w:p>
    <w:p>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11.2.6承诺书（见本招标文件第四章“技术标投标文件格式”）</w:t>
      </w:r>
    </w:p>
    <w:p>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11.2.7危险性较大的分部分项工程安全管理措施（见本招标文件第四章“技术标投标文件格式”）</w:t>
      </w:r>
    </w:p>
    <w:p>
      <w:pPr>
        <w:spacing w:line="360" w:lineRule="auto"/>
        <w:ind w:firstLine="482" w:firstLineChars="200"/>
        <w:rPr>
          <w:rFonts w:hint="eastAsia" w:ascii="宋体" w:hAnsi="宋体"/>
          <w:b/>
          <w:bCs/>
          <w:color w:val="auto"/>
          <w:sz w:val="24"/>
          <w:highlight w:val="none"/>
          <w:u w:val="single"/>
          <w:lang w:eastAsia="zh-CN"/>
        </w:rPr>
      </w:pPr>
      <w:r>
        <w:rPr>
          <w:rFonts w:hint="eastAsia" w:ascii="宋体" w:hAnsi="宋体"/>
          <w:b/>
          <w:bCs/>
          <w:color w:val="auto"/>
          <w:sz w:val="24"/>
          <w:highlight w:val="none"/>
          <w:u w:val="single"/>
        </w:rPr>
        <w:t>11.2.8按照招标文件要求填写的《参与编制技术标投标文件人员名单》。（见本招标文件第四章“技术标投标文件格式”</w:t>
      </w:r>
      <w:r>
        <w:rPr>
          <w:rFonts w:hint="eastAsia" w:ascii="宋体" w:hAnsi="宋体"/>
          <w:b/>
          <w:bCs/>
          <w:color w:val="auto"/>
          <w:sz w:val="24"/>
          <w:highlight w:val="none"/>
          <w:u w:val="single"/>
          <w:lang w:eastAsia="zh-CN"/>
        </w:rPr>
        <w:t>）</w:t>
      </w:r>
    </w:p>
    <w:p>
      <w:pPr>
        <w:spacing w:line="360" w:lineRule="auto"/>
        <w:ind w:firstLine="482" w:firstLineChars="200"/>
        <w:rPr>
          <w:rFonts w:hint="eastAsia" w:ascii="宋体" w:hAnsi="宋体"/>
          <w:b/>
          <w:bCs/>
          <w:color w:val="auto"/>
          <w:sz w:val="24"/>
          <w:highlight w:val="none"/>
          <w:u w:val="single"/>
          <w:lang w:eastAsia="zh-CN"/>
        </w:rPr>
      </w:pPr>
      <w:r>
        <w:rPr>
          <w:rFonts w:hint="eastAsia" w:ascii="宋体" w:hAnsi="宋体"/>
          <w:b/>
          <w:bCs/>
          <w:color w:val="auto"/>
          <w:sz w:val="24"/>
          <w:highlight w:val="none"/>
          <w:u w:val="single"/>
          <w:lang w:val="en-US" w:eastAsia="zh-CN"/>
        </w:rPr>
        <w:t>11.2.10中小企业声明函（如有，</w:t>
      </w:r>
      <w:r>
        <w:rPr>
          <w:rFonts w:hint="eastAsia" w:ascii="宋体" w:hAnsi="宋体"/>
          <w:b/>
          <w:bCs/>
          <w:color w:val="auto"/>
          <w:sz w:val="24"/>
          <w:highlight w:val="none"/>
          <w:u w:val="single"/>
        </w:rPr>
        <w:t>见本招标文件第四章“技术标投标文件格式”</w:t>
      </w:r>
      <w:r>
        <w:rPr>
          <w:rFonts w:hint="eastAsia" w:ascii="宋体" w:hAnsi="宋体"/>
          <w:b/>
          <w:bCs/>
          <w:color w:val="auto"/>
          <w:sz w:val="24"/>
          <w:highlight w:val="none"/>
          <w:u w:val="single"/>
          <w:lang w:val="en-US" w:eastAsia="zh-CN"/>
        </w:rPr>
        <w:t>）；</w:t>
      </w:r>
    </w:p>
    <w:p>
      <w:pPr>
        <w:spacing w:line="360" w:lineRule="auto"/>
        <w:ind w:firstLine="482" w:firstLineChars="200"/>
        <w:rPr>
          <w:rFonts w:hint="eastAsia" w:ascii="宋体" w:hAnsi="宋体"/>
          <w:b/>
          <w:bCs/>
          <w:color w:val="auto"/>
          <w:sz w:val="24"/>
          <w:highlight w:val="none"/>
          <w:u w:val="single"/>
          <w:lang w:eastAsia="zh-CN"/>
        </w:rPr>
      </w:pPr>
      <w:r>
        <w:rPr>
          <w:rFonts w:hint="eastAsia" w:ascii="宋体" w:hAnsi="宋体"/>
          <w:b/>
          <w:bCs/>
          <w:color w:val="auto"/>
          <w:sz w:val="24"/>
          <w:highlight w:val="none"/>
          <w:u w:val="single"/>
          <w:lang w:val="en-US" w:eastAsia="zh-CN"/>
        </w:rPr>
        <w:t>11.2.11关于投标保证金的承诺（如有，</w:t>
      </w:r>
      <w:r>
        <w:rPr>
          <w:rFonts w:hint="eastAsia" w:ascii="宋体" w:hAnsi="宋体"/>
          <w:b/>
          <w:bCs/>
          <w:color w:val="auto"/>
          <w:sz w:val="24"/>
          <w:highlight w:val="none"/>
          <w:u w:val="single"/>
        </w:rPr>
        <w:t>见本招标文件第四章“技术标投标文件格式”</w:t>
      </w:r>
      <w:r>
        <w:rPr>
          <w:rFonts w:hint="eastAsia" w:ascii="宋体" w:hAnsi="宋体"/>
          <w:b/>
          <w:bCs/>
          <w:color w:val="auto"/>
          <w:sz w:val="24"/>
          <w:highlight w:val="none"/>
          <w:u w:val="single"/>
          <w:lang w:val="en-US" w:eastAsia="zh-CN"/>
        </w:rPr>
        <w:t>）；</w:t>
      </w:r>
    </w:p>
    <w:p>
      <w:pPr>
        <w:spacing w:line="360" w:lineRule="auto"/>
        <w:ind w:firstLine="482" w:firstLineChars="200"/>
        <w:rPr>
          <w:rFonts w:hint="eastAsia" w:ascii="宋体" w:hAnsi="宋体"/>
          <w:b/>
          <w:bCs/>
          <w:color w:val="auto"/>
          <w:sz w:val="24"/>
          <w:highlight w:val="none"/>
          <w:u w:val="single"/>
          <w:lang w:eastAsia="zh-CN"/>
        </w:rPr>
      </w:pPr>
      <w:r>
        <w:rPr>
          <w:rFonts w:hint="eastAsia" w:ascii="宋体" w:hAnsi="宋体"/>
          <w:b/>
          <w:bCs/>
          <w:color w:val="auto"/>
          <w:sz w:val="24"/>
          <w:highlight w:val="none"/>
          <w:u w:val="single"/>
          <w:lang w:val="en-US" w:eastAsia="zh-CN"/>
        </w:rPr>
        <w:t>11.2.12</w:t>
      </w:r>
      <w:r>
        <w:rPr>
          <w:rFonts w:hint="eastAsia" w:ascii="宋体" w:hAnsi="宋体"/>
          <w:b/>
          <w:bCs/>
          <w:color w:val="auto"/>
          <w:sz w:val="24"/>
          <w:highlight w:val="none"/>
          <w:u w:val="single"/>
        </w:rPr>
        <w:t>技术标详细审查评分表要求提供的证明材料</w:t>
      </w:r>
      <w:r>
        <w:rPr>
          <w:rFonts w:hint="eastAsia" w:ascii="宋体" w:hAnsi="宋体"/>
          <w:b/>
          <w:bCs/>
          <w:color w:val="auto"/>
          <w:sz w:val="24"/>
          <w:highlight w:val="none"/>
          <w:u w:val="single"/>
          <w:lang w:eastAsia="zh-CN"/>
        </w:rPr>
        <w:t>。</w:t>
      </w:r>
    </w:p>
    <w:p>
      <w:pPr>
        <w:spacing w:line="360" w:lineRule="auto"/>
        <w:ind w:firstLine="482" w:firstLineChars="200"/>
        <w:rPr>
          <w:rFonts w:hint="eastAsia" w:ascii="宋体" w:hAnsi="宋体"/>
          <w:b/>
          <w:bCs/>
          <w:color w:val="auto"/>
          <w:sz w:val="24"/>
          <w:highlight w:val="none"/>
          <w:u w:val="single"/>
          <w:lang w:eastAsia="zh-CN"/>
        </w:rPr>
      </w:pPr>
      <w:r>
        <w:rPr>
          <w:rFonts w:hint="eastAsia" w:ascii="宋体" w:hAnsi="宋体"/>
          <w:b/>
          <w:bCs/>
          <w:color w:val="auto"/>
          <w:sz w:val="24"/>
          <w:highlight w:val="none"/>
          <w:u w:val="single"/>
          <w:lang w:val="en-US" w:eastAsia="zh-CN"/>
        </w:rPr>
        <w:t>11.2.13</w:t>
      </w:r>
      <w:r>
        <w:rPr>
          <w:rFonts w:hint="eastAsia" w:ascii="宋体" w:hAnsi="宋体"/>
          <w:b/>
          <w:bCs/>
          <w:color w:val="auto"/>
          <w:sz w:val="24"/>
          <w:highlight w:val="none"/>
          <w:u w:val="single"/>
        </w:rPr>
        <w:t>《施工组织设计》。（投标人在编制施工组织设计应按照招标人提出的施工现场建筑垃圾源头减量的具体要求以及建筑垃圾综合利用产品的使用要求提供相应措施</w:t>
      </w:r>
      <w:r>
        <w:rPr>
          <w:rFonts w:hint="eastAsia" w:ascii="宋体" w:hAnsi="宋体"/>
          <w:b/>
          <w:bCs/>
          <w:color w:val="auto"/>
          <w:sz w:val="24"/>
          <w:highlight w:val="none"/>
          <w:u w:val="single"/>
          <w:lang w:eastAsia="zh-CN"/>
        </w:rPr>
        <w:t>。投标人在编制施工组织设计时应按照招标文件要求，并针对本项目的关键技术、工艺、重点、难点以及拟在本项目采用的新工艺、新技术、新材料编制，应突出重点，标准、规范中已有的内容无需赘述，一般篇幅不宜超过150页。超过部分不予评审）</w:t>
      </w:r>
      <w:r>
        <w:rPr>
          <w:rFonts w:hint="eastAsia" w:ascii="宋体" w:hAnsi="宋体"/>
          <w:b/>
          <w:bCs/>
          <w:color w:val="auto"/>
          <w:sz w:val="24"/>
          <w:highlight w:val="none"/>
          <w:u w:val="single"/>
        </w:rPr>
        <w:t>。</w:t>
      </w:r>
    </w:p>
    <w:p>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lang w:val="en-US" w:eastAsia="zh-CN"/>
        </w:rPr>
        <w:t>11.2.14</w:t>
      </w:r>
      <w:r>
        <w:rPr>
          <w:rFonts w:hint="eastAsia" w:ascii="宋体" w:hAnsi="宋体"/>
          <w:b/>
          <w:bCs/>
          <w:color w:val="auto"/>
          <w:sz w:val="24"/>
          <w:highlight w:val="none"/>
          <w:u w:val="single"/>
        </w:rPr>
        <w:t>其他投标人认为应该提供的资料。</w:t>
      </w:r>
    </w:p>
    <w:p>
      <w:pPr>
        <w:tabs>
          <w:tab w:val="left" w:pos="1125"/>
        </w:tabs>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11.3经济标投标文件主要包括下列内容：</w:t>
      </w:r>
    </w:p>
    <w:p>
      <w:pPr>
        <w:tabs>
          <w:tab w:val="left" w:pos="1125"/>
        </w:tabs>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11.3.1经济标投标文件封面（须按招标文件第四章 “经济标投标文件格式”）。</w:t>
      </w:r>
    </w:p>
    <w:p>
      <w:pPr>
        <w:tabs>
          <w:tab w:val="left" w:pos="1125"/>
        </w:tabs>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b/>
          <w:bCs/>
          <w:color w:val="auto"/>
          <w:sz w:val="24"/>
          <w:highlight w:val="none"/>
          <w:u w:val="single"/>
        </w:rPr>
        <w:t>（投标报价的工程量清单的组成、格式等由</w:t>
      </w:r>
      <w:r>
        <w:rPr>
          <w:rFonts w:hint="eastAsia" w:ascii="宋体" w:hAnsi="宋体"/>
          <w:b/>
          <w:bCs/>
          <w:color w:val="auto"/>
          <w:sz w:val="24"/>
          <w:highlight w:val="none"/>
          <w:u w:val="single"/>
          <w:lang w:eastAsia="zh-CN"/>
        </w:rPr>
        <w:t>广州交易集团有限公司（广州公共资源交易中心）</w:t>
      </w:r>
      <w:r>
        <w:rPr>
          <w:rFonts w:hint="eastAsia" w:ascii="宋体" w:hAnsi="宋体"/>
          <w:b/>
          <w:bCs/>
          <w:color w:val="auto"/>
          <w:sz w:val="24"/>
          <w:highlight w:val="none"/>
          <w:u w:val="single"/>
        </w:rPr>
        <w:t>的投标文件管理软件自动生成）</w:t>
      </w:r>
    </w:p>
    <w:p>
      <w:pPr>
        <w:tabs>
          <w:tab w:val="left" w:pos="1125"/>
        </w:tabs>
        <w:spacing w:line="360" w:lineRule="auto"/>
        <w:ind w:firstLine="480" w:firstLineChars="200"/>
        <w:rPr>
          <w:rFonts w:hint="eastAsia" w:ascii="宋体" w:hAnsi="宋体"/>
          <w:b/>
          <w:bCs/>
          <w:color w:val="auto"/>
          <w:sz w:val="24"/>
          <w:highlight w:val="none"/>
          <w:u w:val="single"/>
        </w:rPr>
      </w:pPr>
      <w:r>
        <w:rPr>
          <w:rFonts w:hint="eastAsia" w:ascii="宋体" w:hAnsi="宋体"/>
          <w:color w:val="auto"/>
          <w:sz w:val="24"/>
          <w:highlight w:val="none"/>
          <w:u w:val="none"/>
        </w:rPr>
        <w:t>11.3.3按照招标文件要求填写的《参与编制经济标投标文件人员名单》</w:t>
      </w:r>
      <w:r>
        <w:rPr>
          <w:rFonts w:hint="eastAsia" w:ascii="宋体" w:hAnsi="宋体"/>
          <w:b/>
          <w:bCs/>
          <w:color w:val="auto"/>
          <w:sz w:val="24"/>
          <w:highlight w:val="none"/>
          <w:u w:val="single"/>
        </w:rPr>
        <w:t>（须按招标文件第四章 “经济标投标文件格式”）。</w:t>
      </w:r>
    </w:p>
    <w:p>
      <w:pPr>
        <w:tabs>
          <w:tab w:val="left" w:pos="1125"/>
        </w:tabs>
        <w:spacing w:line="360" w:lineRule="auto"/>
        <w:ind w:firstLine="482" w:firstLineChars="200"/>
        <w:rPr>
          <w:rFonts w:hint="eastAsia" w:ascii="宋体" w:hAnsi="宋体"/>
          <w:b/>
          <w:bCs/>
          <w:color w:val="auto"/>
          <w:sz w:val="24"/>
          <w:highlight w:val="none"/>
          <w:u w:val="single"/>
          <w:lang w:eastAsia="zh-CN"/>
        </w:rPr>
      </w:pPr>
      <w:r>
        <w:rPr>
          <w:rFonts w:hint="eastAsia" w:ascii="宋体" w:hAnsi="宋体"/>
          <w:b/>
          <w:bCs/>
          <w:color w:val="auto"/>
          <w:sz w:val="24"/>
          <w:highlight w:val="none"/>
          <w:u w:val="single"/>
        </w:rPr>
        <w:t>11.3.4 对投标文件编制的承诺（须按招标文件第四章 “经济标投标文件格式”）</w:t>
      </w:r>
      <w:r>
        <w:rPr>
          <w:rFonts w:hint="eastAsia" w:ascii="宋体" w:hAnsi="宋体"/>
          <w:b/>
          <w:bCs/>
          <w:color w:val="auto"/>
          <w:sz w:val="24"/>
          <w:highlight w:val="none"/>
          <w:u w:val="single"/>
          <w:lang w:eastAsia="zh-CN"/>
        </w:rPr>
        <w:t>。</w:t>
      </w:r>
    </w:p>
    <w:p>
      <w:pPr>
        <w:tabs>
          <w:tab w:val="left" w:pos="1125"/>
        </w:tabs>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11.3.5若投标人的投标报价低于工程成本警戒价的，投标人还须提供详细的施工组织设计、单价、措施性费用、单价分析表、主要材料价格表、投标人成本分析供评标委员会评审。</w:t>
      </w:r>
    </w:p>
    <w:p>
      <w:pPr>
        <w:tabs>
          <w:tab w:val="left" w:pos="1125"/>
        </w:tabs>
        <w:spacing w:line="360" w:lineRule="auto"/>
        <w:ind w:firstLine="482" w:firstLineChars="200"/>
        <w:rPr>
          <w:rFonts w:ascii="宋体" w:hAnsi="宋体"/>
          <w:b/>
          <w:bCs/>
          <w:color w:val="auto"/>
          <w:sz w:val="24"/>
          <w:highlight w:val="none"/>
          <w:u w:val="single"/>
        </w:rPr>
      </w:pPr>
      <w:r>
        <w:rPr>
          <w:rFonts w:hint="eastAsia" w:ascii="宋体" w:hAnsi="宋体"/>
          <w:b/>
          <w:bCs/>
          <w:color w:val="auto"/>
          <w:sz w:val="24"/>
          <w:highlight w:val="none"/>
          <w:u w:val="single"/>
        </w:rPr>
        <w:t>11.3.</w:t>
      </w:r>
      <w:r>
        <w:rPr>
          <w:rFonts w:hint="eastAsia" w:ascii="宋体" w:hAnsi="宋体"/>
          <w:b/>
          <w:bCs/>
          <w:color w:val="auto"/>
          <w:sz w:val="24"/>
          <w:highlight w:val="none"/>
          <w:u w:val="single"/>
          <w:lang w:val="en-US" w:eastAsia="zh-CN"/>
        </w:rPr>
        <w:t>6</w:t>
      </w:r>
      <w:r>
        <w:rPr>
          <w:rFonts w:hint="eastAsia" w:ascii="宋体" w:hAnsi="宋体"/>
          <w:b/>
          <w:bCs/>
          <w:color w:val="auto"/>
          <w:sz w:val="24"/>
          <w:highlight w:val="none"/>
          <w:u w:val="single"/>
        </w:rPr>
        <w:t>其他投标人认为应该提供的资料。</w:t>
      </w:r>
    </w:p>
    <w:p>
      <w:pPr>
        <w:pStyle w:val="5"/>
        <w:spacing w:after="0"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11.4定标文件的组成</w:t>
      </w:r>
    </w:p>
    <w:p>
      <w:pPr>
        <w:pStyle w:val="5"/>
        <w:spacing w:after="0"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11.4.</w:t>
      </w:r>
      <w:r>
        <w:rPr>
          <w:rFonts w:hint="eastAsia" w:ascii="宋体" w:hAnsi="宋体"/>
          <w:b/>
          <w:bCs/>
          <w:color w:val="auto"/>
          <w:sz w:val="24"/>
          <w:highlight w:val="none"/>
          <w:u w:val="single"/>
          <w:lang w:val="en-US" w:eastAsia="zh-CN"/>
        </w:rPr>
        <w:t>1</w:t>
      </w:r>
      <w:r>
        <w:rPr>
          <w:rFonts w:hint="eastAsia" w:ascii="宋体" w:hAnsi="宋体"/>
          <w:b/>
          <w:bCs/>
          <w:color w:val="auto"/>
          <w:sz w:val="24"/>
          <w:highlight w:val="none"/>
          <w:u w:val="single"/>
        </w:rPr>
        <w:t>投标人依据《定标因素表》提供资料；</w:t>
      </w:r>
    </w:p>
    <w:p>
      <w:pPr>
        <w:pStyle w:val="5"/>
        <w:spacing w:after="0"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11.4.</w:t>
      </w:r>
      <w:r>
        <w:rPr>
          <w:rFonts w:hint="eastAsia" w:ascii="宋体" w:hAnsi="宋体"/>
          <w:b/>
          <w:bCs/>
          <w:color w:val="auto"/>
          <w:sz w:val="24"/>
          <w:highlight w:val="none"/>
          <w:u w:val="single"/>
          <w:lang w:val="en-US" w:eastAsia="zh-CN"/>
        </w:rPr>
        <w:t>2</w:t>
      </w:r>
      <w:r>
        <w:rPr>
          <w:rFonts w:hint="eastAsia" w:ascii="宋体" w:hAnsi="宋体"/>
          <w:b/>
          <w:bCs/>
          <w:color w:val="auto"/>
          <w:sz w:val="24"/>
          <w:highlight w:val="none"/>
          <w:u w:val="single"/>
        </w:rPr>
        <w:t>投标人认为应该提供的资料。</w:t>
      </w:r>
    </w:p>
    <w:p>
      <w:pPr>
        <w:pStyle w:val="5"/>
        <w:spacing w:after="0" w:line="360" w:lineRule="auto"/>
        <w:ind w:firstLine="482" w:firstLineChars="200"/>
        <w:rPr>
          <w:rFonts w:hint="eastAsia" w:ascii="宋体" w:hAnsi="宋体"/>
          <w:b/>
          <w:bCs/>
          <w:color w:val="auto"/>
          <w:sz w:val="24"/>
          <w:highlight w:val="none"/>
          <w:u w:val="single"/>
          <w:lang w:eastAsia="zh-CN"/>
        </w:rPr>
      </w:pPr>
      <w:r>
        <w:rPr>
          <w:rFonts w:hint="eastAsia" w:ascii="宋体" w:hAnsi="宋体"/>
          <w:b/>
          <w:bCs/>
          <w:color w:val="auto"/>
          <w:sz w:val="24"/>
          <w:highlight w:val="none"/>
          <w:u w:val="single"/>
        </w:rPr>
        <w:t>注：定标文件的递交时间和形式由投标人按照投标须知前附表第18项所规定的时间及本须知第18条的相关要求执行</w:t>
      </w:r>
      <w:r>
        <w:rPr>
          <w:rFonts w:hint="eastAsia" w:ascii="宋体" w:hAnsi="宋体"/>
          <w:b/>
          <w:bCs/>
          <w:color w:val="auto"/>
          <w:sz w:val="24"/>
          <w:highlight w:val="none"/>
          <w:u w:val="single"/>
          <w:lang w:eastAsia="zh-CN"/>
        </w:rPr>
        <w:t>。</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．投标文件格式</w:t>
      </w:r>
    </w:p>
    <w:p>
      <w:pPr>
        <w:pStyle w:val="5"/>
        <w:spacing w:after="0" w:line="360" w:lineRule="auto"/>
        <w:ind w:firstLine="480" w:firstLineChars="200"/>
        <w:rPr>
          <w:rFonts w:ascii="宋体" w:hAnsi="宋体"/>
          <w:color w:val="auto"/>
          <w:sz w:val="24"/>
          <w:highlight w:val="none"/>
        </w:rPr>
      </w:pPr>
      <w:r>
        <w:rPr>
          <w:rFonts w:ascii="宋体" w:hAnsi="宋体"/>
          <w:color w:val="auto"/>
          <w:sz w:val="24"/>
          <w:highlight w:val="none"/>
        </w:rPr>
        <w:t xml:space="preserve">12.1 </w:t>
      </w:r>
      <w:r>
        <w:rPr>
          <w:rFonts w:hint="eastAsia" w:ascii="宋体" w:hAnsi="宋体"/>
          <w:color w:val="auto"/>
          <w:sz w:val="24"/>
          <w:highlight w:val="none"/>
        </w:rPr>
        <w:t>投标文件包括本须知第</w:t>
      </w:r>
      <w:r>
        <w:rPr>
          <w:rFonts w:ascii="宋体" w:hAnsi="宋体"/>
          <w:color w:val="auto"/>
          <w:sz w:val="24"/>
          <w:highlight w:val="none"/>
        </w:rPr>
        <w:t>11</w:t>
      </w:r>
      <w:r>
        <w:rPr>
          <w:rFonts w:hint="eastAsia" w:ascii="宋体" w:hAnsi="宋体"/>
          <w:color w:val="auto"/>
          <w:sz w:val="24"/>
          <w:highlight w:val="none"/>
        </w:rPr>
        <w:t>条中规定的内容，投标人提交的投标文件应当使用招标文件所提供的投标文件全部格式（表格可以按同样格式扩展）。</w:t>
      </w:r>
    </w:p>
    <w:p>
      <w:pPr>
        <w:pStyle w:val="5"/>
        <w:spacing w:after="0" w:line="360" w:lineRule="auto"/>
        <w:ind w:firstLine="480" w:firstLineChars="200"/>
        <w:rPr>
          <w:rFonts w:ascii="宋体" w:hAnsi="宋体"/>
          <w:color w:val="auto"/>
          <w:sz w:val="24"/>
          <w:highlight w:val="none"/>
        </w:rPr>
      </w:pPr>
      <w:r>
        <w:rPr>
          <w:rFonts w:hint="eastAsia" w:ascii="宋体" w:hAnsi="宋体"/>
          <w:color w:val="auto"/>
          <w:sz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color w:val="auto"/>
          <w:sz w:val="24"/>
          <w:szCs w:val="24"/>
          <w:highlight w:val="none"/>
        </w:rPr>
        <w:t>全流程电子化项目的相关指南进行操作。详见：</w:t>
      </w:r>
      <w:r>
        <w:rPr>
          <w:rFonts w:hint="eastAsia"/>
          <w:b/>
          <w:bCs/>
          <w:color w:val="auto"/>
          <w:sz w:val="24"/>
          <w:szCs w:val="24"/>
          <w:highlight w:val="none"/>
          <w:u w:val="single"/>
          <w:lang w:eastAsia="zh-CN"/>
        </w:rPr>
        <w:t>广州交易集团有限公司（广州公共资源交易中心）</w:t>
      </w:r>
      <w:r>
        <w:rPr>
          <w:rFonts w:hint="eastAsia"/>
          <w:b/>
          <w:bCs/>
          <w:color w:val="auto"/>
          <w:sz w:val="24"/>
          <w:szCs w:val="24"/>
          <w:highlight w:val="none"/>
          <w:u w:val="single"/>
        </w:rPr>
        <w:t>网站发布的最新版操作指引</w:t>
      </w:r>
      <w:r>
        <w:rPr>
          <w:rFonts w:hint="eastAsia"/>
          <w:color w:val="auto"/>
          <w:sz w:val="24"/>
          <w:szCs w:val="24"/>
          <w:highlight w:val="none"/>
        </w:rPr>
        <w:t>。</w:t>
      </w:r>
    </w:p>
    <w:p>
      <w:pPr>
        <w:pStyle w:val="5"/>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12.3 </w:t>
      </w:r>
      <w:r>
        <w:rPr>
          <w:rFonts w:hint="eastAsia" w:ascii="宋体" w:hAnsi="宋体"/>
          <w:bCs/>
          <w:color w:val="auto"/>
          <w:sz w:val="24"/>
          <w:szCs w:val="24"/>
          <w:highlight w:val="none"/>
        </w:rPr>
        <w:t>投标文件应按</w:t>
      </w:r>
      <w:r>
        <w:rPr>
          <w:rFonts w:hint="eastAsia" w:ascii="宋体" w:hAnsi="宋体"/>
          <w:color w:val="auto"/>
          <w:sz w:val="24"/>
          <w:highlight w:val="none"/>
        </w:rPr>
        <w:t>照交易平台关于全流程电子化项目的相关指南进行编制，详见：</w:t>
      </w:r>
      <w:r>
        <w:rPr>
          <w:rFonts w:hint="eastAsia"/>
          <w:b/>
          <w:bCs/>
          <w:color w:val="auto"/>
          <w:sz w:val="24"/>
          <w:szCs w:val="24"/>
          <w:highlight w:val="none"/>
          <w:u w:val="single"/>
          <w:lang w:eastAsia="zh-CN"/>
        </w:rPr>
        <w:t>广州交易集团有限公司（广州公共资源交易中心）</w:t>
      </w:r>
      <w:r>
        <w:rPr>
          <w:rFonts w:hint="eastAsia"/>
          <w:b/>
          <w:bCs/>
          <w:color w:val="auto"/>
          <w:sz w:val="24"/>
          <w:szCs w:val="24"/>
          <w:highlight w:val="none"/>
          <w:u w:val="single"/>
        </w:rPr>
        <w:t>网站发布的最新版操作指引</w:t>
      </w:r>
      <w:r>
        <w:rPr>
          <w:rFonts w:hint="eastAsia" w:ascii="宋体" w:hAnsi="宋体"/>
          <w:color w:val="auto"/>
          <w:sz w:val="24"/>
          <w:highlight w:val="none"/>
        </w:rPr>
        <w:t>。</w:t>
      </w:r>
    </w:p>
    <w:p>
      <w:pPr>
        <w:pStyle w:val="5"/>
        <w:spacing w:after="0" w:line="360" w:lineRule="auto"/>
        <w:ind w:firstLine="480" w:firstLineChars="200"/>
        <w:rPr>
          <w:rFonts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．投标报价及造价承包和变更结算方式</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13.1 </w:t>
      </w:r>
      <w:r>
        <w:rPr>
          <w:rFonts w:hint="eastAsia" w:ascii="宋体" w:hAnsi="宋体"/>
          <w:color w:val="auto"/>
          <w:sz w:val="24"/>
          <w:highlight w:val="none"/>
        </w:rPr>
        <w:t>本工程的投标报价采用投标须知前附表第</w:t>
      </w:r>
      <w:r>
        <w:rPr>
          <w:rFonts w:ascii="宋体" w:hAnsi="宋体"/>
          <w:color w:val="auto"/>
          <w:sz w:val="24"/>
          <w:highlight w:val="none"/>
        </w:rPr>
        <w:t>1</w:t>
      </w:r>
      <w:r>
        <w:rPr>
          <w:rFonts w:hint="eastAsia" w:ascii="宋体" w:hAnsi="宋体"/>
          <w:color w:val="auto"/>
          <w:sz w:val="24"/>
          <w:highlight w:val="none"/>
          <w:lang w:val="en-US" w:eastAsia="zh-CN"/>
        </w:rPr>
        <w:t>4</w:t>
      </w:r>
      <w:r>
        <w:rPr>
          <w:rFonts w:hint="eastAsia" w:ascii="宋体" w:hAnsi="宋体"/>
          <w:color w:val="auto"/>
          <w:sz w:val="24"/>
          <w:highlight w:val="none"/>
        </w:rPr>
        <w:t>项所规定的方式。投标报价（含单价及总价）精确到“分”。</w:t>
      </w:r>
      <w:r>
        <w:rPr>
          <w:rFonts w:hint="eastAsia" w:ascii="宋体" w:hAnsi="宋体"/>
          <w:b/>
          <w:bCs/>
          <w:color w:val="auto"/>
          <w:sz w:val="24"/>
          <w:highlight w:val="none"/>
          <w:u w:val="single"/>
        </w:rPr>
        <w:t>投标文件中的大写金额和小写金额不一致的，以大写金额为准，投标报价（含单价及总价）精确到“分”。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w:t>
      </w:r>
      <w:r>
        <w:rPr>
          <w:rFonts w:hint="eastAsia" w:ascii="宋体" w:hAnsi="宋体"/>
          <w:b/>
          <w:bCs/>
          <w:color w:val="auto"/>
          <w:sz w:val="24"/>
          <w:highlight w:val="none"/>
          <w:u w:val="single"/>
        </w:rPr>
        <w:t>提供的招标图纸（包括有关于本项目招标的相关资料）及</w:t>
      </w:r>
      <w:r>
        <w:rPr>
          <w:rFonts w:hint="eastAsia" w:ascii="宋体" w:hAnsi="宋体"/>
          <w:color w:val="auto"/>
          <w:sz w:val="24"/>
          <w:highlight w:val="none"/>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13.4</w:t>
      </w:r>
      <w:r>
        <w:rPr>
          <w:rFonts w:hint="eastAsia" w:ascii="宋体" w:hAnsi="宋体"/>
          <w:color w:val="auto"/>
          <w:sz w:val="24"/>
          <w:highlight w:val="none"/>
        </w:rPr>
        <w:t>投标人一旦中标，投标人对招标人提供的招标工程量清单中列出的工程项目所报出的综合单价，在工程结算时将不得变更</w:t>
      </w:r>
      <w:r>
        <w:rPr>
          <w:rFonts w:hint="eastAsia" w:ascii="宋体" w:hAnsi="宋体"/>
          <w:b/>
          <w:bCs/>
          <w:color w:val="auto"/>
          <w:sz w:val="24"/>
          <w:highlight w:val="none"/>
          <w:u w:val="single"/>
        </w:rPr>
        <w:t>。人工、材料、设备或机械台班市场价格发生异常变动情况时，价格调整方式按招标文件及施工合同相关约定执行。由于工程量偏差，引起的相关措施项目相应发生变化时，措施费调整方式按施工合同相关约定执行</w:t>
      </w:r>
      <w:r>
        <w:rPr>
          <w:rFonts w:hint="eastAsia" w:ascii="宋体" w:hAnsi="宋体"/>
          <w:color w:val="auto"/>
          <w:sz w:val="24"/>
          <w:highlight w:val="none"/>
        </w:rPr>
        <w:t>。</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13.5</w:t>
      </w:r>
      <w:r>
        <w:rPr>
          <w:rFonts w:hint="eastAsia" w:ascii="宋体" w:hAnsi="宋体" w:eastAsia="宋体" w:cs="Times New Roman"/>
          <w:b/>
          <w:bCs/>
          <w:color w:val="auto"/>
          <w:sz w:val="24"/>
          <w:szCs w:val="20"/>
          <w:highlight w:val="none"/>
          <w:u w:val="single"/>
        </w:rPr>
        <w:t>变更结算方式按招标文件及施工合同相关规定执行</w:t>
      </w:r>
      <w:r>
        <w:rPr>
          <w:rFonts w:hint="eastAsia" w:ascii="宋体" w:hAnsi="宋体"/>
          <w:color w:val="auto"/>
          <w:sz w:val="24"/>
          <w:highlight w:val="none"/>
        </w:rPr>
        <w:t>。</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w:t>
      </w:r>
      <w:r>
        <w:rPr>
          <w:rFonts w:hint="eastAsia" w:ascii="宋体" w:hAnsi="宋体"/>
          <w:color w:val="auto"/>
          <w:sz w:val="24"/>
          <w:highlight w:val="none"/>
        </w:rPr>
        <w:t>暂列金额、暂估价</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highlight w:val="none"/>
        </w:rPr>
        <w:t>13.5</w:t>
      </w:r>
      <w:r>
        <w:rPr>
          <w:rFonts w:hint="eastAsia" w:ascii="宋体" w:hAnsi="宋体"/>
          <w:color w:val="auto"/>
          <w:sz w:val="24"/>
          <w:highlight w:val="none"/>
        </w:rPr>
        <w:t>款规定确定。</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13.6.6 </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13.8</w:t>
      </w:r>
      <w:r>
        <w:rPr>
          <w:rFonts w:hint="eastAsia" w:ascii="宋体" w:hAnsi="宋体"/>
          <w:color w:val="auto"/>
          <w:sz w:val="24"/>
          <w:highlight w:val="none"/>
        </w:rPr>
        <w:t>属于承包人自行采购的主要材料、设备，招标人应当在招标文件中提出材料、设备的技术标准或者质量要求，或者提出不少于</w:t>
      </w:r>
      <w:r>
        <w:rPr>
          <w:rFonts w:ascii="宋体" w:hAnsi="宋体"/>
          <w:color w:val="auto"/>
          <w:sz w:val="24"/>
          <w:highlight w:val="none"/>
        </w:rPr>
        <w:t>3</w:t>
      </w:r>
      <w:r>
        <w:rPr>
          <w:rFonts w:hint="eastAsia" w:ascii="宋体" w:hAnsi="宋体"/>
          <w:color w:val="auto"/>
          <w:sz w:val="24"/>
          <w:highlight w:val="none"/>
        </w:rPr>
        <w:t>个同等档次品牌或分包商供投标人报价时选择</w:t>
      </w:r>
      <w:r>
        <w:rPr>
          <w:rFonts w:ascii="宋体"/>
          <w:color w:val="auto"/>
          <w:sz w:val="24"/>
          <w:highlight w:val="none"/>
        </w:rPr>
        <w:t>,</w:t>
      </w:r>
      <w:r>
        <w:rPr>
          <w:rFonts w:hint="eastAsia" w:ascii="宋体" w:hAnsi="宋体"/>
          <w:color w:val="auto"/>
          <w:sz w:val="24"/>
          <w:highlight w:val="none"/>
        </w:rPr>
        <w:t>凡招标人在招标文件中提出参考品牌的，必须在参考品牌后面加上“或相当于”字样。投标人在投标文件中应明确所选用主要材料、设备的品牌、厂家以及质量等级，并且应当符合招标文件的要求。</w:t>
      </w:r>
    </w:p>
    <w:p>
      <w:pPr>
        <w:pStyle w:val="5"/>
        <w:spacing w:after="0" w:line="360" w:lineRule="auto"/>
        <w:ind w:firstLine="480" w:firstLineChars="200"/>
        <w:rPr>
          <w:rFonts w:ascii="宋体"/>
          <w:color w:val="auto"/>
          <w:sz w:val="24"/>
          <w:szCs w:val="24"/>
          <w:highlight w:val="none"/>
        </w:rPr>
      </w:pPr>
      <w:r>
        <w:rPr>
          <w:rFonts w:ascii="宋体" w:hAnsi="宋体"/>
          <w:color w:val="auto"/>
          <w:sz w:val="24"/>
          <w:highlight w:val="none"/>
        </w:rPr>
        <w:t>13.9</w:t>
      </w:r>
      <w:r>
        <w:rPr>
          <w:rFonts w:hint="eastAsia" w:asci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．投标货币</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本工程投标报价采用的币种为人民币。</w:t>
      </w:r>
    </w:p>
    <w:p>
      <w:pPr>
        <w:pStyle w:val="5"/>
        <w:spacing w:after="0" w:line="360" w:lineRule="auto"/>
        <w:ind w:firstLine="482" w:firstLineChars="200"/>
        <w:rPr>
          <w:rFonts w:ascii="宋体"/>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．投标有效期</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15.1 </w:t>
      </w:r>
      <w:r>
        <w:rPr>
          <w:rFonts w:hint="eastAsia" w:ascii="宋体" w:hAnsi="宋体"/>
          <w:color w:val="auto"/>
          <w:sz w:val="24"/>
          <w:highlight w:val="none"/>
        </w:rPr>
        <w:t>投标有效期见投标须知前附表第</w:t>
      </w:r>
      <w:r>
        <w:rPr>
          <w:rFonts w:hint="eastAsia" w:ascii="宋体" w:hAnsi="宋体"/>
          <w:color w:val="auto"/>
          <w:sz w:val="24"/>
          <w:highlight w:val="none"/>
          <w:lang w:val="en-US" w:eastAsia="zh-CN"/>
        </w:rPr>
        <w:t>15</w:t>
      </w:r>
      <w:r>
        <w:rPr>
          <w:rFonts w:hint="eastAsia" w:ascii="宋体" w:hAnsi="宋体"/>
          <w:color w:val="auto"/>
          <w:sz w:val="24"/>
          <w:highlight w:val="none"/>
        </w:rPr>
        <w:t>项所规定的期限，在此期限内，凡符合本招标文件要求的投标文件均保持有效。</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auto"/>
          <w:sz w:val="24"/>
          <w:highlight w:val="none"/>
        </w:rPr>
        <w:t>16</w:t>
      </w:r>
      <w:r>
        <w:rPr>
          <w:rFonts w:hint="eastAsia" w:ascii="宋体" w:hAnsi="宋体"/>
          <w:color w:val="auto"/>
          <w:sz w:val="24"/>
          <w:highlight w:val="none"/>
        </w:rPr>
        <w:t>条关于投标保证金的退还与不予退还的规定仍然适用。</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16</w:t>
      </w:r>
      <w:r>
        <w:rPr>
          <w:rFonts w:hint="eastAsia" w:ascii="宋体" w:hAnsi="宋体"/>
          <w:b/>
          <w:bCs/>
          <w:color w:val="auto"/>
          <w:sz w:val="24"/>
          <w:highlight w:val="none"/>
        </w:rPr>
        <w:t>．投标保证金</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16.1本项目不收取投标保证金。</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16.2提供《关于投标保证金的承诺》（详见第四章投标文件格式）。</w:t>
      </w:r>
    </w:p>
    <w:p>
      <w:pPr>
        <w:pStyle w:val="5"/>
        <w:spacing w:after="0" w:line="360" w:lineRule="auto"/>
        <w:ind w:firstLine="480" w:firstLineChars="200"/>
        <w:rPr>
          <w:rFonts w:hint="eastAsia" w:ascii="宋体" w:hAnsi="宋体"/>
          <w:b/>
          <w:bCs/>
          <w:color w:val="auto"/>
          <w:sz w:val="24"/>
          <w:highlight w:val="none"/>
          <w:u w:val="single"/>
          <w:lang w:eastAsia="zh-CN"/>
        </w:rPr>
      </w:pPr>
      <w:r>
        <w:rPr>
          <w:rFonts w:hint="eastAsia" w:ascii="宋体" w:hAnsi="宋体"/>
          <w:color w:val="auto"/>
          <w:sz w:val="24"/>
          <w:highlight w:val="none"/>
        </w:rPr>
        <w:t>16.3对于投标人已提供《关于投标保证金的承诺》，若投标人在中标后存在下列情形：（1）未能在规定期限内按要求提交履约担保；</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．投标文件的签署</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b/>
          <w:bCs/>
          <w:color w:val="auto"/>
          <w:sz w:val="24"/>
          <w:highlight w:val="none"/>
          <w:u w:val="single"/>
          <w:lang w:eastAsia="zh-CN"/>
        </w:rPr>
        <w:t>广州交易集团有限公司（广州公共资源交易中心）</w:t>
      </w:r>
      <w:r>
        <w:rPr>
          <w:rFonts w:hint="eastAsia" w:ascii="宋体" w:hAnsi="宋体"/>
          <w:b/>
          <w:bCs/>
          <w:color w:val="auto"/>
          <w:sz w:val="24"/>
          <w:highlight w:val="none"/>
          <w:u w:val="single"/>
        </w:rPr>
        <w:t>网站发布的最新版操作指引</w:t>
      </w:r>
      <w:r>
        <w:rPr>
          <w:rFonts w:hint="eastAsia" w:ascii="宋体" w:hAnsi="宋体"/>
          <w:color w:val="auto"/>
          <w:sz w:val="24"/>
          <w:highlight w:val="none"/>
        </w:rPr>
        <w:t>。</w:t>
      </w:r>
    </w:p>
    <w:p>
      <w:pPr>
        <w:pStyle w:val="8"/>
        <w:bidi w:val="0"/>
        <w:rPr>
          <w:color w:val="auto"/>
          <w:highlight w:val="none"/>
        </w:rPr>
      </w:pPr>
      <w:bookmarkStart w:id="34" w:name="_Toc4944"/>
      <w:bookmarkStart w:id="35" w:name="_Toc2272552"/>
      <w:bookmarkStart w:id="36" w:name="_Toc32530"/>
      <w:bookmarkStart w:id="37" w:name="_Toc21525496"/>
      <w:r>
        <w:rPr>
          <w:rFonts w:hint="eastAsia"/>
          <w:color w:val="auto"/>
          <w:highlight w:val="none"/>
        </w:rPr>
        <w:t>（四）投标文件的提交</w:t>
      </w:r>
      <w:bookmarkEnd w:id="34"/>
      <w:bookmarkEnd w:id="35"/>
      <w:bookmarkEnd w:id="36"/>
      <w:bookmarkEnd w:id="37"/>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r>
        <w:rPr>
          <w:rFonts w:hint="eastAsia"/>
          <w:b/>
          <w:color w:val="auto"/>
          <w:sz w:val="24"/>
          <w:szCs w:val="24"/>
          <w:highlight w:val="none"/>
        </w:rPr>
        <w:t>投标文件的密封和标记</w:t>
      </w:r>
    </w:p>
    <w:p>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递交的电子投标文件（不含备用光盘）必须进行加密。按照</w:t>
      </w:r>
      <w:r>
        <w:rPr>
          <w:rFonts w:hint="eastAsia" w:ascii="宋体" w:hAnsi="宋体"/>
          <w:b/>
          <w:bCs/>
          <w:color w:val="auto"/>
          <w:sz w:val="24"/>
          <w:highlight w:val="none"/>
          <w:u w:val="single"/>
          <w:lang w:eastAsia="zh-CN"/>
        </w:rPr>
        <w:t>广州交易集团有限公司（广州公共资源交易中心）</w:t>
      </w:r>
      <w:r>
        <w:rPr>
          <w:rFonts w:hint="eastAsia" w:ascii="宋体" w:hAnsi="宋体"/>
          <w:bCs/>
          <w:color w:val="auto"/>
          <w:sz w:val="24"/>
          <w:highlight w:val="none"/>
        </w:rPr>
        <w:t>交易平台关于</w:t>
      </w:r>
      <w:r>
        <w:rPr>
          <w:rFonts w:hint="eastAsia"/>
          <w:color w:val="auto"/>
          <w:sz w:val="24"/>
          <w:szCs w:val="24"/>
          <w:highlight w:val="none"/>
        </w:rPr>
        <w:t>全流程电子化项目的相关指南进行操作。详见：</w:t>
      </w:r>
      <w:r>
        <w:rPr>
          <w:rFonts w:hint="eastAsia" w:ascii="宋体" w:hAnsi="宋体"/>
          <w:b/>
          <w:bCs/>
          <w:color w:val="auto"/>
          <w:sz w:val="24"/>
          <w:highlight w:val="none"/>
          <w:u w:val="single"/>
          <w:lang w:eastAsia="zh-CN"/>
        </w:rPr>
        <w:t>广州交易集团有限公司（广州公共资源交易中心）</w:t>
      </w:r>
      <w:r>
        <w:rPr>
          <w:rFonts w:hint="eastAsia" w:ascii="宋体" w:hAnsi="宋体"/>
          <w:b/>
          <w:bCs/>
          <w:color w:val="auto"/>
          <w:sz w:val="24"/>
          <w:highlight w:val="none"/>
          <w:u w:val="single"/>
        </w:rPr>
        <w:t>网站发布的最新版操作指引</w:t>
      </w:r>
      <w:r>
        <w:rPr>
          <w:rFonts w:hint="eastAsia"/>
          <w:color w:val="auto"/>
          <w:sz w:val="24"/>
          <w:szCs w:val="24"/>
          <w:highlight w:val="none"/>
        </w:rPr>
        <w:t>。</w:t>
      </w:r>
    </w:p>
    <w:p>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ascii="宋体"/>
          <w:bCs/>
          <w:color w:val="auto"/>
          <w:sz w:val="24"/>
          <w:highlight w:val="none"/>
        </w:rPr>
        <w:t xml:space="preserve"> </w:t>
      </w:r>
      <w:r>
        <w:rPr>
          <w:rFonts w:hint="eastAsia" w:ascii="宋体"/>
          <w:bCs/>
          <w:color w:val="auto"/>
          <w:sz w:val="24"/>
          <w:highlight w:val="none"/>
        </w:rPr>
        <w:t>未按要求加密的投标文件，</w:t>
      </w:r>
      <w:r>
        <w:rPr>
          <w:rFonts w:hint="eastAsia" w:ascii="宋体" w:hAnsi="宋体"/>
          <w:b/>
          <w:bCs/>
          <w:color w:val="auto"/>
          <w:sz w:val="24"/>
          <w:highlight w:val="none"/>
          <w:u w:val="single"/>
          <w:lang w:eastAsia="zh-CN"/>
        </w:rPr>
        <w:t>广州交易集团有限公司（广州公共资源交易中心）</w:t>
      </w:r>
      <w:r>
        <w:rPr>
          <w:rFonts w:hint="eastAsia" w:ascii="宋体" w:hAnsi="宋体"/>
          <w:color w:val="auto"/>
          <w:sz w:val="24"/>
          <w:szCs w:val="24"/>
          <w:highlight w:val="none"/>
        </w:rPr>
        <w:t>交易平台</w:t>
      </w:r>
      <w:r>
        <w:rPr>
          <w:rFonts w:hint="eastAsia" w:ascii="宋体"/>
          <w:bCs/>
          <w:color w:val="auto"/>
          <w:sz w:val="24"/>
          <w:highlight w:val="none"/>
        </w:rPr>
        <w:t>将予以拒收。</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1投标人通过</w:t>
      </w:r>
      <w:r>
        <w:rPr>
          <w:rFonts w:hint="eastAsia" w:ascii="宋体" w:hAnsi="宋体"/>
          <w:b/>
          <w:bCs/>
          <w:color w:val="auto"/>
          <w:sz w:val="24"/>
          <w:highlight w:val="none"/>
          <w:u w:val="single"/>
          <w:lang w:eastAsia="zh-CN"/>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p>
    <w:p>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2投标人完成电子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rFonts w:hint="eastAsia" w:ascii="宋体" w:hAnsi="宋体"/>
          <w:b/>
          <w:bCs/>
          <w:color w:val="auto"/>
          <w:sz w:val="24"/>
          <w:highlight w:val="none"/>
          <w:u w:val="single"/>
          <w:lang w:eastAsia="zh-CN"/>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pPr>
        <w:spacing w:line="360" w:lineRule="auto"/>
        <w:ind w:firstLine="480" w:firstLineChars="200"/>
        <w:rPr>
          <w:rFonts w:ascii="宋体" w:hAnsi="宋体"/>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3</w:t>
      </w:r>
      <w:r>
        <w:rPr>
          <w:rFonts w:hint="eastAsia"/>
          <w:bCs/>
          <w:color w:val="auto"/>
          <w:sz w:val="24"/>
          <w:szCs w:val="24"/>
          <w:highlight w:val="none"/>
        </w:rPr>
        <w:t>逾期送达的</w:t>
      </w:r>
      <w:r>
        <w:rPr>
          <w:rFonts w:hint="eastAsia" w:ascii="宋体" w:hAnsi="宋体"/>
          <w:bCs/>
          <w:color w:val="auto"/>
          <w:sz w:val="24"/>
          <w:highlight w:val="none"/>
        </w:rPr>
        <w:t>电子投标文件，</w:t>
      </w:r>
      <w:r>
        <w:rPr>
          <w:rFonts w:hint="eastAsia" w:ascii="宋体" w:hAnsi="宋体"/>
          <w:b/>
          <w:bCs/>
          <w:color w:val="auto"/>
          <w:sz w:val="24"/>
          <w:highlight w:val="none"/>
          <w:u w:val="single"/>
          <w:lang w:eastAsia="zh-CN"/>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pPr>
        <w:spacing w:line="360" w:lineRule="auto"/>
        <w:ind w:firstLine="480" w:firstLineChars="200"/>
        <w:rPr>
          <w:rFonts w:asci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pPr>
        <w:spacing w:line="360" w:lineRule="auto"/>
        <w:ind w:firstLine="482" w:firstLineChars="200"/>
        <w:rPr>
          <w:rFonts w:hint="eastAsia" w:ascii="宋体" w:hAnsi="宋体"/>
          <w:b/>
          <w:bCs/>
          <w:color w:val="auto"/>
          <w:sz w:val="24"/>
          <w:highlight w:val="none"/>
          <w:u w:val="single"/>
        </w:rPr>
      </w:pPr>
      <w:r>
        <w:rPr>
          <w:rFonts w:ascii="宋体" w:hAnsi="宋体"/>
          <w:b/>
          <w:bCs/>
          <w:color w:val="auto"/>
          <w:sz w:val="24"/>
          <w:highlight w:val="none"/>
          <w:u w:val="single"/>
        </w:rPr>
        <w:t>19.</w:t>
      </w:r>
      <w:r>
        <w:rPr>
          <w:rFonts w:hint="eastAsia" w:ascii="宋体" w:hAnsi="宋体"/>
          <w:b/>
          <w:bCs/>
          <w:color w:val="auto"/>
          <w:sz w:val="24"/>
          <w:highlight w:val="none"/>
          <w:u w:val="single"/>
        </w:rPr>
        <w:t>5广州交易集团有限公司（广州公共资源交易中心）交易平台将按招标文件规定的时间同时开启技术标投标文件（含资格审查文件）、经济标投标文件和定标文件。</w:t>
      </w:r>
    </w:p>
    <w:p>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19.</w:t>
      </w:r>
      <w:r>
        <w:rPr>
          <w:rFonts w:hint="eastAsia" w:ascii="宋体" w:hAnsi="宋体"/>
          <w:b/>
          <w:bCs/>
          <w:color w:val="auto"/>
          <w:sz w:val="24"/>
          <w:highlight w:val="none"/>
          <w:u w:val="single"/>
          <w:lang w:val="en-US" w:eastAsia="zh-CN"/>
        </w:rPr>
        <w:t>6投标人代表应按投标须知前附表第18项所规定的时间和地点向招标人递交定标文件，投标人代表应由投标人法定代表人或法定代表人书面授权的委托代理人担任，若出现以下情况之一的，招标人将拒绝接收定标文件</w:t>
      </w:r>
      <w:r>
        <w:rPr>
          <w:rFonts w:hint="eastAsia" w:ascii="宋体" w:hAnsi="宋体"/>
          <w:b/>
          <w:bCs/>
          <w:color w:val="auto"/>
          <w:sz w:val="24"/>
          <w:highlight w:val="none"/>
          <w:u w:val="single"/>
        </w:rPr>
        <w:t>。</w:t>
      </w:r>
    </w:p>
    <w:p>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19.</w:t>
      </w:r>
      <w:r>
        <w:rPr>
          <w:rFonts w:hint="eastAsia" w:ascii="宋体" w:hAnsi="宋体"/>
          <w:b/>
          <w:bCs/>
          <w:color w:val="auto"/>
          <w:sz w:val="24"/>
          <w:highlight w:val="none"/>
          <w:u w:val="single"/>
          <w:lang w:val="en-US" w:eastAsia="zh-CN"/>
        </w:rPr>
        <w:t>6.1</w:t>
      </w:r>
      <w:r>
        <w:rPr>
          <w:rFonts w:hint="eastAsia" w:ascii="宋体" w:hAnsi="宋体"/>
          <w:b/>
          <w:bCs/>
          <w:color w:val="auto"/>
          <w:sz w:val="24"/>
          <w:highlight w:val="none"/>
          <w:u w:val="single"/>
        </w:rPr>
        <w:t>逾期或未在指定地点递交定标文件的。</w:t>
      </w:r>
    </w:p>
    <w:p>
      <w:pPr>
        <w:spacing w:line="360" w:lineRule="auto"/>
        <w:ind w:firstLine="482" w:firstLineChars="200"/>
        <w:rPr>
          <w:rFonts w:ascii="宋体" w:hAnsi="宋体"/>
          <w:color w:val="auto"/>
          <w:sz w:val="24"/>
          <w:highlight w:val="none"/>
        </w:rPr>
      </w:pPr>
      <w:r>
        <w:rPr>
          <w:rFonts w:hint="eastAsia" w:ascii="宋体" w:hAnsi="宋体"/>
          <w:b/>
          <w:bCs/>
          <w:color w:val="auto"/>
          <w:sz w:val="24"/>
          <w:highlight w:val="none"/>
          <w:u w:val="single"/>
        </w:rPr>
        <w:t>19.</w:t>
      </w:r>
      <w:r>
        <w:rPr>
          <w:rFonts w:hint="eastAsia" w:ascii="宋体" w:hAnsi="宋体"/>
          <w:b/>
          <w:bCs/>
          <w:color w:val="auto"/>
          <w:sz w:val="24"/>
          <w:highlight w:val="none"/>
          <w:u w:val="single"/>
          <w:lang w:val="en-US" w:eastAsia="zh-CN"/>
        </w:rPr>
        <w:t>7</w:t>
      </w:r>
      <w:r>
        <w:rPr>
          <w:rFonts w:hint="eastAsia" w:ascii="宋体" w:hAnsi="宋体"/>
          <w:b/>
          <w:bCs/>
          <w:color w:val="auto"/>
          <w:sz w:val="24"/>
          <w:highlight w:val="none"/>
          <w:u w:val="single"/>
        </w:rPr>
        <w:t>投标人如不提交定标文件，不被认定为不通过资格审查或有效性审查，但如该投标人成为定标阶段合格的中标候选人，将影响其定标阶段的最终排名。</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w:t>
      </w:r>
      <w:r>
        <w:rPr>
          <w:rFonts w:hint="eastAsia" w:ascii="宋体" w:hAnsi="宋体"/>
          <w:color w:val="auto"/>
          <w:sz w:val="24"/>
          <w:highlight w:val="none"/>
          <w:lang w:val="en-US" w:eastAsia="zh-CN"/>
        </w:rPr>
        <w:t>17</w:t>
      </w:r>
      <w:r>
        <w:rPr>
          <w:rFonts w:hint="eastAsia" w:ascii="宋体" w:hAnsi="宋体"/>
          <w:color w:val="auto"/>
          <w:sz w:val="24"/>
          <w:highlight w:val="none"/>
        </w:rPr>
        <w:t>项所述的时间前提交投标文件。</w:t>
      </w:r>
    </w:p>
    <w:p>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20.3 </w:t>
      </w:r>
      <w:r>
        <w:rPr>
          <w:rFonts w:hint="eastAsia" w:ascii="宋体" w:hAnsi="宋体"/>
          <w:color w:val="auto"/>
          <w:sz w:val="24"/>
          <w:highlight w:val="none"/>
        </w:rPr>
        <w:t>到投标截止时间止，招标人收到的投标文件少于3家的，招标人将重新组织招标</w:t>
      </w:r>
      <w:r>
        <w:rPr>
          <w:rFonts w:hint="eastAsia" w:ascii="宋体" w:hAnsi="宋体"/>
          <w:strike/>
          <w:color w:val="auto"/>
          <w:sz w:val="24"/>
          <w:szCs w:val="24"/>
          <w:highlight w:val="none"/>
        </w:rPr>
        <w:t>（当</w:t>
      </w:r>
      <w:r>
        <w:rPr>
          <w:rFonts w:ascii="宋体" w:hAnsi="宋体"/>
          <w:strike/>
          <w:color w:val="auto"/>
          <w:sz w:val="24"/>
          <w:szCs w:val="24"/>
          <w:highlight w:val="none"/>
        </w:rPr>
        <w:t>N</w:t>
      </w:r>
      <w:r>
        <w:rPr>
          <w:rFonts w:hint="eastAsia" w:ascii="宋体" w:hAnsi="宋体"/>
          <w:strike/>
          <w:color w:val="auto"/>
          <w:sz w:val="24"/>
          <w:szCs w:val="24"/>
          <w:highlight w:val="none"/>
        </w:rPr>
        <w:t>个标段同时招标且不允许兼中时，若有效投标人不足</w:t>
      </w:r>
      <w:r>
        <w:rPr>
          <w:rFonts w:ascii="宋体" w:hAnsi="宋体"/>
          <w:strike/>
          <w:color w:val="auto"/>
          <w:sz w:val="24"/>
          <w:szCs w:val="24"/>
          <w:highlight w:val="none"/>
        </w:rPr>
        <w:t>N+</w:t>
      </w:r>
      <w:r>
        <w:rPr>
          <w:rFonts w:hint="eastAsia" w:ascii="宋体" w:hAnsi="宋体"/>
          <w:strike/>
          <w:color w:val="auto"/>
          <w:sz w:val="24"/>
          <w:szCs w:val="24"/>
          <w:highlight w:val="none"/>
        </w:rPr>
        <w:t>2家，则重新组织招标）</w:t>
      </w:r>
      <w:r>
        <w:rPr>
          <w:rFonts w:hint="eastAsia" w:ascii="宋体" w:hAnsi="宋体"/>
          <w:color w:val="auto"/>
          <w:sz w:val="24"/>
          <w:highlight w:val="none"/>
        </w:rPr>
        <w:t>。</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21.1 </w:t>
      </w:r>
      <w:r>
        <w:rPr>
          <w:rFonts w:hint="eastAsia" w:ascii="宋体" w:hAnsi="宋体"/>
          <w:color w:val="auto"/>
          <w:sz w:val="24"/>
          <w:highlight w:val="none"/>
        </w:rPr>
        <w:t>本须知前附表第</w:t>
      </w:r>
      <w:r>
        <w:rPr>
          <w:rFonts w:hint="eastAsia" w:ascii="宋体" w:hAnsi="宋体"/>
          <w:color w:val="auto"/>
          <w:sz w:val="24"/>
          <w:highlight w:val="none"/>
          <w:lang w:val="en-US" w:eastAsia="zh-CN"/>
        </w:rPr>
        <w:t>17</w:t>
      </w:r>
      <w:r>
        <w:rPr>
          <w:rFonts w:hint="eastAsia" w:ascii="宋体" w:hAnsi="宋体"/>
          <w:color w:val="auto"/>
          <w:sz w:val="24"/>
          <w:highlight w:val="none"/>
        </w:rPr>
        <w:t>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rFonts w:hint="eastAsia" w:ascii="宋体" w:hAnsi="宋体"/>
          <w:b/>
          <w:bCs/>
          <w:color w:val="auto"/>
          <w:sz w:val="24"/>
          <w:highlight w:val="none"/>
          <w:u w:val="single"/>
          <w:lang w:eastAsia="zh-CN"/>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w:t>
      </w:r>
      <w:r>
        <w:rPr>
          <w:rFonts w:hint="eastAsia"/>
          <w:bCs/>
          <w:iCs/>
          <w:color w:val="auto"/>
          <w:sz w:val="24"/>
          <w:szCs w:val="24"/>
          <w:highlight w:val="none"/>
        </w:rPr>
        <w:t>，按19点的规</w:t>
      </w:r>
      <w:r>
        <w:rPr>
          <w:rFonts w:hint="eastAsia"/>
          <w:color w:val="auto"/>
          <w:sz w:val="24"/>
          <w:szCs w:val="24"/>
          <w:highlight w:val="none"/>
        </w:rPr>
        <w:t>定执行。</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在投标截止时间之后，投标人不得补充、修改和更换投标文件。</w:t>
      </w:r>
    </w:p>
    <w:p>
      <w:pPr>
        <w:pStyle w:val="8"/>
        <w:spacing w:before="156" w:after="156"/>
        <w:rPr>
          <w:color w:val="auto"/>
          <w:highlight w:val="none"/>
        </w:rPr>
      </w:pPr>
      <w:bookmarkStart w:id="38" w:name="_Toc21525497"/>
      <w:bookmarkStart w:id="39" w:name="_Toc6026"/>
      <w:bookmarkStart w:id="40" w:name="_Toc2272553"/>
      <w:bookmarkStart w:id="41" w:name="_Toc28853"/>
      <w:r>
        <w:rPr>
          <w:rFonts w:hint="eastAsia"/>
          <w:color w:val="auto"/>
          <w:highlight w:val="none"/>
        </w:rPr>
        <w:t>（五）开标、评标、定标及合同签定</w:t>
      </w:r>
      <w:bookmarkEnd w:id="38"/>
      <w:bookmarkEnd w:id="39"/>
      <w:bookmarkEnd w:id="40"/>
      <w:bookmarkEnd w:id="41"/>
    </w:p>
    <w:p>
      <w:pPr>
        <w:spacing w:line="360" w:lineRule="auto"/>
        <w:ind w:firstLine="482"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pPr>
        <w:spacing w:line="360" w:lineRule="auto"/>
        <w:ind w:firstLine="480" w:firstLineChars="200"/>
        <w:rPr>
          <w:rFonts w:ascii="宋体"/>
          <w:color w:val="auto"/>
          <w:sz w:val="24"/>
          <w:highlight w:val="none"/>
        </w:rPr>
      </w:pPr>
      <w:r>
        <w:rPr>
          <w:rFonts w:ascii="宋体" w:hAnsi="宋体"/>
          <w:color w:val="auto"/>
          <w:sz w:val="24"/>
          <w:highlight w:val="none"/>
        </w:rPr>
        <w:t>24.1</w:t>
      </w:r>
      <w:r>
        <w:rPr>
          <w:rFonts w:hint="eastAsia" w:ascii="宋体" w:hAnsi="宋体" w:eastAsia="宋体" w:cs="宋体"/>
          <w:color w:val="auto"/>
          <w:sz w:val="24"/>
          <w:szCs w:val="24"/>
          <w:highlight w:val="none"/>
        </w:rPr>
        <w:t xml:space="preserve"> 开标后，直至</w:t>
      </w:r>
      <w:r>
        <w:rPr>
          <w:rFonts w:hint="eastAsia" w:ascii="宋体" w:hAnsi="宋体" w:eastAsia="宋体" w:cs="宋体"/>
          <w:b/>
          <w:bCs/>
          <w:color w:val="auto"/>
          <w:sz w:val="24"/>
          <w:szCs w:val="24"/>
          <w:highlight w:val="none"/>
          <w:u w:val="single"/>
          <w:lang w:val="en-US" w:eastAsia="zh-CN"/>
        </w:rPr>
        <w:t>合格中标</w:t>
      </w:r>
      <w:r>
        <w:rPr>
          <w:rFonts w:hint="eastAsia" w:ascii="宋体" w:hAnsi="宋体" w:eastAsia="宋体" w:cs="宋体"/>
          <w:b/>
          <w:bCs/>
          <w:color w:val="auto"/>
          <w:sz w:val="24"/>
          <w:szCs w:val="24"/>
          <w:highlight w:val="none"/>
          <w:u w:val="single"/>
        </w:rPr>
        <w:t>候选人</w:t>
      </w:r>
      <w:r>
        <w:rPr>
          <w:rFonts w:hint="eastAsia" w:ascii="宋体" w:hAnsi="宋体" w:eastAsia="宋体" w:cs="宋体"/>
          <w:color w:val="auto"/>
          <w:sz w:val="24"/>
          <w:szCs w:val="24"/>
          <w:highlight w:val="none"/>
        </w:rPr>
        <w:t>公示为止，凡属于对投标文件的审查、澄清、评价和比较有关的资料以及</w:t>
      </w:r>
      <w:r>
        <w:rPr>
          <w:rFonts w:hint="eastAsia" w:ascii="宋体" w:hAnsi="宋体" w:eastAsia="宋体" w:cs="宋体"/>
          <w:b/>
          <w:bCs/>
          <w:color w:val="auto"/>
          <w:sz w:val="24"/>
          <w:szCs w:val="24"/>
          <w:highlight w:val="none"/>
          <w:u w:val="single"/>
          <w:lang w:val="en-US" w:eastAsia="zh-CN"/>
        </w:rPr>
        <w:t>合格中标</w:t>
      </w:r>
      <w:r>
        <w:rPr>
          <w:rFonts w:hint="eastAsia" w:ascii="宋体" w:hAnsi="宋体" w:eastAsia="宋体" w:cs="宋体"/>
          <w:b/>
          <w:bCs/>
          <w:color w:val="auto"/>
          <w:sz w:val="24"/>
          <w:szCs w:val="24"/>
          <w:highlight w:val="none"/>
          <w:u w:val="single"/>
        </w:rPr>
        <w:t>候选人</w:t>
      </w:r>
      <w:r>
        <w:rPr>
          <w:rFonts w:hint="eastAsia" w:ascii="宋体" w:hAnsi="宋体" w:eastAsia="宋体" w:cs="宋体"/>
          <w:color w:val="auto"/>
          <w:sz w:val="24"/>
          <w:szCs w:val="24"/>
          <w:highlight w:val="none"/>
        </w:rPr>
        <w:t>的推荐</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eastAsia="zh-CN"/>
        </w:rPr>
        <w:t>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eastAsia="宋体" w:cs="宋体"/>
          <w:b/>
          <w:bCs/>
          <w:color w:val="auto"/>
          <w:sz w:val="24"/>
          <w:szCs w:val="24"/>
          <w:highlight w:val="none"/>
          <w:u w:val="single"/>
        </w:rPr>
        <w:t>】</w:t>
      </w:r>
      <w:r>
        <w:rPr>
          <w:rFonts w:hint="eastAsia" w:ascii="宋体" w:hAnsi="宋体" w:eastAsia="宋体" w:cs="宋体"/>
          <w:color w:val="auto"/>
          <w:sz w:val="24"/>
          <w:szCs w:val="24"/>
          <w:highlight w:val="none"/>
        </w:rPr>
        <w:t>情况，与评标有关的其他任何情况均严格保密。</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24.2 </w:t>
      </w:r>
      <w:r>
        <w:rPr>
          <w:rFonts w:hint="eastAsia" w:ascii="宋体" w:hAnsi="宋体" w:eastAsia="宋体" w:cs="宋体"/>
          <w:b w:val="0"/>
          <w:bCs w:val="0"/>
          <w:color w:val="auto"/>
          <w:sz w:val="24"/>
          <w:szCs w:val="24"/>
          <w:highlight w:val="none"/>
        </w:rPr>
        <w:t>在投标文件的评审和比较、</w:t>
      </w:r>
      <w:r>
        <w:rPr>
          <w:rFonts w:hint="eastAsia" w:ascii="宋体" w:hAnsi="宋体" w:eastAsia="宋体" w:cs="宋体"/>
          <w:b/>
          <w:bCs/>
          <w:color w:val="auto"/>
          <w:sz w:val="24"/>
          <w:szCs w:val="24"/>
          <w:highlight w:val="none"/>
          <w:u w:val="single"/>
          <w:lang w:val="en-US" w:eastAsia="zh-CN"/>
        </w:rPr>
        <w:t>合格中标</w:t>
      </w:r>
      <w:r>
        <w:rPr>
          <w:rFonts w:hint="eastAsia" w:ascii="宋体" w:hAnsi="宋体" w:eastAsia="宋体" w:cs="宋体"/>
          <w:b/>
          <w:bCs/>
          <w:color w:val="auto"/>
          <w:sz w:val="24"/>
          <w:szCs w:val="24"/>
          <w:highlight w:val="none"/>
          <w:u w:val="single"/>
        </w:rPr>
        <w:t>候选人</w:t>
      </w:r>
      <w:r>
        <w:rPr>
          <w:rFonts w:hint="eastAsia" w:ascii="宋体" w:hAnsi="宋体" w:eastAsia="宋体" w:cs="宋体"/>
          <w:b/>
          <w:bCs/>
          <w:color w:val="auto"/>
          <w:sz w:val="24"/>
          <w:szCs w:val="24"/>
          <w:highlight w:val="none"/>
        </w:rPr>
        <w:t>推荐</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eastAsia="zh-CN"/>
        </w:rPr>
        <w:t>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eastAsia="宋体" w:cs="宋体"/>
          <w:b/>
          <w:bCs/>
          <w:color w:val="auto"/>
          <w:sz w:val="24"/>
          <w:szCs w:val="24"/>
          <w:highlight w:val="none"/>
          <w:u w:val="single"/>
        </w:rPr>
        <w:t>】、定标</w:t>
      </w:r>
      <w:r>
        <w:rPr>
          <w:rFonts w:hint="eastAsia" w:ascii="宋体" w:hAnsi="宋体" w:eastAsia="宋体" w:cs="宋体"/>
          <w:b w:val="0"/>
          <w:bCs w:val="0"/>
          <w:color w:val="auto"/>
          <w:sz w:val="24"/>
          <w:szCs w:val="24"/>
          <w:highlight w:val="none"/>
          <w:u w:val="none"/>
        </w:rPr>
        <w:t>以及</w:t>
      </w:r>
      <w:r>
        <w:rPr>
          <w:rFonts w:hint="eastAsia" w:ascii="宋体" w:hAnsi="宋体" w:eastAsia="宋体" w:cs="宋体"/>
          <w:b w:val="0"/>
          <w:bCs w:val="0"/>
          <w:color w:val="auto"/>
          <w:sz w:val="24"/>
          <w:szCs w:val="24"/>
          <w:highlight w:val="none"/>
        </w:rPr>
        <w:t>授予合同的过程中，投标人向招标人、评标委员会和定标委员会施加不公正影响的任何行为，都将会导致其投标被拒绝</w:t>
      </w:r>
      <w:r>
        <w:rPr>
          <w:rFonts w:hint="eastAsia" w:ascii="宋体" w:hAnsi="宋体" w:eastAsia="宋体" w:cs="宋体"/>
          <w:b w:val="0"/>
          <w:bCs w:val="0"/>
          <w:color w:val="auto"/>
          <w:sz w:val="24"/>
          <w:szCs w:val="24"/>
          <w:highlight w:val="none"/>
          <w:lang w:eastAsia="zh-CN"/>
        </w:rPr>
        <w:t>。</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pPr>
        <w:numPr>
          <w:ilvl w:val="0"/>
          <w:numId w:val="6"/>
        </w:numPr>
        <w:spacing w:line="360" w:lineRule="auto"/>
        <w:ind w:firstLine="482" w:firstLineChars="200"/>
        <w:rPr>
          <w:rFonts w:hint="eastAsia" w:ascii="宋体" w:hAnsi="宋体"/>
          <w:b/>
          <w:bCs/>
          <w:color w:val="auto"/>
          <w:sz w:val="24"/>
          <w:highlight w:val="none"/>
          <w:lang w:eastAsia="zh-CN"/>
        </w:rPr>
      </w:pPr>
      <w:r>
        <w:rPr>
          <w:rFonts w:hint="eastAsia" w:ascii="宋体" w:hAnsi="宋体"/>
          <w:b/>
          <w:bCs/>
          <w:color w:val="auto"/>
          <w:sz w:val="24"/>
          <w:highlight w:val="none"/>
          <w:lang w:eastAsia="zh-CN"/>
        </w:rPr>
        <w:t>定标</w:t>
      </w:r>
    </w:p>
    <w:p>
      <w:pPr>
        <w:pStyle w:val="21"/>
        <w:ind w:firstLine="480" w:firstLineChars="200"/>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27.1按照投标人须知前附表的规定，由招标人或招标人授权的评标委员会依法确定中标人。</w:t>
      </w:r>
    </w:p>
    <w:p>
      <w:pPr>
        <w:pStyle w:val="21"/>
        <w:ind w:firstLine="480" w:firstLineChars="200"/>
        <w:rPr>
          <w:rFonts w:hint="default"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27.2采用评定分离方式确定中标人的，从其规定。</w:t>
      </w:r>
    </w:p>
    <w:p>
      <w:pPr>
        <w:pStyle w:val="21"/>
        <w:rPr>
          <w:rFonts w:hint="default"/>
          <w:b w:val="0"/>
          <w:bCs w:val="0"/>
          <w:color w:val="auto"/>
          <w:highlight w:val="none"/>
          <w:lang w:val="en-US" w:eastAsia="zh-CN"/>
        </w:rPr>
      </w:pPr>
    </w:p>
    <w:p>
      <w:pPr>
        <w:numPr>
          <w:ilvl w:val="0"/>
          <w:numId w:val="6"/>
        </w:numPr>
        <w:spacing w:line="360" w:lineRule="auto"/>
        <w:ind w:firstLine="482" w:firstLineChars="200"/>
        <w:rPr>
          <w:rFonts w:ascii="宋体"/>
          <w:b/>
          <w:bCs/>
          <w:color w:val="auto"/>
          <w:sz w:val="24"/>
          <w:highlight w:val="none"/>
        </w:rPr>
      </w:pPr>
      <w:r>
        <w:rPr>
          <w:rFonts w:hint="eastAsia" w:ascii="宋体" w:hAnsi="宋体"/>
          <w:b/>
          <w:bCs/>
          <w:color w:val="auto"/>
          <w:sz w:val="24"/>
          <w:highlight w:val="none"/>
        </w:rPr>
        <w:t>中标通知书</w:t>
      </w:r>
    </w:p>
    <w:p>
      <w:pPr>
        <w:spacing w:line="360" w:lineRule="auto"/>
        <w:ind w:firstLine="480" w:firstLineChars="200"/>
        <w:rPr>
          <w:rFonts w:hint="eastAsia" w:eastAsia="宋体"/>
          <w:color w:val="auto"/>
          <w:highlight w:val="none"/>
          <w:lang w:eastAsia="zh-CN"/>
        </w:rPr>
      </w:pPr>
      <w:r>
        <w:rPr>
          <w:rFonts w:hint="eastAsia" w:ascii="宋体" w:hAnsi="宋体"/>
          <w:color w:val="auto"/>
          <w:sz w:val="24"/>
          <w:highlight w:val="none"/>
          <w:lang w:val="en-US" w:eastAsia="zh-CN"/>
        </w:rPr>
        <w:t>28</w:t>
      </w:r>
      <w:r>
        <w:rPr>
          <w:rFonts w:hint="eastAsia" w:ascii="宋体" w:hAnsi="宋体"/>
          <w:color w:val="auto"/>
          <w:sz w:val="24"/>
          <w:highlight w:val="none"/>
        </w:rPr>
        <w:t>.1招标人将在</w:t>
      </w:r>
      <w:r>
        <w:rPr>
          <w:rFonts w:hint="eastAsia" w:ascii="宋体" w:hAnsi="宋体" w:eastAsia="宋体" w:cs="Times New Roman"/>
          <w:b/>
          <w:bCs/>
          <w:color w:val="auto"/>
          <w:sz w:val="24"/>
          <w:szCs w:val="22"/>
          <w:highlight w:val="none"/>
          <w:u w:val="single"/>
        </w:rPr>
        <w:t>广州交易集团有限公司（广州公共资源交易中心）</w:t>
      </w:r>
      <w:r>
        <w:rPr>
          <w:rFonts w:hint="eastAsia" w:ascii="宋体" w:hAnsi="宋体"/>
          <w:color w:val="auto"/>
          <w:sz w:val="24"/>
          <w:highlight w:val="none"/>
        </w:rPr>
        <w:t>交易平台、广东省招标投标监管网和中国招标投标公共服务平台公示中标候选人，公示期为三天</w:t>
      </w:r>
      <w:r>
        <w:rPr>
          <w:rFonts w:hint="eastAsia" w:ascii="宋体" w:hAnsi="宋体"/>
          <w:color w:val="auto"/>
          <w:sz w:val="24"/>
          <w:highlight w:val="none"/>
          <w:lang w:eastAsia="zh-CN"/>
        </w:rPr>
        <w:t>（最后一天应为工作日）</w:t>
      </w:r>
      <w:r>
        <w:rPr>
          <w:rFonts w:hint="eastAsia" w:ascii="宋体" w:hAnsi="宋体"/>
          <w:color w:val="auto"/>
          <w:sz w:val="24"/>
          <w:highlight w:val="none"/>
        </w:rPr>
        <w:t>。投标人或其他利害关系人对评标结果有异议的，应当在中标候选人公示期间提出，通过</w:t>
      </w:r>
      <w:r>
        <w:rPr>
          <w:rFonts w:hint="eastAsia" w:ascii="宋体" w:hAnsi="宋体"/>
          <w:color w:val="auto"/>
          <w:sz w:val="24"/>
          <w:highlight w:val="none"/>
          <w:lang w:eastAsia="zh-CN"/>
        </w:rPr>
        <w:t>电子交易系统向招标人</w:t>
      </w:r>
      <w:r>
        <w:rPr>
          <w:rFonts w:hint="eastAsia" w:ascii="宋体" w:hAnsi="宋体"/>
          <w:color w:val="auto"/>
          <w:sz w:val="24"/>
          <w:highlight w:val="none"/>
        </w:rPr>
        <w:t>提出异议</w:t>
      </w:r>
      <w:r>
        <w:rPr>
          <w:rFonts w:hint="eastAsia" w:ascii="宋体" w:hAnsi="宋体"/>
          <w:color w:val="auto"/>
          <w:sz w:val="24"/>
          <w:highlight w:val="none"/>
          <w:lang w:eastAsia="zh-CN"/>
        </w:rPr>
        <w:t>，</w:t>
      </w:r>
      <w:r>
        <w:rPr>
          <w:rFonts w:hint="eastAsia" w:ascii="宋体" w:hAnsi="宋体"/>
          <w:color w:val="auto"/>
          <w:sz w:val="24"/>
          <w:highlight w:val="none"/>
        </w:rPr>
        <w:t>招标人也应通过交易平台答复线上提交的异议</w:t>
      </w:r>
      <w:r>
        <w:rPr>
          <w:rFonts w:hint="eastAsia" w:ascii="宋体" w:hAnsi="宋体"/>
          <w:color w:val="auto"/>
          <w:sz w:val="24"/>
          <w:highlight w:val="none"/>
          <w:lang w:eastAsia="zh-CN"/>
        </w:rPr>
        <w:t>，</w:t>
      </w:r>
      <w:r>
        <w:rPr>
          <w:rFonts w:hint="eastAsia" w:ascii="宋体" w:hAnsi="宋体"/>
          <w:color w:val="auto"/>
          <w:sz w:val="24"/>
          <w:highlight w:val="none"/>
        </w:rPr>
        <w:t>具体按照</w:t>
      </w:r>
      <w:r>
        <w:rPr>
          <w:rFonts w:hint="eastAsia" w:ascii="宋体" w:hAnsi="宋体"/>
          <w:color w:val="auto"/>
          <w:sz w:val="24"/>
          <w:highlight w:val="none"/>
          <w:lang w:eastAsia="zh-CN"/>
        </w:rPr>
        <w:t>电子招标投标</w:t>
      </w:r>
      <w:r>
        <w:rPr>
          <w:rFonts w:hint="eastAsia" w:ascii="宋体" w:hAnsi="宋体"/>
          <w:color w:val="auto"/>
          <w:sz w:val="24"/>
          <w:highlight w:val="none"/>
        </w:rPr>
        <w:t>交易平台相关指南进行操作。作出答复前，应当暂停招标投标活动。</w:t>
      </w:r>
      <w:r>
        <w:rPr>
          <w:rFonts w:hint="eastAsia" w:ascii="宋体" w:hAnsi="宋体"/>
          <w:color w:val="auto"/>
          <w:sz w:val="24"/>
          <w:highlight w:val="none"/>
          <w:u w:val="none"/>
          <w:lang w:eastAsia="zh-CN"/>
        </w:rPr>
        <w:t>投标人提出异议时需</w:t>
      </w:r>
      <w:r>
        <w:rPr>
          <w:rFonts w:hint="eastAsia" w:ascii="宋体" w:hAnsi="宋体"/>
          <w:color w:val="auto"/>
          <w:sz w:val="24"/>
          <w:highlight w:val="none"/>
          <w:u w:val="none"/>
          <w:lang w:val="en-US" w:eastAsia="zh-CN"/>
        </w:rPr>
        <w:t>在线提交</w:t>
      </w:r>
      <w:r>
        <w:rPr>
          <w:rFonts w:hint="eastAsia" w:ascii="宋体" w:hAnsi="宋体"/>
          <w:color w:val="auto"/>
          <w:sz w:val="24"/>
          <w:highlight w:val="none"/>
          <w:u w:val="none"/>
          <w:lang w:eastAsia="zh-CN"/>
        </w:rPr>
        <w:t>书面的异议书（异议书应清晰表述异议事项、依据、线索、请求或主张、有效的联系方式等）并附法定代表人证明书、有效的授权委托书、被授权人的有效身份证明。</w:t>
      </w:r>
    </w:p>
    <w:p>
      <w:pPr>
        <w:spacing w:line="360" w:lineRule="auto"/>
        <w:ind w:firstLine="482" w:firstLineChars="200"/>
        <w:rPr>
          <w:rFonts w:hint="eastAsia" w:ascii="宋体" w:hAnsi="宋体"/>
          <w:b/>
          <w:bCs/>
          <w:color w:val="auto"/>
          <w:sz w:val="24"/>
          <w:highlight w:val="none"/>
          <w:u w:val="single"/>
          <w:lang w:val="en-US" w:eastAsia="zh-CN"/>
        </w:rPr>
      </w:pPr>
      <w:r>
        <w:rPr>
          <w:rFonts w:hint="eastAsia" w:ascii="宋体" w:hAnsi="宋体"/>
          <w:b/>
          <w:bCs/>
          <w:color w:val="auto"/>
          <w:sz w:val="24"/>
          <w:highlight w:val="none"/>
          <w:u w:val="single"/>
          <w:lang w:val="en-US" w:eastAsia="zh-CN"/>
        </w:rPr>
        <w:t>在中标结果公示前若发现中标人委派的项目负责人在其他在建项目中任职已被锁定的，其中标人资格将会被取消，招标人可从其他合格的中标候选人中采用原定标办法，由定标委员会确定中标人，也可以重新招标。</w:t>
      </w:r>
    </w:p>
    <w:p>
      <w:pPr>
        <w:spacing w:line="360" w:lineRule="auto"/>
        <w:ind w:firstLine="482" w:firstLineChars="200"/>
        <w:rPr>
          <w:rFonts w:hint="eastAsia" w:ascii="宋体" w:hAnsi="宋体"/>
          <w:b/>
          <w:bCs/>
          <w:color w:val="auto"/>
          <w:sz w:val="24"/>
          <w:highlight w:val="none"/>
          <w:u w:val="single"/>
          <w:lang w:val="en-US" w:eastAsia="zh-CN"/>
        </w:rPr>
      </w:pPr>
      <w:r>
        <w:rPr>
          <w:rFonts w:hint="eastAsia" w:ascii="宋体" w:hAnsi="宋体"/>
          <w:b/>
          <w:bCs/>
          <w:color w:val="auto"/>
          <w:sz w:val="24"/>
          <w:highlight w:val="none"/>
          <w:u w:val="single"/>
          <w:lang w:val="en-US" w:eastAsia="zh-CN"/>
        </w:rPr>
        <w:t>在定标委员会完成定标工作后，招标人将在广州交易集团有限公司（广州公共资源交易中心）交易平台、广东省招标投标监管网和中国招标投标公共服务平台公示中标结果。投标人或其他利害关系人对结果有异议的，应当在公示期间提出，可以通过线下或线上的形式提出异议。线上提交的，应通过交易平台进行，招标人也应通过交易平台答复线上提交的异议，具体按照电子招标投标交易平台相关指南进行操作。作出答复前，应当暂停招标投标活动。投标人提出异议时需提交书面的异议书（异议书应清晰表述异议事项、依据、线索、请求或主张、有效的联系方式等）并附法定代表人证明书、有效的授权委托书、被授权人的有效身份证明。</w:t>
      </w:r>
    </w:p>
    <w:p>
      <w:pPr>
        <w:spacing w:line="360" w:lineRule="auto"/>
        <w:ind w:firstLine="480" w:firstLineChars="200"/>
        <w:rPr>
          <w:rFonts w:ascii="仿宋_GB2312" w:hAnsi="宋体" w:eastAsia="仿宋_GB2312"/>
          <w:color w:val="auto"/>
          <w:sz w:val="24"/>
          <w:highlight w:val="none"/>
        </w:rPr>
      </w:pPr>
      <w:r>
        <w:rPr>
          <w:rFonts w:hint="eastAsia" w:ascii="宋体" w:hAnsi="宋体"/>
          <w:color w:val="auto"/>
          <w:sz w:val="24"/>
          <w:highlight w:val="none"/>
          <w:lang w:val="en-US" w:eastAsia="zh-CN"/>
        </w:rPr>
        <w:t>28</w:t>
      </w:r>
      <w:r>
        <w:rPr>
          <w:rFonts w:ascii="宋体" w:hAnsi="宋体"/>
          <w:color w:val="auto"/>
          <w:sz w:val="24"/>
          <w:highlight w:val="none"/>
        </w:rPr>
        <w:t>.2</w:t>
      </w:r>
      <w:r>
        <w:rPr>
          <w:rFonts w:hint="eastAsia" w:ascii="宋体" w:hAnsi="宋体"/>
          <w:color w:val="auto"/>
          <w:sz w:val="24"/>
          <w:highlight w:val="none"/>
        </w:rPr>
        <w:t>招标人应当自确定中标人后，向招标投标监管机构提交招标投标情况的书面报告</w:t>
      </w:r>
      <w:r>
        <w:rPr>
          <w:rFonts w:hint="eastAsia" w:ascii="宋体" w:hAnsi="宋体"/>
          <w:b/>
          <w:bCs/>
          <w:color w:val="auto"/>
          <w:sz w:val="24"/>
          <w:highlight w:val="none"/>
          <w:u w:val="single"/>
          <w:lang w:eastAsia="zh-CN"/>
        </w:rPr>
        <w:t>，</w:t>
      </w:r>
      <w:r>
        <w:rPr>
          <w:rFonts w:hint="eastAsia" w:ascii="宋体" w:hAnsi="宋体"/>
          <w:b/>
          <w:bCs/>
          <w:color w:val="auto"/>
          <w:sz w:val="24"/>
          <w:highlight w:val="none"/>
          <w:u w:val="single"/>
        </w:rPr>
        <w:t>经招投标监管机构备案后，方可发出中标通知书</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28</w:t>
      </w:r>
      <w:r>
        <w:rPr>
          <w:rFonts w:ascii="宋体" w:hAnsi="宋体"/>
          <w:color w:val="auto"/>
          <w:sz w:val="24"/>
          <w:highlight w:val="none"/>
        </w:rPr>
        <w:t>.3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28</w:t>
      </w:r>
      <w:r>
        <w:rPr>
          <w:rFonts w:hint="eastAsia" w:ascii="宋体" w:hAnsi="宋体"/>
          <w:color w:val="auto"/>
          <w:sz w:val="24"/>
          <w:highlight w:val="none"/>
        </w:rPr>
        <w:t>.4在产生</w:t>
      </w:r>
      <w:r>
        <w:rPr>
          <w:rFonts w:hint="eastAsia" w:ascii="宋体" w:hAnsi="宋体" w:eastAsia="宋体" w:cs="Times New Roman"/>
          <w:b/>
          <w:bCs/>
          <w:color w:val="auto"/>
          <w:sz w:val="24"/>
          <w:szCs w:val="22"/>
          <w:highlight w:val="none"/>
          <w:u w:val="single"/>
          <w:lang w:val="en-US" w:eastAsia="zh-CN"/>
        </w:rPr>
        <w:t>合格</w:t>
      </w:r>
      <w:r>
        <w:rPr>
          <w:rFonts w:hint="eastAsia" w:ascii="宋体" w:hAnsi="宋体"/>
          <w:color w:val="auto"/>
          <w:sz w:val="24"/>
          <w:highlight w:val="none"/>
        </w:rPr>
        <w:t>中标候选人后，招标人将</w:t>
      </w:r>
      <w:r>
        <w:rPr>
          <w:rFonts w:hint="eastAsia" w:ascii="宋体" w:hAnsi="宋体" w:eastAsia="宋体" w:cs="Times New Roman"/>
          <w:b/>
          <w:bCs/>
          <w:color w:val="auto"/>
          <w:sz w:val="24"/>
          <w:szCs w:val="22"/>
          <w:highlight w:val="none"/>
          <w:u w:val="single"/>
          <w:lang w:val="en-US" w:eastAsia="zh-CN"/>
        </w:rPr>
        <w:t>合格</w:t>
      </w:r>
      <w:r>
        <w:rPr>
          <w:rFonts w:hint="eastAsia" w:ascii="宋体" w:hAnsi="宋体"/>
          <w:color w:val="auto"/>
          <w:sz w:val="24"/>
          <w:highlight w:val="none"/>
        </w:rPr>
        <w:t>中标候选人的投标文件商务部分文件的所有内容（包括人员、业绩、奖项等资料）在</w:t>
      </w:r>
      <w:r>
        <w:rPr>
          <w:rFonts w:hint="eastAsia" w:ascii="宋体" w:hAnsi="宋体" w:eastAsia="宋体" w:cs="Times New Roman"/>
          <w:b/>
          <w:bCs/>
          <w:color w:val="auto"/>
          <w:sz w:val="24"/>
          <w:szCs w:val="22"/>
          <w:highlight w:val="none"/>
          <w:u w:val="single"/>
        </w:rPr>
        <w:t>总报价（不含报价明细）、人员、业绩、奖项等资料在</w:t>
      </w:r>
      <w:r>
        <w:rPr>
          <w:rFonts w:hint="eastAsia" w:ascii="宋体" w:hAnsi="宋体" w:eastAsia="宋体" w:cs="Times New Roman"/>
          <w:b/>
          <w:bCs/>
          <w:color w:val="auto"/>
          <w:sz w:val="24"/>
          <w:szCs w:val="22"/>
          <w:highlight w:val="none"/>
          <w:u w:val="single"/>
          <w:lang w:eastAsia="zh-CN"/>
        </w:rPr>
        <w:t>广州交易集团有限公司（广州公共资源交易中心）</w:t>
      </w:r>
      <w:r>
        <w:rPr>
          <w:rFonts w:hint="eastAsia" w:ascii="宋体" w:hAnsi="宋体"/>
          <w:color w:val="auto"/>
          <w:sz w:val="24"/>
          <w:highlight w:val="none"/>
        </w:rPr>
        <w:t>交易平台和广东省招标投标监管网公开。</w:t>
      </w:r>
    </w:p>
    <w:p>
      <w:pPr>
        <w:spacing w:line="360" w:lineRule="auto"/>
        <w:ind w:firstLine="480" w:firstLineChars="200"/>
        <w:rPr>
          <w:rFonts w:hint="eastAsia" w:ascii="宋体" w:hAnsi="宋体" w:eastAsia="宋体" w:cs="Times New Roman"/>
          <w:strike w:val="0"/>
          <w:color w:val="auto"/>
          <w:sz w:val="24"/>
          <w:highlight w:val="none"/>
          <w:lang w:eastAsia="zh-CN"/>
        </w:rPr>
      </w:pPr>
      <w:r>
        <w:rPr>
          <w:rFonts w:hint="eastAsia" w:ascii="宋体" w:hAnsi="宋体" w:cs="Times New Roman"/>
          <w:strike w:val="0"/>
          <w:color w:val="auto"/>
          <w:sz w:val="24"/>
          <w:highlight w:val="none"/>
          <w:lang w:val="en-US" w:eastAsia="zh-CN"/>
        </w:rPr>
        <w:t>28</w:t>
      </w:r>
      <w:r>
        <w:rPr>
          <w:rFonts w:hint="eastAsia" w:ascii="宋体" w:hAnsi="宋体" w:eastAsia="宋体" w:cs="Times New Roman"/>
          <w:strike w:val="0"/>
          <w:color w:val="auto"/>
          <w:sz w:val="24"/>
          <w:highlight w:val="none"/>
          <w:lang w:val="en-US" w:eastAsia="zh-CN"/>
        </w:rPr>
        <w:t>.5</w:t>
      </w:r>
      <w:r>
        <w:rPr>
          <w:rFonts w:hint="eastAsia" w:ascii="宋体" w:hAnsi="宋体" w:cs="Times New Roman"/>
          <w:strike w:val="0"/>
          <w:color w:val="auto"/>
          <w:sz w:val="24"/>
          <w:highlight w:val="none"/>
          <w:lang w:val="en-US" w:eastAsia="zh-CN"/>
        </w:rPr>
        <w:t>（适用于轨道交通建设项目）</w:t>
      </w:r>
      <w:r>
        <w:rPr>
          <w:rFonts w:hint="eastAsia" w:ascii="宋体" w:hAnsi="宋体" w:eastAsia="宋体" w:cs="Times New Roman"/>
          <w:strike w:val="0"/>
          <w:color w:val="auto"/>
          <w:sz w:val="24"/>
          <w:highlight w:val="none"/>
          <w:lang w:val="en-US" w:eastAsia="zh-CN"/>
        </w:rPr>
        <w:t>如</w:t>
      </w:r>
      <w:r>
        <w:rPr>
          <w:rFonts w:hint="eastAsia" w:ascii="宋体" w:hAnsi="宋体" w:eastAsia="宋体" w:cs="Times New Roman"/>
          <w:strike w:val="0"/>
          <w:color w:val="auto"/>
          <w:sz w:val="24"/>
          <w:highlight w:val="none"/>
        </w:rPr>
        <w:t>项目采用整体发包的形式开展施工总承包招标，</w:t>
      </w:r>
      <w:r>
        <w:rPr>
          <w:rFonts w:hint="eastAsia" w:ascii="宋体" w:hAnsi="宋体" w:eastAsia="宋体" w:cs="Times New Roman"/>
          <w:strike w:val="0"/>
          <w:color w:val="auto"/>
          <w:sz w:val="24"/>
          <w:highlight w:val="none"/>
          <w:lang w:eastAsia="zh-CN"/>
        </w:rPr>
        <w:t>且</w:t>
      </w:r>
      <w:r>
        <w:rPr>
          <w:rFonts w:hint="eastAsia" w:ascii="宋体" w:hAnsi="宋体" w:eastAsia="宋体" w:cs="Times New Roman"/>
          <w:strike w:val="0"/>
          <w:color w:val="auto"/>
          <w:sz w:val="24"/>
          <w:highlight w:val="none"/>
        </w:rPr>
        <w:t>后续需分</w:t>
      </w:r>
      <w:r>
        <w:rPr>
          <w:rFonts w:hint="eastAsia" w:ascii="宋体" w:hAnsi="宋体" w:cs="Times New Roman"/>
          <w:strike w:val="0"/>
          <w:color w:val="auto"/>
          <w:sz w:val="24"/>
          <w:highlight w:val="none"/>
          <w:lang w:eastAsia="zh-CN"/>
        </w:rPr>
        <w:t>段</w:t>
      </w:r>
      <w:r>
        <w:rPr>
          <w:rFonts w:hint="eastAsia" w:ascii="宋体" w:hAnsi="宋体" w:eastAsia="宋体" w:cs="Times New Roman"/>
          <w:strike w:val="0"/>
          <w:color w:val="auto"/>
          <w:sz w:val="24"/>
          <w:highlight w:val="none"/>
          <w:lang w:eastAsia="zh-CN"/>
        </w:rPr>
        <w:t>办理监督手续</w:t>
      </w:r>
      <w:r>
        <w:rPr>
          <w:rFonts w:hint="eastAsia" w:ascii="宋体" w:hAnsi="宋体" w:eastAsia="宋体" w:cs="Times New Roman"/>
          <w:strike w:val="0"/>
          <w:color w:val="auto"/>
          <w:sz w:val="24"/>
          <w:highlight w:val="none"/>
        </w:rPr>
        <w:t>，确定中标单位后，</w:t>
      </w:r>
      <w:r>
        <w:rPr>
          <w:rFonts w:hint="eastAsia" w:ascii="宋体" w:hAnsi="宋体" w:eastAsia="宋体" w:cs="Times New Roman"/>
          <w:strike w:val="0"/>
          <w:color w:val="auto"/>
          <w:sz w:val="24"/>
          <w:highlight w:val="none"/>
          <w:lang w:eastAsia="zh-CN"/>
        </w:rPr>
        <w:t>招标</w:t>
      </w:r>
      <w:r>
        <w:rPr>
          <w:rFonts w:hint="eastAsia" w:ascii="宋体" w:hAnsi="宋体" w:cs="Times New Roman"/>
          <w:strike w:val="0"/>
          <w:color w:val="auto"/>
          <w:sz w:val="24"/>
          <w:highlight w:val="none"/>
          <w:lang w:eastAsia="zh-CN"/>
        </w:rPr>
        <w:t>人</w:t>
      </w:r>
      <w:r>
        <w:rPr>
          <w:rFonts w:hint="eastAsia" w:ascii="宋体" w:hAnsi="宋体" w:eastAsia="宋体" w:cs="Times New Roman"/>
          <w:strike w:val="0"/>
          <w:color w:val="auto"/>
          <w:sz w:val="24"/>
          <w:highlight w:val="none"/>
        </w:rPr>
        <w:t>在向中标单位发出的中标通知书中一并标注施工总承包项目经理和各段项目经理</w:t>
      </w:r>
      <w:r>
        <w:rPr>
          <w:rFonts w:hint="eastAsia" w:ascii="宋体" w:hAnsi="宋体" w:eastAsia="宋体" w:cs="Times New Roman"/>
          <w:strike w:val="0"/>
          <w:color w:val="auto"/>
          <w:sz w:val="24"/>
          <w:highlight w:val="none"/>
          <w:lang w:eastAsia="zh-CN"/>
        </w:rPr>
        <w:t>。</w:t>
      </w:r>
    </w:p>
    <w:p>
      <w:pPr>
        <w:spacing w:line="360" w:lineRule="auto"/>
        <w:ind w:firstLine="482" w:firstLineChars="200"/>
        <w:rPr>
          <w:rFonts w:ascii="宋体"/>
          <w:b/>
          <w:bCs/>
          <w:color w:val="auto"/>
          <w:sz w:val="24"/>
          <w:highlight w:val="none"/>
        </w:rPr>
      </w:pPr>
      <w:r>
        <w:rPr>
          <w:rFonts w:hint="eastAsia" w:ascii="宋体" w:hAnsi="宋体"/>
          <w:b/>
          <w:bCs/>
          <w:color w:val="auto"/>
          <w:sz w:val="24"/>
          <w:highlight w:val="none"/>
          <w:lang w:val="en-US" w:eastAsia="zh-CN"/>
        </w:rPr>
        <w:t>29</w:t>
      </w:r>
      <w:r>
        <w:rPr>
          <w:rFonts w:hint="eastAsia" w:ascii="宋体" w:hAnsi="宋体"/>
          <w:b/>
          <w:bCs/>
          <w:color w:val="auto"/>
          <w:sz w:val="24"/>
          <w:highlight w:val="none"/>
        </w:rPr>
        <w:t>．合同协议书的签订</w:t>
      </w:r>
    </w:p>
    <w:p>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.1</w:t>
      </w:r>
      <w:r>
        <w:rPr>
          <w:rFonts w:hint="eastAsia" w:ascii="宋体" w:hAnsi="宋体" w:eastAsia="宋体" w:cs="Times New Roman"/>
          <w:b/>
          <w:bCs/>
          <w:color w:val="auto"/>
          <w:sz w:val="24"/>
          <w:szCs w:val="22"/>
          <w:highlight w:val="none"/>
          <w:u w:val="single"/>
          <w:lang w:bidi="ar"/>
        </w:rPr>
        <w:t>根据《广州市交通运输局转发广东省发展和改革委员会等8部门关于印发广东省工程建设项目电子招标投标交易规则的通知》（穗交运函</w:t>
      </w:r>
      <w:r>
        <w:rPr>
          <w:rFonts w:hint="eastAsia" w:ascii="宋体" w:hAnsi="宋体" w:eastAsia="宋体" w:cs="Times New Roman"/>
          <w:b/>
          <w:bCs/>
          <w:color w:val="auto"/>
          <w:sz w:val="24"/>
          <w:szCs w:val="22"/>
          <w:highlight w:val="none"/>
          <w:u w:val="single"/>
          <w:lang w:eastAsia="zh-CN" w:bidi="ar"/>
        </w:rPr>
        <w:t>〔2023〕117号</w:t>
      </w:r>
      <w:r>
        <w:rPr>
          <w:rFonts w:hint="eastAsia" w:ascii="宋体" w:hAnsi="宋体" w:eastAsia="宋体" w:cs="Times New Roman"/>
          <w:b/>
          <w:bCs/>
          <w:color w:val="auto"/>
          <w:sz w:val="24"/>
          <w:szCs w:val="22"/>
          <w:highlight w:val="none"/>
          <w:u w:val="single"/>
          <w:lang w:bidi="ar"/>
        </w:rPr>
        <w:t>）的要求</w:t>
      </w:r>
      <w:r>
        <w:rPr>
          <w:rFonts w:hint="eastAsia" w:ascii="宋体" w:hAnsi="宋体" w:cs="Times New Roman"/>
          <w:b/>
          <w:bCs/>
          <w:color w:val="auto"/>
          <w:sz w:val="24"/>
          <w:szCs w:val="22"/>
          <w:highlight w:val="none"/>
          <w:u w:val="single"/>
          <w:lang w:eastAsia="zh-CN" w:bidi="ar"/>
        </w:rPr>
        <w:t>（</w:t>
      </w:r>
      <w:r>
        <w:rPr>
          <w:rFonts w:hint="eastAsia" w:ascii="宋体" w:hAnsi="宋体" w:cs="Times New Roman"/>
          <w:b/>
          <w:bCs/>
          <w:color w:val="auto"/>
          <w:sz w:val="24"/>
          <w:szCs w:val="22"/>
          <w:highlight w:val="none"/>
          <w:u w:val="single"/>
          <w:lang w:bidi="ar"/>
        </w:rPr>
        <w:t>如有新的</w:t>
      </w:r>
      <w:r>
        <w:rPr>
          <w:rFonts w:hint="eastAsia" w:ascii="宋体" w:hAnsi="宋体" w:cs="Times New Roman"/>
          <w:b/>
          <w:bCs/>
          <w:color w:val="auto"/>
          <w:sz w:val="24"/>
          <w:szCs w:val="22"/>
          <w:highlight w:val="none"/>
          <w:u w:val="single"/>
          <w:lang w:val="en-US" w:eastAsia="zh-CN" w:bidi="ar"/>
        </w:rPr>
        <w:t>指引要求</w:t>
      </w:r>
      <w:r>
        <w:rPr>
          <w:rFonts w:hint="eastAsia" w:ascii="宋体" w:hAnsi="宋体" w:cs="Times New Roman"/>
          <w:b/>
          <w:bCs/>
          <w:color w:val="auto"/>
          <w:sz w:val="24"/>
          <w:szCs w:val="22"/>
          <w:highlight w:val="none"/>
          <w:u w:val="single"/>
          <w:lang w:bidi="ar"/>
        </w:rPr>
        <w:t>，则按新的</w:t>
      </w:r>
      <w:r>
        <w:rPr>
          <w:rFonts w:hint="eastAsia" w:ascii="宋体" w:hAnsi="宋体" w:cs="Times New Roman"/>
          <w:b/>
          <w:bCs/>
          <w:color w:val="auto"/>
          <w:sz w:val="24"/>
          <w:szCs w:val="22"/>
          <w:highlight w:val="none"/>
          <w:u w:val="single"/>
          <w:lang w:val="en-US" w:eastAsia="zh-CN" w:bidi="ar"/>
        </w:rPr>
        <w:t>指引要求</w:t>
      </w:r>
      <w:r>
        <w:rPr>
          <w:rFonts w:hint="eastAsia" w:ascii="宋体" w:hAnsi="宋体" w:cs="Times New Roman"/>
          <w:b/>
          <w:bCs/>
          <w:color w:val="auto"/>
          <w:sz w:val="24"/>
          <w:szCs w:val="22"/>
          <w:highlight w:val="none"/>
          <w:u w:val="single"/>
          <w:lang w:bidi="ar"/>
        </w:rPr>
        <w:t>执行</w:t>
      </w:r>
      <w:r>
        <w:rPr>
          <w:rFonts w:hint="eastAsia" w:ascii="宋体" w:hAnsi="宋体" w:cs="Times New Roman"/>
          <w:b/>
          <w:bCs/>
          <w:color w:val="auto"/>
          <w:sz w:val="24"/>
          <w:szCs w:val="22"/>
          <w:highlight w:val="none"/>
          <w:u w:val="single"/>
          <w:lang w:eastAsia="zh-CN" w:bidi="ar"/>
        </w:rPr>
        <w:t>）</w:t>
      </w:r>
      <w:r>
        <w:rPr>
          <w:rFonts w:hint="eastAsia" w:ascii="宋体" w:hAnsi="宋体" w:eastAsia="宋体" w:cs="Times New Roman"/>
          <w:b/>
          <w:bCs/>
          <w:color w:val="auto"/>
          <w:sz w:val="24"/>
          <w:szCs w:val="22"/>
          <w:highlight w:val="none"/>
          <w:u w:val="single"/>
          <w:lang w:bidi="ar"/>
        </w:rPr>
        <w:t>，招标人和中标人应当在中标通知书发出之日起30日内，通过电子交易系统，以数据电文形式签订合同</w:t>
      </w:r>
      <w:r>
        <w:rPr>
          <w:rFonts w:hint="eastAsia" w:ascii="宋体" w:hAnsi="宋体"/>
          <w:color w:val="auto"/>
          <w:sz w:val="24"/>
          <w:highlight w:val="none"/>
        </w:rPr>
        <w:t>，招标人和中标人不得再行订立背离合同实质性内容的其他协议。</w:t>
      </w:r>
    </w:p>
    <w:p>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.3</w:t>
      </w:r>
      <w:r>
        <w:rPr>
          <w:rFonts w:hint="eastAsia" w:ascii="宋体" w:hAnsi="宋体"/>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.4</w:t>
      </w:r>
      <w:r>
        <w:rPr>
          <w:rFonts w:hint="eastAsia" w:ascii="宋体" w:hAnsi="宋体"/>
          <w:color w:val="auto"/>
          <w:sz w:val="24"/>
          <w:highlight w:val="none"/>
        </w:rPr>
        <w:t>招标人支付工程款时，中标人应按规定开具发票</w:t>
      </w:r>
      <w:r>
        <w:rPr>
          <w:rFonts w:hint="eastAsia" w:ascii="宋体" w:hAnsi="宋体"/>
          <w:color w:val="auto"/>
          <w:sz w:val="24"/>
          <w:highlight w:val="none"/>
          <w:lang w:eastAsia="zh-CN"/>
        </w:rPr>
        <w:t>并完税</w:t>
      </w:r>
      <w:r>
        <w:rPr>
          <w:rFonts w:hint="eastAsia" w:ascii="宋体" w:hAnsi="宋体"/>
          <w:color w:val="auto"/>
          <w:sz w:val="24"/>
          <w:highlight w:val="none"/>
        </w:rPr>
        <w:t>。</w:t>
      </w:r>
    </w:p>
    <w:p>
      <w:pPr>
        <w:spacing w:line="360" w:lineRule="auto"/>
        <w:ind w:firstLine="482" w:firstLineChars="200"/>
        <w:rPr>
          <w:rFonts w:ascii="宋体"/>
          <w:b/>
          <w:bCs/>
          <w:color w:val="auto"/>
          <w:sz w:val="24"/>
          <w:highlight w:val="none"/>
        </w:rPr>
      </w:pPr>
      <w:r>
        <w:rPr>
          <w:rFonts w:hint="eastAsia" w:ascii="宋体" w:hAnsi="宋体"/>
          <w:b/>
          <w:bCs/>
          <w:color w:val="auto"/>
          <w:sz w:val="24"/>
          <w:highlight w:val="none"/>
          <w:lang w:val="en-US" w:eastAsia="zh-CN"/>
        </w:rPr>
        <w:t>30</w:t>
      </w:r>
      <w:r>
        <w:rPr>
          <w:rFonts w:hint="eastAsia" w:ascii="宋体" w:hAnsi="宋体"/>
          <w:b/>
          <w:bCs/>
          <w:color w:val="auto"/>
          <w:sz w:val="24"/>
          <w:highlight w:val="none"/>
        </w:rPr>
        <w:t>．履约担保</w:t>
      </w:r>
    </w:p>
    <w:p>
      <w:pPr>
        <w:snapToGrid w:val="0"/>
        <w:spacing w:line="360" w:lineRule="auto"/>
        <w:ind w:firstLine="480" w:firstLineChars="200"/>
        <w:rPr>
          <w:rFonts w:ascii="宋体"/>
          <w:color w:val="auto"/>
          <w:sz w:val="24"/>
          <w:highlight w:val="none"/>
        </w:rPr>
      </w:pPr>
      <w:r>
        <w:rPr>
          <w:rFonts w:hint="eastAsia" w:ascii="宋体" w:hAnsi="宋体"/>
          <w:color w:val="auto"/>
          <w:sz w:val="24"/>
          <w:highlight w:val="none"/>
          <w:lang w:val="en-US" w:eastAsia="zh-CN"/>
        </w:rPr>
        <w:t>30</w:t>
      </w:r>
      <w:r>
        <w:rPr>
          <w:rFonts w:ascii="宋体" w:hAnsi="宋体"/>
          <w:color w:val="auto"/>
          <w:sz w:val="24"/>
          <w:highlight w:val="none"/>
        </w:rPr>
        <w:t xml:space="preserve">.1 </w:t>
      </w:r>
      <w:r>
        <w:rPr>
          <w:rFonts w:hint="eastAsia" w:ascii="宋体" w:hAnsi="宋体"/>
          <w:color w:val="auto"/>
          <w:sz w:val="24"/>
          <w:highlight w:val="none"/>
        </w:rPr>
        <w:t>在收到中标通知书后的</w:t>
      </w:r>
      <w:r>
        <w:rPr>
          <w:rFonts w:hint="eastAsia" w:ascii="宋体" w:hAnsi="宋体" w:eastAsia="宋体" w:cs="Times New Roman"/>
          <w:b/>
          <w:bCs/>
          <w:color w:val="auto"/>
          <w:sz w:val="24"/>
          <w:szCs w:val="22"/>
          <w:highlight w:val="none"/>
          <w:u w:val="single"/>
          <w:lang w:val="en-US" w:eastAsia="zh-CN" w:bidi="ar"/>
        </w:rPr>
        <w:t>28</w:t>
      </w:r>
      <w:r>
        <w:rPr>
          <w:rFonts w:hint="eastAsia" w:ascii="宋体" w:hAnsi="宋体" w:eastAsia="宋体" w:cs="Times New Roman"/>
          <w:b/>
          <w:bCs/>
          <w:color w:val="auto"/>
          <w:sz w:val="24"/>
          <w:szCs w:val="22"/>
          <w:highlight w:val="none"/>
          <w:u w:val="single"/>
          <w:lang w:bidi="ar"/>
        </w:rPr>
        <w:t>日内</w:t>
      </w:r>
      <w:r>
        <w:rPr>
          <w:rFonts w:hint="eastAsia" w:ascii="宋体" w:hAnsi="宋体"/>
          <w:color w:val="auto"/>
          <w:sz w:val="24"/>
          <w:highlight w:val="none"/>
        </w:rPr>
        <w:t>，中标人应按本须知前附表第</w:t>
      </w:r>
      <w:r>
        <w:rPr>
          <w:rFonts w:ascii="宋体" w:hAnsi="宋体"/>
          <w:b/>
          <w:bCs/>
          <w:color w:val="auto"/>
          <w:sz w:val="24"/>
          <w:highlight w:val="none"/>
          <w:u w:val="single"/>
        </w:rPr>
        <w:t>2</w:t>
      </w:r>
      <w:r>
        <w:rPr>
          <w:rFonts w:hint="eastAsia" w:ascii="宋体" w:hAnsi="宋体"/>
          <w:b/>
          <w:bCs/>
          <w:color w:val="auto"/>
          <w:sz w:val="24"/>
          <w:highlight w:val="none"/>
          <w:u w:val="single"/>
          <w:lang w:val="en-US" w:eastAsia="zh-CN"/>
        </w:rPr>
        <w:t>1</w:t>
      </w:r>
      <w:r>
        <w:rPr>
          <w:rFonts w:hint="eastAsia" w:ascii="宋体" w:hAnsi="宋体"/>
          <w:b/>
          <w:bCs/>
          <w:color w:val="auto"/>
          <w:sz w:val="24"/>
          <w:highlight w:val="none"/>
          <w:u w:val="single"/>
        </w:rPr>
        <w:t>项</w:t>
      </w:r>
      <w:r>
        <w:rPr>
          <w:rFonts w:hint="eastAsia" w:ascii="宋体" w:hAnsi="宋体"/>
          <w:color w:val="auto"/>
          <w:sz w:val="24"/>
          <w:highlight w:val="none"/>
        </w:rPr>
        <w:t>的规定向招标人提交履约担保。</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30</w:t>
      </w:r>
      <w:r>
        <w:rPr>
          <w:rFonts w:ascii="宋体" w:hAnsi="宋体"/>
          <w:color w:val="auto"/>
          <w:sz w:val="24"/>
          <w:highlight w:val="none"/>
        </w:rPr>
        <w:t>.2</w:t>
      </w:r>
      <w:r>
        <w:rPr>
          <w:rFonts w:hint="eastAsia" w:ascii="宋体" w:hAnsi="宋体"/>
          <w:color w:val="auto"/>
          <w:sz w:val="24"/>
          <w:highlight w:val="none"/>
        </w:rPr>
        <w:t>中标通知书发出之日起</w:t>
      </w:r>
      <w:r>
        <w:rPr>
          <w:rFonts w:hint="eastAsia" w:ascii="宋体" w:hAnsi="宋体" w:eastAsia="宋体" w:cs="Times New Roman"/>
          <w:b/>
          <w:bCs/>
          <w:color w:val="auto"/>
          <w:sz w:val="24"/>
          <w:szCs w:val="22"/>
          <w:highlight w:val="none"/>
          <w:u w:val="single"/>
          <w:lang w:val="en-US" w:eastAsia="zh-CN" w:bidi="ar"/>
        </w:rPr>
        <w:t>28</w:t>
      </w:r>
      <w:r>
        <w:rPr>
          <w:rFonts w:hint="eastAsia" w:ascii="宋体" w:hAnsi="宋体" w:eastAsia="宋体" w:cs="Times New Roman"/>
          <w:b/>
          <w:bCs/>
          <w:color w:val="auto"/>
          <w:sz w:val="24"/>
          <w:szCs w:val="22"/>
          <w:highlight w:val="none"/>
          <w:u w:val="single"/>
          <w:lang w:bidi="ar"/>
        </w:rPr>
        <w:t>日内</w:t>
      </w:r>
      <w:r>
        <w:rPr>
          <w:rFonts w:hint="eastAsia" w:ascii="宋体" w:hAnsi="宋体"/>
          <w:color w:val="auto"/>
          <w:sz w:val="24"/>
          <w:highlight w:val="none"/>
        </w:rPr>
        <w:t>，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napToGrid w:val="0"/>
        <w:spacing w:line="360" w:lineRule="auto"/>
        <w:ind w:firstLine="480" w:firstLineChars="200"/>
        <w:rPr>
          <w:rFonts w:ascii="宋体"/>
          <w:color w:val="auto"/>
          <w:sz w:val="24"/>
          <w:highlight w:val="none"/>
        </w:rPr>
      </w:pPr>
      <w:r>
        <w:rPr>
          <w:rFonts w:hint="eastAsia" w:ascii="宋体" w:hAnsi="宋体" w:eastAsia="宋体" w:cs="Times New Roman"/>
          <w:color w:val="auto"/>
          <w:sz w:val="24"/>
          <w:highlight w:val="none"/>
          <w:lang w:val="en-US" w:eastAsia="zh-CN"/>
        </w:rPr>
        <w:t>30.3中标候选人的经营、财务状况发生较大变化或存在违法行为，招标人认为可能影响其履约能力的，将在发出中标通知书前提请原评标委员会按照招标文件规定的标准和方法进行审查确认。</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3</w:t>
      </w:r>
      <w:r>
        <w:rPr>
          <w:rFonts w:hint="eastAsia" w:ascii="宋体" w:hAnsi="宋体"/>
          <w:b/>
          <w:bCs/>
          <w:color w:val="auto"/>
          <w:sz w:val="24"/>
          <w:highlight w:val="none"/>
          <w:lang w:val="en-US" w:eastAsia="zh-CN"/>
        </w:rPr>
        <w:t>1</w:t>
      </w:r>
      <w:r>
        <w:rPr>
          <w:rFonts w:hint="eastAsia" w:ascii="宋体" w:hAnsi="宋体"/>
          <w:b/>
          <w:bCs/>
          <w:color w:val="auto"/>
          <w:sz w:val="24"/>
          <w:highlight w:val="none"/>
        </w:rPr>
        <w:t>．合同生效</w:t>
      </w:r>
    </w:p>
    <w:p>
      <w:pPr>
        <w:spacing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1</w:t>
      </w:r>
      <w:r>
        <w:rPr>
          <w:rFonts w:ascii="宋体" w:hAnsi="宋体"/>
          <w:color w:val="auto"/>
          <w:sz w:val="24"/>
          <w:highlight w:val="none"/>
        </w:rPr>
        <w:t>.1</w:t>
      </w:r>
      <w:r>
        <w:rPr>
          <w:rFonts w:hint="eastAsia" w:ascii="宋体" w:hAnsi="宋体"/>
          <w:color w:val="auto"/>
          <w:sz w:val="24"/>
          <w:highlight w:val="none"/>
        </w:rPr>
        <w:t>在合同双方全权代表在合同协议书上签字，并分别加盖双方单位的公章后</w:t>
      </w:r>
      <w:r>
        <w:rPr>
          <w:rFonts w:hint="eastAsia" w:ascii="宋体" w:hAnsi="宋体" w:eastAsia="宋体" w:cs="Times New Roman"/>
          <w:b/>
          <w:bCs/>
          <w:color w:val="auto"/>
          <w:sz w:val="24"/>
          <w:szCs w:val="22"/>
          <w:highlight w:val="none"/>
          <w:u w:val="single"/>
          <w:lang w:bidi="ar"/>
        </w:rPr>
        <w:t>且承包人提交履约担保后</w:t>
      </w:r>
      <w:r>
        <w:rPr>
          <w:rFonts w:hint="eastAsia" w:ascii="宋体" w:hAnsi="宋体"/>
          <w:color w:val="auto"/>
          <w:sz w:val="24"/>
          <w:highlight w:val="none"/>
        </w:rPr>
        <w:t>，合同正式生效。</w:t>
      </w:r>
    </w:p>
    <w:p>
      <w:pPr>
        <w:numPr>
          <w:ilvl w:val="0"/>
          <w:numId w:val="7"/>
        </w:numPr>
        <w:spacing w:line="360" w:lineRule="auto"/>
        <w:ind w:firstLine="482" w:firstLineChars="200"/>
        <w:rPr>
          <w:rFonts w:hint="eastAsia" w:ascii="宋体" w:hAnsi="宋体"/>
          <w:b/>
          <w:bCs/>
          <w:color w:val="auto"/>
          <w:sz w:val="24"/>
          <w:highlight w:val="none"/>
          <w:lang w:eastAsia="zh-CN"/>
        </w:rPr>
      </w:pPr>
      <w:r>
        <w:rPr>
          <w:rFonts w:hint="eastAsia" w:ascii="宋体" w:hAnsi="宋体"/>
          <w:b/>
          <w:bCs/>
          <w:color w:val="auto"/>
          <w:sz w:val="24"/>
          <w:highlight w:val="none"/>
          <w:lang w:eastAsia="zh-CN"/>
        </w:rPr>
        <w:t>专业分包</w:t>
      </w:r>
    </w:p>
    <w:p>
      <w:pPr>
        <w:snapToGrid w:val="0"/>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32.1投标人拟在中标后将中标项目的非主体、非关键性施工工作进行分包的，应符合投标须知前附表规定的分包内容、分包金额和资质要求等限制性条件，除投标人须知前附表规定的非主体、非关键性施工工作分包外，其他工作不得分包。</w:t>
      </w:r>
    </w:p>
    <w:p>
      <w:pPr>
        <w:pStyle w:val="21"/>
        <w:spacing w:line="360" w:lineRule="auto"/>
        <w:rPr>
          <w:rFonts w:hint="default"/>
          <w:color w:val="auto"/>
          <w:highlight w:val="none"/>
          <w:lang w:val="en-US" w:eastAsia="zh-CN"/>
        </w:rPr>
      </w:pPr>
      <w:r>
        <w:rPr>
          <w:rFonts w:hint="eastAsia" w:ascii="宋体" w:hAnsi="宋体" w:eastAsia="宋体" w:cs="Times New Roman"/>
          <w:color w:val="auto"/>
          <w:sz w:val="24"/>
          <w:highlight w:val="none"/>
          <w:lang w:val="en-US" w:eastAsia="zh-CN"/>
        </w:rPr>
        <w:t xml:space="preserve">    32.2中标人不得向他人转让中标项目，接受分包的人不得再次分包。中标人应当就分包项目向招标人负责，接受分包的人就分包项目承担连带责任。</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3</w:t>
      </w:r>
      <w:r>
        <w:rPr>
          <w:rFonts w:hint="eastAsia" w:ascii="宋体" w:hAnsi="宋体"/>
          <w:b/>
          <w:bCs/>
          <w:color w:val="auto"/>
          <w:sz w:val="24"/>
          <w:highlight w:val="none"/>
          <w:lang w:val="en-US" w:eastAsia="zh-CN"/>
        </w:rPr>
        <w:t>3</w:t>
      </w:r>
      <w:r>
        <w:rPr>
          <w:rFonts w:hint="eastAsia" w:ascii="宋体" w:hAnsi="宋体"/>
          <w:b/>
          <w:bCs/>
          <w:color w:val="auto"/>
          <w:sz w:val="24"/>
          <w:highlight w:val="none"/>
        </w:rPr>
        <w:t>．腐败与欺诈行为</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3.</w:t>
      </w:r>
      <w:r>
        <w:rPr>
          <w:rFonts w:ascii="宋体" w:hAnsi="宋体"/>
          <w:color w:val="auto"/>
          <w:sz w:val="24"/>
          <w:highlight w:val="none"/>
        </w:rPr>
        <w:t>1</w:t>
      </w:r>
      <w:r>
        <w:rPr>
          <w:rFonts w:hint="eastAsia" w:ascii="宋体" w:hAnsi="宋体"/>
          <w:color w:val="auto"/>
          <w:sz w:val="24"/>
          <w:highlight w:val="none"/>
        </w:rPr>
        <w:t>对本条款的规定，特定义如下词汇：</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“腐败行为”是指在招标或合同执行期间，通过提供、给予、接受或索要任何有价值的东西，从而影响招标人有关人员工作的行为；</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5"/>
        <w:spacing w:after="0"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3.</w:t>
      </w:r>
      <w:r>
        <w:rPr>
          <w:rFonts w:ascii="宋体" w:hAnsi="宋体"/>
          <w:color w:val="auto"/>
          <w:sz w:val="24"/>
          <w:highlight w:val="none"/>
        </w:rPr>
        <w:t>2</w:t>
      </w:r>
      <w:r>
        <w:rPr>
          <w:rFonts w:hint="eastAsia" w:ascii="宋体" w:hAnsi="宋体"/>
          <w:color w:val="auto"/>
          <w:sz w:val="24"/>
          <w:highlight w:val="none"/>
        </w:rPr>
        <w:t>如果投标人被认定在本招标竞争中有腐败或欺诈行为，则会被取消投标资格。</w:t>
      </w:r>
    </w:p>
    <w:p>
      <w:pPr>
        <w:pStyle w:val="5"/>
        <w:spacing w:after="0" w:line="360" w:lineRule="auto"/>
        <w:ind w:firstLine="480" w:firstLineChars="200"/>
        <w:rPr>
          <w:rFonts w:hint="eastAsia" w:ascii="宋体"/>
          <w:color w:val="auto"/>
          <w:sz w:val="24"/>
          <w:highlight w:val="none"/>
        </w:rPr>
      </w:pPr>
      <w:r>
        <w:rPr>
          <w:rFonts w:hint="eastAsia" w:ascii="宋体"/>
          <w:color w:val="auto"/>
          <w:sz w:val="24"/>
          <w:highlight w:val="none"/>
        </w:rPr>
        <w:t>3</w:t>
      </w:r>
      <w:r>
        <w:rPr>
          <w:rFonts w:hint="eastAsia" w:ascii="宋体"/>
          <w:color w:val="auto"/>
          <w:sz w:val="24"/>
          <w:highlight w:val="none"/>
          <w:lang w:val="en-US" w:eastAsia="zh-CN"/>
        </w:rPr>
        <w:t>3.</w:t>
      </w:r>
      <w:r>
        <w:rPr>
          <w:rFonts w:hint="eastAsia" w:ascii="宋体"/>
          <w:color w:val="auto"/>
          <w:sz w:val="24"/>
          <w:highlight w:val="none"/>
        </w:rPr>
        <w:t>3投标人如在本项目中存在串通投标、弄虚作假骗取中标、行贿情形的，中标无效，行政监督部门将对其违法行为进行政处罚。</w:t>
      </w:r>
    </w:p>
    <w:p>
      <w:pPr>
        <w:numPr>
          <w:ilvl w:val="0"/>
          <w:numId w:val="0"/>
        </w:num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lang w:val="en-US" w:eastAsia="zh-CN"/>
        </w:rPr>
        <w:t>34.</w:t>
      </w:r>
      <w:r>
        <w:rPr>
          <w:rFonts w:hint="eastAsia" w:ascii="宋体" w:hAnsi="宋体"/>
          <w:b/>
          <w:bCs/>
          <w:color w:val="auto"/>
          <w:sz w:val="24"/>
          <w:highlight w:val="none"/>
        </w:rPr>
        <w:t>其它费用</w:t>
      </w:r>
    </w:p>
    <w:p>
      <w:pPr>
        <w:numPr>
          <w:ilvl w:val="0"/>
          <w:numId w:val="0"/>
        </w:num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中标人自行支付公共资源交易服务费，交易中心向中标人开具增值税发票。</w:t>
      </w:r>
    </w:p>
    <w:p>
      <w:pPr>
        <w:pStyle w:val="10"/>
        <w:spacing w:line="360" w:lineRule="auto"/>
        <w:rPr>
          <w:rFonts w:hint="eastAsia" w:ascii="宋体" w:hAnsi="宋体" w:eastAsia="宋体"/>
          <w:b/>
          <w:bCs/>
          <w:color w:val="auto"/>
          <w:sz w:val="24"/>
          <w:szCs w:val="22"/>
          <w:highlight w:val="none"/>
          <w:u w:val="single"/>
          <w:lang w:val="en-US" w:eastAsia="zh-CN"/>
        </w:rPr>
      </w:pPr>
      <w:r>
        <w:rPr>
          <w:rFonts w:hint="eastAsia" w:ascii="宋体" w:hAnsi="宋体"/>
          <w:b/>
          <w:bCs/>
          <w:color w:val="auto"/>
          <w:sz w:val="24"/>
          <w:szCs w:val="22"/>
          <w:highlight w:val="none"/>
          <w:u w:val="single"/>
          <w:lang w:val="en-US" w:eastAsia="zh-CN"/>
        </w:rPr>
        <w:t>35.</w:t>
      </w:r>
      <w:r>
        <w:rPr>
          <w:rFonts w:hint="eastAsia" w:ascii="宋体" w:hAnsi="宋体" w:eastAsia="宋体" w:cs="Times New Roman"/>
          <w:b/>
          <w:bCs/>
          <w:color w:val="auto"/>
          <w:sz w:val="24"/>
          <w:szCs w:val="22"/>
          <w:highlight w:val="none"/>
          <w:u w:val="single"/>
        </w:rPr>
        <w:t>中标单位在本项目结束中标公示后3天内，须提供与递交投标文件电子标书内容一致且每页加盖单位公章的纸质文件</w:t>
      </w:r>
      <w:r>
        <w:rPr>
          <w:rFonts w:hint="eastAsia" w:ascii="宋体" w:hAnsi="宋体" w:cs="Times New Roman"/>
          <w:b/>
          <w:bCs/>
          <w:color w:val="auto"/>
          <w:sz w:val="24"/>
          <w:szCs w:val="22"/>
          <w:highlight w:val="none"/>
          <w:u w:val="single"/>
          <w:lang w:val="en-US" w:eastAsia="zh-CN"/>
        </w:rPr>
        <w:t>二</w:t>
      </w:r>
      <w:r>
        <w:rPr>
          <w:rFonts w:hint="eastAsia" w:ascii="宋体" w:hAnsi="宋体" w:eastAsia="宋体" w:cs="Times New Roman"/>
          <w:b/>
          <w:bCs/>
          <w:color w:val="auto"/>
          <w:sz w:val="24"/>
          <w:szCs w:val="22"/>
          <w:highlight w:val="none"/>
          <w:u w:val="single"/>
        </w:rPr>
        <w:t>套（原件）及电子文件二套（不用生成投标书）送达招标人；内容包括完整投标文件。电子文件介质使用U盘或CD-R光盘，所有电子文件不能采用压缩处理</w:t>
      </w:r>
      <w:r>
        <w:rPr>
          <w:rFonts w:hint="eastAsia" w:ascii="宋体" w:hAnsi="宋体" w:eastAsia="宋体" w:cs="Times New Roman"/>
          <w:b/>
          <w:bCs/>
          <w:color w:val="auto"/>
          <w:sz w:val="24"/>
          <w:szCs w:val="22"/>
          <w:highlight w:val="none"/>
          <w:u w:val="single"/>
          <w:lang w:eastAsia="zh-CN"/>
        </w:rPr>
        <w:t>。</w:t>
      </w:r>
    </w:p>
    <w:p>
      <w:pPr>
        <w:rPr>
          <w:rFonts w:hint="eastAsia"/>
          <w:color w:val="auto"/>
          <w:highlight w:val="none"/>
        </w:rPr>
      </w:pPr>
      <w:bookmarkStart w:id="42" w:name="_Toc2272554"/>
      <w:bookmarkStart w:id="43" w:name="_Toc32047"/>
      <w:bookmarkStart w:id="44" w:name="_Toc21525498"/>
      <w:bookmarkStart w:id="45" w:name="_Toc17683"/>
      <w:r>
        <w:rPr>
          <w:rFonts w:hint="eastAsia"/>
          <w:color w:val="auto"/>
          <w:highlight w:val="none"/>
        </w:rPr>
        <w:br w:type="page"/>
      </w:r>
    </w:p>
    <w:p>
      <w:pPr>
        <w:pStyle w:val="3"/>
        <w:rPr>
          <w:color w:val="auto"/>
          <w:highlight w:val="none"/>
        </w:rPr>
      </w:pPr>
      <w:r>
        <w:rPr>
          <w:rFonts w:hint="eastAsia"/>
          <w:color w:val="auto"/>
          <w:highlight w:val="none"/>
        </w:rPr>
        <w:t>第二章</w:t>
      </w:r>
      <w:r>
        <w:rPr>
          <w:color w:val="auto"/>
          <w:highlight w:val="none"/>
        </w:rPr>
        <w:t xml:space="preserve">  </w:t>
      </w:r>
      <w:r>
        <w:rPr>
          <w:rFonts w:hint="eastAsia"/>
          <w:color w:val="auto"/>
          <w:highlight w:val="none"/>
        </w:rPr>
        <w:t>开标、评标及定标办法</w:t>
      </w:r>
      <w:bookmarkEnd w:id="42"/>
      <w:bookmarkEnd w:id="43"/>
      <w:bookmarkEnd w:id="44"/>
      <w:bookmarkEnd w:id="45"/>
    </w:p>
    <w:p>
      <w:pPr>
        <w:pStyle w:val="7"/>
        <w:bidi w:val="0"/>
        <w:rPr>
          <w:color w:val="auto"/>
          <w:highlight w:val="none"/>
        </w:rPr>
      </w:pPr>
      <w:bookmarkStart w:id="46" w:name="_Toc21525499"/>
      <w:bookmarkStart w:id="47" w:name="_Toc2272555"/>
      <w:bookmarkStart w:id="48" w:name="_Toc28311"/>
      <w:bookmarkStart w:id="49" w:name="_Toc15032"/>
      <w:r>
        <w:rPr>
          <w:rFonts w:hint="eastAsia"/>
          <w:color w:val="auto"/>
          <w:highlight w:val="none"/>
        </w:rPr>
        <w:t>一、开标、评标及定标办法修改表</w:t>
      </w:r>
      <w:bookmarkEnd w:id="46"/>
      <w:bookmarkEnd w:id="47"/>
      <w:bookmarkEnd w:id="48"/>
      <w:bookmarkEnd w:id="49"/>
    </w:p>
    <w:p>
      <w:pPr>
        <w:pStyle w:val="5"/>
        <w:spacing w:after="0" w:line="360" w:lineRule="auto"/>
        <w:rPr>
          <w:b/>
          <w:color w:val="auto"/>
          <w:sz w:val="21"/>
          <w:szCs w:val="21"/>
          <w:highlight w:val="none"/>
        </w:rPr>
      </w:pPr>
      <w:r>
        <w:rPr>
          <w:rFonts w:hint="eastAsia"/>
          <w:b/>
          <w:color w:val="auto"/>
          <w:szCs w:val="21"/>
          <w:highlight w:val="none"/>
        </w:rPr>
        <w:t>声明：本</w:t>
      </w:r>
      <w:r>
        <w:rPr>
          <w:rFonts w:hint="eastAsia"/>
          <w:b/>
          <w:color w:val="auto"/>
          <w:highlight w:val="none"/>
        </w:rPr>
        <w:t>开标、评标及定标办法使用</w:t>
      </w:r>
      <w:r>
        <w:rPr>
          <w:rFonts w:hint="eastAsia"/>
          <w:b/>
          <w:color w:val="auto"/>
          <w:highlight w:val="none"/>
          <w:lang w:eastAsia="zh-CN"/>
        </w:rPr>
        <w:t>GZJTZB202</w:t>
      </w:r>
      <w:r>
        <w:rPr>
          <w:rFonts w:hint="eastAsia"/>
          <w:b/>
          <w:color w:val="auto"/>
          <w:highlight w:val="none"/>
          <w:lang w:val="en-US" w:eastAsia="zh-CN"/>
        </w:rPr>
        <w:t>5</w:t>
      </w:r>
      <w:r>
        <w:rPr>
          <w:rFonts w:hint="eastAsia"/>
          <w:b/>
          <w:color w:val="auto"/>
          <w:highlight w:val="none"/>
          <w:lang w:eastAsia="zh-CN"/>
        </w:rPr>
        <w:t>-3</w:t>
      </w:r>
      <w:r>
        <w:rPr>
          <w:rFonts w:hint="eastAsia"/>
          <w:b/>
          <w:color w:val="auto"/>
          <w:highlight w:val="none"/>
        </w:rPr>
        <w:t>招标文件范本的开标、评标及定标办法通用条款，与该通用条款不同之处，均在本表中列明，并以现文为准，原</w:t>
      </w:r>
      <w:r>
        <w:rPr>
          <w:rFonts w:hint="eastAsia"/>
          <w:b/>
          <w:color w:val="auto"/>
          <w:szCs w:val="21"/>
          <w:highlight w:val="none"/>
        </w:rPr>
        <w:t>文不再有效。</w:t>
      </w:r>
      <w:r>
        <w:rPr>
          <w:rFonts w:hint="eastAsia" w:ascii="宋体" w:hAnsi="宋体"/>
          <w:b w:val="0"/>
          <w:bCs/>
          <w:color w:val="auto"/>
          <w:sz w:val="21"/>
          <w:szCs w:val="21"/>
          <w:highlight w:val="none"/>
          <w:lang w:eastAsia="zh-CN"/>
        </w:rPr>
        <w:t>（注：招标人按《开标、评标及定标办法修改表》修改的内容对应修改通用条款，属于删除的采用“</w:t>
      </w:r>
      <w:r>
        <w:rPr>
          <w:rFonts w:hint="eastAsia" w:ascii="宋体" w:hAnsi="宋体"/>
          <w:b w:val="0"/>
          <w:bCs/>
          <w:strike/>
          <w:dstrike w:val="0"/>
          <w:color w:val="auto"/>
          <w:sz w:val="21"/>
          <w:szCs w:val="21"/>
          <w:highlight w:val="none"/>
          <w:lang w:val="en-US" w:eastAsia="zh-CN"/>
        </w:rPr>
        <w:t xml:space="preserve">   </w:t>
      </w:r>
      <w:r>
        <w:rPr>
          <w:rFonts w:hint="eastAsia" w:ascii="宋体" w:hAnsi="宋体"/>
          <w:b w:val="0"/>
          <w:bCs/>
          <w:strike w:val="0"/>
          <w:dstrike w:val="0"/>
          <w:color w:val="auto"/>
          <w:sz w:val="21"/>
          <w:szCs w:val="21"/>
          <w:highlight w:val="none"/>
          <w:lang w:val="en-US" w:eastAsia="zh-CN"/>
        </w:rPr>
        <w:t>”表示，</w:t>
      </w:r>
      <w:r>
        <w:rPr>
          <w:rFonts w:hint="eastAsia" w:ascii="宋体" w:hAnsi="宋体"/>
          <w:b w:val="0"/>
          <w:bCs/>
          <w:color w:val="auto"/>
          <w:sz w:val="21"/>
          <w:szCs w:val="21"/>
          <w:highlight w:val="none"/>
          <w:lang w:eastAsia="zh-CN"/>
        </w:rPr>
        <w:t>如“</w:t>
      </w:r>
      <w:r>
        <w:rPr>
          <w:rFonts w:hint="eastAsia" w:ascii="宋体" w:hAnsi="宋体"/>
          <w:b w:val="0"/>
          <w:bCs/>
          <w:strike/>
          <w:dstrike w:val="0"/>
          <w:color w:val="auto"/>
          <w:sz w:val="21"/>
          <w:szCs w:val="21"/>
          <w:highlight w:val="none"/>
          <w:u w:val="none"/>
          <w:lang w:eastAsia="zh-CN"/>
        </w:rPr>
        <w:t>删除</w:t>
      </w:r>
      <w:r>
        <w:rPr>
          <w:rFonts w:hint="eastAsia" w:ascii="宋体" w:hAnsi="宋体"/>
          <w:b w:val="0"/>
          <w:bCs/>
          <w:color w:val="auto"/>
          <w:sz w:val="21"/>
          <w:szCs w:val="21"/>
          <w:highlight w:val="none"/>
          <w:lang w:eastAsia="zh-CN"/>
        </w:rPr>
        <w:t>”；属于新增、修改的内容，用</w:t>
      </w:r>
      <w:r>
        <w:rPr>
          <w:rFonts w:hint="eastAsia" w:ascii="宋体" w:hAnsi="宋体"/>
          <w:b/>
          <w:bCs w:val="0"/>
          <w:color w:val="auto"/>
          <w:sz w:val="21"/>
          <w:szCs w:val="21"/>
          <w:highlight w:val="none"/>
          <w:lang w:eastAsia="zh-CN"/>
        </w:rPr>
        <w:t>黑色加粗</w:t>
      </w:r>
      <w:r>
        <w:rPr>
          <w:rFonts w:hint="eastAsia" w:ascii="宋体" w:hAnsi="宋体"/>
          <w:b w:val="0"/>
          <w:bCs/>
          <w:color w:val="auto"/>
          <w:sz w:val="21"/>
          <w:szCs w:val="21"/>
          <w:highlight w:val="none"/>
          <w:lang w:eastAsia="zh-CN"/>
        </w:rPr>
        <w:t>字体显示</w:t>
      </w:r>
      <w:r>
        <w:rPr>
          <w:rFonts w:hint="eastAsia" w:ascii="宋体" w:hAnsi="宋体"/>
          <w:b w:val="0"/>
          <w:bCs/>
          <w:color w:val="auto"/>
          <w:sz w:val="21"/>
          <w:szCs w:val="21"/>
          <w:highlight w:val="none"/>
          <w:lang w:val="en-US" w:eastAsia="zh-CN"/>
        </w:rPr>
        <w:t>,并加注下划线，如“</w:t>
      </w:r>
      <w:r>
        <w:rPr>
          <w:rFonts w:hint="eastAsia" w:ascii="宋体" w:hAnsi="宋体"/>
          <w:b/>
          <w:bCs w:val="0"/>
          <w:color w:val="auto"/>
          <w:sz w:val="21"/>
          <w:szCs w:val="21"/>
          <w:highlight w:val="none"/>
          <w:u w:val="single"/>
          <w:lang w:val="en-US" w:eastAsia="zh-CN"/>
        </w:rPr>
        <w:t>新增修改</w:t>
      </w:r>
      <w:r>
        <w:rPr>
          <w:rFonts w:hint="eastAsia" w:ascii="宋体" w:hAnsi="宋体"/>
          <w:b w:val="0"/>
          <w:bCs/>
          <w:color w:val="auto"/>
          <w:sz w:val="21"/>
          <w:szCs w:val="21"/>
          <w:highlight w:val="none"/>
          <w:lang w:val="en-US" w:eastAsia="zh-CN"/>
        </w:rPr>
        <w:t>”</w:t>
      </w:r>
      <w:r>
        <w:rPr>
          <w:rFonts w:hint="eastAsia" w:ascii="宋体" w:hAnsi="宋体"/>
          <w:b w:val="0"/>
          <w:bCs/>
          <w:color w:val="auto"/>
          <w:sz w:val="21"/>
          <w:szCs w:val="21"/>
          <w:highlight w:val="none"/>
          <w:lang w:eastAsia="zh-CN"/>
        </w:rPr>
        <w:t>。）</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条款号：3</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 xml:space="preserve">              修改类型：修改</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原文</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开标、评标及定标所依据的规则</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35.1</w:t>
      </w:r>
      <w:r>
        <w:rPr>
          <w:rFonts w:hint="eastAsia" w:ascii="宋体" w:hAnsi="宋体" w:eastAsia="宋体" w:cs="宋体"/>
          <w:color w:val="auto"/>
          <w:sz w:val="21"/>
          <w:szCs w:val="21"/>
          <w:highlight w:val="none"/>
        </w:rPr>
        <w:t>《中华人民共和国招标投标法》；</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35.2</w:t>
      </w:r>
      <w:r>
        <w:rPr>
          <w:rFonts w:hint="eastAsia" w:ascii="宋体" w:hAnsi="宋体" w:eastAsia="宋体" w:cs="宋体"/>
          <w:color w:val="auto"/>
          <w:sz w:val="21"/>
          <w:szCs w:val="21"/>
          <w:highlight w:val="none"/>
        </w:rPr>
        <w:t>《中华人民共和国招标投标法实施条例》；</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35.3</w:t>
      </w:r>
      <w:r>
        <w:rPr>
          <w:rFonts w:hint="eastAsia" w:ascii="宋体" w:hAnsi="宋体" w:eastAsia="宋体" w:cs="宋体"/>
          <w:color w:val="auto"/>
          <w:sz w:val="21"/>
          <w:szCs w:val="21"/>
          <w:highlight w:val="none"/>
        </w:rPr>
        <w:t>《评标委员会和评标方法暂行规定》（七部委第12号令）；</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35.4</w:t>
      </w:r>
      <w:r>
        <w:rPr>
          <w:rFonts w:hint="eastAsia" w:ascii="宋体" w:hAnsi="宋体" w:eastAsia="宋体" w:cs="宋体"/>
          <w:color w:val="auto"/>
          <w:sz w:val="21"/>
          <w:szCs w:val="21"/>
          <w:highlight w:val="none"/>
        </w:rPr>
        <w:t>《工程建设项目施工招标投标办法》（七部委2003年第30号令）；</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35.5</w:t>
      </w:r>
      <w:r>
        <w:rPr>
          <w:rFonts w:hint="eastAsia" w:ascii="宋体" w:hAnsi="宋体" w:eastAsia="宋体" w:cs="宋体"/>
          <w:b w:val="0"/>
          <w:bCs w:val="0"/>
          <w:color w:val="auto"/>
          <w:sz w:val="21"/>
          <w:szCs w:val="21"/>
          <w:highlight w:val="none"/>
        </w:rPr>
        <w:t>《电子招标投标办法》；</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35.6</w:t>
      </w:r>
      <w:r>
        <w:rPr>
          <w:rFonts w:hint="eastAsia" w:ascii="宋体" w:hAnsi="宋体" w:eastAsia="宋体" w:cs="宋体"/>
          <w:color w:val="auto"/>
          <w:sz w:val="21"/>
          <w:szCs w:val="21"/>
          <w:highlight w:val="none"/>
        </w:rPr>
        <w:t>《广东省实施〈中华人民共和国招标投标法〉办法》；</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35.</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color w:val="auto"/>
          <w:sz w:val="21"/>
          <w:szCs w:val="21"/>
          <w:highlight w:val="none"/>
        </w:rPr>
        <w:t>《房屋建筑和市政基础设施工程施工招标投标管理办法》（建设部令第89号）；</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35.8</w:t>
      </w:r>
      <w:r>
        <w:rPr>
          <w:rFonts w:hint="eastAsia" w:ascii="宋体" w:hAnsi="宋体" w:eastAsia="宋体" w:cs="宋体"/>
          <w:color w:val="auto"/>
          <w:sz w:val="21"/>
          <w:szCs w:val="21"/>
          <w:highlight w:val="none"/>
        </w:rPr>
        <w:t>《广东省加强建设工程招标投标监督管理的若干规定》（粤发[2004]4号）；</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35.</w:t>
      </w:r>
      <w:r>
        <w:rPr>
          <w:rFonts w:hint="eastAsia" w:ascii="宋体" w:hAnsi="宋体" w:eastAsia="宋体" w:cs="宋体"/>
          <w:b/>
          <w:bCs/>
          <w:color w:val="auto"/>
          <w:sz w:val="21"/>
          <w:szCs w:val="21"/>
          <w:highlight w:val="none"/>
          <w:lang w:val="en-US" w:eastAsia="zh-CN"/>
        </w:rPr>
        <w:t>9</w:t>
      </w:r>
      <w:r>
        <w:rPr>
          <w:rFonts w:hint="eastAsia" w:ascii="宋体" w:hAnsi="宋体" w:eastAsia="宋体" w:cs="宋体"/>
          <w:color w:val="auto"/>
          <w:sz w:val="21"/>
          <w:szCs w:val="21"/>
          <w:highlight w:val="none"/>
        </w:rPr>
        <w:t>《广州市工程建设项目招标投标管理办法》（穗建规字〔2023〕12号）；</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35.1</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color w:val="auto"/>
          <w:sz w:val="21"/>
          <w:szCs w:val="21"/>
          <w:highlight w:val="none"/>
        </w:rPr>
        <w:t>本项目招标文件。</w:t>
      </w:r>
    </w:p>
    <w:p>
      <w:pPr>
        <w:keepNext w:val="0"/>
        <w:keepLines w:val="0"/>
        <w:pageBreakBefore w:val="0"/>
        <w:pBdr>
          <w:bottom w:val="single" w:color="auto" w:sz="6" w:space="0"/>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现文：3</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开标、评标及定标所依据的规则</w:t>
      </w:r>
    </w:p>
    <w:p>
      <w:pPr>
        <w:keepNext w:val="0"/>
        <w:keepLines w:val="0"/>
        <w:pageBreakBefore w:val="0"/>
        <w:pBdr>
          <w:bottom w:val="single" w:color="auto" w:sz="6" w:space="0"/>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35.1</w:t>
      </w:r>
      <w:r>
        <w:rPr>
          <w:rFonts w:hint="eastAsia" w:ascii="宋体" w:hAnsi="宋体" w:eastAsia="宋体" w:cs="宋体"/>
          <w:color w:val="auto"/>
          <w:sz w:val="21"/>
          <w:szCs w:val="21"/>
          <w:highlight w:val="none"/>
          <w:lang w:val="en-US" w:eastAsia="zh-CN"/>
        </w:rPr>
        <w:t>《中华人民共和国招标投标法》；</w:t>
      </w:r>
    </w:p>
    <w:p>
      <w:pPr>
        <w:keepNext w:val="0"/>
        <w:keepLines w:val="0"/>
        <w:pageBreakBefore w:val="0"/>
        <w:pBdr>
          <w:bottom w:val="single" w:color="auto" w:sz="6" w:space="0"/>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35.2</w:t>
      </w:r>
      <w:r>
        <w:rPr>
          <w:rFonts w:hint="eastAsia" w:ascii="宋体" w:hAnsi="宋体" w:eastAsia="宋体" w:cs="宋体"/>
          <w:color w:val="auto"/>
          <w:sz w:val="21"/>
          <w:szCs w:val="21"/>
          <w:highlight w:val="none"/>
          <w:lang w:val="en-US" w:eastAsia="zh-CN"/>
        </w:rPr>
        <w:t>《中华人民共和国招标投标法实施条例》；</w:t>
      </w:r>
    </w:p>
    <w:p>
      <w:pPr>
        <w:keepNext w:val="0"/>
        <w:keepLines w:val="0"/>
        <w:pageBreakBefore w:val="0"/>
        <w:pBdr>
          <w:bottom w:val="single" w:color="auto" w:sz="6" w:space="0"/>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35.3</w:t>
      </w:r>
      <w:r>
        <w:rPr>
          <w:rFonts w:hint="eastAsia" w:ascii="宋体" w:hAnsi="宋体" w:eastAsia="宋体" w:cs="宋体"/>
          <w:color w:val="auto"/>
          <w:sz w:val="21"/>
          <w:szCs w:val="21"/>
          <w:highlight w:val="none"/>
          <w:lang w:val="en-US" w:eastAsia="zh-CN"/>
        </w:rPr>
        <w:t>《评标委员会和评标方法暂行规定》（七部委第12号令）</w:t>
      </w:r>
      <w:r>
        <w:rPr>
          <w:rFonts w:hint="eastAsia" w:ascii="宋体" w:hAnsi="宋体" w:eastAsia="宋体" w:cs="宋体"/>
          <w:color w:val="auto"/>
          <w:sz w:val="21"/>
          <w:szCs w:val="21"/>
          <w:highlight w:val="none"/>
        </w:rPr>
        <w:t>；</w:t>
      </w:r>
    </w:p>
    <w:p>
      <w:pPr>
        <w:keepNext w:val="0"/>
        <w:keepLines w:val="0"/>
        <w:pageBreakBefore w:val="0"/>
        <w:pBdr>
          <w:bottom w:val="single" w:color="auto" w:sz="6" w:space="0"/>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35.4</w:t>
      </w:r>
      <w:r>
        <w:rPr>
          <w:rFonts w:hint="eastAsia" w:ascii="宋体" w:hAnsi="宋体" w:eastAsia="宋体" w:cs="宋体"/>
          <w:color w:val="auto"/>
          <w:sz w:val="21"/>
          <w:szCs w:val="21"/>
          <w:highlight w:val="none"/>
          <w:lang w:val="en-US" w:eastAsia="zh-CN"/>
        </w:rPr>
        <w:t>《工程建设项目施工招标投标办法》（七部委2003年第30号令）</w:t>
      </w:r>
      <w:r>
        <w:rPr>
          <w:rFonts w:hint="eastAsia" w:ascii="宋体" w:hAnsi="宋体" w:eastAsia="宋体" w:cs="宋体"/>
          <w:color w:val="auto"/>
          <w:sz w:val="21"/>
          <w:szCs w:val="21"/>
          <w:highlight w:val="none"/>
        </w:rPr>
        <w:t>；</w:t>
      </w:r>
    </w:p>
    <w:p>
      <w:pPr>
        <w:keepNext w:val="0"/>
        <w:keepLines w:val="0"/>
        <w:pageBreakBefore w:val="0"/>
        <w:pBdr>
          <w:bottom w:val="single" w:color="auto" w:sz="6" w:space="0"/>
        </w:pBdr>
        <w:kinsoku/>
        <w:wordWrap/>
        <w:overflowPunct/>
        <w:topLinePunct w:val="0"/>
        <w:autoSpaceDE/>
        <w:autoSpaceDN/>
        <w:bidi w:val="0"/>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35.5</w:t>
      </w:r>
      <w:r>
        <w:rPr>
          <w:rFonts w:hint="eastAsia" w:ascii="宋体" w:hAnsi="宋体" w:eastAsia="宋体" w:cs="宋体"/>
          <w:b w:val="0"/>
          <w:bCs w:val="0"/>
          <w:color w:val="auto"/>
          <w:sz w:val="21"/>
          <w:szCs w:val="21"/>
          <w:highlight w:val="none"/>
          <w:lang w:val="en-US" w:eastAsia="zh-CN"/>
        </w:rPr>
        <w:t>《电子招标投标办法》；</w:t>
      </w:r>
    </w:p>
    <w:p>
      <w:pPr>
        <w:keepNext w:val="0"/>
        <w:keepLines w:val="0"/>
        <w:pageBreakBefore w:val="0"/>
        <w:pBdr>
          <w:bottom w:val="single" w:color="auto" w:sz="6" w:space="0"/>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35.6</w:t>
      </w:r>
      <w:r>
        <w:rPr>
          <w:rFonts w:hint="eastAsia" w:ascii="宋体" w:hAnsi="宋体" w:eastAsia="宋体" w:cs="宋体"/>
          <w:color w:val="auto"/>
          <w:sz w:val="21"/>
          <w:szCs w:val="21"/>
          <w:highlight w:val="none"/>
          <w:lang w:val="en-US" w:eastAsia="zh-CN"/>
        </w:rPr>
        <w:t>《广东省实施〈中华人民共和国招标投标法〉办法》；</w:t>
      </w:r>
    </w:p>
    <w:p>
      <w:pPr>
        <w:keepNext w:val="0"/>
        <w:keepLines w:val="0"/>
        <w:pageBreakBefore w:val="0"/>
        <w:pBdr>
          <w:bottom w:val="single" w:color="auto" w:sz="6" w:space="0"/>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35.7</w:t>
      </w:r>
      <w:r>
        <w:rPr>
          <w:rFonts w:hint="eastAsia" w:ascii="宋体" w:hAnsi="宋体" w:eastAsia="宋体" w:cs="宋体"/>
          <w:color w:val="auto"/>
          <w:sz w:val="21"/>
          <w:szCs w:val="21"/>
          <w:highlight w:val="none"/>
          <w:lang w:val="en-US" w:eastAsia="zh-CN"/>
        </w:rPr>
        <w:t>《房屋建筑和市政基础设施工程施工招标投标管理办法》（建设部令第89号）</w:t>
      </w:r>
      <w:r>
        <w:rPr>
          <w:rFonts w:hint="eastAsia" w:ascii="宋体" w:hAnsi="宋体" w:eastAsia="宋体" w:cs="宋体"/>
          <w:color w:val="auto"/>
          <w:sz w:val="21"/>
          <w:szCs w:val="21"/>
          <w:highlight w:val="none"/>
        </w:rPr>
        <w:t>；</w:t>
      </w:r>
    </w:p>
    <w:p>
      <w:pPr>
        <w:keepNext w:val="0"/>
        <w:keepLines w:val="0"/>
        <w:pageBreakBefore w:val="0"/>
        <w:pBdr>
          <w:bottom w:val="single" w:color="auto" w:sz="6" w:space="0"/>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35.8</w:t>
      </w:r>
      <w:r>
        <w:rPr>
          <w:rFonts w:hint="eastAsia" w:ascii="宋体" w:hAnsi="宋体" w:eastAsia="宋体" w:cs="宋体"/>
          <w:color w:val="auto"/>
          <w:sz w:val="21"/>
          <w:szCs w:val="21"/>
          <w:highlight w:val="none"/>
          <w:lang w:val="en-US" w:eastAsia="zh-CN"/>
        </w:rPr>
        <w:t>《广东省加强建设工程招标投标监督管理的若干规定》（粤发〔2004〕4号）；</w:t>
      </w:r>
    </w:p>
    <w:p>
      <w:pPr>
        <w:keepNext w:val="0"/>
        <w:keepLines w:val="0"/>
        <w:pageBreakBefore w:val="0"/>
        <w:pBdr>
          <w:bottom w:val="single" w:color="auto" w:sz="6" w:space="0"/>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color w:val="auto"/>
          <w:sz w:val="21"/>
          <w:szCs w:val="21"/>
          <w:highlight w:val="none"/>
          <w:lang w:val="en-US" w:eastAsia="zh-CN"/>
        </w:rPr>
        <w:t>35.9</w:t>
      </w:r>
      <w:r>
        <w:rPr>
          <w:rFonts w:hint="eastAsia" w:ascii="宋体" w:hAnsi="宋体" w:eastAsia="宋体" w:cs="宋体"/>
          <w:color w:val="auto"/>
          <w:sz w:val="21"/>
          <w:szCs w:val="21"/>
          <w:highlight w:val="none"/>
          <w:lang w:val="en-US" w:eastAsia="zh-CN"/>
        </w:rPr>
        <w:t>《广州市工程建设项目招标投标管理办法》</w:t>
      </w:r>
      <w:r>
        <w:rPr>
          <w:rFonts w:hint="eastAsia" w:ascii="宋体" w:hAnsi="宋体" w:eastAsia="宋体" w:cs="宋体"/>
          <w:color w:val="auto"/>
          <w:sz w:val="21"/>
          <w:szCs w:val="21"/>
          <w:highlight w:val="none"/>
          <w:u w:val="none"/>
          <w:lang w:val="en-US" w:eastAsia="zh-CN"/>
        </w:rPr>
        <w:t>（穗建规字〔2023〕12号）</w:t>
      </w:r>
      <w:r>
        <w:rPr>
          <w:rFonts w:hint="eastAsia" w:ascii="宋体" w:hAnsi="宋体" w:cs="宋体"/>
          <w:color w:val="auto"/>
          <w:sz w:val="21"/>
          <w:szCs w:val="21"/>
          <w:highlight w:val="none"/>
          <w:u w:val="none"/>
          <w:lang w:val="en-US" w:eastAsia="zh-CN"/>
        </w:rPr>
        <w:t>；</w:t>
      </w:r>
    </w:p>
    <w:p>
      <w:pPr>
        <w:keepNext w:val="0"/>
        <w:keepLines w:val="0"/>
        <w:pageBreakBefore w:val="0"/>
        <w:pBdr>
          <w:bottom w:val="single" w:color="auto" w:sz="6" w:space="0"/>
        </w:pBdr>
        <w:kinsoku/>
        <w:wordWrap/>
        <w:overflowPunct/>
        <w:topLinePunct w:val="0"/>
        <w:autoSpaceDE/>
        <w:autoSpaceDN/>
        <w:bidi w:val="0"/>
        <w:spacing w:line="360" w:lineRule="auto"/>
        <w:ind w:firstLine="422" w:firstLineChars="200"/>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35.1</w:t>
      </w:r>
      <w:r>
        <w:rPr>
          <w:rFonts w:hint="eastAsia" w:ascii="宋体" w:hAnsi="宋体" w:cs="宋体"/>
          <w:b/>
          <w:bCs/>
          <w:color w:val="auto"/>
          <w:sz w:val="21"/>
          <w:szCs w:val="21"/>
          <w:highlight w:val="none"/>
          <w:u w:val="single"/>
          <w:lang w:val="en-US" w:eastAsia="zh-CN"/>
        </w:rPr>
        <w:t>0</w:t>
      </w:r>
      <w:r>
        <w:rPr>
          <w:rFonts w:hint="eastAsia" w:ascii="宋体" w:hAnsi="宋体" w:eastAsia="宋体" w:cs="宋体"/>
          <w:b w:val="0"/>
          <w:bCs w:val="0"/>
          <w:color w:val="auto"/>
          <w:sz w:val="21"/>
          <w:szCs w:val="21"/>
          <w:highlight w:val="none"/>
          <w:u w:val="single"/>
          <w:lang w:val="en-US" w:eastAsia="zh-CN"/>
        </w:rPr>
        <w:t>《广州市交通运输局关于印发广州市交通工程建设项目评标定标分离操作指引（试行）的通知》（穗交运函〔2025〕17号文）</w:t>
      </w:r>
      <w:r>
        <w:rPr>
          <w:rFonts w:hint="eastAsia" w:ascii="宋体" w:hAnsi="宋体" w:eastAsia="宋体" w:cs="宋体"/>
          <w:color w:val="auto"/>
          <w:sz w:val="21"/>
          <w:szCs w:val="21"/>
          <w:highlight w:val="none"/>
          <w:u w:val="single"/>
          <w:lang w:val="en-US" w:eastAsia="zh-CN"/>
        </w:rPr>
        <w:t>；</w:t>
      </w:r>
    </w:p>
    <w:p>
      <w:pPr>
        <w:keepNext w:val="0"/>
        <w:keepLines w:val="0"/>
        <w:pageBreakBefore w:val="0"/>
        <w:pBdr>
          <w:bottom w:val="single" w:color="auto" w:sz="6" w:space="0"/>
        </w:pBdr>
        <w:kinsoku/>
        <w:wordWrap/>
        <w:overflowPunct/>
        <w:topLinePunct w:val="0"/>
        <w:autoSpaceDE/>
        <w:autoSpaceDN/>
        <w:bidi w:val="0"/>
        <w:spacing w:line="360" w:lineRule="auto"/>
        <w:ind w:firstLine="422" w:firstLineChars="200"/>
        <w:rPr>
          <w:rFonts w:hint="eastAsia" w:ascii="宋体" w:hAnsi="宋体" w:eastAsia="宋体" w:cs="宋体"/>
          <w:b w:val="0"/>
          <w:color w:val="auto"/>
          <w:sz w:val="21"/>
          <w:szCs w:val="21"/>
          <w:highlight w:val="none"/>
          <w:u w:val="single"/>
        </w:rPr>
      </w:pPr>
      <w:r>
        <w:rPr>
          <w:rFonts w:hint="eastAsia" w:ascii="宋体" w:hAnsi="宋体" w:eastAsia="宋体" w:cs="宋体"/>
          <w:b/>
          <w:bCs/>
          <w:color w:val="auto"/>
          <w:sz w:val="21"/>
          <w:szCs w:val="21"/>
          <w:highlight w:val="none"/>
          <w:u w:val="single"/>
          <w:lang w:val="en-US" w:eastAsia="zh-CN"/>
        </w:rPr>
        <w:t>35.1</w:t>
      </w:r>
      <w:r>
        <w:rPr>
          <w:rFonts w:hint="eastAsia" w:ascii="宋体" w:hAnsi="宋体" w:cs="宋体"/>
          <w:b/>
          <w:bCs/>
          <w:color w:val="auto"/>
          <w:sz w:val="21"/>
          <w:szCs w:val="21"/>
          <w:highlight w:val="none"/>
          <w:u w:val="single"/>
          <w:lang w:val="en-US" w:eastAsia="zh-CN"/>
        </w:rPr>
        <w:t>1</w:t>
      </w:r>
      <w:r>
        <w:rPr>
          <w:rFonts w:hint="eastAsia" w:ascii="宋体" w:hAnsi="宋体" w:eastAsia="宋体" w:cs="宋体"/>
          <w:b w:val="0"/>
          <w:bCs w:val="0"/>
          <w:color w:val="auto"/>
          <w:sz w:val="21"/>
          <w:szCs w:val="21"/>
          <w:highlight w:val="none"/>
          <w:u w:val="single"/>
          <w:lang w:val="en-US" w:eastAsia="zh-CN"/>
        </w:rPr>
        <w:t>本项目招标文件。</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bCs/>
          <w:color w:val="auto"/>
          <w:sz w:val="21"/>
          <w:szCs w:val="21"/>
          <w:highlight w:val="none"/>
        </w:rPr>
        <w:t>36.3</w:t>
      </w:r>
      <w:r>
        <w:rPr>
          <w:rFonts w:hint="eastAsia" w:ascii="宋体" w:hAnsi="宋体" w:eastAsia="宋体" w:cs="宋体"/>
          <w:b/>
          <w:color w:val="auto"/>
          <w:sz w:val="21"/>
          <w:szCs w:val="21"/>
          <w:highlight w:val="none"/>
        </w:rPr>
        <w:t xml:space="preserve">              修改类型：删除</w:t>
      </w:r>
    </w:p>
    <w:p>
      <w:pPr>
        <w:keepNext w:val="0"/>
        <w:keepLines w:val="0"/>
        <w:pageBreakBefore w:val="0"/>
        <w:pBdr>
          <w:bottom w:val="single" w:color="auto" w:sz="6" w:space="0"/>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原文</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36.3</w:t>
      </w:r>
      <w:r>
        <w:rPr>
          <w:rFonts w:hint="eastAsia" w:ascii="宋体" w:hAnsi="宋体"/>
          <w:color w:val="auto"/>
          <w:sz w:val="21"/>
          <w:szCs w:val="21"/>
          <w:highlight w:val="none"/>
        </w:rPr>
        <w:t>根据投标须知前附表第19项，如需抽取某一种评标办法供评标时使用的，</w:t>
      </w:r>
      <w:r>
        <w:rPr>
          <w:rFonts w:hint="eastAsia" w:ascii="宋体" w:hAnsi="宋体"/>
          <w:color w:val="auto"/>
          <w:sz w:val="21"/>
          <w:szCs w:val="21"/>
          <w:highlight w:val="none"/>
          <w:lang w:val="en-US" w:eastAsia="zh-CN"/>
        </w:rPr>
        <w:t>可</w:t>
      </w:r>
      <w:r>
        <w:rPr>
          <w:rFonts w:hint="eastAsia" w:ascii="宋体" w:hAnsi="宋体"/>
          <w:color w:val="auto"/>
          <w:sz w:val="21"/>
          <w:szCs w:val="21"/>
          <w:highlight w:val="none"/>
        </w:rPr>
        <w:t>在开标</w:t>
      </w:r>
      <w:r>
        <w:rPr>
          <w:rFonts w:hint="eastAsia" w:ascii="宋体" w:hAnsi="宋体"/>
          <w:color w:val="auto"/>
          <w:sz w:val="21"/>
          <w:szCs w:val="21"/>
          <w:highlight w:val="none"/>
          <w:lang w:val="en-US" w:eastAsia="zh-CN"/>
        </w:rPr>
        <w:t>时（唱标工作完成后）</w:t>
      </w:r>
      <w:r>
        <w:rPr>
          <w:rFonts w:hint="eastAsia" w:ascii="宋体" w:hAnsi="宋体"/>
          <w:color w:val="auto"/>
          <w:sz w:val="21"/>
          <w:szCs w:val="21"/>
          <w:highlight w:val="none"/>
        </w:rPr>
        <w:t>抽取。首先对招标文件中约定的若干种评标方法进行编号，再随机抽取某一编号，该编号所对应的评标办法供评标时使用</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条款号：36.</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 xml:space="preserve">              修改类型：修改</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原文</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36.</w:t>
      </w:r>
      <w:r>
        <w:rPr>
          <w:rFonts w:hint="eastAsia" w:ascii="宋体" w:hAnsi="宋体" w:eastAsia="宋体" w:cs="宋体"/>
          <w:b/>
          <w:bCs/>
          <w:color w:val="auto"/>
          <w:sz w:val="21"/>
          <w:szCs w:val="21"/>
          <w:highlight w:val="none"/>
          <w:lang w:val="en-US" w:eastAsia="zh-CN"/>
        </w:rPr>
        <w:t>4</w:t>
      </w:r>
      <w:r>
        <w:rPr>
          <w:rFonts w:hint="eastAsia" w:ascii="宋体" w:hAnsi="宋体"/>
          <w:color w:val="auto"/>
          <w:sz w:val="21"/>
          <w:szCs w:val="21"/>
          <w:highlight w:val="none"/>
        </w:rPr>
        <w:t>若递交投标文件的投标人不足3家，则重新组织招标。（当</w:t>
      </w:r>
      <w:r>
        <w:rPr>
          <w:rFonts w:ascii="宋体" w:hAnsi="宋体"/>
          <w:color w:val="auto"/>
          <w:sz w:val="21"/>
          <w:szCs w:val="21"/>
          <w:highlight w:val="none"/>
        </w:rPr>
        <w:t>N</w:t>
      </w:r>
      <w:r>
        <w:rPr>
          <w:rFonts w:hint="eastAsia" w:ascii="宋体" w:hAnsi="宋体"/>
          <w:color w:val="auto"/>
          <w:sz w:val="21"/>
          <w:szCs w:val="21"/>
          <w:highlight w:val="none"/>
        </w:rPr>
        <w:t>个标段同时招标且不允许兼中时，若有效投标人不足</w:t>
      </w:r>
      <w:r>
        <w:rPr>
          <w:rFonts w:ascii="宋体" w:hAnsi="宋体"/>
          <w:color w:val="auto"/>
          <w:sz w:val="21"/>
          <w:szCs w:val="21"/>
          <w:highlight w:val="none"/>
        </w:rPr>
        <w:t>N+</w:t>
      </w:r>
      <w:r>
        <w:rPr>
          <w:rFonts w:hint="eastAsia" w:ascii="宋体" w:hAnsi="宋体"/>
          <w:color w:val="auto"/>
          <w:sz w:val="21"/>
          <w:szCs w:val="21"/>
          <w:highlight w:val="none"/>
        </w:rPr>
        <w:t>2家，则重新组织招标）</w:t>
      </w:r>
      <w:r>
        <w:rPr>
          <w:rFonts w:hint="eastAsia" w:ascii="宋体" w:hAnsi="宋体"/>
          <w:color w:val="auto"/>
          <w:sz w:val="21"/>
          <w:szCs w:val="21"/>
          <w:highlight w:val="none"/>
          <w:lang w:eastAsia="zh-CN"/>
        </w:rPr>
        <w:t>。</w:t>
      </w:r>
    </w:p>
    <w:p>
      <w:pPr>
        <w:keepNext w:val="0"/>
        <w:keepLines w:val="0"/>
        <w:pageBreakBefore w:val="0"/>
        <w:pBdr>
          <w:bottom w:val="single" w:color="auto" w:sz="6" w:space="0"/>
        </w:pBdr>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现文：36.</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color w:val="auto"/>
          <w:sz w:val="21"/>
          <w:szCs w:val="21"/>
          <w:highlight w:val="none"/>
          <w:u w:val="single"/>
        </w:rPr>
        <w:t>若递交投标文件的投标人不足3家，则重新组织招标。</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bCs/>
          <w:color w:val="auto"/>
          <w:sz w:val="21"/>
          <w:szCs w:val="21"/>
          <w:highlight w:val="none"/>
        </w:rPr>
        <w:t>36.5.1</w:t>
      </w:r>
      <w:r>
        <w:rPr>
          <w:rFonts w:hint="eastAsia" w:ascii="宋体" w:hAnsi="宋体" w:eastAsia="宋体" w:cs="宋体"/>
          <w:b/>
          <w:color w:val="auto"/>
          <w:sz w:val="21"/>
          <w:szCs w:val="21"/>
          <w:highlight w:val="none"/>
        </w:rPr>
        <w:t xml:space="preserve">            修改类型：修改</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color w:val="auto"/>
          <w:sz w:val="21"/>
          <w:szCs w:val="21"/>
          <w:highlight w:val="none"/>
        </w:rPr>
        <w:t>36.5.1</w:t>
      </w:r>
      <w:r>
        <w:rPr>
          <w:rFonts w:hint="eastAsia" w:ascii="宋体" w:hAnsi="宋体" w:eastAsia="宋体" w:cs="宋体"/>
          <w:b w:val="0"/>
          <w:bCs w:val="0"/>
          <w:color w:val="auto"/>
          <w:sz w:val="21"/>
          <w:szCs w:val="21"/>
          <w:highlight w:val="none"/>
        </w:rPr>
        <w:t>在投标截止时间后1小时内，投标人通过交易平台对已递交的电子投标文件进行解密。投标人完成解密后，再由招标人进行解密。解密完成后，公布招标项目名称、投标人名称、投标保证金的递交情况、投标报价、工期及其他内容；</w:t>
      </w:r>
    </w:p>
    <w:p>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rPr>
        <w:t>36.5.1</w:t>
      </w:r>
      <w:r>
        <w:rPr>
          <w:rFonts w:hint="eastAsia" w:ascii="宋体" w:hAnsi="宋体" w:eastAsia="宋体" w:cs="宋体"/>
          <w:color w:val="auto"/>
          <w:sz w:val="21"/>
          <w:szCs w:val="21"/>
          <w:highlight w:val="none"/>
        </w:rPr>
        <w:t>在投标截止时间后</w:t>
      </w:r>
      <w:r>
        <w:rPr>
          <w:rFonts w:hint="eastAsia" w:ascii="宋体" w:hAnsi="宋体" w:eastAsia="宋体" w:cs="宋体"/>
          <w:b w:val="0"/>
          <w:bCs w:val="0"/>
          <w:color w:val="auto"/>
          <w:sz w:val="21"/>
          <w:szCs w:val="21"/>
          <w:highlight w:val="none"/>
        </w:rPr>
        <w:t>1小时内</w:t>
      </w:r>
      <w:r>
        <w:rPr>
          <w:rFonts w:hint="eastAsia" w:ascii="宋体" w:hAnsi="宋体" w:eastAsia="宋体" w:cs="宋体"/>
          <w:color w:val="auto"/>
          <w:sz w:val="21"/>
          <w:szCs w:val="21"/>
          <w:highlight w:val="none"/>
        </w:rPr>
        <w:t>，投标人通过</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rPr>
        <w:t>交易平台对已递交的电子投标文件进行解密。投标人完成解密后，再由招标人</w:t>
      </w:r>
      <w:r>
        <w:rPr>
          <w:rFonts w:hint="eastAsia" w:ascii="宋体" w:hAnsi="宋体" w:eastAsia="宋体" w:cs="宋体"/>
          <w:color w:val="auto"/>
          <w:sz w:val="21"/>
          <w:szCs w:val="21"/>
          <w:highlight w:val="none"/>
          <w:u w:val="single"/>
        </w:rPr>
        <w:t>或招标代理</w:t>
      </w:r>
      <w:r>
        <w:rPr>
          <w:rFonts w:hint="eastAsia" w:ascii="宋体" w:hAnsi="宋体" w:cs="宋体"/>
          <w:color w:val="auto"/>
          <w:sz w:val="21"/>
          <w:szCs w:val="21"/>
          <w:highlight w:val="none"/>
          <w:u w:val="single"/>
          <w:lang w:eastAsia="zh-CN"/>
        </w:rPr>
        <w:t>机构</w:t>
      </w:r>
      <w:r>
        <w:rPr>
          <w:rFonts w:hint="eastAsia" w:ascii="宋体" w:hAnsi="宋体" w:eastAsia="宋体" w:cs="宋体"/>
          <w:color w:val="auto"/>
          <w:sz w:val="21"/>
          <w:szCs w:val="21"/>
          <w:highlight w:val="none"/>
        </w:rPr>
        <w:t>进行解密。解密完成后，公布招标项目名称、投标人名称、投标保证金的递交情况、投标报价、工期及其他内容；</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bCs/>
          <w:color w:val="auto"/>
          <w:sz w:val="21"/>
          <w:szCs w:val="21"/>
          <w:highlight w:val="none"/>
        </w:rPr>
        <w:t>36.5.3</w:t>
      </w:r>
      <w:r>
        <w:rPr>
          <w:rFonts w:hint="eastAsia" w:ascii="宋体" w:hAnsi="宋体" w:eastAsia="宋体" w:cs="宋体"/>
          <w:b/>
          <w:color w:val="auto"/>
          <w:sz w:val="21"/>
          <w:szCs w:val="21"/>
          <w:highlight w:val="none"/>
        </w:rPr>
        <w:t xml:space="preserve">            修改类型：修改</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color w:val="auto"/>
          <w:sz w:val="21"/>
          <w:szCs w:val="21"/>
          <w:highlight w:val="none"/>
        </w:rPr>
        <w:t>36.5.3</w:t>
      </w:r>
      <w:r>
        <w:rPr>
          <w:rFonts w:hint="eastAsia" w:ascii="宋体" w:hAnsi="宋体"/>
          <w:color w:val="auto"/>
          <w:sz w:val="21"/>
          <w:szCs w:val="21"/>
          <w:highlight w:val="none"/>
        </w:rPr>
        <w:t>投标人代表、招标人代表、监标人、记录人等有关人员在开标记录上签字确认；若有关人员不签字的，不影响开标程序</w:t>
      </w:r>
      <w:r>
        <w:rPr>
          <w:rFonts w:hint="eastAsia" w:ascii="宋体" w:hAnsi="宋体" w:eastAsia="宋体" w:cs="宋体"/>
          <w:color w:val="auto"/>
          <w:sz w:val="21"/>
          <w:szCs w:val="21"/>
          <w:highlight w:val="none"/>
        </w:rPr>
        <w:t>；</w:t>
      </w:r>
    </w:p>
    <w:p>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rPr>
        <w:t>36.5.3</w:t>
      </w:r>
      <w:r>
        <w:rPr>
          <w:rFonts w:hint="eastAsia" w:ascii="宋体" w:hAnsi="宋体"/>
          <w:color w:val="auto"/>
          <w:sz w:val="21"/>
          <w:szCs w:val="21"/>
          <w:highlight w:val="none"/>
        </w:rPr>
        <w:t>投标人代表、招标人代表、监标人、记录人等有关人员在开标记录上签字确认；若有关人员不签字的，不影响开标程序</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若投标人不参加开标会的，或不签字确认的，视同该投标人认可开标结果；</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条款号：3</w:t>
      </w:r>
      <w:r>
        <w:rPr>
          <w:rFonts w:hint="eastAsia" w:ascii="宋体" w:hAnsi="宋体" w:eastAsia="宋体" w:cs="宋体"/>
          <w:b/>
          <w:color w:val="auto"/>
          <w:sz w:val="21"/>
          <w:szCs w:val="21"/>
          <w:highlight w:val="none"/>
          <w:lang w:val="en-US" w:eastAsia="zh-CN"/>
        </w:rPr>
        <w:t>7.1.1</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eastAsia="zh-CN"/>
        </w:rPr>
        <w:t>增加</w:t>
      </w:r>
    </w:p>
    <w:p>
      <w:pPr>
        <w:keepNext w:val="0"/>
        <w:keepLines w:val="0"/>
        <w:pageBreakBefore w:val="0"/>
        <w:pBdr>
          <w:bottom w:val="single" w:color="auto" w:sz="4"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b/>
          <w:color w:val="auto"/>
          <w:sz w:val="21"/>
          <w:szCs w:val="21"/>
          <w:highlight w:val="none"/>
          <w:u w:val="single"/>
        </w:rPr>
        <w:t>现文：</w:t>
      </w:r>
      <w:r>
        <w:rPr>
          <w:rFonts w:hint="eastAsia" w:ascii="宋体" w:hAnsi="宋体" w:eastAsia="宋体" w:cs="宋体"/>
          <w:b/>
          <w:bCs/>
          <w:color w:val="auto"/>
          <w:sz w:val="21"/>
          <w:szCs w:val="21"/>
          <w:highlight w:val="none"/>
          <w:u w:val="single"/>
          <w:lang w:val="en-US" w:eastAsia="zh-CN"/>
        </w:rPr>
        <w:t>37.1.1</w:t>
      </w:r>
      <w:r>
        <w:rPr>
          <w:rFonts w:hint="eastAsia" w:ascii="宋体" w:hAnsi="宋体" w:eastAsia="宋体" w:cs="宋体"/>
          <w:b w:val="0"/>
          <w:bCs w:val="0"/>
          <w:color w:val="auto"/>
          <w:sz w:val="21"/>
          <w:szCs w:val="21"/>
          <w:highlight w:val="none"/>
          <w:u w:val="single"/>
          <w:lang w:val="en-US" w:eastAsia="zh-CN"/>
        </w:rPr>
        <w:t>评标委员会在开始评标前，应了解评标专家的职责及守则，认真阅读招标公告附件二《评标委员会成员声明》的内容并签名，签字后方可进行评标</w:t>
      </w:r>
      <w:r>
        <w:rPr>
          <w:rFonts w:hint="eastAsia" w:ascii="宋体" w:hAnsi="宋体" w:eastAsia="宋体" w:cs="宋体"/>
          <w:color w:val="auto"/>
          <w:sz w:val="21"/>
          <w:szCs w:val="21"/>
          <w:highlight w:val="none"/>
          <w:u w:val="single"/>
          <w:lang w:val="en-US" w:eastAsia="zh-CN"/>
        </w:rPr>
        <w:t>。</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条款号：3</w:t>
      </w:r>
      <w:r>
        <w:rPr>
          <w:rFonts w:hint="eastAsia" w:ascii="宋体" w:hAnsi="宋体" w:eastAsia="宋体" w:cs="宋体"/>
          <w:b/>
          <w:color w:val="auto"/>
          <w:sz w:val="21"/>
          <w:szCs w:val="21"/>
          <w:highlight w:val="none"/>
          <w:lang w:val="en-US" w:eastAsia="zh-CN"/>
        </w:rPr>
        <w:t>7.3.2</w:t>
      </w:r>
      <w:r>
        <w:rPr>
          <w:rFonts w:hint="eastAsia" w:ascii="宋体" w:hAnsi="宋体" w:eastAsia="宋体" w:cs="宋体"/>
          <w:b/>
          <w:color w:val="auto"/>
          <w:sz w:val="21"/>
          <w:szCs w:val="21"/>
          <w:highlight w:val="none"/>
        </w:rPr>
        <w:t xml:space="preserve">             修改类型：修改</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val="0"/>
          <w:bCs/>
          <w:color w:val="auto"/>
          <w:sz w:val="21"/>
          <w:szCs w:val="21"/>
          <w:highlight w:val="none"/>
        </w:rPr>
      </w:pPr>
      <w:r>
        <w:rPr>
          <w:rFonts w:hint="eastAsia" w:ascii="宋体" w:hAnsi="宋体" w:eastAsia="宋体" w:cs="宋体"/>
          <w:b/>
          <w:color w:val="auto"/>
          <w:sz w:val="21"/>
          <w:szCs w:val="21"/>
          <w:highlight w:val="none"/>
        </w:rPr>
        <w:t>原文：37.3</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val="0"/>
          <w:bCs/>
          <w:color w:val="auto"/>
          <w:sz w:val="21"/>
          <w:szCs w:val="21"/>
          <w:highlight w:val="none"/>
        </w:rPr>
        <w:t>向招标人报告评审意见，推荐合格的中标候选人。</w:t>
      </w:r>
    </w:p>
    <w:p>
      <w:pPr>
        <w:keepNext w:val="0"/>
        <w:keepLines w:val="0"/>
        <w:pageBreakBefore w:val="0"/>
        <w:pBdr>
          <w:bottom w:val="single" w:color="auto" w:sz="4"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lang w:val="en-US" w:eastAsia="zh-CN"/>
        </w:rPr>
        <w:t>37.3.2</w:t>
      </w:r>
      <w:r>
        <w:rPr>
          <w:rFonts w:hint="eastAsia" w:ascii="宋体" w:hAnsi="宋体" w:cs="宋体"/>
          <w:bCs/>
          <w:color w:val="auto"/>
          <w:szCs w:val="21"/>
          <w:highlight w:val="none"/>
        </w:rPr>
        <w:t>向招标人</w:t>
      </w:r>
      <w:r>
        <w:rPr>
          <w:rFonts w:hint="eastAsia" w:ascii="宋体" w:hAnsi="宋体" w:cs="宋体"/>
          <w:bCs/>
          <w:color w:val="auto"/>
          <w:szCs w:val="21"/>
          <w:highlight w:val="none"/>
          <w:u w:val="single"/>
        </w:rPr>
        <w:t>推荐进入定标阶段的</w:t>
      </w:r>
      <w:r>
        <w:rPr>
          <w:rFonts w:hint="eastAsia" w:ascii="宋体" w:hAnsi="宋体" w:cs="宋体"/>
          <w:bCs/>
          <w:color w:val="auto"/>
          <w:szCs w:val="21"/>
          <w:highlight w:val="none"/>
          <w:u w:val="single"/>
          <w:lang w:val="en-US" w:eastAsia="zh-CN"/>
        </w:rPr>
        <w:t>20</w:t>
      </w:r>
      <w:r>
        <w:rPr>
          <w:rFonts w:hint="eastAsia" w:ascii="宋体" w:hAnsi="宋体" w:cs="宋体"/>
          <w:bCs/>
          <w:color w:val="auto"/>
          <w:szCs w:val="21"/>
          <w:highlight w:val="none"/>
          <w:u w:val="single"/>
        </w:rPr>
        <w:t>名不排序</w:t>
      </w:r>
      <w:r>
        <w:rPr>
          <w:rFonts w:hint="eastAsia" w:ascii="宋体" w:hAnsi="宋体" w:cs="宋体"/>
          <w:bCs/>
          <w:color w:val="auto"/>
          <w:szCs w:val="21"/>
          <w:highlight w:val="none"/>
          <w:u w:val="single"/>
          <w:lang w:val="en-US" w:eastAsia="zh-CN"/>
        </w:rPr>
        <w:t>的</w:t>
      </w:r>
      <w:r>
        <w:rPr>
          <w:rFonts w:hint="eastAsia" w:ascii="宋体" w:hAnsi="宋体" w:eastAsia="宋体" w:cs="宋体"/>
          <w:color w:val="auto"/>
          <w:sz w:val="21"/>
          <w:szCs w:val="21"/>
          <w:highlight w:val="none"/>
          <w:u w:val="single"/>
          <w:lang w:val="en-US" w:eastAsia="zh-CN"/>
        </w:rPr>
        <w:t>合格中标候选人</w:t>
      </w:r>
      <w:r>
        <w:rPr>
          <w:rFonts w:hint="eastAsia" w:ascii="宋体" w:hAnsi="宋体" w:cs="宋体"/>
          <w:color w:val="auto"/>
          <w:szCs w:val="21"/>
          <w:highlight w:val="none"/>
          <w:u w:val="single"/>
        </w:rPr>
        <w:t>【</w:t>
      </w:r>
      <w:r>
        <w:rPr>
          <w:rFonts w:hint="eastAsia" w:ascii="宋体" w:hAnsi="宋体" w:eastAsia="宋体" w:cs="宋体"/>
          <w:color w:val="auto"/>
          <w:sz w:val="21"/>
          <w:szCs w:val="21"/>
          <w:highlight w:val="none"/>
          <w:u w:val="single"/>
          <w:lang w:eastAsia="zh-CN"/>
        </w:rPr>
        <w:t>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cs="宋体"/>
          <w:color w:val="auto"/>
          <w:szCs w:val="21"/>
          <w:highlight w:val="none"/>
          <w:u w:val="single"/>
        </w:rPr>
        <w:t>】</w:t>
      </w:r>
      <w:r>
        <w:rPr>
          <w:rFonts w:hint="eastAsia" w:ascii="宋体" w:hAnsi="宋体" w:cs="宋体"/>
          <w:bCs/>
          <w:color w:val="auto"/>
          <w:szCs w:val="21"/>
          <w:highlight w:val="none"/>
          <w:u w:val="single"/>
        </w:rPr>
        <w:t>（若符合招标文件要求的合格投标人大于等于3家，小于等于</w:t>
      </w:r>
      <w:r>
        <w:rPr>
          <w:rFonts w:hint="eastAsia" w:ascii="宋体" w:hAnsi="宋体" w:cs="宋体"/>
          <w:bCs/>
          <w:color w:val="auto"/>
          <w:szCs w:val="21"/>
          <w:highlight w:val="none"/>
          <w:u w:val="single"/>
          <w:lang w:val="en-US" w:eastAsia="zh-CN"/>
        </w:rPr>
        <w:t>20</w:t>
      </w:r>
      <w:r>
        <w:rPr>
          <w:rFonts w:hint="eastAsia" w:ascii="宋体" w:hAnsi="宋体" w:cs="宋体"/>
          <w:bCs/>
          <w:color w:val="auto"/>
          <w:szCs w:val="21"/>
          <w:highlight w:val="none"/>
          <w:u w:val="single"/>
        </w:rPr>
        <w:t>家的，则全部符合招标文件要求的合格投标人进入定标阶段），并递交资格审查报告和评标报告</w:t>
      </w:r>
      <w:r>
        <w:rPr>
          <w:rFonts w:hint="eastAsia" w:ascii="宋体" w:hAnsi="宋体" w:eastAsia="宋体" w:cs="宋体"/>
          <w:color w:val="auto"/>
          <w:sz w:val="21"/>
          <w:szCs w:val="21"/>
          <w:highlight w:val="none"/>
          <w:u w:val="single"/>
          <w:lang w:val="en-US" w:eastAsia="zh-CN"/>
        </w:rPr>
        <w:t>。</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条款号：3</w:t>
      </w:r>
      <w:r>
        <w:rPr>
          <w:rFonts w:hint="eastAsia" w:ascii="宋体" w:hAnsi="宋体" w:eastAsia="宋体" w:cs="宋体"/>
          <w:b/>
          <w:color w:val="auto"/>
          <w:sz w:val="21"/>
          <w:szCs w:val="21"/>
          <w:highlight w:val="none"/>
          <w:lang w:val="en-US" w:eastAsia="zh-CN"/>
        </w:rPr>
        <w:t>7.6</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修改类型：修改</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val="0"/>
          <w:bCs/>
          <w:color w:val="auto"/>
          <w:sz w:val="21"/>
          <w:szCs w:val="21"/>
          <w:highlight w:val="none"/>
        </w:rPr>
      </w:pPr>
      <w:r>
        <w:rPr>
          <w:rFonts w:hint="eastAsia" w:ascii="宋体" w:hAnsi="宋体" w:eastAsia="宋体" w:cs="宋体"/>
          <w:b/>
          <w:color w:val="auto"/>
          <w:sz w:val="21"/>
          <w:szCs w:val="21"/>
          <w:highlight w:val="none"/>
        </w:rPr>
        <w:t>原文：37.</w:t>
      </w:r>
      <w:r>
        <w:rPr>
          <w:rFonts w:hint="eastAsia" w:ascii="宋体" w:hAnsi="宋体" w:eastAsia="宋体" w:cs="宋体"/>
          <w:b/>
          <w:color w:val="auto"/>
          <w:sz w:val="21"/>
          <w:szCs w:val="21"/>
          <w:highlight w:val="none"/>
          <w:lang w:val="en-US" w:eastAsia="zh-CN"/>
        </w:rPr>
        <w:t>6</w:t>
      </w:r>
      <w:r>
        <w:rPr>
          <w:rFonts w:hint="eastAsia" w:ascii="宋体" w:hAnsi="宋体" w:eastAsia="宋体" w:cs="宋体"/>
          <w:b w:val="0"/>
          <w:bCs/>
          <w:color w:val="auto"/>
          <w:sz w:val="21"/>
          <w:szCs w:val="21"/>
          <w:highlight w:val="none"/>
          <w:lang w:val="en-US" w:eastAsia="zh-CN"/>
        </w:rPr>
        <w:t>评标结束后，评标委员会递交评标报告并依法推荐中标候选人</w:t>
      </w:r>
      <w:r>
        <w:rPr>
          <w:rFonts w:hint="eastAsia" w:ascii="宋体" w:hAnsi="宋体" w:eastAsia="宋体" w:cs="宋体"/>
          <w:b w:val="0"/>
          <w:bCs/>
          <w:color w:val="auto"/>
          <w:sz w:val="21"/>
          <w:szCs w:val="21"/>
          <w:highlight w:val="none"/>
        </w:rPr>
        <w:t>。</w:t>
      </w:r>
    </w:p>
    <w:p>
      <w:pPr>
        <w:keepNext w:val="0"/>
        <w:keepLines w:val="0"/>
        <w:pageBreakBefore w:val="0"/>
        <w:pBdr>
          <w:bottom w:val="single" w:color="auto" w:sz="4"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lang w:val="en-US" w:eastAsia="zh-CN"/>
        </w:rPr>
        <w:t>37.6</w:t>
      </w:r>
      <w:r>
        <w:rPr>
          <w:rFonts w:hint="eastAsia" w:ascii="宋体" w:hAnsi="宋体" w:eastAsia="宋体" w:cs="宋体"/>
          <w:color w:val="auto"/>
          <w:sz w:val="21"/>
          <w:szCs w:val="21"/>
          <w:highlight w:val="none"/>
          <w:lang w:val="en-US" w:eastAsia="zh-CN"/>
        </w:rPr>
        <w:t>评标结束后，</w:t>
      </w:r>
      <w:r>
        <w:rPr>
          <w:rFonts w:hint="eastAsia" w:ascii="宋体" w:hAnsi="宋体" w:eastAsia="宋体" w:cs="宋体"/>
          <w:color w:val="auto"/>
          <w:sz w:val="21"/>
          <w:szCs w:val="21"/>
          <w:highlight w:val="none"/>
          <w:u w:val="single"/>
          <w:lang w:val="en-US" w:eastAsia="zh-CN"/>
        </w:rPr>
        <w:t>评标委员会递交资格审查报告和评标报告并依法推荐进入定标阶段的</w:t>
      </w:r>
      <w:r>
        <w:rPr>
          <w:rFonts w:hint="eastAsia" w:ascii="宋体" w:hAnsi="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lang w:val="en-US" w:eastAsia="zh-CN"/>
        </w:rPr>
        <w:t>名不排序的合格中标候选人【</w:t>
      </w:r>
      <w:r>
        <w:rPr>
          <w:rFonts w:hint="eastAsia" w:ascii="宋体" w:hAnsi="宋体" w:eastAsia="宋体" w:cs="宋体"/>
          <w:color w:val="auto"/>
          <w:sz w:val="21"/>
          <w:szCs w:val="21"/>
          <w:highlight w:val="none"/>
          <w:u w:val="single"/>
          <w:lang w:eastAsia="zh-CN"/>
        </w:rPr>
        <w:t>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eastAsia="宋体" w:cs="宋体"/>
          <w:color w:val="auto"/>
          <w:sz w:val="21"/>
          <w:szCs w:val="21"/>
          <w:highlight w:val="none"/>
          <w:u w:val="single"/>
          <w:lang w:val="en-US" w:eastAsia="zh-CN"/>
        </w:rPr>
        <w:t>】（若符合招标文件要求的合格投标人大于等于3家，小于等于</w:t>
      </w:r>
      <w:r>
        <w:rPr>
          <w:rFonts w:hint="eastAsia" w:ascii="宋体" w:hAnsi="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lang w:val="en-US" w:eastAsia="zh-CN"/>
        </w:rPr>
        <w:t>家的，则全部符合招标文件要求的合格投标人进入定标阶段）。</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条款号：38.1              修改类型：修改</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color w:val="auto"/>
          <w:sz w:val="21"/>
          <w:szCs w:val="21"/>
          <w:highlight w:val="none"/>
        </w:rPr>
        <w:t>38.1</w:t>
      </w:r>
      <w:r>
        <w:rPr>
          <w:rFonts w:hint="eastAsia" w:ascii="宋体" w:hAnsi="宋体"/>
          <w:color w:val="auto"/>
          <w:sz w:val="21"/>
          <w:szCs w:val="21"/>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Pr>
          <w:rFonts w:hint="eastAsia" w:ascii="宋体" w:hAnsi="宋体"/>
          <w:color w:val="auto"/>
          <w:sz w:val="21"/>
          <w:szCs w:val="21"/>
          <w:highlight w:val="none"/>
          <w:lang w:eastAsia="zh-CN"/>
        </w:rPr>
        <w:t>、对同类问题表述不一致，有明显</w:t>
      </w:r>
      <w:r>
        <w:rPr>
          <w:rFonts w:hint="eastAsia" w:ascii="宋体" w:hAnsi="宋体"/>
          <w:color w:val="auto"/>
          <w:sz w:val="21"/>
          <w:szCs w:val="21"/>
          <w:highlight w:val="none"/>
          <w:lang w:val="en-US" w:eastAsia="zh-CN"/>
        </w:rPr>
        <w:t>格式或</w:t>
      </w:r>
      <w:r>
        <w:rPr>
          <w:rFonts w:hint="eastAsia" w:ascii="宋体" w:hAnsi="宋体"/>
          <w:color w:val="auto"/>
          <w:sz w:val="21"/>
          <w:szCs w:val="21"/>
          <w:highlight w:val="none"/>
          <w:lang w:eastAsia="zh-CN"/>
        </w:rPr>
        <w:t>文字、计算错误</w:t>
      </w:r>
      <w:r>
        <w:rPr>
          <w:rFonts w:hint="eastAsia" w:ascii="宋体" w:hAnsi="宋体"/>
          <w:color w:val="auto"/>
          <w:sz w:val="21"/>
          <w:szCs w:val="21"/>
          <w:highlight w:val="none"/>
        </w:rPr>
        <w:t>的内容作出澄清</w:t>
      </w:r>
      <w:r>
        <w:rPr>
          <w:rFonts w:hint="eastAsia" w:ascii="宋体" w:hAnsi="宋体" w:eastAsia="宋体" w:cs="宋体"/>
          <w:color w:val="auto"/>
          <w:sz w:val="21"/>
          <w:szCs w:val="21"/>
          <w:highlight w:val="none"/>
        </w:rPr>
        <w:t>。</w:t>
      </w:r>
    </w:p>
    <w:p>
      <w:pPr>
        <w:keepNext w:val="0"/>
        <w:keepLines w:val="0"/>
        <w:pageBreakBefore w:val="0"/>
        <w:pBdr>
          <w:bottom w:val="single" w:color="auto" w:sz="4"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rPr>
        <w:t>38.1</w:t>
      </w:r>
      <w:r>
        <w:rPr>
          <w:rFonts w:hint="eastAsia" w:ascii="宋体" w:hAnsi="宋体"/>
          <w:color w:val="auto"/>
          <w:sz w:val="21"/>
          <w:szCs w:val="21"/>
          <w:highlight w:val="none"/>
        </w:rPr>
        <w:t>为有助于投标文件的审查、评价和比较，评标期间，经</w:t>
      </w:r>
      <w:r>
        <w:rPr>
          <w:rFonts w:hint="eastAsia" w:ascii="宋体" w:hAnsi="宋体" w:cs="宋体"/>
          <w:color w:val="auto"/>
          <w:szCs w:val="21"/>
          <w:highlight w:val="none"/>
          <w:u w:val="single"/>
        </w:rPr>
        <w:t>综合评标委员会</w:t>
      </w:r>
      <w:r>
        <w:rPr>
          <w:rFonts w:hint="eastAsia" w:ascii="宋体" w:hAnsi="宋体"/>
          <w:color w:val="auto"/>
          <w:sz w:val="21"/>
          <w:szCs w:val="21"/>
          <w:highlight w:val="none"/>
        </w:rPr>
        <w:t>中两人以上（含两人）以书面形式提出动议，评标委员会或评标委员会专业评审组应当书面发出澄清通知，要求投标人对投标文件含义不明确</w:t>
      </w:r>
      <w:r>
        <w:rPr>
          <w:rFonts w:hint="eastAsia" w:ascii="宋体" w:hAnsi="宋体"/>
          <w:color w:val="auto"/>
          <w:sz w:val="21"/>
          <w:szCs w:val="21"/>
          <w:highlight w:val="none"/>
          <w:lang w:eastAsia="zh-CN"/>
        </w:rPr>
        <w:t>、对同类问题表述不一致，有明显</w:t>
      </w:r>
      <w:r>
        <w:rPr>
          <w:rFonts w:hint="eastAsia" w:ascii="宋体" w:hAnsi="宋体"/>
          <w:color w:val="auto"/>
          <w:sz w:val="21"/>
          <w:szCs w:val="21"/>
          <w:highlight w:val="none"/>
          <w:lang w:val="en-US" w:eastAsia="zh-CN"/>
        </w:rPr>
        <w:t>格式或</w:t>
      </w:r>
      <w:r>
        <w:rPr>
          <w:rFonts w:hint="eastAsia" w:ascii="宋体" w:hAnsi="宋体"/>
          <w:color w:val="auto"/>
          <w:sz w:val="21"/>
          <w:szCs w:val="21"/>
          <w:highlight w:val="none"/>
          <w:lang w:eastAsia="zh-CN"/>
        </w:rPr>
        <w:t>文字、计算错误</w:t>
      </w:r>
      <w:r>
        <w:rPr>
          <w:rFonts w:hint="eastAsia" w:ascii="宋体" w:hAnsi="宋体"/>
          <w:color w:val="auto"/>
          <w:sz w:val="21"/>
          <w:szCs w:val="21"/>
          <w:highlight w:val="none"/>
        </w:rPr>
        <w:t>的内容作出澄清</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条款号：</w:t>
      </w:r>
      <w:r>
        <w:rPr>
          <w:rFonts w:hint="eastAsia" w:ascii="宋体" w:hAnsi="宋体" w:eastAsia="宋体" w:cs="宋体"/>
          <w:b/>
          <w:color w:val="auto"/>
          <w:sz w:val="21"/>
          <w:szCs w:val="21"/>
          <w:highlight w:val="none"/>
        </w:rPr>
        <w:t>39</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 xml:space="preserve">  </w:t>
      </w:r>
      <w:r>
        <w:rPr>
          <w:rFonts w:hint="eastAsia" w:ascii="宋体" w:hAnsi="宋体" w:eastAsia="宋体" w:cs="宋体"/>
          <w:b/>
          <w:bCs/>
          <w:color w:val="auto"/>
          <w:sz w:val="21"/>
          <w:szCs w:val="21"/>
          <w:highlight w:val="none"/>
        </w:rPr>
        <w:t xml:space="preserve">            修改类型：</w:t>
      </w:r>
      <w:r>
        <w:rPr>
          <w:rFonts w:hint="eastAsia" w:ascii="宋体" w:hAnsi="宋体" w:cs="宋体"/>
          <w:b/>
          <w:bCs/>
          <w:color w:val="auto"/>
          <w:sz w:val="21"/>
          <w:szCs w:val="21"/>
          <w:highlight w:val="none"/>
          <w:lang w:val="en-US" w:eastAsia="zh-CN"/>
        </w:rPr>
        <w:t>删除</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原文：39．定标</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39.1</w:t>
      </w:r>
      <w:r>
        <w:rPr>
          <w:rFonts w:hint="eastAsia" w:ascii="宋体" w:hAnsi="宋体"/>
          <w:color w:val="auto"/>
          <w:sz w:val="21"/>
          <w:szCs w:val="21"/>
          <w:highlight w:val="none"/>
        </w:rPr>
        <w:t>招标人根据评标委员会递交的评标报告，最终审定中标人</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39.2</w:t>
      </w:r>
      <w:r>
        <w:rPr>
          <w:rFonts w:hint="eastAsia" w:ascii="宋体" w:hAnsi="宋体"/>
          <w:color w:val="auto"/>
          <w:sz w:val="21"/>
          <w:szCs w:val="21"/>
          <w:highlight w:val="none"/>
        </w:rPr>
        <w:t>依法必须进行公开招标的项目，招标人应当确定排名第一的中标候选人为中标人</w:t>
      </w:r>
      <w:r>
        <w:rPr>
          <w:rFonts w:hint="eastAsia" w:ascii="宋体" w:hAnsi="宋体"/>
          <w:color w:val="auto"/>
          <w:sz w:val="21"/>
          <w:szCs w:val="21"/>
          <w:highlight w:val="none"/>
          <w:lang w:eastAsia="zh-CN"/>
        </w:rPr>
        <w:t>。采用评定分离方式确定中标人的从其规定。若发现委派的项目负责人已在其他在建项目中任职，不符合任职数量规定时，招标人可以确定排名第二的中标候选人为中标人</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39.3</w:t>
      </w:r>
      <w:r>
        <w:rPr>
          <w:rFonts w:hint="eastAsia" w:ascii="宋体" w:hAnsi="宋体"/>
          <w:color w:val="auto"/>
          <w:sz w:val="21"/>
          <w:szCs w:val="21"/>
          <w:highlight w:val="none"/>
        </w:rPr>
        <w:t>排名第一的中标候选人放弃中标、或因不可抗力提出不能履行合同，或者招标文件规定应当提交履约担保而在规定的期限内未能提交的，</w:t>
      </w:r>
      <w:r>
        <w:rPr>
          <w:rFonts w:hint="eastAsia" w:ascii="宋体" w:hAnsi="宋体"/>
          <w:color w:val="auto"/>
          <w:sz w:val="21"/>
          <w:szCs w:val="21"/>
          <w:highlight w:val="none"/>
          <w:lang w:eastAsia="zh-CN"/>
        </w:rPr>
        <w:t>或经核查发现委派的项目负责人已在其他在建项目中任职，不符合任职数量规定时，</w:t>
      </w:r>
      <w:r>
        <w:rPr>
          <w:rFonts w:hint="eastAsia" w:ascii="宋体" w:hAnsi="宋体"/>
          <w:color w:val="auto"/>
          <w:sz w:val="21"/>
          <w:szCs w:val="21"/>
          <w:highlight w:val="none"/>
        </w:rPr>
        <w:t>招标人可以确定排名第二的中标候选人为中标人</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39.4</w:t>
      </w:r>
      <w:r>
        <w:rPr>
          <w:rFonts w:hint="eastAsia" w:ascii="宋体" w:hAnsi="宋体"/>
          <w:color w:val="auto"/>
          <w:sz w:val="21"/>
          <w:szCs w:val="21"/>
          <w:highlight w:val="none"/>
        </w:rPr>
        <w:t>排名第二的中标候选人出现前款所列的情形的，招标人可以确定排名第三的中标候选人为中标人。以此类推，如所有中标候选人均出现前款所列的情形，为招标失败，招标人</w:t>
      </w:r>
      <w:r>
        <w:rPr>
          <w:rFonts w:hint="eastAsia" w:ascii="宋体" w:hAnsi="宋体"/>
          <w:color w:val="auto"/>
          <w:sz w:val="21"/>
          <w:szCs w:val="21"/>
          <w:highlight w:val="none"/>
          <w:lang w:eastAsia="zh-CN"/>
        </w:rPr>
        <w:t>依法重新招标</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39.5</w:t>
      </w:r>
      <w:r>
        <w:rPr>
          <w:rFonts w:hint="eastAsia" w:ascii="宋体" w:hAnsi="宋体"/>
          <w:color w:val="auto"/>
          <w:sz w:val="21"/>
          <w:szCs w:val="21"/>
          <w:highlight w:val="none"/>
        </w:rPr>
        <w:t>重新评标的，评标信息（含业绩、奖项等）仍以投标截止时投标人的信息为准。因特殊原因需要延长投标有效期，投标人拒绝延长投标有效期的，仍参与评标，但不被推荐为中标候选人</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39.6</w:t>
      </w:r>
      <w:r>
        <w:rPr>
          <w:rFonts w:hint="eastAsia" w:ascii="宋体" w:hAnsi="宋体" w:eastAsia="宋体" w:cs="宋体"/>
          <w:b w:val="0"/>
          <w:bCs w:val="0"/>
          <w:color w:val="auto"/>
          <w:sz w:val="21"/>
          <w:szCs w:val="21"/>
          <w:highlight w:val="none"/>
        </w:rPr>
        <w:t>有效投标不足3个的，评标委员会应当对投标是否明显缺乏竞争和是否需要否决全部投标进行充分论证，并在评标报告中记载论证过程和结果。</w:t>
      </w:r>
    </w:p>
    <w:p>
      <w:pPr>
        <w:keepNext w:val="0"/>
        <w:keepLines w:val="0"/>
        <w:pageBreakBefore w:val="0"/>
        <w:pBdr>
          <w:bottom w:val="single" w:color="auto" w:sz="6" w:space="1"/>
        </w:pBdr>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b w:val="0"/>
          <w:bCs w:val="0"/>
          <w:color w:val="auto"/>
          <w:sz w:val="21"/>
          <w:szCs w:val="21"/>
          <w:highlight w:val="none"/>
          <w:lang w:eastAsia="zh-CN"/>
        </w:rPr>
        <w:t>注：</w:t>
      </w:r>
      <w:r>
        <w:rPr>
          <w:rFonts w:hint="eastAsia" w:ascii="宋体" w:hAnsi="宋体" w:eastAsia="宋体" w:cs="宋体"/>
          <w:color w:val="auto"/>
          <w:sz w:val="21"/>
          <w:szCs w:val="21"/>
          <w:highlight w:val="none"/>
          <w:lang w:val="en-US" w:eastAsia="zh-CN"/>
        </w:rPr>
        <w:t>采用评定分离方式的，招标人应在招标文件中明确定标方式</w:t>
      </w:r>
      <w:r>
        <w:rPr>
          <w:rFonts w:hint="eastAsia" w:ascii="宋体" w:hAnsi="宋体" w:eastAsia="宋体" w:cs="宋体"/>
          <w:color w:val="auto"/>
          <w:sz w:val="21"/>
          <w:szCs w:val="21"/>
          <w:highlight w:val="none"/>
          <w:u w:val="none"/>
        </w:rPr>
        <w:t>。</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条款号：（二）开标评标办法程序和细则        修改类型：删除</w:t>
      </w:r>
    </w:p>
    <w:p>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Style w:val="120"/>
          <w:rFonts w:hint="eastAsia" w:ascii="宋体" w:hAnsi="宋体" w:cs="宋体"/>
          <w:color w:val="auto"/>
          <w:sz w:val="21"/>
          <w:szCs w:val="21"/>
          <w:highlight w:val="none"/>
        </w:rPr>
      </w:pPr>
      <w:r>
        <w:rPr>
          <w:rFonts w:hint="eastAsia" w:ascii="宋体" w:hAnsi="宋体" w:eastAsia="宋体" w:cs="宋体"/>
          <w:b/>
          <w:bCs/>
          <w:color w:val="auto"/>
          <w:sz w:val="21"/>
          <w:szCs w:val="21"/>
          <w:highlight w:val="none"/>
        </w:rPr>
        <w:t>原文：</w:t>
      </w:r>
      <w:r>
        <w:rPr>
          <w:rStyle w:val="120"/>
          <w:rFonts w:hint="eastAsia" w:ascii="宋体" w:hAnsi="宋体" w:cs="宋体"/>
          <w:color w:val="auto"/>
          <w:sz w:val="21"/>
          <w:szCs w:val="21"/>
          <w:highlight w:val="none"/>
        </w:rPr>
        <w:t>（开评标办法由招标人自行选择，鼓励招标人创新评标办法）</w:t>
      </w:r>
    </w:p>
    <w:p>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原文：</w:t>
      </w:r>
      <w:r>
        <w:rPr>
          <w:rFonts w:hint="eastAsia" w:ascii="宋体" w:hAnsi="宋体" w:eastAsia="宋体" w:cs="宋体"/>
          <w:color w:val="auto"/>
          <w:sz w:val="21"/>
          <w:szCs w:val="21"/>
          <w:highlight w:val="none"/>
        </w:rPr>
        <w:t>可选办法一（适合综合评分法一，技术标与经济标先后分别开启）</w:t>
      </w:r>
    </w:p>
    <w:p>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原文：</w:t>
      </w:r>
      <w:r>
        <w:rPr>
          <w:rFonts w:hint="eastAsia" w:ascii="宋体" w:hAnsi="宋体" w:eastAsia="宋体" w:cs="宋体"/>
          <w:color w:val="auto"/>
          <w:sz w:val="21"/>
          <w:szCs w:val="21"/>
          <w:highlight w:val="none"/>
        </w:rPr>
        <w:t>可选办法二（适合综合评分法一，技术标与经济标同时开启）</w:t>
      </w:r>
    </w:p>
    <w:p>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原文：</w:t>
      </w:r>
      <w:r>
        <w:rPr>
          <w:rFonts w:hint="eastAsia" w:ascii="宋体" w:hAnsi="宋体" w:eastAsia="宋体" w:cs="宋体"/>
          <w:color w:val="auto"/>
          <w:sz w:val="21"/>
          <w:szCs w:val="21"/>
          <w:highlight w:val="none"/>
        </w:rPr>
        <w:t>可选办法三（适合综合评分法二，技术标与经济标先后分别开启）</w:t>
      </w:r>
    </w:p>
    <w:p>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原文：</w:t>
      </w:r>
      <w:r>
        <w:rPr>
          <w:rFonts w:hint="eastAsia" w:ascii="宋体" w:hAnsi="宋体" w:eastAsia="宋体" w:cs="宋体"/>
          <w:color w:val="auto"/>
          <w:sz w:val="21"/>
          <w:szCs w:val="21"/>
          <w:highlight w:val="none"/>
        </w:rPr>
        <w:t>可选办法四（适合综合评分法二，技术标与经济标同时开启）</w:t>
      </w:r>
    </w:p>
    <w:p>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原文：</w:t>
      </w:r>
      <w:r>
        <w:rPr>
          <w:rFonts w:hint="eastAsia" w:ascii="宋体" w:hAnsi="宋体" w:eastAsia="宋体" w:cs="宋体"/>
          <w:color w:val="auto"/>
          <w:sz w:val="21"/>
          <w:szCs w:val="21"/>
          <w:highlight w:val="none"/>
        </w:rPr>
        <w:t>可选办法五（适合综合评分法三，技术标与经济标先后分别开启）</w:t>
      </w:r>
    </w:p>
    <w:p>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原文：</w:t>
      </w:r>
      <w:r>
        <w:rPr>
          <w:rFonts w:hint="eastAsia" w:ascii="宋体" w:hAnsi="宋体" w:eastAsia="宋体" w:cs="宋体"/>
          <w:color w:val="auto"/>
          <w:sz w:val="21"/>
          <w:szCs w:val="21"/>
          <w:highlight w:val="none"/>
        </w:rPr>
        <w:t>可选办法六（适合综合评分法三，技术标与经济标同时开启）</w:t>
      </w:r>
    </w:p>
    <w:p>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原文：</w:t>
      </w:r>
      <w:r>
        <w:rPr>
          <w:rFonts w:hint="eastAsia" w:ascii="宋体" w:hAnsi="宋体" w:eastAsia="宋体" w:cs="宋体"/>
          <w:color w:val="auto"/>
          <w:sz w:val="21"/>
          <w:szCs w:val="21"/>
          <w:highlight w:val="none"/>
        </w:rPr>
        <w:t>可选办法八（适合经评审的最低投标价法，技术标与经济标同时开启）</w:t>
      </w:r>
    </w:p>
    <w:p>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原文：</w:t>
      </w:r>
      <w:r>
        <w:rPr>
          <w:rFonts w:hint="eastAsia" w:ascii="宋体" w:hAnsi="宋体" w:eastAsia="宋体" w:cs="宋体"/>
          <w:color w:val="auto"/>
          <w:sz w:val="21"/>
          <w:szCs w:val="21"/>
          <w:highlight w:val="none"/>
        </w:rPr>
        <w:t>可选办法九（适用于规模较小的一般项目）</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条款号：可选办法七、4</w:t>
      </w:r>
      <w:r>
        <w:rPr>
          <w:rFonts w:hint="eastAsia" w:ascii="宋体" w:hAnsi="宋体" w:eastAsia="宋体" w:cs="宋体"/>
          <w:b/>
          <w:color w:val="auto"/>
          <w:sz w:val="21"/>
          <w:szCs w:val="21"/>
          <w:highlight w:val="none"/>
          <w:lang w:val="en-US" w:eastAsia="zh-CN"/>
        </w:rPr>
        <w:t>0</w:t>
      </w:r>
      <w:r>
        <w:rPr>
          <w:rFonts w:hint="eastAsia" w:ascii="宋体" w:hAnsi="宋体" w:eastAsia="宋体" w:cs="宋体"/>
          <w:b/>
          <w:color w:val="auto"/>
          <w:sz w:val="21"/>
          <w:szCs w:val="21"/>
          <w:highlight w:val="none"/>
        </w:rPr>
        <w:t xml:space="preserve">             修改类型：修改</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原文：可选办法七（适合综合评分法四，技术标与经济标同时开启）</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40．</w:t>
      </w:r>
      <w:r>
        <w:rPr>
          <w:rFonts w:hint="eastAsia" w:ascii="宋体" w:hAnsi="宋体" w:eastAsia="宋体" w:cs="宋体"/>
          <w:color w:val="auto"/>
          <w:sz w:val="21"/>
          <w:szCs w:val="21"/>
          <w:highlight w:val="none"/>
        </w:rPr>
        <w:t>开标和评标程序</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40.1</w:t>
      </w:r>
      <w:r>
        <w:rPr>
          <w:rFonts w:hint="eastAsia" w:ascii="宋体" w:hAnsi="宋体" w:eastAsia="宋体" w:cs="宋体"/>
          <w:color w:val="auto"/>
          <w:sz w:val="21"/>
          <w:szCs w:val="21"/>
          <w:highlight w:val="none"/>
        </w:rPr>
        <w:t>投标人递交技术标、经济标投标文件；</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40.2</w:t>
      </w:r>
      <w:r>
        <w:rPr>
          <w:rFonts w:hint="eastAsia" w:ascii="宋体" w:hAnsi="宋体" w:eastAsia="宋体" w:cs="宋体"/>
          <w:color w:val="auto"/>
          <w:sz w:val="21"/>
          <w:szCs w:val="21"/>
          <w:highlight w:val="none"/>
        </w:rPr>
        <w:t>技术标（含资格审查文件）与经济标投标文件同时公开开标；</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40.3</w:t>
      </w:r>
      <w:r>
        <w:rPr>
          <w:rFonts w:hint="eastAsia" w:ascii="宋体" w:hAnsi="宋体" w:eastAsia="宋体" w:cs="宋体"/>
          <w:color w:val="auto"/>
          <w:sz w:val="21"/>
          <w:szCs w:val="21"/>
          <w:highlight w:val="none"/>
        </w:rPr>
        <w:t>由招标人随机抽取确定该工程计算评标参考价的等分点值X（适用于区间抽取法）；</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40.4</w:t>
      </w:r>
      <w:r>
        <w:rPr>
          <w:rFonts w:hint="eastAsia" w:ascii="宋体" w:hAnsi="宋体" w:eastAsia="宋体" w:cs="宋体"/>
          <w:color w:val="auto"/>
          <w:sz w:val="21"/>
          <w:szCs w:val="21"/>
          <w:highlight w:val="none"/>
        </w:rPr>
        <w:t>由评标委员会对所有已公开开标的投标人进行资格审查；</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40.5</w:t>
      </w:r>
      <w:r>
        <w:rPr>
          <w:rFonts w:hint="eastAsia" w:ascii="宋体" w:hAnsi="宋体" w:eastAsia="宋体" w:cs="宋体"/>
          <w:color w:val="auto"/>
          <w:sz w:val="21"/>
          <w:szCs w:val="21"/>
          <w:highlight w:val="none"/>
        </w:rPr>
        <w:t>技术标投标文件有效性审查；</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40.6</w:t>
      </w:r>
      <w:r>
        <w:rPr>
          <w:rFonts w:hint="eastAsia" w:ascii="宋体" w:hAnsi="宋体" w:eastAsia="宋体" w:cs="宋体"/>
          <w:color w:val="auto"/>
          <w:sz w:val="21"/>
          <w:szCs w:val="21"/>
          <w:highlight w:val="none"/>
        </w:rPr>
        <w:t>技术标详细审查评分；</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40.7</w:t>
      </w:r>
      <w:r>
        <w:rPr>
          <w:rFonts w:hint="eastAsia" w:ascii="宋体" w:hAnsi="宋体" w:eastAsia="宋体" w:cs="宋体"/>
          <w:color w:val="auto"/>
          <w:sz w:val="21"/>
          <w:szCs w:val="21"/>
          <w:highlight w:val="none"/>
        </w:rPr>
        <w:t>经济标的算术校核；</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40.8</w:t>
      </w:r>
      <w:r>
        <w:rPr>
          <w:rFonts w:hint="eastAsia" w:ascii="宋体" w:hAnsi="宋体" w:eastAsia="宋体" w:cs="宋体"/>
          <w:color w:val="auto"/>
          <w:sz w:val="21"/>
          <w:szCs w:val="21"/>
          <w:highlight w:val="none"/>
        </w:rPr>
        <w:t>经济标详细审查评分；</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40.9</w:t>
      </w:r>
      <w:r>
        <w:rPr>
          <w:rFonts w:hint="eastAsia" w:ascii="宋体" w:hAnsi="宋体" w:eastAsia="宋体" w:cs="宋体"/>
          <w:color w:val="auto"/>
          <w:sz w:val="21"/>
          <w:szCs w:val="21"/>
          <w:highlight w:val="none"/>
        </w:rPr>
        <w:t>评标委员会按照投标人总得分由高至低排序；</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40.10</w:t>
      </w:r>
      <w:r>
        <w:rPr>
          <w:rFonts w:hint="eastAsia" w:ascii="宋体" w:hAnsi="宋体" w:eastAsia="宋体" w:cs="宋体"/>
          <w:color w:val="auto"/>
          <w:sz w:val="21"/>
          <w:szCs w:val="21"/>
          <w:highlight w:val="none"/>
        </w:rPr>
        <w:t>经济标投标文件有效性审查；</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40.11</w:t>
      </w:r>
      <w:r>
        <w:rPr>
          <w:rFonts w:hint="eastAsia" w:ascii="宋体" w:hAnsi="宋体" w:eastAsia="宋体" w:cs="宋体"/>
          <w:color w:val="auto"/>
          <w:sz w:val="21"/>
          <w:szCs w:val="21"/>
          <w:highlight w:val="none"/>
        </w:rPr>
        <w:t>评标委员会按排序向招标人推荐中标候选人名单，并递交资格审查报告及评标报告。</w:t>
      </w:r>
    </w:p>
    <w:p>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rPr>
        <w:t>40．</w:t>
      </w:r>
      <w:r>
        <w:rPr>
          <w:rFonts w:hint="eastAsia" w:ascii="宋体" w:hAnsi="宋体" w:cs="宋体"/>
          <w:color w:val="auto"/>
          <w:szCs w:val="21"/>
          <w:highlight w:val="none"/>
          <w:u w:val="single"/>
        </w:rPr>
        <w:t>开标、评标及定标程序</w:t>
      </w:r>
      <w:r>
        <w:rPr>
          <w:rFonts w:hint="eastAsia" w:ascii="宋体" w:hAnsi="宋体" w:eastAsia="宋体" w:cs="宋体"/>
          <w:color w:val="auto"/>
          <w:sz w:val="21"/>
          <w:szCs w:val="21"/>
          <w:highlight w:val="none"/>
        </w:rPr>
        <w:t>：</w:t>
      </w:r>
    </w:p>
    <w:p>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40.1</w:t>
      </w:r>
      <w:r>
        <w:rPr>
          <w:rFonts w:hint="eastAsia" w:ascii="宋体" w:hAnsi="宋体" w:eastAsia="宋体" w:cs="宋体"/>
          <w:color w:val="auto"/>
          <w:sz w:val="21"/>
          <w:szCs w:val="21"/>
          <w:highlight w:val="none"/>
          <w:u w:val="single"/>
        </w:rPr>
        <w:t>投标人递交技术标、经济标投标文件和定标文件；</w:t>
      </w:r>
    </w:p>
    <w:p>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bCs/>
          <w:color w:val="auto"/>
          <w:sz w:val="21"/>
          <w:szCs w:val="21"/>
          <w:highlight w:val="none"/>
          <w:u w:val="single"/>
        </w:rPr>
        <w:t>40.</w:t>
      </w:r>
      <w:r>
        <w:rPr>
          <w:rFonts w:hint="eastAsia" w:ascii="宋体" w:hAnsi="宋体" w:eastAsia="宋体" w:cs="宋体"/>
          <w:b/>
          <w:bCs/>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技术标（含资格审查文件）与经济标投标文件和定标文件同时公开开标；</w:t>
      </w:r>
    </w:p>
    <w:p>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bCs/>
          <w:color w:val="auto"/>
          <w:sz w:val="21"/>
          <w:szCs w:val="21"/>
          <w:highlight w:val="none"/>
          <w:u w:val="single"/>
        </w:rPr>
        <w:t>40.</w:t>
      </w:r>
      <w:r>
        <w:rPr>
          <w:rFonts w:hint="eastAsia" w:ascii="宋体" w:hAnsi="宋体" w:cs="宋体"/>
          <w:b/>
          <w:bCs/>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由评标委员会对所有已公开开标的投标人进行资格审查；</w:t>
      </w:r>
    </w:p>
    <w:p>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bCs/>
          <w:color w:val="auto"/>
          <w:sz w:val="21"/>
          <w:szCs w:val="21"/>
          <w:highlight w:val="none"/>
          <w:u w:val="single"/>
        </w:rPr>
        <w:t>40.</w:t>
      </w:r>
      <w:r>
        <w:rPr>
          <w:rFonts w:hint="eastAsia" w:ascii="宋体" w:hAnsi="宋体" w:cs="宋体"/>
          <w:b/>
          <w:bCs/>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技术标投标文件有效性审查；</w:t>
      </w:r>
    </w:p>
    <w:p>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b w:val="0"/>
          <w:bCs w:val="0"/>
          <w:color w:val="auto"/>
          <w:sz w:val="21"/>
          <w:szCs w:val="21"/>
          <w:highlight w:val="none"/>
          <w:u w:val="single"/>
          <w:lang w:val="en-US" w:eastAsia="zh-CN"/>
        </w:rPr>
      </w:pPr>
      <w:r>
        <w:rPr>
          <w:rFonts w:hint="eastAsia" w:ascii="宋体" w:hAnsi="宋体" w:eastAsia="宋体" w:cs="宋体"/>
          <w:b/>
          <w:bCs/>
          <w:color w:val="auto"/>
          <w:sz w:val="21"/>
          <w:szCs w:val="21"/>
          <w:highlight w:val="none"/>
          <w:u w:val="single"/>
        </w:rPr>
        <w:t>40.</w:t>
      </w:r>
      <w:r>
        <w:rPr>
          <w:rFonts w:hint="eastAsia" w:ascii="宋体" w:hAnsi="宋体" w:cs="宋体"/>
          <w:b/>
          <w:bCs/>
          <w:color w:val="auto"/>
          <w:sz w:val="21"/>
          <w:szCs w:val="21"/>
          <w:highlight w:val="none"/>
          <w:u w:val="single"/>
          <w:lang w:val="en-US" w:eastAsia="zh-CN"/>
        </w:rPr>
        <w:t>5</w:t>
      </w:r>
      <w:r>
        <w:rPr>
          <w:rFonts w:hint="eastAsia" w:ascii="宋体" w:hAnsi="宋体" w:eastAsia="宋体" w:cs="宋体"/>
          <w:b w:val="0"/>
          <w:bCs w:val="0"/>
          <w:color w:val="auto"/>
          <w:sz w:val="21"/>
          <w:szCs w:val="21"/>
          <w:highlight w:val="none"/>
          <w:u w:val="single"/>
          <w:lang w:val="en-US" w:eastAsia="zh-CN"/>
        </w:rPr>
        <w:t>经济标的算术校核；</w:t>
      </w:r>
    </w:p>
    <w:p>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bCs/>
          <w:color w:val="auto"/>
          <w:sz w:val="21"/>
          <w:szCs w:val="21"/>
          <w:highlight w:val="none"/>
          <w:u w:val="single"/>
        </w:rPr>
        <w:t>40.</w:t>
      </w:r>
      <w:r>
        <w:rPr>
          <w:rFonts w:hint="eastAsia" w:ascii="宋体" w:hAnsi="宋体" w:cs="宋体"/>
          <w:b/>
          <w:bCs/>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经济标投标文件有效性审查；</w:t>
      </w:r>
    </w:p>
    <w:p>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bCs/>
          <w:color w:val="auto"/>
          <w:sz w:val="21"/>
          <w:szCs w:val="21"/>
          <w:highlight w:val="none"/>
          <w:u w:val="single"/>
        </w:rPr>
        <w:t>40.</w:t>
      </w:r>
      <w:r>
        <w:rPr>
          <w:rFonts w:hint="eastAsia" w:ascii="宋体" w:hAnsi="宋体" w:cs="宋体"/>
          <w:b/>
          <w:bCs/>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技术标详细审查评分</w:t>
      </w:r>
      <w:r>
        <w:rPr>
          <w:rFonts w:hint="eastAsia" w:ascii="宋体" w:hAnsi="宋体" w:eastAsia="宋体" w:cs="宋体"/>
          <w:b/>
          <w:bCs/>
          <w:color w:val="auto"/>
          <w:sz w:val="21"/>
          <w:szCs w:val="21"/>
          <w:highlight w:val="none"/>
          <w:u w:val="single"/>
          <w:lang w:val="en-US" w:eastAsia="zh-CN"/>
        </w:rPr>
        <w:t>（通过资格审查、技术标及经济标有效性审查的合格投标人大于20家时</w:t>
      </w:r>
      <w:r>
        <w:rPr>
          <w:rFonts w:hint="eastAsia" w:ascii="宋体" w:hAnsi="宋体" w:cs="宋体"/>
          <w:b/>
          <w:bCs/>
          <w:color w:val="auto"/>
          <w:sz w:val="21"/>
          <w:szCs w:val="21"/>
          <w:highlight w:val="none"/>
          <w:u w:val="single"/>
          <w:lang w:val="en-US" w:eastAsia="zh-CN"/>
        </w:rPr>
        <w:t>适用</w:t>
      </w:r>
      <w:r>
        <w:rPr>
          <w:rFonts w:hint="eastAsia" w:ascii="宋体" w:hAnsi="宋体" w:eastAsia="宋体" w:cs="宋体"/>
          <w:b/>
          <w:bCs/>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w:t>
      </w:r>
    </w:p>
    <w:p>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b/>
          <w:bCs/>
          <w:color w:val="auto"/>
          <w:sz w:val="21"/>
          <w:szCs w:val="21"/>
          <w:highlight w:val="none"/>
          <w:u w:val="single"/>
        </w:rPr>
        <w:t>40.</w:t>
      </w:r>
      <w:r>
        <w:rPr>
          <w:rFonts w:hint="eastAsia" w:ascii="宋体" w:hAnsi="宋体" w:cs="宋体"/>
          <w:b/>
          <w:bCs/>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评标委员会编写资格审查报告和评标报告，向招标人推荐进入定标阶段的</w:t>
      </w:r>
      <w:r>
        <w:rPr>
          <w:rFonts w:hint="eastAsia" w:ascii="宋体" w:hAnsi="宋体" w:eastAsia="宋体" w:cs="宋体"/>
          <w:color w:val="auto"/>
          <w:sz w:val="21"/>
          <w:szCs w:val="21"/>
          <w:highlight w:val="none"/>
          <w:u w:val="single"/>
          <w:lang w:val="en-US" w:eastAsia="zh-CN"/>
        </w:rPr>
        <w:t>合格中标</w:t>
      </w:r>
      <w:r>
        <w:rPr>
          <w:rFonts w:hint="eastAsia" w:ascii="宋体" w:hAnsi="宋体" w:eastAsia="宋体" w:cs="宋体"/>
          <w:color w:val="auto"/>
          <w:sz w:val="21"/>
          <w:szCs w:val="21"/>
          <w:highlight w:val="none"/>
          <w:u w:val="single"/>
        </w:rPr>
        <w:t>候选人【</w:t>
      </w:r>
      <w:r>
        <w:rPr>
          <w:rFonts w:hint="eastAsia" w:ascii="宋体" w:hAnsi="宋体" w:eastAsia="宋体" w:cs="宋体"/>
          <w:color w:val="auto"/>
          <w:sz w:val="21"/>
          <w:szCs w:val="21"/>
          <w:highlight w:val="none"/>
          <w:u w:val="single"/>
          <w:lang w:eastAsia="zh-CN"/>
        </w:rPr>
        <w:t>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w:t>
      </w:r>
    </w:p>
    <w:p>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bCs/>
          <w:color w:val="auto"/>
          <w:sz w:val="21"/>
          <w:szCs w:val="21"/>
          <w:highlight w:val="none"/>
          <w:u w:val="single"/>
        </w:rPr>
        <w:t>40.</w:t>
      </w:r>
      <w:r>
        <w:rPr>
          <w:rFonts w:hint="eastAsia" w:ascii="宋体" w:hAnsi="宋体" w:cs="宋体"/>
          <w:b/>
          <w:bCs/>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定标委员会对评标委员会推荐的</w:t>
      </w:r>
      <w:r>
        <w:rPr>
          <w:rFonts w:hint="eastAsia" w:ascii="宋体" w:hAnsi="宋体" w:eastAsia="宋体" w:cs="宋体"/>
          <w:color w:val="auto"/>
          <w:sz w:val="21"/>
          <w:szCs w:val="21"/>
          <w:highlight w:val="none"/>
          <w:u w:val="single"/>
          <w:lang w:val="en-US" w:eastAsia="zh-CN"/>
        </w:rPr>
        <w:t>合格中标</w:t>
      </w:r>
      <w:r>
        <w:rPr>
          <w:rFonts w:hint="eastAsia" w:ascii="宋体" w:hAnsi="宋体" w:eastAsia="宋体" w:cs="宋体"/>
          <w:color w:val="auto"/>
          <w:sz w:val="21"/>
          <w:szCs w:val="21"/>
          <w:highlight w:val="none"/>
          <w:u w:val="single"/>
        </w:rPr>
        <w:t>候选人采用评分法（答辩因素+投标价格因素），确定</w:t>
      </w:r>
      <w:r>
        <w:rPr>
          <w:rFonts w:hint="eastAsia" w:ascii="宋体" w:hAnsi="宋体" w:eastAsia="宋体" w:cs="宋体"/>
          <w:color w:val="auto"/>
          <w:sz w:val="21"/>
          <w:szCs w:val="21"/>
          <w:highlight w:val="none"/>
          <w:u w:val="single"/>
          <w:lang w:val="en-US" w:eastAsia="zh-CN"/>
        </w:rPr>
        <w:t>合格</w:t>
      </w:r>
      <w:r>
        <w:rPr>
          <w:rFonts w:hint="eastAsia" w:ascii="宋体" w:hAnsi="宋体" w:eastAsia="宋体" w:cs="宋体"/>
          <w:color w:val="auto"/>
          <w:sz w:val="21"/>
          <w:szCs w:val="21"/>
          <w:highlight w:val="none"/>
          <w:u w:val="single"/>
        </w:rPr>
        <w:t>中标候选人。定标结束后，定标委员会向招标人递交定标报告。</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条款号：41.1          </w:t>
      </w:r>
      <w:r>
        <w:rPr>
          <w:rFonts w:hint="eastAsia" w:ascii="宋体" w:hAnsi="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修改类型：修改</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val="0"/>
          <w:color w:val="auto"/>
          <w:sz w:val="21"/>
          <w:szCs w:val="21"/>
          <w:highlight w:val="none"/>
        </w:rPr>
        <w:t>41.1</w:t>
      </w:r>
      <w:r>
        <w:rPr>
          <w:rFonts w:hint="eastAsia" w:ascii="宋体" w:hAnsi="宋体" w:eastAsia="宋体" w:cs="宋体"/>
          <w:color w:val="auto"/>
          <w:sz w:val="21"/>
          <w:szCs w:val="21"/>
          <w:highlight w:val="none"/>
        </w:rPr>
        <w:t>开标由招标人主持；</w:t>
      </w:r>
    </w:p>
    <w:p>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val="0"/>
          <w:color w:val="auto"/>
          <w:sz w:val="21"/>
          <w:szCs w:val="21"/>
          <w:highlight w:val="none"/>
        </w:rPr>
        <w:t>41.1</w:t>
      </w:r>
      <w:r>
        <w:rPr>
          <w:rFonts w:hint="eastAsia" w:ascii="宋体" w:hAnsi="宋体" w:eastAsia="宋体" w:cs="宋体"/>
          <w:color w:val="auto"/>
          <w:sz w:val="21"/>
          <w:szCs w:val="21"/>
          <w:highlight w:val="none"/>
        </w:rPr>
        <w:t>开标由招标人</w:t>
      </w:r>
      <w:r>
        <w:rPr>
          <w:rFonts w:hint="eastAsia" w:ascii="宋体" w:hAnsi="宋体" w:eastAsia="宋体" w:cs="宋体"/>
          <w:color w:val="auto"/>
          <w:sz w:val="21"/>
          <w:szCs w:val="21"/>
          <w:highlight w:val="none"/>
          <w:u w:val="single"/>
        </w:rPr>
        <w:t>或招标代理</w:t>
      </w:r>
      <w:r>
        <w:rPr>
          <w:rFonts w:hint="eastAsia" w:ascii="宋体" w:hAnsi="宋体" w:eastAsia="宋体" w:cs="宋体"/>
          <w:color w:val="auto"/>
          <w:sz w:val="21"/>
          <w:szCs w:val="21"/>
          <w:highlight w:val="none"/>
        </w:rPr>
        <w:t>主持；</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bCs/>
          <w:color w:val="auto"/>
          <w:sz w:val="21"/>
          <w:szCs w:val="21"/>
          <w:highlight w:val="none"/>
        </w:rPr>
        <w:t xml:space="preserve">41.2.1 </w:t>
      </w:r>
      <w:r>
        <w:rPr>
          <w:rFonts w:hint="eastAsia" w:ascii="宋体" w:hAnsi="宋体" w:eastAsia="宋体" w:cs="宋体"/>
          <w:b/>
          <w:color w:val="auto"/>
          <w:sz w:val="21"/>
          <w:szCs w:val="21"/>
          <w:highlight w:val="none"/>
        </w:rPr>
        <w:t xml:space="preserve">           修改类型：修改</w:t>
      </w:r>
    </w:p>
    <w:p>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val="0"/>
          <w:color w:val="auto"/>
          <w:sz w:val="21"/>
          <w:szCs w:val="21"/>
          <w:highlight w:val="none"/>
        </w:rPr>
        <w:t>41.2.1</w:t>
      </w:r>
      <w:r>
        <w:rPr>
          <w:rFonts w:hint="eastAsia" w:ascii="宋体" w:hAnsi="宋体" w:eastAsia="宋体" w:cs="宋体"/>
          <w:color w:val="auto"/>
          <w:sz w:val="21"/>
          <w:szCs w:val="21"/>
          <w:highlight w:val="none"/>
        </w:rPr>
        <w:t>投标截止期前，各投标人递交投标文件（包括技术标投标文件、经济标投标文件）至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交易平台。有关投标文件提交的事项详见第一章投标须知。</w:t>
      </w:r>
    </w:p>
    <w:p>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val="0"/>
          <w:color w:val="auto"/>
          <w:sz w:val="21"/>
          <w:szCs w:val="21"/>
          <w:highlight w:val="none"/>
        </w:rPr>
        <w:t>41.2.1</w:t>
      </w:r>
      <w:r>
        <w:rPr>
          <w:rFonts w:hint="eastAsia" w:ascii="宋体" w:hAnsi="宋体" w:eastAsia="宋体" w:cs="宋体"/>
          <w:color w:val="auto"/>
          <w:sz w:val="21"/>
          <w:szCs w:val="21"/>
          <w:highlight w:val="none"/>
        </w:rPr>
        <w:t>投标截止期前，各投标人递交投标文件（包括技术标投标文件</w:t>
      </w:r>
      <w:r>
        <w:rPr>
          <w:rFonts w:hint="eastAsia" w:ascii="宋体" w:hAnsi="宋体" w:eastAsia="宋体" w:cs="宋体"/>
          <w:color w:val="auto"/>
          <w:sz w:val="21"/>
          <w:szCs w:val="21"/>
          <w:highlight w:val="none"/>
          <w:u w:val="single"/>
        </w:rPr>
        <w:t>（含资格审查文件）</w:t>
      </w:r>
      <w:r>
        <w:rPr>
          <w:rFonts w:hint="eastAsia" w:ascii="宋体" w:hAnsi="宋体" w:eastAsia="宋体" w:cs="宋体"/>
          <w:color w:val="auto"/>
          <w:sz w:val="21"/>
          <w:szCs w:val="21"/>
          <w:highlight w:val="none"/>
        </w:rPr>
        <w:t>、经济标投标文件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eastAsia="zh-CN"/>
        </w:rPr>
        <w:t>定标文件</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rPr>
        <w:t>交易平台。有关投标文件提交的事项详见第一章投标须知。</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条款号：</w:t>
      </w:r>
      <w:r>
        <w:rPr>
          <w:rFonts w:hint="eastAsia" w:ascii="宋体" w:hAnsi="宋体" w:eastAsia="宋体" w:cs="宋体"/>
          <w:b/>
          <w:bCs/>
          <w:color w:val="auto"/>
          <w:sz w:val="21"/>
          <w:szCs w:val="21"/>
          <w:highlight w:val="none"/>
        </w:rPr>
        <w:t>41.2.</w:t>
      </w:r>
      <w:r>
        <w:rPr>
          <w:rFonts w:hint="eastAsia" w:ascii="宋体" w:hAnsi="宋体" w:cs="宋体"/>
          <w:b/>
          <w:bCs/>
          <w:color w:val="auto"/>
          <w:sz w:val="21"/>
          <w:szCs w:val="21"/>
          <w:highlight w:val="none"/>
          <w:lang w:val="en-US" w:eastAsia="zh-CN"/>
        </w:rPr>
        <w:t>3.2</w:t>
      </w:r>
      <w:r>
        <w:rPr>
          <w:rFonts w:hint="eastAsia" w:ascii="宋体" w:hAnsi="宋体" w:eastAsia="宋体" w:cs="宋体"/>
          <w:b/>
          <w:bCs/>
          <w:color w:val="auto"/>
          <w:sz w:val="21"/>
          <w:szCs w:val="21"/>
          <w:highlight w:val="none"/>
        </w:rPr>
        <w:t xml:space="preserve"> </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val="en-US" w:eastAsia="zh-CN"/>
        </w:rPr>
        <w:t>删除</w:t>
      </w:r>
    </w:p>
    <w:p>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原</w:t>
      </w:r>
      <w:r>
        <w:rPr>
          <w:rFonts w:hint="eastAsia" w:ascii="宋体" w:hAnsi="宋体" w:eastAsia="宋体" w:cs="宋体"/>
          <w:b/>
          <w:color w:val="auto"/>
          <w:sz w:val="21"/>
          <w:szCs w:val="21"/>
          <w:highlight w:val="none"/>
        </w:rPr>
        <w:t>文：41.2.</w:t>
      </w: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rPr>
        <w:t>2</w:t>
      </w:r>
      <w:r>
        <w:rPr>
          <w:rFonts w:hint="eastAsia" w:ascii="宋体" w:hAnsi="宋体" w:eastAsia="宋体" w:cs="宋体"/>
          <w:b w:val="0"/>
          <w:bCs/>
          <w:color w:val="auto"/>
          <w:sz w:val="21"/>
          <w:szCs w:val="21"/>
          <w:highlight w:val="none"/>
        </w:rPr>
        <w:t>由招标人随机抽取确定该工程计算评标参考价的等分点值X</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bCs/>
          <w:color w:val="auto"/>
          <w:sz w:val="21"/>
          <w:szCs w:val="21"/>
          <w:highlight w:val="none"/>
        </w:rPr>
        <w:t>41.</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修改类型：修改</w:t>
      </w:r>
    </w:p>
    <w:p>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val="0"/>
          <w:color w:val="auto"/>
          <w:sz w:val="21"/>
          <w:szCs w:val="21"/>
          <w:highlight w:val="none"/>
        </w:rPr>
        <w:t>41.</w:t>
      </w:r>
      <w:r>
        <w:rPr>
          <w:rFonts w:hint="eastAsia" w:ascii="宋体" w:hAnsi="宋体" w:eastAsia="宋体" w:cs="宋体"/>
          <w:b/>
          <w:bCs w:val="0"/>
          <w:color w:val="auto"/>
          <w:sz w:val="21"/>
          <w:szCs w:val="21"/>
          <w:highlight w:val="none"/>
          <w:lang w:val="en-US" w:eastAsia="zh-CN"/>
        </w:rPr>
        <w:t>3</w:t>
      </w:r>
      <w:r>
        <w:rPr>
          <w:rFonts w:hint="eastAsia" w:ascii="宋体"/>
          <w:color w:val="auto"/>
          <w:sz w:val="21"/>
          <w:szCs w:val="21"/>
          <w:highlight w:val="none"/>
        </w:rPr>
        <w:t>招标人对开标过程进行记录，并存档备查</w:t>
      </w:r>
      <w:r>
        <w:rPr>
          <w:rFonts w:hint="eastAsia" w:ascii="宋体" w:hAnsi="宋体" w:eastAsia="宋体" w:cs="宋体"/>
          <w:color w:val="auto"/>
          <w:sz w:val="21"/>
          <w:szCs w:val="21"/>
          <w:highlight w:val="none"/>
        </w:rPr>
        <w:t>。</w:t>
      </w:r>
    </w:p>
    <w:p>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eastAsia="宋体" w:cs="宋体"/>
          <w:b/>
          <w:bCs w:val="0"/>
          <w:color w:val="auto"/>
          <w:sz w:val="21"/>
          <w:szCs w:val="21"/>
          <w:highlight w:val="none"/>
        </w:rPr>
        <w:t>41.</w:t>
      </w:r>
      <w:r>
        <w:rPr>
          <w:rFonts w:hint="eastAsia" w:ascii="宋体" w:hAnsi="宋体" w:eastAsia="宋体" w:cs="宋体"/>
          <w:b/>
          <w:bCs w:val="0"/>
          <w:color w:val="auto"/>
          <w:sz w:val="21"/>
          <w:szCs w:val="21"/>
          <w:highlight w:val="none"/>
          <w:lang w:val="en-US" w:eastAsia="zh-CN"/>
        </w:rPr>
        <w:t>3</w:t>
      </w:r>
      <w:r>
        <w:rPr>
          <w:rFonts w:hint="eastAsia" w:ascii="宋体" w:hAnsi="宋体" w:eastAsia="宋体" w:cs="宋体"/>
          <w:color w:val="auto"/>
          <w:sz w:val="21"/>
          <w:szCs w:val="21"/>
          <w:highlight w:val="none"/>
        </w:rPr>
        <w:t>招标人</w:t>
      </w:r>
      <w:r>
        <w:rPr>
          <w:rFonts w:hint="eastAsia" w:ascii="宋体" w:hAnsi="宋体" w:eastAsia="宋体" w:cs="宋体"/>
          <w:color w:val="auto"/>
          <w:sz w:val="21"/>
          <w:szCs w:val="21"/>
          <w:highlight w:val="none"/>
          <w:u w:val="single"/>
        </w:rPr>
        <w:t>或招标代理机构</w:t>
      </w:r>
      <w:r>
        <w:rPr>
          <w:rFonts w:hint="eastAsia" w:ascii="宋体" w:hAnsi="宋体" w:eastAsia="宋体" w:cs="宋体"/>
          <w:color w:val="auto"/>
          <w:sz w:val="21"/>
          <w:szCs w:val="21"/>
          <w:highlight w:val="none"/>
        </w:rPr>
        <w:t>对开标过程进行记录，并存档备查。</w:t>
      </w:r>
      <w:r>
        <w:rPr>
          <w:rFonts w:hint="eastAsia" w:ascii="宋体" w:hAnsi="宋体" w:eastAsia="宋体" w:cs="宋体"/>
          <w:color w:val="auto"/>
          <w:sz w:val="21"/>
          <w:szCs w:val="21"/>
          <w:highlight w:val="none"/>
          <w:u w:val="single"/>
        </w:rPr>
        <w:t>投标人在开标记录上签字，投标人未签字且未提出异议的将被视为默认开标结果。</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bCs/>
          <w:color w:val="auto"/>
          <w:sz w:val="21"/>
          <w:szCs w:val="21"/>
          <w:highlight w:val="none"/>
        </w:rPr>
        <w:t>42.</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color w:val="auto"/>
          <w:sz w:val="21"/>
          <w:szCs w:val="21"/>
          <w:highlight w:val="none"/>
        </w:rPr>
        <w:t xml:space="preserve">         </w:t>
      </w:r>
      <w:r>
        <w:rPr>
          <w:rFonts w:hint="eastAsia" w:ascii="宋体" w:hAnsi="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修改类型：修改</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color w:val="auto"/>
          <w:sz w:val="21"/>
          <w:szCs w:val="21"/>
          <w:highlight w:val="none"/>
          <w:lang w:val="en-US" w:eastAsia="zh-CN"/>
        </w:rPr>
        <w:t>42.2</w:t>
      </w:r>
      <w:r>
        <w:rPr>
          <w:rFonts w:hint="eastAsia" w:ascii="宋体" w:hAnsi="宋体" w:eastAsia="宋体" w:cs="宋体"/>
          <w:color w:val="auto"/>
          <w:sz w:val="21"/>
          <w:szCs w:val="21"/>
          <w:highlight w:val="none"/>
        </w:rPr>
        <w:t>评标委员会的组成：方式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方式一：评标委员会为综合评标委员会，负责资格审查及评标工作。</w:t>
      </w:r>
    </w:p>
    <w:p>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方式二：评标委员会由技术评审组和经济评审组组成。其中：资格审查及技术评审由技术评标组负责，经济评审由经济评审组负责。</w:t>
      </w:r>
    </w:p>
    <w:p>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color w:val="auto"/>
          <w:sz w:val="21"/>
          <w:szCs w:val="21"/>
          <w:highlight w:val="none"/>
          <w:lang w:val="en-US" w:eastAsia="zh-CN"/>
        </w:rPr>
        <w:t>42.2</w:t>
      </w:r>
      <w:r>
        <w:rPr>
          <w:rFonts w:hint="eastAsia" w:ascii="宋体" w:hAnsi="宋体" w:eastAsia="宋体" w:cs="宋体"/>
          <w:color w:val="auto"/>
          <w:sz w:val="21"/>
          <w:szCs w:val="21"/>
          <w:highlight w:val="none"/>
        </w:rPr>
        <w:t>评标委员会的组成：方式</w:t>
      </w:r>
      <w:r>
        <w:rPr>
          <w:rFonts w:hint="eastAsia" w:ascii="宋体" w:hAnsi="宋体" w:eastAsia="宋体" w:cs="宋体"/>
          <w:color w:val="auto"/>
          <w:sz w:val="21"/>
          <w:szCs w:val="21"/>
          <w:highlight w:val="none"/>
          <w:u w:val="single"/>
        </w:rPr>
        <w:t xml:space="preserve"> 一 </w:t>
      </w:r>
      <w:r>
        <w:rPr>
          <w:rFonts w:hint="eastAsia" w:ascii="宋体" w:hAnsi="宋体" w:eastAsia="宋体" w:cs="宋体"/>
          <w:color w:val="auto"/>
          <w:sz w:val="21"/>
          <w:szCs w:val="21"/>
          <w:highlight w:val="none"/>
        </w:rPr>
        <w:t>。</w:t>
      </w:r>
    </w:p>
    <w:p>
      <w:pPr>
        <w:keepNext w:val="0"/>
        <w:keepLines w:val="0"/>
        <w:pageBreakBefore w:val="0"/>
        <w:pBdr>
          <w:bottom w:val="single" w:color="auto" w:sz="6" w:space="1"/>
        </w:pBdr>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方式一：评标委员会为综合评标委员会，负责资格审查及评标工作。</w:t>
      </w:r>
    </w:p>
    <w:p>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条款号：</w:t>
      </w:r>
      <w:r>
        <w:rPr>
          <w:rFonts w:hint="eastAsia" w:ascii="宋体" w:hAnsi="宋体" w:eastAsia="宋体" w:cs="宋体"/>
          <w:b/>
          <w:bCs/>
          <w:color w:val="auto"/>
          <w:sz w:val="21"/>
          <w:szCs w:val="21"/>
          <w:highlight w:val="none"/>
        </w:rPr>
        <w:t>42.</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color w:val="auto"/>
          <w:sz w:val="21"/>
          <w:szCs w:val="21"/>
          <w:highlight w:val="none"/>
        </w:rPr>
        <w:t xml:space="preserve">         </w:t>
      </w:r>
      <w:r>
        <w:rPr>
          <w:rFonts w:hint="eastAsia" w:ascii="宋体" w:hAnsi="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val="en-US" w:eastAsia="zh-CN"/>
        </w:rPr>
        <w:t>增加</w:t>
      </w:r>
    </w:p>
    <w:p>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color w:val="auto"/>
          <w:sz w:val="21"/>
          <w:szCs w:val="21"/>
          <w:highlight w:val="none"/>
          <w:lang w:val="en-US" w:eastAsia="zh-CN"/>
        </w:rPr>
        <w:t>42.3</w:t>
      </w:r>
      <w:r>
        <w:rPr>
          <w:rFonts w:hint="eastAsia" w:ascii="宋体" w:hAnsi="宋体" w:eastAsia="宋体" w:cs="宋体"/>
          <w:b w:val="0"/>
          <w:bCs/>
          <w:color w:val="auto"/>
          <w:sz w:val="21"/>
          <w:szCs w:val="21"/>
          <w:highlight w:val="none"/>
          <w:u w:val="single"/>
          <w:lang w:val="en-US" w:eastAsia="zh-CN"/>
        </w:rPr>
        <w:t>定标委员会的组成：</w:t>
      </w:r>
      <w:r>
        <w:rPr>
          <w:rFonts w:hint="eastAsia" w:ascii="宋体" w:hAnsi="宋体" w:cs="宋体"/>
          <w:color w:val="auto"/>
          <w:szCs w:val="21"/>
          <w:highlight w:val="none"/>
          <w:u w:val="single"/>
        </w:rPr>
        <w:t>由招标人依法组建，人数为5名</w:t>
      </w:r>
      <w:r>
        <w:rPr>
          <w:rFonts w:hint="eastAsia" w:ascii="宋体" w:hAnsi="宋体" w:eastAsia="宋体" w:cs="宋体"/>
          <w:bCs/>
          <w:color w:val="auto"/>
          <w:sz w:val="21"/>
          <w:szCs w:val="21"/>
          <w:highlight w:val="none"/>
          <w:u w:val="single"/>
        </w:rPr>
        <w:t>。</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条款号：43.</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 xml:space="preserve">                 修改类型：修改</w:t>
      </w:r>
    </w:p>
    <w:p>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val="0"/>
          <w:color w:val="auto"/>
          <w:sz w:val="21"/>
          <w:szCs w:val="21"/>
          <w:highlight w:val="none"/>
        </w:rPr>
        <w:t>43.</w:t>
      </w:r>
      <w:r>
        <w:rPr>
          <w:rFonts w:hint="eastAsia" w:ascii="宋体" w:hAnsi="宋体" w:eastAsia="宋体" w:cs="宋体"/>
          <w:b/>
          <w:bCs w:val="0"/>
          <w:color w:val="auto"/>
          <w:sz w:val="21"/>
          <w:szCs w:val="21"/>
          <w:highlight w:val="none"/>
          <w:lang w:val="en-US" w:eastAsia="zh-CN"/>
        </w:rPr>
        <w:t>3</w:t>
      </w:r>
      <w:r>
        <w:rPr>
          <w:rFonts w:hint="eastAsia" w:ascii="宋体"/>
          <w:color w:val="auto"/>
          <w:sz w:val="21"/>
          <w:szCs w:val="21"/>
          <w:highlight w:val="none"/>
        </w:rPr>
        <w:t>资格审查不合格的投标文件不参加下一阶段的评标，不参与评标参考价的计算</w:t>
      </w:r>
      <w:r>
        <w:rPr>
          <w:rFonts w:hint="eastAsia" w:ascii="宋体" w:hAnsi="宋体" w:eastAsia="宋体" w:cs="宋体"/>
          <w:bCs/>
          <w:color w:val="auto"/>
          <w:sz w:val="21"/>
          <w:szCs w:val="21"/>
          <w:highlight w:val="none"/>
        </w:rPr>
        <w:t>。</w:t>
      </w:r>
    </w:p>
    <w:p>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val="0"/>
          <w:color w:val="auto"/>
          <w:sz w:val="21"/>
          <w:szCs w:val="21"/>
          <w:highlight w:val="none"/>
        </w:rPr>
        <w:t>43.</w:t>
      </w:r>
      <w:r>
        <w:rPr>
          <w:rFonts w:hint="eastAsia" w:ascii="宋体" w:hAnsi="宋体" w:eastAsia="宋体" w:cs="宋体"/>
          <w:b/>
          <w:bCs w:val="0"/>
          <w:color w:val="auto"/>
          <w:sz w:val="21"/>
          <w:szCs w:val="21"/>
          <w:highlight w:val="none"/>
          <w:lang w:val="en-US" w:eastAsia="zh-CN"/>
        </w:rPr>
        <w:t>3</w:t>
      </w:r>
      <w:r>
        <w:rPr>
          <w:rFonts w:hint="eastAsia" w:ascii="宋体" w:hAnsi="宋体" w:eastAsia="宋体" w:cs="宋体"/>
          <w:b w:val="0"/>
          <w:bCs/>
          <w:color w:val="auto"/>
          <w:sz w:val="21"/>
          <w:szCs w:val="21"/>
          <w:highlight w:val="none"/>
        </w:rPr>
        <w:t>资格审查不合格的投标文件不参与下一阶段的</w:t>
      </w:r>
      <w:r>
        <w:rPr>
          <w:rFonts w:hint="eastAsia" w:ascii="宋体" w:hAnsi="宋体" w:eastAsia="宋体" w:cs="宋体"/>
          <w:b w:val="0"/>
          <w:bCs/>
          <w:color w:val="auto"/>
          <w:sz w:val="21"/>
          <w:szCs w:val="21"/>
          <w:highlight w:val="none"/>
          <w:u w:val="single"/>
        </w:rPr>
        <w:t>评审</w:t>
      </w:r>
      <w:r>
        <w:rPr>
          <w:rFonts w:hint="eastAsia" w:ascii="宋体" w:hAnsi="宋体" w:eastAsia="宋体" w:cs="宋体"/>
          <w:bCs/>
          <w:color w:val="auto"/>
          <w:sz w:val="21"/>
          <w:szCs w:val="21"/>
          <w:highlight w:val="none"/>
          <w:u w:val="single"/>
        </w:rPr>
        <w:t>。</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条款号：43.6                 修改类型：修改</w:t>
      </w:r>
    </w:p>
    <w:p>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val="0"/>
          <w:color w:val="auto"/>
          <w:sz w:val="21"/>
          <w:szCs w:val="21"/>
          <w:highlight w:val="none"/>
        </w:rPr>
        <w:t>43.6</w:t>
      </w:r>
      <w:r>
        <w:rPr>
          <w:rFonts w:hint="eastAsia" w:ascii="宋体" w:hAnsi="宋体" w:eastAsia="宋体" w:cs="宋体"/>
          <w:bCs/>
          <w:color w:val="auto"/>
          <w:sz w:val="21"/>
          <w:szCs w:val="21"/>
          <w:highlight w:val="none"/>
        </w:rPr>
        <w:t>资格审查合格的投标人少于3名的（当N个标段同时招标且不允许兼中时，资格审查合格的投标人少于N+2名），则本项目招标失败，由招标人依法重新招标。</w:t>
      </w:r>
    </w:p>
    <w:p>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val="0"/>
          <w:color w:val="auto"/>
          <w:sz w:val="21"/>
          <w:szCs w:val="21"/>
          <w:highlight w:val="none"/>
        </w:rPr>
        <w:t>43.6</w:t>
      </w:r>
      <w:r>
        <w:rPr>
          <w:rFonts w:hint="eastAsia" w:ascii="宋体" w:hAnsi="宋体" w:eastAsia="宋体" w:cs="宋体"/>
          <w:bCs/>
          <w:color w:val="auto"/>
          <w:sz w:val="21"/>
          <w:szCs w:val="21"/>
          <w:highlight w:val="none"/>
          <w:u w:val="single"/>
        </w:rPr>
        <w:t>资格审查合格的投标人少于3名的，则本项目招标失败，由招标人依法重新招标。</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条款号：44.1                   修改类型：修改</w:t>
      </w:r>
    </w:p>
    <w:p>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color w:val="auto"/>
          <w:sz w:val="21"/>
          <w:szCs w:val="21"/>
          <w:highlight w:val="none"/>
        </w:rPr>
        <w:t>44.1</w:t>
      </w:r>
      <w:r>
        <w:rPr>
          <w:rFonts w:hint="eastAsia" w:ascii="宋体" w:hAnsi="宋体" w:eastAsia="宋体" w:cs="宋体"/>
          <w:color w:val="auto"/>
          <w:sz w:val="21"/>
          <w:szCs w:val="21"/>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本项目招标失败（当N个标段同时招标且不允许兼中时，通过技术标有效性审查投标人应≥N+2），由招标人依法重新招标。评委发现投标文件中含义不明确、对同类问题表述不一致、有明显文字和计算错误的，应当要求投标人作必要的澄清、说明后再判定投标人是否通过有效性审查，不得直接否决投标。</w:t>
      </w:r>
    </w:p>
    <w:p>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rPr>
        <w:t>44.1</w:t>
      </w:r>
      <w:r>
        <w:rPr>
          <w:rFonts w:hint="eastAsia" w:ascii="宋体" w:hAnsi="宋体" w:eastAsia="宋体" w:cs="宋体"/>
          <w:bCs/>
          <w:color w:val="auto"/>
          <w:sz w:val="21"/>
          <w:szCs w:val="21"/>
          <w:highlight w:val="none"/>
          <w:u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w:t>
      </w:r>
      <w:r>
        <w:rPr>
          <w:rFonts w:hint="eastAsia" w:ascii="宋体" w:hAnsi="宋体" w:eastAsia="宋体" w:cs="宋体"/>
          <w:bCs/>
          <w:color w:val="auto"/>
          <w:sz w:val="21"/>
          <w:szCs w:val="21"/>
          <w:highlight w:val="none"/>
          <w:u w:val="single"/>
        </w:rPr>
        <w:t>若通过技术标有效性审查的投标人不足三家，则本项目招标失败</w:t>
      </w:r>
      <w:r>
        <w:rPr>
          <w:rFonts w:hint="eastAsia" w:ascii="宋体" w:hAnsi="宋体" w:eastAsia="宋体" w:cs="宋体"/>
          <w:bCs/>
          <w:color w:val="auto"/>
          <w:sz w:val="21"/>
          <w:szCs w:val="21"/>
          <w:highlight w:val="none"/>
          <w:u w:val="none"/>
        </w:rPr>
        <w:t>，由招标人依法重新招标。评委发现投标文件中含义不明确、对同类问题表述不一致、有明显文字和计算错误的，应当要求投标人作必要的澄清、说明后再判定投标人是否通过有效性审查，不得直接否决投标</w:t>
      </w:r>
      <w:r>
        <w:rPr>
          <w:rFonts w:hint="eastAsia" w:ascii="宋体" w:hAnsi="宋体" w:eastAsia="宋体" w:cs="宋体"/>
          <w:color w:val="auto"/>
          <w:sz w:val="21"/>
          <w:szCs w:val="21"/>
          <w:highlight w:val="none"/>
          <w:u w:val="none"/>
        </w:rPr>
        <w:t>。</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条款号：4</w:t>
      </w:r>
      <w:r>
        <w:rPr>
          <w:rFonts w:hint="eastAsia" w:ascii="宋体" w:hAnsi="宋体" w:cs="宋体"/>
          <w:b/>
          <w:color w:val="auto"/>
          <w:sz w:val="21"/>
          <w:szCs w:val="21"/>
          <w:highlight w:val="none"/>
          <w:lang w:val="en-US" w:eastAsia="zh-CN"/>
        </w:rPr>
        <w:t>4.2</w:t>
      </w:r>
      <w:r>
        <w:rPr>
          <w:rFonts w:hint="eastAsia" w:ascii="宋体" w:hAnsi="宋体" w:eastAsia="宋体" w:cs="宋体"/>
          <w:b/>
          <w:color w:val="auto"/>
          <w:sz w:val="21"/>
          <w:szCs w:val="21"/>
          <w:highlight w:val="none"/>
        </w:rPr>
        <w:t xml:space="preserve">                 修改类型：</w:t>
      </w:r>
      <w:r>
        <w:rPr>
          <w:rFonts w:hint="eastAsia" w:ascii="宋体" w:hAnsi="宋体" w:cs="宋体"/>
          <w:b/>
          <w:color w:val="auto"/>
          <w:sz w:val="21"/>
          <w:szCs w:val="21"/>
          <w:highlight w:val="none"/>
          <w:lang w:val="en-US" w:eastAsia="zh-CN"/>
        </w:rPr>
        <w:t>删除</w:t>
      </w:r>
    </w:p>
    <w:p>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val="0"/>
          <w:color w:val="auto"/>
          <w:sz w:val="21"/>
          <w:szCs w:val="21"/>
          <w:highlight w:val="none"/>
        </w:rPr>
        <w:t>4</w:t>
      </w:r>
      <w:r>
        <w:rPr>
          <w:rFonts w:hint="eastAsia" w:ascii="宋体" w:hAnsi="宋体" w:cs="宋体"/>
          <w:b/>
          <w:bCs w:val="0"/>
          <w:color w:val="auto"/>
          <w:sz w:val="21"/>
          <w:szCs w:val="21"/>
          <w:highlight w:val="none"/>
          <w:lang w:val="en-US" w:eastAsia="zh-CN"/>
        </w:rPr>
        <w:t>4.2</w:t>
      </w:r>
      <w:r>
        <w:rPr>
          <w:rFonts w:hint="eastAsia" w:ascii="宋体" w:hAnsi="宋体" w:cs="宋体"/>
          <w:b w:val="0"/>
          <w:bCs/>
          <w:color w:val="auto"/>
          <w:sz w:val="21"/>
          <w:szCs w:val="21"/>
          <w:highlight w:val="none"/>
          <w:lang w:val="en-US" w:eastAsia="zh-CN"/>
        </w:rPr>
        <w:t>技术标详细审查评分：评标委员会按照附表四《技术标详细审查评分表》的标准，对通过技术标有效性审查的投标文件技术标进行详细审查，评出技术分，得分四舍五入精确到小数点后两位</w:t>
      </w:r>
      <w:r>
        <w:rPr>
          <w:rFonts w:hint="eastAsia" w:ascii="宋体" w:hAnsi="宋体" w:eastAsia="宋体" w:cs="宋体"/>
          <w:bCs/>
          <w:color w:val="auto"/>
          <w:sz w:val="21"/>
          <w:szCs w:val="21"/>
          <w:highlight w:val="none"/>
          <w:u w:val="none"/>
        </w:rPr>
        <w:t>。</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条款号：4</w:t>
      </w:r>
      <w:r>
        <w:rPr>
          <w:rFonts w:hint="eastAsia" w:ascii="宋体" w:hAnsi="宋体" w:cs="宋体"/>
          <w:b/>
          <w:color w:val="auto"/>
          <w:sz w:val="21"/>
          <w:szCs w:val="21"/>
          <w:highlight w:val="none"/>
          <w:lang w:val="en-US" w:eastAsia="zh-CN"/>
        </w:rPr>
        <w:t>6.</w:t>
      </w:r>
      <w:r>
        <w:rPr>
          <w:rFonts w:hint="eastAsia" w:ascii="宋体" w:hAnsi="宋体" w:eastAsia="宋体" w:cs="宋体"/>
          <w:b/>
          <w:color w:val="auto"/>
          <w:sz w:val="21"/>
          <w:szCs w:val="21"/>
          <w:highlight w:val="none"/>
        </w:rPr>
        <w:t xml:space="preserve">     </w:t>
      </w:r>
      <w:r>
        <w:rPr>
          <w:rFonts w:hint="eastAsia" w:ascii="宋体" w:hAnsi="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修改类型：修改</w:t>
      </w:r>
    </w:p>
    <w:p>
      <w:pPr>
        <w:keepNext w:val="0"/>
        <w:keepLines w:val="0"/>
        <w:pageBreakBefore w:val="0"/>
        <w:widowControl/>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原文：46．</w:t>
      </w:r>
      <w:r>
        <w:rPr>
          <w:rFonts w:hint="eastAsia" w:ascii="宋体" w:hAnsi="宋体" w:eastAsia="宋体" w:cs="宋体"/>
          <w:b w:val="0"/>
          <w:bCs w:val="0"/>
          <w:color w:val="auto"/>
          <w:kern w:val="0"/>
          <w:sz w:val="21"/>
          <w:szCs w:val="21"/>
          <w:highlight w:val="none"/>
          <w:lang w:val="en-US" w:eastAsia="zh-CN"/>
        </w:rPr>
        <w:t>经济标评审和得分汇总</w:t>
      </w:r>
    </w:p>
    <w:p>
      <w:pPr>
        <w:keepNext w:val="0"/>
        <w:keepLines w:val="0"/>
        <w:pageBreakBefore w:val="0"/>
        <w:widowControl/>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46.1</w:t>
      </w:r>
      <w:r>
        <w:rPr>
          <w:rFonts w:hint="eastAsia" w:ascii="宋体" w:hAnsi="宋体" w:eastAsia="宋体" w:cs="宋体"/>
          <w:b w:val="0"/>
          <w:bCs w:val="0"/>
          <w:color w:val="auto"/>
          <w:kern w:val="0"/>
          <w:sz w:val="21"/>
          <w:szCs w:val="21"/>
          <w:highlight w:val="none"/>
          <w:lang w:val="en-US" w:eastAsia="zh-CN"/>
        </w:rPr>
        <w:t>若通过技术标有效性审查的投标人中所有投标报价均大于等于最高投标限价，则本项目招标失败，由招标人依法重新招标。</w:t>
      </w:r>
    </w:p>
    <w:p>
      <w:pPr>
        <w:keepNext w:val="0"/>
        <w:keepLines w:val="0"/>
        <w:pageBreakBefore w:val="0"/>
        <w:widowControl/>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46.2</w:t>
      </w:r>
      <w:r>
        <w:rPr>
          <w:rFonts w:hint="eastAsia" w:ascii="宋体" w:hAnsi="宋体" w:eastAsia="宋体" w:cs="宋体"/>
          <w:b w:val="0"/>
          <w:bCs w:val="0"/>
          <w:color w:val="auto"/>
          <w:kern w:val="0"/>
          <w:sz w:val="21"/>
          <w:szCs w:val="21"/>
          <w:highlight w:val="none"/>
        </w:rPr>
        <w:t>按</w:t>
      </w:r>
      <w:r>
        <w:rPr>
          <w:rFonts w:hint="eastAsia" w:ascii="宋体" w:hAnsi="宋体" w:eastAsia="宋体" w:cs="宋体"/>
          <w:b w:val="0"/>
          <w:bCs w:val="0"/>
          <w:color w:val="auto"/>
          <w:kern w:val="0"/>
          <w:sz w:val="21"/>
          <w:szCs w:val="21"/>
          <w:highlight w:val="none"/>
          <w:lang w:eastAsia="zh-CN"/>
        </w:rPr>
        <w:t>以下</w:t>
      </w:r>
      <w:r>
        <w:rPr>
          <w:rFonts w:hint="eastAsia" w:ascii="宋体" w:hAnsi="宋体" w:eastAsia="宋体" w:cs="宋体"/>
          <w:b w:val="0"/>
          <w:bCs w:val="0"/>
          <w:color w:val="auto"/>
          <w:kern w:val="0"/>
          <w:sz w:val="21"/>
          <w:szCs w:val="21"/>
          <w:highlight w:val="none"/>
        </w:rPr>
        <w:t>方法计算评标参考价：</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区间抽取法</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设立入围合格分数线（技术标或技术标加</w:t>
      </w:r>
      <w:r>
        <w:rPr>
          <w:rFonts w:hint="eastAsia" w:ascii="宋体" w:hAnsi="宋体" w:eastAsia="宋体" w:cs="宋体"/>
          <w:color w:val="auto"/>
          <w:sz w:val="21"/>
          <w:szCs w:val="21"/>
          <w:highlight w:val="none"/>
          <w:lang w:eastAsia="zh-CN"/>
        </w:rPr>
        <w:t>企业信用评价得分</w:t>
      </w:r>
      <w:r>
        <w:rPr>
          <w:rFonts w:hint="eastAsia" w:ascii="宋体" w:hAnsi="宋体" w:eastAsia="宋体" w:cs="宋体"/>
          <w:color w:val="auto"/>
          <w:sz w:val="21"/>
          <w:szCs w:val="21"/>
          <w:highlight w:val="none"/>
        </w:rPr>
        <w:t>，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评标参考价=（Q高-Q低）/100*Ｘ+Q低</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Q低：为达到或超过技术标及格分数线的投标人最低报价与工程成本警示价两者中的较高值；</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Q高：为</w:t>
      </w:r>
      <w:r>
        <w:rPr>
          <w:rFonts w:hint="eastAsia" w:ascii="宋体" w:hAnsi="宋体" w:eastAsia="宋体" w:cs="宋体"/>
          <w:color w:val="auto"/>
          <w:sz w:val="21"/>
          <w:szCs w:val="21"/>
          <w:highlight w:val="none"/>
          <w:lang w:eastAsia="zh-CN"/>
        </w:rPr>
        <w:t>最</w:t>
      </w:r>
      <w:r>
        <w:rPr>
          <w:rFonts w:hint="eastAsia" w:ascii="宋体" w:hAnsi="宋体" w:eastAsia="宋体" w:cs="宋体"/>
          <w:color w:val="auto"/>
          <w:sz w:val="21"/>
          <w:szCs w:val="21"/>
          <w:highlight w:val="none"/>
        </w:rPr>
        <w:t>高投标限价</w:t>
      </w:r>
      <w:r>
        <w:rPr>
          <w:rFonts w:hint="eastAsia" w:ascii="宋体" w:hAnsi="宋体" w:eastAsia="宋体" w:cs="宋体"/>
          <w:color w:val="auto"/>
          <w:sz w:val="21"/>
          <w:szCs w:val="21"/>
          <w:highlight w:val="none"/>
          <w:lang w:val="en-US" w:eastAsia="zh-CN"/>
        </w:rPr>
        <w:t>*D%（政府投资项目，D的取值范围为[94-100],由招标人自主确定；非政府投资项目由招标人自主确定取值范围），具体金额为               元。</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为等分点值，在开标前从[0,100]整数中随机抽取</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46.3当标价等于评标参考价时得100分，标价每高于评标参考价1%，扣1.5分，每低于评标参考价1%，扣1分，扣至0分为止，得出经济分，精确到小数点后两位。</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46.4计算通过技术标有效性审查的投标人总得分。投标人总得分=（技术得分×  %（技术得分权重）＋经济得分×  %（经济得分权重）×（1-信用评价分数权重）＋信用评价得分×  %（企业信用评价得分权重，招标人可在[10%-20%]范围内自主确定）。技术、经济得分权重按投标须知前附表的规定执行。总得分四舍五入保留两位小数。</w:t>
      </w:r>
    </w:p>
    <w:p>
      <w:pPr>
        <w:spacing w:line="360" w:lineRule="auto"/>
        <w:ind w:firstLine="422" w:firstLineChars="200"/>
        <w:rPr>
          <w:rFonts w:hint="eastAsia" w:ascii="宋体" w:hAnsi="宋体" w:cs="宋体"/>
          <w:color w:val="auto"/>
          <w:szCs w:val="21"/>
          <w:highlight w:val="none"/>
        </w:rPr>
      </w:pPr>
      <w:r>
        <w:rPr>
          <w:rFonts w:hint="eastAsia" w:ascii="宋体" w:hAnsi="宋体" w:eastAsia="宋体" w:cs="宋体"/>
          <w:b/>
          <w:bCs/>
          <w:color w:val="auto"/>
          <w:sz w:val="21"/>
          <w:szCs w:val="21"/>
          <w:highlight w:val="none"/>
        </w:rPr>
        <w:t>现文：4</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w:t>
      </w:r>
      <w:r>
        <w:rPr>
          <w:rFonts w:hint="eastAsia" w:ascii="宋体" w:hAnsi="宋体" w:cs="宋体"/>
          <w:color w:val="auto"/>
          <w:szCs w:val="21"/>
          <w:highlight w:val="none"/>
        </w:rPr>
        <w:t>经济标评审和得分汇总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.1若通过技术标有效性审查的投标人中所有投标报价均大于等于最高投标限价，则本项目招标失败，由招标人依法重新招标。</w:t>
      </w:r>
    </w:p>
    <w:p>
      <w:pPr>
        <w:spacing w:line="360" w:lineRule="auto"/>
        <w:ind w:firstLine="420" w:firstLineChars="200"/>
        <w:rPr>
          <w:rFonts w:hint="eastAsia" w:ascii="宋体" w:hAnsi="宋体" w:cs="宋体"/>
          <w:b/>
          <w:bCs/>
          <w:color w:val="auto"/>
          <w:szCs w:val="21"/>
          <w:highlight w:val="none"/>
          <w:u w:val="singl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.2计算通过技术标有效性审查的投标人总得分。投标人总得分</w:t>
      </w:r>
      <w:r>
        <w:rPr>
          <w:rFonts w:hint="eastAsia" w:ascii="宋体" w:hAnsi="宋体" w:cs="宋体"/>
          <w:b/>
          <w:bCs/>
          <w:color w:val="auto"/>
          <w:szCs w:val="21"/>
          <w:highlight w:val="none"/>
          <w:u w:val="single"/>
        </w:rPr>
        <w:t>=项目管理机构能力评审得分（满分</w:t>
      </w:r>
      <w:r>
        <w:rPr>
          <w:rFonts w:hint="eastAsia" w:ascii="宋体" w:hAnsi="宋体" w:cs="宋体"/>
          <w:b/>
          <w:bCs/>
          <w:color w:val="auto"/>
          <w:szCs w:val="21"/>
          <w:highlight w:val="none"/>
          <w:u w:val="single"/>
          <w:lang w:val="en-US" w:eastAsia="zh-CN"/>
        </w:rPr>
        <w:t>40</w:t>
      </w:r>
      <w:r>
        <w:rPr>
          <w:rFonts w:hint="eastAsia" w:ascii="宋体" w:hAnsi="宋体" w:cs="宋体"/>
          <w:b/>
          <w:bCs/>
          <w:color w:val="auto"/>
          <w:szCs w:val="21"/>
          <w:highlight w:val="none"/>
          <w:u w:val="single"/>
        </w:rPr>
        <w:t>分）+企业资信评审得分（</w:t>
      </w:r>
      <w:r>
        <w:rPr>
          <w:rFonts w:hint="eastAsia" w:ascii="宋体" w:hAnsi="宋体" w:cs="宋体"/>
          <w:b/>
          <w:bCs/>
          <w:color w:val="auto"/>
          <w:szCs w:val="21"/>
          <w:highlight w:val="none"/>
          <w:u w:val="single"/>
          <w:lang w:val="en-US" w:eastAsia="zh-CN"/>
        </w:rPr>
        <w:t>2</w:t>
      </w:r>
      <w:r>
        <w:rPr>
          <w:rFonts w:hint="eastAsia" w:ascii="宋体" w:hAnsi="宋体" w:cs="宋体"/>
          <w:b/>
          <w:bCs/>
          <w:color w:val="auto"/>
          <w:szCs w:val="21"/>
          <w:highlight w:val="none"/>
          <w:u w:val="single"/>
        </w:rPr>
        <w:t>0分</w:t>
      </w:r>
      <w:r>
        <w:rPr>
          <w:rFonts w:hint="eastAsia" w:ascii="宋体" w:hAnsi="宋体" w:eastAsia="宋体" w:cs="宋体"/>
          <w:b/>
          <w:bCs/>
          <w:color w:val="auto"/>
          <w:szCs w:val="21"/>
          <w:highlight w:val="none"/>
          <w:u w:val="single"/>
        </w:rPr>
        <w:t>）</w:t>
      </w:r>
      <w:r>
        <w:rPr>
          <w:rFonts w:hint="eastAsia" w:ascii="宋体" w:hAnsi="宋体" w:eastAsia="宋体" w:cs="宋体"/>
          <w:b/>
          <w:bCs/>
          <w:color w:val="auto"/>
          <w:szCs w:val="21"/>
          <w:highlight w:val="none"/>
          <w:u w:val="single"/>
          <w:lang w:val="en-US" w:eastAsia="zh-CN"/>
        </w:rPr>
        <w:t>+施工组织设计（</w:t>
      </w:r>
      <w:r>
        <w:rPr>
          <w:rFonts w:hint="eastAsia" w:ascii="宋体" w:hAnsi="宋体" w:cs="宋体"/>
          <w:b/>
          <w:bCs/>
          <w:color w:val="auto"/>
          <w:szCs w:val="21"/>
          <w:highlight w:val="none"/>
          <w:u w:val="single"/>
          <w:lang w:val="en-US" w:eastAsia="zh-CN"/>
        </w:rPr>
        <w:t>4</w:t>
      </w:r>
      <w:r>
        <w:rPr>
          <w:rFonts w:hint="eastAsia" w:ascii="宋体" w:hAnsi="宋体" w:eastAsia="宋体" w:cs="宋体"/>
          <w:b/>
          <w:bCs/>
          <w:color w:val="auto"/>
          <w:szCs w:val="21"/>
          <w:highlight w:val="none"/>
          <w:u w:val="single"/>
          <w:lang w:val="en-US" w:eastAsia="zh-CN"/>
        </w:rPr>
        <w:t>0分）</w:t>
      </w:r>
      <w:r>
        <w:rPr>
          <w:rFonts w:hint="eastAsia" w:ascii="宋体" w:hAnsi="宋体" w:cs="宋体"/>
          <w:color w:val="auto"/>
          <w:szCs w:val="21"/>
          <w:highlight w:val="none"/>
        </w:rPr>
        <w:t>。相关部分得分权重按投标须知前附表的规定执行。总得分四舍五入保留两位小数。</w:t>
      </w:r>
    </w:p>
    <w:p>
      <w:pPr>
        <w:keepNext w:val="0"/>
        <w:keepLines w:val="0"/>
        <w:pageBreakBefore w:val="0"/>
        <w:pBdr>
          <w:bottom w:val="single" w:color="auto" w:sz="6" w:space="1"/>
        </w:pBdr>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highlight w:val="none"/>
          <w:u w:val="single"/>
          <w:lang w:eastAsia="zh-CN"/>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.3</w:t>
      </w:r>
      <w:r>
        <w:rPr>
          <w:rFonts w:hint="eastAsia" w:ascii="宋体" w:hAnsi="宋体" w:cs="宋体"/>
          <w:color w:val="auto"/>
          <w:highlight w:val="none"/>
          <w:u w:val="single"/>
        </w:rPr>
        <w:t>评标委员会按照招标文件规定的评标程序对投标人进行评审。若通过</w:t>
      </w:r>
      <w:r>
        <w:rPr>
          <w:rFonts w:hint="eastAsia" w:ascii="宋体" w:hAnsi="宋体" w:cs="宋体"/>
          <w:color w:val="auto"/>
          <w:highlight w:val="none"/>
          <w:u w:val="single"/>
          <w:lang w:val="en-US" w:eastAsia="zh-CN"/>
        </w:rPr>
        <w:t>资格审查、</w:t>
      </w:r>
      <w:r>
        <w:rPr>
          <w:rFonts w:hint="eastAsia" w:ascii="宋体" w:hAnsi="宋体" w:cs="宋体"/>
          <w:color w:val="auto"/>
          <w:highlight w:val="none"/>
          <w:u w:val="single"/>
        </w:rPr>
        <w:t>技术标及经济标有效性审查的合格投标人大于等于3家且少于等于20家的，则推荐全部合格的投标人</w:t>
      </w:r>
      <w:r>
        <w:rPr>
          <w:rFonts w:hint="eastAsia" w:ascii="宋体" w:hAnsi="宋体" w:cs="宋体"/>
          <w:color w:val="auto"/>
          <w:highlight w:val="none"/>
          <w:u w:val="single"/>
          <w:lang w:val="en-US" w:eastAsia="zh-CN"/>
        </w:rPr>
        <w:t>为合格中标候选人（</w:t>
      </w:r>
      <w:r>
        <w:rPr>
          <w:rFonts w:hint="eastAsia" w:ascii="宋体" w:hAnsi="宋体" w:cs="宋体"/>
          <w:color w:val="auto"/>
          <w:highlight w:val="none"/>
          <w:u w:val="single"/>
        </w:rPr>
        <w:t>不排序</w:t>
      </w:r>
      <w:r>
        <w:rPr>
          <w:rFonts w:hint="eastAsia" w:ascii="宋体" w:hAnsi="宋体" w:cs="宋体"/>
          <w:color w:val="auto"/>
          <w:highlight w:val="none"/>
          <w:u w:val="single"/>
          <w:lang w:val="en-US" w:eastAsia="zh-CN"/>
        </w:rPr>
        <w:t>）</w:t>
      </w:r>
      <w:r>
        <w:rPr>
          <w:rFonts w:hint="eastAsia" w:ascii="宋体" w:hAnsi="宋体" w:cs="宋体"/>
          <w:color w:val="auto"/>
          <w:highlight w:val="none"/>
          <w:u w:val="single"/>
        </w:rPr>
        <w:t>进入定标阶段。若通过</w:t>
      </w:r>
      <w:r>
        <w:rPr>
          <w:rFonts w:hint="eastAsia" w:ascii="宋体" w:hAnsi="宋体" w:cs="宋体"/>
          <w:color w:val="auto"/>
          <w:highlight w:val="none"/>
          <w:u w:val="single"/>
          <w:lang w:val="en-US" w:eastAsia="zh-CN"/>
        </w:rPr>
        <w:t>资格审查、</w:t>
      </w:r>
      <w:r>
        <w:rPr>
          <w:rFonts w:hint="eastAsia" w:ascii="宋体" w:hAnsi="宋体" w:cs="宋体"/>
          <w:color w:val="auto"/>
          <w:highlight w:val="none"/>
          <w:u w:val="single"/>
        </w:rPr>
        <w:t>技术标及经济标有效性审查的合格投标人大于20家的，</w:t>
      </w:r>
      <w:r>
        <w:rPr>
          <w:rFonts w:hint="eastAsia" w:ascii="宋体" w:hAnsi="宋体" w:cs="宋体"/>
          <w:color w:val="auto"/>
          <w:highlight w:val="none"/>
          <w:u w:val="single"/>
          <w:lang w:val="en-US" w:eastAsia="zh-CN"/>
        </w:rPr>
        <w:t>由评标委员会根据《附表四：技术标详细审查评分表》的标准对通过资格审查、</w:t>
      </w:r>
      <w:r>
        <w:rPr>
          <w:rFonts w:hint="eastAsia" w:ascii="宋体" w:hAnsi="宋体" w:cs="宋体"/>
          <w:color w:val="auto"/>
          <w:highlight w:val="none"/>
          <w:u w:val="single"/>
        </w:rPr>
        <w:t>技术标及经济标有效性审查的合格投标人</w:t>
      </w:r>
      <w:r>
        <w:rPr>
          <w:rFonts w:hint="eastAsia" w:ascii="宋体" w:hAnsi="宋体" w:cs="宋体"/>
          <w:color w:val="auto"/>
          <w:highlight w:val="none"/>
          <w:u w:val="single"/>
          <w:lang w:val="en-US" w:eastAsia="zh-CN"/>
        </w:rPr>
        <w:t>的技术标投标文件进行详细审查，评出技术标得分</w:t>
      </w:r>
      <w:r>
        <w:rPr>
          <w:rFonts w:hint="eastAsia" w:ascii="宋体" w:hAnsi="宋体" w:cs="宋体"/>
          <w:b w:val="0"/>
          <w:bCs w:val="0"/>
          <w:color w:val="auto"/>
          <w:highlight w:val="none"/>
          <w:u w:val="single"/>
          <w:lang w:val="en-US" w:eastAsia="zh-CN"/>
        </w:rPr>
        <w:t>（投标人总得分=项目管理机构能力评审得分（满分40分）+企业资信评审得分（满分20分）+施工组织设计（满分40分））</w:t>
      </w:r>
      <w:r>
        <w:rPr>
          <w:rFonts w:hint="eastAsia" w:ascii="宋体" w:hAnsi="宋体" w:cs="宋体"/>
          <w:color w:val="auto"/>
          <w:highlight w:val="none"/>
          <w:u w:val="single"/>
          <w:lang w:val="en-US" w:eastAsia="zh-CN"/>
        </w:rPr>
        <w:t>。</w:t>
      </w:r>
      <w:r>
        <w:rPr>
          <w:rFonts w:hint="eastAsia" w:ascii="宋体" w:hAnsi="宋体" w:eastAsia="宋体" w:cs="宋体"/>
          <w:b w:val="0"/>
          <w:bCs w:val="0"/>
          <w:color w:val="auto"/>
          <w:kern w:val="2"/>
          <w:sz w:val="21"/>
          <w:szCs w:val="22"/>
          <w:highlight w:val="none"/>
          <w:u w:val="single"/>
          <w:lang w:val="en-US" w:eastAsia="zh-CN" w:bidi="ar-SA"/>
        </w:rPr>
        <w:t>按投标人总得分由高至低推荐排前20名的合格中标候选人【不排序，按统一社会信用代码后4位（除校验码外）大小排位】进入定标阶段</w:t>
      </w:r>
      <w:r>
        <w:rPr>
          <w:rFonts w:hint="eastAsia" w:ascii="宋体" w:hAnsi="宋体" w:cs="宋体"/>
          <w:color w:val="auto"/>
          <w:highlight w:val="none"/>
          <w:u w:val="single"/>
          <w:lang w:eastAsia="zh-CN"/>
        </w:rPr>
        <w:t>。</w:t>
      </w:r>
    </w:p>
    <w:p>
      <w:pPr>
        <w:keepNext w:val="0"/>
        <w:keepLines w:val="0"/>
        <w:pageBreakBefore w:val="0"/>
        <w:pBdr>
          <w:bottom w:val="single" w:color="auto" w:sz="6" w:space="1"/>
        </w:pBd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sz w:val="21"/>
          <w:szCs w:val="21"/>
          <w:highlight w:val="none"/>
          <w:u w:val="single"/>
          <w:lang w:val="en-US" w:eastAsia="zh-CN"/>
        </w:rPr>
      </w:pPr>
      <w:r>
        <w:rPr>
          <w:rFonts w:hint="eastAsia" w:ascii="宋体" w:hAnsi="宋体" w:cs="宋体"/>
          <w:color w:val="auto"/>
          <w:highlight w:val="none"/>
          <w:u w:val="single"/>
        </w:rPr>
        <w:t>总得分相同的投标文件，以施工组织设计部分得分较高的排前；总得分与施工组织设计部分得分均相同的投标文件，则按名次并列计算。若名次排列出现并列，则占用下一名次(如：第一名分数均相同的投标人有N个，则该N个投标人并列为第一名，下一名按第N+1名计算，</w:t>
      </w:r>
      <w:r>
        <w:rPr>
          <w:rFonts w:hint="eastAsia" w:ascii="宋体" w:hAnsi="宋体" w:cs="宋体"/>
          <w:color w:val="auto"/>
          <w:highlight w:val="none"/>
          <w:u w:val="single"/>
          <w:lang w:eastAsia="zh-CN"/>
        </w:rPr>
        <w:t>以</w:t>
      </w:r>
      <w:r>
        <w:rPr>
          <w:rFonts w:hint="eastAsia" w:ascii="宋体" w:hAnsi="宋体" w:cs="宋体"/>
          <w:color w:val="auto"/>
          <w:highlight w:val="none"/>
          <w:u w:val="single"/>
        </w:rPr>
        <w:t>此类推）。如排名第20名的投标人有N个，则这N个投标人都推荐进入定标阶段</w:t>
      </w:r>
      <w:r>
        <w:rPr>
          <w:rFonts w:hint="eastAsia" w:ascii="宋体" w:hAnsi="宋体" w:eastAsia="宋体" w:cs="宋体"/>
          <w:bCs/>
          <w:color w:val="auto"/>
          <w:sz w:val="21"/>
          <w:szCs w:val="21"/>
          <w:highlight w:val="none"/>
          <w:u w:val="single"/>
          <w:lang w:val="en-US" w:eastAsia="zh-CN"/>
        </w:rPr>
        <w:t>。</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eastAsia="宋体" w:cs="宋体"/>
          <w:b/>
          <w:color w:val="auto"/>
          <w:szCs w:val="21"/>
          <w:highlight w:val="none"/>
          <w:lang w:eastAsia="zh-CN"/>
        </w:rPr>
        <w:t>4</w:t>
      </w:r>
      <w:r>
        <w:rPr>
          <w:rFonts w:hint="eastAsia" w:ascii="宋体" w:hAnsi="宋体" w:eastAsia="宋体" w:cs="宋体"/>
          <w:b/>
          <w:color w:val="auto"/>
          <w:szCs w:val="21"/>
          <w:highlight w:val="none"/>
          <w:lang w:val="en-US" w:eastAsia="zh-CN"/>
        </w:rPr>
        <w:t>7</w:t>
      </w:r>
      <w:r>
        <w:rPr>
          <w:rFonts w:hint="eastAsia" w:ascii="宋体" w:hAnsi="宋体" w:cs="宋体"/>
          <w:b/>
          <w:color w:val="auto"/>
          <w:szCs w:val="21"/>
          <w:highlight w:val="none"/>
        </w:rPr>
        <w:t xml:space="preserve">              修改类型：修改</w:t>
      </w:r>
    </w:p>
    <w:p>
      <w:pPr>
        <w:pBdr>
          <w:bottom w:val="single" w:color="auto" w:sz="6" w:space="1"/>
        </w:pBdr>
        <w:spacing w:line="360" w:lineRule="auto"/>
        <w:ind w:firstLine="527" w:firstLineChars="25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lang w:eastAsia="zh-CN"/>
        </w:rPr>
        <w:t>7</w:t>
      </w:r>
      <w:r>
        <w:rPr>
          <w:rFonts w:hint="eastAsia" w:ascii="宋体" w:hAnsi="宋体" w:eastAsia="宋体" w:cs="宋体"/>
          <w:b/>
          <w:bCs/>
          <w:color w:val="auto"/>
          <w:sz w:val="21"/>
          <w:szCs w:val="21"/>
          <w:highlight w:val="none"/>
        </w:rPr>
        <w:t>.1</w:t>
      </w:r>
      <w:r>
        <w:rPr>
          <w:rFonts w:hint="eastAsia" w:ascii="宋体" w:hAnsi="宋体" w:eastAsia="宋体" w:cs="宋体"/>
          <w:color w:val="auto"/>
          <w:sz w:val="21"/>
          <w:szCs w:val="21"/>
          <w:highlight w:val="none"/>
        </w:rPr>
        <w:t>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r>
        <w:rPr>
          <w:rFonts w:hint="eastAsia" w:ascii="宋体" w:hAnsi="宋体" w:eastAsia="宋体" w:cs="宋体"/>
          <w:color w:val="auto"/>
          <w:sz w:val="21"/>
          <w:szCs w:val="21"/>
          <w:highlight w:val="none"/>
          <w:lang w:eastAsia="zh-CN"/>
        </w:rPr>
        <w:t>属于经济标算术校核范围的不得作为否决投标的情形</w:t>
      </w:r>
      <w:r>
        <w:rPr>
          <w:rFonts w:hint="eastAsia" w:ascii="宋体" w:hAnsi="宋体" w:eastAsia="宋体" w:cs="宋体"/>
          <w:color w:val="auto"/>
          <w:sz w:val="21"/>
          <w:szCs w:val="21"/>
          <w:highlight w:val="none"/>
        </w:rPr>
        <w:t>。</w:t>
      </w:r>
    </w:p>
    <w:p>
      <w:pPr>
        <w:pBdr>
          <w:bottom w:val="single" w:color="auto" w:sz="6" w:space="1"/>
        </w:pBdr>
        <w:spacing w:line="348" w:lineRule="auto"/>
        <w:ind w:firstLine="527" w:firstLineChars="250"/>
        <w:rPr>
          <w:rFonts w:hint="eastAsia" w:ascii="宋体" w:hAnsi="宋体" w:eastAsia="宋体" w:cs="宋体"/>
          <w:color w:val="auto"/>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val="0"/>
          <w:color w:val="auto"/>
          <w:sz w:val="21"/>
          <w:szCs w:val="21"/>
          <w:highlight w:val="none"/>
        </w:rPr>
        <w:t>：4</w:t>
      </w:r>
      <w:r>
        <w:rPr>
          <w:rFonts w:hint="eastAsia" w:ascii="宋体" w:hAnsi="宋体" w:eastAsia="宋体" w:cs="宋体"/>
          <w:b/>
          <w:bCs w:val="0"/>
          <w:color w:val="auto"/>
          <w:sz w:val="21"/>
          <w:szCs w:val="21"/>
          <w:highlight w:val="none"/>
          <w:lang w:eastAsia="zh-CN"/>
        </w:rPr>
        <w:t>7</w:t>
      </w:r>
      <w:r>
        <w:rPr>
          <w:rFonts w:hint="eastAsia" w:ascii="宋体" w:hAnsi="宋体" w:eastAsia="宋体" w:cs="宋体"/>
          <w:b/>
          <w:bCs w:val="0"/>
          <w:color w:val="auto"/>
          <w:sz w:val="21"/>
          <w:szCs w:val="21"/>
          <w:highlight w:val="none"/>
        </w:rPr>
        <w:t>.1</w:t>
      </w:r>
      <w:r>
        <w:rPr>
          <w:rFonts w:hint="eastAsia" w:ascii="宋体" w:hAnsi="宋体" w:eastAsia="宋体" w:cs="宋体"/>
          <w:color w:val="auto"/>
          <w:sz w:val="21"/>
          <w:szCs w:val="21"/>
          <w:highlight w:val="none"/>
        </w:rPr>
        <w:t>经济标的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r>
        <w:rPr>
          <w:rFonts w:hint="eastAsia" w:ascii="宋体" w:hAnsi="宋体" w:eastAsia="宋体" w:cs="宋体"/>
          <w:color w:val="auto"/>
          <w:sz w:val="21"/>
          <w:szCs w:val="21"/>
          <w:highlight w:val="none"/>
          <w:lang w:eastAsia="zh-CN"/>
        </w:rPr>
        <w:t>属于经济标算术校核范围的不得作为否决投标的情形</w:t>
      </w:r>
      <w:r>
        <w:rPr>
          <w:rFonts w:hint="eastAsia" w:ascii="宋体" w:hAnsi="宋体" w:eastAsia="宋体" w:cs="宋体"/>
          <w:color w:val="auto"/>
          <w:szCs w:val="21"/>
          <w:highlight w:val="none"/>
        </w:rPr>
        <w:t>。</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条款号：4</w:t>
      </w:r>
      <w:r>
        <w:rPr>
          <w:rFonts w:hint="eastAsia" w:ascii="宋体" w:hAnsi="宋体" w:cs="宋体"/>
          <w:b/>
          <w:color w:val="auto"/>
          <w:sz w:val="21"/>
          <w:szCs w:val="21"/>
          <w:highlight w:val="none"/>
          <w:lang w:val="en-US" w:eastAsia="zh-CN"/>
        </w:rPr>
        <w:t>8</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val="en-US" w:eastAsia="zh-CN"/>
        </w:rPr>
        <w:t>修改</w:t>
      </w:r>
    </w:p>
    <w:p>
      <w:pPr>
        <w:keepNext w:val="0"/>
        <w:keepLines w:val="0"/>
        <w:pageBreakBefore w:val="0"/>
        <w:pBdr>
          <w:bottom w:val="single" w:color="auto" w:sz="4"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val="0"/>
          <w:color w:val="auto"/>
          <w:sz w:val="21"/>
          <w:szCs w:val="21"/>
          <w:highlight w:val="none"/>
        </w:rPr>
        <w:t>4</w:t>
      </w:r>
      <w:r>
        <w:rPr>
          <w:rFonts w:hint="eastAsia" w:ascii="宋体" w:hAnsi="宋体" w:cs="宋体"/>
          <w:b/>
          <w:bCs w:val="0"/>
          <w:color w:val="auto"/>
          <w:sz w:val="21"/>
          <w:szCs w:val="21"/>
          <w:highlight w:val="none"/>
          <w:lang w:val="en-US" w:eastAsia="zh-CN"/>
        </w:rPr>
        <w:t>8</w:t>
      </w:r>
      <w:r>
        <w:rPr>
          <w:rFonts w:hint="eastAsia" w:ascii="宋体" w:hAnsi="宋体" w:eastAsia="宋体" w:cs="宋体"/>
          <w:b/>
          <w:bCs w:val="0"/>
          <w:color w:val="auto"/>
          <w:sz w:val="21"/>
          <w:szCs w:val="21"/>
          <w:highlight w:val="none"/>
        </w:rPr>
        <w:t>.</w:t>
      </w:r>
      <w:r>
        <w:rPr>
          <w:rFonts w:hint="eastAsia" w:ascii="宋体" w:hAnsi="宋体" w:eastAsia="宋体" w:cs="宋体"/>
          <w:bCs/>
          <w:color w:val="auto"/>
          <w:sz w:val="21"/>
          <w:szCs w:val="21"/>
          <w:highlight w:val="none"/>
        </w:rPr>
        <w:t>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keepNext w:val="0"/>
        <w:keepLines w:val="0"/>
        <w:pageBreakBefore w:val="0"/>
        <w:pBdr>
          <w:bottom w:val="single" w:color="auto" w:sz="4"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lang w:val="en-US" w:eastAsia="zh-CN"/>
        </w:rPr>
        <w:t>现</w:t>
      </w:r>
      <w:r>
        <w:rPr>
          <w:rFonts w:hint="eastAsia" w:ascii="宋体" w:hAnsi="宋体" w:eastAsia="宋体" w:cs="宋体"/>
          <w:b/>
          <w:color w:val="auto"/>
          <w:sz w:val="21"/>
          <w:szCs w:val="21"/>
          <w:highlight w:val="none"/>
        </w:rPr>
        <w:t>文：</w:t>
      </w:r>
      <w:r>
        <w:rPr>
          <w:rFonts w:hint="eastAsia" w:ascii="宋体" w:hAnsi="宋体" w:eastAsia="宋体" w:cs="宋体"/>
          <w:b/>
          <w:color w:val="auto"/>
          <w:sz w:val="21"/>
          <w:szCs w:val="21"/>
          <w:highlight w:val="none"/>
          <w:lang w:val="en-US" w:eastAsia="zh-CN"/>
        </w:rPr>
        <w:t>4</w:t>
      </w:r>
      <w:r>
        <w:rPr>
          <w:rFonts w:hint="eastAsia" w:ascii="宋体" w:hAnsi="宋体" w:cs="宋体"/>
          <w:b/>
          <w:color w:val="auto"/>
          <w:sz w:val="21"/>
          <w:szCs w:val="21"/>
          <w:highlight w:val="none"/>
          <w:lang w:val="en-US" w:eastAsia="zh-CN"/>
        </w:rPr>
        <w:t>8</w:t>
      </w:r>
      <w:r>
        <w:rPr>
          <w:rFonts w:hint="eastAsia" w:ascii="宋体" w:hAnsi="宋体" w:eastAsia="宋体" w:cs="宋体"/>
          <w:b/>
          <w:color w:val="auto"/>
          <w:sz w:val="21"/>
          <w:szCs w:val="21"/>
          <w:highlight w:val="none"/>
          <w:lang w:val="en-US" w:eastAsia="zh-CN"/>
        </w:rPr>
        <w:t>.</w:t>
      </w:r>
      <w:r>
        <w:rPr>
          <w:rFonts w:hint="eastAsia" w:ascii="宋体" w:hAnsi="宋体" w:eastAsia="宋体" w:cs="宋体"/>
          <w:bCs/>
          <w:color w:val="auto"/>
          <w:sz w:val="21"/>
          <w:szCs w:val="21"/>
          <w:highlight w:val="none"/>
          <w:u w:val="single"/>
        </w:rPr>
        <w:t>评标委员会按只有通过有效性审查的投标人的投标文件方可进入下一阶段评审的评审原则，根据有效性审查结果，取消被否决投标的投标人的</w:t>
      </w:r>
      <w:r>
        <w:rPr>
          <w:rFonts w:hint="eastAsia" w:ascii="宋体" w:hAnsi="宋体" w:eastAsia="宋体" w:cs="宋体"/>
          <w:bCs/>
          <w:color w:val="auto"/>
          <w:sz w:val="21"/>
          <w:szCs w:val="21"/>
          <w:highlight w:val="none"/>
          <w:u w:val="single"/>
          <w:lang w:val="en-US" w:eastAsia="zh-CN"/>
        </w:rPr>
        <w:t>推荐为合格中标候选人的资格</w:t>
      </w:r>
      <w:r>
        <w:rPr>
          <w:rFonts w:hint="eastAsia" w:ascii="宋体" w:hAnsi="宋体" w:eastAsia="宋体" w:cs="宋体"/>
          <w:bCs/>
          <w:color w:val="auto"/>
          <w:sz w:val="21"/>
          <w:szCs w:val="21"/>
          <w:highlight w:val="none"/>
          <w:u w:val="single"/>
        </w:rPr>
        <w:t>。</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条款号：4</w:t>
      </w:r>
      <w:r>
        <w:rPr>
          <w:rFonts w:hint="eastAsia" w:ascii="宋体" w:hAnsi="宋体" w:cs="宋体"/>
          <w:b/>
          <w:color w:val="auto"/>
          <w:sz w:val="21"/>
          <w:szCs w:val="21"/>
          <w:highlight w:val="none"/>
          <w:lang w:val="en-US" w:eastAsia="zh-CN"/>
        </w:rPr>
        <w:t>9</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 xml:space="preserve">              修改类型：修改</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color w:val="auto"/>
          <w:sz w:val="21"/>
          <w:szCs w:val="21"/>
          <w:highlight w:val="none"/>
        </w:rPr>
        <w:t>4</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eastAsia="zh-CN"/>
        </w:rPr>
        <w:t>.</w:t>
      </w:r>
      <w:r>
        <w:rPr>
          <w:rFonts w:hint="eastAsia" w:ascii="宋体" w:hAnsi="宋体"/>
          <w:color w:val="auto"/>
          <w:sz w:val="21"/>
          <w:szCs w:val="21"/>
          <w:highlight w:val="none"/>
        </w:rPr>
        <w:t>评标委员会应在通过投标文件经济标有效性审查的投标人中，按步骤45.4确定的投标人第二阶段排序，推荐前</w:t>
      </w:r>
      <w:r>
        <w:rPr>
          <w:rFonts w:ascii="宋体" w:hAnsi="宋体"/>
          <w:color w:val="auto"/>
          <w:sz w:val="21"/>
          <w:szCs w:val="21"/>
          <w:highlight w:val="none"/>
        </w:rPr>
        <w:t>3</w:t>
      </w:r>
      <w:r>
        <w:rPr>
          <w:rFonts w:hint="eastAsia" w:ascii="宋体" w:hAnsi="宋体"/>
          <w:color w:val="auto"/>
          <w:sz w:val="21"/>
          <w:szCs w:val="21"/>
          <w:highlight w:val="none"/>
        </w:rPr>
        <w:t>名依次为第一中标候选人至第三中标候选人</w:t>
      </w:r>
      <w:r>
        <w:rPr>
          <w:rFonts w:ascii="宋体" w:hAnsi="宋体"/>
          <w:color w:val="auto"/>
          <w:sz w:val="21"/>
          <w:szCs w:val="21"/>
          <w:highlight w:val="none"/>
        </w:rPr>
        <w:t>,</w:t>
      </w:r>
      <w:r>
        <w:rPr>
          <w:rFonts w:hint="eastAsia" w:ascii="宋体" w:hAnsi="宋体"/>
          <w:color w:val="auto"/>
          <w:sz w:val="21"/>
          <w:szCs w:val="21"/>
          <w:highlight w:val="none"/>
        </w:rPr>
        <w:t>并编制评标报告</w:t>
      </w:r>
      <w:r>
        <w:rPr>
          <w:rFonts w:hint="eastAsia" w:ascii="宋体" w:hAnsi="宋体" w:eastAsia="宋体" w:cs="宋体"/>
          <w:b w:val="0"/>
          <w:bCs w:val="0"/>
          <w:color w:val="auto"/>
          <w:sz w:val="21"/>
          <w:szCs w:val="21"/>
          <w:highlight w:val="none"/>
        </w:rPr>
        <w:t>。</w:t>
      </w:r>
    </w:p>
    <w:p>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u w:val="none"/>
        </w:rPr>
        <w:t>4</w:t>
      </w:r>
      <w:r>
        <w:rPr>
          <w:rFonts w:hint="eastAsia" w:ascii="宋体" w:hAnsi="宋体" w:cs="宋体"/>
          <w:b/>
          <w:bCs/>
          <w:color w:val="auto"/>
          <w:sz w:val="21"/>
          <w:szCs w:val="21"/>
          <w:highlight w:val="none"/>
          <w:u w:val="none"/>
          <w:lang w:val="en-US" w:eastAsia="zh-CN"/>
        </w:rPr>
        <w:t>9</w:t>
      </w:r>
      <w:r>
        <w:rPr>
          <w:rFonts w:hint="eastAsia" w:ascii="宋体" w:hAnsi="宋体" w:eastAsia="宋体" w:cs="宋体"/>
          <w:b/>
          <w:bCs/>
          <w:color w:val="auto"/>
          <w:sz w:val="21"/>
          <w:szCs w:val="21"/>
          <w:highlight w:val="none"/>
          <w:u w:val="none"/>
          <w:lang w:val="en-US" w:eastAsia="zh-CN"/>
        </w:rPr>
        <w:t>.</w:t>
      </w:r>
      <w:r>
        <w:rPr>
          <w:rFonts w:hint="eastAsia" w:ascii="宋体" w:hAnsi="宋体" w:eastAsia="宋体" w:cs="宋体"/>
          <w:color w:val="auto"/>
          <w:sz w:val="21"/>
          <w:szCs w:val="21"/>
          <w:highlight w:val="none"/>
          <w:u w:val="single"/>
        </w:rPr>
        <w:t>评标委员会应在通过投标文件经济标有效性审查的投标人中，按</w:t>
      </w:r>
      <w:r>
        <w:rPr>
          <w:rFonts w:hint="eastAsia" w:ascii="宋体" w:hAnsi="宋体" w:eastAsia="宋体" w:cs="宋体"/>
          <w:color w:val="auto"/>
          <w:sz w:val="21"/>
          <w:szCs w:val="21"/>
          <w:highlight w:val="none"/>
          <w:u w:val="single"/>
          <w:lang w:val="en-US" w:eastAsia="zh-CN"/>
        </w:rPr>
        <w:t>第一章投标须知“一、投标须知前附表”第19项的规定推荐合格中标候选人</w:t>
      </w:r>
      <w:r>
        <w:rPr>
          <w:rFonts w:hint="eastAsia" w:ascii="宋体" w:hAnsi="宋体" w:eastAsia="宋体" w:cs="宋体"/>
          <w:color w:val="auto"/>
          <w:sz w:val="21"/>
          <w:szCs w:val="21"/>
          <w:highlight w:val="none"/>
          <w:u w:val="single"/>
        </w:rPr>
        <w:t>,并编制评标报告。</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cs="宋体"/>
          <w:b/>
          <w:color w:val="auto"/>
          <w:sz w:val="21"/>
          <w:szCs w:val="21"/>
          <w:highlight w:val="none"/>
          <w:lang w:val="en-US" w:eastAsia="zh-CN"/>
        </w:rPr>
        <w:t>50</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 xml:space="preserve">              修改类型：修改</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cs="宋体"/>
          <w:b/>
          <w:bCs/>
          <w:color w:val="auto"/>
          <w:sz w:val="21"/>
          <w:szCs w:val="21"/>
          <w:highlight w:val="none"/>
          <w:lang w:val="en-US" w:eastAsia="zh-CN"/>
        </w:rPr>
        <w:t>50</w:t>
      </w:r>
      <w:r>
        <w:rPr>
          <w:rFonts w:hint="eastAsia" w:ascii="宋体" w:hAnsi="宋体" w:eastAsia="宋体" w:cs="宋体"/>
          <w:b/>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若通过经济标有效性审查的投标人不足三家，则本项目招标失败，由招标人依法重新招标（当N个标段同时招标且不允许兼中时，有效投标人应≥N+2家）</w:t>
      </w:r>
      <w:r>
        <w:rPr>
          <w:rFonts w:hint="eastAsia" w:ascii="宋体" w:hAnsi="宋体" w:cs="宋体"/>
          <w:b w:val="0"/>
          <w:bCs/>
          <w:color w:val="auto"/>
          <w:sz w:val="21"/>
          <w:szCs w:val="21"/>
          <w:highlight w:val="none"/>
          <w:lang w:val="en-US" w:eastAsia="zh-CN"/>
        </w:rPr>
        <w:t>。</w:t>
      </w:r>
    </w:p>
    <w:p>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cs="宋体"/>
          <w:b/>
          <w:bCs/>
          <w:color w:val="auto"/>
          <w:sz w:val="21"/>
          <w:szCs w:val="21"/>
          <w:highlight w:val="none"/>
          <w:u w:val="none"/>
          <w:lang w:val="en-US" w:eastAsia="zh-CN"/>
        </w:rPr>
        <w:t>50</w:t>
      </w:r>
      <w:r>
        <w:rPr>
          <w:rFonts w:hint="eastAsia" w:ascii="宋体" w:hAnsi="宋体" w:eastAsia="宋体" w:cs="宋体"/>
          <w:b/>
          <w:color w:val="auto"/>
          <w:sz w:val="21"/>
          <w:szCs w:val="21"/>
          <w:highlight w:val="none"/>
          <w:lang w:val="en-US" w:eastAsia="zh-CN"/>
        </w:rPr>
        <w:t>.</w:t>
      </w:r>
      <w:r>
        <w:rPr>
          <w:rFonts w:hint="eastAsia" w:ascii="宋体" w:hAnsi="宋体" w:eastAsia="宋体" w:cs="宋体"/>
          <w:color w:val="auto"/>
          <w:sz w:val="21"/>
          <w:szCs w:val="21"/>
          <w:highlight w:val="none"/>
          <w:u w:val="single"/>
        </w:rPr>
        <w:t>若通过经济标有效性审查的投标人不足三家，则本项目招标失败，由招标人依法重新招标。</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条款号：（二）开标评标办法程序和细则 注：       修改类型：删除</w:t>
      </w:r>
    </w:p>
    <w:p>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注：一、复杂和大型工程（详见穗建规字〔2020〕42号）......要求的，评为【差】档次</w:t>
      </w:r>
      <w:r>
        <w:rPr>
          <w:rFonts w:hint="eastAsia" w:ascii="宋体" w:hAnsi="宋体" w:eastAsia="宋体" w:cs="宋体"/>
          <w:color w:val="auto"/>
          <w:sz w:val="21"/>
          <w:szCs w:val="21"/>
          <w:highlight w:val="none"/>
          <w:u w:val="single"/>
        </w:rPr>
        <w:t>。</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条款号：5</w:t>
      </w:r>
      <w:r>
        <w:rPr>
          <w:rFonts w:hint="eastAsia" w:ascii="宋体" w:hAnsi="宋体" w:cs="宋体"/>
          <w:b/>
          <w:color w:val="auto"/>
          <w:sz w:val="21"/>
          <w:szCs w:val="21"/>
          <w:highlight w:val="none"/>
          <w:lang w:val="en-US" w:eastAsia="zh-CN"/>
        </w:rPr>
        <w:t>1</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 xml:space="preserve">             修改类型：增加</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val="0"/>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eastAsia="宋体" w:cs="宋体"/>
          <w:b/>
          <w:bCs w:val="0"/>
          <w:color w:val="auto"/>
          <w:sz w:val="21"/>
          <w:szCs w:val="21"/>
          <w:highlight w:val="none"/>
          <w:u w:val="single"/>
        </w:rPr>
        <w:t>5</w:t>
      </w:r>
      <w:r>
        <w:rPr>
          <w:rFonts w:hint="eastAsia" w:ascii="宋体" w:hAnsi="宋体" w:cs="宋体"/>
          <w:b/>
          <w:bCs w:val="0"/>
          <w:color w:val="auto"/>
          <w:sz w:val="21"/>
          <w:szCs w:val="21"/>
          <w:highlight w:val="none"/>
          <w:u w:val="single"/>
          <w:lang w:val="en-US" w:eastAsia="zh-CN"/>
        </w:rPr>
        <w:t>1</w:t>
      </w:r>
      <w:r>
        <w:rPr>
          <w:rFonts w:hint="eastAsia" w:ascii="宋体" w:hAnsi="宋体" w:eastAsia="宋体" w:cs="宋体"/>
          <w:b/>
          <w:bCs w:val="0"/>
          <w:color w:val="auto"/>
          <w:sz w:val="21"/>
          <w:szCs w:val="21"/>
          <w:highlight w:val="none"/>
          <w:u w:val="single"/>
          <w:lang w:val="en-US" w:eastAsia="zh-CN"/>
        </w:rPr>
        <w:t>.</w:t>
      </w:r>
      <w:r>
        <w:rPr>
          <w:rFonts w:hint="eastAsia" w:ascii="宋体" w:hAnsi="宋体" w:eastAsia="宋体" w:cs="宋体"/>
          <w:b/>
          <w:bCs w:val="0"/>
          <w:color w:val="auto"/>
          <w:sz w:val="21"/>
          <w:szCs w:val="21"/>
          <w:highlight w:val="none"/>
          <w:u w:val="single"/>
        </w:rPr>
        <w:t>定标</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val="0"/>
          <w:color w:val="auto"/>
          <w:sz w:val="21"/>
          <w:szCs w:val="21"/>
          <w:highlight w:val="none"/>
          <w:u w:val="single"/>
          <w:lang w:val="en-US" w:eastAsia="zh-CN"/>
        </w:rPr>
      </w:pPr>
      <w:r>
        <w:rPr>
          <w:rFonts w:hint="eastAsia" w:ascii="宋体" w:hAnsi="宋体" w:eastAsia="宋体" w:cs="宋体"/>
          <w:b/>
          <w:bCs w:val="0"/>
          <w:color w:val="auto"/>
          <w:sz w:val="21"/>
          <w:szCs w:val="21"/>
          <w:highlight w:val="none"/>
          <w:u w:val="single"/>
        </w:rPr>
        <w:t>5</w:t>
      </w:r>
      <w:r>
        <w:rPr>
          <w:rFonts w:hint="eastAsia" w:ascii="宋体" w:hAnsi="宋体" w:cs="宋体"/>
          <w:b/>
          <w:bCs w:val="0"/>
          <w:color w:val="auto"/>
          <w:sz w:val="21"/>
          <w:szCs w:val="21"/>
          <w:highlight w:val="none"/>
          <w:u w:val="single"/>
          <w:lang w:val="en-US" w:eastAsia="zh-CN"/>
        </w:rPr>
        <w:t>1</w:t>
      </w:r>
      <w:r>
        <w:rPr>
          <w:rFonts w:hint="eastAsia" w:ascii="宋体" w:hAnsi="宋体" w:eastAsia="宋体" w:cs="宋体"/>
          <w:b/>
          <w:bCs w:val="0"/>
          <w:color w:val="auto"/>
          <w:sz w:val="21"/>
          <w:szCs w:val="21"/>
          <w:highlight w:val="none"/>
          <w:u w:val="single"/>
        </w:rPr>
        <w:t>.</w:t>
      </w:r>
      <w:r>
        <w:rPr>
          <w:rFonts w:hint="eastAsia" w:ascii="宋体" w:hAnsi="宋体" w:eastAsia="宋体" w:cs="宋体"/>
          <w:b/>
          <w:bCs w:val="0"/>
          <w:color w:val="auto"/>
          <w:sz w:val="21"/>
          <w:szCs w:val="21"/>
          <w:highlight w:val="none"/>
          <w:u w:val="single"/>
          <w:lang w:val="en-US" w:eastAsia="zh-CN"/>
        </w:rPr>
        <w:t>1</w:t>
      </w:r>
      <w:r>
        <w:rPr>
          <w:rFonts w:hint="eastAsia" w:ascii="宋体" w:hAnsi="宋体" w:eastAsia="宋体" w:cs="宋体"/>
          <w:bCs/>
          <w:color w:val="auto"/>
          <w:sz w:val="21"/>
          <w:szCs w:val="21"/>
          <w:highlight w:val="none"/>
          <w:u w:val="single"/>
        </w:rPr>
        <w:t>评标结果公示结束后</w:t>
      </w:r>
      <w:r>
        <w:rPr>
          <w:rFonts w:hint="eastAsia" w:ascii="宋体" w:hAnsi="宋体" w:eastAsia="宋体" w:cs="宋体"/>
          <w:bCs/>
          <w:color w:val="auto"/>
          <w:sz w:val="21"/>
          <w:szCs w:val="21"/>
          <w:highlight w:val="none"/>
          <w:u w:val="single"/>
          <w:lang w:eastAsia="zh-CN"/>
        </w:rPr>
        <w:t>，招标人一般在5个工作日内召开定标会议确定中标人。</w:t>
      </w:r>
      <w:r>
        <w:rPr>
          <w:rFonts w:hint="eastAsia" w:ascii="宋体" w:hAnsi="宋体" w:eastAsia="宋体" w:cs="宋体"/>
          <w:bCs/>
          <w:color w:val="auto"/>
          <w:sz w:val="21"/>
          <w:szCs w:val="21"/>
          <w:highlight w:val="none"/>
          <w:u w:val="single"/>
        </w:rPr>
        <w:t>招标人在</w:t>
      </w:r>
      <w:r>
        <w:rPr>
          <w:rFonts w:hint="eastAsia" w:ascii="宋体" w:hAnsi="宋体" w:eastAsia="宋体" w:cs="宋体"/>
          <w:bCs/>
          <w:color w:val="auto"/>
          <w:sz w:val="21"/>
          <w:szCs w:val="21"/>
          <w:highlight w:val="none"/>
          <w:u w:val="single"/>
          <w:lang w:eastAsia="zh-CN"/>
        </w:rPr>
        <w:t>广州交易集团有限公司（广州公共资源交易中心）</w:t>
      </w:r>
      <w:r>
        <w:rPr>
          <w:rFonts w:hint="eastAsia" w:ascii="宋体" w:hAnsi="宋体" w:eastAsia="宋体" w:cs="宋体"/>
          <w:bCs/>
          <w:color w:val="auto"/>
          <w:sz w:val="21"/>
          <w:szCs w:val="21"/>
          <w:highlight w:val="none"/>
          <w:u w:val="single"/>
        </w:rPr>
        <w:t>组织定标工作，选定中标人，并标明排序。</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b/>
          <w:bCs w:val="0"/>
          <w:color w:val="auto"/>
          <w:sz w:val="21"/>
          <w:szCs w:val="21"/>
          <w:highlight w:val="none"/>
          <w:u w:val="single"/>
        </w:rPr>
        <w:t>5</w:t>
      </w:r>
      <w:r>
        <w:rPr>
          <w:rFonts w:hint="eastAsia" w:ascii="宋体" w:hAnsi="宋体" w:cs="宋体"/>
          <w:b/>
          <w:bCs w:val="0"/>
          <w:color w:val="auto"/>
          <w:sz w:val="21"/>
          <w:szCs w:val="21"/>
          <w:highlight w:val="none"/>
          <w:u w:val="single"/>
          <w:lang w:val="en-US" w:eastAsia="zh-CN"/>
        </w:rPr>
        <w:t>1</w:t>
      </w:r>
      <w:r>
        <w:rPr>
          <w:rFonts w:hint="eastAsia" w:ascii="宋体" w:hAnsi="宋体" w:eastAsia="宋体" w:cs="宋体"/>
          <w:b/>
          <w:bCs w:val="0"/>
          <w:color w:val="auto"/>
          <w:sz w:val="21"/>
          <w:szCs w:val="21"/>
          <w:highlight w:val="none"/>
          <w:u w:val="single"/>
        </w:rPr>
        <w:t>.</w:t>
      </w:r>
      <w:r>
        <w:rPr>
          <w:rFonts w:hint="eastAsia" w:ascii="宋体" w:hAnsi="宋体" w:eastAsia="宋体" w:cs="宋体"/>
          <w:b/>
          <w:bCs w:val="0"/>
          <w:color w:val="auto"/>
          <w:sz w:val="21"/>
          <w:szCs w:val="21"/>
          <w:highlight w:val="none"/>
          <w:u w:val="single"/>
          <w:lang w:val="en-US" w:eastAsia="zh-CN"/>
        </w:rPr>
        <w:t>2</w:t>
      </w:r>
      <w:r>
        <w:rPr>
          <w:rFonts w:hint="eastAsia" w:ascii="宋体" w:hAnsi="宋体" w:eastAsia="宋体" w:cs="宋体"/>
          <w:bCs/>
          <w:color w:val="auto"/>
          <w:sz w:val="21"/>
          <w:szCs w:val="21"/>
          <w:highlight w:val="none"/>
          <w:u w:val="single"/>
          <w:lang w:val="en-US" w:eastAsia="zh-CN"/>
        </w:rPr>
        <w:t>监督小组：招标人依据《广州市交通运输局关于印发广州市交通工程建设项目评标定标分离操作指引（试行）的通知》（穗交运函〔2025〕17号文）组建监督小组。</w:t>
      </w:r>
    </w:p>
    <w:p>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bCs w:val="0"/>
          <w:color w:val="auto"/>
          <w:sz w:val="21"/>
          <w:szCs w:val="21"/>
          <w:highlight w:val="none"/>
          <w:u w:val="single"/>
        </w:rPr>
        <w:t>5</w:t>
      </w:r>
      <w:r>
        <w:rPr>
          <w:rFonts w:hint="eastAsia" w:ascii="宋体" w:hAnsi="宋体" w:cs="宋体"/>
          <w:b/>
          <w:bCs w:val="0"/>
          <w:color w:val="auto"/>
          <w:sz w:val="21"/>
          <w:szCs w:val="21"/>
          <w:highlight w:val="none"/>
          <w:u w:val="single"/>
          <w:lang w:val="en-US" w:eastAsia="zh-CN"/>
        </w:rPr>
        <w:t>1</w:t>
      </w:r>
      <w:r>
        <w:rPr>
          <w:rFonts w:hint="eastAsia" w:ascii="宋体" w:hAnsi="宋体" w:eastAsia="宋体" w:cs="宋体"/>
          <w:b/>
          <w:bCs w:val="0"/>
          <w:color w:val="auto"/>
          <w:sz w:val="21"/>
          <w:szCs w:val="21"/>
          <w:highlight w:val="none"/>
          <w:u w:val="single"/>
        </w:rPr>
        <w:t>.</w:t>
      </w:r>
      <w:r>
        <w:rPr>
          <w:rFonts w:hint="eastAsia" w:ascii="宋体" w:hAnsi="宋体" w:eastAsia="宋体" w:cs="宋体"/>
          <w:b/>
          <w:bCs w:val="0"/>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rPr>
        <w:t>定标规则及程序</w:t>
      </w:r>
    </w:p>
    <w:p>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bCs w:val="0"/>
          <w:color w:val="auto"/>
          <w:sz w:val="21"/>
          <w:szCs w:val="21"/>
          <w:highlight w:val="none"/>
          <w:u w:val="single"/>
        </w:rPr>
        <w:t>5</w:t>
      </w:r>
      <w:r>
        <w:rPr>
          <w:rFonts w:hint="eastAsia" w:ascii="宋体" w:hAnsi="宋体" w:cs="宋体"/>
          <w:b/>
          <w:bCs w:val="0"/>
          <w:color w:val="auto"/>
          <w:sz w:val="21"/>
          <w:szCs w:val="21"/>
          <w:highlight w:val="none"/>
          <w:u w:val="single"/>
          <w:lang w:val="en-US" w:eastAsia="zh-CN"/>
        </w:rPr>
        <w:t>1</w:t>
      </w:r>
      <w:r>
        <w:rPr>
          <w:rFonts w:hint="eastAsia" w:ascii="宋体" w:hAnsi="宋体" w:eastAsia="宋体" w:cs="宋体"/>
          <w:b/>
          <w:bCs w:val="0"/>
          <w:color w:val="auto"/>
          <w:sz w:val="21"/>
          <w:szCs w:val="21"/>
          <w:highlight w:val="none"/>
          <w:u w:val="single"/>
        </w:rPr>
        <w:t>.</w:t>
      </w:r>
      <w:r>
        <w:rPr>
          <w:rFonts w:hint="eastAsia" w:ascii="宋体" w:hAnsi="宋体" w:eastAsia="宋体" w:cs="宋体"/>
          <w:b/>
          <w:bCs w:val="0"/>
          <w:color w:val="auto"/>
          <w:sz w:val="21"/>
          <w:szCs w:val="21"/>
          <w:highlight w:val="none"/>
          <w:u w:val="single"/>
          <w:lang w:val="en-US" w:eastAsia="zh-CN"/>
        </w:rPr>
        <w:t>3</w:t>
      </w:r>
      <w:r>
        <w:rPr>
          <w:rFonts w:hint="eastAsia" w:ascii="宋体" w:hAnsi="宋体" w:eastAsia="宋体" w:cs="宋体"/>
          <w:b/>
          <w:bCs w:val="0"/>
          <w:color w:val="auto"/>
          <w:sz w:val="21"/>
          <w:szCs w:val="21"/>
          <w:highlight w:val="none"/>
          <w:u w:val="single"/>
        </w:rPr>
        <w:t>.1</w:t>
      </w:r>
      <w:r>
        <w:rPr>
          <w:rFonts w:hint="eastAsia" w:ascii="宋体" w:hAnsi="宋体" w:eastAsia="宋体" w:cs="宋体"/>
          <w:bCs/>
          <w:color w:val="auto"/>
          <w:sz w:val="21"/>
          <w:szCs w:val="21"/>
          <w:highlight w:val="none"/>
          <w:u w:val="single"/>
        </w:rPr>
        <w:t>本项目</w:t>
      </w:r>
      <w:r>
        <w:rPr>
          <w:rFonts w:hint="eastAsia" w:ascii="宋体" w:hAnsi="宋体" w:cs="宋体"/>
          <w:bCs/>
          <w:color w:val="auto"/>
          <w:szCs w:val="21"/>
          <w:highlight w:val="none"/>
          <w:u w:val="single"/>
        </w:rPr>
        <w:t>采用评分法（答辩因素+投标价格因素）</w:t>
      </w:r>
      <w:r>
        <w:rPr>
          <w:rFonts w:hint="eastAsia" w:ascii="宋体" w:hAnsi="宋体" w:eastAsia="宋体" w:cs="宋体"/>
          <w:bCs/>
          <w:color w:val="auto"/>
          <w:sz w:val="21"/>
          <w:szCs w:val="21"/>
          <w:highlight w:val="none"/>
          <w:u w:val="single"/>
        </w:rPr>
        <w:t>。</w:t>
      </w:r>
    </w:p>
    <w:p>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bCs w:val="0"/>
          <w:color w:val="auto"/>
          <w:sz w:val="21"/>
          <w:szCs w:val="21"/>
          <w:highlight w:val="none"/>
          <w:u w:val="single"/>
        </w:rPr>
        <w:t>5</w:t>
      </w:r>
      <w:r>
        <w:rPr>
          <w:rFonts w:hint="eastAsia" w:ascii="宋体" w:hAnsi="宋体" w:cs="宋体"/>
          <w:b/>
          <w:bCs w:val="0"/>
          <w:color w:val="auto"/>
          <w:sz w:val="21"/>
          <w:szCs w:val="21"/>
          <w:highlight w:val="none"/>
          <w:u w:val="single"/>
          <w:lang w:val="en-US" w:eastAsia="zh-CN"/>
        </w:rPr>
        <w:t>1</w:t>
      </w:r>
      <w:r>
        <w:rPr>
          <w:rFonts w:hint="eastAsia" w:ascii="宋体" w:hAnsi="宋体" w:eastAsia="宋体" w:cs="宋体"/>
          <w:b/>
          <w:bCs w:val="0"/>
          <w:color w:val="auto"/>
          <w:sz w:val="21"/>
          <w:szCs w:val="21"/>
          <w:highlight w:val="none"/>
          <w:u w:val="single"/>
        </w:rPr>
        <w:t>.</w:t>
      </w:r>
      <w:r>
        <w:rPr>
          <w:rFonts w:hint="eastAsia" w:ascii="宋体" w:hAnsi="宋体" w:eastAsia="宋体" w:cs="宋体"/>
          <w:b/>
          <w:bCs w:val="0"/>
          <w:color w:val="auto"/>
          <w:sz w:val="21"/>
          <w:szCs w:val="21"/>
          <w:highlight w:val="none"/>
          <w:u w:val="single"/>
          <w:lang w:val="en-US" w:eastAsia="zh-CN"/>
        </w:rPr>
        <w:t>3</w:t>
      </w:r>
      <w:r>
        <w:rPr>
          <w:rFonts w:hint="eastAsia" w:ascii="宋体" w:hAnsi="宋体" w:eastAsia="宋体" w:cs="宋体"/>
          <w:b/>
          <w:bCs w:val="0"/>
          <w:color w:val="auto"/>
          <w:sz w:val="21"/>
          <w:szCs w:val="21"/>
          <w:highlight w:val="none"/>
          <w:u w:val="single"/>
        </w:rPr>
        <w:t>.2</w:t>
      </w:r>
      <w:r>
        <w:rPr>
          <w:rFonts w:hint="eastAsia" w:ascii="宋体" w:hAnsi="宋体" w:eastAsia="宋体" w:cs="宋体"/>
          <w:bCs/>
          <w:color w:val="auto"/>
          <w:sz w:val="21"/>
          <w:szCs w:val="21"/>
          <w:highlight w:val="none"/>
          <w:u w:val="single"/>
        </w:rPr>
        <w:t>招标人（招标代理）应当在定标会上向定标委员会介绍项目基本情况、合格中标候选人情况、评标委员会的评审意见及定标规则等内容。定标委员会成员有疑问的，可以向招标人提问。</w:t>
      </w:r>
    </w:p>
    <w:p>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sz w:val="21"/>
          <w:szCs w:val="21"/>
          <w:highlight w:val="none"/>
          <w:u w:val="single"/>
          <w:lang w:eastAsia="zh-CN"/>
        </w:rPr>
      </w:pPr>
      <w:r>
        <w:rPr>
          <w:rFonts w:hint="eastAsia" w:ascii="宋体" w:hAnsi="宋体" w:eastAsia="宋体" w:cs="宋体"/>
          <w:b/>
          <w:bCs w:val="0"/>
          <w:color w:val="auto"/>
          <w:sz w:val="21"/>
          <w:szCs w:val="21"/>
          <w:highlight w:val="none"/>
          <w:u w:val="single"/>
          <w:lang w:val="en-US" w:eastAsia="zh-CN"/>
        </w:rPr>
        <w:t>5</w:t>
      </w:r>
      <w:r>
        <w:rPr>
          <w:rFonts w:hint="eastAsia" w:ascii="宋体" w:hAnsi="宋体" w:cs="宋体"/>
          <w:b/>
          <w:bCs w:val="0"/>
          <w:color w:val="auto"/>
          <w:sz w:val="21"/>
          <w:szCs w:val="21"/>
          <w:highlight w:val="none"/>
          <w:u w:val="single"/>
          <w:lang w:val="en-US" w:eastAsia="zh-CN"/>
        </w:rPr>
        <w:t>1</w:t>
      </w:r>
      <w:r>
        <w:rPr>
          <w:rFonts w:hint="eastAsia" w:ascii="宋体" w:hAnsi="宋体" w:eastAsia="宋体" w:cs="宋体"/>
          <w:b/>
          <w:bCs w:val="0"/>
          <w:color w:val="auto"/>
          <w:sz w:val="21"/>
          <w:szCs w:val="21"/>
          <w:highlight w:val="none"/>
          <w:u w:val="single"/>
          <w:lang w:val="en-US" w:eastAsia="zh-CN"/>
        </w:rPr>
        <w:t>.3.3</w:t>
      </w:r>
      <w:r>
        <w:rPr>
          <w:rFonts w:hint="eastAsia" w:ascii="宋体" w:hAnsi="宋体" w:eastAsia="宋体" w:cs="宋体"/>
          <w:bCs/>
          <w:color w:val="auto"/>
          <w:sz w:val="21"/>
          <w:szCs w:val="21"/>
          <w:highlight w:val="none"/>
          <w:u w:val="single"/>
        </w:rPr>
        <w:t>定标委员会在评标委员会评审的基础上，根据《定标因素表》及定标</w:t>
      </w:r>
      <w:r>
        <w:rPr>
          <w:rFonts w:hint="eastAsia" w:ascii="宋体" w:hAnsi="宋体" w:eastAsia="宋体" w:cs="宋体"/>
          <w:bCs/>
          <w:color w:val="auto"/>
          <w:sz w:val="21"/>
          <w:szCs w:val="21"/>
          <w:highlight w:val="none"/>
          <w:u w:val="single"/>
          <w:lang w:val="en-US" w:eastAsia="zh-CN"/>
        </w:rPr>
        <w:t>辅助资料</w:t>
      </w:r>
      <w:r>
        <w:rPr>
          <w:rFonts w:hint="eastAsia" w:ascii="宋体" w:hAnsi="宋体" w:eastAsia="宋体" w:cs="宋体"/>
          <w:bCs/>
          <w:color w:val="auto"/>
          <w:sz w:val="21"/>
          <w:szCs w:val="21"/>
          <w:highlight w:val="none"/>
          <w:u w:val="single"/>
        </w:rPr>
        <w:t>，对进入定标阶段的全部合格中标候选人的履约能力因素</w:t>
      </w:r>
      <w:r>
        <w:rPr>
          <w:rFonts w:hint="eastAsia" w:ascii="宋体" w:hAnsi="宋体" w:eastAsia="宋体" w:cs="宋体"/>
          <w:bCs/>
          <w:color w:val="auto"/>
          <w:sz w:val="21"/>
          <w:szCs w:val="21"/>
          <w:highlight w:val="none"/>
          <w:u w:val="single"/>
          <w:lang w:val="en-US" w:eastAsia="zh-CN"/>
        </w:rPr>
        <w:t>和</w:t>
      </w:r>
      <w:r>
        <w:rPr>
          <w:rFonts w:hint="eastAsia" w:ascii="宋体" w:hAnsi="宋体" w:eastAsia="宋体" w:cs="宋体"/>
          <w:bCs/>
          <w:color w:val="auto"/>
          <w:sz w:val="21"/>
          <w:szCs w:val="21"/>
          <w:highlight w:val="none"/>
          <w:u w:val="single"/>
          <w:lang w:eastAsia="zh-CN"/>
        </w:rPr>
        <w:t>投标价格因素</w:t>
      </w:r>
      <w:r>
        <w:rPr>
          <w:rFonts w:hint="eastAsia" w:ascii="宋体" w:hAnsi="宋体" w:eastAsia="宋体" w:cs="宋体"/>
          <w:bCs/>
          <w:color w:val="auto"/>
          <w:sz w:val="21"/>
          <w:szCs w:val="21"/>
          <w:highlight w:val="none"/>
          <w:u w:val="single"/>
        </w:rPr>
        <w:t>进行</w:t>
      </w:r>
      <w:r>
        <w:rPr>
          <w:rFonts w:hint="eastAsia" w:ascii="宋体" w:hAnsi="宋体" w:eastAsia="宋体" w:cs="宋体"/>
          <w:bCs/>
          <w:color w:val="auto"/>
          <w:sz w:val="21"/>
          <w:szCs w:val="21"/>
          <w:highlight w:val="none"/>
          <w:u w:val="single"/>
          <w:lang w:val="en-US" w:eastAsia="zh-CN"/>
        </w:rPr>
        <w:t>评分</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定标辅助资料为评标报告、投标人提交的投标文件与定标文件</w:t>
      </w:r>
      <w:r>
        <w:rPr>
          <w:rFonts w:hint="eastAsia" w:ascii="宋体" w:hAnsi="宋体" w:eastAsia="宋体" w:cs="宋体"/>
          <w:bCs/>
          <w:color w:val="auto"/>
          <w:sz w:val="21"/>
          <w:szCs w:val="21"/>
          <w:highlight w:val="none"/>
          <w:u w:val="single"/>
          <w:lang w:eastAsia="zh-CN"/>
        </w:rPr>
        <w:t>。</w:t>
      </w:r>
    </w:p>
    <w:p>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bCs w:val="0"/>
          <w:color w:val="auto"/>
          <w:sz w:val="21"/>
          <w:szCs w:val="21"/>
          <w:highlight w:val="none"/>
          <w:u w:val="single"/>
        </w:rPr>
        <w:t>5</w:t>
      </w:r>
      <w:r>
        <w:rPr>
          <w:rFonts w:hint="eastAsia" w:ascii="宋体" w:hAnsi="宋体" w:cs="宋体"/>
          <w:b/>
          <w:bCs w:val="0"/>
          <w:color w:val="auto"/>
          <w:sz w:val="21"/>
          <w:szCs w:val="21"/>
          <w:highlight w:val="none"/>
          <w:u w:val="single"/>
          <w:lang w:val="en-US" w:eastAsia="zh-CN"/>
        </w:rPr>
        <w:t>1</w:t>
      </w:r>
      <w:r>
        <w:rPr>
          <w:rFonts w:hint="eastAsia" w:ascii="宋体" w:hAnsi="宋体" w:eastAsia="宋体" w:cs="宋体"/>
          <w:b/>
          <w:bCs w:val="0"/>
          <w:color w:val="auto"/>
          <w:sz w:val="21"/>
          <w:szCs w:val="21"/>
          <w:highlight w:val="none"/>
          <w:u w:val="single"/>
        </w:rPr>
        <w:t>.</w:t>
      </w:r>
      <w:r>
        <w:rPr>
          <w:rFonts w:hint="eastAsia" w:ascii="宋体" w:hAnsi="宋体" w:eastAsia="宋体" w:cs="宋体"/>
          <w:b/>
          <w:bCs w:val="0"/>
          <w:color w:val="auto"/>
          <w:sz w:val="21"/>
          <w:szCs w:val="21"/>
          <w:highlight w:val="none"/>
          <w:u w:val="single"/>
          <w:lang w:val="en-US" w:eastAsia="zh-CN"/>
        </w:rPr>
        <w:t>3.4</w:t>
      </w:r>
      <w:r>
        <w:rPr>
          <w:rFonts w:hint="eastAsia" w:ascii="宋体" w:hAnsi="宋体" w:eastAsia="宋体" w:cs="宋体"/>
          <w:bCs/>
          <w:color w:val="auto"/>
          <w:sz w:val="21"/>
          <w:szCs w:val="21"/>
          <w:highlight w:val="none"/>
          <w:u w:val="single"/>
        </w:rPr>
        <w:t>定标委员会根据合格中标候选人总得分由高至低进行排序。</w:t>
      </w:r>
      <w:r>
        <w:rPr>
          <w:rFonts w:hint="eastAsia" w:ascii="宋体" w:hAnsi="宋体" w:cs="宋体"/>
          <w:b w:val="0"/>
          <w:bCs/>
          <w:color w:val="auto"/>
          <w:szCs w:val="21"/>
          <w:highlight w:val="none"/>
          <w:u w:val="single"/>
          <w:lang w:eastAsia="zh-CN"/>
        </w:rPr>
        <w:t>合格中标候选人</w:t>
      </w:r>
      <w:r>
        <w:rPr>
          <w:rFonts w:hint="eastAsia" w:ascii="宋体" w:hAnsi="宋体" w:cs="宋体"/>
          <w:b w:val="0"/>
          <w:bCs/>
          <w:color w:val="auto"/>
          <w:szCs w:val="21"/>
          <w:highlight w:val="none"/>
          <w:u w:val="single"/>
        </w:rPr>
        <w:t>总得分=答辩因素最终得分（为所有定标委员会成员对同一</w:t>
      </w:r>
      <w:r>
        <w:rPr>
          <w:rFonts w:hint="eastAsia" w:ascii="宋体" w:hAnsi="宋体" w:cs="宋体"/>
          <w:b w:val="0"/>
          <w:bCs/>
          <w:color w:val="auto"/>
          <w:szCs w:val="21"/>
          <w:highlight w:val="none"/>
          <w:u w:val="single"/>
          <w:lang w:eastAsia="zh-CN"/>
        </w:rPr>
        <w:t>合格中标候选人</w:t>
      </w:r>
      <w:r>
        <w:rPr>
          <w:rFonts w:hint="eastAsia" w:ascii="宋体" w:hAnsi="宋体" w:cs="宋体"/>
          <w:b w:val="0"/>
          <w:bCs/>
          <w:color w:val="auto"/>
          <w:szCs w:val="21"/>
          <w:highlight w:val="none"/>
          <w:u w:val="single"/>
        </w:rPr>
        <w:t>的评分相加）×权重70%+价格因素最终得分（为所有定标委员会成员对同一</w:t>
      </w:r>
      <w:r>
        <w:rPr>
          <w:rFonts w:hint="eastAsia" w:ascii="宋体" w:hAnsi="宋体" w:cs="宋体"/>
          <w:b w:val="0"/>
          <w:bCs/>
          <w:color w:val="auto"/>
          <w:szCs w:val="21"/>
          <w:highlight w:val="none"/>
          <w:u w:val="single"/>
          <w:lang w:eastAsia="zh-CN"/>
        </w:rPr>
        <w:t>合格中标候选人</w:t>
      </w:r>
      <w:r>
        <w:rPr>
          <w:rFonts w:hint="eastAsia" w:ascii="宋体" w:hAnsi="宋体" w:cs="宋体"/>
          <w:b w:val="0"/>
          <w:bCs/>
          <w:color w:val="auto"/>
          <w:szCs w:val="21"/>
          <w:highlight w:val="none"/>
          <w:u w:val="single"/>
        </w:rPr>
        <w:t>的评分相加）×权重30%</w:t>
      </w:r>
      <w:r>
        <w:rPr>
          <w:rFonts w:hint="eastAsia" w:ascii="宋体" w:hAnsi="宋体" w:eastAsia="宋体" w:cs="宋体"/>
          <w:bCs/>
          <w:color w:val="auto"/>
          <w:sz w:val="21"/>
          <w:szCs w:val="21"/>
          <w:highlight w:val="none"/>
          <w:u w:val="single"/>
        </w:rPr>
        <w:t>。总得分四舍五入保留两位小数。</w:t>
      </w:r>
    </w:p>
    <w:p>
      <w:pPr>
        <w:keepNext w:val="0"/>
        <w:keepLines w:val="0"/>
        <w:pageBreakBefore w:val="0"/>
        <w:pBdr>
          <w:bottom w:val="single" w:color="auto" w:sz="6" w:space="1"/>
        </w:pBd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cs="宋体"/>
          <w:bCs/>
          <w:color w:val="auto"/>
          <w:szCs w:val="21"/>
          <w:highlight w:val="none"/>
          <w:u w:val="single"/>
          <w:lang w:val="en-US" w:eastAsia="zh-CN"/>
        </w:rPr>
        <w:t>注：</w:t>
      </w:r>
      <w:r>
        <w:rPr>
          <w:rFonts w:hint="eastAsia" w:ascii="宋体" w:hAnsi="宋体" w:cs="宋体"/>
          <w:bCs/>
          <w:color w:val="auto"/>
          <w:szCs w:val="21"/>
          <w:highlight w:val="none"/>
          <w:u w:val="single"/>
        </w:rPr>
        <w:t>若</w:t>
      </w:r>
      <w:r>
        <w:rPr>
          <w:rFonts w:hint="eastAsia" w:ascii="宋体" w:hAnsi="宋体" w:cs="宋体"/>
          <w:bCs/>
          <w:color w:val="auto"/>
          <w:szCs w:val="21"/>
          <w:highlight w:val="none"/>
          <w:u w:val="single"/>
          <w:lang w:eastAsia="zh-CN"/>
        </w:rPr>
        <w:t>合格中标候选人</w:t>
      </w:r>
      <w:r>
        <w:rPr>
          <w:rFonts w:hint="eastAsia" w:ascii="宋体" w:hAnsi="宋体" w:cs="宋体"/>
          <w:bCs/>
          <w:color w:val="auto"/>
          <w:szCs w:val="21"/>
          <w:highlight w:val="none"/>
          <w:u w:val="single"/>
        </w:rPr>
        <w:t>总得分相同且影响定标排序的，以答辩因素得分高的排前；若答辩因素得分仍相同的，以价格因素得分高的排前，若价格因素得分仍相同的，由定标委员会投票确定排序</w:t>
      </w:r>
      <w:r>
        <w:rPr>
          <w:rFonts w:hint="eastAsia" w:ascii="宋体" w:hAnsi="宋体" w:eastAsia="宋体" w:cs="宋体"/>
          <w:bCs/>
          <w:color w:val="auto"/>
          <w:sz w:val="21"/>
          <w:szCs w:val="21"/>
          <w:highlight w:val="none"/>
          <w:u w:val="single"/>
        </w:rPr>
        <w:t>。</w:t>
      </w:r>
    </w:p>
    <w:p>
      <w:pPr>
        <w:keepNext w:val="0"/>
        <w:keepLines w:val="0"/>
        <w:pageBreakBefore w:val="0"/>
        <w:pBdr>
          <w:bottom w:val="single" w:color="auto" w:sz="6" w:space="1"/>
        </w:pBd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记名投票方式确定排序的具体操作步骤为：由</w:t>
      </w:r>
      <w:r>
        <w:rPr>
          <w:rFonts w:hint="eastAsia" w:ascii="宋体" w:hAnsi="宋体" w:eastAsia="宋体" w:cs="宋体"/>
          <w:bCs/>
          <w:color w:val="auto"/>
          <w:sz w:val="21"/>
          <w:szCs w:val="21"/>
          <w:highlight w:val="none"/>
          <w:u w:val="single"/>
          <w:lang w:val="en-US" w:eastAsia="zh-CN"/>
        </w:rPr>
        <w:t>定标</w:t>
      </w:r>
      <w:r>
        <w:rPr>
          <w:rFonts w:hint="eastAsia" w:ascii="宋体" w:hAnsi="宋体" w:eastAsia="宋体" w:cs="宋体"/>
          <w:bCs/>
          <w:color w:val="auto"/>
          <w:sz w:val="21"/>
          <w:szCs w:val="21"/>
          <w:highlight w:val="none"/>
          <w:u w:val="single"/>
        </w:rPr>
        <w:t>委员会对出现该情况的</w:t>
      </w:r>
      <w:r>
        <w:rPr>
          <w:rFonts w:hint="eastAsia" w:ascii="宋体" w:hAnsi="宋体" w:eastAsia="宋体" w:cs="宋体"/>
          <w:bCs/>
          <w:color w:val="auto"/>
          <w:sz w:val="21"/>
          <w:szCs w:val="21"/>
          <w:highlight w:val="none"/>
          <w:u w:val="single"/>
          <w:lang w:val="en-US" w:eastAsia="zh-CN"/>
        </w:rPr>
        <w:t>合格中标候选人</w:t>
      </w:r>
      <w:r>
        <w:rPr>
          <w:rFonts w:hint="eastAsia" w:ascii="宋体" w:hAnsi="宋体" w:eastAsia="宋体" w:cs="宋体"/>
          <w:bCs/>
          <w:color w:val="auto"/>
          <w:sz w:val="21"/>
          <w:szCs w:val="21"/>
          <w:highlight w:val="none"/>
          <w:u w:val="single"/>
        </w:rPr>
        <w:t>进行编号，然后通过记名投票方式依次确定投标人的排序。</w:t>
      </w:r>
    </w:p>
    <w:p>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bCs w:val="0"/>
          <w:color w:val="auto"/>
          <w:sz w:val="21"/>
          <w:szCs w:val="21"/>
          <w:highlight w:val="none"/>
          <w:u w:val="single"/>
        </w:rPr>
        <w:t>5</w:t>
      </w:r>
      <w:r>
        <w:rPr>
          <w:rFonts w:hint="eastAsia" w:ascii="宋体" w:hAnsi="宋体" w:cs="宋体"/>
          <w:b/>
          <w:bCs w:val="0"/>
          <w:color w:val="auto"/>
          <w:sz w:val="21"/>
          <w:szCs w:val="21"/>
          <w:highlight w:val="none"/>
          <w:u w:val="single"/>
          <w:lang w:val="en-US" w:eastAsia="zh-CN"/>
        </w:rPr>
        <w:t>1</w:t>
      </w:r>
      <w:r>
        <w:rPr>
          <w:rFonts w:hint="eastAsia" w:ascii="宋体" w:hAnsi="宋体" w:eastAsia="宋体" w:cs="宋体"/>
          <w:b/>
          <w:bCs w:val="0"/>
          <w:color w:val="auto"/>
          <w:sz w:val="21"/>
          <w:szCs w:val="21"/>
          <w:highlight w:val="none"/>
          <w:u w:val="single"/>
        </w:rPr>
        <w:t>.</w:t>
      </w:r>
      <w:r>
        <w:rPr>
          <w:rFonts w:hint="eastAsia" w:ascii="宋体" w:hAnsi="宋体" w:eastAsia="宋体" w:cs="宋体"/>
          <w:b/>
          <w:bCs w:val="0"/>
          <w:color w:val="auto"/>
          <w:sz w:val="21"/>
          <w:szCs w:val="21"/>
          <w:highlight w:val="none"/>
          <w:u w:val="single"/>
          <w:lang w:val="en-US" w:eastAsia="zh-CN"/>
        </w:rPr>
        <w:t>3.5</w:t>
      </w:r>
      <w:r>
        <w:rPr>
          <w:rFonts w:hint="eastAsia" w:ascii="宋体" w:hAnsi="宋体" w:eastAsia="宋体" w:cs="宋体"/>
          <w:bCs/>
          <w:color w:val="auto"/>
          <w:sz w:val="21"/>
          <w:szCs w:val="21"/>
          <w:highlight w:val="none"/>
          <w:u w:val="single"/>
        </w:rPr>
        <w:t>定标委员会确定总得分最高的合格中标候选人为中标人。</w:t>
      </w:r>
    </w:p>
    <w:p>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bCs w:val="0"/>
          <w:color w:val="auto"/>
          <w:sz w:val="21"/>
          <w:szCs w:val="21"/>
          <w:highlight w:val="none"/>
          <w:u w:val="single"/>
        </w:rPr>
        <w:t>5</w:t>
      </w:r>
      <w:r>
        <w:rPr>
          <w:rFonts w:hint="eastAsia" w:ascii="宋体" w:hAnsi="宋体" w:cs="宋体"/>
          <w:b/>
          <w:bCs w:val="0"/>
          <w:color w:val="auto"/>
          <w:sz w:val="21"/>
          <w:szCs w:val="21"/>
          <w:highlight w:val="none"/>
          <w:u w:val="single"/>
          <w:lang w:val="en-US" w:eastAsia="zh-CN"/>
        </w:rPr>
        <w:t>1</w:t>
      </w:r>
      <w:r>
        <w:rPr>
          <w:rFonts w:hint="eastAsia" w:ascii="宋体" w:hAnsi="宋体" w:eastAsia="宋体" w:cs="宋体"/>
          <w:b/>
          <w:bCs w:val="0"/>
          <w:color w:val="auto"/>
          <w:sz w:val="21"/>
          <w:szCs w:val="21"/>
          <w:highlight w:val="none"/>
          <w:u w:val="single"/>
        </w:rPr>
        <w:t>.</w:t>
      </w:r>
      <w:r>
        <w:rPr>
          <w:rFonts w:hint="eastAsia" w:ascii="宋体" w:hAnsi="宋体" w:eastAsia="宋体" w:cs="宋体"/>
          <w:b/>
          <w:bCs w:val="0"/>
          <w:color w:val="auto"/>
          <w:sz w:val="21"/>
          <w:szCs w:val="21"/>
          <w:highlight w:val="none"/>
          <w:u w:val="single"/>
          <w:lang w:val="en-US" w:eastAsia="zh-CN"/>
        </w:rPr>
        <w:t>3.6</w:t>
      </w:r>
      <w:r>
        <w:rPr>
          <w:rFonts w:hint="eastAsia" w:ascii="宋体" w:hAnsi="宋体" w:eastAsia="宋体" w:cs="宋体"/>
          <w:bCs/>
          <w:color w:val="auto"/>
          <w:sz w:val="21"/>
          <w:szCs w:val="21"/>
          <w:highlight w:val="none"/>
          <w:u w:val="single"/>
        </w:rPr>
        <w:t>编写定标报告，定标委员会全体确认后签署定标报告</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定标报告应记录定标委员会成员名单、监督小组名单、定标办法、定标过程、定标工作情况、定标结果，并由定标委员会成员、监督小组成员代表签字。监督小组应对定标全过程进行监督，在定标报告上签名。招标人应对定标全过程做好录音、录像工作，并存档备查。</w:t>
      </w:r>
    </w:p>
    <w:p>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bCs w:val="0"/>
          <w:color w:val="auto"/>
          <w:sz w:val="21"/>
          <w:szCs w:val="21"/>
          <w:highlight w:val="none"/>
          <w:u w:val="single"/>
        </w:rPr>
        <w:t>5</w:t>
      </w:r>
      <w:r>
        <w:rPr>
          <w:rFonts w:hint="eastAsia" w:ascii="宋体" w:hAnsi="宋体" w:cs="宋体"/>
          <w:b/>
          <w:bCs w:val="0"/>
          <w:color w:val="auto"/>
          <w:sz w:val="21"/>
          <w:szCs w:val="21"/>
          <w:highlight w:val="none"/>
          <w:u w:val="single"/>
          <w:lang w:val="en-US" w:eastAsia="zh-CN"/>
        </w:rPr>
        <w:t>1</w:t>
      </w:r>
      <w:r>
        <w:rPr>
          <w:rFonts w:hint="eastAsia" w:ascii="宋体" w:hAnsi="宋体" w:eastAsia="宋体" w:cs="宋体"/>
          <w:b/>
          <w:bCs w:val="0"/>
          <w:color w:val="auto"/>
          <w:sz w:val="21"/>
          <w:szCs w:val="21"/>
          <w:highlight w:val="none"/>
          <w:u w:val="single"/>
        </w:rPr>
        <w:t>.</w:t>
      </w:r>
      <w:r>
        <w:rPr>
          <w:rFonts w:hint="eastAsia" w:ascii="宋体" w:hAnsi="宋体" w:eastAsia="宋体" w:cs="宋体"/>
          <w:b/>
          <w:bCs w:val="0"/>
          <w:color w:val="auto"/>
          <w:sz w:val="21"/>
          <w:szCs w:val="21"/>
          <w:highlight w:val="none"/>
          <w:u w:val="single"/>
          <w:lang w:val="en-US" w:eastAsia="zh-CN"/>
        </w:rPr>
        <w:t>4</w:t>
      </w:r>
      <w:r>
        <w:rPr>
          <w:rFonts w:hint="eastAsia" w:ascii="宋体" w:hAnsi="宋体" w:eastAsia="宋体" w:cs="宋体"/>
          <w:bCs/>
          <w:color w:val="auto"/>
          <w:sz w:val="21"/>
          <w:szCs w:val="21"/>
          <w:highlight w:val="none"/>
          <w:u w:val="single"/>
        </w:rPr>
        <w:t>招标人应当在定标工作完成后3日内在广东省招投标监管网、广州交易集团有限公司（广州公共资源交易中心）网站公示中标结果，公示内容包括：定标时间、所有合格中标候选人的评分结果、中标人名称、投标价格、项目负责人等信息、定标报告等（但应隐去或遮蔽个人隐私内容、信息字段），同时提出投诉的渠道方式，以及法律法规和招标文件规定应当公示的其他内容。</w:t>
      </w:r>
    </w:p>
    <w:p>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bCs w:val="0"/>
          <w:color w:val="auto"/>
          <w:sz w:val="21"/>
          <w:szCs w:val="21"/>
          <w:highlight w:val="none"/>
          <w:u w:val="single"/>
        </w:rPr>
        <w:t>5</w:t>
      </w:r>
      <w:r>
        <w:rPr>
          <w:rFonts w:hint="eastAsia" w:ascii="宋体" w:hAnsi="宋体" w:cs="宋体"/>
          <w:b/>
          <w:bCs w:val="0"/>
          <w:color w:val="auto"/>
          <w:sz w:val="21"/>
          <w:szCs w:val="21"/>
          <w:highlight w:val="none"/>
          <w:u w:val="single"/>
          <w:lang w:val="en-US" w:eastAsia="zh-CN"/>
        </w:rPr>
        <w:t>1</w:t>
      </w:r>
      <w:r>
        <w:rPr>
          <w:rFonts w:hint="eastAsia" w:ascii="宋体" w:hAnsi="宋体" w:eastAsia="宋体" w:cs="宋体"/>
          <w:b/>
          <w:bCs w:val="0"/>
          <w:color w:val="auto"/>
          <w:sz w:val="21"/>
          <w:szCs w:val="21"/>
          <w:highlight w:val="none"/>
          <w:u w:val="single"/>
        </w:rPr>
        <w:t>.</w:t>
      </w:r>
      <w:r>
        <w:rPr>
          <w:rFonts w:hint="eastAsia" w:ascii="宋体" w:hAnsi="宋体" w:eastAsia="宋体" w:cs="宋体"/>
          <w:b/>
          <w:bCs w:val="0"/>
          <w:color w:val="auto"/>
          <w:sz w:val="21"/>
          <w:szCs w:val="21"/>
          <w:highlight w:val="none"/>
          <w:u w:val="single"/>
          <w:lang w:val="en-US" w:eastAsia="zh-CN"/>
        </w:rPr>
        <w:t>5</w:t>
      </w:r>
      <w:r>
        <w:rPr>
          <w:rFonts w:hint="eastAsia" w:ascii="宋体" w:hAnsi="宋体" w:eastAsia="宋体" w:cs="宋体"/>
          <w:bCs/>
          <w:color w:val="auto"/>
          <w:sz w:val="21"/>
          <w:szCs w:val="21"/>
          <w:highlight w:val="none"/>
          <w:u w:val="single"/>
        </w:rPr>
        <w:t>因</w:t>
      </w:r>
      <w:r>
        <w:rPr>
          <w:rFonts w:hint="eastAsia" w:ascii="宋体" w:hAnsi="宋体" w:eastAsia="宋体" w:cs="宋体"/>
          <w:bCs/>
          <w:color w:val="auto"/>
          <w:sz w:val="21"/>
          <w:szCs w:val="21"/>
          <w:highlight w:val="none"/>
          <w:u w:val="single"/>
          <w:lang w:val="en-US" w:eastAsia="zh-CN"/>
        </w:rPr>
        <w:t>发生异议</w:t>
      </w:r>
      <w:r>
        <w:rPr>
          <w:rFonts w:hint="eastAsia" w:ascii="宋体" w:hAnsi="宋体" w:eastAsia="宋体" w:cs="宋体"/>
          <w:bCs/>
          <w:color w:val="auto"/>
          <w:sz w:val="21"/>
          <w:szCs w:val="21"/>
          <w:highlight w:val="none"/>
          <w:u w:val="single"/>
        </w:rPr>
        <w:t>或投诉需要重新评标或定标的，评标、定标信息仍以投标截止时投标人的信息为准。因特殊原因需要延长投标有效期，投标人拒绝延长投标有效期的，仍参与评标，但不被推荐为</w:t>
      </w:r>
      <w:r>
        <w:rPr>
          <w:rFonts w:hint="eastAsia" w:ascii="宋体" w:hAnsi="宋体" w:eastAsia="宋体" w:cs="宋体"/>
          <w:bCs/>
          <w:color w:val="auto"/>
          <w:sz w:val="21"/>
          <w:szCs w:val="21"/>
          <w:highlight w:val="none"/>
          <w:u w:val="single"/>
          <w:lang w:val="en-US" w:eastAsia="zh-CN"/>
        </w:rPr>
        <w:t>合格</w:t>
      </w:r>
      <w:r>
        <w:rPr>
          <w:rFonts w:hint="eastAsia" w:ascii="宋体" w:hAnsi="宋体" w:eastAsia="宋体" w:cs="宋体"/>
          <w:bCs/>
          <w:color w:val="auto"/>
          <w:sz w:val="21"/>
          <w:szCs w:val="21"/>
          <w:highlight w:val="none"/>
          <w:u w:val="single"/>
        </w:rPr>
        <w:t>中标候选人。</w:t>
      </w:r>
    </w:p>
    <w:p>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b/>
          <w:bCs w:val="0"/>
          <w:color w:val="auto"/>
          <w:sz w:val="21"/>
          <w:szCs w:val="21"/>
          <w:highlight w:val="none"/>
          <w:u w:val="single"/>
          <w:lang w:val="en-US" w:eastAsia="zh-CN"/>
        </w:rPr>
        <w:t>5</w:t>
      </w:r>
      <w:r>
        <w:rPr>
          <w:rFonts w:hint="eastAsia" w:ascii="宋体" w:hAnsi="宋体" w:cs="宋体"/>
          <w:b/>
          <w:bCs w:val="0"/>
          <w:color w:val="auto"/>
          <w:sz w:val="21"/>
          <w:szCs w:val="21"/>
          <w:highlight w:val="none"/>
          <w:u w:val="single"/>
          <w:lang w:val="en-US" w:eastAsia="zh-CN"/>
        </w:rPr>
        <w:t>1</w:t>
      </w:r>
      <w:r>
        <w:rPr>
          <w:rFonts w:hint="eastAsia" w:ascii="宋体" w:hAnsi="宋体" w:eastAsia="宋体" w:cs="宋体"/>
          <w:b/>
          <w:bCs w:val="0"/>
          <w:color w:val="auto"/>
          <w:sz w:val="21"/>
          <w:szCs w:val="21"/>
          <w:highlight w:val="none"/>
          <w:u w:val="single"/>
          <w:lang w:val="en-US" w:eastAsia="zh-CN"/>
        </w:rPr>
        <w:t>.6</w:t>
      </w:r>
      <w:r>
        <w:rPr>
          <w:rFonts w:hint="eastAsia" w:ascii="宋体" w:hAnsi="宋体" w:eastAsia="宋体" w:cs="宋体"/>
          <w:bCs/>
          <w:color w:val="auto"/>
          <w:sz w:val="21"/>
          <w:szCs w:val="21"/>
          <w:highlight w:val="none"/>
          <w:u w:val="single"/>
        </w:rPr>
        <w:t>在定标后，中标人放弃中标、无故不签订合同或因不可抗力不能履行合同、不按照招标文件要求提交履约保证金，或者被查实存在影响中标结果的违法行为等情形，不符合中标条件的，招标人可以重新招标或由原定标委员会按原定标规则在合格中标候选人名单中重新确定中标人并公示。</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 xml:space="preserve">条款号：附表一 《资格审查表》          </w:t>
      </w:r>
      <w:r>
        <w:rPr>
          <w:rFonts w:hint="eastAsia" w:ascii="宋体" w:hAnsi="宋体" w:cs="宋体"/>
          <w:b/>
          <w:color w:val="auto"/>
          <w:sz w:val="21"/>
          <w:szCs w:val="21"/>
          <w:highlight w:val="none"/>
          <w:lang w:val="en-US" w:eastAsia="zh-CN" w:bidi="ar-SA"/>
        </w:rPr>
        <w:t xml:space="preserve">   </w:t>
      </w:r>
      <w:r>
        <w:rPr>
          <w:rFonts w:hint="eastAsia" w:ascii="宋体" w:hAnsi="宋体" w:eastAsia="宋体" w:cs="宋体"/>
          <w:b/>
          <w:color w:val="auto"/>
          <w:sz w:val="21"/>
          <w:szCs w:val="21"/>
          <w:highlight w:val="none"/>
          <w:lang w:bidi="ar-SA"/>
        </w:rPr>
        <w:t xml:space="preserve">  修改类型：修改</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原文：</w:t>
      </w:r>
      <w:r>
        <w:rPr>
          <w:rFonts w:hint="eastAsia" w:ascii="宋体" w:hAnsi="宋体" w:eastAsia="宋体" w:cs="宋体"/>
          <w:color w:val="auto"/>
          <w:sz w:val="21"/>
          <w:szCs w:val="21"/>
          <w:highlight w:val="none"/>
          <w:lang w:bidi="ar-SA"/>
        </w:rPr>
        <w:t>见范本</w:t>
      </w:r>
    </w:p>
    <w:p>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lang w:bidi="ar-SA"/>
        </w:rPr>
      </w:pPr>
      <w:r>
        <w:rPr>
          <w:rFonts w:hint="eastAsia" w:ascii="宋体" w:hAnsi="宋体" w:eastAsia="宋体" w:cs="宋体"/>
          <w:b/>
          <w:color w:val="auto"/>
          <w:sz w:val="21"/>
          <w:szCs w:val="21"/>
          <w:highlight w:val="none"/>
          <w:lang w:bidi="ar-SA"/>
        </w:rPr>
        <w:t>现文：</w:t>
      </w:r>
      <w:r>
        <w:rPr>
          <w:rFonts w:hint="eastAsia" w:ascii="宋体" w:hAnsi="宋体" w:eastAsia="宋体" w:cs="宋体"/>
          <w:color w:val="auto"/>
          <w:sz w:val="21"/>
          <w:szCs w:val="21"/>
          <w:highlight w:val="none"/>
          <w:lang w:bidi="ar-SA"/>
        </w:rPr>
        <w:t>见后附（现文：附表一《资格审查表》）</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 xml:space="preserve">条款号：附表二 《技术标有效性审查表》    </w:t>
      </w:r>
      <w:r>
        <w:rPr>
          <w:rFonts w:hint="eastAsia" w:ascii="宋体" w:hAnsi="宋体" w:cs="宋体"/>
          <w:b/>
          <w:color w:val="auto"/>
          <w:sz w:val="21"/>
          <w:szCs w:val="21"/>
          <w:highlight w:val="none"/>
          <w:lang w:val="en-US" w:eastAsia="zh-CN" w:bidi="ar-SA"/>
        </w:rPr>
        <w:t xml:space="preserve">  </w:t>
      </w:r>
      <w:r>
        <w:rPr>
          <w:rFonts w:hint="eastAsia" w:ascii="宋体" w:hAnsi="宋体" w:eastAsia="宋体" w:cs="宋体"/>
          <w:b/>
          <w:color w:val="auto"/>
          <w:sz w:val="21"/>
          <w:szCs w:val="21"/>
          <w:highlight w:val="none"/>
          <w:lang w:bidi="ar-SA"/>
        </w:rPr>
        <w:t xml:space="preserve"> 修改类型：修改</w:t>
      </w:r>
    </w:p>
    <w:p>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lang w:bidi="ar-SA"/>
        </w:rPr>
      </w:pPr>
      <w:r>
        <w:rPr>
          <w:rFonts w:hint="eastAsia" w:ascii="宋体" w:hAnsi="宋体" w:eastAsia="宋体" w:cs="宋体"/>
          <w:b/>
          <w:color w:val="auto"/>
          <w:sz w:val="21"/>
          <w:szCs w:val="21"/>
          <w:highlight w:val="none"/>
          <w:lang w:bidi="ar-SA"/>
        </w:rPr>
        <w:t>原文：</w:t>
      </w:r>
      <w:r>
        <w:rPr>
          <w:rFonts w:hint="eastAsia" w:ascii="宋体" w:hAnsi="宋体" w:eastAsia="宋体" w:cs="宋体"/>
          <w:color w:val="auto"/>
          <w:sz w:val="21"/>
          <w:szCs w:val="21"/>
          <w:highlight w:val="none"/>
          <w:lang w:bidi="ar-SA"/>
        </w:rPr>
        <w:t>见范本</w:t>
      </w:r>
    </w:p>
    <w:p>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lang w:bidi="ar-SA"/>
        </w:rPr>
      </w:pPr>
      <w:r>
        <w:rPr>
          <w:rFonts w:hint="eastAsia" w:ascii="宋体" w:hAnsi="宋体" w:eastAsia="宋体" w:cs="宋体"/>
          <w:b/>
          <w:color w:val="auto"/>
          <w:sz w:val="21"/>
          <w:szCs w:val="21"/>
          <w:highlight w:val="none"/>
          <w:lang w:bidi="ar-SA"/>
        </w:rPr>
        <w:t>现文：</w:t>
      </w:r>
      <w:r>
        <w:rPr>
          <w:rFonts w:hint="eastAsia" w:ascii="宋体" w:hAnsi="宋体" w:eastAsia="宋体" w:cs="宋体"/>
          <w:color w:val="auto"/>
          <w:sz w:val="21"/>
          <w:szCs w:val="21"/>
          <w:highlight w:val="none"/>
          <w:lang w:bidi="ar-SA"/>
        </w:rPr>
        <w:t>见后附（现文：附表二《技术标有效性审查表》）</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 xml:space="preserve">条款号：附表三 《经济标有效性审查表》  </w:t>
      </w:r>
      <w:r>
        <w:rPr>
          <w:rFonts w:hint="eastAsia" w:ascii="宋体" w:hAnsi="宋体" w:cs="宋体"/>
          <w:b/>
          <w:color w:val="auto"/>
          <w:sz w:val="21"/>
          <w:szCs w:val="21"/>
          <w:highlight w:val="none"/>
          <w:lang w:val="en-US" w:eastAsia="zh-CN" w:bidi="ar-SA"/>
        </w:rPr>
        <w:t xml:space="preserve">  </w:t>
      </w:r>
      <w:r>
        <w:rPr>
          <w:rFonts w:hint="eastAsia" w:ascii="宋体" w:hAnsi="宋体" w:eastAsia="宋体" w:cs="宋体"/>
          <w:b/>
          <w:color w:val="auto"/>
          <w:sz w:val="21"/>
          <w:szCs w:val="21"/>
          <w:highlight w:val="none"/>
          <w:lang w:bidi="ar-SA"/>
        </w:rPr>
        <w:t xml:space="preserve">   修改类型：修改</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原文：</w:t>
      </w:r>
      <w:r>
        <w:rPr>
          <w:rFonts w:hint="eastAsia" w:ascii="宋体" w:hAnsi="宋体" w:eastAsia="宋体" w:cs="宋体"/>
          <w:color w:val="auto"/>
          <w:sz w:val="21"/>
          <w:szCs w:val="21"/>
          <w:highlight w:val="none"/>
          <w:lang w:bidi="ar-SA"/>
        </w:rPr>
        <w:t>见范本</w:t>
      </w:r>
    </w:p>
    <w:p>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lang w:bidi="ar-SA"/>
        </w:rPr>
      </w:pPr>
      <w:r>
        <w:rPr>
          <w:rFonts w:hint="eastAsia" w:ascii="宋体" w:hAnsi="宋体" w:eastAsia="宋体" w:cs="宋体"/>
          <w:b/>
          <w:color w:val="auto"/>
          <w:sz w:val="21"/>
          <w:szCs w:val="21"/>
          <w:highlight w:val="none"/>
          <w:lang w:bidi="ar-SA"/>
        </w:rPr>
        <w:t>现文：</w:t>
      </w:r>
      <w:r>
        <w:rPr>
          <w:rFonts w:hint="eastAsia" w:ascii="宋体" w:hAnsi="宋体" w:eastAsia="宋体" w:cs="宋体"/>
          <w:color w:val="auto"/>
          <w:sz w:val="21"/>
          <w:szCs w:val="21"/>
          <w:highlight w:val="none"/>
          <w:lang w:bidi="ar-SA"/>
        </w:rPr>
        <w:t>见后附（现文：附表三《经济标有效性审查表》）</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lang w:eastAsia="zh-CN" w:bidi="ar-SA"/>
        </w:rPr>
      </w:pPr>
      <w:r>
        <w:rPr>
          <w:rFonts w:hint="eastAsia" w:ascii="宋体" w:hAnsi="宋体" w:eastAsia="宋体" w:cs="宋体"/>
          <w:b/>
          <w:color w:val="auto"/>
          <w:sz w:val="21"/>
          <w:szCs w:val="21"/>
          <w:highlight w:val="none"/>
          <w:lang w:bidi="ar-SA"/>
        </w:rPr>
        <w:t>条款号：附表四</w:t>
      </w:r>
      <w:r>
        <w:rPr>
          <w:rFonts w:hint="eastAsia" w:ascii="宋体" w:hAnsi="宋体" w:cs="宋体"/>
          <w:b/>
          <w:color w:val="auto"/>
          <w:sz w:val="21"/>
          <w:szCs w:val="21"/>
          <w:highlight w:val="none"/>
          <w:lang w:val="en-US" w:eastAsia="zh-CN" w:bidi="ar-SA"/>
        </w:rPr>
        <w:t xml:space="preserve"> </w:t>
      </w:r>
      <w:r>
        <w:rPr>
          <w:rFonts w:hint="eastAsia" w:ascii="宋体" w:hAnsi="宋体" w:eastAsia="宋体" w:cs="宋体"/>
          <w:b/>
          <w:color w:val="auto"/>
          <w:sz w:val="21"/>
          <w:szCs w:val="21"/>
          <w:highlight w:val="none"/>
          <w:lang w:bidi="ar-SA"/>
        </w:rPr>
        <w:t>《技术标详细审查定档表》     修改类型：</w:t>
      </w:r>
      <w:r>
        <w:rPr>
          <w:rFonts w:hint="eastAsia" w:ascii="宋体" w:hAnsi="宋体" w:eastAsia="宋体" w:cs="宋体"/>
          <w:b/>
          <w:color w:val="auto"/>
          <w:sz w:val="21"/>
          <w:szCs w:val="21"/>
          <w:highlight w:val="none"/>
          <w:lang w:eastAsia="zh-CN" w:bidi="ar-SA"/>
        </w:rPr>
        <w:t>删除</w:t>
      </w:r>
    </w:p>
    <w:p>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lang w:bidi="ar-SA"/>
        </w:rPr>
      </w:pPr>
      <w:r>
        <w:rPr>
          <w:rFonts w:hint="eastAsia" w:ascii="宋体" w:hAnsi="宋体" w:eastAsia="宋体" w:cs="宋体"/>
          <w:b/>
          <w:color w:val="auto"/>
          <w:sz w:val="21"/>
          <w:szCs w:val="21"/>
          <w:highlight w:val="none"/>
          <w:lang w:bidi="ar-SA"/>
        </w:rPr>
        <w:t>原文：</w:t>
      </w:r>
      <w:r>
        <w:rPr>
          <w:rFonts w:hint="eastAsia" w:ascii="宋体" w:hAnsi="宋体" w:eastAsia="宋体" w:cs="宋体"/>
          <w:color w:val="auto"/>
          <w:sz w:val="21"/>
          <w:szCs w:val="21"/>
          <w:highlight w:val="none"/>
          <w:lang w:bidi="ar-SA"/>
        </w:rPr>
        <w:t>见范本</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条款号：附表四</w:t>
      </w:r>
      <w:r>
        <w:rPr>
          <w:rFonts w:hint="eastAsia" w:ascii="宋体" w:hAnsi="宋体" w:cs="宋体"/>
          <w:b/>
          <w:color w:val="auto"/>
          <w:sz w:val="21"/>
          <w:szCs w:val="21"/>
          <w:highlight w:val="none"/>
          <w:lang w:val="en-US" w:eastAsia="zh-CN" w:bidi="ar-SA"/>
        </w:rPr>
        <w:t xml:space="preserve"> </w:t>
      </w:r>
      <w:r>
        <w:rPr>
          <w:rFonts w:hint="eastAsia" w:ascii="宋体" w:hAnsi="宋体" w:eastAsia="宋体" w:cs="宋体"/>
          <w:b/>
          <w:color w:val="auto"/>
          <w:sz w:val="21"/>
          <w:szCs w:val="21"/>
          <w:highlight w:val="none"/>
          <w:lang w:bidi="ar-SA"/>
        </w:rPr>
        <w:t>《技术标详细审查评分表》     修改类型：修改</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原文：</w:t>
      </w:r>
      <w:r>
        <w:rPr>
          <w:rFonts w:hint="eastAsia" w:ascii="宋体" w:hAnsi="宋体" w:eastAsia="宋体" w:cs="宋体"/>
          <w:color w:val="auto"/>
          <w:sz w:val="21"/>
          <w:szCs w:val="21"/>
          <w:highlight w:val="none"/>
          <w:lang w:bidi="ar-SA"/>
        </w:rPr>
        <w:t>见范本</w:t>
      </w:r>
    </w:p>
    <w:p>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lang w:bidi="ar-SA"/>
        </w:rPr>
      </w:pPr>
      <w:r>
        <w:rPr>
          <w:rFonts w:hint="eastAsia" w:ascii="宋体" w:hAnsi="宋体" w:eastAsia="宋体" w:cs="宋体"/>
          <w:b/>
          <w:color w:val="auto"/>
          <w:sz w:val="21"/>
          <w:szCs w:val="21"/>
          <w:highlight w:val="none"/>
          <w:lang w:bidi="ar-SA"/>
        </w:rPr>
        <w:t>现文：</w:t>
      </w:r>
      <w:r>
        <w:rPr>
          <w:rFonts w:hint="eastAsia" w:ascii="宋体" w:hAnsi="宋体" w:eastAsia="宋体" w:cs="宋体"/>
          <w:color w:val="auto"/>
          <w:sz w:val="21"/>
          <w:szCs w:val="21"/>
          <w:highlight w:val="none"/>
          <w:lang w:bidi="ar-SA"/>
        </w:rPr>
        <w:t>见后附（现文：附表四《技术标详细审查评分表》）</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条款号：附表</w:t>
      </w:r>
      <w:r>
        <w:rPr>
          <w:rFonts w:hint="eastAsia" w:ascii="宋体" w:hAnsi="宋体" w:eastAsia="宋体" w:cs="宋体"/>
          <w:b/>
          <w:color w:val="auto"/>
          <w:sz w:val="21"/>
          <w:szCs w:val="21"/>
          <w:highlight w:val="none"/>
          <w:lang w:val="en-US" w:eastAsia="zh-CN" w:bidi="ar-SA"/>
        </w:rPr>
        <w:t>五</w:t>
      </w:r>
      <w:r>
        <w:rPr>
          <w:rFonts w:hint="eastAsia" w:ascii="宋体" w:hAnsi="宋体" w:cs="宋体"/>
          <w:b/>
          <w:color w:val="auto"/>
          <w:sz w:val="21"/>
          <w:szCs w:val="21"/>
          <w:highlight w:val="none"/>
          <w:lang w:val="en-US" w:eastAsia="zh-CN" w:bidi="ar-SA"/>
        </w:rPr>
        <w:t xml:space="preserve"> </w:t>
      </w:r>
      <w:r>
        <w:rPr>
          <w:rFonts w:hint="eastAsia" w:ascii="宋体" w:hAnsi="宋体" w:eastAsia="宋体" w:cs="宋体"/>
          <w:b/>
          <w:color w:val="auto"/>
          <w:sz w:val="21"/>
          <w:szCs w:val="21"/>
          <w:highlight w:val="none"/>
          <w:lang w:bidi="ar-SA"/>
        </w:rPr>
        <w:t xml:space="preserve">《经济标评分表》    </w:t>
      </w:r>
      <w:r>
        <w:rPr>
          <w:rFonts w:hint="eastAsia" w:ascii="宋体" w:hAnsi="宋体" w:cs="宋体"/>
          <w:b/>
          <w:color w:val="auto"/>
          <w:sz w:val="21"/>
          <w:szCs w:val="21"/>
          <w:highlight w:val="none"/>
          <w:lang w:val="en-US" w:eastAsia="zh-CN" w:bidi="ar-SA"/>
        </w:rPr>
        <w:t xml:space="preserve">        </w:t>
      </w:r>
      <w:r>
        <w:rPr>
          <w:rFonts w:hint="eastAsia" w:ascii="宋体" w:hAnsi="宋体" w:eastAsia="宋体" w:cs="宋体"/>
          <w:b/>
          <w:color w:val="auto"/>
          <w:sz w:val="21"/>
          <w:szCs w:val="21"/>
          <w:highlight w:val="none"/>
          <w:lang w:bidi="ar-SA"/>
        </w:rPr>
        <w:t xml:space="preserve"> 修改类型：</w:t>
      </w:r>
      <w:r>
        <w:rPr>
          <w:rFonts w:hint="eastAsia" w:ascii="宋体" w:hAnsi="宋体" w:eastAsia="宋体" w:cs="宋体"/>
          <w:b/>
          <w:color w:val="auto"/>
          <w:sz w:val="21"/>
          <w:szCs w:val="21"/>
          <w:highlight w:val="none"/>
          <w:lang w:eastAsia="zh-CN" w:bidi="ar-SA"/>
        </w:rPr>
        <w:t>删除</w:t>
      </w:r>
    </w:p>
    <w:p>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lang w:bidi="ar-SA"/>
        </w:rPr>
      </w:pPr>
      <w:r>
        <w:rPr>
          <w:rFonts w:hint="eastAsia" w:ascii="宋体" w:hAnsi="宋体" w:eastAsia="宋体" w:cs="宋体"/>
          <w:b/>
          <w:color w:val="auto"/>
          <w:sz w:val="21"/>
          <w:szCs w:val="21"/>
          <w:highlight w:val="none"/>
          <w:lang w:bidi="ar-SA"/>
        </w:rPr>
        <w:t>原文：</w:t>
      </w:r>
      <w:r>
        <w:rPr>
          <w:rFonts w:hint="eastAsia" w:ascii="宋体" w:hAnsi="宋体" w:eastAsia="宋体" w:cs="宋体"/>
          <w:color w:val="auto"/>
          <w:sz w:val="21"/>
          <w:szCs w:val="21"/>
          <w:highlight w:val="none"/>
          <w:lang w:bidi="ar-SA"/>
        </w:rPr>
        <w:t>见范本</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条款号：附表</w:t>
      </w:r>
      <w:r>
        <w:rPr>
          <w:rFonts w:hint="eastAsia" w:ascii="宋体" w:hAnsi="宋体" w:eastAsia="宋体" w:cs="宋体"/>
          <w:b/>
          <w:color w:val="auto"/>
          <w:sz w:val="21"/>
          <w:szCs w:val="21"/>
          <w:highlight w:val="none"/>
          <w:lang w:val="en-US" w:eastAsia="zh-CN" w:bidi="ar-SA"/>
        </w:rPr>
        <w:t>六</w:t>
      </w:r>
      <w:r>
        <w:rPr>
          <w:rFonts w:hint="eastAsia" w:ascii="宋体" w:hAnsi="宋体" w:cs="宋体"/>
          <w:b/>
          <w:color w:val="auto"/>
          <w:sz w:val="21"/>
          <w:szCs w:val="21"/>
          <w:highlight w:val="none"/>
          <w:lang w:val="en-US" w:eastAsia="zh-CN" w:bidi="ar-SA"/>
        </w:rPr>
        <w:t xml:space="preserve"> </w:t>
      </w:r>
      <w:r>
        <w:rPr>
          <w:rFonts w:hint="eastAsia" w:ascii="宋体" w:hAnsi="宋体" w:eastAsia="宋体" w:cs="宋体"/>
          <w:b/>
          <w:color w:val="auto"/>
          <w:sz w:val="21"/>
          <w:szCs w:val="21"/>
          <w:highlight w:val="none"/>
          <w:lang w:bidi="ar-SA"/>
        </w:rPr>
        <w:t xml:space="preserve">《需评审的主要项目表》  </w:t>
      </w:r>
      <w:r>
        <w:rPr>
          <w:rFonts w:hint="eastAsia" w:ascii="宋体" w:hAnsi="宋体" w:cs="宋体"/>
          <w:b/>
          <w:color w:val="auto"/>
          <w:sz w:val="21"/>
          <w:szCs w:val="21"/>
          <w:highlight w:val="none"/>
          <w:lang w:val="en-US" w:eastAsia="zh-CN" w:bidi="ar-SA"/>
        </w:rPr>
        <w:t xml:space="preserve">  </w:t>
      </w:r>
      <w:r>
        <w:rPr>
          <w:rFonts w:hint="eastAsia" w:ascii="宋体" w:hAnsi="宋体" w:eastAsia="宋体" w:cs="宋体"/>
          <w:b/>
          <w:color w:val="auto"/>
          <w:sz w:val="21"/>
          <w:szCs w:val="21"/>
          <w:highlight w:val="none"/>
          <w:lang w:bidi="ar-SA"/>
        </w:rPr>
        <w:t xml:space="preserve">   修改类型：</w:t>
      </w:r>
      <w:r>
        <w:rPr>
          <w:rFonts w:hint="eastAsia" w:ascii="宋体" w:hAnsi="宋体" w:eastAsia="宋体" w:cs="宋体"/>
          <w:b/>
          <w:color w:val="auto"/>
          <w:sz w:val="21"/>
          <w:szCs w:val="21"/>
          <w:highlight w:val="none"/>
          <w:lang w:eastAsia="zh-CN" w:bidi="ar-SA"/>
        </w:rPr>
        <w:t>删除</w:t>
      </w:r>
    </w:p>
    <w:p>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lang w:bidi="ar-SA"/>
        </w:rPr>
      </w:pPr>
      <w:r>
        <w:rPr>
          <w:rFonts w:hint="eastAsia" w:ascii="宋体" w:hAnsi="宋体" w:eastAsia="宋体" w:cs="宋体"/>
          <w:b/>
          <w:color w:val="auto"/>
          <w:sz w:val="21"/>
          <w:szCs w:val="21"/>
          <w:highlight w:val="none"/>
          <w:lang w:bidi="ar-SA"/>
        </w:rPr>
        <w:t>原文：</w:t>
      </w:r>
      <w:r>
        <w:rPr>
          <w:rFonts w:hint="eastAsia" w:ascii="宋体" w:hAnsi="宋体" w:eastAsia="宋体" w:cs="宋体"/>
          <w:color w:val="auto"/>
          <w:sz w:val="21"/>
          <w:szCs w:val="21"/>
          <w:highlight w:val="none"/>
          <w:lang w:bidi="ar-SA"/>
        </w:rPr>
        <w:t>见范本</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条款号：附表</w:t>
      </w:r>
      <w:r>
        <w:rPr>
          <w:rFonts w:hint="eastAsia" w:ascii="宋体" w:hAnsi="宋体" w:eastAsia="宋体" w:cs="宋体"/>
          <w:b/>
          <w:color w:val="auto"/>
          <w:sz w:val="21"/>
          <w:szCs w:val="21"/>
          <w:highlight w:val="none"/>
          <w:lang w:val="en-US" w:eastAsia="zh-CN" w:bidi="ar-SA"/>
        </w:rPr>
        <w:t>七</w:t>
      </w:r>
      <w:r>
        <w:rPr>
          <w:rFonts w:hint="eastAsia" w:ascii="宋体" w:hAnsi="宋体" w:cs="宋体"/>
          <w:b/>
          <w:color w:val="auto"/>
          <w:sz w:val="21"/>
          <w:szCs w:val="21"/>
          <w:highlight w:val="none"/>
          <w:lang w:val="en-US" w:eastAsia="zh-CN" w:bidi="ar-SA"/>
        </w:rPr>
        <w:t xml:space="preserve"> </w:t>
      </w:r>
      <w:r>
        <w:rPr>
          <w:rFonts w:hint="eastAsia" w:ascii="宋体" w:hAnsi="宋体" w:eastAsia="宋体" w:cs="宋体"/>
          <w:b/>
          <w:color w:val="auto"/>
          <w:sz w:val="21"/>
          <w:szCs w:val="21"/>
          <w:highlight w:val="none"/>
          <w:lang w:bidi="ar-SA"/>
        </w:rPr>
        <w:t xml:space="preserve">《单价基准值计算表》  </w:t>
      </w:r>
      <w:r>
        <w:rPr>
          <w:rFonts w:hint="eastAsia" w:ascii="宋体" w:hAnsi="宋体" w:cs="宋体"/>
          <w:b/>
          <w:color w:val="auto"/>
          <w:sz w:val="21"/>
          <w:szCs w:val="21"/>
          <w:highlight w:val="none"/>
          <w:lang w:val="en-US" w:eastAsia="zh-CN" w:bidi="ar-SA"/>
        </w:rPr>
        <w:t xml:space="preserve">    </w:t>
      </w:r>
      <w:r>
        <w:rPr>
          <w:rFonts w:hint="eastAsia" w:ascii="宋体" w:hAnsi="宋体" w:eastAsia="宋体" w:cs="宋体"/>
          <w:b/>
          <w:color w:val="auto"/>
          <w:sz w:val="21"/>
          <w:szCs w:val="21"/>
          <w:highlight w:val="none"/>
          <w:lang w:bidi="ar-SA"/>
        </w:rPr>
        <w:t xml:space="preserve">   修改类型：</w:t>
      </w:r>
      <w:r>
        <w:rPr>
          <w:rFonts w:hint="eastAsia" w:ascii="宋体" w:hAnsi="宋体" w:eastAsia="宋体" w:cs="宋体"/>
          <w:b/>
          <w:color w:val="auto"/>
          <w:sz w:val="21"/>
          <w:szCs w:val="21"/>
          <w:highlight w:val="none"/>
          <w:lang w:eastAsia="zh-CN" w:bidi="ar-SA"/>
        </w:rPr>
        <w:t>删除</w:t>
      </w:r>
    </w:p>
    <w:p>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lang w:bidi="ar-SA"/>
        </w:rPr>
      </w:pPr>
      <w:r>
        <w:rPr>
          <w:rFonts w:hint="eastAsia" w:ascii="宋体" w:hAnsi="宋体" w:eastAsia="宋体" w:cs="宋体"/>
          <w:b/>
          <w:color w:val="auto"/>
          <w:sz w:val="21"/>
          <w:szCs w:val="21"/>
          <w:highlight w:val="none"/>
          <w:lang w:bidi="ar-SA"/>
        </w:rPr>
        <w:t>原文：</w:t>
      </w:r>
      <w:r>
        <w:rPr>
          <w:rFonts w:hint="eastAsia" w:ascii="宋体" w:hAnsi="宋体" w:eastAsia="宋体" w:cs="宋体"/>
          <w:color w:val="auto"/>
          <w:sz w:val="21"/>
          <w:szCs w:val="21"/>
          <w:highlight w:val="none"/>
          <w:lang w:bidi="ar-SA"/>
        </w:rPr>
        <w:t>见范本</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条款号：附表</w:t>
      </w:r>
      <w:r>
        <w:rPr>
          <w:rFonts w:hint="eastAsia" w:ascii="宋体" w:hAnsi="宋体" w:eastAsia="宋体" w:cs="宋体"/>
          <w:b/>
          <w:color w:val="auto"/>
          <w:sz w:val="21"/>
          <w:szCs w:val="21"/>
          <w:highlight w:val="none"/>
          <w:lang w:val="en-US" w:eastAsia="zh-CN" w:bidi="ar-SA"/>
        </w:rPr>
        <w:t>八</w:t>
      </w:r>
      <w:r>
        <w:rPr>
          <w:rFonts w:hint="eastAsia" w:ascii="宋体" w:hAnsi="宋体" w:eastAsia="宋体" w:cs="宋体"/>
          <w:b/>
          <w:color w:val="auto"/>
          <w:sz w:val="21"/>
          <w:szCs w:val="21"/>
          <w:highlight w:val="none"/>
          <w:lang w:bidi="ar-SA"/>
        </w:rPr>
        <w:t>《投标人（名称）经济标的主要单价评分表》   修改类型：</w:t>
      </w:r>
      <w:r>
        <w:rPr>
          <w:rFonts w:hint="eastAsia" w:ascii="宋体" w:hAnsi="宋体" w:eastAsia="宋体" w:cs="宋体"/>
          <w:b/>
          <w:color w:val="auto"/>
          <w:sz w:val="21"/>
          <w:szCs w:val="21"/>
          <w:highlight w:val="none"/>
          <w:lang w:eastAsia="zh-CN" w:bidi="ar-SA"/>
        </w:rPr>
        <w:t>删除</w:t>
      </w:r>
    </w:p>
    <w:p>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lang w:bidi="ar-SA"/>
        </w:rPr>
      </w:pPr>
      <w:r>
        <w:rPr>
          <w:rFonts w:hint="eastAsia" w:ascii="宋体" w:hAnsi="宋体" w:eastAsia="宋体" w:cs="宋体"/>
          <w:b/>
          <w:color w:val="auto"/>
          <w:sz w:val="21"/>
          <w:szCs w:val="21"/>
          <w:highlight w:val="none"/>
          <w:lang w:bidi="ar-SA"/>
        </w:rPr>
        <w:t>原文：</w:t>
      </w:r>
      <w:r>
        <w:rPr>
          <w:rFonts w:hint="eastAsia" w:ascii="宋体" w:hAnsi="宋体" w:eastAsia="宋体" w:cs="宋体"/>
          <w:color w:val="auto"/>
          <w:sz w:val="21"/>
          <w:szCs w:val="21"/>
          <w:highlight w:val="none"/>
          <w:lang w:bidi="ar-SA"/>
        </w:rPr>
        <w:t>见范本</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条款号：附表</w:t>
      </w:r>
      <w:r>
        <w:rPr>
          <w:rFonts w:hint="eastAsia" w:ascii="宋体" w:hAnsi="宋体" w:eastAsia="宋体" w:cs="宋体"/>
          <w:b/>
          <w:color w:val="auto"/>
          <w:sz w:val="21"/>
          <w:szCs w:val="21"/>
          <w:highlight w:val="none"/>
          <w:lang w:val="en-US" w:eastAsia="zh-CN" w:bidi="ar-SA"/>
        </w:rPr>
        <w:t>九</w:t>
      </w:r>
      <w:r>
        <w:rPr>
          <w:rFonts w:hint="eastAsia" w:ascii="宋体" w:hAnsi="宋体" w:cs="宋体"/>
          <w:b/>
          <w:color w:val="auto"/>
          <w:sz w:val="21"/>
          <w:szCs w:val="21"/>
          <w:highlight w:val="none"/>
          <w:lang w:val="en-US" w:eastAsia="zh-CN" w:bidi="ar-SA"/>
        </w:rPr>
        <w:t xml:space="preserve"> </w:t>
      </w:r>
      <w:r>
        <w:rPr>
          <w:rFonts w:hint="eastAsia" w:ascii="宋体" w:hAnsi="宋体" w:eastAsia="宋体" w:cs="宋体"/>
          <w:b/>
          <w:color w:val="auto"/>
          <w:sz w:val="21"/>
          <w:szCs w:val="21"/>
          <w:highlight w:val="none"/>
          <w:lang w:bidi="ar-SA"/>
        </w:rPr>
        <w:t xml:space="preserve">《经济分汇总表》   </w:t>
      </w:r>
      <w:r>
        <w:rPr>
          <w:rFonts w:hint="eastAsia" w:ascii="宋体" w:hAnsi="宋体" w:cs="宋体"/>
          <w:b/>
          <w:color w:val="auto"/>
          <w:sz w:val="21"/>
          <w:szCs w:val="21"/>
          <w:highlight w:val="none"/>
          <w:lang w:val="en-US" w:eastAsia="zh-CN" w:bidi="ar-SA"/>
        </w:rPr>
        <w:t xml:space="preserve">       </w:t>
      </w:r>
      <w:r>
        <w:rPr>
          <w:rFonts w:hint="eastAsia" w:ascii="宋体" w:hAnsi="宋体" w:eastAsia="宋体" w:cs="宋体"/>
          <w:b/>
          <w:color w:val="auto"/>
          <w:sz w:val="21"/>
          <w:szCs w:val="21"/>
          <w:highlight w:val="none"/>
          <w:lang w:bidi="ar-SA"/>
        </w:rPr>
        <w:t xml:space="preserve">  </w:t>
      </w:r>
      <w:r>
        <w:rPr>
          <w:rFonts w:hint="eastAsia" w:ascii="宋体" w:hAnsi="宋体" w:cs="宋体"/>
          <w:b/>
          <w:color w:val="auto"/>
          <w:sz w:val="21"/>
          <w:szCs w:val="21"/>
          <w:highlight w:val="none"/>
          <w:lang w:val="en-US" w:eastAsia="zh-CN" w:bidi="ar-SA"/>
        </w:rPr>
        <w:t xml:space="preserve"> </w:t>
      </w:r>
      <w:r>
        <w:rPr>
          <w:rFonts w:hint="eastAsia" w:ascii="宋体" w:hAnsi="宋体" w:eastAsia="宋体" w:cs="宋体"/>
          <w:b/>
          <w:color w:val="auto"/>
          <w:sz w:val="21"/>
          <w:szCs w:val="21"/>
          <w:highlight w:val="none"/>
          <w:lang w:bidi="ar-SA"/>
        </w:rPr>
        <w:t>修改类型：</w:t>
      </w:r>
      <w:r>
        <w:rPr>
          <w:rFonts w:hint="eastAsia" w:ascii="宋体" w:hAnsi="宋体" w:eastAsia="宋体" w:cs="宋体"/>
          <w:b/>
          <w:color w:val="auto"/>
          <w:sz w:val="21"/>
          <w:szCs w:val="21"/>
          <w:highlight w:val="none"/>
          <w:lang w:eastAsia="zh-CN" w:bidi="ar-SA"/>
        </w:rPr>
        <w:t>删除</w:t>
      </w:r>
    </w:p>
    <w:p>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lang w:bidi="ar-SA"/>
        </w:rPr>
      </w:pPr>
      <w:r>
        <w:rPr>
          <w:rFonts w:hint="eastAsia" w:ascii="宋体" w:hAnsi="宋体" w:eastAsia="宋体" w:cs="宋体"/>
          <w:b/>
          <w:color w:val="auto"/>
          <w:sz w:val="21"/>
          <w:szCs w:val="21"/>
          <w:highlight w:val="none"/>
          <w:lang w:bidi="ar-SA"/>
        </w:rPr>
        <w:t>原文：</w:t>
      </w:r>
      <w:r>
        <w:rPr>
          <w:rFonts w:hint="eastAsia" w:ascii="宋体" w:hAnsi="宋体" w:eastAsia="宋体" w:cs="宋体"/>
          <w:color w:val="auto"/>
          <w:sz w:val="21"/>
          <w:szCs w:val="21"/>
          <w:highlight w:val="none"/>
          <w:lang w:bidi="ar-SA"/>
        </w:rPr>
        <w:t>见范本</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条款号：附表</w:t>
      </w:r>
      <w:r>
        <w:rPr>
          <w:rFonts w:hint="eastAsia" w:ascii="宋体" w:hAnsi="宋体" w:cs="宋体"/>
          <w:b/>
          <w:color w:val="auto"/>
          <w:sz w:val="21"/>
          <w:szCs w:val="21"/>
          <w:highlight w:val="none"/>
          <w:lang w:val="en-US" w:eastAsia="zh-CN" w:bidi="ar-SA"/>
        </w:rPr>
        <w:t xml:space="preserve">十 </w:t>
      </w:r>
      <w:r>
        <w:rPr>
          <w:rFonts w:hint="eastAsia" w:ascii="宋体" w:hAnsi="宋体" w:eastAsia="宋体" w:cs="宋体"/>
          <w:b/>
          <w:color w:val="auto"/>
          <w:sz w:val="21"/>
          <w:szCs w:val="21"/>
          <w:highlight w:val="none"/>
          <w:lang w:bidi="ar-SA"/>
        </w:rPr>
        <w:t xml:space="preserve">《算术复核表》    </w:t>
      </w:r>
      <w:r>
        <w:rPr>
          <w:rFonts w:hint="eastAsia" w:ascii="宋体" w:hAnsi="宋体" w:cs="宋体"/>
          <w:b/>
          <w:color w:val="auto"/>
          <w:sz w:val="21"/>
          <w:szCs w:val="21"/>
          <w:highlight w:val="none"/>
          <w:lang w:val="en-US" w:eastAsia="zh-CN" w:bidi="ar-SA"/>
        </w:rPr>
        <w:t xml:space="preserve">          </w:t>
      </w:r>
      <w:r>
        <w:rPr>
          <w:rFonts w:hint="eastAsia" w:ascii="宋体" w:hAnsi="宋体" w:eastAsia="宋体" w:cs="宋体"/>
          <w:b/>
          <w:color w:val="auto"/>
          <w:sz w:val="21"/>
          <w:szCs w:val="21"/>
          <w:highlight w:val="none"/>
          <w:lang w:bidi="ar-SA"/>
        </w:rPr>
        <w:t xml:space="preserve"> 修改类型：修改</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原文：</w:t>
      </w:r>
      <w:r>
        <w:rPr>
          <w:rFonts w:hint="eastAsia" w:ascii="宋体" w:hAnsi="宋体" w:eastAsia="宋体" w:cs="宋体"/>
          <w:color w:val="auto"/>
          <w:sz w:val="21"/>
          <w:szCs w:val="21"/>
          <w:highlight w:val="none"/>
          <w:lang w:bidi="ar-SA"/>
        </w:rPr>
        <w:t>见范本</w:t>
      </w:r>
    </w:p>
    <w:p>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lang w:bidi="ar-SA"/>
        </w:rPr>
      </w:pPr>
      <w:r>
        <w:rPr>
          <w:rFonts w:hint="eastAsia" w:ascii="宋体" w:hAnsi="宋体" w:eastAsia="宋体" w:cs="宋体"/>
          <w:b/>
          <w:color w:val="auto"/>
          <w:sz w:val="21"/>
          <w:szCs w:val="21"/>
          <w:highlight w:val="none"/>
          <w:lang w:bidi="ar-SA"/>
        </w:rPr>
        <w:t>现文：</w:t>
      </w:r>
      <w:r>
        <w:rPr>
          <w:rFonts w:hint="eastAsia" w:ascii="宋体" w:hAnsi="宋体" w:eastAsia="宋体" w:cs="宋体"/>
          <w:color w:val="auto"/>
          <w:sz w:val="21"/>
          <w:szCs w:val="21"/>
          <w:highlight w:val="none"/>
          <w:lang w:bidi="ar-SA"/>
        </w:rPr>
        <w:t>见后附（现文：附表</w:t>
      </w:r>
      <w:r>
        <w:rPr>
          <w:rFonts w:hint="eastAsia" w:ascii="宋体" w:hAnsi="宋体" w:eastAsia="宋体" w:cs="宋体"/>
          <w:color w:val="auto"/>
          <w:sz w:val="21"/>
          <w:szCs w:val="21"/>
          <w:highlight w:val="none"/>
          <w:lang w:val="en-US" w:eastAsia="zh-CN" w:bidi="ar-SA"/>
        </w:rPr>
        <w:t>五</w:t>
      </w:r>
      <w:r>
        <w:rPr>
          <w:rFonts w:hint="eastAsia" w:ascii="宋体" w:hAnsi="宋体" w:eastAsia="宋体" w:cs="宋体"/>
          <w:color w:val="auto"/>
          <w:sz w:val="21"/>
          <w:szCs w:val="21"/>
          <w:highlight w:val="none"/>
          <w:lang w:bidi="ar-SA"/>
        </w:rPr>
        <w:t>《算术复核表》）</w:t>
      </w:r>
    </w:p>
    <w:p>
      <w:pPr>
        <w:spacing w:line="360" w:lineRule="auto"/>
        <w:ind w:firstLine="422" w:firstLineChars="200"/>
        <w:rPr>
          <w:rFonts w:hAnsi="宋体" w:cs="宋体"/>
          <w:b/>
          <w:color w:val="auto"/>
          <w:szCs w:val="21"/>
          <w:highlight w:val="none"/>
        </w:rPr>
      </w:pPr>
      <w:r>
        <w:rPr>
          <w:rFonts w:hAnsi="宋体" w:cs="宋体"/>
          <w:b/>
          <w:color w:val="auto"/>
          <w:szCs w:val="21"/>
          <w:highlight w:val="none"/>
        </w:rPr>
        <w:t>条款号：</w:t>
      </w:r>
      <w:r>
        <w:rPr>
          <w:rFonts w:hint="eastAsia" w:ascii="宋体" w:cs="宋体"/>
          <w:b/>
          <w:bCs/>
          <w:color w:val="auto"/>
          <w:szCs w:val="21"/>
          <w:highlight w:val="none"/>
          <w:u w:val="single"/>
        </w:rPr>
        <w:t>附表</w:t>
      </w:r>
      <w:r>
        <w:rPr>
          <w:rFonts w:hint="eastAsia" w:ascii="宋体" w:cs="宋体"/>
          <w:b/>
          <w:bCs/>
          <w:color w:val="auto"/>
          <w:szCs w:val="21"/>
          <w:highlight w:val="none"/>
          <w:u w:val="single"/>
          <w:lang w:val="en-US" w:eastAsia="zh-CN"/>
        </w:rPr>
        <w:t>六</w:t>
      </w:r>
      <w:r>
        <w:rPr>
          <w:rFonts w:hint="eastAsia" w:ascii="宋体" w:cs="宋体"/>
          <w:b/>
          <w:bCs/>
          <w:color w:val="auto"/>
          <w:szCs w:val="21"/>
          <w:highlight w:val="none"/>
          <w:u w:val="single"/>
        </w:rPr>
        <w:t>：《定标因素表（定标阶段用表）》    附表</w:t>
      </w:r>
      <w:r>
        <w:rPr>
          <w:rFonts w:hint="eastAsia" w:ascii="宋体" w:cs="宋体"/>
          <w:b/>
          <w:bCs/>
          <w:color w:val="auto"/>
          <w:szCs w:val="21"/>
          <w:highlight w:val="none"/>
          <w:u w:val="single"/>
          <w:lang w:val="en-US" w:eastAsia="zh-CN"/>
        </w:rPr>
        <w:t>七</w:t>
      </w:r>
      <w:r>
        <w:rPr>
          <w:rFonts w:hint="eastAsia" w:ascii="宋体" w:cs="宋体"/>
          <w:b/>
          <w:bCs/>
          <w:color w:val="auto"/>
          <w:szCs w:val="21"/>
          <w:highlight w:val="none"/>
          <w:u w:val="single"/>
        </w:rPr>
        <w:t>：《评审得分表（定标阶段答辩因素—定标委员个人用表）》   附表</w:t>
      </w:r>
      <w:r>
        <w:rPr>
          <w:rFonts w:hint="eastAsia" w:ascii="宋体" w:cs="宋体"/>
          <w:b/>
          <w:bCs/>
          <w:color w:val="auto"/>
          <w:szCs w:val="21"/>
          <w:highlight w:val="none"/>
          <w:u w:val="single"/>
          <w:lang w:val="en-US" w:eastAsia="zh-CN"/>
        </w:rPr>
        <w:t>八</w:t>
      </w:r>
      <w:r>
        <w:rPr>
          <w:rFonts w:hint="eastAsia" w:ascii="宋体" w:cs="宋体"/>
          <w:b/>
          <w:bCs/>
          <w:color w:val="auto"/>
          <w:szCs w:val="21"/>
          <w:highlight w:val="none"/>
          <w:u w:val="single"/>
        </w:rPr>
        <w:t>：《得分统计表（定标阶段答辩因素用表）》   附表</w:t>
      </w:r>
      <w:r>
        <w:rPr>
          <w:rFonts w:hint="eastAsia" w:ascii="宋体" w:cs="宋体"/>
          <w:b/>
          <w:bCs/>
          <w:color w:val="auto"/>
          <w:szCs w:val="21"/>
          <w:highlight w:val="none"/>
          <w:u w:val="single"/>
          <w:lang w:val="en-US" w:eastAsia="zh-CN"/>
        </w:rPr>
        <w:t>九</w:t>
      </w:r>
      <w:r>
        <w:rPr>
          <w:rFonts w:hint="eastAsia" w:ascii="宋体" w:cs="宋体"/>
          <w:b/>
          <w:bCs/>
          <w:color w:val="auto"/>
          <w:szCs w:val="21"/>
          <w:highlight w:val="none"/>
          <w:u w:val="single"/>
        </w:rPr>
        <w:t>：《总得分计算及排序表》</w:t>
      </w:r>
      <w:r>
        <w:rPr>
          <w:rFonts w:hAnsi="宋体" w:cs="宋体"/>
          <w:b/>
          <w:color w:val="auto"/>
          <w:szCs w:val="21"/>
          <w:highlight w:val="none"/>
        </w:rPr>
        <w:t xml:space="preserve">      修改类型：增加</w:t>
      </w:r>
    </w:p>
    <w:p>
      <w:pPr>
        <w:pBdr>
          <w:bottom w:val="single" w:color="auto" w:sz="6" w:space="1"/>
        </w:pBdr>
        <w:spacing w:line="360" w:lineRule="auto"/>
        <w:ind w:firstLine="422" w:firstLineChars="200"/>
        <w:jc w:val="left"/>
        <w:rPr>
          <w:rFonts w:hAnsi="宋体" w:cs="宋体"/>
          <w:b/>
          <w:color w:val="auto"/>
          <w:szCs w:val="21"/>
          <w:highlight w:val="none"/>
          <w:u w:val="single"/>
        </w:rPr>
      </w:pPr>
      <w:r>
        <w:rPr>
          <w:rFonts w:hAnsi="宋体" w:cs="宋体"/>
          <w:b/>
          <w:color w:val="auto"/>
          <w:szCs w:val="21"/>
          <w:highlight w:val="none"/>
          <w:u w:val="single"/>
        </w:rPr>
        <w:t>现文：</w:t>
      </w:r>
      <w:r>
        <w:rPr>
          <w:rFonts w:hint="eastAsia" w:ascii="宋体" w:cs="宋体"/>
          <w:b w:val="0"/>
          <w:bCs w:val="0"/>
          <w:color w:val="auto"/>
          <w:szCs w:val="21"/>
          <w:highlight w:val="none"/>
          <w:u w:val="single"/>
        </w:rPr>
        <w:t>附表</w:t>
      </w:r>
      <w:r>
        <w:rPr>
          <w:rFonts w:hint="eastAsia" w:ascii="宋体" w:cs="宋体"/>
          <w:b w:val="0"/>
          <w:bCs w:val="0"/>
          <w:color w:val="auto"/>
          <w:szCs w:val="21"/>
          <w:highlight w:val="none"/>
          <w:u w:val="single"/>
          <w:lang w:val="en-US" w:eastAsia="zh-CN"/>
        </w:rPr>
        <w:t>六</w:t>
      </w:r>
      <w:r>
        <w:rPr>
          <w:rFonts w:hint="eastAsia" w:ascii="宋体" w:cs="宋体"/>
          <w:b w:val="0"/>
          <w:bCs w:val="0"/>
          <w:color w:val="auto"/>
          <w:szCs w:val="21"/>
          <w:highlight w:val="none"/>
          <w:u w:val="single"/>
        </w:rPr>
        <w:t>：《定标因素表（定标阶段用表）》    附表</w:t>
      </w:r>
      <w:r>
        <w:rPr>
          <w:rFonts w:hint="eastAsia" w:ascii="宋体" w:cs="宋体"/>
          <w:b w:val="0"/>
          <w:bCs w:val="0"/>
          <w:color w:val="auto"/>
          <w:szCs w:val="21"/>
          <w:highlight w:val="none"/>
          <w:u w:val="single"/>
          <w:lang w:val="en-US" w:eastAsia="zh-CN"/>
        </w:rPr>
        <w:t>七</w:t>
      </w:r>
      <w:r>
        <w:rPr>
          <w:rFonts w:hint="eastAsia" w:ascii="宋体" w:cs="宋体"/>
          <w:b w:val="0"/>
          <w:bCs w:val="0"/>
          <w:color w:val="auto"/>
          <w:szCs w:val="21"/>
          <w:highlight w:val="none"/>
          <w:u w:val="single"/>
        </w:rPr>
        <w:t>：《评审得分表（定标阶段答辩因素—定标委员个人用表）》   附表</w:t>
      </w:r>
      <w:r>
        <w:rPr>
          <w:rFonts w:hint="eastAsia" w:ascii="宋体" w:cs="宋体"/>
          <w:b w:val="0"/>
          <w:bCs w:val="0"/>
          <w:color w:val="auto"/>
          <w:szCs w:val="21"/>
          <w:highlight w:val="none"/>
          <w:u w:val="single"/>
          <w:lang w:val="en-US" w:eastAsia="zh-CN"/>
        </w:rPr>
        <w:t>八</w:t>
      </w:r>
      <w:r>
        <w:rPr>
          <w:rFonts w:hint="eastAsia" w:ascii="宋体" w:cs="宋体"/>
          <w:b w:val="0"/>
          <w:bCs w:val="0"/>
          <w:color w:val="auto"/>
          <w:szCs w:val="21"/>
          <w:highlight w:val="none"/>
          <w:u w:val="single"/>
        </w:rPr>
        <w:t>：《得分统计表（定标阶段答辩因素用表）》   附表</w:t>
      </w:r>
      <w:r>
        <w:rPr>
          <w:rFonts w:hint="eastAsia" w:ascii="宋体" w:cs="宋体"/>
          <w:b w:val="0"/>
          <w:bCs w:val="0"/>
          <w:color w:val="auto"/>
          <w:szCs w:val="21"/>
          <w:highlight w:val="none"/>
          <w:u w:val="single"/>
          <w:lang w:val="en-US" w:eastAsia="zh-CN"/>
        </w:rPr>
        <w:t>九</w:t>
      </w:r>
      <w:r>
        <w:rPr>
          <w:rFonts w:hint="eastAsia" w:ascii="宋体" w:cs="宋体"/>
          <w:b w:val="0"/>
          <w:bCs w:val="0"/>
          <w:color w:val="auto"/>
          <w:szCs w:val="21"/>
          <w:highlight w:val="none"/>
          <w:u w:val="single"/>
        </w:rPr>
        <w:t>：《总得分计算及排序表》</w:t>
      </w:r>
    </w:p>
    <w:p>
      <w:pPr>
        <w:spacing w:line="360" w:lineRule="auto"/>
        <w:ind w:firstLine="211" w:firstLineChars="100"/>
        <w:rPr>
          <w:b/>
          <w:color w:val="auto"/>
          <w:szCs w:val="21"/>
          <w:highlight w:val="none"/>
        </w:rPr>
      </w:pPr>
      <w:r>
        <w:rPr>
          <w:rFonts w:hint="eastAsia"/>
          <w:b/>
          <w:color w:val="auto"/>
          <w:szCs w:val="21"/>
          <w:highlight w:val="none"/>
        </w:rPr>
        <w:t>注：以上修改，仅限于本范本中有可供选择条款的情形。</w:t>
      </w:r>
    </w:p>
    <w:p>
      <w:pPr>
        <w:spacing w:line="360" w:lineRule="auto"/>
        <w:rPr>
          <w:color w:val="auto"/>
          <w:highlight w:val="none"/>
        </w:rPr>
      </w:pPr>
      <w:r>
        <w:rPr>
          <w:rFonts w:hint="eastAsia"/>
          <w:b/>
          <w:color w:val="auto"/>
          <w:szCs w:val="21"/>
          <w:highlight w:val="none"/>
        </w:rPr>
        <w:t>（以下无正文）</w:t>
      </w:r>
    </w:p>
    <w:p>
      <w:pPr>
        <w:pStyle w:val="10"/>
        <w:spacing w:line="360" w:lineRule="auto"/>
        <w:rPr>
          <w:color w:val="auto"/>
          <w:highlight w:val="none"/>
        </w:rPr>
      </w:pPr>
      <w:r>
        <w:rPr>
          <w:color w:val="auto"/>
          <w:highlight w:val="none"/>
        </w:rPr>
        <w:br w:type="page"/>
      </w:r>
    </w:p>
    <w:p>
      <w:pPr>
        <w:pStyle w:val="7"/>
        <w:bidi w:val="0"/>
        <w:rPr>
          <w:color w:val="auto"/>
          <w:highlight w:val="none"/>
        </w:rPr>
      </w:pPr>
      <w:bookmarkStart w:id="50" w:name="_Toc9828"/>
      <w:bookmarkStart w:id="51" w:name="_Toc21525500"/>
      <w:bookmarkStart w:id="52" w:name="_Toc22241"/>
      <w:bookmarkStart w:id="53" w:name="_Toc2272556"/>
      <w:r>
        <w:rPr>
          <w:rFonts w:hint="eastAsia"/>
          <w:color w:val="auto"/>
          <w:highlight w:val="none"/>
        </w:rPr>
        <w:t>二、开标、评标及定标办法通用条款</w:t>
      </w:r>
      <w:bookmarkEnd w:id="50"/>
      <w:bookmarkEnd w:id="51"/>
      <w:bookmarkEnd w:id="52"/>
      <w:bookmarkEnd w:id="53"/>
    </w:p>
    <w:p>
      <w:pPr>
        <w:pStyle w:val="8"/>
        <w:bidi w:val="0"/>
        <w:ind w:firstLine="480" w:firstLineChars="200"/>
        <w:rPr>
          <w:rFonts w:hint="eastAsia"/>
          <w:color w:val="auto"/>
          <w:highlight w:val="none"/>
          <w:lang w:val="en-US" w:eastAsia="zh-CN"/>
        </w:rPr>
      </w:pPr>
      <w:bookmarkStart w:id="54" w:name="_Toc9587"/>
      <w:bookmarkStart w:id="55" w:name="_Toc26489"/>
      <w:r>
        <w:rPr>
          <w:rFonts w:hint="eastAsia"/>
          <w:color w:val="auto"/>
          <w:highlight w:val="none"/>
          <w:lang w:val="en-US" w:eastAsia="zh-CN"/>
        </w:rPr>
        <w:t>（一）总则</w:t>
      </w:r>
      <w:bookmarkEnd w:id="54"/>
    </w:p>
    <w:p>
      <w:pPr>
        <w:bidi w:val="0"/>
        <w:spacing w:line="360" w:lineRule="auto"/>
        <w:ind w:firstLine="480" w:firstLineChars="200"/>
        <w:rPr>
          <w:rFonts w:hint="eastAsia"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35.</w:t>
      </w:r>
      <w:r>
        <w:rPr>
          <w:rFonts w:hint="eastAsia" w:ascii="宋体" w:hAnsi="宋体" w:cs="Times New Roman"/>
          <w:color w:val="auto"/>
          <w:sz w:val="24"/>
          <w:szCs w:val="24"/>
          <w:highlight w:val="none"/>
        </w:rPr>
        <w:t>开标、评标及定标所依据的规则</w:t>
      </w:r>
      <w:bookmarkEnd w:id="55"/>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hint="eastAsia" w:ascii="宋体" w:hAnsi="宋体"/>
          <w:color w:val="auto"/>
          <w:sz w:val="24"/>
          <w:szCs w:val="24"/>
          <w:highlight w:val="none"/>
        </w:rPr>
        <w:t>.1《中华人民共和国招标投标法》；</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.2</w:t>
      </w:r>
      <w:r>
        <w:rPr>
          <w:rFonts w:hint="eastAsia" w:ascii="宋体" w:hAnsi="宋体"/>
          <w:color w:val="auto"/>
          <w:sz w:val="24"/>
          <w:szCs w:val="24"/>
          <w:highlight w:val="none"/>
        </w:rPr>
        <w:t>《中华人民共和国招标投标法实施条例》；</w:t>
      </w:r>
    </w:p>
    <w:p>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.3</w:t>
      </w:r>
      <w:r>
        <w:rPr>
          <w:rFonts w:hint="eastAsia" w:ascii="宋体" w:hAnsi="宋体"/>
          <w:color w:val="auto"/>
          <w:sz w:val="24"/>
          <w:szCs w:val="24"/>
          <w:highlight w:val="none"/>
        </w:rPr>
        <w:t>《评标委员会和评标方法暂行规定》（七部委第</w:t>
      </w:r>
      <w:r>
        <w:rPr>
          <w:rFonts w:ascii="宋体" w:hAnsi="宋体"/>
          <w:color w:val="auto"/>
          <w:sz w:val="24"/>
          <w:szCs w:val="24"/>
          <w:highlight w:val="none"/>
        </w:rPr>
        <w:t>12</w:t>
      </w:r>
      <w:r>
        <w:rPr>
          <w:rFonts w:hint="eastAsia" w:ascii="宋体" w:hAnsi="宋体"/>
          <w:color w:val="auto"/>
          <w:sz w:val="24"/>
          <w:szCs w:val="24"/>
          <w:highlight w:val="none"/>
        </w:rPr>
        <w:t>号令）</w:t>
      </w:r>
      <w:r>
        <w:rPr>
          <w:rFonts w:hint="eastAsia" w:ascii="宋体" w:hAnsi="宋体"/>
          <w:color w:val="auto"/>
          <w:sz w:val="24"/>
          <w:szCs w:val="24"/>
          <w:highlight w:val="none"/>
          <w:lang w:eastAsia="zh-CN"/>
        </w:rPr>
        <w:t>；</w:t>
      </w:r>
    </w:p>
    <w:p>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.4</w:t>
      </w:r>
      <w:r>
        <w:rPr>
          <w:rFonts w:hint="eastAsia" w:ascii="宋体" w:hAnsi="宋体"/>
          <w:color w:val="auto"/>
          <w:sz w:val="24"/>
          <w:szCs w:val="24"/>
          <w:highlight w:val="none"/>
        </w:rPr>
        <w:t>《工程建设项目施工招标投标办法》（七部委</w:t>
      </w:r>
      <w:r>
        <w:rPr>
          <w:rFonts w:ascii="宋体" w:hAnsi="宋体"/>
          <w:color w:val="auto"/>
          <w:sz w:val="24"/>
          <w:szCs w:val="24"/>
          <w:highlight w:val="none"/>
        </w:rPr>
        <w:t>2003</w:t>
      </w:r>
      <w:r>
        <w:rPr>
          <w:rFonts w:hint="eastAsia" w:ascii="宋体" w:hAnsi="宋体"/>
          <w:color w:val="auto"/>
          <w:sz w:val="24"/>
          <w:szCs w:val="24"/>
          <w:highlight w:val="none"/>
        </w:rPr>
        <w:t>年第</w:t>
      </w:r>
      <w:r>
        <w:rPr>
          <w:rFonts w:ascii="宋体" w:hAnsi="宋体"/>
          <w:color w:val="auto"/>
          <w:sz w:val="24"/>
          <w:szCs w:val="24"/>
          <w:highlight w:val="none"/>
        </w:rPr>
        <w:t>30</w:t>
      </w:r>
      <w:r>
        <w:rPr>
          <w:rFonts w:hint="eastAsia" w:ascii="宋体" w:hAnsi="宋体"/>
          <w:color w:val="auto"/>
          <w:sz w:val="24"/>
          <w:szCs w:val="24"/>
          <w:highlight w:val="none"/>
        </w:rPr>
        <w:t>号令）</w:t>
      </w:r>
      <w:r>
        <w:rPr>
          <w:rFonts w:hint="eastAsia" w:ascii="宋体" w:hAnsi="宋体"/>
          <w:color w:val="auto"/>
          <w:sz w:val="24"/>
          <w:szCs w:val="24"/>
          <w:highlight w:val="none"/>
          <w:lang w:eastAsia="zh-CN"/>
        </w:rPr>
        <w:t>；</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.5</w:t>
      </w:r>
      <w:r>
        <w:rPr>
          <w:rFonts w:hint="eastAsia" w:ascii="宋体" w:hAnsi="宋体"/>
          <w:color w:val="auto"/>
          <w:sz w:val="24"/>
          <w:szCs w:val="24"/>
          <w:highlight w:val="none"/>
          <w:lang w:eastAsia="zh-CN"/>
        </w:rPr>
        <w:t>《电子招标投标办法</w:t>
      </w:r>
      <w:r>
        <w:rPr>
          <w:rFonts w:hint="eastAsia" w:ascii="宋体" w:hAnsi="宋体"/>
          <w:color w:val="auto"/>
          <w:sz w:val="24"/>
          <w:szCs w:val="24"/>
          <w:highlight w:val="none"/>
          <w:lang w:val="en-US" w:eastAsia="zh-CN"/>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35.6</w:t>
      </w:r>
      <w:r>
        <w:rPr>
          <w:rFonts w:hint="eastAsia" w:ascii="宋体" w:hAnsi="宋体"/>
          <w:color w:val="auto"/>
          <w:sz w:val="24"/>
          <w:szCs w:val="24"/>
          <w:highlight w:val="none"/>
        </w:rPr>
        <w:t>《广东省实施〈中华人民共和国招标投标法〉办法》；</w:t>
      </w:r>
    </w:p>
    <w:p>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《房屋建筑和市政基础设施工程施工招标投标管理办法》（建设部令第</w:t>
      </w:r>
      <w:r>
        <w:rPr>
          <w:rFonts w:ascii="宋体" w:hAnsi="宋体"/>
          <w:color w:val="auto"/>
          <w:sz w:val="24"/>
          <w:szCs w:val="24"/>
          <w:highlight w:val="none"/>
        </w:rPr>
        <w:t>89</w:t>
      </w:r>
      <w:r>
        <w:rPr>
          <w:rFonts w:hint="eastAsia" w:ascii="宋体" w:hAnsi="宋体"/>
          <w:color w:val="auto"/>
          <w:sz w:val="24"/>
          <w:szCs w:val="24"/>
          <w:highlight w:val="none"/>
        </w:rPr>
        <w:t>号）</w:t>
      </w:r>
      <w:r>
        <w:rPr>
          <w:rFonts w:hint="eastAsia" w:ascii="宋体" w:hAnsi="宋体"/>
          <w:color w:val="auto"/>
          <w:sz w:val="24"/>
          <w:szCs w:val="24"/>
          <w:highlight w:val="none"/>
          <w:lang w:eastAsia="zh-CN"/>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《广东省加强建设工程招标投标监督管理的若干规定》（粤发[2004]4号）；</w:t>
      </w:r>
    </w:p>
    <w:p>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w:t>
      </w:r>
      <w:r>
        <w:rPr>
          <w:rFonts w:hint="eastAsia" w:ascii="宋体" w:hAnsi="宋体"/>
          <w:color w:val="auto"/>
          <w:sz w:val="24"/>
          <w:szCs w:val="24"/>
          <w:highlight w:val="none"/>
          <w:lang w:val="en-US" w:eastAsia="zh-CN"/>
        </w:rPr>
        <w:t>9</w:t>
      </w:r>
      <w:r>
        <w:rPr>
          <w:rFonts w:hint="eastAsia" w:ascii="宋体" w:hAnsi="宋体" w:eastAsia="宋体"/>
          <w:color w:val="auto"/>
          <w:sz w:val="24"/>
          <w:szCs w:val="24"/>
          <w:highlight w:val="none"/>
        </w:rPr>
        <w:t>《广州市工程建设项目招标投标管理办法》（穗建规字〔</w:t>
      </w:r>
      <w:r>
        <w:rPr>
          <w:rFonts w:ascii="宋体" w:hAnsi="宋体" w:eastAsia="宋体"/>
          <w:color w:val="auto"/>
          <w:sz w:val="24"/>
          <w:szCs w:val="24"/>
          <w:highlight w:val="none"/>
        </w:rPr>
        <w:t>2023</w:t>
      </w:r>
      <w:r>
        <w:rPr>
          <w:rFonts w:hint="eastAsia" w:ascii="宋体" w:hAnsi="宋体" w:eastAsia="宋体"/>
          <w:color w:val="auto"/>
          <w:sz w:val="24"/>
          <w:szCs w:val="24"/>
          <w:highlight w:val="none"/>
        </w:rPr>
        <w:t>〕</w:t>
      </w:r>
      <w:r>
        <w:rPr>
          <w:rFonts w:ascii="宋体" w:hAnsi="宋体" w:eastAsia="宋体"/>
          <w:color w:val="auto"/>
          <w:sz w:val="24"/>
          <w:szCs w:val="24"/>
          <w:highlight w:val="none"/>
        </w:rPr>
        <w:t>12</w:t>
      </w:r>
      <w:r>
        <w:rPr>
          <w:rFonts w:hint="eastAsia" w:ascii="宋体" w:hAnsi="宋体" w:eastAsia="宋体"/>
          <w:color w:val="auto"/>
          <w:sz w:val="24"/>
          <w:szCs w:val="24"/>
          <w:highlight w:val="none"/>
        </w:rPr>
        <w:t>号）</w:t>
      </w:r>
      <w:r>
        <w:rPr>
          <w:rFonts w:hint="eastAsia" w:ascii="宋体" w:hAnsi="宋体"/>
          <w:color w:val="auto"/>
          <w:sz w:val="24"/>
          <w:szCs w:val="24"/>
          <w:highlight w:val="none"/>
          <w:lang w:eastAsia="zh-CN"/>
        </w:rPr>
        <w:t>；</w:t>
      </w:r>
    </w:p>
    <w:p>
      <w:pPr>
        <w:spacing w:line="360" w:lineRule="auto"/>
        <w:ind w:firstLine="482" w:firstLineChars="200"/>
        <w:rPr>
          <w:rFonts w:hint="eastAsia" w:ascii="宋体" w:hAnsi="宋体"/>
          <w:b/>
          <w:bCs/>
          <w:color w:val="auto"/>
          <w:sz w:val="24"/>
          <w:szCs w:val="24"/>
          <w:highlight w:val="none"/>
          <w:u w:val="single"/>
        </w:rPr>
      </w:pPr>
      <w:r>
        <w:rPr>
          <w:rFonts w:hint="eastAsia" w:ascii="宋体" w:hAnsi="宋体"/>
          <w:b/>
          <w:bCs/>
          <w:color w:val="auto"/>
          <w:sz w:val="24"/>
          <w:szCs w:val="24"/>
          <w:highlight w:val="none"/>
          <w:u w:val="single"/>
          <w:lang w:val="en-US" w:eastAsia="zh-CN"/>
        </w:rPr>
        <w:t>35</w:t>
      </w:r>
      <w:r>
        <w:rPr>
          <w:rFonts w:hint="eastAsia" w:ascii="宋体" w:hAnsi="宋体"/>
          <w:b/>
          <w:bCs/>
          <w:color w:val="auto"/>
          <w:sz w:val="24"/>
          <w:szCs w:val="24"/>
          <w:highlight w:val="none"/>
          <w:u w:val="single"/>
        </w:rPr>
        <w:t>.</w:t>
      </w:r>
      <w:r>
        <w:rPr>
          <w:rFonts w:hint="eastAsia" w:ascii="宋体" w:hAnsi="宋体"/>
          <w:b/>
          <w:bCs/>
          <w:color w:val="auto"/>
          <w:sz w:val="24"/>
          <w:szCs w:val="24"/>
          <w:highlight w:val="none"/>
          <w:u w:val="single"/>
          <w:lang w:val="en-US" w:eastAsia="zh-CN"/>
        </w:rPr>
        <w:t>10《广州市交通运输局关于印发广州市交通工程建设项目评标定标分离操作指引（试行）的通知》（穗交运函〔2025〕17号文）</w:t>
      </w:r>
      <w:r>
        <w:rPr>
          <w:rFonts w:hint="eastAsia" w:ascii="宋体" w:hAnsi="宋体"/>
          <w:b/>
          <w:bCs/>
          <w:color w:val="auto"/>
          <w:sz w:val="24"/>
          <w:szCs w:val="24"/>
          <w:highlight w:val="none"/>
          <w:u w:val="single"/>
          <w:lang w:eastAsia="zh-CN"/>
        </w:rPr>
        <w:t>；</w:t>
      </w:r>
    </w:p>
    <w:p>
      <w:pPr>
        <w:spacing w:line="360" w:lineRule="auto"/>
        <w:ind w:firstLine="482" w:firstLineChars="200"/>
        <w:rPr>
          <w:rFonts w:ascii="宋体" w:hAnsi="宋体"/>
          <w:color w:val="auto"/>
          <w:sz w:val="24"/>
          <w:szCs w:val="24"/>
          <w:highlight w:val="none"/>
        </w:rPr>
      </w:pPr>
      <w:bookmarkStart w:id="56" w:name="_Toc1310"/>
      <w:r>
        <w:rPr>
          <w:rFonts w:hint="eastAsia" w:ascii="宋体" w:hAnsi="宋体"/>
          <w:b/>
          <w:bCs/>
          <w:color w:val="auto"/>
          <w:sz w:val="24"/>
          <w:szCs w:val="24"/>
          <w:highlight w:val="none"/>
          <w:u w:val="single"/>
          <w:lang w:val="en-US" w:eastAsia="zh-CN"/>
        </w:rPr>
        <w:t>35</w:t>
      </w:r>
      <w:r>
        <w:rPr>
          <w:rFonts w:hint="eastAsia" w:ascii="宋体" w:hAnsi="宋体"/>
          <w:b/>
          <w:bCs/>
          <w:color w:val="auto"/>
          <w:sz w:val="24"/>
          <w:szCs w:val="24"/>
          <w:highlight w:val="none"/>
          <w:u w:val="single"/>
        </w:rPr>
        <w:t>.</w:t>
      </w:r>
      <w:r>
        <w:rPr>
          <w:rFonts w:hint="eastAsia" w:ascii="宋体" w:hAnsi="宋体"/>
          <w:b/>
          <w:bCs/>
          <w:color w:val="auto"/>
          <w:sz w:val="24"/>
          <w:szCs w:val="24"/>
          <w:highlight w:val="none"/>
          <w:u w:val="single"/>
          <w:lang w:val="en-US" w:eastAsia="zh-CN"/>
        </w:rPr>
        <w:t>11</w:t>
      </w:r>
      <w:r>
        <w:rPr>
          <w:rFonts w:hint="eastAsia" w:ascii="宋体" w:hAnsi="宋体"/>
          <w:color w:val="auto"/>
          <w:sz w:val="24"/>
          <w:szCs w:val="24"/>
          <w:highlight w:val="none"/>
        </w:rPr>
        <w:t>本项目招标文件。</w:t>
      </w:r>
    </w:p>
    <w:p>
      <w:pPr>
        <w:bidi w:val="0"/>
        <w:spacing w:line="360" w:lineRule="auto"/>
        <w:ind w:firstLine="480" w:firstLineChars="200"/>
        <w:rPr>
          <w:rFonts w:hint="eastAsia"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36</w:t>
      </w:r>
      <w:r>
        <w:rPr>
          <w:rFonts w:hint="eastAsia" w:ascii="宋体" w:hAnsi="宋体" w:cs="Times New Roman"/>
          <w:color w:val="auto"/>
          <w:sz w:val="24"/>
          <w:szCs w:val="24"/>
          <w:highlight w:val="none"/>
        </w:rPr>
        <w:t>．开标</w:t>
      </w:r>
      <w:bookmarkEnd w:id="56"/>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36.1 招标人按投标须知前附表第18项所规定的时间和地点</w:t>
      </w:r>
      <w:r>
        <w:rPr>
          <w:rFonts w:hint="eastAsia" w:ascii="宋体" w:hAnsi="宋体"/>
          <w:color w:val="auto"/>
          <w:sz w:val="24"/>
          <w:szCs w:val="24"/>
          <w:highlight w:val="none"/>
          <w:lang w:eastAsia="zh-CN"/>
        </w:rPr>
        <w:t>通过电子招标投标交易平台</w:t>
      </w:r>
      <w:r>
        <w:rPr>
          <w:rFonts w:hint="eastAsia" w:ascii="宋体" w:hAnsi="宋体"/>
          <w:color w:val="auto"/>
          <w:sz w:val="24"/>
          <w:szCs w:val="24"/>
          <w:highlight w:val="none"/>
        </w:rPr>
        <w:t>公开开标，并邀请所有投标人参加</w:t>
      </w:r>
      <w:r>
        <w:rPr>
          <w:rFonts w:hint="eastAsia" w:ascii="宋体" w:hAnsi="宋体"/>
          <w:color w:val="auto"/>
          <w:sz w:val="24"/>
          <w:szCs w:val="24"/>
          <w:highlight w:val="none"/>
          <w:lang w:eastAsia="zh-CN"/>
        </w:rPr>
        <w:t>，投标人可选择在开标室参加开标或准时在线参加开标，也可以不参加开标，均不影响开标程序</w:t>
      </w:r>
      <w:r>
        <w:rPr>
          <w:rFonts w:hint="eastAsia" w:ascii="宋体" w:hAnsi="宋体"/>
          <w:color w:val="auto"/>
          <w:sz w:val="24"/>
          <w:szCs w:val="24"/>
          <w:highlight w:val="none"/>
        </w:rPr>
        <w:t>。</w:t>
      </w:r>
      <w:r>
        <w:rPr>
          <w:rFonts w:hint="eastAsia"/>
          <w:color w:val="auto"/>
          <w:sz w:val="24"/>
          <w:highlight w:val="none"/>
        </w:rPr>
        <w:t>投标人不派代表</w:t>
      </w:r>
      <w:r>
        <w:rPr>
          <w:rFonts w:hint="eastAsia"/>
          <w:color w:val="auto"/>
          <w:sz w:val="24"/>
          <w:highlight w:val="none"/>
          <w:lang w:eastAsia="zh-CN"/>
        </w:rPr>
        <w:t>参加</w:t>
      </w:r>
      <w:r>
        <w:rPr>
          <w:rFonts w:hint="eastAsia"/>
          <w:color w:val="auto"/>
          <w:sz w:val="24"/>
          <w:highlight w:val="none"/>
        </w:rPr>
        <w:t>开标会，则视其为放弃参与开标的权利，认可开标结果。</w:t>
      </w:r>
      <w:r>
        <w:rPr>
          <w:rFonts w:hint="eastAsia" w:ascii="宋体" w:hAnsi="宋体"/>
          <w:color w:val="auto"/>
          <w:sz w:val="24"/>
          <w:szCs w:val="24"/>
          <w:highlight w:val="none"/>
        </w:rPr>
        <w:t>截标后，开标开始时间因故推迟的，相关评标信息仍以原定的开标开始时间的信息为准。</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36.2</w:t>
      </w:r>
      <w:r>
        <w:rPr>
          <w:rFonts w:hint="eastAsia" w:ascii="宋体" w:hAnsi="宋体"/>
          <w:color w:val="auto"/>
          <w:sz w:val="24"/>
          <w:szCs w:val="24"/>
          <w:highlight w:val="none"/>
        </w:rPr>
        <w:t xml:space="preserve"> 招标人在招标文件要求提交投标文件的截止时间前收到的投标文件，开标时都当众予以解密、公布。</w:t>
      </w:r>
    </w:p>
    <w:p>
      <w:pPr>
        <w:spacing w:line="360" w:lineRule="auto"/>
        <w:ind w:firstLine="480" w:firstLineChars="200"/>
        <w:rPr>
          <w:rFonts w:ascii="宋体" w:hAnsi="宋体"/>
          <w:strike/>
          <w:color w:val="auto"/>
          <w:sz w:val="24"/>
          <w:szCs w:val="24"/>
          <w:highlight w:val="none"/>
        </w:rPr>
      </w:pPr>
      <w:r>
        <w:rPr>
          <w:rFonts w:hint="eastAsia" w:ascii="宋体" w:hAnsi="宋体"/>
          <w:strike/>
          <w:color w:val="auto"/>
          <w:sz w:val="24"/>
          <w:szCs w:val="24"/>
          <w:highlight w:val="none"/>
        </w:rPr>
        <w:t>36.3根据投标须知前附表第19项，如需抽取某一种评标办法供评标时使用的，</w:t>
      </w:r>
      <w:r>
        <w:rPr>
          <w:rFonts w:hint="eastAsia" w:ascii="宋体" w:hAnsi="宋体"/>
          <w:strike/>
          <w:color w:val="auto"/>
          <w:sz w:val="24"/>
          <w:szCs w:val="24"/>
          <w:highlight w:val="none"/>
          <w:lang w:val="en-US" w:eastAsia="zh-CN"/>
        </w:rPr>
        <w:t>可</w:t>
      </w:r>
      <w:r>
        <w:rPr>
          <w:rFonts w:hint="eastAsia" w:ascii="宋体" w:hAnsi="宋体"/>
          <w:strike/>
          <w:color w:val="auto"/>
          <w:sz w:val="24"/>
          <w:szCs w:val="24"/>
          <w:highlight w:val="none"/>
        </w:rPr>
        <w:t>在开标</w:t>
      </w:r>
      <w:r>
        <w:rPr>
          <w:rFonts w:hint="eastAsia" w:ascii="宋体" w:hAnsi="宋体"/>
          <w:strike/>
          <w:color w:val="auto"/>
          <w:sz w:val="24"/>
          <w:szCs w:val="24"/>
          <w:highlight w:val="none"/>
          <w:lang w:val="en-US" w:eastAsia="zh-CN"/>
        </w:rPr>
        <w:t>时（唱标工作完成后）</w:t>
      </w:r>
      <w:r>
        <w:rPr>
          <w:rFonts w:hint="eastAsia" w:ascii="宋体" w:hAnsi="宋体"/>
          <w:strike/>
          <w:color w:val="auto"/>
          <w:sz w:val="24"/>
          <w:szCs w:val="24"/>
          <w:highlight w:val="none"/>
        </w:rPr>
        <w:t>抽取。首先对招标文件中约定的若干种评标方法进行编号，再随机抽取某一编号，该编号所对应的评标办法供评标时使用。</w:t>
      </w:r>
    </w:p>
    <w:p>
      <w:pPr>
        <w:spacing w:line="360" w:lineRule="auto"/>
        <w:ind w:firstLine="480" w:firstLineChars="200"/>
        <w:rPr>
          <w:rFonts w:hint="eastAsia" w:ascii="宋体" w:hAnsi="宋体" w:eastAsia="宋体"/>
          <w:strike/>
          <w:color w:val="auto"/>
          <w:sz w:val="24"/>
          <w:szCs w:val="24"/>
          <w:highlight w:val="none"/>
          <w:lang w:eastAsia="zh-CN"/>
        </w:rPr>
      </w:pPr>
      <w:r>
        <w:rPr>
          <w:rFonts w:hint="eastAsia" w:ascii="宋体" w:hAnsi="宋体"/>
          <w:color w:val="auto"/>
          <w:sz w:val="24"/>
          <w:szCs w:val="24"/>
          <w:highlight w:val="none"/>
        </w:rPr>
        <w:t>36.4若递交投标文件的投标人不足3家，则重新组织招标。</w:t>
      </w:r>
      <w:r>
        <w:rPr>
          <w:rFonts w:hint="eastAsia" w:ascii="宋体" w:hAnsi="宋体"/>
          <w:strike/>
          <w:color w:val="auto"/>
          <w:sz w:val="24"/>
          <w:szCs w:val="24"/>
          <w:highlight w:val="none"/>
        </w:rPr>
        <w:t>（当</w:t>
      </w:r>
      <w:r>
        <w:rPr>
          <w:rFonts w:ascii="宋体" w:hAnsi="宋体"/>
          <w:strike/>
          <w:color w:val="auto"/>
          <w:sz w:val="24"/>
          <w:szCs w:val="24"/>
          <w:highlight w:val="none"/>
        </w:rPr>
        <w:t>N</w:t>
      </w:r>
      <w:r>
        <w:rPr>
          <w:rFonts w:hint="eastAsia" w:ascii="宋体" w:hAnsi="宋体"/>
          <w:strike/>
          <w:color w:val="auto"/>
          <w:sz w:val="24"/>
          <w:szCs w:val="24"/>
          <w:highlight w:val="none"/>
        </w:rPr>
        <w:t>个标段同时招标且不允许兼中时，若有效投标人不足</w:t>
      </w:r>
      <w:r>
        <w:rPr>
          <w:rFonts w:ascii="宋体" w:hAnsi="宋体"/>
          <w:strike/>
          <w:color w:val="auto"/>
          <w:sz w:val="24"/>
          <w:szCs w:val="24"/>
          <w:highlight w:val="none"/>
        </w:rPr>
        <w:t>N+</w:t>
      </w:r>
      <w:r>
        <w:rPr>
          <w:rFonts w:hint="eastAsia" w:ascii="宋体" w:hAnsi="宋体"/>
          <w:strike/>
          <w:color w:val="auto"/>
          <w:sz w:val="24"/>
          <w:szCs w:val="24"/>
          <w:highlight w:val="none"/>
        </w:rPr>
        <w:t>2家，则重新组织招标）</w:t>
      </w:r>
      <w:r>
        <w:rPr>
          <w:rFonts w:hint="eastAsia" w:ascii="宋体" w:hAnsi="宋体"/>
          <w:strike/>
          <w:color w:val="auto"/>
          <w:sz w:val="24"/>
          <w:szCs w:val="24"/>
          <w:highlight w:val="none"/>
          <w:lang w:eastAsia="zh-CN"/>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36.5按下列程序进行开标：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36.5.1在投标截止时间后</w:t>
      </w:r>
      <w:r>
        <w:rPr>
          <w:rFonts w:hint="eastAsia" w:ascii="宋体" w:hAnsi="宋体"/>
          <w:color w:val="auto"/>
          <w:sz w:val="24"/>
          <w:highlight w:val="none"/>
          <w:u w:val="single"/>
          <w:lang w:val="en-US" w:eastAsia="zh-CN"/>
        </w:rPr>
        <w:t>1</w:t>
      </w:r>
      <w:r>
        <w:rPr>
          <w:rFonts w:hint="eastAsia" w:ascii="宋体" w:hAnsi="宋体"/>
          <w:color w:val="auto"/>
          <w:sz w:val="24"/>
          <w:highlight w:val="none"/>
        </w:rPr>
        <w:t>小时内，投标人通过</w:t>
      </w:r>
      <w:r>
        <w:rPr>
          <w:rFonts w:hint="eastAsia" w:ascii="宋体" w:hAnsi="宋体"/>
          <w:b/>
          <w:bCs/>
          <w:color w:val="auto"/>
          <w:sz w:val="24"/>
          <w:highlight w:val="none"/>
          <w:u w:val="single"/>
          <w:lang w:eastAsia="zh-CN"/>
        </w:rPr>
        <w:t>广州交易集团有限公司（广州公共资源交易中心）</w:t>
      </w:r>
      <w:r>
        <w:rPr>
          <w:rFonts w:hint="eastAsia" w:ascii="宋体" w:hAnsi="宋体"/>
          <w:color w:val="auto"/>
          <w:sz w:val="24"/>
          <w:highlight w:val="none"/>
        </w:rPr>
        <w:t>交易平台对已递交的电子投标文件进行解密。投标人完成解密后，再由招标人进行解密。解密完成后，公布招标项目名称、投标人名称、投标保证金的递交情况、投标报价、工期及其他内容；</w:t>
      </w:r>
    </w:p>
    <w:p>
      <w:pPr>
        <w:tabs>
          <w:tab w:val="left" w:pos="10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36.5.2备用光盘的读取按投标须知前附表第3</w:t>
      </w:r>
      <w:r>
        <w:rPr>
          <w:rFonts w:hint="eastAsia" w:ascii="宋体" w:hAnsi="宋体"/>
          <w:color w:val="auto"/>
          <w:sz w:val="24"/>
          <w:highlight w:val="none"/>
          <w:lang w:val="en-US" w:eastAsia="zh-CN"/>
        </w:rPr>
        <w:t>5</w:t>
      </w:r>
      <w:r>
        <w:rPr>
          <w:rFonts w:hint="eastAsia" w:ascii="宋体" w:hAnsi="宋体"/>
          <w:color w:val="auto"/>
          <w:sz w:val="24"/>
          <w:highlight w:val="none"/>
        </w:rPr>
        <w:t>项的规定执行；</w:t>
      </w:r>
    </w:p>
    <w:p>
      <w:pPr>
        <w:spacing w:line="360" w:lineRule="auto"/>
        <w:ind w:firstLine="480" w:firstLineChars="200"/>
        <w:rPr>
          <w:rFonts w:ascii="宋体" w:hAnsi="宋体"/>
          <w:b/>
          <w:bCs/>
          <w:color w:val="auto"/>
          <w:sz w:val="24"/>
          <w:highlight w:val="none"/>
          <w:u w:val="single"/>
        </w:rPr>
      </w:pPr>
      <w:bookmarkStart w:id="57" w:name="_Toc501"/>
      <w:r>
        <w:rPr>
          <w:rFonts w:hint="eastAsia" w:ascii="宋体" w:hAnsi="宋体"/>
          <w:color w:val="auto"/>
          <w:sz w:val="24"/>
          <w:highlight w:val="none"/>
        </w:rPr>
        <w:t>36.5.</w:t>
      </w:r>
      <w:r>
        <w:rPr>
          <w:rFonts w:hint="eastAsia" w:ascii="宋体" w:hAnsi="宋体"/>
          <w:color w:val="auto"/>
          <w:sz w:val="24"/>
          <w:highlight w:val="none"/>
          <w:lang w:val="en-US" w:eastAsia="zh-CN"/>
        </w:rPr>
        <w:t>3</w:t>
      </w:r>
      <w:r>
        <w:rPr>
          <w:rFonts w:hint="eastAsia" w:ascii="宋体" w:hAnsi="宋体"/>
          <w:color w:val="auto"/>
          <w:sz w:val="24"/>
          <w:highlight w:val="none"/>
        </w:rPr>
        <w:t>投标人代表、招标人代表、监标人、记录人等有关人员在开标记录上签字确认；若有关人员不签字的，不影响开标程序</w:t>
      </w:r>
      <w:r>
        <w:rPr>
          <w:rFonts w:hint="eastAsia" w:ascii="宋体" w:hAnsi="宋体"/>
          <w:color w:val="auto"/>
          <w:sz w:val="24"/>
          <w:highlight w:val="none"/>
          <w:lang w:eastAsia="zh-CN"/>
        </w:rPr>
        <w:t>；</w:t>
      </w:r>
      <w:r>
        <w:rPr>
          <w:rFonts w:hint="eastAsia" w:ascii="宋体" w:hAnsi="宋体"/>
          <w:b/>
          <w:bCs/>
          <w:color w:val="auto"/>
          <w:sz w:val="24"/>
          <w:highlight w:val="none"/>
          <w:u w:val="single"/>
        </w:rPr>
        <w:t>若投标人不参加开标会的，或不签字确认的，视同该投标人认可开标结果；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w:t>
      </w:r>
      <w:r>
        <w:rPr>
          <w:rFonts w:hint="eastAsia" w:ascii="宋体" w:hAnsi="宋体"/>
          <w:color w:val="auto"/>
          <w:sz w:val="24"/>
          <w:highlight w:val="none"/>
          <w:lang w:val="en-US" w:eastAsia="zh-CN"/>
        </w:rPr>
        <w:t>6</w:t>
      </w:r>
      <w:r>
        <w:rPr>
          <w:rFonts w:hint="eastAsia" w:ascii="宋体" w:hAnsi="宋体"/>
          <w:color w:val="auto"/>
          <w:sz w:val="24"/>
          <w:highlight w:val="none"/>
        </w:rPr>
        <w:t>开标结束。</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36.7开标时，两个（含两个）以上的投标人加密打包投标文件电脑机器特征码一致的，由评标委员会否决其投标。</w:t>
      </w:r>
    </w:p>
    <w:p>
      <w:pPr>
        <w:pStyle w:val="21"/>
        <w:ind w:firstLine="480"/>
        <w:rPr>
          <w:rFonts w:hint="eastAsia" w:hAnsi="宋体"/>
          <w:color w:val="auto"/>
          <w:sz w:val="24"/>
          <w:highlight w:val="none"/>
          <w:lang w:val="en-US" w:eastAsia="zh-CN"/>
        </w:rPr>
      </w:pPr>
      <w:r>
        <w:rPr>
          <w:rFonts w:hint="eastAsia" w:hAnsi="宋体"/>
          <w:color w:val="auto"/>
          <w:sz w:val="24"/>
          <w:highlight w:val="none"/>
          <w:lang w:val="en-US" w:eastAsia="zh-CN"/>
        </w:rPr>
        <w:t>36.8开标异议</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36.8.1</w:t>
      </w:r>
      <w:r>
        <w:rPr>
          <w:rFonts w:hint="eastAsia" w:ascii="宋体" w:hAnsi="宋体" w:eastAsia="宋体" w:cs="Times New Roman"/>
          <w:color w:val="auto"/>
          <w:sz w:val="24"/>
          <w:highlight w:val="none"/>
        </w:rPr>
        <w:t>参加现场开标的投标人对开标结果有异议的，应当在开标现场提出，该投标人代表须同时出示本人身份证原件，招标人应当当场作出答复，并制作记录。</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36.8.2</w:t>
      </w:r>
      <w:r>
        <w:rPr>
          <w:rFonts w:hint="eastAsia" w:ascii="宋体" w:hAnsi="宋体" w:eastAsia="宋体" w:cs="Times New Roman"/>
          <w:color w:val="auto"/>
          <w:sz w:val="24"/>
          <w:highlight w:val="none"/>
        </w:rPr>
        <w:t>参加在线开标的投标人对开标结果有异议的，应当在唱标结束后的规定时间内、使用单位数字证书登录电子招标投标交易平台后通过电子招标投标交易平台提出。招标人授权招标代理机构工作人员使用招标代理机构数字证书登录电子招标投标交易平台答复异议，异议答复是招标人真实意思表示。未答复的，开标程序不得结束。</w:t>
      </w:r>
    </w:p>
    <w:p>
      <w:pPr>
        <w:pStyle w:val="21"/>
        <w:spacing w:line="360" w:lineRule="auto"/>
        <w:ind w:firstLine="480"/>
        <w:rPr>
          <w:rFonts w:hint="eastAsia"/>
          <w:color w:val="auto"/>
          <w:sz w:val="24"/>
          <w:highlight w:val="none"/>
          <w:lang w:eastAsia="zh-CN"/>
        </w:rPr>
      </w:pPr>
      <w:r>
        <w:rPr>
          <w:rFonts w:hint="eastAsia" w:ascii="宋体" w:hAnsi="宋体" w:eastAsia="宋体" w:cs="Times New Roman"/>
          <w:color w:val="auto"/>
          <w:sz w:val="24"/>
          <w:highlight w:val="none"/>
          <w:lang w:val="en-US" w:eastAsia="zh-CN"/>
        </w:rPr>
        <w:t>36.8.3</w:t>
      </w:r>
      <w:r>
        <w:rPr>
          <w:rFonts w:hint="eastAsia" w:ascii="宋体" w:hAnsi="宋体" w:cs="宋体"/>
          <w:color w:val="auto"/>
          <w:kern w:val="0"/>
          <w:sz w:val="24"/>
          <w:szCs w:val="24"/>
          <w:highlight w:val="none"/>
        </w:rPr>
        <w:t>对开标的异议，招标人应当当场作出答复并予以书面记录，异议成立的，招标人应当及时采取纠正措施，或者提交评标委员会评审确认；异议不成立的，招标人应当当场给予解释说明。</w:t>
      </w:r>
      <w:r>
        <w:rPr>
          <w:rFonts w:hint="eastAsia"/>
          <w:color w:val="auto"/>
          <w:sz w:val="24"/>
          <w:highlight w:val="none"/>
          <w:lang w:eastAsia="zh-CN"/>
        </w:rPr>
        <w:t>投标人未参加开标或在规定的时间内未提出异议的，视为对开标无异议。</w:t>
      </w:r>
      <w:bookmarkEnd w:id="57"/>
    </w:p>
    <w:p>
      <w:pPr>
        <w:pStyle w:val="21"/>
        <w:spacing w:line="360" w:lineRule="auto"/>
        <w:ind w:firstLine="480"/>
        <w:rPr>
          <w:rFonts w:hint="eastAsia" w:ascii="宋体" w:hAnsi="宋体" w:eastAsia="宋体" w:cs="宋体"/>
          <w:color w:val="auto"/>
          <w:kern w:val="0"/>
          <w:sz w:val="24"/>
          <w:szCs w:val="24"/>
          <w:highlight w:val="none"/>
          <w:lang w:val="en-US" w:eastAsia="zh-CN"/>
        </w:rPr>
      </w:pPr>
      <w:r>
        <w:rPr>
          <w:rFonts w:hint="eastAsia"/>
          <w:color w:val="auto"/>
          <w:sz w:val="24"/>
          <w:highlight w:val="none"/>
          <w:lang w:val="en-US" w:eastAsia="zh-CN"/>
        </w:rPr>
        <w:t>36.8.4</w:t>
      </w:r>
      <w:r>
        <w:rPr>
          <w:rFonts w:hint="eastAsia" w:ascii="宋体" w:hAnsi="宋体" w:cs="宋体"/>
          <w:color w:val="auto"/>
          <w:kern w:val="0"/>
          <w:sz w:val="24"/>
          <w:szCs w:val="24"/>
          <w:highlight w:val="none"/>
        </w:rPr>
        <w:t>招标人应当按照同一异议提起人一份记录的方式，对异议事项的处理应逐条进行书面记录，并由异议提起人、招标人签名确认。书面记录含义应清晰而明确，包括但不限于纠正的措施、解释说明的内容、相关依据等</w:t>
      </w:r>
      <w:r>
        <w:rPr>
          <w:rFonts w:hint="eastAsia" w:ascii="宋体" w:hAnsi="宋体" w:cs="宋体"/>
          <w:color w:val="auto"/>
          <w:kern w:val="0"/>
          <w:sz w:val="24"/>
          <w:szCs w:val="24"/>
          <w:highlight w:val="none"/>
          <w:lang w:eastAsia="zh-CN"/>
        </w:rPr>
        <w:t>。</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．评标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37.1</w:t>
      </w:r>
      <w:r>
        <w:rPr>
          <w:rFonts w:hint="eastAsia" w:ascii="宋体" w:hAnsi="宋体"/>
          <w:color w:val="auto"/>
          <w:sz w:val="24"/>
          <w:highlight w:val="none"/>
        </w:rPr>
        <w:t>评标由招标人依法组建的评标委员会负责。评标委员会由有关技术、经济等方面的专家和招标人代表组成，专家</w:t>
      </w:r>
      <w:r>
        <w:rPr>
          <w:rFonts w:hint="eastAsia" w:ascii="宋体" w:hAnsi="宋体"/>
          <w:color w:val="auto"/>
          <w:sz w:val="24"/>
          <w:highlight w:val="none"/>
          <w:lang w:eastAsia="zh-CN"/>
        </w:rPr>
        <w:t>从广东省综合评标评审</w:t>
      </w:r>
      <w:r>
        <w:rPr>
          <w:rFonts w:hint="eastAsia" w:ascii="宋体" w:hAnsi="宋体"/>
          <w:color w:val="auto"/>
          <w:sz w:val="24"/>
          <w:highlight w:val="none"/>
        </w:rPr>
        <w:t>专家库中抽取或按远程异地评标专家抽取相关规定组建。评标委员会成员人数以及技术、经济等方面专家的确定方式见投标人须知前附表</w:t>
      </w:r>
      <w:r>
        <w:rPr>
          <w:rFonts w:hint="eastAsia" w:ascii="宋体" w:hAnsi="宋体"/>
          <w:color w:val="auto"/>
          <w:sz w:val="24"/>
          <w:highlight w:val="none"/>
          <w:lang w:eastAsia="zh-CN"/>
        </w:rPr>
        <w:t>第</w:t>
      </w:r>
      <w:r>
        <w:rPr>
          <w:rFonts w:hint="eastAsia" w:ascii="宋体" w:hAnsi="宋体"/>
          <w:color w:val="auto"/>
          <w:sz w:val="24"/>
          <w:highlight w:val="none"/>
          <w:lang w:val="en-US" w:eastAsia="zh-CN"/>
        </w:rPr>
        <w:t>30项</w:t>
      </w:r>
      <w:r>
        <w:rPr>
          <w:rFonts w:hint="eastAsia" w:ascii="宋体" w:hAnsi="宋体"/>
          <w:color w:val="auto"/>
          <w:sz w:val="24"/>
          <w:szCs w:val="24"/>
          <w:highlight w:val="none"/>
        </w:rPr>
        <w:t>。</w:t>
      </w:r>
    </w:p>
    <w:p>
      <w:pPr>
        <w:snapToGrid w:val="0"/>
        <w:spacing w:line="360" w:lineRule="auto"/>
        <w:ind w:firstLine="482" w:firstLineChars="200"/>
        <w:rPr>
          <w:rFonts w:hint="eastAsia" w:ascii="宋体" w:hAnsi="宋体"/>
          <w:b/>
          <w:bCs/>
          <w:color w:val="auto"/>
          <w:sz w:val="24"/>
          <w:highlight w:val="none"/>
          <w:u w:val="single"/>
          <w:lang w:val="en-US" w:eastAsia="zh-CN"/>
        </w:rPr>
      </w:pPr>
      <w:r>
        <w:rPr>
          <w:rFonts w:hint="eastAsia" w:ascii="宋体" w:hAnsi="宋体"/>
          <w:b/>
          <w:bCs/>
          <w:color w:val="auto"/>
          <w:sz w:val="24"/>
          <w:highlight w:val="none"/>
          <w:u w:val="single"/>
          <w:lang w:val="en-US" w:eastAsia="zh-CN"/>
        </w:rPr>
        <w:t>37.1.1评标委员会在开始评标前，应了解评标专家的职责及守则，认真阅读招标公告附件二《评标委员会成员声明》的内容并签名，签字后方可进行评标。</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37.2</w:t>
      </w:r>
      <w:r>
        <w:rPr>
          <w:rFonts w:hint="eastAsia" w:ascii="宋体" w:hAnsi="宋体"/>
          <w:color w:val="auto"/>
          <w:sz w:val="24"/>
          <w:highlight w:val="none"/>
        </w:rPr>
        <w:t>评标委员会成员有下列情形之一的，应当回避：</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（1）招标人或投标人的主要负责人的近亲属；</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（2）项目主管部门或者行政监督部门的人员；</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w:t>
      </w:r>
      <w:r>
        <w:rPr>
          <w:rFonts w:hint="eastAsia" w:ascii="宋体" w:hAnsi="宋体"/>
          <w:color w:val="auto"/>
          <w:sz w:val="24"/>
          <w:highlight w:val="none"/>
        </w:rPr>
        <w:t>招标人</w:t>
      </w:r>
      <w:r>
        <w:rPr>
          <w:rFonts w:hint="eastAsia" w:ascii="宋体" w:hAnsi="宋体"/>
          <w:color w:val="auto"/>
          <w:sz w:val="24"/>
          <w:highlight w:val="none"/>
          <w:lang w:val="en-US" w:eastAsia="zh-CN"/>
        </w:rPr>
        <w:t>或</w:t>
      </w:r>
      <w:r>
        <w:rPr>
          <w:rFonts w:hint="eastAsia" w:ascii="宋体" w:hAnsi="宋体"/>
          <w:color w:val="auto"/>
          <w:sz w:val="24"/>
          <w:highlight w:val="none"/>
        </w:rPr>
        <w:t>投标人的工作人员、退休或离职未满3年的人员；</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）与投标人有经济利益关系，可能影响对投标公正评审的；</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）曾因在招标、评标以及其他与招标投标有关活动中从事违法行为而受过行政处罚或刑事处罚的。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）与投标人有其他利害关系。</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评标委员会的职责及守则：</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.2</w:t>
      </w:r>
      <w:r>
        <w:rPr>
          <w:rFonts w:hint="eastAsia" w:ascii="宋体" w:hAnsi="宋体"/>
          <w:color w:val="auto"/>
          <w:sz w:val="24"/>
          <w:szCs w:val="24"/>
          <w:highlight w:val="none"/>
        </w:rPr>
        <w:t>向招标人</w:t>
      </w:r>
      <w:r>
        <w:rPr>
          <w:rFonts w:hint="eastAsia" w:ascii="宋体" w:hAnsi="宋体"/>
          <w:b/>
          <w:bCs/>
          <w:color w:val="auto"/>
          <w:sz w:val="24"/>
          <w:szCs w:val="24"/>
          <w:highlight w:val="none"/>
          <w:u w:val="single"/>
        </w:rPr>
        <w:t>推荐进入定标阶段的</w:t>
      </w:r>
      <w:r>
        <w:rPr>
          <w:rFonts w:hint="eastAsia" w:ascii="宋体" w:hAnsi="宋体"/>
          <w:b/>
          <w:bCs/>
          <w:color w:val="auto"/>
          <w:sz w:val="24"/>
          <w:szCs w:val="24"/>
          <w:highlight w:val="none"/>
          <w:u w:val="single"/>
          <w:lang w:val="en-US" w:eastAsia="zh-CN"/>
        </w:rPr>
        <w:t>20</w:t>
      </w:r>
      <w:r>
        <w:rPr>
          <w:rFonts w:hint="eastAsia" w:ascii="宋体" w:hAnsi="宋体"/>
          <w:b/>
          <w:bCs/>
          <w:color w:val="auto"/>
          <w:sz w:val="24"/>
          <w:szCs w:val="24"/>
          <w:highlight w:val="none"/>
          <w:u w:val="single"/>
        </w:rPr>
        <w:t>名不排序</w:t>
      </w:r>
      <w:r>
        <w:rPr>
          <w:rFonts w:hint="eastAsia" w:ascii="宋体" w:hAnsi="宋体"/>
          <w:b/>
          <w:bCs/>
          <w:color w:val="auto"/>
          <w:sz w:val="24"/>
          <w:szCs w:val="24"/>
          <w:highlight w:val="none"/>
          <w:u w:val="single"/>
          <w:lang w:val="en-US" w:eastAsia="zh-CN"/>
        </w:rPr>
        <w:t>的合格中标候选人</w:t>
      </w:r>
      <w:r>
        <w:rPr>
          <w:rFonts w:hint="eastAsia" w:ascii="宋体" w:hAnsi="宋体"/>
          <w:b/>
          <w:bCs/>
          <w:color w:val="auto"/>
          <w:sz w:val="24"/>
          <w:szCs w:val="24"/>
          <w:highlight w:val="none"/>
          <w:u w:val="single"/>
        </w:rPr>
        <w:t>【</w:t>
      </w:r>
      <w:r>
        <w:rPr>
          <w:rFonts w:hint="eastAsia" w:ascii="宋体" w:hAnsi="宋体"/>
          <w:b/>
          <w:bCs/>
          <w:color w:val="auto"/>
          <w:sz w:val="24"/>
          <w:szCs w:val="24"/>
          <w:highlight w:val="none"/>
          <w:u w:val="single"/>
          <w:lang w:eastAsia="zh-CN"/>
        </w:rPr>
        <w:t>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b/>
          <w:bCs/>
          <w:color w:val="auto"/>
          <w:sz w:val="24"/>
          <w:szCs w:val="24"/>
          <w:highlight w:val="none"/>
          <w:u w:val="single"/>
        </w:rPr>
        <w:t>】（若符合招标文件要求的合格投标人大于等于3家，小于等于</w:t>
      </w:r>
      <w:r>
        <w:rPr>
          <w:rFonts w:hint="eastAsia" w:ascii="宋体" w:hAnsi="宋体"/>
          <w:b/>
          <w:bCs/>
          <w:color w:val="auto"/>
          <w:sz w:val="24"/>
          <w:szCs w:val="24"/>
          <w:highlight w:val="none"/>
          <w:u w:val="single"/>
          <w:lang w:val="en-US" w:eastAsia="zh-CN"/>
        </w:rPr>
        <w:t>20</w:t>
      </w:r>
      <w:r>
        <w:rPr>
          <w:rFonts w:hint="eastAsia" w:ascii="宋体" w:hAnsi="宋体"/>
          <w:b/>
          <w:bCs/>
          <w:color w:val="auto"/>
          <w:sz w:val="24"/>
          <w:szCs w:val="24"/>
          <w:highlight w:val="none"/>
          <w:u w:val="single"/>
        </w:rPr>
        <w:t>家的，则全部符合招标文件要求的合格投标人进入定标阶段），并递交资格审查报告和评标报告</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ascii="宋体" w:hAnsi="宋体"/>
          <w:bCs/>
          <w:color w:val="auto"/>
          <w:sz w:val="24"/>
          <w:szCs w:val="24"/>
          <w:highlight w:val="none"/>
        </w:rPr>
        <w:t>37.</w:t>
      </w:r>
      <w:r>
        <w:rPr>
          <w:rFonts w:hint="eastAsia" w:ascii="宋体" w:hAnsi="宋体"/>
          <w:bCs/>
          <w:color w:val="auto"/>
          <w:sz w:val="24"/>
          <w:szCs w:val="24"/>
          <w:highlight w:val="none"/>
          <w:lang w:val="en-US" w:eastAsia="zh-CN"/>
        </w:rPr>
        <w:t>3</w:t>
      </w:r>
      <w:r>
        <w:rPr>
          <w:rFonts w:ascii="宋体" w:hAnsi="宋体"/>
          <w:bCs/>
          <w:color w:val="auto"/>
          <w:sz w:val="24"/>
          <w:szCs w:val="24"/>
          <w:highlight w:val="none"/>
        </w:rPr>
        <w:t>.3</w:t>
      </w:r>
      <w:r>
        <w:rPr>
          <w:rFonts w:ascii="宋体" w:hAnsi="宋体"/>
          <w:b/>
          <w:bCs/>
          <w:color w:val="auto"/>
          <w:sz w:val="24"/>
          <w:szCs w:val="24"/>
          <w:highlight w:val="none"/>
        </w:rPr>
        <w:t xml:space="preserve"> </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.4</w:t>
      </w:r>
      <w:r>
        <w:rPr>
          <w:rFonts w:hint="eastAsia" w:ascii="宋体" w:hAnsi="宋体"/>
          <w:color w:val="auto"/>
          <w:sz w:val="24"/>
          <w:szCs w:val="24"/>
          <w:highlight w:val="none"/>
        </w:rPr>
        <w:t>全体参与评标人员：</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.4.1 </w:t>
      </w:r>
      <w:r>
        <w:rPr>
          <w:rFonts w:hint="eastAsia" w:ascii="宋体" w:hAnsi="宋体"/>
          <w:color w:val="auto"/>
          <w:sz w:val="24"/>
          <w:szCs w:val="24"/>
          <w:highlight w:val="none"/>
        </w:rPr>
        <w:t>必须遵守评标纪律、不得泄密；</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.4.2 </w:t>
      </w:r>
      <w:r>
        <w:rPr>
          <w:rFonts w:hint="eastAsia" w:ascii="宋体" w:hAnsi="宋体"/>
          <w:color w:val="auto"/>
          <w:sz w:val="24"/>
          <w:szCs w:val="24"/>
          <w:highlight w:val="none"/>
        </w:rPr>
        <w:t>必须公正、不得循私；</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.4.3 </w:t>
      </w:r>
      <w:r>
        <w:rPr>
          <w:rFonts w:hint="eastAsia" w:ascii="宋体" w:hAnsi="宋体"/>
          <w:color w:val="auto"/>
          <w:sz w:val="24"/>
          <w:szCs w:val="24"/>
          <w:highlight w:val="none"/>
        </w:rPr>
        <w:t>必须科学、不得草率；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.4.4 </w:t>
      </w:r>
      <w:r>
        <w:rPr>
          <w:rFonts w:hint="eastAsia" w:ascii="宋体" w:hAnsi="宋体"/>
          <w:color w:val="auto"/>
          <w:sz w:val="24"/>
          <w:szCs w:val="24"/>
          <w:highlight w:val="none"/>
        </w:rPr>
        <w:t>必须客观、不得带有成见；</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.4.5 </w:t>
      </w:r>
      <w:r>
        <w:rPr>
          <w:rFonts w:hint="eastAsia" w:ascii="宋体" w:hAnsi="宋体"/>
          <w:color w:val="auto"/>
          <w:sz w:val="24"/>
          <w:szCs w:val="24"/>
          <w:highlight w:val="none"/>
        </w:rPr>
        <w:t>必须平等、不得强加于人；</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.4.6 </w:t>
      </w:r>
      <w:r>
        <w:rPr>
          <w:rFonts w:hint="eastAsia" w:ascii="宋体" w:hAnsi="宋体"/>
          <w:color w:val="auto"/>
          <w:sz w:val="24"/>
          <w:szCs w:val="24"/>
          <w:highlight w:val="none"/>
        </w:rPr>
        <w:t>必须严谨、不得随意马虎。</w:t>
      </w:r>
    </w:p>
    <w:p>
      <w:pPr>
        <w:pStyle w:val="21"/>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s="Times New Roman"/>
          <w:color w:val="auto"/>
          <w:kern w:val="2"/>
          <w:sz w:val="24"/>
          <w:szCs w:val="24"/>
          <w:highlight w:val="none"/>
          <w:lang w:val="en-US" w:eastAsia="zh-CN" w:bidi="ar-SA"/>
        </w:rPr>
        <w:t>37.5</w:t>
      </w:r>
      <w:r>
        <w:rPr>
          <w:rFonts w:hint="eastAsia" w:ascii="宋体" w:hAnsi="宋体"/>
          <w:color w:val="auto"/>
          <w:sz w:val="24"/>
          <w:highlight w:val="none"/>
        </w:rPr>
        <w:t>评标委员会按照第</w:t>
      </w:r>
      <w:r>
        <w:rPr>
          <w:rFonts w:hint="eastAsia" w:ascii="宋体" w:hAnsi="宋体"/>
          <w:color w:val="auto"/>
          <w:sz w:val="24"/>
          <w:highlight w:val="none"/>
          <w:lang w:eastAsia="zh-CN"/>
        </w:rPr>
        <w:t>二</w:t>
      </w:r>
      <w:r>
        <w:rPr>
          <w:rFonts w:hint="eastAsia" w:ascii="宋体" w:hAnsi="宋体"/>
          <w:color w:val="auto"/>
          <w:sz w:val="24"/>
          <w:highlight w:val="none"/>
        </w:rPr>
        <w:t>章“</w:t>
      </w:r>
      <w:r>
        <w:rPr>
          <w:rFonts w:hint="eastAsia" w:ascii="宋体" w:hAnsi="宋体"/>
          <w:color w:val="auto"/>
          <w:sz w:val="24"/>
          <w:highlight w:val="none"/>
          <w:lang w:eastAsia="zh-CN"/>
        </w:rPr>
        <w:t>开标、</w:t>
      </w:r>
      <w:r>
        <w:rPr>
          <w:rFonts w:hint="eastAsia" w:ascii="宋体" w:hAnsi="宋体"/>
          <w:color w:val="auto"/>
          <w:sz w:val="24"/>
          <w:highlight w:val="none"/>
        </w:rPr>
        <w:t>评标</w:t>
      </w:r>
      <w:r>
        <w:rPr>
          <w:rFonts w:hint="eastAsia" w:ascii="宋体" w:hAnsi="宋体"/>
          <w:color w:val="auto"/>
          <w:sz w:val="24"/>
          <w:highlight w:val="none"/>
          <w:lang w:eastAsia="zh-CN"/>
        </w:rPr>
        <w:t>及定标</w:t>
      </w:r>
      <w:r>
        <w:rPr>
          <w:rFonts w:hint="eastAsia" w:ascii="宋体" w:hAnsi="宋体"/>
          <w:color w:val="auto"/>
          <w:sz w:val="24"/>
          <w:highlight w:val="none"/>
        </w:rPr>
        <w:t>办法”规定的方法、评审因素、标准和程序对投标文件进行评审。第三章“</w:t>
      </w:r>
      <w:r>
        <w:rPr>
          <w:rFonts w:hint="eastAsia" w:ascii="宋体" w:hAnsi="宋体"/>
          <w:color w:val="auto"/>
          <w:sz w:val="24"/>
          <w:highlight w:val="none"/>
          <w:lang w:eastAsia="zh-CN"/>
        </w:rPr>
        <w:t>开标、</w:t>
      </w:r>
      <w:r>
        <w:rPr>
          <w:rFonts w:hint="eastAsia" w:ascii="宋体" w:hAnsi="宋体"/>
          <w:color w:val="auto"/>
          <w:sz w:val="24"/>
          <w:highlight w:val="none"/>
        </w:rPr>
        <w:t>评标</w:t>
      </w:r>
      <w:r>
        <w:rPr>
          <w:rFonts w:hint="eastAsia" w:ascii="宋体" w:hAnsi="宋体"/>
          <w:color w:val="auto"/>
          <w:sz w:val="24"/>
          <w:highlight w:val="none"/>
          <w:lang w:eastAsia="zh-CN"/>
        </w:rPr>
        <w:t>及定标</w:t>
      </w:r>
      <w:r>
        <w:rPr>
          <w:rFonts w:hint="eastAsia" w:ascii="宋体" w:hAnsi="宋体"/>
          <w:color w:val="auto"/>
          <w:sz w:val="24"/>
          <w:highlight w:val="none"/>
        </w:rPr>
        <w:t>办法”没有规定的方法、评审因素和标准，不作为评标依据</w:t>
      </w:r>
      <w:r>
        <w:rPr>
          <w:rFonts w:hint="eastAsia" w:ascii="宋体" w:hAnsi="宋体"/>
          <w:color w:val="auto"/>
          <w:sz w:val="24"/>
          <w:highlight w:val="none"/>
          <w:lang w:eastAsia="zh-CN"/>
        </w:rPr>
        <w:t>。</w:t>
      </w:r>
    </w:p>
    <w:p>
      <w:p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olor w:val="auto"/>
          <w:sz w:val="24"/>
          <w:highlight w:val="none"/>
          <w:lang w:val="en-US" w:eastAsia="zh-CN"/>
        </w:rPr>
        <w:t>37.6</w:t>
      </w:r>
      <w:r>
        <w:rPr>
          <w:rFonts w:hint="eastAsia" w:ascii="宋体" w:hAnsi="宋体" w:eastAsia="宋体" w:cs="Times New Roman"/>
          <w:color w:val="auto"/>
          <w:kern w:val="2"/>
          <w:sz w:val="24"/>
          <w:szCs w:val="24"/>
          <w:highlight w:val="none"/>
          <w:lang w:val="en-US" w:eastAsia="zh-CN" w:bidi="ar-SA"/>
        </w:rPr>
        <w:t>评标结束后，</w:t>
      </w:r>
      <w:r>
        <w:rPr>
          <w:rFonts w:hint="eastAsia" w:ascii="宋体" w:hAnsi="宋体" w:eastAsia="宋体" w:cs="Times New Roman"/>
          <w:b/>
          <w:bCs/>
          <w:color w:val="auto"/>
          <w:kern w:val="2"/>
          <w:sz w:val="24"/>
          <w:szCs w:val="24"/>
          <w:highlight w:val="none"/>
          <w:u w:val="single"/>
          <w:lang w:val="en-US" w:eastAsia="zh-CN" w:bidi="ar-SA"/>
        </w:rPr>
        <w:t>评标委员会递交资格审查报告和评标报告并依法推荐进入定标阶段的20名不排序的合格中标候选人【不排序，按统一社会信用代码后4位（除校验码外）大小排位，如统一社会信用代码后4位出现字母情况的，字母以“0”进行代替大小排位；如出现后4位（除校验码外）大小一致的，则随机排位】（若符合招标文件要求的合格投标人大于等于3家，小于等于20家的，则全部符合招标文件要求的合格投标人进入定标阶段）</w:t>
      </w:r>
      <w:r>
        <w:rPr>
          <w:rFonts w:hint="eastAsia" w:ascii="宋体" w:hAnsi="宋体" w:eastAsia="宋体" w:cs="Times New Roman"/>
          <w:color w:val="auto"/>
          <w:kern w:val="2"/>
          <w:sz w:val="24"/>
          <w:szCs w:val="24"/>
          <w:highlight w:val="none"/>
          <w:lang w:val="en-US" w:eastAsia="zh-CN" w:bidi="ar-SA"/>
        </w:rPr>
        <w:t>。</w:t>
      </w:r>
    </w:p>
    <w:p>
      <w:p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38．投标文件的澄清</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38.1</w:t>
      </w:r>
      <w:r>
        <w:rPr>
          <w:rFonts w:hint="eastAsia" w:ascii="宋体" w:hAnsi="宋体"/>
          <w:color w:val="auto"/>
          <w:sz w:val="24"/>
          <w:szCs w:val="24"/>
          <w:highlight w:val="none"/>
        </w:rPr>
        <w:t>为有助于投标文件的审查、评价和比较，评标期间，经</w:t>
      </w:r>
      <w:r>
        <w:rPr>
          <w:rFonts w:hint="eastAsia" w:ascii="宋体" w:hAnsi="宋体" w:cs="Times New Roman"/>
          <w:b/>
          <w:bCs/>
          <w:color w:val="auto"/>
          <w:sz w:val="24"/>
          <w:szCs w:val="24"/>
          <w:highlight w:val="none"/>
          <w:u w:val="single"/>
        </w:rPr>
        <w:t>综合评标委员会</w:t>
      </w:r>
      <w:r>
        <w:rPr>
          <w:rFonts w:hint="eastAsia" w:ascii="宋体" w:hAnsi="宋体"/>
          <w:color w:val="auto"/>
          <w:sz w:val="24"/>
          <w:szCs w:val="24"/>
          <w:highlight w:val="none"/>
        </w:rPr>
        <w:t>中两人以上（含两人）以书面形式提出动议，评标委员会或评标委员会专业评审组应当书面发出澄清通知，要求投标人对投标文件含义不明确</w:t>
      </w:r>
      <w:r>
        <w:rPr>
          <w:rFonts w:hint="eastAsia" w:ascii="宋体" w:hAnsi="宋体"/>
          <w:color w:val="auto"/>
          <w:sz w:val="24"/>
          <w:szCs w:val="24"/>
          <w:highlight w:val="none"/>
          <w:lang w:eastAsia="zh-CN"/>
        </w:rPr>
        <w:t>、对同类问题表述不一致，有明显</w:t>
      </w:r>
      <w:r>
        <w:rPr>
          <w:rFonts w:hint="eastAsia" w:ascii="宋体" w:hAnsi="宋体"/>
          <w:color w:val="auto"/>
          <w:sz w:val="24"/>
          <w:szCs w:val="24"/>
          <w:highlight w:val="none"/>
          <w:lang w:val="en-US" w:eastAsia="zh-CN"/>
        </w:rPr>
        <w:t>格式或</w:t>
      </w:r>
      <w:r>
        <w:rPr>
          <w:rFonts w:hint="eastAsia" w:ascii="宋体" w:hAnsi="宋体"/>
          <w:color w:val="auto"/>
          <w:sz w:val="24"/>
          <w:szCs w:val="24"/>
          <w:highlight w:val="none"/>
          <w:lang w:eastAsia="zh-CN"/>
        </w:rPr>
        <w:t>文字、计算错误</w:t>
      </w:r>
      <w:r>
        <w:rPr>
          <w:rFonts w:hint="eastAsia" w:ascii="宋体" w:hAnsi="宋体"/>
          <w:color w:val="auto"/>
          <w:sz w:val="24"/>
          <w:szCs w:val="24"/>
          <w:highlight w:val="none"/>
        </w:rPr>
        <w:t>的内容作出澄清。</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38.2 </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38.3 </w:t>
      </w:r>
      <w:r>
        <w:rPr>
          <w:rFonts w:hint="eastAsia" w:ascii="宋体" w:hAnsi="宋体"/>
          <w:color w:val="auto"/>
          <w:sz w:val="24"/>
          <w:szCs w:val="24"/>
          <w:highlight w:val="none"/>
        </w:rPr>
        <w:t>评标委员会或评标委员会专业评审组成员均应当阅读投标人的澄清，但应独立参考澄清对投标文件进行评审。</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w:t>
      </w:r>
      <w:r>
        <w:rPr>
          <w:rFonts w:hint="eastAsia" w:ascii="宋体" w:hAnsi="宋体"/>
          <w:color w:val="auto"/>
          <w:sz w:val="24"/>
          <w:szCs w:val="24"/>
          <w:highlight w:val="none"/>
          <w:lang w:eastAsia="zh-CN"/>
        </w:rPr>
        <w:t>依法重新招标</w:t>
      </w:r>
      <w:r>
        <w:rPr>
          <w:rFonts w:hint="eastAsia" w:ascii="宋体" w:hAnsi="宋体"/>
          <w:color w:val="auto"/>
          <w:sz w:val="24"/>
          <w:szCs w:val="24"/>
          <w:highlight w:val="none"/>
        </w:rPr>
        <w:t>。</w:t>
      </w:r>
    </w:p>
    <w:p>
      <w:pPr>
        <w:spacing w:line="360" w:lineRule="auto"/>
        <w:ind w:firstLine="480" w:firstLineChars="200"/>
        <w:rPr>
          <w:rFonts w:ascii="宋体" w:hAnsi="宋体"/>
          <w:strike/>
          <w:color w:val="auto"/>
          <w:sz w:val="24"/>
          <w:szCs w:val="24"/>
          <w:highlight w:val="none"/>
        </w:rPr>
      </w:pPr>
      <w:r>
        <w:rPr>
          <w:rFonts w:ascii="宋体" w:hAnsi="宋体"/>
          <w:strike/>
          <w:color w:val="auto"/>
          <w:sz w:val="24"/>
          <w:szCs w:val="24"/>
          <w:highlight w:val="none"/>
        </w:rPr>
        <w:t>39</w:t>
      </w:r>
      <w:r>
        <w:rPr>
          <w:rFonts w:hint="eastAsia" w:ascii="宋体" w:hAnsi="宋体"/>
          <w:strike/>
          <w:color w:val="auto"/>
          <w:sz w:val="24"/>
          <w:szCs w:val="24"/>
          <w:highlight w:val="none"/>
        </w:rPr>
        <w:t>．定标</w:t>
      </w:r>
    </w:p>
    <w:p>
      <w:pPr>
        <w:spacing w:line="360" w:lineRule="auto"/>
        <w:ind w:firstLine="480" w:firstLineChars="200"/>
        <w:rPr>
          <w:rFonts w:ascii="宋体" w:hAnsi="宋体"/>
          <w:strike/>
          <w:color w:val="auto"/>
          <w:sz w:val="24"/>
          <w:szCs w:val="24"/>
          <w:highlight w:val="none"/>
        </w:rPr>
      </w:pPr>
      <w:r>
        <w:rPr>
          <w:rFonts w:ascii="宋体" w:hAnsi="宋体"/>
          <w:strike/>
          <w:color w:val="auto"/>
          <w:sz w:val="24"/>
          <w:szCs w:val="24"/>
          <w:highlight w:val="none"/>
        </w:rPr>
        <w:t xml:space="preserve">39.1 </w:t>
      </w:r>
      <w:r>
        <w:rPr>
          <w:rFonts w:hint="eastAsia" w:ascii="宋体" w:hAnsi="宋体"/>
          <w:strike/>
          <w:color w:val="auto"/>
          <w:sz w:val="24"/>
          <w:szCs w:val="24"/>
          <w:highlight w:val="none"/>
        </w:rPr>
        <w:t>招标人根据评标委员会递交的评标报告，最终审定中标人。</w:t>
      </w:r>
    </w:p>
    <w:p>
      <w:pPr>
        <w:spacing w:line="360" w:lineRule="auto"/>
        <w:ind w:firstLine="480" w:firstLineChars="200"/>
        <w:rPr>
          <w:rFonts w:hint="eastAsia" w:ascii="宋体" w:hAnsi="宋体" w:eastAsia="宋体"/>
          <w:strike/>
          <w:color w:val="auto"/>
          <w:sz w:val="24"/>
          <w:szCs w:val="24"/>
          <w:highlight w:val="none"/>
          <w:lang w:eastAsia="zh-CN"/>
        </w:rPr>
      </w:pPr>
      <w:r>
        <w:rPr>
          <w:rFonts w:ascii="宋体" w:hAnsi="宋体"/>
          <w:strike/>
          <w:color w:val="auto"/>
          <w:sz w:val="24"/>
          <w:szCs w:val="24"/>
          <w:highlight w:val="none"/>
        </w:rPr>
        <w:t xml:space="preserve">39.2 </w:t>
      </w:r>
      <w:r>
        <w:rPr>
          <w:rFonts w:hint="eastAsia" w:ascii="宋体" w:hAnsi="宋体"/>
          <w:strike/>
          <w:color w:val="auto"/>
          <w:sz w:val="24"/>
          <w:szCs w:val="24"/>
          <w:highlight w:val="none"/>
        </w:rPr>
        <w:t>依法必须进行公开招标的项目，招标人应当确定排名第一的中标候选人为中标人</w:t>
      </w:r>
      <w:r>
        <w:rPr>
          <w:rFonts w:hint="eastAsia" w:ascii="宋体" w:hAnsi="宋体"/>
          <w:strike/>
          <w:color w:val="auto"/>
          <w:sz w:val="24"/>
          <w:szCs w:val="24"/>
          <w:highlight w:val="none"/>
          <w:lang w:eastAsia="zh-CN"/>
        </w:rPr>
        <w:t>。采用评定分离方式确定中标人的从其规定。若发现委派的项目负责人已在其他在建项目中任职，不符合任职数量规定时，招标人可以确定排名第二的中标候选人为中标人。</w:t>
      </w:r>
    </w:p>
    <w:p>
      <w:pPr>
        <w:spacing w:line="360" w:lineRule="auto"/>
        <w:ind w:firstLine="480" w:firstLineChars="200"/>
        <w:rPr>
          <w:rFonts w:ascii="宋体" w:hAnsi="宋体"/>
          <w:strike/>
          <w:color w:val="auto"/>
          <w:sz w:val="24"/>
          <w:szCs w:val="24"/>
          <w:highlight w:val="none"/>
        </w:rPr>
      </w:pPr>
      <w:r>
        <w:rPr>
          <w:rFonts w:ascii="宋体" w:hAnsi="宋体"/>
          <w:strike/>
          <w:color w:val="auto"/>
          <w:sz w:val="24"/>
          <w:szCs w:val="24"/>
          <w:highlight w:val="none"/>
        </w:rPr>
        <w:t>39.3</w:t>
      </w:r>
      <w:r>
        <w:rPr>
          <w:rFonts w:hint="eastAsia" w:ascii="宋体" w:hAnsi="宋体"/>
          <w:strike/>
          <w:color w:val="auto"/>
          <w:sz w:val="24"/>
          <w:szCs w:val="24"/>
          <w:highlight w:val="none"/>
        </w:rPr>
        <w:t>排名第一的中标候选人放弃中标、或因不可抗力提出不能履行合同，或者招标文件规定应当提交履约担保而在规定的期限内未能提交的，</w:t>
      </w:r>
      <w:r>
        <w:rPr>
          <w:rFonts w:hint="eastAsia" w:ascii="宋体" w:hAnsi="宋体"/>
          <w:strike/>
          <w:color w:val="auto"/>
          <w:sz w:val="24"/>
          <w:szCs w:val="24"/>
          <w:highlight w:val="none"/>
          <w:lang w:eastAsia="zh-CN"/>
        </w:rPr>
        <w:t>或经核查发现委派的项目负责人已在其他在建项目中任职，不符合任职数量规定时，</w:t>
      </w:r>
      <w:r>
        <w:rPr>
          <w:rFonts w:hint="eastAsia" w:ascii="宋体" w:hAnsi="宋体"/>
          <w:strike/>
          <w:color w:val="auto"/>
          <w:sz w:val="24"/>
          <w:szCs w:val="24"/>
          <w:highlight w:val="none"/>
        </w:rPr>
        <w:t>招标人可以确定排名第二的中标候选人为中标人。</w:t>
      </w:r>
    </w:p>
    <w:p>
      <w:pPr>
        <w:spacing w:line="360" w:lineRule="auto"/>
        <w:ind w:firstLine="480" w:firstLineChars="200"/>
        <w:rPr>
          <w:rFonts w:ascii="宋体" w:hAnsi="宋体"/>
          <w:strike/>
          <w:color w:val="auto"/>
          <w:sz w:val="24"/>
          <w:szCs w:val="24"/>
          <w:highlight w:val="none"/>
        </w:rPr>
      </w:pPr>
      <w:r>
        <w:rPr>
          <w:rFonts w:ascii="宋体" w:hAnsi="宋体"/>
          <w:strike/>
          <w:color w:val="auto"/>
          <w:sz w:val="24"/>
          <w:szCs w:val="24"/>
          <w:highlight w:val="none"/>
        </w:rPr>
        <w:t>39.4</w:t>
      </w:r>
      <w:r>
        <w:rPr>
          <w:rFonts w:hint="eastAsia" w:ascii="宋体" w:hAnsi="宋体"/>
          <w:strike/>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w:t>
      </w:r>
      <w:r>
        <w:rPr>
          <w:rFonts w:hint="eastAsia" w:ascii="宋体" w:hAnsi="宋体"/>
          <w:strike/>
          <w:color w:val="auto"/>
          <w:sz w:val="24"/>
          <w:szCs w:val="24"/>
          <w:highlight w:val="none"/>
          <w:lang w:eastAsia="zh-CN"/>
        </w:rPr>
        <w:t>依法重新招标</w:t>
      </w:r>
      <w:r>
        <w:rPr>
          <w:rFonts w:hint="eastAsia" w:ascii="宋体" w:hAnsi="宋体"/>
          <w:strike/>
          <w:color w:val="auto"/>
          <w:sz w:val="24"/>
          <w:szCs w:val="24"/>
          <w:highlight w:val="none"/>
        </w:rPr>
        <w:t>。</w:t>
      </w:r>
    </w:p>
    <w:p>
      <w:pPr>
        <w:spacing w:line="360" w:lineRule="auto"/>
        <w:ind w:firstLine="480" w:firstLineChars="200"/>
        <w:rPr>
          <w:rFonts w:hint="eastAsia" w:ascii="宋体" w:hAnsi="宋体"/>
          <w:strike/>
          <w:color w:val="auto"/>
          <w:sz w:val="24"/>
          <w:szCs w:val="24"/>
          <w:highlight w:val="none"/>
        </w:rPr>
      </w:pPr>
      <w:r>
        <w:rPr>
          <w:rFonts w:hint="eastAsia" w:ascii="宋体" w:hAnsi="宋体"/>
          <w:strike/>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pPr>
        <w:spacing w:line="360" w:lineRule="auto"/>
        <w:ind w:firstLine="480" w:firstLineChars="200"/>
        <w:rPr>
          <w:rFonts w:hint="eastAsia" w:ascii="宋体" w:hAnsi="宋体"/>
          <w:strike/>
          <w:color w:val="auto"/>
          <w:sz w:val="24"/>
          <w:szCs w:val="24"/>
          <w:highlight w:val="none"/>
        </w:rPr>
      </w:pPr>
      <w:r>
        <w:rPr>
          <w:rFonts w:hint="eastAsia" w:ascii="宋体" w:hAnsi="宋体" w:eastAsia="宋体" w:cs="Times New Roman"/>
          <w:strike/>
          <w:color w:val="auto"/>
          <w:kern w:val="2"/>
          <w:sz w:val="24"/>
          <w:szCs w:val="24"/>
          <w:highlight w:val="none"/>
          <w:lang w:val="en-US" w:eastAsia="zh-CN" w:bidi="ar-SA"/>
        </w:rPr>
        <w:t>39.6有效投标不足3个的，评标委员会应当对投标是否明显缺乏竞争和是否需要否决全部投标进行充分论证，并在评标报告中记载论证过程和结果</w:t>
      </w:r>
      <w:r>
        <w:rPr>
          <w:rFonts w:hint="eastAsia" w:ascii="宋体" w:hAnsi="宋体"/>
          <w:strike/>
          <w:color w:val="auto"/>
          <w:sz w:val="24"/>
          <w:szCs w:val="24"/>
          <w:highlight w:val="none"/>
        </w:rPr>
        <w:t>。</w:t>
      </w:r>
    </w:p>
    <w:p>
      <w:pPr>
        <w:pStyle w:val="21"/>
        <w:rPr>
          <w:rFonts w:hint="default" w:ascii="宋体" w:hAnsi="宋体" w:eastAsia="宋体"/>
          <w:strike/>
          <w:color w:val="auto"/>
          <w:sz w:val="24"/>
          <w:szCs w:val="24"/>
          <w:highlight w:val="none"/>
          <w:lang w:val="en-US" w:eastAsia="zh-CN"/>
        </w:rPr>
      </w:pPr>
      <w:r>
        <w:rPr>
          <w:rFonts w:hint="eastAsia" w:hAnsi="宋体"/>
          <w:strike/>
          <w:color w:val="auto"/>
          <w:sz w:val="24"/>
          <w:szCs w:val="24"/>
          <w:highlight w:val="none"/>
          <w:lang w:val="en-US" w:eastAsia="zh-CN"/>
        </w:rPr>
        <w:t xml:space="preserve">    </w:t>
      </w:r>
      <w:r>
        <w:rPr>
          <w:rFonts w:hint="eastAsia" w:ascii="楷体" w:hAnsi="楷体" w:eastAsia="楷体" w:cs="楷体"/>
          <w:strike/>
          <w:color w:val="auto"/>
          <w:sz w:val="24"/>
          <w:szCs w:val="24"/>
          <w:highlight w:val="none"/>
          <w:lang w:val="en-US" w:eastAsia="zh-CN"/>
        </w:rPr>
        <w:t>注：采用评定分离方式的，招标人应在招标文件中明确定标方式。</w:t>
      </w:r>
    </w:p>
    <w:p>
      <w:pPr>
        <w:rPr>
          <w:rFonts w:hint="eastAsia"/>
          <w:color w:val="auto"/>
          <w:highlight w:val="none"/>
        </w:rPr>
      </w:pPr>
    </w:p>
    <w:p>
      <w:pPr>
        <w:pStyle w:val="21"/>
        <w:jc w:val="center"/>
        <w:rPr>
          <w:rStyle w:val="47"/>
          <w:b/>
          <w:color w:val="auto"/>
          <w:sz w:val="28"/>
          <w:szCs w:val="28"/>
          <w:highlight w:val="none"/>
        </w:rPr>
      </w:pPr>
      <w:bookmarkStart w:id="58" w:name="_Toc21525502"/>
      <w:bookmarkStart w:id="59" w:name="_Toc2272558"/>
      <w:bookmarkStart w:id="60" w:name="_Toc31469"/>
      <w:bookmarkStart w:id="61" w:name="_Toc16793"/>
      <w:r>
        <w:rPr>
          <w:rStyle w:val="47"/>
          <w:rFonts w:hint="eastAsia"/>
          <w:b/>
          <w:bCs/>
          <w:color w:val="auto"/>
          <w:sz w:val="28"/>
          <w:szCs w:val="28"/>
          <w:highlight w:val="none"/>
          <w:lang w:eastAsia="zh-CN"/>
        </w:rPr>
        <w:t>（二）</w:t>
      </w:r>
      <w:r>
        <w:rPr>
          <w:rStyle w:val="47"/>
          <w:rFonts w:hint="eastAsia"/>
          <w:b/>
          <w:bCs/>
          <w:color w:val="auto"/>
          <w:sz w:val="28"/>
          <w:szCs w:val="28"/>
          <w:highlight w:val="none"/>
        </w:rPr>
        <w:t>开标评标办法程序和细则</w:t>
      </w:r>
      <w:bookmarkEnd w:id="58"/>
      <w:bookmarkEnd w:id="59"/>
      <w:bookmarkEnd w:id="60"/>
      <w:bookmarkStart w:id="62" w:name="_Toc7116"/>
    </w:p>
    <w:p>
      <w:pPr>
        <w:jc w:val="center"/>
        <w:rPr>
          <w:rStyle w:val="47"/>
          <w:rFonts w:hint="eastAsia" w:ascii="宋体" w:hAnsi="宋体" w:eastAsia="宋体" w:cs="Times New Roman"/>
          <w:b w:val="0"/>
          <w:color w:val="auto"/>
          <w:kern w:val="2"/>
          <w:sz w:val="24"/>
          <w:szCs w:val="24"/>
          <w:highlight w:val="none"/>
          <w:lang w:val="en-US" w:eastAsia="zh-CN" w:bidi="ar-SA"/>
        </w:rPr>
      </w:pPr>
      <w:r>
        <w:rPr>
          <w:rFonts w:hint="eastAsia"/>
          <w:b w:val="0"/>
          <w:bCs/>
          <w:color w:val="auto"/>
          <w:sz w:val="28"/>
          <w:szCs w:val="28"/>
          <w:highlight w:val="none"/>
          <w:lang w:eastAsia="zh-CN"/>
        </w:rPr>
        <w:t>（</w:t>
      </w:r>
      <w:r>
        <w:rPr>
          <w:rFonts w:hint="eastAsia" w:ascii="宋体" w:hAnsi="宋体" w:eastAsia="宋体" w:cs="Times New Roman"/>
          <w:b w:val="0"/>
          <w:color w:val="auto"/>
          <w:kern w:val="2"/>
          <w:sz w:val="28"/>
          <w:szCs w:val="28"/>
          <w:highlight w:val="none"/>
          <w:lang w:val="en-US" w:eastAsia="zh-CN" w:bidi="ar-SA"/>
        </w:rPr>
        <w:t>开评标办法由招标人自行选择，鼓励招标人创新评标办法）</w:t>
      </w:r>
    </w:p>
    <w:bookmarkEnd w:id="61"/>
    <w:p>
      <w:pPr>
        <w:spacing w:before="156" w:after="156"/>
        <w:ind w:firstLine="482" w:firstLineChars="200"/>
        <w:rPr>
          <w:b/>
          <w:bCs/>
          <w:color w:val="auto"/>
          <w:sz w:val="24"/>
          <w:szCs w:val="24"/>
          <w:highlight w:val="none"/>
        </w:rPr>
      </w:pPr>
      <w:bookmarkStart w:id="63" w:name="_Toc9750"/>
      <w:bookmarkStart w:id="64" w:name="_Toc2272564"/>
      <w:r>
        <w:rPr>
          <w:rFonts w:hint="eastAsia"/>
          <w:b/>
          <w:bCs/>
          <w:color w:val="auto"/>
          <w:sz w:val="24"/>
          <w:szCs w:val="24"/>
          <w:highlight w:val="none"/>
        </w:rPr>
        <w:t>可选办法七（适合综合评分法四，技术标与经济标同时开启）</w:t>
      </w:r>
      <w:bookmarkEnd w:id="63"/>
      <w:bookmarkEnd w:id="64"/>
    </w:p>
    <w:p>
      <w:pPr>
        <w:snapToGrid w:val="0"/>
        <w:spacing w:line="360" w:lineRule="auto"/>
        <w:ind w:firstLine="482" w:firstLineChars="200"/>
        <w:rPr>
          <w:rFonts w:hint="eastAsia" w:ascii="宋体"/>
          <w:b/>
          <w:bCs/>
          <w:color w:val="auto"/>
          <w:sz w:val="24"/>
          <w:szCs w:val="24"/>
          <w:highlight w:val="none"/>
          <w:u w:val="single"/>
        </w:rPr>
      </w:pPr>
      <w:r>
        <w:rPr>
          <w:rFonts w:hint="eastAsia" w:ascii="宋体"/>
          <w:b/>
          <w:bCs/>
          <w:color w:val="auto"/>
          <w:sz w:val="24"/>
          <w:szCs w:val="24"/>
          <w:highlight w:val="none"/>
          <w:u w:val="single"/>
        </w:rPr>
        <w:t>40．开标、评标及定标程序：</w:t>
      </w:r>
    </w:p>
    <w:p>
      <w:pPr>
        <w:snapToGrid w:val="0"/>
        <w:spacing w:line="360" w:lineRule="auto"/>
        <w:ind w:firstLine="482" w:firstLineChars="200"/>
        <w:rPr>
          <w:rFonts w:hint="eastAsia" w:ascii="宋体"/>
          <w:b/>
          <w:bCs/>
          <w:color w:val="auto"/>
          <w:sz w:val="24"/>
          <w:szCs w:val="24"/>
          <w:highlight w:val="none"/>
          <w:u w:val="single"/>
        </w:rPr>
      </w:pPr>
      <w:r>
        <w:rPr>
          <w:rFonts w:hint="eastAsia" w:ascii="宋体"/>
          <w:b/>
          <w:bCs/>
          <w:color w:val="auto"/>
          <w:sz w:val="24"/>
          <w:szCs w:val="24"/>
          <w:highlight w:val="none"/>
          <w:u w:val="single"/>
        </w:rPr>
        <w:t>40.1投标人递交技术标、经济标投标文件和定标文件；</w:t>
      </w:r>
    </w:p>
    <w:p>
      <w:pPr>
        <w:snapToGrid w:val="0"/>
        <w:spacing w:line="360" w:lineRule="auto"/>
        <w:ind w:firstLine="482" w:firstLineChars="200"/>
        <w:rPr>
          <w:rFonts w:hint="eastAsia" w:ascii="宋体"/>
          <w:b/>
          <w:bCs/>
          <w:color w:val="auto"/>
          <w:sz w:val="24"/>
          <w:szCs w:val="24"/>
          <w:highlight w:val="none"/>
          <w:u w:val="single"/>
        </w:rPr>
      </w:pPr>
      <w:r>
        <w:rPr>
          <w:rFonts w:hint="eastAsia" w:ascii="宋体"/>
          <w:b/>
          <w:bCs/>
          <w:color w:val="auto"/>
          <w:sz w:val="24"/>
          <w:szCs w:val="24"/>
          <w:highlight w:val="none"/>
          <w:u w:val="single"/>
        </w:rPr>
        <w:t>40.</w:t>
      </w:r>
      <w:r>
        <w:rPr>
          <w:rFonts w:hint="eastAsia" w:ascii="宋体"/>
          <w:b/>
          <w:bCs/>
          <w:color w:val="auto"/>
          <w:sz w:val="24"/>
          <w:szCs w:val="24"/>
          <w:highlight w:val="none"/>
          <w:u w:val="single"/>
          <w:lang w:val="en-US" w:eastAsia="zh-CN"/>
        </w:rPr>
        <w:t>2</w:t>
      </w:r>
      <w:r>
        <w:rPr>
          <w:rFonts w:hint="eastAsia" w:ascii="宋体"/>
          <w:b/>
          <w:bCs/>
          <w:color w:val="auto"/>
          <w:sz w:val="24"/>
          <w:szCs w:val="24"/>
          <w:highlight w:val="none"/>
          <w:u w:val="single"/>
        </w:rPr>
        <w:t>技术标（含资格审查文件）与经济标投标文件和定标文件同时公开开标；</w:t>
      </w:r>
    </w:p>
    <w:p>
      <w:pPr>
        <w:snapToGrid w:val="0"/>
        <w:spacing w:line="360" w:lineRule="auto"/>
        <w:ind w:firstLine="482" w:firstLineChars="200"/>
        <w:rPr>
          <w:rFonts w:hint="eastAsia" w:ascii="宋体"/>
          <w:b/>
          <w:bCs/>
          <w:color w:val="auto"/>
          <w:sz w:val="24"/>
          <w:szCs w:val="24"/>
          <w:highlight w:val="none"/>
          <w:u w:val="single"/>
        </w:rPr>
      </w:pPr>
      <w:r>
        <w:rPr>
          <w:rFonts w:hint="eastAsia" w:ascii="宋体"/>
          <w:b/>
          <w:bCs/>
          <w:color w:val="auto"/>
          <w:sz w:val="24"/>
          <w:szCs w:val="24"/>
          <w:highlight w:val="none"/>
          <w:u w:val="single"/>
        </w:rPr>
        <w:t>40.</w:t>
      </w:r>
      <w:r>
        <w:rPr>
          <w:rFonts w:hint="eastAsia" w:ascii="宋体"/>
          <w:b/>
          <w:bCs/>
          <w:color w:val="auto"/>
          <w:sz w:val="24"/>
          <w:szCs w:val="24"/>
          <w:highlight w:val="none"/>
          <w:u w:val="single"/>
          <w:lang w:val="en-US" w:eastAsia="zh-CN"/>
        </w:rPr>
        <w:t>3</w:t>
      </w:r>
      <w:r>
        <w:rPr>
          <w:rFonts w:hint="eastAsia" w:ascii="宋体"/>
          <w:b/>
          <w:bCs/>
          <w:color w:val="auto"/>
          <w:sz w:val="24"/>
          <w:szCs w:val="24"/>
          <w:highlight w:val="none"/>
          <w:u w:val="single"/>
        </w:rPr>
        <w:t>由评标委员会对所有已公开开标的投标人进行资格审查；</w:t>
      </w:r>
    </w:p>
    <w:p>
      <w:pPr>
        <w:snapToGrid w:val="0"/>
        <w:spacing w:line="360" w:lineRule="auto"/>
        <w:ind w:firstLine="482" w:firstLineChars="200"/>
        <w:rPr>
          <w:rFonts w:hint="eastAsia" w:ascii="宋体"/>
          <w:b/>
          <w:bCs/>
          <w:color w:val="auto"/>
          <w:sz w:val="24"/>
          <w:szCs w:val="24"/>
          <w:highlight w:val="none"/>
          <w:u w:val="single"/>
        </w:rPr>
      </w:pPr>
      <w:r>
        <w:rPr>
          <w:rFonts w:hint="eastAsia" w:ascii="宋体"/>
          <w:b/>
          <w:bCs/>
          <w:color w:val="auto"/>
          <w:sz w:val="24"/>
          <w:szCs w:val="24"/>
          <w:highlight w:val="none"/>
          <w:u w:val="single"/>
        </w:rPr>
        <w:t>40.</w:t>
      </w:r>
      <w:r>
        <w:rPr>
          <w:rFonts w:hint="eastAsia" w:ascii="宋体"/>
          <w:b/>
          <w:bCs/>
          <w:color w:val="auto"/>
          <w:sz w:val="24"/>
          <w:szCs w:val="24"/>
          <w:highlight w:val="none"/>
          <w:u w:val="single"/>
          <w:lang w:val="en-US" w:eastAsia="zh-CN"/>
        </w:rPr>
        <w:t>4</w:t>
      </w:r>
      <w:r>
        <w:rPr>
          <w:rFonts w:hint="eastAsia" w:ascii="宋体"/>
          <w:b/>
          <w:bCs/>
          <w:color w:val="auto"/>
          <w:sz w:val="24"/>
          <w:szCs w:val="24"/>
          <w:highlight w:val="none"/>
          <w:u w:val="single"/>
        </w:rPr>
        <w:t>技术标投标文件有效性审查；</w:t>
      </w:r>
    </w:p>
    <w:p>
      <w:pPr>
        <w:snapToGrid w:val="0"/>
        <w:spacing w:line="360" w:lineRule="auto"/>
        <w:ind w:firstLine="482" w:firstLineChars="200"/>
        <w:rPr>
          <w:rFonts w:hint="eastAsia" w:ascii="宋体"/>
          <w:b/>
          <w:bCs/>
          <w:color w:val="auto"/>
          <w:sz w:val="24"/>
          <w:szCs w:val="24"/>
          <w:highlight w:val="none"/>
          <w:u w:val="single"/>
          <w:lang w:val="en-US" w:eastAsia="zh-CN"/>
        </w:rPr>
      </w:pPr>
      <w:r>
        <w:rPr>
          <w:rFonts w:hint="eastAsia" w:ascii="宋体"/>
          <w:b/>
          <w:bCs/>
          <w:color w:val="auto"/>
          <w:sz w:val="24"/>
          <w:szCs w:val="24"/>
          <w:highlight w:val="none"/>
          <w:u w:val="single"/>
        </w:rPr>
        <w:t>40.</w:t>
      </w:r>
      <w:r>
        <w:rPr>
          <w:rFonts w:hint="eastAsia" w:ascii="宋体"/>
          <w:b/>
          <w:bCs/>
          <w:color w:val="auto"/>
          <w:sz w:val="24"/>
          <w:szCs w:val="24"/>
          <w:highlight w:val="none"/>
          <w:u w:val="single"/>
          <w:lang w:val="en-US" w:eastAsia="zh-CN"/>
        </w:rPr>
        <w:t>5经济标的算术校核；</w:t>
      </w:r>
    </w:p>
    <w:p>
      <w:pPr>
        <w:snapToGrid w:val="0"/>
        <w:spacing w:line="360" w:lineRule="auto"/>
        <w:ind w:firstLine="482" w:firstLineChars="200"/>
        <w:rPr>
          <w:rFonts w:hint="eastAsia" w:ascii="宋体"/>
          <w:b/>
          <w:bCs/>
          <w:color w:val="auto"/>
          <w:sz w:val="24"/>
          <w:szCs w:val="24"/>
          <w:highlight w:val="none"/>
          <w:u w:val="single"/>
        </w:rPr>
      </w:pPr>
      <w:r>
        <w:rPr>
          <w:rFonts w:hint="eastAsia" w:ascii="宋体"/>
          <w:b/>
          <w:bCs/>
          <w:color w:val="auto"/>
          <w:sz w:val="24"/>
          <w:szCs w:val="24"/>
          <w:highlight w:val="none"/>
          <w:u w:val="single"/>
        </w:rPr>
        <w:t>40.</w:t>
      </w:r>
      <w:r>
        <w:rPr>
          <w:rFonts w:hint="eastAsia" w:ascii="宋体"/>
          <w:b/>
          <w:bCs/>
          <w:color w:val="auto"/>
          <w:sz w:val="24"/>
          <w:szCs w:val="24"/>
          <w:highlight w:val="none"/>
          <w:u w:val="single"/>
          <w:lang w:val="en-US" w:eastAsia="zh-CN"/>
        </w:rPr>
        <w:t>6</w:t>
      </w:r>
      <w:r>
        <w:rPr>
          <w:rFonts w:hint="eastAsia" w:ascii="宋体"/>
          <w:b/>
          <w:bCs/>
          <w:color w:val="auto"/>
          <w:sz w:val="24"/>
          <w:szCs w:val="24"/>
          <w:highlight w:val="none"/>
          <w:u w:val="single"/>
        </w:rPr>
        <w:t>经济标投标文件有效性审查；</w:t>
      </w:r>
    </w:p>
    <w:p>
      <w:pPr>
        <w:snapToGrid w:val="0"/>
        <w:spacing w:line="360" w:lineRule="auto"/>
        <w:ind w:firstLine="482" w:firstLineChars="200"/>
        <w:rPr>
          <w:rFonts w:hint="eastAsia" w:ascii="宋体"/>
          <w:b/>
          <w:bCs/>
          <w:color w:val="auto"/>
          <w:sz w:val="24"/>
          <w:szCs w:val="24"/>
          <w:highlight w:val="none"/>
          <w:u w:val="single"/>
        </w:rPr>
      </w:pPr>
      <w:r>
        <w:rPr>
          <w:rFonts w:hint="eastAsia" w:ascii="宋体"/>
          <w:b/>
          <w:bCs/>
          <w:color w:val="auto"/>
          <w:sz w:val="24"/>
          <w:szCs w:val="24"/>
          <w:highlight w:val="none"/>
          <w:u w:val="single"/>
        </w:rPr>
        <w:t>40.</w:t>
      </w:r>
      <w:r>
        <w:rPr>
          <w:rFonts w:hint="eastAsia" w:ascii="宋体"/>
          <w:b/>
          <w:bCs/>
          <w:color w:val="auto"/>
          <w:sz w:val="24"/>
          <w:szCs w:val="24"/>
          <w:highlight w:val="none"/>
          <w:u w:val="single"/>
          <w:lang w:val="en-US" w:eastAsia="zh-CN"/>
        </w:rPr>
        <w:t>7</w:t>
      </w:r>
      <w:r>
        <w:rPr>
          <w:rFonts w:hint="eastAsia" w:ascii="宋体"/>
          <w:b/>
          <w:bCs/>
          <w:color w:val="auto"/>
          <w:sz w:val="24"/>
          <w:szCs w:val="24"/>
          <w:highlight w:val="none"/>
          <w:u w:val="single"/>
        </w:rPr>
        <w:t>技术标详细审查评分</w:t>
      </w:r>
      <w:r>
        <w:rPr>
          <w:rFonts w:hint="eastAsia" w:ascii="宋体"/>
          <w:b/>
          <w:bCs/>
          <w:color w:val="auto"/>
          <w:sz w:val="24"/>
          <w:szCs w:val="24"/>
          <w:highlight w:val="none"/>
          <w:u w:val="single"/>
          <w:lang w:val="en-US" w:eastAsia="zh-CN"/>
        </w:rPr>
        <w:t>（通过资格审查、技术标及经济标有效性审查的合格投标人大于20家时）</w:t>
      </w:r>
      <w:r>
        <w:rPr>
          <w:rFonts w:hint="eastAsia" w:ascii="宋体"/>
          <w:b/>
          <w:bCs/>
          <w:color w:val="auto"/>
          <w:sz w:val="24"/>
          <w:szCs w:val="24"/>
          <w:highlight w:val="none"/>
          <w:u w:val="single"/>
        </w:rPr>
        <w:t>；</w:t>
      </w:r>
    </w:p>
    <w:p>
      <w:pPr>
        <w:snapToGrid w:val="0"/>
        <w:spacing w:line="360" w:lineRule="auto"/>
        <w:ind w:firstLine="482" w:firstLineChars="200"/>
        <w:rPr>
          <w:rFonts w:hint="eastAsia" w:ascii="宋体"/>
          <w:b/>
          <w:bCs/>
          <w:color w:val="auto"/>
          <w:sz w:val="24"/>
          <w:szCs w:val="24"/>
          <w:highlight w:val="none"/>
          <w:u w:val="single"/>
          <w:lang w:eastAsia="zh-CN"/>
        </w:rPr>
      </w:pPr>
      <w:r>
        <w:rPr>
          <w:rFonts w:hint="eastAsia" w:ascii="宋体"/>
          <w:b/>
          <w:bCs/>
          <w:color w:val="auto"/>
          <w:sz w:val="24"/>
          <w:szCs w:val="24"/>
          <w:highlight w:val="none"/>
          <w:u w:val="single"/>
        </w:rPr>
        <w:t>40.</w:t>
      </w:r>
      <w:r>
        <w:rPr>
          <w:rFonts w:hint="eastAsia" w:ascii="宋体"/>
          <w:b/>
          <w:bCs/>
          <w:color w:val="auto"/>
          <w:sz w:val="24"/>
          <w:szCs w:val="24"/>
          <w:highlight w:val="none"/>
          <w:u w:val="single"/>
          <w:lang w:val="en-US" w:eastAsia="zh-CN"/>
        </w:rPr>
        <w:t>8</w:t>
      </w:r>
      <w:r>
        <w:rPr>
          <w:rFonts w:hint="eastAsia" w:ascii="宋体"/>
          <w:b/>
          <w:bCs/>
          <w:color w:val="auto"/>
          <w:sz w:val="24"/>
          <w:szCs w:val="24"/>
          <w:highlight w:val="none"/>
          <w:u w:val="single"/>
        </w:rPr>
        <w:t>评标委员会编写资格审查报告和评标报告，向招标人推荐进入定标阶段的</w:t>
      </w:r>
      <w:r>
        <w:rPr>
          <w:rFonts w:hint="eastAsia" w:ascii="宋体"/>
          <w:b/>
          <w:bCs/>
          <w:color w:val="auto"/>
          <w:sz w:val="24"/>
          <w:szCs w:val="24"/>
          <w:highlight w:val="none"/>
          <w:u w:val="single"/>
          <w:lang w:val="en-US" w:eastAsia="zh-CN"/>
        </w:rPr>
        <w:t>合格中标</w:t>
      </w:r>
      <w:r>
        <w:rPr>
          <w:rFonts w:hint="eastAsia" w:ascii="宋体"/>
          <w:b/>
          <w:bCs/>
          <w:color w:val="auto"/>
          <w:sz w:val="24"/>
          <w:szCs w:val="24"/>
          <w:highlight w:val="none"/>
          <w:u w:val="single"/>
        </w:rPr>
        <w:t>候选人【</w:t>
      </w:r>
      <w:r>
        <w:rPr>
          <w:rFonts w:hint="eastAsia" w:ascii="宋体"/>
          <w:b/>
          <w:bCs/>
          <w:color w:val="auto"/>
          <w:sz w:val="24"/>
          <w:szCs w:val="24"/>
          <w:highlight w:val="none"/>
          <w:u w:val="single"/>
          <w:lang w:eastAsia="zh-CN"/>
        </w:rPr>
        <w:t>不排序，按统一社会信用代码后4位（除校验码外）大小排位，如统一社会信用代码后4位出现字母情况的，字母以“0”进行代替大小排位；如出现后4位（除校验码外）大小一致的，则随机排位</w:t>
      </w:r>
      <w:r>
        <w:rPr>
          <w:rFonts w:hint="eastAsia" w:ascii="宋体"/>
          <w:b/>
          <w:bCs/>
          <w:color w:val="auto"/>
          <w:sz w:val="24"/>
          <w:szCs w:val="24"/>
          <w:highlight w:val="none"/>
          <w:u w:val="single"/>
        </w:rPr>
        <w:t>】</w:t>
      </w:r>
      <w:r>
        <w:rPr>
          <w:rFonts w:hint="eastAsia" w:ascii="宋体"/>
          <w:b/>
          <w:bCs/>
          <w:color w:val="auto"/>
          <w:sz w:val="24"/>
          <w:szCs w:val="24"/>
          <w:highlight w:val="none"/>
          <w:u w:val="single"/>
          <w:lang w:eastAsia="zh-CN"/>
        </w:rPr>
        <w:t>；</w:t>
      </w:r>
    </w:p>
    <w:p>
      <w:pPr>
        <w:snapToGrid w:val="0"/>
        <w:spacing w:line="360" w:lineRule="auto"/>
        <w:ind w:firstLine="482" w:firstLineChars="200"/>
        <w:rPr>
          <w:rFonts w:ascii="宋体"/>
          <w:b/>
          <w:bCs/>
          <w:color w:val="auto"/>
          <w:szCs w:val="21"/>
          <w:highlight w:val="none"/>
          <w:u w:val="single"/>
        </w:rPr>
      </w:pPr>
      <w:r>
        <w:rPr>
          <w:rFonts w:hint="eastAsia" w:ascii="宋体"/>
          <w:b/>
          <w:bCs/>
          <w:color w:val="auto"/>
          <w:sz w:val="24"/>
          <w:szCs w:val="24"/>
          <w:highlight w:val="none"/>
          <w:u w:val="single"/>
        </w:rPr>
        <w:t>40.</w:t>
      </w:r>
      <w:r>
        <w:rPr>
          <w:rFonts w:hint="eastAsia" w:ascii="宋体"/>
          <w:b/>
          <w:bCs/>
          <w:color w:val="auto"/>
          <w:sz w:val="24"/>
          <w:szCs w:val="24"/>
          <w:highlight w:val="none"/>
          <w:u w:val="single"/>
          <w:lang w:val="en-US" w:eastAsia="zh-CN"/>
        </w:rPr>
        <w:t>9</w:t>
      </w:r>
      <w:r>
        <w:rPr>
          <w:rFonts w:hint="eastAsia" w:ascii="宋体"/>
          <w:b/>
          <w:bCs/>
          <w:color w:val="auto"/>
          <w:sz w:val="24"/>
          <w:szCs w:val="24"/>
          <w:highlight w:val="none"/>
          <w:u w:val="single"/>
        </w:rPr>
        <w:t>定标委员会对评标委员会推荐的</w:t>
      </w:r>
      <w:r>
        <w:rPr>
          <w:rFonts w:hint="eastAsia" w:ascii="宋体"/>
          <w:b/>
          <w:bCs/>
          <w:color w:val="auto"/>
          <w:sz w:val="24"/>
          <w:szCs w:val="24"/>
          <w:highlight w:val="none"/>
          <w:u w:val="single"/>
          <w:lang w:val="en-US" w:eastAsia="zh-CN"/>
        </w:rPr>
        <w:t>合格中标</w:t>
      </w:r>
      <w:r>
        <w:rPr>
          <w:rFonts w:hint="eastAsia" w:ascii="宋体"/>
          <w:b/>
          <w:bCs/>
          <w:color w:val="auto"/>
          <w:sz w:val="24"/>
          <w:szCs w:val="24"/>
          <w:highlight w:val="none"/>
          <w:u w:val="single"/>
        </w:rPr>
        <w:t>候选人采用评分法（答辩因素+投标价格因素），确定</w:t>
      </w:r>
      <w:r>
        <w:rPr>
          <w:rFonts w:hint="eastAsia" w:ascii="宋体"/>
          <w:b/>
          <w:bCs/>
          <w:color w:val="auto"/>
          <w:sz w:val="24"/>
          <w:szCs w:val="24"/>
          <w:highlight w:val="none"/>
          <w:u w:val="single"/>
          <w:lang w:val="en-US" w:eastAsia="zh-CN"/>
        </w:rPr>
        <w:t>合格</w:t>
      </w:r>
      <w:r>
        <w:rPr>
          <w:rFonts w:hint="eastAsia" w:ascii="宋体"/>
          <w:b/>
          <w:bCs/>
          <w:color w:val="auto"/>
          <w:sz w:val="24"/>
          <w:szCs w:val="24"/>
          <w:highlight w:val="none"/>
          <w:u w:val="single"/>
        </w:rPr>
        <w:t>中标候选人。定标结束后，定标委员会向招标人递交定标报告。</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41．开标细则</w:t>
      </w:r>
    </w:p>
    <w:p>
      <w:pPr>
        <w:snapToGrid w:val="0"/>
        <w:spacing w:line="360" w:lineRule="auto"/>
        <w:ind w:firstLine="480" w:firstLineChars="200"/>
        <w:rPr>
          <w:rFonts w:hint="eastAsia" w:ascii="宋体" w:eastAsia="宋体"/>
          <w:color w:val="auto"/>
          <w:sz w:val="24"/>
          <w:szCs w:val="24"/>
          <w:highlight w:val="none"/>
          <w:lang w:eastAsia="zh-CN"/>
        </w:rPr>
      </w:pPr>
      <w:r>
        <w:rPr>
          <w:rFonts w:hint="eastAsia" w:ascii="宋体"/>
          <w:color w:val="auto"/>
          <w:sz w:val="24"/>
          <w:szCs w:val="24"/>
          <w:highlight w:val="none"/>
        </w:rPr>
        <w:t>41.1开标由招标人</w:t>
      </w:r>
      <w:r>
        <w:rPr>
          <w:rFonts w:hint="eastAsia" w:ascii="宋体" w:hAnsi="Calibri" w:eastAsia="宋体" w:cs="Times New Roman"/>
          <w:b/>
          <w:bCs/>
          <w:color w:val="auto"/>
          <w:sz w:val="24"/>
          <w:szCs w:val="24"/>
          <w:highlight w:val="none"/>
          <w:u w:val="single"/>
        </w:rPr>
        <w:t>或招标代理</w:t>
      </w:r>
      <w:r>
        <w:rPr>
          <w:rFonts w:hint="eastAsia" w:ascii="宋体"/>
          <w:color w:val="auto"/>
          <w:sz w:val="24"/>
          <w:szCs w:val="24"/>
          <w:highlight w:val="none"/>
        </w:rPr>
        <w:t>主持</w:t>
      </w:r>
      <w:r>
        <w:rPr>
          <w:rFonts w:hint="eastAsia" w:ascii="宋体"/>
          <w:color w:val="auto"/>
          <w:sz w:val="24"/>
          <w:szCs w:val="24"/>
          <w:highlight w:val="none"/>
          <w:lang w:eastAsia="zh-CN"/>
        </w:rPr>
        <w:t>。</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 细则</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41.2.1投标截止期前，各投标人递交投标文件（包括技术标投标文件</w:t>
      </w:r>
      <w:r>
        <w:rPr>
          <w:rFonts w:hint="eastAsia" w:ascii="宋体" w:hAnsi="Calibri" w:eastAsia="宋体" w:cs="Times New Roman"/>
          <w:b/>
          <w:bCs/>
          <w:color w:val="auto"/>
          <w:sz w:val="24"/>
          <w:szCs w:val="24"/>
          <w:highlight w:val="none"/>
          <w:u w:val="single"/>
        </w:rPr>
        <w:t>（含资格审查文件）</w:t>
      </w:r>
      <w:r>
        <w:rPr>
          <w:rFonts w:hint="eastAsia" w:ascii="宋体"/>
          <w:color w:val="auto"/>
          <w:sz w:val="24"/>
          <w:szCs w:val="24"/>
          <w:highlight w:val="none"/>
        </w:rPr>
        <w:t>、经济标投标文件</w:t>
      </w:r>
      <w:r>
        <w:rPr>
          <w:rFonts w:hint="eastAsia" w:ascii="宋体"/>
          <w:b/>
          <w:bCs/>
          <w:color w:val="auto"/>
          <w:sz w:val="24"/>
          <w:szCs w:val="24"/>
          <w:highlight w:val="none"/>
          <w:u w:val="single"/>
          <w:lang w:eastAsia="zh-CN"/>
        </w:rPr>
        <w:t>、</w:t>
      </w:r>
      <w:r>
        <w:rPr>
          <w:rFonts w:hint="eastAsia" w:ascii="宋体" w:hAnsi="Calibri" w:cs="Times New Roman"/>
          <w:b/>
          <w:bCs/>
          <w:color w:val="auto"/>
          <w:sz w:val="24"/>
          <w:szCs w:val="24"/>
          <w:highlight w:val="none"/>
          <w:u w:val="single"/>
          <w:lang w:eastAsia="zh-CN"/>
        </w:rPr>
        <w:t>定标文件</w:t>
      </w:r>
      <w:r>
        <w:rPr>
          <w:rFonts w:hint="eastAsia" w:ascii="宋体"/>
          <w:color w:val="auto"/>
          <w:sz w:val="24"/>
          <w:szCs w:val="24"/>
          <w:highlight w:val="none"/>
        </w:rPr>
        <w:t>）至</w:t>
      </w:r>
      <w:r>
        <w:rPr>
          <w:rFonts w:hint="eastAsia" w:ascii="宋体" w:hAnsi="Calibri" w:eastAsia="宋体" w:cs="Times New Roman"/>
          <w:b/>
          <w:bCs/>
          <w:color w:val="auto"/>
          <w:sz w:val="24"/>
          <w:szCs w:val="24"/>
          <w:highlight w:val="none"/>
          <w:u w:val="single"/>
          <w:lang w:eastAsia="zh-CN"/>
        </w:rPr>
        <w:t>广州交易集团有限公司（广州公共资源交易中心）</w:t>
      </w:r>
      <w:r>
        <w:rPr>
          <w:rFonts w:hint="eastAsia" w:ascii="宋体"/>
          <w:color w:val="auto"/>
          <w:sz w:val="24"/>
          <w:szCs w:val="24"/>
          <w:highlight w:val="none"/>
        </w:rPr>
        <w:t xml:space="preserve">交易平台。有关投标文件提交的事项详见第一章投标须知。 </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41.2.2</w:t>
      </w:r>
      <w:r>
        <w:rPr>
          <w:rFonts w:hint="eastAsia" w:ascii="宋体" w:hAnsi="宋体"/>
          <w:color w:val="auto"/>
          <w:sz w:val="24"/>
          <w:szCs w:val="24"/>
          <w:highlight w:val="non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w:t>
      </w:r>
      <w:r>
        <w:rPr>
          <w:rFonts w:hint="eastAsia" w:ascii="宋体"/>
          <w:color w:val="auto"/>
          <w:sz w:val="24"/>
          <w:szCs w:val="24"/>
          <w:highlight w:val="none"/>
          <w:lang w:val="en-US" w:eastAsia="zh-CN"/>
        </w:rPr>
        <w:t>3</w:t>
      </w:r>
      <w:r>
        <w:rPr>
          <w:rFonts w:hint="eastAsia" w:ascii="宋体"/>
          <w:color w:val="auto"/>
          <w:sz w:val="24"/>
          <w:szCs w:val="24"/>
          <w:highlight w:val="none"/>
        </w:rPr>
        <w:t xml:space="preserve">按36.5.1的规定完成解密后，公布下列内容，并予以记录，记录提交评标委员会评审： </w:t>
      </w:r>
    </w:p>
    <w:p>
      <w:pPr>
        <w:snapToGrid w:val="0"/>
        <w:spacing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41.2.</w:t>
      </w:r>
      <w:r>
        <w:rPr>
          <w:rFonts w:hint="eastAsia" w:ascii="宋体"/>
          <w:color w:val="auto"/>
          <w:sz w:val="24"/>
          <w:szCs w:val="24"/>
          <w:highlight w:val="none"/>
          <w:lang w:val="en-US" w:eastAsia="zh-CN"/>
        </w:rPr>
        <w:t>3</w:t>
      </w:r>
      <w:r>
        <w:rPr>
          <w:rFonts w:hint="eastAsia" w:ascii="宋体"/>
          <w:color w:val="auto"/>
          <w:sz w:val="24"/>
          <w:szCs w:val="24"/>
          <w:highlight w:val="none"/>
        </w:rPr>
        <w:t>.1开标时，公布：</w:t>
      </w:r>
      <w:r>
        <w:rPr>
          <w:rFonts w:hint="eastAsia" w:ascii="宋体" w:hAnsi="宋体"/>
          <w:color w:val="auto"/>
          <w:sz w:val="24"/>
          <w:szCs w:val="24"/>
          <w:highlight w:val="none"/>
        </w:rPr>
        <w:t>a、投标人名称；</w:t>
      </w:r>
      <w:r>
        <w:rPr>
          <w:rFonts w:ascii="宋体" w:hAnsi="宋体"/>
          <w:color w:val="auto"/>
          <w:sz w:val="24"/>
          <w:szCs w:val="24"/>
          <w:highlight w:val="none"/>
        </w:rPr>
        <w:t>b</w:t>
      </w:r>
      <w:r>
        <w:rPr>
          <w:rFonts w:hint="eastAsia" w:ascii="宋体" w:hAnsi="宋体"/>
          <w:color w:val="auto"/>
          <w:sz w:val="24"/>
          <w:szCs w:val="24"/>
          <w:highlight w:val="none"/>
        </w:rPr>
        <w:t>、</w:t>
      </w:r>
      <w:r>
        <w:rPr>
          <w:rFonts w:hint="eastAsia" w:ascii="宋体" w:hAnsi="宋体"/>
          <w:color w:val="auto"/>
          <w:sz w:val="24"/>
          <w:szCs w:val="24"/>
          <w:highlight w:val="none"/>
          <w:lang w:eastAsia="zh-CN"/>
        </w:rPr>
        <w:t>投标文件递交情况</w:t>
      </w:r>
      <w:r>
        <w:rPr>
          <w:rFonts w:ascii="宋体" w:hAnsi="宋体"/>
          <w:color w:val="auto"/>
          <w:sz w:val="24"/>
          <w:szCs w:val="24"/>
          <w:highlight w:val="none"/>
        </w:rPr>
        <w:t>c</w:t>
      </w:r>
      <w:r>
        <w:rPr>
          <w:rFonts w:hint="eastAsia" w:ascii="宋体" w:hAnsi="宋体"/>
          <w:color w:val="auto"/>
          <w:sz w:val="24"/>
          <w:szCs w:val="24"/>
          <w:highlight w:val="none"/>
        </w:rPr>
        <w:t>、</w:t>
      </w:r>
      <w:r>
        <w:rPr>
          <w:rFonts w:hint="eastAsia" w:ascii="宋体" w:hAnsi="宋体"/>
          <w:color w:val="auto"/>
          <w:sz w:val="24"/>
          <w:highlight w:val="none"/>
        </w:rPr>
        <w:t>投标文件</w:t>
      </w:r>
      <w:r>
        <w:rPr>
          <w:rFonts w:hint="eastAsia" w:ascii="宋体" w:hAnsi="宋体"/>
          <w:color w:val="auto"/>
          <w:sz w:val="24"/>
          <w:highlight w:val="none"/>
          <w:lang w:eastAsia="zh-CN"/>
        </w:rPr>
        <w:t>解</w:t>
      </w:r>
      <w:r>
        <w:rPr>
          <w:rFonts w:hint="eastAsia" w:ascii="宋体" w:hAnsi="宋体"/>
          <w:color w:val="auto"/>
          <w:sz w:val="24"/>
          <w:szCs w:val="24"/>
          <w:highlight w:val="none"/>
        </w:rPr>
        <w:t>密情况；</w:t>
      </w:r>
      <w:r>
        <w:rPr>
          <w:rFonts w:ascii="宋体" w:hAnsi="宋体"/>
          <w:color w:val="auto"/>
          <w:sz w:val="24"/>
          <w:szCs w:val="24"/>
          <w:highlight w:val="none"/>
        </w:rPr>
        <w:t>d</w:t>
      </w:r>
      <w:r>
        <w:rPr>
          <w:rFonts w:hint="eastAsia" w:ascii="宋体" w:hAnsi="宋体"/>
          <w:color w:val="auto"/>
          <w:sz w:val="24"/>
          <w:szCs w:val="24"/>
          <w:highlight w:val="none"/>
        </w:rPr>
        <w:t>、法定代表人证明及授权委托；</w:t>
      </w:r>
      <w:r>
        <w:rPr>
          <w:rFonts w:ascii="宋体" w:hAnsi="宋体"/>
          <w:color w:val="auto"/>
          <w:sz w:val="24"/>
          <w:szCs w:val="24"/>
          <w:highlight w:val="none"/>
        </w:rPr>
        <w:t>e</w:t>
      </w:r>
      <w:r>
        <w:rPr>
          <w:rFonts w:hint="eastAsia" w:ascii="宋体" w:hAnsi="宋体"/>
          <w:color w:val="auto"/>
          <w:sz w:val="24"/>
          <w:szCs w:val="24"/>
          <w:highlight w:val="none"/>
        </w:rPr>
        <w:t>、投标保证金；</w:t>
      </w:r>
      <w:r>
        <w:rPr>
          <w:rFonts w:hint="eastAsia" w:ascii="宋体" w:hAnsi="宋体"/>
          <w:color w:val="auto"/>
          <w:sz w:val="24"/>
          <w:szCs w:val="24"/>
          <w:highlight w:val="none"/>
          <w:lang w:val="en-US" w:eastAsia="zh-CN"/>
        </w:rPr>
        <w:t>f、</w:t>
      </w:r>
      <w:r>
        <w:rPr>
          <w:rFonts w:hint="eastAsia" w:ascii="宋体" w:hAnsi="宋体"/>
          <w:color w:val="auto"/>
          <w:sz w:val="24"/>
          <w:szCs w:val="24"/>
          <w:highlight w:val="none"/>
        </w:rPr>
        <w:t>项目经理（负责人）名称；</w:t>
      </w:r>
      <w:r>
        <w:rPr>
          <w:rFonts w:ascii="宋体" w:hAnsi="宋体"/>
          <w:color w:val="auto"/>
          <w:sz w:val="24"/>
          <w:szCs w:val="24"/>
          <w:highlight w:val="none"/>
        </w:rPr>
        <w:t>f</w:t>
      </w:r>
      <w:r>
        <w:rPr>
          <w:rFonts w:hint="eastAsia" w:ascii="宋体" w:hAnsi="宋体"/>
          <w:color w:val="auto"/>
          <w:sz w:val="24"/>
          <w:szCs w:val="24"/>
          <w:highlight w:val="none"/>
        </w:rPr>
        <w:t>、投标报价等</w:t>
      </w:r>
      <w:r>
        <w:rPr>
          <w:rFonts w:hint="eastAsia" w:ascii="宋体"/>
          <w:color w:val="auto"/>
          <w:sz w:val="24"/>
          <w:szCs w:val="24"/>
          <w:highlight w:val="none"/>
        </w:rPr>
        <w:t>主要内容及开标记录表中的其他必要内容。投标报价以数字和文字两种方式表述的，应公布文字表述的投标报价。</w:t>
      </w:r>
    </w:p>
    <w:p>
      <w:pPr>
        <w:snapToGrid w:val="0"/>
        <w:spacing w:line="360" w:lineRule="auto"/>
        <w:ind w:firstLine="480" w:firstLineChars="200"/>
        <w:rPr>
          <w:rFonts w:hint="eastAsia" w:ascii="宋体" w:eastAsia="宋体"/>
          <w:strike/>
          <w:color w:val="auto"/>
          <w:sz w:val="24"/>
          <w:szCs w:val="24"/>
          <w:highlight w:val="none"/>
          <w:lang w:val="en-US" w:eastAsia="zh-CN"/>
        </w:rPr>
      </w:pPr>
      <w:r>
        <w:rPr>
          <w:rFonts w:hint="eastAsia" w:ascii="宋体"/>
          <w:strike/>
          <w:color w:val="auto"/>
          <w:sz w:val="24"/>
          <w:szCs w:val="24"/>
          <w:highlight w:val="none"/>
          <w:lang w:val="en-US" w:eastAsia="zh-CN"/>
        </w:rPr>
        <w:t>41.2.3.2</w:t>
      </w:r>
      <w:r>
        <w:rPr>
          <w:rFonts w:hint="eastAsia" w:ascii="宋体"/>
          <w:strike/>
          <w:color w:val="auto"/>
          <w:sz w:val="24"/>
          <w:szCs w:val="24"/>
          <w:highlight w:val="none"/>
        </w:rPr>
        <w:t>由招标人随机抽取确定该工程计算评标参考价的等分点值X</w:t>
      </w:r>
      <w:r>
        <w:rPr>
          <w:rFonts w:hint="eastAsia" w:ascii="宋体"/>
          <w:strike/>
          <w:color w:val="auto"/>
          <w:sz w:val="24"/>
          <w:szCs w:val="24"/>
          <w:highlight w:val="none"/>
          <w:lang w:eastAsia="zh-CN"/>
        </w:rPr>
        <w:t>。</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41.3招标人</w:t>
      </w:r>
      <w:r>
        <w:rPr>
          <w:rFonts w:hint="eastAsia" w:ascii="宋体"/>
          <w:b/>
          <w:bCs/>
          <w:color w:val="auto"/>
          <w:sz w:val="24"/>
          <w:szCs w:val="24"/>
          <w:highlight w:val="none"/>
          <w:u w:val="single"/>
        </w:rPr>
        <w:t>或招标代理机构</w:t>
      </w:r>
      <w:r>
        <w:rPr>
          <w:rFonts w:hint="eastAsia" w:ascii="宋体"/>
          <w:color w:val="auto"/>
          <w:sz w:val="24"/>
          <w:szCs w:val="24"/>
          <w:highlight w:val="none"/>
        </w:rPr>
        <w:t>对开标过程进行记录，并存档备查。</w:t>
      </w:r>
      <w:r>
        <w:rPr>
          <w:rFonts w:hint="eastAsia" w:ascii="宋体"/>
          <w:b/>
          <w:bCs/>
          <w:color w:val="auto"/>
          <w:sz w:val="24"/>
          <w:szCs w:val="24"/>
          <w:highlight w:val="none"/>
          <w:u w:val="single"/>
        </w:rPr>
        <w:t>投标人在开标记录上签字，投标人未签字且未提出异议的将被视为默认开标结果。</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41.4 招标人将上述符合要求的投标文件，送至评标委员会进行评审。</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 资格审查及评标细则</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42.1资格审查及评标均由招标人依法组建的评标委员会负责。</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42.2评标委员会的组成：方式</w:t>
      </w:r>
      <w:r>
        <w:rPr>
          <w:rFonts w:hint="eastAsia" w:ascii="宋体"/>
          <w:b/>
          <w:bCs/>
          <w:color w:val="auto"/>
          <w:sz w:val="24"/>
          <w:szCs w:val="24"/>
          <w:highlight w:val="none"/>
          <w:u w:val="single"/>
        </w:rPr>
        <w:t xml:space="preserve"> </w:t>
      </w:r>
      <w:r>
        <w:rPr>
          <w:rFonts w:hint="eastAsia" w:ascii="宋体"/>
          <w:b/>
          <w:bCs/>
          <w:color w:val="auto"/>
          <w:sz w:val="24"/>
          <w:szCs w:val="24"/>
          <w:highlight w:val="none"/>
          <w:u w:val="single"/>
          <w:lang w:val="en-US" w:eastAsia="zh-CN"/>
        </w:rPr>
        <w:t>一</w:t>
      </w:r>
      <w:r>
        <w:rPr>
          <w:rFonts w:hint="eastAsia" w:ascii="宋体"/>
          <w:b/>
          <w:bCs/>
          <w:color w:val="auto"/>
          <w:sz w:val="24"/>
          <w:szCs w:val="24"/>
          <w:highlight w:val="none"/>
          <w:u w:val="single"/>
        </w:rPr>
        <w:t xml:space="preserve"> </w:t>
      </w:r>
      <w:r>
        <w:rPr>
          <w:rFonts w:hint="eastAsia" w:ascii="宋体"/>
          <w:color w:val="auto"/>
          <w:sz w:val="24"/>
          <w:szCs w:val="24"/>
          <w:highlight w:val="none"/>
        </w:rPr>
        <w:t>。</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方式一：评标委员会为综合评标委员会，负责资格审查及评标工作。</w:t>
      </w:r>
    </w:p>
    <w:p>
      <w:pPr>
        <w:pStyle w:val="5"/>
        <w:tabs>
          <w:tab w:val="left" w:pos="7380"/>
        </w:tabs>
        <w:snapToGrid w:val="0"/>
        <w:spacing w:after="0" w:line="360" w:lineRule="auto"/>
        <w:rPr>
          <w:rFonts w:ascii="宋体"/>
          <w:strike/>
          <w:color w:val="auto"/>
          <w:sz w:val="24"/>
          <w:szCs w:val="24"/>
          <w:highlight w:val="none"/>
        </w:rPr>
      </w:pPr>
      <w:r>
        <w:rPr>
          <w:rFonts w:hint="eastAsia" w:ascii="宋体"/>
          <w:strike/>
          <w:color w:val="auto"/>
          <w:sz w:val="24"/>
          <w:szCs w:val="24"/>
          <w:highlight w:val="none"/>
        </w:rPr>
        <w:t>方式二：评标委员会由技术评审组和经济评审组组成。其中：资格审查及技术评审由技术评标组负责，经济评审由经济评审组负责。</w:t>
      </w:r>
    </w:p>
    <w:p>
      <w:pPr>
        <w:pStyle w:val="5"/>
        <w:tabs>
          <w:tab w:val="left" w:pos="7380"/>
        </w:tabs>
        <w:snapToGrid w:val="0"/>
        <w:spacing w:after="0" w:line="360" w:lineRule="auto"/>
        <w:ind w:firstLine="482" w:firstLineChars="200"/>
        <w:rPr>
          <w:rFonts w:hint="eastAsia" w:ascii="宋体" w:hAnsi="Calibri"/>
          <w:b/>
          <w:bCs/>
          <w:color w:val="auto"/>
          <w:sz w:val="24"/>
          <w:szCs w:val="24"/>
          <w:highlight w:val="none"/>
          <w:u w:val="single"/>
        </w:rPr>
      </w:pPr>
      <w:r>
        <w:rPr>
          <w:rFonts w:hint="eastAsia" w:ascii="宋体" w:hAnsi="Calibri"/>
          <w:b/>
          <w:bCs/>
          <w:color w:val="auto"/>
          <w:sz w:val="24"/>
          <w:szCs w:val="24"/>
          <w:highlight w:val="none"/>
          <w:u w:val="single"/>
          <w:lang w:val="en-US" w:eastAsia="zh-CN"/>
        </w:rPr>
        <w:t>42.3定标委员会的组成：</w:t>
      </w:r>
      <w:r>
        <w:rPr>
          <w:rFonts w:hint="eastAsia" w:ascii="宋体" w:hAnsi="Calibri"/>
          <w:b/>
          <w:bCs/>
          <w:color w:val="auto"/>
          <w:sz w:val="24"/>
          <w:szCs w:val="24"/>
          <w:highlight w:val="none"/>
          <w:u w:val="single"/>
        </w:rPr>
        <w:t>由招标人依法组建，人数为5名。</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43．投标人资格审查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43.2汇总资格审查情况，编写资格审查报告。</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43.3资格审查不合格的投标文件不参加下一阶段的</w:t>
      </w:r>
      <w:r>
        <w:rPr>
          <w:rFonts w:hint="eastAsia" w:ascii="宋体"/>
          <w:b/>
          <w:bCs/>
          <w:color w:val="auto"/>
          <w:sz w:val="24"/>
          <w:szCs w:val="24"/>
          <w:highlight w:val="none"/>
          <w:u w:val="single"/>
          <w:lang w:val="en-US" w:eastAsia="zh-CN"/>
        </w:rPr>
        <w:t>评审</w:t>
      </w:r>
      <w:r>
        <w:rPr>
          <w:rFonts w:hint="eastAsia" w:ascii="宋体"/>
          <w:color w:val="auto"/>
          <w:sz w:val="24"/>
          <w:szCs w:val="24"/>
          <w:highlight w:val="none"/>
        </w:rPr>
        <w:t>。</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43.5资审合格后，投标人的资格发生变化而不满足投标人合格条件，在发出中标通知书前，资格问题仍未解决的，招标人将取消其中标资格。</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43.6资格审查合格的投标人少于3名的</w:t>
      </w:r>
      <w:r>
        <w:rPr>
          <w:rFonts w:hint="eastAsia" w:ascii="宋体"/>
          <w:strike/>
          <w:color w:val="auto"/>
          <w:sz w:val="24"/>
          <w:szCs w:val="24"/>
          <w:highlight w:val="none"/>
        </w:rPr>
        <w:t>（当N个标段同时招标且不允许兼中时，资格审查合格的投标人少于N+2名）</w:t>
      </w:r>
      <w:r>
        <w:rPr>
          <w:rFonts w:hint="eastAsia" w:ascii="宋体"/>
          <w:color w:val="auto"/>
          <w:sz w:val="24"/>
          <w:szCs w:val="24"/>
          <w:highlight w:val="none"/>
        </w:rPr>
        <w:t>，则本项目招标失败</w:t>
      </w:r>
      <w:r>
        <w:rPr>
          <w:rFonts w:hint="eastAsia" w:ascii="宋体"/>
          <w:color w:val="auto"/>
          <w:sz w:val="24"/>
          <w:szCs w:val="24"/>
          <w:highlight w:val="none"/>
          <w:lang w:eastAsia="zh-CN"/>
        </w:rPr>
        <w:t>，由招标人依法重新招标</w:t>
      </w:r>
      <w:r>
        <w:rPr>
          <w:rFonts w:hint="eastAsia" w:ascii="宋体"/>
          <w:color w:val="auto"/>
          <w:sz w:val="24"/>
          <w:szCs w:val="24"/>
          <w:highlight w:val="none"/>
        </w:rPr>
        <w:t>。</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44．技术标评审</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44.1</w:t>
      </w:r>
      <w:r>
        <w:rPr>
          <w:rFonts w:hint="eastAsia" w:ascii="宋体" w:hAnsi="宋体"/>
          <w:color w:val="auto"/>
          <w:sz w:val="24"/>
          <w:szCs w:val="24"/>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w:t>
      </w:r>
      <w:r>
        <w:rPr>
          <w:rFonts w:hint="eastAsia" w:ascii="宋体" w:hAnsi="宋体"/>
          <w:color w:val="auto"/>
          <w:sz w:val="24"/>
          <w:szCs w:val="24"/>
          <w:highlight w:val="none"/>
          <w:lang w:eastAsia="zh-CN"/>
        </w:rPr>
        <w:t>本项目招标失败</w:t>
      </w:r>
      <w:r>
        <w:rPr>
          <w:rFonts w:hint="eastAsia" w:ascii="宋体" w:hAnsi="宋体"/>
          <w:strike/>
          <w:color w:val="auto"/>
          <w:sz w:val="24"/>
          <w:szCs w:val="24"/>
          <w:highlight w:val="none"/>
        </w:rPr>
        <w:t>（当N个标段同时招标且不允许兼中时，通过技术标有效性审查投标人</w:t>
      </w:r>
      <w:r>
        <w:rPr>
          <w:rFonts w:hint="eastAsia" w:ascii="宋体" w:hAnsi="宋体"/>
          <w:strike/>
          <w:color w:val="auto"/>
          <w:sz w:val="24"/>
          <w:szCs w:val="24"/>
          <w:highlight w:val="none"/>
          <w:lang w:eastAsia="zh-CN"/>
        </w:rPr>
        <w:t>应≥</w:t>
      </w:r>
      <w:r>
        <w:rPr>
          <w:rFonts w:hint="eastAsia" w:ascii="宋体" w:hAnsi="宋体"/>
          <w:strike/>
          <w:color w:val="auto"/>
          <w:sz w:val="24"/>
          <w:szCs w:val="24"/>
          <w:highlight w:val="none"/>
        </w:rPr>
        <w:t>N+2）</w:t>
      </w:r>
      <w:r>
        <w:rPr>
          <w:rFonts w:hint="eastAsia" w:ascii="宋体"/>
          <w:color w:val="auto"/>
          <w:sz w:val="24"/>
          <w:szCs w:val="24"/>
          <w:highlight w:val="none"/>
          <w:lang w:eastAsia="zh-CN"/>
        </w:rPr>
        <w:t>，由招标人依法重新招标</w:t>
      </w:r>
      <w:r>
        <w:rPr>
          <w:rFonts w:hint="eastAsia" w:ascii="宋体" w:hAnsi="宋体"/>
          <w:color w:val="auto"/>
          <w:sz w:val="24"/>
          <w:szCs w:val="24"/>
          <w:highlight w:val="none"/>
        </w:rPr>
        <w:t>。评委发现投标文件中含义不明确、对同类问题表述不一致、有明显文字和计算错误的，应当要求投标人作必要的澄清、说明后再判定投标人是否通过有效性审查，不得直接否决投标。</w:t>
      </w:r>
    </w:p>
    <w:p>
      <w:pPr>
        <w:pStyle w:val="5"/>
        <w:tabs>
          <w:tab w:val="left" w:pos="7380"/>
        </w:tabs>
        <w:snapToGrid w:val="0"/>
        <w:spacing w:after="0" w:line="360" w:lineRule="auto"/>
        <w:ind w:firstLine="480" w:firstLineChars="200"/>
        <w:rPr>
          <w:rFonts w:ascii="宋体"/>
          <w:strike/>
          <w:color w:val="auto"/>
          <w:sz w:val="24"/>
          <w:szCs w:val="24"/>
          <w:highlight w:val="none"/>
        </w:rPr>
      </w:pPr>
      <w:r>
        <w:rPr>
          <w:rFonts w:hint="eastAsia" w:ascii="宋体"/>
          <w:strike/>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经济标的算术校核。评标委员会对进行经济标有效性审查的投标文件投标报价按照就低不就高的原则进行算术校核，具体标准如下：</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45.</w:t>
      </w:r>
      <w:r>
        <w:rPr>
          <w:rFonts w:hint="eastAsia" w:ascii="宋体" w:hAnsi="宋体"/>
          <w:color w:val="auto"/>
          <w:sz w:val="24"/>
          <w:szCs w:val="24"/>
          <w:highlight w:val="none"/>
        </w:rPr>
        <w:t>1如果数字表示的金额和用文字表示的金额不一致时，应以文字表示的金额为准；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45.</w:t>
      </w:r>
      <w:r>
        <w:rPr>
          <w:rFonts w:hint="eastAsia" w:ascii="宋体" w:hAnsi="宋体"/>
          <w:color w:val="auto"/>
          <w:sz w:val="24"/>
          <w:szCs w:val="24"/>
          <w:highlight w:val="none"/>
        </w:rPr>
        <w:t>2经算术复核的投标人报价与其投标报价不一致时，按就低不就高原则确定其最终报价；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45.</w:t>
      </w:r>
      <w:r>
        <w:rPr>
          <w:rFonts w:hint="eastAsia" w:ascii="宋体" w:hAnsi="宋体"/>
          <w:color w:val="auto"/>
          <w:sz w:val="24"/>
          <w:szCs w:val="24"/>
          <w:highlight w:val="none"/>
        </w:rPr>
        <w:t>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pPr>
        <w:pStyle w:val="5"/>
        <w:tabs>
          <w:tab w:val="left" w:pos="7380"/>
        </w:tabs>
        <w:snapToGrid w:val="0"/>
        <w:spacing w:after="0"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ascii="宋体" w:hAnsi="宋体"/>
          <w:color w:val="auto"/>
          <w:sz w:val="24"/>
          <w:szCs w:val="24"/>
          <w:highlight w:val="none"/>
        </w:rPr>
        <w:t>8</w:t>
      </w:r>
      <w:r>
        <w:rPr>
          <w:rFonts w:hint="eastAsia" w:ascii="宋体" w:hAnsi="宋体"/>
          <w:color w:val="auto"/>
          <w:sz w:val="24"/>
          <w:szCs w:val="24"/>
          <w:highlight w:val="none"/>
        </w:rPr>
        <w:t>评标委员会按上述修正错误的原则及方法调整或修正</w:t>
      </w:r>
      <w:r>
        <w:rPr>
          <w:rFonts w:hint="eastAsia" w:ascii="宋体" w:hAnsi="宋体"/>
          <w:color w:val="auto"/>
          <w:sz w:val="24"/>
          <w:szCs w:val="24"/>
          <w:highlight w:val="none"/>
          <w:lang w:eastAsia="zh-CN"/>
        </w:rPr>
        <w:t>经济标</w:t>
      </w:r>
      <w:r>
        <w:rPr>
          <w:rFonts w:hint="eastAsia" w:ascii="宋体" w:hAnsi="宋体"/>
          <w:color w:val="auto"/>
          <w:sz w:val="24"/>
          <w:szCs w:val="24"/>
          <w:highlight w:val="none"/>
        </w:rPr>
        <w:t>投标文件的投标报价</w:t>
      </w:r>
      <w:r>
        <w:rPr>
          <w:rFonts w:hint="eastAsia" w:ascii="宋体" w:hAnsi="宋体"/>
          <w:color w:val="auto"/>
          <w:sz w:val="24"/>
          <w:szCs w:val="24"/>
          <w:highlight w:val="none"/>
          <w:lang w:eastAsia="zh-CN"/>
        </w:rPr>
        <w:t>。评标委员会应</w:t>
      </w:r>
      <w:r>
        <w:rPr>
          <w:rFonts w:hint="eastAsia" w:ascii="宋体" w:hAnsi="宋体"/>
          <w:color w:val="auto"/>
          <w:sz w:val="24"/>
          <w:szCs w:val="24"/>
          <w:highlight w:val="none"/>
        </w:rPr>
        <w:t>要求投标人以澄清形式进行核实和确认</w:t>
      </w:r>
      <w:r>
        <w:rPr>
          <w:rFonts w:hint="eastAsia" w:ascii="宋体" w:hAnsi="宋体"/>
          <w:color w:val="auto"/>
          <w:sz w:val="24"/>
          <w:szCs w:val="24"/>
          <w:highlight w:val="none"/>
          <w:lang w:eastAsia="zh-CN"/>
        </w:rPr>
        <w:t>调整或修正的经济标投标文件的投标报价，投标人应在评标委员会在评标系统发出要求澄清的通知起</w:t>
      </w:r>
      <w:r>
        <w:rPr>
          <w:rFonts w:hint="eastAsia" w:ascii="宋体" w:hAnsi="宋体"/>
          <w:color w:val="auto"/>
          <w:sz w:val="24"/>
          <w:szCs w:val="24"/>
          <w:highlight w:val="none"/>
          <w:lang w:val="en-US" w:eastAsia="zh-CN"/>
        </w:rPr>
        <w:t>120分钟内将核实和确认结果书面回复评标委员会，逾时不回复视作同意评标委员会调整或修正投标文件的投标报价。</w:t>
      </w:r>
      <w:r>
        <w:rPr>
          <w:rFonts w:hint="eastAsia" w:ascii="宋体" w:hAnsi="宋体"/>
          <w:color w:val="auto"/>
          <w:sz w:val="24"/>
          <w:szCs w:val="24"/>
          <w:highlight w:val="none"/>
        </w:rPr>
        <w:t>调整后的投标报价对投标人起约束作用。如果投标人</w:t>
      </w:r>
      <w:r>
        <w:rPr>
          <w:rFonts w:hint="eastAsia" w:ascii="宋体" w:hAnsi="宋体"/>
          <w:color w:val="auto"/>
          <w:sz w:val="24"/>
          <w:szCs w:val="24"/>
          <w:highlight w:val="none"/>
          <w:lang w:eastAsia="zh-CN"/>
        </w:rPr>
        <w:t>无正当理由</w:t>
      </w:r>
      <w:r>
        <w:rPr>
          <w:rFonts w:hint="eastAsia" w:ascii="宋体" w:hAnsi="宋体"/>
          <w:color w:val="auto"/>
          <w:sz w:val="24"/>
          <w:szCs w:val="24"/>
          <w:highlight w:val="none"/>
        </w:rPr>
        <w:t>不接受修正后的报价，则取消其投标资格，并且其投标保证金也将不予退还。</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w:t>
      </w:r>
      <w:r>
        <w:rPr>
          <w:rFonts w:hint="eastAsia" w:ascii="宋体"/>
          <w:color w:val="auto"/>
          <w:sz w:val="24"/>
          <w:szCs w:val="24"/>
          <w:highlight w:val="none"/>
          <w:lang w:val="en-US" w:eastAsia="zh-CN"/>
        </w:rPr>
        <w:t>6</w:t>
      </w:r>
      <w:r>
        <w:rPr>
          <w:rFonts w:hint="eastAsia" w:ascii="宋体"/>
          <w:color w:val="auto"/>
          <w:sz w:val="24"/>
          <w:szCs w:val="24"/>
          <w:highlight w:val="none"/>
        </w:rPr>
        <w:t>．经济标评审和得分汇总</w:t>
      </w:r>
    </w:p>
    <w:p>
      <w:pPr>
        <w:pStyle w:val="5"/>
        <w:tabs>
          <w:tab w:val="left" w:pos="7380"/>
        </w:tabs>
        <w:snapToGrid w:val="0"/>
        <w:spacing w:after="0" w:line="360" w:lineRule="auto"/>
        <w:ind w:firstLine="480" w:firstLineChars="200"/>
        <w:rPr>
          <w:rFonts w:hint="default" w:ascii="宋体"/>
          <w:color w:val="auto"/>
          <w:sz w:val="24"/>
          <w:szCs w:val="24"/>
          <w:highlight w:val="none"/>
          <w:lang w:val="en-US" w:eastAsia="zh-CN"/>
        </w:rPr>
      </w:pPr>
      <w:r>
        <w:rPr>
          <w:rFonts w:hint="eastAsia" w:ascii="宋体"/>
          <w:color w:val="auto"/>
          <w:sz w:val="24"/>
          <w:szCs w:val="24"/>
          <w:highlight w:val="none"/>
          <w:lang w:val="en-US" w:eastAsia="zh-CN"/>
        </w:rPr>
        <w:t>46.1</w:t>
      </w:r>
      <w:r>
        <w:rPr>
          <w:rFonts w:hint="eastAsia" w:ascii="宋体"/>
          <w:color w:val="auto"/>
          <w:sz w:val="24"/>
          <w:szCs w:val="24"/>
          <w:highlight w:val="none"/>
        </w:rPr>
        <w:t>若通过技术标有效性审查的投标人中所有投标报价均大于等于最高投标限价，则本项目招标失败，由招标人依法</w:t>
      </w:r>
      <w:r>
        <w:rPr>
          <w:rFonts w:hint="eastAsia" w:ascii="宋体"/>
          <w:color w:val="auto"/>
          <w:sz w:val="24"/>
          <w:szCs w:val="24"/>
          <w:highlight w:val="none"/>
          <w:lang w:eastAsia="zh-CN"/>
        </w:rPr>
        <w:t>重新招标</w:t>
      </w:r>
      <w:r>
        <w:rPr>
          <w:rFonts w:hint="eastAsia" w:ascii="宋体"/>
          <w:color w:val="auto"/>
          <w:sz w:val="24"/>
          <w:szCs w:val="24"/>
          <w:highlight w:val="none"/>
        </w:rPr>
        <w:t>。</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.2计算通过技术标有效性审查的投标人总得分。</w:t>
      </w:r>
      <w:r>
        <w:rPr>
          <w:rFonts w:hint="eastAsia" w:ascii="宋体" w:hAnsi="宋体"/>
          <w:b/>
          <w:bCs/>
          <w:color w:val="auto"/>
          <w:sz w:val="24"/>
          <w:szCs w:val="24"/>
          <w:highlight w:val="none"/>
          <w:u w:val="single"/>
        </w:rPr>
        <w:t>投标人总得分=项目管理机构能力评审得分（满分</w:t>
      </w:r>
      <w:r>
        <w:rPr>
          <w:rFonts w:hint="eastAsia" w:ascii="宋体" w:hAnsi="宋体"/>
          <w:b/>
          <w:bCs/>
          <w:color w:val="auto"/>
          <w:sz w:val="24"/>
          <w:szCs w:val="24"/>
          <w:highlight w:val="none"/>
          <w:u w:val="single"/>
          <w:lang w:val="en-US" w:eastAsia="zh-CN"/>
        </w:rPr>
        <w:t>40</w:t>
      </w:r>
      <w:r>
        <w:rPr>
          <w:rFonts w:hint="eastAsia" w:ascii="宋体" w:hAnsi="宋体"/>
          <w:b/>
          <w:bCs/>
          <w:color w:val="auto"/>
          <w:sz w:val="24"/>
          <w:szCs w:val="24"/>
          <w:highlight w:val="none"/>
          <w:u w:val="single"/>
        </w:rPr>
        <w:t>分）+企业资信评审得分（</w:t>
      </w:r>
      <w:r>
        <w:rPr>
          <w:rFonts w:hint="eastAsia" w:ascii="宋体" w:hAnsi="宋体"/>
          <w:b/>
          <w:bCs/>
          <w:color w:val="auto"/>
          <w:sz w:val="24"/>
          <w:szCs w:val="24"/>
          <w:highlight w:val="none"/>
          <w:u w:val="single"/>
          <w:lang w:val="en-US" w:eastAsia="zh-CN"/>
        </w:rPr>
        <w:t>2</w:t>
      </w:r>
      <w:r>
        <w:rPr>
          <w:rFonts w:hint="eastAsia" w:ascii="宋体" w:hAnsi="宋体"/>
          <w:b/>
          <w:bCs/>
          <w:color w:val="auto"/>
          <w:sz w:val="24"/>
          <w:szCs w:val="24"/>
          <w:highlight w:val="none"/>
          <w:u w:val="single"/>
        </w:rPr>
        <w:t>0分）</w:t>
      </w:r>
      <w:r>
        <w:rPr>
          <w:rFonts w:hint="eastAsia" w:ascii="宋体" w:hAnsi="宋体"/>
          <w:b/>
          <w:bCs/>
          <w:color w:val="auto"/>
          <w:sz w:val="24"/>
          <w:szCs w:val="24"/>
          <w:highlight w:val="none"/>
          <w:u w:val="single"/>
          <w:lang w:val="en-US" w:eastAsia="zh-CN"/>
        </w:rPr>
        <w:t>+施工组织设计（40分）</w:t>
      </w:r>
      <w:r>
        <w:rPr>
          <w:rFonts w:hint="eastAsia" w:ascii="宋体" w:hAnsi="宋体"/>
          <w:b/>
          <w:bCs/>
          <w:color w:val="auto"/>
          <w:sz w:val="24"/>
          <w:szCs w:val="24"/>
          <w:highlight w:val="none"/>
          <w:u w:val="single"/>
        </w:rPr>
        <w:t>。</w:t>
      </w:r>
      <w:r>
        <w:rPr>
          <w:rFonts w:hint="eastAsia" w:ascii="宋体" w:hAnsi="宋体"/>
          <w:color w:val="auto"/>
          <w:sz w:val="24"/>
          <w:szCs w:val="24"/>
          <w:highlight w:val="none"/>
        </w:rPr>
        <w:t>相关部分得分权重按投标须知前附表的规定执行。总得分四舍五入保留两位小数。</w:t>
      </w:r>
    </w:p>
    <w:p>
      <w:pPr>
        <w:spacing w:line="360" w:lineRule="auto"/>
        <w:ind w:firstLine="482" w:firstLineChars="200"/>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rPr>
        <w:t>4</w:t>
      </w:r>
      <w:r>
        <w:rPr>
          <w:rFonts w:hint="eastAsia" w:ascii="宋体" w:hAnsi="宋体"/>
          <w:b/>
          <w:bCs/>
          <w:color w:val="auto"/>
          <w:sz w:val="24"/>
          <w:szCs w:val="24"/>
          <w:highlight w:val="none"/>
          <w:u w:val="single"/>
          <w:lang w:val="en-US" w:eastAsia="zh-CN"/>
        </w:rPr>
        <w:t>6</w:t>
      </w:r>
      <w:r>
        <w:rPr>
          <w:rFonts w:hint="eastAsia" w:ascii="宋体" w:hAnsi="宋体"/>
          <w:b/>
          <w:bCs/>
          <w:color w:val="auto"/>
          <w:sz w:val="24"/>
          <w:szCs w:val="24"/>
          <w:highlight w:val="none"/>
          <w:u w:val="single"/>
        </w:rPr>
        <w:t>.3评标委员会按照招标文件规定的评标程序对投标人进行评审。若通过</w:t>
      </w:r>
      <w:r>
        <w:rPr>
          <w:rFonts w:hint="eastAsia" w:ascii="宋体" w:hAnsi="宋体"/>
          <w:b/>
          <w:bCs/>
          <w:color w:val="auto"/>
          <w:sz w:val="24"/>
          <w:szCs w:val="24"/>
          <w:highlight w:val="none"/>
          <w:u w:val="single"/>
          <w:lang w:val="en-US" w:eastAsia="zh-CN"/>
        </w:rPr>
        <w:t>资格审查、</w:t>
      </w:r>
      <w:r>
        <w:rPr>
          <w:rFonts w:hint="eastAsia" w:ascii="宋体" w:hAnsi="宋体"/>
          <w:b/>
          <w:bCs/>
          <w:color w:val="auto"/>
          <w:sz w:val="24"/>
          <w:szCs w:val="24"/>
          <w:highlight w:val="none"/>
          <w:u w:val="single"/>
        </w:rPr>
        <w:t>技术标及经济标有效性审查的合格投标人大于等于3家且少于等于20家的，则推荐全部合格的投标人</w:t>
      </w:r>
      <w:r>
        <w:rPr>
          <w:rFonts w:hint="eastAsia" w:ascii="宋体" w:hAnsi="宋体"/>
          <w:b/>
          <w:bCs/>
          <w:color w:val="auto"/>
          <w:sz w:val="24"/>
          <w:szCs w:val="24"/>
          <w:highlight w:val="none"/>
          <w:u w:val="single"/>
          <w:lang w:val="en-US" w:eastAsia="zh-CN"/>
        </w:rPr>
        <w:t>为合格中标候选人（</w:t>
      </w:r>
      <w:r>
        <w:rPr>
          <w:rFonts w:hint="eastAsia" w:ascii="宋体" w:hAnsi="宋体"/>
          <w:b/>
          <w:bCs/>
          <w:color w:val="auto"/>
          <w:sz w:val="24"/>
          <w:szCs w:val="24"/>
          <w:highlight w:val="none"/>
          <w:u w:val="single"/>
        </w:rPr>
        <w:t>不排序</w:t>
      </w:r>
      <w:r>
        <w:rPr>
          <w:rFonts w:hint="eastAsia" w:ascii="宋体" w:hAnsi="宋体"/>
          <w:b/>
          <w:bCs/>
          <w:color w:val="auto"/>
          <w:sz w:val="24"/>
          <w:szCs w:val="24"/>
          <w:highlight w:val="none"/>
          <w:u w:val="single"/>
          <w:lang w:val="en-US" w:eastAsia="zh-CN"/>
        </w:rPr>
        <w:t>）</w:t>
      </w:r>
      <w:r>
        <w:rPr>
          <w:rFonts w:hint="eastAsia" w:ascii="宋体" w:hAnsi="宋体"/>
          <w:b/>
          <w:bCs/>
          <w:color w:val="auto"/>
          <w:sz w:val="24"/>
          <w:szCs w:val="24"/>
          <w:highlight w:val="none"/>
          <w:u w:val="single"/>
        </w:rPr>
        <w:t>进入定标阶段。若通过</w:t>
      </w:r>
      <w:r>
        <w:rPr>
          <w:rFonts w:hint="eastAsia" w:ascii="宋体" w:hAnsi="宋体"/>
          <w:b/>
          <w:bCs/>
          <w:color w:val="auto"/>
          <w:sz w:val="24"/>
          <w:szCs w:val="24"/>
          <w:highlight w:val="none"/>
          <w:u w:val="single"/>
          <w:lang w:val="en-US" w:eastAsia="zh-CN"/>
        </w:rPr>
        <w:t>资格审查、</w:t>
      </w:r>
      <w:r>
        <w:rPr>
          <w:rFonts w:hint="eastAsia" w:ascii="宋体" w:hAnsi="宋体"/>
          <w:b/>
          <w:bCs/>
          <w:color w:val="auto"/>
          <w:sz w:val="24"/>
          <w:szCs w:val="24"/>
          <w:highlight w:val="none"/>
          <w:u w:val="single"/>
        </w:rPr>
        <w:t>技术标及经济标有效性审查的合格投标人大于20家的，</w:t>
      </w:r>
      <w:r>
        <w:rPr>
          <w:rFonts w:hint="eastAsia" w:ascii="宋体" w:hAnsi="宋体"/>
          <w:b/>
          <w:bCs/>
          <w:color w:val="auto"/>
          <w:sz w:val="24"/>
          <w:szCs w:val="24"/>
          <w:highlight w:val="none"/>
          <w:u w:val="single"/>
          <w:lang w:val="en-US" w:eastAsia="zh-CN"/>
        </w:rPr>
        <w:t>由评标委员会根据《附表四：技术标详细审查评分表》的标准对通过资格审查、</w:t>
      </w:r>
      <w:r>
        <w:rPr>
          <w:rFonts w:hint="eastAsia" w:ascii="宋体" w:hAnsi="宋体"/>
          <w:b/>
          <w:bCs/>
          <w:color w:val="auto"/>
          <w:sz w:val="24"/>
          <w:szCs w:val="24"/>
          <w:highlight w:val="none"/>
          <w:u w:val="single"/>
        </w:rPr>
        <w:t>技术标及经济标有效性审查的合格投标人</w:t>
      </w:r>
      <w:r>
        <w:rPr>
          <w:rFonts w:hint="eastAsia" w:ascii="宋体" w:hAnsi="宋体"/>
          <w:b/>
          <w:bCs/>
          <w:color w:val="auto"/>
          <w:sz w:val="24"/>
          <w:szCs w:val="24"/>
          <w:highlight w:val="none"/>
          <w:u w:val="single"/>
          <w:lang w:val="en-US" w:eastAsia="zh-CN"/>
        </w:rPr>
        <w:t>的技术标投标文件进行详细审查，评出技术标得分（投标人总得分=项目管理机构能力评审得分（满分40分）+企业资信评审得分（满分20分）+施工组织设计（满分40分））。按投标人总得分由高至低推荐排前20名的合格中标候选人【不排序，按统一社会信用代码后4位（除校验码外）大小排位】进入定标阶段</w:t>
      </w:r>
      <w:r>
        <w:rPr>
          <w:rFonts w:hint="eastAsia" w:ascii="宋体" w:hAnsi="宋体"/>
          <w:b/>
          <w:bCs/>
          <w:color w:val="auto"/>
          <w:sz w:val="24"/>
          <w:szCs w:val="24"/>
          <w:highlight w:val="none"/>
          <w:u w:val="single"/>
          <w:lang w:eastAsia="zh-CN"/>
        </w:rPr>
        <w:t>。</w:t>
      </w:r>
    </w:p>
    <w:p>
      <w:pPr>
        <w:spacing w:line="360" w:lineRule="auto"/>
        <w:ind w:firstLine="482" w:firstLineChars="200"/>
        <w:rPr>
          <w:rFonts w:hint="eastAsia" w:ascii="宋体" w:hAnsi="宋体"/>
          <w:b/>
          <w:bCs/>
          <w:color w:val="auto"/>
          <w:sz w:val="24"/>
          <w:szCs w:val="24"/>
          <w:highlight w:val="none"/>
          <w:u w:val="single"/>
          <w:lang w:val="en-US" w:eastAsia="zh-CN"/>
        </w:rPr>
      </w:pPr>
      <w:r>
        <w:rPr>
          <w:rFonts w:hint="eastAsia" w:ascii="宋体" w:hAnsi="宋体"/>
          <w:b/>
          <w:bCs/>
          <w:color w:val="auto"/>
          <w:sz w:val="24"/>
          <w:szCs w:val="24"/>
          <w:highlight w:val="none"/>
          <w:u w:val="single"/>
        </w:rPr>
        <w:t>总得分相同的投标文件，以施工组织设计部分得分较高的排前；总得分与施工组织设计部分得分均相同的投标文件，则按名次并列计算。若名次排列出现并列，则占用下一名次(如：第一名分数均相同的投标人有N个，则该N个投标人并列为第一名，下一名按第N+1名计算，</w:t>
      </w:r>
      <w:r>
        <w:rPr>
          <w:rFonts w:hint="eastAsia" w:ascii="宋体" w:hAnsi="宋体"/>
          <w:b/>
          <w:bCs/>
          <w:color w:val="auto"/>
          <w:sz w:val="24"/>
          <w:szCs w:val="24"/>
          <w:highlight w:val="none"/>
          <w:u w:val="single"/>
          <w:lang w:eastAsia="zh-CN"/>
        </w:rPr>
        <w:t>以此类推</w:t>
      </w:r>
      <w:r>
        <w:rPr>
          <w:rFonts w:hint="eastAsia" w:ascii="宋体" w:hAnsi="宋体"/>
          <w:b/>
          <w:bCs/>
          <w:color w:val="auto"/>
          <w:sz w:val="24"/>
          <w:szCs w:val="24"/>
          <w:highlight w:val="none"/>
          <w:u w:val="single"/>
        </w:rPr>
        <w:t>）。如排名第20名的投标人有N个，则这N个投标人都推荐进入定标阶段</w:t>
      </w:r>
      <w:r>
        <w:rPr>
          <w:rFonts w:hint="eastAsia" w:ascii="宋体" w:hAnsi="宋体"/>
          <w:b/>
          <w:bCs/>
          <w:color w:val="auto"/>
          <w:sz w:val="24"/>
          <w:szCs w:val="24"/>
          <w:highlight w:val="none"/>
          <w:u w:val="single"/>
          <w:lang w:val="en-US" w:eastAsia="zh-CN"/>
        </w:rPr>
        <w:t>。</w:t>
      </w:r>
    </w:p>
    <w:p>
      <w:pPr>
        <w:pStyle w:val="5"/>
        <w:tabs>
          <w:tab w:val="left" w:pos="7380"/>
        </w:tabs>
        <w:snapToGrid w:val="0"/>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.经济标的有效性审查</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.1</w:t>
      </w:r>
      <w:r>
        <w:rPr>
          <w:rFonts w:hint="eastAsia" w:ascii="宋体" w:hAnsi="宋体"/>
          <w:b/>
          <w:bCs/>
          <w:color w:val="auto"/>
          <w:sz w:val="24"/>
          <w:szCs w:val="24"/>
          <w:highlight w:val="none"/>
          <w:u w:val="single"/>
        </w:rPr>
        <w:t>经济标的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r>
        <w:rPr>
          <w:rFonts w:hint="eastAsia" w:ascii="宋体" w:hAnsi="宋体"/>
          <w:b/>
          <w:bCs/>
          <w:color w:val="auto"/>
          <w:sz w:val="24"/>
          <w:szCs w:val="24"/>
          <w:highlight w:val="none"/>
          <w:u w:val="single"/>
          <w:lang w:eastAsia="zh-CN"/>
        </w:rPr>
        <w:t>属于经济标算术校核范围的不得作为否决投标的情形</w:t>
      </w:r>
      <w:r>
        <w:rPr>
          <w:rFonts w:hint="eastAsia" w:ascii="宋体" w:hAnsi="宋体" w:cs="Times New Roman"/>
          <w:color w:val="auto"/>
          <w:sz w:val="24"/>
          <w:szCs w:val="24"/>
          <w:highlight w:val="none"/>
          <w:lang w:eastAsia="zh-CN"/>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48</w:t>
      </w:r>
      <w:r>
        <w:rPr>
          <w:rFonts w:hint="eastAsia" w:ascii="宋体" w:hAnsi="宋体"/>
          <w:color w:val="auto"/>
          <w:sz w:val="24"/>
          <w:szCs w:val="24"/>
          <w:highlight w:val="none"/>
        </w:rPr>
        <w:t>.</w:t>
      </w:r>
      <w:r>
        <w:rPr>
          <w:rFonts w:hint="eastAsia" w:ascii="宋体" w:hAnsi="宋体" w:eastAsia="宋体" w:cs="Times New Roman"/>
          <w:b/>
          <w:bCs/>
          <w:color w:val="auto"/>
          <w:sz w:val="24"/>
          <w:szCs w:val="24"/>
          <w:highlight w:val="none"/>
          <w:u w:val="single"/>
        </w:rPr>
        <w:t>评标委员会按只有通过有效性审查的投标人的投标文件方可进入下一阶段评审的评审原则，根据有效性审查结果，取消被否决投标的投标人的</w:t>
      </w:r>
      <w:r>
        <w:rPr>
          <w:rFonts w:hint="eastAsia" w:ascii="宋体" w:hAnsi="宋体" w:eastAsia="宋体" w:cs="Times New Roman"/>
          <w:b/>
          <w:bCs/>
          <w:color w:val="auto"/>
          <w:sz w:val="24"/>
          <w:szCs w:val="24"/>
          <w:highlight w:val="none"/>
          <w:u w:val="single"/>
          <w:lang w:val="en-US" w:eastAsia="zh-CN"/>
        </w:rPr>
        <w:t>推荐为合格中标候选人的资格</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w:t>
      </w:r>
      <w:r>
        <w:rPr>
          <w:rFonts w:hint="eastAsia" w:ascii="宋体" w:hAnsi="宋体" w:eastAsia="宋体" w:cs="Times New Roman"/>
          <w:b/>
          <w:bCs/>
          <w:color w:val="auto"/>
          <w:sz w:val="24"/>
          <w:szCs w:val="24"/>
          <w:highlight w:val="none"/>
          <w:u w:val="single"/>
        </w:rPr>
        <w:t>评标委员会应在通过投标文件经济标有效性审查的投标人中，按</w:t>
      </w:r>
      <w:r>
        <w:rPr>
          <w:rFonts w:hint="eastAsia" w:ascii="宋体" w:hAnsi="宋体" w:eastAsia="宋体" w:cs="Times New Roman"/>
          <w:b/>
          <w:bCs/>
          <w:color w:val="auto"/>
          <w:sz w:val="24"/>
          <w:szCs w:val="24"/>
          <w:highlight w:val="none"/>
          <w:u w:val="single"/>
          <w:lang w:val="en-US" w:eastAsia="zh-CN"/>
        </w:rPr>
        <w:t>第一章投标须知“一、投标须知前附表”第19项的规定推荐合格中标候选人</w:t>
      </w:r>
      <w:r>
        <w:rPr>
          <w:rFonts w:hint="eastAsia" w:ascii="宋体" w:hAnsi="宋体" w:eastAsia="宋体" w:cs="Times New Roman"/>
          <w:b/>
          <w:bCs/>
          <w:color w:val="auto"/>
          <w:sz w:val="24"/>
          <w:szCs w:val="24"/>
          <w:highlight w:val="none"/>
          <w:u w:val="single"/>
        </w:rPr>
        <w:t>,并编制评标报告</w:t>
      </w:r>
      <w:r>
        <w:rPr>
          <w:rFonts w:hint="eastAsia" w:ascii="宋体" w:hAnsi="宋体"/>
          <w:color w:val="auto"/>
          <w:sz w:val="24"/>
          <w:szCs w:val="24"/>
          <w:highlight w:val="none"/>
        </w:rPr>
        <w:t>。</w:t>
      </w:r>
    </w:p>
    <w:p>
      <w:pPr>
        <w:spacing w:line="360"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50</w:t>
      </w:r>
      <w:r>
        <w:rPr>
          <w:rFonts w:hint="eastAsia" w:ascii="宋体" w:hAnsi="宋体"/>
          <w:color w:val="auto"/>
          <w:sz w:val="24"/>
          <w:szCs w:val="24"/>
          <w:highlight w:val="none"/>
        </w:rPr>
        <w:t>.</w:t>
      </w:r>
      <w:r>
        <w:rPr>
          <w:rFonts w:hint="eastAsia" w:ascii="宋体" w:hAnsi="宋体" w:eastAsia="宋体" w:cs="Times New Roman"/>
          <w:b/>
          <w:bCs/>
          <w:color w:val="auto"/>
          <w:sz w:val="24"/>
          <w:szCs w:val="24"/>
          <w:highlight w:val="none"/>
          <w:u w:val="single"/>
        </w:rPr>
        <w:t>若通过经济标有效性审查的投标人不足三家，则本项目招标失败，由招标人依法重新招标</w:t>
      </w:r>
      <w:r>
        <w:rPr>
          <w:rFonts w:hint="eastAsia" w:ascii="宋体" w:hAnsi="宋体"/>
          <w:color w:val="auto"/>
          <w:sz w:val="24"/>
          <w:szCs w:val="24"/>
          <w:highlight w:val="none"/>
          <w:lang w:eastAsia="zh-CN"/>
        </w:rPr>
        <w:t>。</w:t>
      </w:r>
    </w:p>
    <w:p>
      <w:pPr>
        <w:pStyle w:val="10"/>
        <w:spacing w:line="360" w:lineRule="auto"/>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eastAsia="zh-CN"/>
        </w:rPr>
        <w:t>5</w:t>
      </w:r>
      <w:r>
        <w:rPr>
          <w:rFonts w:hint="eastAsia" w:ascii="宋体" w:hAnsi="宋体"/>
          <w:b/>
          <w:bCs/>
          <w:color w:val="auto"/>
          <w:sz w:val="24"/>
          <w:szCs w:val="24"/>
          <w:highlight w:val="none"/>
          <w:u w:val="single"/>
          <w:lang w:val="en-US" w:eastAsia="zh-CN"/>
        </w:rPr>
        <w:t>1.</w:t>
      </w:r>
      <w:r>
        <w:rPr>
          <w:rFonts w:hint="eastAsia" w:ascii="宋体" w:hAnsi="宋体"/>
          <w:b/>
          <w:bCs/>
          <w:color w:val="auto"/>
          <w:sz w:val="24"/>
          <w:szCs w:val="24"/>
          <w:highlight w:val="none"/>
          <w:u w:val="single"/>
          <w:lang w:eastAsia="zh-CN"/>
        </w:rPr>
        <w:t>定标</w:t>
      </w:r>
    </w:p>
    <w:p>
      <w:pPr>
        <w:pStyle w:val="10"/>
        <w:spacing w:line="360" w:lineRule="auto"/>
        <w:rPr>
          <w:rFonts w:hint="eastAsia" w:ascii="宋体" w:hAnsi="宋体"/>
          <w:b/>
          <w:bCs/>
          <w:color w:val="auto"/>
          <w:sz w:val="24"/>
          <w:szCs w:val="24"/>
          <w:highlight w:val="none"/>
          <w:u w:val="single"/>
          <w:lang w:val="en-US" w:eastAsia="zh-CN"/>
        </w:rPr>
      </w:pPr>
      <w:r>
        <w:rPr>
          <w:rFonts w:hint="eastAsia" w:ascii="宋体" w:hAnsi="宋体"/>
          <w:b/>
          <w:bCs/>
          <w:color w:val="auto"/>
          <w:sz w:val="24"/>
          <w:szCs w:val="24"/>
          <w:highlight w:val="none"/>
          <w:u w:val="single"/>
          <w:lang w:eastAsia="zh-CN"/>
        </w:rPr>
        <w:t>5</w:t>
      </w:r>
      <w:r>
        <w:rPr>
          <w:rFonts w:hint="eastAsia" w:ascii="宋体" w:hAnsi="宋体"/>
          <w:b/>
          <w:bCs/>
          <w:color w:val="auto"/>
          <w:sz w:val="24"/>
          <w:szCs w:val="24"/>
          <w:highlight w:val="none"/>
          <w:u w:val="single"/>
          <w:lang w:val="en-US" w:eastAsia="zh-CN"/>
        </w:rPr>
        <w:t>1</w:t>
      </w:r>
      <w:r>
        <w:rPr>
          <w:rFonts w:hint="eastAsia" w:ascii="宋体" w:hAnsi="宋体"/>
          <w:b/>
          <w:bCs/>
          <w:color w:val="auto"/>
          <w:sz w:val="24"/>
          <w:szCs w:val="24"/>
          <w:highlight w:val="none"/>
          <w:u w:val="single"/>
          <w:lang w:eastAsia="zh-CN"/>
        </w:rPr>
        <w:t>.</w:t>
      </w:r>
      <w:r>
        <w:rPr>
          <w:rFonts w:hint="eastAsia" w:ascii="宋体" w:hAnsi="宋体"/>
          <w:b/>
          <w:bCs/>
          <w:color w:val="auto"/>
          <w:sz w:val="24"/>
          <w:szCs w:val="24"/>
          <w:highlight w:val="none"/>
          <w:u w:val="single"/>
          <w:lang w:val="en-US" w:eastAsia="zh-CN"/>
        </w:rPr>
        <w:t>1</w:t>
      </w:r>
      <w:r>
        <w:rPr>
          <w:rFonts w:hint="eastAsia" w:ascii="宋体" w:hAnsi="宋体"/>
          <w:b/>
          <w:bCs/>
          <w:color w:val="auto"/>
          <w:sz w:val="24"/>
          <w:szCs w:val="24"/>
          <w:highlight w:val="none"/>
          <w:u w:val="single"/>
          <w:lang w:eastAsia="zh-CN"/>
        </w:rPr>
        <w:t>评标结果公示结束后，招标人一般在5个工作日内召开定标会议确定中标人。招标人在广州交易集团有限公司（广州公共资源交易中心）组织定标工作，选定中标人，并标明排序。</w:t>
      </w:r>
    </w:p>
    <w:p>
      <w:pPr>
        <w:pStyle w:val="10"/>
        <w:spacing w:line="360" w:lineRule="auto"/>
        <w:rPr>
          <w:rFonts w:hint="eastAsia" w:ascii="宋体" w:hAnsi="宋体"/>
          <w:b/>
          <w:bCs/>
          <w:color w:val="auto"/>
          <w:sz w:val="24"/>
          <w:szCs w:val="24"/>
          <w:highlight w:val="none"/>
          <w:u w:val="single"/>
          <w:lang w:val="en-US" w:eastAsia="zh-CN"/>
        </w:rPr>
      </w:pPr>
      <w:r>
        <w:rPr>
          <w:rFonts w:hint="eastAsia" w:ascii="宋体" w:hAnsi="宋体"/>
          <w:b/>
          <w:bCs/>
          <w:color w:val="auto"/>
          <w:sz w:val="24"/>
          <w:szCs w:val="24"/>
          <w:highlight w:val="none"/>
          <w:u w:val="single"/>
          <w:lang w:eastAsia="zh-CN"/>
        </w:rPr>
        <w:t>5</w:t>
      </w:r>
      <w:r>
        <w:rPr>
          <w:rFonts w:hint="eastAsia" w:ascii="宋体" w:hAnsi="宋体"/>
          <w:b/>
          <w:bCs/>
          <w:color w:val="auto"/>
          <w:sz w:val="24"/>
          <w:szCs w:val="24"/>
          <w:highlight w:val="none"/>
          <w:u w:val="single"/>
          <w:lang w:val="en-US" w:eastAsia="zh-CN"/>
        </w:rPr>
        <w:t>1</w:t>
      </w:r>
      <w:r>
        <w:rPr>
          <w:rFonts w:hint="eastAsia" w:ascii="宋体" w:hAnsi="宋体"/>
          <w:b/>
          <w:bCs/>
          <w:color w:val="auto"/>
          <w:sz w:val="24"/>
          <w:szCs w:val="24"/>
          <w:highlight w:val="none"/>
          <w:u w:val="single"/>
          <w:lang w:eastAsia="zh-CN"/>
        </w:rPr>
        <w:t>.</w:t>
      </w:r>
      <w:r>
        <w:rPr>
          <w:rFonts w:hint="eastAsia" w:ascii="宋体" w:hAnsi="宋体"/>
          <w:b/>
          <w:bCs/>
          <w:color w:val="auto"/>
          <w:sz w:val="24"/>
          <w:szCs w:val="24"/>
          <w:highlight w:val="none"/>
          <w:u w:val="single"/>
          <w:lang w:val="en-US" w:eastAsia="zh-CN"/>
        </w:rPr>
        <w:t>2监督小组：招标人依据《广州市交通运输局关于印发广州市交通工程建设项目评标定标分离操作指引（试行）的通知》（穗交运函〔2025〕17号文）组建监督小组。</w:t>
      </w:r>
    </w:p>
    <w:p>
      <w:pPr>
        <w:pStyle w:val="10"/>
        <w:spacing w:line="360" w:lineRule="auto"/>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eastAsia="zh-CN"/>
        </w:rPr>
        <w:t>5</w:t>
      </w:r>
      <w:r>
        <w:rPr>
          <w:rFonts w:hint="eastAsia" w:ascii="宋体" w:hAnsi="宋体"/>
          <w:b/>
          <w:bCs/>
          <w:color w:val="auto"/>
          <w:sz w:val="24"/>
          <w:szCs w:val="24"/>
          <w:highlight w:val="none"/>
          <w:u w:val="single"/>
          <w:lang w:val="en-US" w:eastAsia="zh-CN"/>
        </w:rPr>
        <w:t>1</w:t>
      </w:r>
      <w:r>
        <w:rPr>
          <w:rFonts w:hint="eastAsia" w:ascii="宋体" w:hAnsi="宋体"/>
          <w:b/>
          <w:bCs/>
          <w:color w:val="auto"/>
          <w:sz w:val="24"/>
          <w:szCs w:val="24"/>
          <w:highlight w:val="none"/>
          <w:u w:val="single"/>
          <w:lang w:eastAsia="zh-CN"/>
        </w:rPr>
        <w:t>.</w:t>
      </w:r>
      <w:r>
        <w:rPr>
          <w:rFonts w:hint="eastAsia" w:ascii="宋体" w:hAnsi="宋体"/>
          <w:b/>
          <w:bCs/>
          <w:color w:val="auto"/>
          <w:sz w:val="24"/>
          <w:szCs w:val="24"/>
          <w:highlight w:val="none"/>
          <w:u w:val="single"/>
          <w:lang w:val="en-US" w:eastAsia="zh-CN"/>
        </w:rPr>
        <w:t>3</w:t>
      </w:r>
      <w:r>
        <w:rPr>
          <w:rFonts w:hint="eastAsia" w:ascii="宋体" w:hAnsi="宋体"/>
          <w:b/>
          <w:bCs/>
          <w:color w:val="auto"/>
          <w:sz w:val="24"/>
          <w:szCs w:val="24"/>
          <w:highlight w:val="none"/>
          <w:u w:val="single"/>
          <w:lang w:eastAsia="zh-CN"/>
        </w:rPr>
        <w:t>定标规则及程序</w:t>
      </w:r>
    </w:p>
    <w:p>
      <w:pPr>
        <w:pStyle w:val="10"/>
        <w:spacing w:line="360" w:lineRule="auto"/>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eastAsia="zh-CN"/>
        </w:rPr>
        <w:t>5</w:t>
      </w:r>
      <w:r>
        <w:rPr>
          <w:rFonts w:hint="eastAsia" w:ascii="宋体" w:hAnsi="宋体"/>
          <w:b/>
          <w:bCs/>
          <w:color w:val="auto"/>
          <w:sz w:val="24"/>
          <w:szCs w:val="24"/>
          <w:highlight w:val="none"/>
          <w:u w:val="single"/>
          <w:lang w:val="en-US" w:eastAsia="zh-CN"/>
        </w:rPr>
        <w:t>1</w:t>
      </w:r>
      <w:r>
        <w:rPr>
          <w:rFonts w:hint="eastAsia" w:ascii="宋体" w:hAnsi="宋体"/>
          <w:b/>
          <w:bCs/>
          <w:color w:val="auto"/>
          <w:sz w:val="24"/>
          <w:szCs w:val="24"/>
          <w:highlight w:val="none"/>
          <w:u w:val="single"/>
          <w:lang w:eastAsia="zh-CN"/>
        </w:rPr>
        <w:t>.</w:t>
      </w:r>
      <w:r>
        <w:rPr>
          <w:rFonts w:hint="eastAsia" w:ascii="宋体" w:hAnsi="宋体"/>
          <w:b/>
          <w:bCs/>
          <w:color w:val="auto"/>
          <w:sz w:val="24"/>
          <w:szCs w:val="24"/>
          <w:highlight w:val="none"/>
          <w:u w:val="single"/>
          <w:lang w:val="en-US" w:eastAsia="zh-CN"/>
        </w:rPr>
        <w:t>3</w:t>
      </w:r>
      <w:r>
        <w:rPr>
          <w:rFonts w:hint="eastAsia" w:ascii="宋体" w:hAnsi="宋体"/>
          <w:b/>
          <w:bCs/>
          <w:color w:val="auto"/>
          <w:sz w:val="24"/>
          <w:szCs w:val="24"/>
          <w:highlight w:val="none"/>
          <w:u w:val="single"/>
          <w:lang w:eastAsia="zh-CN"/>
        </w:rPr>
        <w:t>.1本项目采用评分法（答辩因素+投标价格因素）。</w:t>
      </w:r>
    </w:p>
    <w:p>
      <w:pPr>
        <w:pStyle w:val="10"/>
        <w:spacing w:line="360" w:lineRule="auto"/>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eastAsia="zh-CN"/>
        </w:rPr>
        <w:t>5</w:t>
      </w:r>
      <w:r>
        <w:rPr>
          <w:rFonts w:hint="eastAsia" w:ascii="宋体" w:hAnsi="宋体"/>
          <w:b/>
          <w:bCs/>
          <w:color w:val="auto"/>
          <w:sz w:val="24"/>
          <w:szCs w:val="24"/>
          <w:highlight w:val="none"/>
          <w:u w:val="single"/>
          <w:lang w:val="en-US" w:eastAsia="zh-CN"/>
        </w:rPr>
        <w:t>1</w:t>
      </w:r>
      <w:r>
        <w:rPr>
          <w:rFonts w:hint="eastAsia" w:ascii="宋体" w:hAnsi="宋体"/>
          <w:b/>
          <w:bCs/>
          <w:color w:val="auto"/>
          <w:sz w:val="24"/>
          <w:szCs w:val="24"/>
          <w:highlight w:val="none"/>
          <w:u w:val="single"/>
          <w:lang w:eastAsia="zh-CN"/>
        </w:rPr>
        <w:t>.</w:t>
      </w:r>
      <w:r>
        <w:rPr>
          <w:rFonts w:hint="eastAsia" w:ascii="宋体" w:hAnsi="宋体"/>
          <w:b/>
          <w:bCs/>
          <w:color w:val="auto"/>
          <w:sz w:val="24"/>
          <w:szCs w:val="24"/>
          <w:highlight w:val="none"/>
          <w:u w:val="single"/>
          <w:lang w:val="en-US" w:eastAsia="zh-CN"/>
        </w:rPr>
        <w:t>3</w:t>
      </w:r>
      <w:r>
        <w:rPr>
          <w:rFonts w:hint="eastAsia" w:ascii="宋体" w:hAnsi="宋体"/>
          <w:b/>
          <w:bCs/>
          <w:color w:val="auto"/>
          <w:sz w:val="24"/>
          <w:szCs w:val="24"/>
          <w:highlight w:val="none"/>
          <w:u w:val="single"/>
          <w:lang w:eastAsia="zh-CN"/>
        </w:rPr>
        <w:t>.2招标人（招标代理）应当在定标会上向定标委员会介绍项目基本情况、合格中标候选人情况、评标委员会的评审意见及定标规则等内容。定标委员会成员有疑问的，可以向招标人提问。</w:t>
      </w:r>
    </w:p>
    <w:p>
      <w:pPr>
        <w:pStyle w:val="10"/>
        <w:spacing w:line="360" w:lineRule="auto"/>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val="en-US" w:eastAsia="zh-CN"/>
        </w:rPr>
        <w:t>51.3.3</w:t>
      </w:r>
      <w:r>
        <w:rPr>
          <w:rFonts w:hint="eastAsia" w:ascii="宋体" w:hAnsi="宋体"/>
          <w:b/>
          <w:bCs/>
          <w:color w:val="auto"/>
          <w:sz w:val="24"/>
          <w:szCs w:val="24"/>
          <w:highlight w:val="none"/>
          <w:u w:val="single"/>
          <w:lang w:eastAsia="zh-CN"/>
        </w:rPr>
        <w:t>定标委员会在评标委员会评审的基础上，根据《定标因素表》及定标</w:t>
      </w:r>
      <w:r>
        <w:rPr>
          <w:rFonts w:hint="eastAsia" w:ascii="宋体" w:hAnsi="宋体"/>
          <w:b/>
          <w:bCs/>
          <w:color w:val="auto"/>
          <w:sz w:val="24"/>
          <w:szCs w:val="24"/>
          <w:highlight w:val="none"/>
          <w:u w:val="single"/>
          <w:lang w:val="en-US" w:eastAsia="zh-CN"/>
        </w:rPr>
        <w:t>辅助资料</w:t>
      </w:r>
      <w:r>
        <w:rPr>
          <w:rFonts w:hint="eastAsia" w:ascii="宋体" w:hAnsi="宋体"/>
          <w:b/>
          <w:bCs/>
          <w:color w:val="auto"/>
          <w:sz w:val="24"/>
          <w:szCs w:val="24"/>
          <w:highlight w:val="none"/>
          <w:u w:val="single"/>
          <w:lang w:eastAsia="zh-CN"/>
        </w:rPr>
        <w:t>，对进入定标阶段的全部合格中标候选人的履约能力因素</w:t>
      </w:r>
      <w:r>
        <w:rPr>
          <w:rFonts w:hint="eastAsia" w:ascii="宋体" w:hAnsi="宋体"/>
          <w:b/>
          <w:bCs/>
          <w:color w:val="auto"/>
          <w:sz w:val="24"/>
          <w:szCs w:val="24"/>
          <w:highlight w:val="none"/>
          <w:u w:val="single"/>
          <w:lang w:val="en-US" w:eastAsia="zh-CN"/>
        </w:rPr>
        <w:t>和</w:t>
      </w:r>
      <w:r>
        <w:rPr>
          <w:rFonts w:hint="eastAsia" w:ascii="宋体" w:hAnsi="宋体"/>
          <w:b/>
          <w:bCs/>
          <w:color w:val="auto"/>
          <w:sz w:val="24"/>
          <w:szCs w:val="24"/>
          <w:highlight w:val="none"/>
          <w:u w:val="single"/>
          <w:lang w:eastAsia="zh-CN"/>
        </w:rPr>
        <w:t>投标价格因素进行</w:t>
      </w:r>
      <w:r>
        <w:rPr>
          <w:rFonts w:hint="eastAsia" w:ascii="宋体" w:hAnsi="宋体"/>
          <w:b/>
          <w:bCs/>
          <w:color w:val="auto"/>
          <w:sz w:val="24"/>
          <w:szCs w:val="24"/>
          <w:highlight w:val="none"/>
          <w:u w:val="single"/>
          <w:lang w:val="en-US" w:eastAsia="zh-CN"/>
        </w:rPr>
        <w:t>评分</w:t>
      </w:r>
      <w:r>
        <w:rPr>
          <w:rFonts w:hint="eastAsia" w:ascii="宋体" w:hAnsi="宋体"/>
          <w:b/>
          <w:bCs/>
          <w:color w:val="auto"/>
          <w:sz w:val="24"/>
          <w:szCs w:val="24"/>
          <w:highlight w:val="none"/>
          <w:u w:val="single"/>
          <w:lang w:eastAsia="zh-CN"/>
        </w:rPr>
        <w:t>。定标辅助资料为评标报告、投标人提交的投标文件与定标文件。</w:t>
      </w:r>
    </w:p>
    <w:p>
      <w:pPr>
        <w:pStyle w:val="10"/>
        <w:spacing w:line="360" w:lineRule="auto"/>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eastAsia="zh-CN"/>
        </w:rPr>
        <w:t>5</w:t>
      </w:r>
      <w:r>
        <w:rPr>
          <w:rFonts w:hint="eastAsia" w:ascii="宋体" w:hAnsi="宋体"/>
          <w:b/>
          <w:bCs/>
          <w:color w:val="auto"/>
          <w:sz w:val="24"/>
          <w:szCs w:val="24"/>
          <w:highlight w:val="none"/>
          <w:u w:val="single"/>
          <w:lang w:val="en-US" w:eastAsia="zh-CN"/>
        </w:rPr>
        <w:t>1</w:t>
      </w:r>
      <w:r>
        <w:rPr>
          <w:rFonts w:hint="eastAsia" w:ascii="宋体" w:hAnsi="宋体"/>
          <w:b/>
          <w:bCs/>
          <w:color w:val="auto"/>
          <w:sz w:val="24"/>
          <w:szCs w:val="24"/>
          <w:highlight w:val="none"/>
          <w:u w:val="single"/>
          <w:lang w:eastAsia="zh-CN"/>
        </w:rPr>
        <w:t>.</w:t>
      </w:r>
      <w:r>
        <w:rPr>
          <w:rFonts w:hint="eastAsia" w:ascii="宋体" w:hAnsi="宋体"/>
          <w:b/>
          <w:bCs/>
          <w:color w:val="auto"/>
          <w:sz w:val="24"/>
          <w:szCs w:val="24"/>
          <w:highlight w:val="none"/>
          <w:u w:val="single"/>
          <w:lang w:val="en-US" w:eastAsia="zh-CN"/>
        </w:rPr>
        <w:t>3.4</w:t>
      </w:r>
      <w:r>
        <w:rPr>
          <w:rFonts w:hint="eastAsia" w:ascii="宋体" w:hAnsi="宋体"/>
          <w:b/>
          <w:bCs/>
          <w:color w:val="auto"/>
          <w:sz w:val="24"/>
          <w:szCs w:val="24"/>
          <w:highlight w:val="none"/>
          <w:u w:val="single"/>
          <w:lang w:eastAsia="zh-CN"/>
        </w:rPr>
        <w:t>定标委员会根据合格中标候选人总得分由高至低进行排序。合格中标候选人总得分=答辩因素最终得分（为所有定标委员会成员对同一合格中标候选人的评分相加）×权重70%+价格因素最终得分（为所有定标委员会成员对同一合格中标候选人的评分相加）×权重30%。总得分四舍五入保留两位小数。</w:t>
      </w:r>
    </w:p>
    <w:p>
      <w:pPr>
        <w:pStyle w:val="10"/>
        <w:spacing w:line="360" w:lineRule="auto"/>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val="en-US" w:eastAsia="zh-CN"/>
        </w:rPr>
        <w:t>注：</w:t>
      </w:r>
      <w:r>
        <w:rPr>
          <w:rFonts w:hint="eastAsia" w:ascii="宋体" w:hAnsi="宋体"/>
          <w:b/>
          <w:bCs/>
          <w:color w:val="auto"/>
          <w:sz w:val="24"/>
          <w:szCs w:val="24"/>
          <w:highlight w:val="none"/>
          <w:u w:val="single"/>
          <w:lang w:eastAsia="zh-CN"/>
        </w:rPr>
        <w:t>若合格中标候选人总得分相同且影响定标排序的，以答辩因素得分高的排前；若答辩因素得分仍相同的，以价格因素得分高的排前，若价格因素得分仍相同的，由定标委员会投票确定排序。</w:t>
      </w:r>
    </w:p>
    <w:p>
      <w:pPr>
        <w:pStyle w:val="10"/>
        <w:spacing w:line="360" w:lineRule="auto"/>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eastAsia="zh-CN"/>
        </w:rPr>
        <w:t>记名投票方式确定排序的具体操作步骤为：由</w:t>
      </w:r>
      <w:r>
        <w:rPr>
          <w:rFonts w:hint="eastAsia" w:ascii="宋体" w:hAnsi="宋体"/>
          <w:b/>
          <w:bCs/>
          <w:color w:val="auto"/>
          <w:sz w:val="24"/>
          <w:szCs w:val="24"/>
          <w:highlight w:val="none"/>
          <w:u w:val="single"/>
          <w:lang w:val="en-US" w:eastAsia="zh-CN"/>
        </w:rPr>
        <w:t>定标</w:t>
      </w:r>
      <w:r>
        <w:rPr>
          <w:rFonts w:hint="eastAsia" w:ascii="宋体" w:hAnsi="宋体"/>
          <w:b/>
          <w:bCs/>
          <w:color w:val="auto"/>
          <w:sz w:val="24"/>
          <w:szCs w:val="24"/>
          <w:highlight w:val="none"/>
          <w:u w:val="single"/>
          <w:lang w:eastAsia="zh-CN"/>
        </w:rPr>
        <w:t>委员会对出现该情况的</w:t>
      </w:r>
      <w:r>
        <w:rPr>
          <w:rFonts w:hint="eastAsia" w:ascii="宋体" w:hAnsi="宋体"/>
          <w:b/>
          <w:bCs/>
          <w:color w:val="auto"/>
          <w:sz w:val="24"/>
          <w:szCs w:val="24"/>
          <w:highlight w:val="none"/>
          <w:u w:val="single"/>
          <w:lang w:val="en-US" w:eastAsia="zh-CN"/>
        </w:rPr>
        <w:t>合格中标候选人</w:t>
      </w:r>
      <w:r>
        <w:rPr>
          <w:rFonts w:hint="eastAsia" w:ascii="宋体" w:hAnsi="宋体"/>
          <w:b/>
          <w:bCs/>
          <w:color w:val="auto"/>
          <w:sz w:val="24"/>
          <w:szCs w:val="24"/>
          <w:highlight w:val="none"/>
          <w:u w:val="single"/>
          <w:lang w:eastAsia="zh-CN"/>
        </w:rPr>
        <w:t>进行编号，然后通过记名投票方式依次确定投标人的排序。</w:t>
      </w:r>
    </w:p>
    <w:p>
      <w:pPr>
        <w:pStyle w:val="10"/>
        <w:spacing w:line="360" w:lineRule="auto"/>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eastAsia="zh-CN"/>
        </w:rPr>
        <w:t>5</w:t>
      </w:r>
      <w:r>
        <w:rPr>
          <w:rFonts w:hint="eastAsia" w:ascii="宋体" w:hAnsi="宋体"/>
          <w:b/>
          <w:bCs/>
          <w:color w:val="auto"/>
          <w:sz w:val="24"/>
          <w:szCs w:val="24"/>
          <w:highlight w:val="none"/>
          <w:u w:val="single"/>
          <w:lang w:val="en-US" w:eastAsia="zh-CN"/>
        </w:rPr>
        <w:t>1</w:t>
      </w:r>
      <w:r>
        <w:rPr>
          <w:rFonts w:hint="eastAsia" w:ascii="宋体" w:hAnsi="宋体"/>
          <w:b/>
          <w:bCs/>
          <w:color w:val="auto"/>
          <w:sz w:val="24"/>
          <w:szCs w:val="24"/>
          <w:highlight w:val="none"/>
          <w:u w:val="single"/>
          <w:lang w:eastAsia="zh-CN"/>
        </w:rPr>
        <w:t>.</w:t>
      </w:r>
      <w:r>
        <w:rPr>
          <w:rFonts w:hint="eastAsia" w:ascii="宋体" w:hAnsi="宋体"/>
          <w:b/>
          <w:bCs/>
          <w:color w:val="auto"/>
          <w:sz w:val="24"/>
          <w:szCs w:val="24"/>
          <w:highlight w:val="none"/>
          <w:u w:val="single"/>
          <w:lang w:val="en-US" w:eastAsia="zh-CN"/>
        </w:rPr>
        <w:t>3.5</w:t>
      </w:r>
      <w:r>
        <w:rPr>
          <w:rFonts w:hint="eastAsia" w:ascii="宋体" w:hAnsi="宋体"/>
          <w:b/>
          <w:bCs/>
          <w:color w:val="auto"/>
          <w:sz w:val="24"/>
          <w:szCs w:val="24"/>
          <w:highlight w:val="none"/>
          <w:u w:val="single"/>
          <w:lang w:eastAsia="zh-CN"/>
        </w:rPr>
        <w:t>定标委员会确定总得分最高的合格中标候选人为中标人。</w:t>
      </w:r>
    </w:p>
    <w:p>
      <w:pPr>
        <w:pStyle w:val="10"/>
        <w:spacing w:line="360" w:lineRule="auto"/>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eastAsia="zh-CN"/>
        </w:rPr>
        <w:t>5</w:t>
      </w:r>
      <w:r>
        <w:rPr>
          <w:rFonts w:hint="eastAsia" w:ascii="宋体" w:hAnsi="宋体"/>
          <w:b/>
          <w:bCs/>
          <w:color w:val="auto"/>
          <w:sz w:val="24"/>
          <w:szCs w:val="24"/>
          <w:highlight w:val="none"/>
          <w:u w:val="single"/>
          <w:lang w:val="en-US" w:eastAsia="zh-CN"/>
        </w:rPr>
        <w:t>1</w:t>
      </w:r>
      <w:r>
        <w:rPr>
          <w:rFonts w:hint="eastAsia" w:ascii="宋体" w:hAnsi="宋体"/>
          <w:b/>
          <w:bCs/>
          <w:color w:val="auto"/>
          <w:sz w:val="24"/>
          <w:szCs w:val="24"/>
          <w:highlight w:val="none"/>
          <w:u w:val="single"/>
          <w:lang w:eastAsia="zh-CN"/>
        </w:rPr>
        <w:t>.</w:t>
      </w:r>
      <w:r>
        <w:rPr>
          <w:rFonts w:hint="eastAsia" w:ascii="宋体" w:hAnsi="宋体"/>
          <w:b/>
          <w:bCs/>
          <w:color w:val="auto"/>
          <w:sz w:val="24"/>
          <w:szCs w:val="24"/>
          <w:highlight w:val="none"/>
          <w:u w:val="single"/>
          <w:lang w:val="en-US" w:eastAsia="zh-CN"/>
        </w:rPr>
        <w:t>3.6</w:t>
      </w:r>
      <w:r>
        <w:rPr>
          <w:rFonts w:hint="eastAsia" w:ascii="宋体" w:hAnsi="宋体"/>
          <w:b/>
          <w:bCs/>
          <w:color w:val="auto"/>
          <w:sz w:val="24"/>
          <w:szCs w:val="24"/>
          <w:highlight w:val="none"/>
          <w:u w:val="single"/>
          <w:lang w:eastAsia="zh-CN"/>
        </w:rPr>
        <w:t>编写定标报告，定标委员会全体确认后签署定标报告：定标报告应记录定标委员会成员名单、监督小组名单、定标办法、定标过程、定标工作情况、定标结果，并由定标委员会成员、监督小组成员代表签字。监督小组应对定标全过程进行监督，在定标报告上签名。招标人应对定标全过程做好录音、录像工作，并存档备查。</w:t>
      </w:r>
    </w:p>
    <w:p>
      <w:pPr>
        <w:pStyle w:val="10"/>
        <w:spacing w:line="360" w:lineRule="auto"/>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eastAsia="zh-CN"/>
        </w:rPr>
        <w:t>5</w:t>
      </w:r>
      <w:r>
        <w:rPr>
          <w:rFonts w:hint="eastAsia" w:ascii="宋体" w:hAnsi="宋体"/>
          <w:b/>
          <w:bCs/>
          <w:color w:val="auto"/>
          <w:sz w:val="24"/>
          <w:szCs w:val="24"/>
          <w:highlight w:val="none"/>
          <w:u w:val="single"/>
          <w:lang w:val="en-US" w:eastAsia="zh-CN"/>
        </w:rPr>
        <w:t>1</w:t>
      </w:r>
      <w:r>
        <w:rPr>
          <w:rFonts w:hint="eastAsia" w:ascii="宋体" w:hAnsi="宋体"/>
          <w:b/>
          <w:bCs/>
          <w:color w:val="auto"/>
          <w:sz w:val="24"/>
          <w:szCs w:val="24"/>
          <w:highlight w:val="none"/>
          <w:u w:val="single"/>
          <w:lang w:eastAsia="zh-CN"/>
        </w:rPr>
        <w:t>.</w:t>
      </w:r>
      <w:r>
        <w:rPr>
          <w:rFonts w:hint="eastAsia" w:ascii="宋体" w:hAnsi="宋体"/>
          <w:b/>
          <w:bCs/>
          <w:color w:val="auto"/>
          <w:sz w:val="24"/>
          <w:szCs w:val="24"/>
          <w:highlight w:val="none"/>
          <w:u w:val="single"/>
          <w:lang w:val="en-US" w:eastAsia="zh-CN"/>
        </w:rPr>
        <w:t>4</w:t>
      </w:r>
      <w:r>
        <w:rPr>
          <w:rFonts w:hint="eastAsia" w:ascii="宋体" w:hAnsi="宋体"/>
          <w:b/>
          <w:bCs/>
          <w:color w:val="auto"/>
          <w:sz w:val="24"/>
          <w:szCs w:val="24"/>
          <w:highlight w:val="none"/>
          <w:u w:val="single"/>
          <w:lang w:eastAsia="zh-CN"/>
        </w:rPr>
        <w:t>招标人应当在定标工作完成后3日内在广东省招投标监管网、广州交易集团有限公司（广州公共资源交易中心）网站公示中标结果，公示内容包括：定标时间、所有合格中标候选人的评分结果、中标人名称、投标价格、项目负责人等信息、定标报告等（但应隐去或遮蔽个人隐私内容、信息字段），同时提出投诉的渠道方式，以及法律法规和招标文件规定应当公示的其他内容。</w:t>
      </w:r>
    </w:p>
    <w:p>
      <w:pPr>
        <w:pStyle w:val="10"/>
        <w:spacing w:line="360" w:lineRule="auto"/>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eastAsia="zh-CN"/>
        </w:rPr>
        <w:t>5</w:t>
      </w:r>
      <w:r>
        <w:rPr>
          <w:rFonts w:hint="eastAsia" w:ascii="宋体" w:hAnsi="宋体"/>
          <w:b/>
          <w:bCs/>
          <w:color w:val="auto"/>
          <w:sz w:val="24"/>
          <w:szCs w:val="24"/>
          <w:highlight w:val="none"/>
          <w:u w:val="single"/>
          <w:lang w:val="en-US" w:eastAsia="zh-CN"/>
        </w:rPr>
        <w:t>1</w:t>
      </w:r>
      <w:r>
        <w:rPr>
          <w:rFonts w:hint="eastAsia" w:ascii="宋体" w:hAnsi="宋体"/>
          <w:b/>
          <w:bCs/>
          <w:color w:val="auto"/>
          <w:sz w:val="24"/>
          <w:szCs w:val="24"/>
          <w:highlight w:val="none"/>
          <w:u w:val="single"/>
          <w:lang w:eastAsia="zh-CN"/>
        </w:rPr>
        <w:t>.</w:t>
      </w:r>
      <w:r>
        <w:rPr>
          <w:rFonts w:hint="eastAsia" w:ascii="宋体" w:hAnsi="宋体"/>
          <w:b/>
          <w:bCs/>
          <w:color w:val="auto"/>
          <w:sz w:val="24"/>
          <w:szCs w:val="24"/>
          <w:highlight w:val="none"/>
          <w:u w:val="single"/>
          <w:lang w:val="en-US" w:eastAsia="zh-CN"/>
        </w:rPr>
        <w:t>5</w:t>
      </w:r>
      <w:r>
        <w:rPr>
          <w:rFonts w:hint="eastAsia" w:ascii="宋体" w:hAnsi="宋体"/>
          <w:b/>
          <w:bCs/>
          <w:color w:val="auto"/>
          <w:sz w:val="24"/>
          <w:szCs w:val="24"/>
          <w:highlight w:val="none"/>
          <w:u w:val="single"/>
          <w:lang w:eastAsia="zh-CN"/>
        </w:rPr>
        <w:t>因</w:t>
      </w:r>
      <w:r>
        <w:rPr>
          <w:rFonts w:hint="eastAsia" w:ascii="宋体" w:hAnsi="宋体"/>
          <w:b/>
          <w:bCs/>
          <w:color w:val="auto"/>
          <w:sz w:val="24"/>
          <w:szCs w:val="24"/>
          <w:highlight w:val="none"/>
          <w:u w:val="single"/>
          <w:lang w:val="en-US" w:eastAsia="zh-CN"/>
        </w:rPr>
        <w:t>发生异议</w:t>
      </w:r>
      <w:r>
        <w:rPr>
          <w:rFonts w:hint="eastAsia" w:ascii="宋体" w:hAnsi="宋体"/>
          <w:b/>
          <w:bCs/>
          <w:color w:val="auto"/>
          <w:sz w:val="24"/>
          <w:szCs w:val="24"/>
          <w:highlight w:val="none"/>
          <w:u w:val="single"/>
          <w:lang w:eastAsia="zh-CN"/>
        </w:rPr>
        <w:t>或投诉需要重新评标或定标的，评标、定标信息仍以投标截止时投标人的信息为准。因特殊原因需要延长投标有效期，投标人拒绝延长投标有效期的，仍参与评标，但不被推荐为</w:t>
      </w:r>
      <w:r>
        <w:rPr>
          <w:rFonts w:hint="eastAsia" w:ascii="宋体" w:hAnsi="宋体"/>
          <w:b/>
          <w:bCs/>
          <w:color w:val="auto"/>
          <w:sz w:val="24"/>
          <w:szCs w:val="24"/>
          <w:highlight w:val="none"/>
          <w:u w:val="single"/>
          <w:lang w:val="en-US" w:eastAsia="zh-CN"/>
        </w:rPr>
        <w:t>合格</w:t>
      </w:r>
      <w:r>
        <w:rPr>
          <w:rFonts w:hint="eastAsia" w:ascii="宋体" w:hAnsi="宋体"/>
          <w:b/>
          <w:bCs/>
          <w:color w:val="auto"/>
          <w:sz w:val="24"/>
          <w:szCs w:val="24"/>
          <w:highlight w:val="none"/>
          <w:u w:val="single"/>
          <w:lang w:eastAsia="zh-CN"/>
        </w:rPr>
        <w:t>中标候选人。</w:t>
      </w:r>
    </w:p>
    <w:p>
      <w:pPr>
        <w:pStyle w:val="10"/>
        <w:spacing w:line="360" w:lineRule="auto"/>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val="en-US" w:eastAsia="zh-CN"/>
        </w:rPr>
        <w:t>51.6</w:t>
      </w:r>
      <w:r>
        <w:rPr>
          <w:rFonts w:hint="eastAsia" w:ascii="宋体" w:hAnsi="宋体"/>
          <w:b/>
          <w:bCs/>
          <w:color w:val="auto"/>
          <w:sz w:val="24"/>
          <w:szCs w:val="24"/>
          <w:highlight w:val="none"/>
          <w:u w:val="single"/>
          <w:lang w:eastAsia="zh-CN"/>
        </w:rPr>
        <w:t>在定标后，中标人放弃中标、无故不签订合同或因不可抗力不能履行合同、不按照招标文件要求提交履约保证金，或者被查实存在影响中标结果的违法行为等情形，不符合中标条件的，招标人可以重新招标或由原定标委员会按原定标规则在合格中标候选人名单中重新确定中标人并公示。</w:t>
      </w:r>
    </w:p>
    <w:bookmarkEnd w:id="62"/>
    <w:p>
      <w:pPr>
        <w:tabs>
          <w:tab w:val="left" w:pos="72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widowControl/>
        <w:snapToGrid w:val="0"/>
        <w:spacing w:line="360" w:lineRule="auto"/>
        <w:ind w:right="102"/>
        <w:jc w:val="left"/>
        <w:rPr>
          <w:rFonts w:ascii="宋体"/>
          <w:color w:val="auto"/>
          <w:sz w:val="24"/>
          <w:szCs w:val="24"/>
          <w:highlight w:val="none"/>
        </w:rPr>
      </w:pPr>
      <w:r>
        <w:rPr>
          <w:rFonts w:hint="eastAsia" w:ascii="宋体" w:hAnsi="宋体"/>
          <w:color w:val="auto"/>
          <w:sz w:val="24"/>
          <w:szCs w:val="24"/>
          <w:highlight w:val="none"/>
        </w:rPr>
        <w:t>附表一</w:t>
      </w:r>
    </w:p>
    <w:p>
      <w:pPr>
        <w:jc w:val="center"/>
        <w:rPr>
          <w:b/>
          <w:color w:val="auto"/>
          <w:sz w:val="32"/>
          <w:szCs w:val="32"/>
          <w:highlight w:val="none"/>
        </w:rPr>
      </w:pPr>
      <w:r>
        <w:rPr>
          <w:rFonts w:hint="eastAsia"/>
          <w:b/>
          <w:color w:val="auto"/>
          <w:sz w:val="32"/>
          <w:szCs w:val="32"/>
          <w:highlight w:val="none"/>
        </w:rPr>
        <w:t>资格审查表</w:t>
      </w:r>
    </w:p>
    <w:p>
      <w:pPr>
        <w:spacing w:line="480" w:lineRule="auto"/>
        <w:rPr>
          <w:rFonts w:hint="eastAsia" w:eastAsia="宋体"/>
          <w:color w:val="auto"/>
          <w:sz w:val="24"/>
          <w:szCs w:val="24"/>
          <w:highlight w:val="none"/>
          <w:lang w:eastAsia="zh-CN"/>
        </w:rPr>
      </w:pPr>
      <w:r>
        <w:rPr>
          <w:rFonts w:hint="eastAsia"/>
          <w:color w:val="auto"/>
          <w:sz w:val="24"/>
          <w:szCs w:val="24"/>
          <w:highlight w:val="none"/>
          <w:lang w:eastAsia="zh-CN"/>
        </w:rPr>
        <w:t>招标项目</w:t>
      </w:r>
      <w:r>
        <w:rPr>
          <w:rFonts w:hint="eastAsia"/>
          <w:color w:val="auto"/>
          <w:sz w:val="24"/>
          <w:szCs w:val="24"/>
          <w:highlight w:val="none"/>
        </w:rPr>
        <w:t>名称：</w:t>
      </w:r>
      <w:r>
        <w:rPr>
          <w:rFonts w:hint="eastAsia"/>
          <w:color w:val="auto"/>
          <w:sz w:val="24"/>
          <w:szCs w:val="24"/>
          <w:highlight w:val="none"/>
          <w:lang w:eastAsia="zh-CN"/>
        </w:rPr>
        <w:t>仙村镇沙滘村中坊社纪念公园建设工程施工总承包</w:t>
      </w:r>
    </w:p>
    <w:p>
      <w:pPr>
        <w:spacing w:line="480" w:lineRule="auto"/>
        <w:rPr>
          <w:color w:val="auto"/>
          <w:sz w:val="24"/>
          <w:szCs w:val="24"/>
          <w:highlight w:val="none"/>
        </w:rPr>
      </w:pPr>
      <w:r>
        <w:rPr>
          <w:rFonts w:hint="eastAsia"/>
          <w:color w:val="auto"/>
          <w:sz w:val="24"/>
          <w:szCs w:val="24"/>
          <w:highlight w:val="none"/>
        </w:rPr>
        <w:t>投标人名称：</w:t>
      </w:r>
    </w:p>
    <w:tbl>
      <w:tblPr>
        <w:tblStyle w:val="37"/>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3884"/>
        <w:gridCol w:w="3294"/>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auto"/>
                <w:szCs w:val="21"/>
                <w:highlight w:val="none"/>
              </w:rPr>
            </w:pPr>
            <w:r>
              <w:rPr>
                <w:rFonts w:hint="eastAsia" w:ascii="宋体" w:hAnsi="宋体"/>
                <w:b/>
                <w:color w:val="auto"/>
                <w:szCs w:val="21"/>
                <w:highlight w:val="none"/>
              </w:rPr>
              <w:t>序号</w:t>
            </w:r>
          </w:p>
        </w:tc>
        <w:tc>
          <w:tcPr>
            <w:tcW w:w="388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auto"/>
                <w:szCs w:val="21"/>
                <w:highlight w:val="none"/>
              </w:rPr>
            </w:pPr>
            <w:r>
              <w:rPr>
                <w:rFonts w:hint="eastAsia" w:ascii="宋体" w:hAnsi="宋体"/>
                <w:b/>
                <w:color w:val="auto"/>
                <w:szCs w:val="21"/>
                <w:highlight w:val="none"/>
              </w:rPr>
              <w:t>审查项目</w:t>
            </w:r>
          </w:p>
        </w:tc>
        <w:tc>
          <w:tcPr>
            <w:tcW w:w="329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auto"/>
                <w:szCs w:val="21"/>
                <w:highlight w:val="none"/>
              </w:rPr>
            </w:pPr>
            <w:r>
              <w:rPr>
                <w:rFonts w:hint="eastAsia" w:ascii="宋体" w:hAnsi="宋体"/>
                <w:b/>
                <w:color w:val="auto"/>
                <w:szCs w:val="21"/>
                <w:highlight w:val="none"/>
              </w:rPr>
              <w:t>须审查的资料</w:t>
            </w:r>
          </w:p>
        </w:tc>
        <w:tc>
          <w:tcPr>
            <w:tcW w:w="128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auto"/>
                <w:szCs w:val="21"/>
                <w:highlight w:val="none"/>
              </w:rPr>
            </w:pPr>
            <w:r>
              <w:rPr>
                <w:rFonts w:hint="eastAsia" w:ascii="宋体" w:hAnsi="宋体"/>
                <w:b/>
                <w:color w:val="auto"/>
                <w:szCs w:val="21"/>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ascii="宋体" w:hAnsi="宋体"/>
                <w:color w:val="auto"/>
                <w:szCs w:val="21"/>
                <w:highlight w:val="none"/>
              </w:rPr>
              <w:t>1</w:t>
            </w:r>
          </w:p>
        </w:tc>
        <w:tc>
          <w:tcPr>
            <w:tcW w:w="3884"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Cs w:val="21"/>
                <w:highlight w:val="none"/>
              </w:rPr>
            </w:pPr>
            <w:r>
              <w:rPr>
                <w:rFonts w:hint="eastAsia" w:ascii="宋体" w:hAnsi="宋体"/>
                <w:color w:val="auto"/>
                <w:szCs w:val="21"/>
                <w:highlight w:val="none"/>
              </w:rPr>
              <w:t>投标人参加投标的意思表达清楚，投标人代表被授权有效</w:t>
            </w:r>
          </w:p>
        </w:tc>
        <w:tc>
          <w:tcPr>
            <w:tcW w:w="329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投标人声明、法定代表人证明书</w:t>
            </w:r>
            <w:r>
              <w:rPr>
                <w:rFonts w:hint="eastAsia" w:ascii="宋体" w:hAnsi="宋体"/>
                <w:color w:val="auto"/>
                <w:szCs w:val="21"/>
                <w:highlight w:val="none"/>
                <w:u w:val="single"/>
              </w:rPr>
              <w:t>扫描件</w:t>
            </w:r>
            <w:r>
              <w:rPr>
                <w:rFonts w:hint="eastAsia" w:ascii="宋体" w:hAnsi="宋体"/>
                <w:color w:val="auto"/>
                <w:szCs w:val="21"/>
                <w:highlight w:val="none"/>
              </w:rPr>
              <w:t>；委托投标的还应提供法人授权委托证明书</w:t>
            </w:r>
            <w:r>
              <w:rPr>
                <w:rFonts w:hint="eastAsia" w:ascii="宋体" w:hAnsi="宋体"/>
                <w:color w:val="auto"/>
                <w:szCs w:val="21"/>
                <w:highlight w:val="none"/>
                <w:u w:val="single"/>
              </w:rPr>
              <w:t>扫描件</w:t>
            </w:r>
          </w:p>
        </w:tc>
        <w:tc>
          <w:tcPr>
            <w:tcW w:w="128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ascii="宋体" w:hAnsi="宋体"/>
                <w:color w:val="auto"/>
                <w:szCs w:val="21"/>
                <w:highlight w:val="none"/>
              </w:rPr>
              <w:t>2</w:t>
            </w:r>
          </w:p>
        </w:tc>
        <w:tc>
          <w:tcPr>
            <w:tcW w:w="3884"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Cs w:val="21"/>
                <w:highlight w:val="none"/>
              </w:rPr>
            </w:pPr>
            <w:r>
              <w:rPr>
                <w:rFonts w:hint="eastAsia" w:ascii="宋体" w:hAnsi="宋体"/>
                <w:color w:val="auto"/>
                <w:szCs w:val="21"/>
                <w:highlight w:val="none"/>
              </w:rPr>
              <w:t>投标人均具有独立法人资格，按国家法律经营</w:t>
            </w:r>
          </w:p>
        </w:tc>
        <w:tc>
          <w:tcPr>
            <w:tcW w:w="329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营业执照</w:t>
            </w:r>
            <w:r>
              <w:rPr>
                <w:rFonts w:hint="eastAsia" w:ascii="宋体" w:hAnsi="宋体" w:cs="宋体"/>
                <w:color w:val="auto"/>
                <w:szCs w:val="21"/>
                <w:highlight w:val="none"/>
                <w:u w:val="single"/>
              </w:rPr>
              <w:t>扫描件或电子证照</w:t>
            </w:r>
          </w:p>
        </w:tc>
        <w:tc>
          <w:tcPr>
            <w:tcW w:w="128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ascii="宋体" w:hAnsi="宋体"/>
                <w:color w:val="auto"/>
                <w:szCs w:val="21"/>
                <w:highlight w:val="none"/>
              </w:rPr>
              <w:t>3</w:t>
            </w:r>
          </w:p>
        </w:tc>
        <w:tc>
          <w:tcPr>
            <w:tcW w:w="3884"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Cs w:val="21"/>
                <w:highlight w:val="none"/>
              </w:rPr>
            </w:pPr>
            <w:r>
              <w:rPr>
                <w:rFonts w:hint="eastAsia" w:ascii="宋体" w:hAnsi="宋体"/>
                <w:color w:val="auto"/>
                <w:szCs w:val="21"/>
                <w:highlight w:val="none"/>
              </w:rPr>
              <w:t>投标人均持有建设行政主管部门颁发</w:t>
            </w:r>
            <w:r>
              <w:rPr>
                <w:rFonts w:hint="eastAsia" w:ascii="宋体" w:hAnsi="宋体"/>
                <w:color w:val="auto"/>
                <w:szCs w:val="21"/>
                <w:highlight w:val="none"/>
                <w:u w:val="single"/>
                <w:lang w:eastAsia="zh-CN"/>
              </w:rPr>
              <w:t>的</w:t>
            </w:r>
            <w:r>
              <w:rPr>
                <w:rFonts w:hint="eastAsia" w:ascii="宋体" w:hAnsi="宋体"/>
                <w:color w:val="auto"/>
                <w:szCs w:val="21"/>
                <w:highlight w:val="none"/>
                <w:lang w:eastAsia="zh-CN"/>
              </w:rPr>
              <w:t>有效期内</w:t>
            </w:r>
            <w:r>
              <w:rPr>
                <w:rFonts w:hint="eastAsia" w:ascii="宋体" w:hAnsi="宋体"/>
                <w:color w:val="auto"/>
                <w:szCs w:val="21"/>
                <w:highlight w:val="none"/>
              </w:rPr>
              <w:t>的企业资质证书及安全生产许可证；投标人资质符合公告要求</w:t>
            </w:r>
          </w:p>
        </w:tc>
        <w:tc>
          <w:tcPr>
            <w:tcW w:w="329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资质证书</w:t>
            </w:r>
            <w:r>
              <w:rPr>
                <w:rFonts w:hint="eastAsia" w:ascii="宋体" w:hAnsi="宋体" w:cs="宋体"/>
                <w:color w:val="auto"/>
                <w:szCs w:val="21"/>
                <w:highlight w:val="none"/>
                <w:u w:val="single"/>
              </w:rPr>
              <w:t>扫描件或电子证照</w:t>
            </w:r>
            <w:r>
              <w:rPr>
                <w:rFonts w:hint="eastAsia" w:ascii="宋体" w:hAnsi="宋体"/>
                <w:color w:val="auto"/>
                <w:szCs w:val="21"/>
                <w:highlight w:val="none"/>
              </w:rPr>
              <w:t>及安全生产许可证</w:t>
            </w:r>
            <w:r>
              <w:rPr>
                <w:rFonts w:hint="eastAsia" w:ascii="宋体" w:hAnsi="宋体" w:cs="宋体"/>
                <w:color w:val="auto"/>
                <w:szCs w:val="21"/>
                <w:highlight w:val="none"/>
                <w:u w:val="single"/>
              </w:rPr>
              <w:t>扫描件或电子证照</w:t>
            </w:r>
          </w:p>
        </w:tc>
        <w:tc>
          <w:tcPr>
            <w:tcW w:w="128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ascii="宋体" w:hAnsi="宋体"/>
                <w:color w:val="auto"/>
                <w:szCs w:val="21"/>
                <w:highlight w:val="none"/>
              </w:rPr>
              <w:t>4</w:t>
            </w:r>
          </w:p>
        </w:tc>
        <w:tc>
          <w:tcPr>
            <w:tcW w:w="3884"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Cs w:val="21"/>
                <w:highlight w:val="none"/>
              </w:rPr>
            </w:pPr>
            <w:r>
              <w:rPr>
                <w:rFonts w:hint="eastAsia" w:ascii="宋体" w:hAnsi="宋体"/>
                <w:color w:val="auto"/>
                <w:szCs w:val="21"/>
                <w:highlight w:val="none"/>
              </w:rPr>
              <w:t>投标人拟担任本工程项目负责人符合公告要求</w:t>
            </w:r>
          </w:p>
        </w:tc>
        <w:tc>
          <w:tcPr>
            <w:tcW w:w="3294" w:type="dxa"/>
            <w:tcBorders>
              <w:top w:val="single" w:color="auto" w:sz="4" w:space="0"/>
              <w:left w:val="single" w:color="auto" w:sz="4" w:space="0"/>
              <w:bottom w:val="single" w:color="auto" w:sz="4" w:space="0"/>
              <w:right w:val="single" w:color="auto" w:sz="4" w:space="0"/>
            </w:tcBorders>
            <w:vAlign w:val="center"/>
          </w:tcPr>
          <w:p>
            <w:pPr>
              <w:spacing w:before="0" w:after="0" w:line="340" w:lineRule="exact"/>
              <w:jc w:val="left"/>
              <w:rPr>
                <w:rFonts w:ascii="宋体" w:hAnsi="宋体"/>
                <w:color w:val="auto"/>
                <w:szCs w:val="21"/>
                <w:highlight w:val="none"/>
              </w:rPr>
            </w:pPr>
            <w:r>
              <w:rPr>
                <w:rFonts w:hint="eastAsia" w:ascii="宋体" w:hAnsi="宋体"/>
                <w:color w:val="auto"/>
                <w:szCs w:val="21"/>
                <w:highlight w:val="none"/>
              </w:rPr>
              <w:t>使用有效期内的注册建造师注册证书</w:t>
            </w:r>
            <w:r>
              <w:rPr>
                <w:rFonts w:hint="eastAsia" w:ascii="宋体" w:hAnsi="宋体" w:cs="宋体"/>
                <w:color w:val="auto"/>
                <w:szCs w:val="21"/>
                <w:highlight w:val="none"/>
                <w:u w:val="single"/>
              </w:rPr>
              <w:t>扫描件或电子证</w:t>
            </w:r>
            <w:r>
              <w:rPr>
                <w:rFonts w:hint="eastAsia" w:ascii="宋体" w:hAnsi="宋体" w:cs="宋体"/>
                <w:color w:val="auto"/>
                <w:szCs w:val="21"/>
                <w:highlight w:val="none"/>
                <w:u w:val="single"/>
                <w:lang w:eastAsia="zh-CN"/>
              </w:rPr>
              <w:t>书</w:t>
            </w:r>
            <w:r>
              <w:rPr>
                <w:rFonts w:hint="eastAsia" w:ascii="宋体" w:hAnsi="宋体"/>
                <w:color w:val="auto"/>
                <w:szCs w:val="21"/>
                <w:highlight w:val="none"/>
                <w:u w:val="single"/>
              </w:rPr>
              <w:t>（注：打印建造师电子证书后，在个人签名处手写本人签名再扫描提交</w:t>
            </w:r>
            <w:r>
              <w:rPr>
                <w:rFonts w:hint="eastAsia" w:ascii="宋体" w:hAnsi="宋体"/>
                <w:color w:val="auto"/>
                <w:szCs w:val="21"/>
                <w:highlight w:val="none"/>
                <w:u w:val="single"/>
                <w:lang w:eastAsia="zh-CN"/>
              </w:rPr>
              <w:t>）</w:t>
            </w:r>
            <w:r>
              <w:rPr>
                <w:rFonts w:hint="eastAsia" w:ascii="宋体" w:hAnsi="宋体"/>
                <w:color w:val="auto"/>
                <w:szCs w:val="21"/>
                <w:highlight w:val="none"/>
              </w:rPr>
              <w:t>。</w:t>
            </w:r>
          </w:p>
        </w:tc>
        <w:tc>
          <w:tcPr>
            <w:tcW w:w="1287" w:type="dxa"/>
            <w:tcBorders>
              <w:top w:val="single" w:color="auto" w:sz="4" w:space="0"/>
              <w:left w:val="single" w:color="auto" w:sz="4" w:space="0"/>
              <w:bottom w:val="single" w:color="auto" w:sz="4" w:space="0"/>
              <w:right w:val="single" w:color="auto" w:sz="4" w:space="0"/>
            </w:tcBorders>
            <w:vAlign w:val="center"/>
          </w:tcPr>
          <w:p>
            <w:pPr>
              <w:spacing w:before="0" w:after="0" w:line="3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ascii="宋体" w:hAnsi="宋体"/>
                <w:color w:val="auto"/>
                <w:szCs w:val="21"/>
                <w:highlight w:val="none"/>
              </w:rPr>
              <w:t>5</w:t>
            </w:r>
          </w:p>
        </w:tc>
        <w:tc>
          <w:tcPr>
            <w:tcW w:w="3884"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Cs w:val="21"/>
                <w:highlight w:val="none"/>
              </w:rPr>
            </w:pPr>
            <w:r>
              <w:rPr>
                <w:rFonts w:hint="eastAsia" w:ascii="宋体" w:hAnsi="宋体"/>
                <w:color w:val="auto"/>
                <w:szCs w:val="21"/>
                <w:highlight w:val="none"/>
              </w:rPr>
              <w:t>持有项目负责人安全生产考核合格证（B类）或建筑施工企业项目负责人安全生产考核合格证</w:t>
            </w:r>
          </w:p>
        </w:tc>
        <w:tc>
          <w:tcPr>
            <w:tcW w:w="3294" w:type="dxa"/>
            <w:tcBorders>
              <w:top w:val="single" w:color="auto" w:sz="4" w:space="0"/>
              <w:left w:val="single" w:color="auto" w:sz="4" w:space="0"/>
              <w:bottom w:val="single" w:color="auto" w:sz="4" w:space="0"/>
              <w:right w:val="single" w:color="auto" w:sz="4" w:space="0"/>
            </w:tcBorders>
            <w:vAlign w:val="center"/>
          </w:tcPr>
          <w:p>
            <w:pPr>
              <w:spacing w:before="0" w:after="0" w:line="340" w:lineRule="exact"/>
              <w:jc w:val="left"/>
              <w:rPr>
                <w:rFonts w:ascii="宋体" w:hAnsi="宋体"/>
                <w:color w:val="auto"/>
                <w:szCs w:val="21"/>
                <w:highlight w:val="none"/>
              </w:rPr>
            </w:pPr>
            <w:r>
              <w:rPr>
                <w:rFonts w:hint="eastAsia" w:ascii="宋体" w:hAnsi="宋体"/>
                <w:color w:val="auto"/>
                <w:szCs w:val="21"/>
                <w:highlight w:val="none"/>
              </w:rPr>
              <w:t>项目负责人安全生产考核合格证（B类）或建筑施工企业项目负责人安全生产考核合格证</w:t>
            </w:r>
            <w:r>
              <w:rPr>
                <w:rFonts w:hint="eastAsia" w:ascii="宋体" w:hAnsi="宋体"/>
                <w:color w:val="auto"/>
                <w:szCs w:val="21"/>
                <w:highlight w:val="none"/>
                <w:u w:val="single"/>
              </w:rPr>
              <w:t>扫描件或电子证书</w:t>
            </w:r>
          </w:p>
        </w:tc>
        <w:tc>
          <w:tcPr>
            <w:tcW w:w="1287" w:type="dxa"/>
            <w:tcBorders>
              <w:top w:val="single" w:color="auto" w:sz="4" w:space="0"/>
              <w:left w:val="single" w:color="auto" w:sz="4" w:space="0"/>
              <w:bottom w:val="single" w:color="auto" w:sz="4" w:space="0"/>
              <w:right w:val="single" w:color="auto" w:sz="4" w:space="0"/>
            </w:tcBorders>
            <w:vAlign w:val="center"/>
          </w:tcPr>
          <w:p>
            <w:pPr>
              <w:spacing w:before="0" w:after="0" w:line="3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3884"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Cs w:val="21"/>
                <w:highlight w:val="none"/>
              </w:rPr>
            </w:pPr>
            <w:r>
              <w:rPr>
                <w:rFonts w:hint="eastAsia" w:ascii="宋体" w:hAnsi="宋体"/>
                <w:color w:val="auto"/>
                <w:szCs w:val="21"/>
                <w:highlight w:val="none"/>
              </w:rPr>
              <w:t>拟配备的专职安全员不少于</w:t>
            </w:r>
            <w:r>
              <w:rPr>
                <w:rFonts w:hint="eastAsia" w:ascii="宋体" w:hAnsi="宋体"/>
                <w:color w:val="auto"/>
                <w:szCs w:val="21"/>
                <w:highlight w:val="none"/>
                <w:u w:val="single"/>
                <w:lang w:val="en-US" w:eastAsia="zh-CN"/>
              </w:rPr>
              <w:t>1</w:t>
            </w:r>
            <w:r>
              <w:rPr>
                <w:rFonts w:hint="eastAsia" w:ascii="宋体" w:hAnsi="宋体"/>
                <w:color w:val="auto"/>
                <w:szCs w:val="21"/>
                <w:highlight w:val="none"/>
              </w:rPr>
              <w:t>人，专职安全员须具有安全生产考核合格证（C类）或建筑施工企业专职安全生产管理人员安全生产考核合格证书（C3）</w:t>
            </w:r>
          </w:p>
        </w:tc>
        <w:tc>
          <w:tcPr>
            <w:tcW w:w="3294" w:type="dxa"/>
            <w:tcBorders>
              <w:top w:val="single" w:color="auto" w:sz="4" w:space="0"/>
              <w:left w:val="single" w:color="auto" w:sz="4" w:space="0"/>
              <w:bottom w:val="single" w:color="auto" w:sz="4" w:space="0"/>
              <w:right w:val="single" w:color="auto" w:sz="4" w:space="0"/>
            </w:tcBorders>
            <w:vAlign w:val="center"/>
          </w:tcPr>
          <w:p>
            <w:pPr>
              <w:spacing w:before="120" w:after="60"/>
              <w:jc w:val="both"/>
              <w:rPr>
                <w:rFonts w:ascii="宋体" w:hAnsi="宋体"/>
                <w:color w:val="auto"/>
                <w:szCs w:val="21"/>
                <w:highlight w:val="none"/>
              </w:rPr>
            </w:pPr>
            <w:r>
              <w:rPr>
                <w:rFonts w:hint="eastAsia" w:ascii="宋体" w:hAnsi="宋体"/>
                <w:color w:val="auto"/>
                <w:szCs w:val="21"/>
                <w:highlight w:val="none"/>
              </w:rPr>
              <w:t>专职安全员的安全生产考核合格证（</w:t>
            </w:r>
            <w:r>
              <w:rPr>
                <w:rFonts w:ascii="宋体" w:hAnsi="宋体"/>
                <w:color w:val="auto"/>
                <w:szCs w:val="21"/>
                <w:highlight w:val="none"/>
              </w:rPr>
              <w:t>C</w:t>
            </w:r>
            <w:r>
              <w:rPr>
                <w:rFonts w:hint="eastAsia" w:ascii="宋体" w:hAnsi="宋体"/>
                <w:color w:val="auto"/>
                <w:szCs w:val="21"/>
                <w:highlight w:val="none"/>
              </w:rPr>
              <w:t>证）或建筑施工企业专职安全生产管理人员安全生产考核合格证（C3）</w:t>
            </w:r>
            <w:r>
              <w:rPr>
                <w:rFonts w:hint="eastAsia" w:ascii="宋体" w:hAnsi="宋体"/>
                <w:color w:val="auto"/>
                <w:szCs w:val="21"/>
                <w:highlight w:val="none"/>
                <w:u w:val="single"/>
              </w:rPr>
              <w:t>扫描件或电子证书，项目负责人和专职安全员不为同一人</w:t>
            </w:r>
          </w:p>
        </w:tc>
        <w:tc>
          <w:tcPr>
            <w:tcW w:w="128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3884"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Cs w:val="21"/>
                <w:highlight w:val="none"/>
              </w:rPr>
            </w:pPr>
            <w:r>
              <w:rPr>
                <w:rFonts w:hint="eastAsia" w:ascii="宋体" w:hAnsi="宋体"/>
                <w:color w:val="auto"/>
                <w:szCs w:val="21"/>
                <w:highlight w:val="none"/>
              </w:rPr>
              <w:t>投标人提供的投标人声明符合公告要求</w:t>
            </w:r>
          </w:p>
        </w:tc>
        <w:tc>
          <w:tcPr>
            <w:tcW w:w="329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投标人声明</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一</w:t>
            </w:r>
            <w:r>
              <w:rPr>
                <w:rFonts w:hint="eastAsia" w:ascii="宋体" w:hAnsi="宋体"/>
                <w:color w:val="auto"/>
                <w:szCs w:val="21"/>
                <w:highlight w:val="none"/>
                <w:lang w:eastAsia="zh-CN"/>
              </w:rPr>
              <w:t>）</w:t>
            </w:r>
            <w:r>
              <w:rPr>
                <w:rFonts w:hint="eastAsia" w:ascii="宋体" w:hAnsi="宋体" w:cs="宋体"/>
                <w:color w:val="auto"/>
                <w:szCs w:val="21"/>
                <w:highlight w:val="none"/>
              </w:rPr>
              <w:t>、投标人声明（二）、投标人声明（三）</w:t>
            </w:r>
          </w:p>
        </w:tc>
        <w:tc>
          <w:tcPr>
            <w:tcW w:w="128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3884"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Cs w:val="21"/>
                <w:highlight w:val="none"/>
              </w:rPr>
            </w:pPr>
            <w:r>
              <w:rPr>
                <w:rFonts w:hint="eastAsia" w:ascii="宋体" w:hAnsi="宋体"/>
                <w:color w:val="auto"/>
                <w:szCs w:val="21"/>
                <w:highlight w:val="none"/>
              </w:rPr>
              <w:t>投标人声明中签字的项目负责人和技术负责人与本项目拟派的项目负责人和技术负责人一致</w:t>
            </w:r>
          </w:p>
        </w:tc>
        <w:tc>
          <w:tcPr>
            <w:tcW w:w="329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网上投标时选择拟投标的项目负责人、资格审查文件中拟委派的技术负责人及投标人声明</w:t>
            </w:r>
          </w:p>
        </w:tc>
        <w:tc>
          <w:tcPr>
            <w:tcW w:w="128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9</w:t>
            </w:r>
          </w:p>
        </w:tc>
        <w:tc>
          <w:tcPr>
            <w:tcW w:w="3884"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Cs w:val="21"/>
                <w:highlight w:val="none"/>
              </w:rPr>
            </w:pPr>
            <w:r>
              <w:rPr>
                <w:rFonts w:hint="eastAsia" w:ascii="宋体" w:hAnsi="宋体"/>
                <w:color w:val="auto"/>
                <w:szCs w:val="21"/>
                <w:highlight w:val="none"/>
              </w:rPr>
              <w:t>投标人未出现以下情形：与</w:t>
            </w:r>
            <w:r>
              <w:rPr>
                <w:rFonts w:hint="eastAsia" w:ascii="宋体" w:hAnsi="宋体"/>
                <w:color w:val="auto"/>
                <w:sz w:val="21"/>
                <w:szCs w:val="21"/>
                <w:highlight w:val="none"/>
                <w:u w:val="single"/>
                <w:lang w:val="en-US" w:eastAsia="zh-CN"/>
              </w:rPr>
              <w:t>本招标项目</w:t>
            </w:r>
            <w:r>
              <w:rPr>
                <w:rFonts w:hint="eastAsia" w:ascii="宋体" w:hAnsi="宋体"/>
                <w:color w:val="auto"/>
                <w:szCs w:val="21"/>
                <w:highlight w:val="none"/>
                <w:lang w:val="en-US" w:eastAsia="zh-CN"/>
              </w:rPr>
              <w:t>其他</w:t>
            </w:r>
            <w:r>
              <w:rPr>
                <w:rFonts w:hint="eastAsia" w:ascii="宋体" w:hAnsi="宋体"/>
                <w:color w:val="auto"/>
                <w:szCs w:val="21"/>
                <w:highlight w:val="none"/>
              </w:rPr>
              <w:t>投标人的单位负责人为同一人或者存在控股、管理关系的（按投标人提供的《投标人声明》第八条内容进行评审）</w:t>
            </w:r>
          </w:p>
        </w:tc>
        <w:tc>
          <w:tcPr>
            <w:tcW w:w="329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投标人声明</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一</w:t>
            </w:r>
            <w:r>
              <w:rPr>
                <w:rFonts w:hint="eastAsia" w:ascii="宋体" w:hAnsi="宋体"/>
                <w:color w:val="auto"/>
                <w:szCs w:val="21"/>
                <w:highlight w:val="none"/>
                <w:lang w:eastAsia="zh-CN"/>
              </w:rPr>
              <w:t>）</w:t>
            </w:r>
          </w:p>
        </w:tc>
        <w:tc>
          <w:tcPr>
            <w:tcW w:w="128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3884"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Cs w:val="21"/>
                <w:highlight w:val="none"/>
              </w:rPr>
            </w:pPr>
            <w:r>
              <w:rPr>
                <w:rFonts w:hint="eastAsia" w:ascii="宋体" w:hAnsi="宋体"/>
                <w:color w:val="auto"/>
                <w:szCs w:val="21"/>
                <w:highlight w:val="none"/>
                <w:u w:val="single"/>
              </w:rPr>
              <w:t>在投标截止时间前，</w:t>
            </w:r>
            <w:r>
              <w:rPr>
                <w:rFonts w:hint="eastAsia" w:ascii="宋体" w:hAnsi="宋体"/>
                <w:color w:val="auto"/>
                <w:szCs w:val="21"/>
                <w:highlight w:val="none"/>
                <w:u w:val="single"/>
                <w:lang w:eastAsia="zh-CN"/>
              </w:rPr>
              <w:t>投标人</w:t>
            </w:r>
            <w:r>
              <w:rPr>
                <w:rFonts w:hint="eastAsia" w:ascii="宋体" w:hAnsi="宋体"/>
                <w:color w:val="auto"/>
                <w:szCs w:val="21"/>
                <w:highlight w:val="none"/>
              </w:rPr>
              <w:t>未被列入拖欠农民工工资失信联合惩戒对象名单</w:t>
            </w:r>
          </w:p>
        </w:tc>
        <w:tc>
          <w:tcPr>
            <w:tcW w:w="3294"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bookmarkStart w:id="65" w:name="OLE_LINK7"/>
            <w:r>
              <w:rPr>
                <w:rFonts w:hint="eastAsia" w:ascii="宋体" w:hAnsi="宋体"/>
                <w:color w:val="auto"/>
                <w:szCs w:val="21"/>
                <w:highlight w:val="none"/>
              </w:rPr>
              <w:t>投标人无需提供资料，按</w:t>
            </w:r>
            <w:r>
              <w:rPr>
                <w:rFonts w:hint="eastAsia" w:ascii="宋体" w:hAnsi="宋体"/>
                <w:color w:val="auto"/>
                <w:szCs w:val="21"/>
                <w:highlight w:val="none"/>
                <w:u w:val="single"/>
              </w:rPr>
              <w:t>投标截止时间广州交易集团有限公司（广州公共资源交易中心）</w:t>
            </w:r>
            <w:r>
              <w:rPr>
                <w:rFonts w:hint="eastAsia" w:ascii="宋体" w:hAnsi="宋体"/>
                <w:color w:val="auto"/>
                <w:szCs w:val="21"/>
                <w:highlight w:val="none"/>
              </w:rPr>
              <w:t>交易系统比对的结果进行评审</w:t>
            </w:r>
            <w:bookmarkEnd w:id="65"/>
          </w:p>
        </w:tc>
        <w:tc>
          <w:tcPr>
            <w:tcW w:w="128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bl>
    <w:p>
      <w:pPr>
        <w:spacing w:line="240" w:lineRule="auto"/>
        <w:ind w:firstLine="470" w:firstLineChars="224"/>
        <w:rPr>
          <w:rFonts w:ascii="宋体" w:hAnsi="宋体"/>
          <w:color w:val="auto"/>
          <w:szCs w:val="21"/>
          <w:highlight w:val="none"/>
        </w:rPr>
      </w:pPr>
      <w:r>
        <w:rPr>
          <w:rFonts w:hint="eastAsia" w:ascii="宋体" w:hAnsi="宋体"/>
          <w:color w:val="auto"/>
          <w:szCs w:val="21"/>
          <w:highlight w:val="none"/>
        </w:rPr>
        <w:t>备注：</w:t>
      </w:r>
    </w:p>
    <w:p>
      <w:pPr>
        <w:spacing w:line="240" w:lineRule="auto"/>
        <w:ind w:firstLine="470" w:firstLineChars="224"/>
        <w:rPr>
          <w:rFonts w:ascii="宋体" w:hAnsi="宋体"/>
          <w:color w:val="auto"/>
          <w:szCs w:val="21"/>
          <w:highlight w:val="none"/>
        </w:rPr>
      </w:pPr>
      <w:r>
        <w:rPr>
          <w:rFonts w:hint="eastAsia" w:ascii="宋体" w:hAnsi="宋体"/>
          <w:color w:val="auto"/>
          <w:szCs w:val="21"/>
          <w:highlight w:val="none"/>
        </w:rPr>
        <w:t xml:space="preserve">1、每一项目符合的打“○”，不符合的打“×”； </w:t>
      </w:r>
    </w:p>
    <w:p>
      <w:pPr>
        <w:spacing w:line="240" w:lineRule="auto"/>
        <w:ind w:firstLine="470" w:firstLineChars="224"/>
        <w:rPr>
          <w:rFonts w:ascii="宋体" w:hAnsi="宋体"/>
          <w:color w:val="auto"/>
          <w:szCs w:val="21"/>
          <w:highlight w:val="none"/>
        </w:rPr>
      </w:pPr>
      <w:r>
        <w:rPr>
          <w:rFonts w:hint="eastAsia" w:ascii="宋体" w:hAnsi="宋体"/>
          <w:color w:val="auto"/>
          <w:szCs w:val="21"/>
          <w:highlight w:val="none"/>
        </w:rPr>
        <w:t>2、若评委意见不一致时，则按少数服从多数的原则，作出评审结论。汇总后，出现一个“×”的结论为“不通过”。</w:t>
      </w:r>
    </w:p>
    <w:p>
      <w:pPr>
        <w:spacing w:line="240" w:lineRule="auto"/>
        <w:ind w:firstLine="470" w:firstLineChars="224"/>
        <w:rPr>
          <w:rFonts w:ascii="宋体" w:hAnsi="宋体"/>
          <w:color w:val="auto"/>
          <w:szCs w:val="21"/>
          <w:highlight w:val="none"/>
        </w:rPr>
      </w:pPr>
      <w:r>
        <w:rPr>
          <w:rFonts w:hint="eastAsia" w:ascii="宋体" w:hAnsi="宋体"/>
          <w:color w:val="auto"/>
          <w:szCs w:val="21"/>
          <w:highlight w:val="none"/>
        </w:rPr>
        <w:t>3.不得将文件顺序、明显的</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文字错误等列为否决投标的情形。评委发现资格审查文件中含义不明确、对同类问题表述不一致、有明显</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w:t>
      </w:r>
      <w:r>
        <w:rPr>
          <w:rFonts w:hint="eastAsia" w:ascii="宋体" w:hAnsi="宋体"/>
          <w:color w:val="auto"/>
          <w:szCs w:val="21"/>
          <w:highlight w:val="none"/>
          <w:lang w:eastAsia="zh-CN"/>
        </w:rPr>
        <w:t>、</w:t>
      </w:r>
      <w:r>
        <w:rPr>
          <w:rFonts w:hint="eastAsia" w:ascii="宋体" w:hAnsi="宋体"/>
          <w:color w:val="auto"/>
          <w:szCs w:val="21"/>
          <w:highlight w:val="none"/>
        </w:rPr>
        <w:t>计算错误的，应当要求投标人作必要的澄清、说明后再判定投标人是否通过资格审查，不得直接认定其不通过资格审查。</w:t>
      </w:r>
    </w:p>
    <w:p>
      <w:pPr>
        <w:rPr>
          <w:color w:val="auto"/>
          <w:highlight w:val="none"/>
        </w:rPr>
        <w:sectPr>
          <w:footerReference r:id="rId9" w:type="first"/>
          <w:headerReference r:id="rId7" w:type="default"/>
          <w:footerReference r:id="rId8" w:type="default"/>
          <w:endnotePr>
            <w:numFmt w:val="decimal"/>
          </w:endnotePr>
          <w:pgSz w:w="11906" w:h="16838"/>
          <w:pgMar w:top="1134" w:right="1418" w:bottom="1247" w:left="1418" w:header="851" w:footer="907" w:gutter="0"/>
          <w:pgBorders>
            <w:top w:val="none" w:sz="0" w:space="0"/>
            <w:left w:val="none" w:sz="0" w:space="0"/>
            <w:bottom w:val="none" w:sz="0" w:space="0"/>
            <w:right w:val="none" w:sz="0" w:space="0"/>
          </w:pgBorders>
          <w:pgNumType w:fmt="decimal" w:start="1"/>
          <w:cols w:space="425" w:num="1"/>
          <w:docGrid w:type="lines" w:linePitch="312" w:charSpace="0"/>
        </w:sectPr>
      </w:pPr>
    </w:p>
    <w:p>
      <w:pPr>
        <w:rPr>
          <w:color w:val="auto"/>
          <w:sz w:val="24"/>
          <w:szCs w:val="24"/>
          <w:highlight w:val="none"/>
        </w:rPr>
      </w:pPr>
      <w:r>
        <w:rPr>
          <w:rFonts w:hint="eastAsia"/>
          <w:color w:val="auto"/>
          <w:sz w:val="24"/>
          <w:szCs w:val="24"/>
          <w:highlight w:val="none"/>
        </w:rPr>
        <w:t>附表二</w:t>
      </w:r>
    </w:p>
    <w:p>
      <w:pPr>
        <w:jc w:val="center"/>
        <w:rPr>
          <w:b/>
          <w:color w:val="auto"/>
          <w:sz w:val="36"/>
          <w:szCs w:val="36"/>
          <w:highlight w:val="none"/>
        </w:rPr>
      </w:pPr>
      <w:bookmarkStart w:id="66" w:name="OLE_LINK4"/>
      <w:r>
        <w:rPr>
          <w:rFonts w:hint="eastAsia"/>
          <w:b/>
          <w:color w:val="auto"/>
          <w:sz w:val="36"/>
          <w:szCs w:val="36"/>
          <w:highlight w:val="none"/>
        </w:rPr>
        <w:t>技术标有效性审查表</w:t>
      </w:r>
      <w:bookmarkEnd w:id="66"/>
    </w:p>
    <w:p>
      <w:pPr>
        <w:rPr>
          <w:rFonts w:hint="eastAsia" w:eastAsia="宋体"/>
          <w:color w:val="auto"/>
          <w:szCs w:val="21"/>
          <w:highlight w:val="none"/>
          <w:lang w:eastAsia="zh-CN"/>
        </w:rPr>
      </w:pPr>
      <w:r>
        <w:rPr>
          <w:rFonts w:hint="eastAsia"/>
          <w:color w:val="auto"/>
          <w:szCs w:val="21"/>
          <w:highlight w:val="none"/>
        </w:rPr>
        <w:t>工程名称：</w:t>
      </w:r>
      <w:r>
        <w:rPr>
          <w:rFonts w:hint="eastAsia"/>
          <w:color w:val="auto"/>
          <w:szCs w:val="21"/>
          <w:highlight w:val="none"/>
          <w:lang w:eastAsia="zh-CN"/>
        </w:rPr>
        <w:t>仙村镇沙滘村中坊社纪念公园建设工程施工总承包</w:t>
      </w:r>
    </w:p>
    <w:tbl>
      <w:tblPr>
        <w:tblStyle w:val="3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6924"/>
        <w:gridCol w:w="1200"/>
        <w:gridCol w:w="1200"/>
        <w:gridCol w:w="1200"/>
        <w:gridCol w:w="1200"/>
        <w:gridCol w:w="1200"/>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 w:type="pct"/>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序号</w:t>
            </w:r>
          </w:p>
        </w:tc>
        <w:tc>
          <w:tcPr>
            <w:tcW w:w="2360" w:type="pct"/>
            <w:tcBorders>
              <w:top w:val="single" w:color="auto" w:sz="4" w:space="0"/>
              <w:left w:val="single" w:color="auto" w:sz="4" w:space="0"/>
              <w:bottom w:val="single" w:color="auto" w:sz="4" w:space="0"/>
              <w:right w:val="single" w:color="auto" w:sz="4" w:space="0"/>
              <w:tl2br w:val="single" w:color="auto" w:sz="4" w:space="0"/>
            </w:tcBorders>
          </w:tcPr>
          <w:p>
            <w:pPr>
              <w:adjustRightInd w:val="0"/>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w:t>
            </w:r>
          </w:p>
          <w:p>
            <w:pPr>
              <w:adjustRightInd w:val="0"/>
              <w:rPr>
                <w:rFonts w:ascii="宋体" w:hAnsi="宋体"/>
                <w:color w:val="auto"/>
                <w:szCs w:val="21"/>
                <w:highlight w:val="none"/>
              </w:rPr>
            </w:pPr>
          </w:p>
          <w:p>
            <w:pPr>
              <w:adjustRightInd w:val="0"/>
              <w:rPr>
                <w:rFonts w:ascii="宋体" w:hAnsi="宋体"/>
                <w:color w:val="auto"/>
                <w:szCs w:val="21"/>
                <w:highlight w:val="none"/>
              </w:rPr>
            </w:pPr>
            <w:r>
              <w:rPr>
                <w:rFonts w:hint="eastAsia" w:ascii="宋体" w:hAnsi="宋体"/>
                <w:color w:val="auto"/>
                <w:szCs w:val="21"/>
                <w:highlight w:val="none"/>
              </w:rPr>
              <w:t>评审内容</w:t>
            </w:r>
          </w:p>
        </w:tc>
        <w:tc>
          <w:tcPr>
            <w:tcW w:w="409"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410"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 w:type="pct"/>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1</w:t>
            </w:r>
          </w:p>
        </w:tc>
        <w:tc>
          <w:tcPr>
            <w:tcW w:w="2360" w:type="pct"/>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u w:val="single"/>
              </w:rPr>
              <w:t>《广州建设工程施工招标投标书》中工期</w:t>
            </w:r>
            <w:r>
              <w:rPr>
                <w:rFonts w:hint="eastAsia" w:ascii="宋体" w:hAnsi="宋体" w:cs="宋体"/>
                <w:color w:val="auto"/>
                <w:szCs w:val="21"/>
                <w:highlight w:val="none"/>
              </w:rPr>
              <w:t>不能满足完成投标项目工期的；</w:t>
            </w:r>
          </w:p>
        </w:tc>
        <w:tc>
          <w:tcPr>
            <w:tcW w:w="409"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410"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 w:type="pct"/>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2</w:t>
            </w:r>
          </w:p>
        </w:tc>
        <w:tc>
          <w:tcPr>
            <w:tcW w:w="2360" w:type="pct"/>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u w:val="single"/>
              </w:rPr>
              <w:t>《广州建设工程施工招标投标书》中质量标准不符合招标文件要求的；</w:t>
            </w:r>
          </w:p>
        </w:tc>
        <w:tc>
          <w:tcPr>
            <w:tcW w:w="409"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410"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 w:type="pct"/>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3</w:t>
            </w:r>
          </w:p>
        </w:tc>
        <w:tc>
          <w:tcPr>
            <w:tcW w:w="2360" w:type="pct"/>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投标文件中没有有效的法定代表人证明书，或由委托代理人签署的投标文件中没有法定代表人授权书；</w:t>
            </w:r>
          </w:p>
        </w:tc>
        <w:tc>
          <w:tcPr>
            <w:tcW w:w="409"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410"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 w:type="pct"/>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4</w:t>
            </w:r>
          </w:p>
        </w:tc>
        <w:tc>
          <w:tcPr>
            <w:tcW w:w="2360" w:type="pct"/>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u w:val="single"/>
              </w:rPr>
              <w:t>投标文件未按规定的格式填写，或关键字迹模糊、无法辨认的；</w:t>
            </w:r>
          </w:p>
        </w:tc>
        <w:tc>
          <w:tcPr>
            <w:tcW w:w="409"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410"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 w:type="pct"/>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2360" w:type="pct"/>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w:t>
            </w:r>
            <w:r>
              <w:rPr>
                <w:rFonts w:hint="eastAsia" w:ascii="宋体" w:hAnsi="宋体"/>
                <w:color w:val="auto"/>
                <w:szCs w:val="21"/>
                <w:highlight w:val="none"/>
                <w:u w:val="single"/>
                <w:lang w:val="en-US" w:eastAsia="zh-CN"/>
              </w:rPr>
              <w:t>办法</w:t>
            </w:r>
            <w:r>
              <w:rPr>
                <w:rFonts w:hint="eastAsia" w:ascii="宋体" w:hAnsi="宋体"/>
                <w:color w:val="auto"/>
                <w:szCs w:val="21"/>
                <w:highlight w:val="none"/>
              </w:rPr>
              <w:t>》第十六条所禁止的情形的；</w:t>
            </w:r>
          </w:p>
        </w:tc>
        <w:tc>
          <w:tcPr>
            <w:tcW w:w="409"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shd w:val="pct10" w:color="auto" w:fill="FFFFFF"/>
              </w:rPr>
            </w:pPr>
          </w:p>
        </w:tc>
        <w:tc>
          <w:tcPr>
            <w:tcW w:w="409"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shd w:val="pct10" w:color="auto" w:fill="FFFFFF"/>
              </w:rPr>
            </w:pPr>
          </w:p>
        </w:tc>
        <w:tc>
          <w:tcPr>
            <w:tcW w:w="409"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shd w:val="pct10" w:color="auto" w:fill="FFFFFF"/>
              </w:rPr>
            </w:pPr>
          </w:p>
        </w:tc>
        <w:tc>
          <w:tcPr>
            <w:tcW w:w="409"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shd w:val="pct10" w:color="auto" w:fill="FFFFFF"/>
              </w:rPr>
            </w:pPr>
          </w:p>
        </w:tc>
        <w:tc>
          <w:tcPr>
            <w:tcW w:w="409"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shd w:val="pct10" w:color="auto" w:fill="FFFFFF"/>
              </w:rPr>
            </w:pPr>
          </w:p>
        </w:tc>
        <w:tc>
          <w:tcPr>
            <w:tcW w:w="410"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 w:type="pct"/>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2360" w:type="pct"/>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rPr>
              <w:t>无《参与编制技术标投标文件人员名单》的</w:t>
            </w:r>
            <w:r>
              <w:rPr>
                <w:rFonts w:hint="eastAsia" w:ascii="宋体" w:hAnsi="宋体"/>
                <w:color w:val="auto"/>
                <w:szCs w:val="21"/>
                <w:highlight w:val="none"/>
                <w:lang w:eastAsia="zh-CN"/>
              </w:rPr>
              <w:t>；</w:t>
            </w:r>
          </w:p>
        </w:tc>
        <w:tc>
          <w:tcPr>
            <w:tcW w:w="409"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410"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 w:type="pct"/>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2360" w:type="pct"/>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olor w:val="auto"/>
                <w:szCs w:val="21"/>
                <w:highlight w:val="none"/>
                <w:lang w:eastAsia="zh-CN"/>
              </w:rPr>
            </w:pPr>
            <w:r>
              <w:rPr>
                <w:rFonts w:hint="eastAsia" w:ascii="宋体" w:hAnsi="宋体" w:cs="Times New Roman"/>
                <w:color w:val="auto"/>
                <w:kern w:val="2"/>
                <w:sz w:val="21"/>
                <w:szCs w:val="21"/>
                <w:highlight w:val="none"/>
              </w:rPr>
              <w:t>投标人与</w:t>
            </w:r>
            <w:r>
              <w:rPr>
                <w:rFonts w:hint="eastAsia" w:ascii="宋体" w:hAnsi="宋体" w:cs="Times New Roman"/>
                <w:b w:val="0"/>
                <w:bCs w:val="0"/>
                <w:color w:val="auto"/>
                <w:kern w:val="2"/>
                <w:sz w:val="21"/>
                <w:szCs w:val="21"/>
                <w:highlight w:val="none"/>
              </w:rPr>
              <w:t>本项目</w:t>
            </w:r>
            <w:r>
              <w:rPr>
                <w:rFonts w:hint="eastAsia" w:ascii="宋体" w:hAnsi="宋体" w:cs="Times New Roman"/>
                <w:color w:val="auto"/>
                <w:kern w:val="2"/>
                <w:sz w:val="21"/>
                <w:szCs w:val="21"/>
                <w:highlight w:val="none"/>
              </w:rPr>
              <w:t>其他投标人加密打包投标文件</w:t>
            </w:r>
            <w:r>
              <w:rPr>
                <w:rFonts w:hint="eastAsia" w:ascii="宋体" w:hAnsi="宋体" w:cs="Times New Roman"/>
                <w:color w:val="auto"/>
                <w:kern w:val="2"/>
                <w:sz w:val="21"/>
                <w:szCs w:val="21"/>
                <w:highlight w:val="none"/>
                <w:lang w:eastAsia="zh-CN"/>
              </w:rPr>
              <w:t>硬件机</w:t>
            </w:r>
            <w:r>
              <w:rPr>
                <w:rFonts w:hint="eastAsia" w:ascii="宋体" w:hAnsi="宋体" w:cs="Times New Roman"/>
                <w:color w:val="auto"/>
                <w:kern w:val="2"/>
                <w:sz w:val="21"/>
                <w:szCs w:val="21"/>
                <w:highlight w:val="none"/>
              </w:rPr>
              <w:t>器特征码一致的</w:t>
            </w:r>
            <w:r>
              <w:rPr>
                <w:rFonts w:ascii="宋体" w:hAnsi="宋体" w:cs="Times New Roman"/>
                <w:color w:val="auto"/>
                <w:kern w:val="2"/>
                <w:sz w:val="21"/>
                <w:szCs w:val="21"/>
                <w:highlight w:val="none"/>
              </w:rPr>
              <w:t>(以</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none"/>
                <w:lang w:val="en-US" w:eastAsia="zh-CN"/>
              </w:rPr>
              <w:t>平台</w:t>
            </w:r>
            <w:r>
              <w:rPr>
                <w:rFonts w:ascii="宋体" w:hAnsi="宋体" w:cs="Times New Roman"/>
                <w:color w:val="auto"/>
                <w:kern w:val="2"/>
                <w:sz w:val="21"/>
                <w:szCs w:val="21"/>
                <w:highlight w:val="none"/>
              </w:rPr>
              <w:t>评标系统的检索信息为准)</w:t>
            </w:r>
            <w:r>
              <w:rPr>
                <w:rFonts w:hint="eastAsia" w:ascii="宋体" w:hAnsi="宋体" w:cs="Times New Roman"/>
                <w:color w:val="auto"/>
                <w:kern w:val="2"/>
                <w:sz w:val="21"/>
                <w:szCs w:val="21"/>
                <w:highlight w:val="none"/>
                <w:lang w:eastAsia="zh-CN"/>
              </w:rPr>
              <w:t>。</w:t>
            </w:r>
          </w:p>
        </w:tc>
        <w:tc>
          <w:tcPr>
            <w:tcW w:w="409"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410" w:type="pct"/>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bl>
    <w:p>
      <w:pPr>
        <w:rPr>
          <w:rFonts w:ascii="宋体" w:hAnsi="宋体"/>
          <w:color w:val="auto"/>
          <w:szCs w:val="21"/>
          <w:highlight w:val="none"/>
        </w:rPr>
      </w:pPr>
      <w:r>
        <w:rPr>
          <w:rFonts w:hint="eastAsia" w:ascii="宋体" w:hAnsi="宋体"/>
          <w:color w:val="auto"/>
          <w:szCs w:val="21"/>
          <w:highlight w:val="none"/>
        </w:rPr>
        <w:t>注：1.本表使用招标文件范本，与范本内容不同之处均以下划线标明。技术标评审中，响应性、承诺性内容不应作为评分因素，可在该表中对上述内容进行符合性审查。审查标准须具备可操作性。</w:t>
      </w:r>
    </w:p>
    <w:p>
      <w:pPr>
        <w:rPr>
          <w:rFonts w:hint="eastAsia" w:ascii="宋体" w:hAnsi="宋体" w:eastAsia="宋体"/>
          <w:color w:val="auto"/>
          <w:szCs w:val="21"/>
          <w:highlight w:val="none"/>
          <w:lang w:eastAsia="zh-CN"/>
        </w:rPr>
      </w:pPr>
      <w:r>
        <w:rPr>
          <w:rFonts w:hint="eastAsia" w:ascii="宋体" w:hAnsi="宋体"/>
          <w:color w:val="auto"/>
          <w:szCs w:val="21"/>
          <w:highlight w:val="none"/>
        </w:rPr>
        <w:t>2.不得将文件顺序、明显的文字错误等列为否决投标的情形。评委发现投标文件中含义不明确、对同类问题表述不一致、有明显</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w:t>
      </w:r>
      <w:r>
        <w:rPr>
          <w:rFonts w:hint="eastAsia" w:ascii="宋体" w:hAnsi="宋体"/>
          <w:color w:val="auto"/>
          <w:szCs w:val="21"/>
          <w:highlight w:val="none"/>
          <w:lang w:eastAsia="zh-CN"/>
        </w:rPr>
        <w:t>、</w:t>
      </w:r>
      <w:r>
        <w:rPr>
          <w:rFonts w:hint="eastAsia" w:ascii="宋体" w:hAnsi="宋体"/>
          <w:color w:val="auto"/>
          <w:szCs w:val="21"/>
          <w:highlight w:val="none"/>
        </w:rPr>
        <w:t>计算错误的，应当要求投标人作必要的澄清、说明后再判定投标人是否通过有效性审查，不得直接否决投标，若出现评标委员会否决投标的，应在评标报告中载明否决投标的具体情形、原因</w:t>
      </w:r>
      <w:r>
        <w:rPr>
          <w:rFonts w:hint="eastAsia" w:ascii="宋体" w:hAnsi="宋体"/>
          <w:color w:val="auto"/>
          <w:szCs w:val="21"/>
          <w:highlight w:val="none"/>
          <w:lang w:eastAsia="zh-CN"/>
        </w:rPr>
        <w:t>。</w:t>
      </w:r>
    </w:p>
    <w:p>
      <w:pPr>
        <w:rPr>
          <w:rFonts w:ascii="宋体" w:hAnsi="宋体"/>
          <w:color w:val="auto"/>
          <w:szCs w:val="21"/>
          <w:highlight w:val="none"/>
        </w:rPr>
      </w:pPr>
      <w:r>
        <w:rPr>
          <w:rFonts w:hint="eastAsia" w:ascii="宋体" w:hAnsi="宋体"/>
          <w:color w:val="auto"/>
          <w:szCs w:val="21"/>
          <w:highlight w:val="none"/>
        </w:rPr>
        <w:t>3.凡出现以上任何一项情形，结论均为无效，否则就为有效。</w:t>
      </w:r>
    </w:p>
    <w:p>
      <w:pPr>
        <w:pStyle w:val="21"/>
        <w:ind w:firstLine="0" w:firstLineChars="0"/>
        <w:rPr>
          <w:rFonts w:hint="eastAsia" w:ascii="宋体" w:hAnsi="宋体"/>
          <w:color w:val="auto"/>
          <w:szCs w:val="21"/>
          <w:highlight w:val="none"/>
        </w:rPr>
      </w:pPr>
      <w:r>
        <w:rPr>
          <w:rFonts w:hint="eastAsia" w:ascii="宋体" w:hAnsi="宋体"/>
          <w:color w:val="auto"/>
          <w:szCs w:val="21"/>
          <w:highlight w:val="none"/>
        </w:rPr>
        <w:t>4.如对本表中某种情形的评审意见不一致时，以评标委员会过半数成员的意见作为评标委员会对该情形的认定结论。</w:t>
      </w:r>
    </w:p>
    <w:p>
      <w:pPr>
        <w:pStyle w:val="21"/>
        <w:ind w:firstLine="0" w:firstLineChars="0"/>
        <w:rPr>
          <w:color w:val="auto"/>
          <w:highlight w:val="none"/>
          <w:u w:val="single"/>
        </w:rPr>
      </w:pPr>
      <w:r>
        <w:rPr>
          <w:rFonts w:hint="eastAsia" w:ascii="宋体" w:hAnsi="宋体" w:cs="宋体"/>
          <w:color w:val="auto"/>
          <w:sz w:val="21"/>
          <w:szCs w:val="21"/>
          <w:highlight w:val="none"/>
          <w:u w:val="single"/>
          <w:lang w:bidi="ar"/>
        </w:rPr>
        <w:t>5.本表中第4点，投标文件规定格式（即参与评审的格式）为</w:t>
      </w:r>
      <w:r>
        <w:rPr>
          <w:rFonts w:hint="eastAsia" w:ascii="宋体" w:hAnsi="宋体" w:cs="宋体"/>
          <w:color w:val="auto"/>
          <w:spacing w:val="-4"/>
          <w:sz w:val="21"/>
          <w:szCs w:val="22"/>
          <w:highlight w:val="none"/>
          <w:u w:val="single"/>
          <w:lang w:bidi="ar"/>
        </w:rPr>
        <w:t>技术标投标文件格式的格式二、格式七、格式八、格式十</w:t>
      </w:r>
      <w:r>
        <w:rPr>
          <w:rFonts w:hint="eastAsia"/>
          <w:color w:val="auto"/>
          <w:highlight w:val="none"/>
          <w:u w:val="single"/>
        </w:rPr>
        <w:t>。</w:t>
      </w:r>
    </w:p>
    <w:p>
      <w:pPr>
        <w:rPr>
          <w:color w:val="auto"/>
          <w:szCs w:val="21"/>
          <w:highlight w:val="none"/>
        </w:rPr>
      </w:pPr>
      <w:r>
        <w:rPr>
          <w:color w:val="auto"/>
          <w:highlight w:val="none"/>
        </w:rPr>
        <w:br w:type="page"/>
      </w:r>
      <w:r>
        <w:rPr>
          <w:rFonts w:hint="eastAsia"/>
          <w:color w:val="auto"/>
          <w:sz w:val="24"/>
          <w:szCs w:val="24"/>
          <w:highlight w:val="none"/>
        </w:rPr>
        <w:t>附表三</w:t>
      </w:r>
    </w:p>
    <w:p>
      <w:pPr>
        <w:jc w:val="center"/>
        <w:rPr>
          <w:b/>
          <w:color w:val="auto"/>
          <w:sz w:val="36"/>
          <w:szCs w:val="36"/>
          <w:highlight w:val="none"/>
        </w:rPr>
      </w:pPr>
      <w:bookmarkStart w:id="67" w:name="OLE_LINK5"/>
      <w:r>
        <w:rPr>
          <w:rFonts w:hint="eastAsia"/>
          <w:b/>
          <w:color w:val="auto"/>
          <w:sz w:val="36"/>
          <w:szCs w:val="36"/>
          <w:highlight w:val="none"/>
        </w:rPr>
        <w:t>经济标有效性审查表</w:t>
      </w:r>
      <w:bookmarkEnd w:id="67"/>
    </w:p>
    <w:p>
      <w:pPr>
        <w:rPr>
          <w:rFonts w:hint="eastAsia" w:eastAsia="宋体"/>
          <w:color w:val="auto"/>
          <w:szCs w:val="21"/>
          <w:highlight w:val="none"/>
          <w:lang w:eastAsia="zh-CN"/>
        </w:rPr>
      </w:pPr>
      <w:r>
        <w:rPr>
          <w:rFonts w:hint="eastAsia"/>
          <w:color w:val="auto"/>
          <w:szCs w:val="21"/>
          <w:highlight w:val="none"/>
        </w:rPr>
        <w:t>工程名称：</w:t>
      </w:r>
      <w:r>
        <w:rPr>
          <w:rFonts w:hint="eastAsia"/>
          <w:color w:val="auto"/>
          <w:szCs w:val="21"/>
          <w:highlight w:val="none"/>
          <w:lang w:eastAsia="zh-CN"/>
        </w:rPr>
        <w:t>仙村镇沙滘村中坊社纪念公园建设工程施工总承包</w:t>
      </w:r>
    </w:p>
    <w:tbl>
      <w:tblPr>
        <w:tblStyle w:val="37"/>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975"/>
        <w:gridCol w:w="1251"/>
        <w:gridCol w:w="1251"/>
        <w:gridCol w:w="1251"/>
        <w:gridCol w:w="1251"/>
        <w:gridCol w:w="1251"/>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序号</w:t>
            </w:r>
          </w:p>
        </w:tc>
        <w:tc>
          <w:tcPr>
            <w:tcW w:w="6975" w:type="dxa"/>
            <w:tcBorders>
              <w:top w:val="single" w:color="auto" w:sz="4" w:space="0"/>
              <w:left w:val="single" w:color="auto" w:sz="4" w:space="0"/>
              <w:bottom w:val="single" w:color="auto" w:sz="4" w:space="0"/>
              <w:right w:val="single" w:color="auto" w:sz="4" w:space="0"/>
              <w:tl2br w:val="single" w:color="auto" w:sz="4" w:space="0"/>
            </w:tcBorders>
          </w:tcPr>
          <w:p>
            <w:pP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评审内容</w:t>
            </w: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3"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w:t>
            </w:r>
          </w:p>
        </w:tc>
        <w:tc>
          <w:tcPr>
            <w:tcW w:w="69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3"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w:t>
            </w:r>
          </w:p>
        </w:tc>
        <w:tc>
          <w:tcPr>
            <w:tcW w:w="69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投标报价高于最高投标限价的</w:t>
            </w:r>
            <w:r>
              <w:rPr>
                <w:rFonts w:hint="eastAsia" w:ascii="宋体" w:hAnsi="宋体"/>
                <w:color w:val="auto"/>
                <w:szCs w:val="21"/>
                <w:highlight w:val="none"/>
                <w:u w:val="single"/>
              </w:rPr>
              <w:t>，或综合单价报价高于综合单价限价的（综合单价限价见发布的工程量清单）</w:t>
            </w:r>
            <w:r>
              <w:rPr>
                <w:rFonts w:hint="eastAsia" w:ascii="宋体" w:hAnsi="宋体"/>
                <w:color w:val="auto"/>
                <w:szCs w:val="21"/>
                <w:highlight w:val="none"/>
              </w:rPr>
              <w:t>；</w:t>
            </w: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3"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3</w:t>
            </w:r>
          </w:p>
        </w:tc>
        <w:tc>
          <w:tcPr>
            <w:tcW w:w="69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ascii="宋体" w:hAnsi="宋体"/>
                <w:color w:val="auto"/>
                <w:szCs w:val="21"/>
                <w:highlight w:val="none"/>
              </w:rPr>
            </w:pPr>
            <w:r>
              <w:rPr>
                <w:rFonts w:hint="eastAsia" w:ascii="宋体" w:hAnsi="宋体"/>
                <w:color w:val="auto"/>
                <w:szCs w:val="21"/>
                <w:highlight w:val="none"/>
              </w:rPr>
              <w:t>投标报价低于成本的；</w:t>
            </w: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3"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69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u w:val="single"/>
              </w:rPr>
              <w:t>投标文件未按规定的格式填写，或关键字迹模糊、无法辨认的；</w:t>
            </w: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3"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69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w:t>
            </w:r>
            <w:r>
              <w:rPr>
                <w:rFonts w:hint="eastAsia" w:ascii="宋体" w:hAnsi="宋体"/>
                <w:color w:val="auto"/>
                <w:szCs w:val="21"/>
                <w:highlight w:val="none"/>
                <w:u w:val="single"/>
                <w:lang w:val="en-US" w:eastAsia="zh-CN"/>
              </w:rPr>
              <w:t>办法</w:t>
            </w:r>
            <w:r>
              <w:rPr>
                <w:rFonts w:hint="eastAsia" w:ascii="宋体" w:hAnsi="宋体"/>
                <w:color w:val="auto"/>
                <w:szCs w:val="21"/>
                <w:highlight w:val="none"/>
              </w:rPr>
              <w:t>》第十六条所禁止的情形的；</w:t>
            </w: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3"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69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无《参与编制经济标投标文件人员名单》的；</w:t>
            </w: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3"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69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auto"/>
                <w:szCs w:val="21"/>
                <w:highlight w:val="none"/>
                <w:lang w:eastAsia="zh-CN"/>
              </w:rPr>
            </w:pPr>
            <w:r>
              <w:rPr>
                <w:rFonts w:hint="eastAsia" w:ascii="宋体" w:hAnsi="宋体"/>
                <w:color w:val="auto"/>
                <w:szCs w:val="21"/>
                <w:highlight w:val="none"/>
              </w:rPr>
              <w:t>无《对投标文件编制的承诺》</w:t>
            </w:r>
            <w:r>
              <w:rPr>
                <w:rFonts w:hint="eastAsia" w:ascii="宋体" w:hAnsi="宋体"/>
                <w:color w:val="auto"/>
                <w:szCs w:val="21"/>
                <w:highlight w:val="none"/>
                <w:lang w:eastAsia="zh-CN"/>
              </w:rPr>
              <w:t>；</w:t>
            </w: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3"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69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auto"/>
                <w:szCs w:val="21"/>
                <w:highlight w:val="none"/>
                <w:lang w:eastAsia="zh-CN"/>
              </w:rPr>
            </w:pPr>
            <w:r>
              <w:rPr>
                <w:rFonts w:hint="eastAsia" w:ascii="宋体" w:hAnsi="宋体"/>
                <w:color w:val="auto"/>
                <w:szCs w:val="21"/>
                <w:highlight w:val="none"/>
              </w:rPr>
              <w:t>投标人与本项目其他投标人的投标文件工程量清单编制机器硬件信息一致的</w:t>
            </w:r>
            <w:r>
              <w:rPr>
                <w:rFonts w:hint="eastAsia" w:ascii="宋体" w:hAnsi="宋体" w:cs="宋体"/>
                <w:color w:val="auto"/>
                <w:szCs w:val="21"/>
                <w:highlight w:val="none"/>
                <w:u w:val="single"/>
              </w:rPr>
              <w:t>（以</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rPr>
              <w:t>交易平台评标系统的检索信息为准）</w:t>
            </w:r>
            <w:r>
              <w:rPr>
                <w:rFonts w:hint="eastAsia" w:ascii="宋体" w:hAnsi="宋体"/>
                <w:color w:val="auto"/>
                <w:szCs w:val="21"/>
                <w:highlight w:val="none"/>
                <w:lang w:eastAsia="zh-CN"/>
              </w:rPr>
              <w:t>。</w:t>
            </w: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3"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bl>
    <w:p>
      <w:pPr>
        <w:ind w:firstLine="458"/>
        <w:rPr>
          <w:rFonts w:ascii="宋体" w:hAnsi="宋体"/>
          <w:color w:val="auto"/>
          <w:szCs w:val="21"/>
          <w:highlight w:val="none"/>
        </w:rPr>
      </w:pPr>
      <w:r>
        <w:rPr>
          <w:rFonts w:hint="eastAsia" w:ascii="宋体" w:hAnsi="宋体"/>
          <w:color w:val="auto"/>
          <w:szCs w:val="21"/>
          <w:highlight w:val="none"/>
        </w:rPr>
        <w:t>注：1.本表使用招标文件范本，与范本内容不同之处均以下划线标明。</w:t>
      </w:r>
    </w:p>
    <w:p>
      <w:pPr>
        <w:ind w:firstLine="458"/>
        <w:rPr>
          <w:rFonts w:ascii="宋体" w:hAnsi="宋体"/>
          <w:color w:val="auto"/>
          <w:szCs w:val="21"/>
          <w:highlight w:val="none"/>
        </w:rPr>
      </w:pPr>
      <w:r>
        <w:rPr>
          <w:rFonts w:hint="eastAsia" w:ascii="宋体" w:hAnsi="宋体"/>
          <w:color w:val="auto"/>
          <w:szCs w:val="21"/>
          <w:highlight w:val="none"/>
        </w:rPr>
        <w:t>2.凡出现以上任何一项情形，结论均为无效，否则就为有效。</w:t>
      </w:r>
    </w:p>
    <w:p>
      <w:pPr>
        <w:ind w:firstLine="458"/>
        <w:rPr>
          <w:rFonts w:ascii="宋体" w:hAnsi="宋体"/>
          <w:color w:val="auto"/>
          <w:szCs w:val="21"/>
          <w:highlight w:val="none"/>
        </w:rPr>
      </w:pPr>
      <w:r>
        <w:rPr>
          <w:rFonts w:hint="eastAsia" w:ascii="宋体" w:hAnsi="宋体"/>
          <w:color w:val="auto"/>
          <w:szCs w:val="21"/>
          <w:highlight w:val="none"/>
        </w:rPr>
        <w:t>3.如对本表中某种情形的评审意见不一致时，以评标委员会过半数成员的意见作为评标委员会对该情形的认定结论。</w:t>
      </w:r>
    </w:p>
    <w:p>
      <w:pPr>
        <w:ind w:firstLine="458"/>
        <w:rPr>
          <w:rFonts w:ascii="宋体" w:hAnsi="宋体"/>
          <w:color w:val="auto"/>
          <w:szCs w:val="21"/>
          <w:highlight w:val="none"/>
        </w:rPr>
      </w:pPr>
      <w:r>
        <w:rPr>
          <w:rFonts w:hint="eastAsia" w:ascii="宋体" w:hAnsi="宋体"/>
          <w:color w:val="auto"/>
          <w:szCs w:val="21"/>
          <w:highlight w:val="none"/>
        </w:rPr>
        <w:t>4.不得将文件顺序、明显的文字错误等列为否决投标的情形。评委发现投标文件中含义不明确、对同类问题表述不一致、有明显</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w:t>
      </w:r>
      <w:r>
        <w:rPr>
          <w:rFonts w:hint="eastAsia" w:ascii="宋体" w:hAnsi="宋体"/>
          <w:color w:val="auto"/>
          <w:szCs w:val="21"/>
          <w:highlight w:val="none"/>
          <w:lang w:eastAsia="zh-CN"/>
        </w:rPr>
        <w:t>、</w:t>
      </w:r>
      <w:r>
        <w:rPr>
          <w:rFonts w:hint="eastAsia" w:ascii="宋体" w:hAnsi="宋体"/>
          <w:color w:val="auto"/>
          <w:szCs w:val="21"/>
          <w:highlight w:val="none"/>
        </w:rPr>
        <w:t>计算错误、投标报价可能低于成本影响履约的，应当要求投标人作必要的澄清、说明后再判定投标人是否通过有效性审查，不得直接否决投标。</w:t>
      </w:r>
    </w:p>
    <w:p>
      <w:pPr>
        <w:pStyle w:val="5"/>
        <w:ind w:firstLine="458"/>
        <w:rPr>
          <w:rFonts w:hint="eastAsia" w:ascii="宋体" w:hAnsi="宋体"/>
          <w:color w:val="auto"/>
          <w:szCs w:val="21"/>
          <w:highlight w:val="none"/>
          <w:u w:val="single"/>
        </w:rPr>
      </w:pPr>
      <w:r>
        <w:rPr>
          <w:rFonts w:hint="eastAsia" w:ascii="宋体" w:hAnsi="宋体" w:cs="宋体"/>
          <w:color w:val="auto"/>
          <w:szCs w:val="21"/>
          <w:highlight w:val="none"/>
          <w:u w:val="single"/>
          <w:lang w:bidi="ar"/>
        </w:rPr>
        <w:t>5.本表中第</w:t>
      </w:r>
      <w:r>
        <w:rPr>
          <w:rFonts w:hint="eastAsia" w:hAnsi="宋体" w:cs="宋体"/>
          <w:color w:val="auto"/>
          <w:szCs w:val="21"/>
          <w:highlight w:val="none"/>
          <w:u w:val="single"/>
          <w:lang w:val="en-US" w:eastAsia="zh-CN" w:bidi="ar"/>
        </w:rPr>
        <w:t>4</w:t>
      </w:r>
      <w:r>
        <w:rPr>
          <w:rFonts w:hint="eastAsia" w:ascii="宋体" w:hAnsi="宋体" w:cs="宋体"/>
          <w:color w:val="auto"/>
          <w:szCs w:val="21"/>
          <w:highlight w:val="none"/>
          <w:u w:val="single"/>
          <w:lang w:bidi="ar"/>
        </w:rPr>
        <w:t>点，投标文件规定格式（即参与评审的格式）为</w:t>
      </w:r>
      <w:r>
        <w:rPr>
          <w:rFonts w:hint="eastAsia" w:ascii="宋体" w:hAnsi="宋体" w:cs="宋体"/>
          <w:color w:val="auto"/>
          <w:spacing w:val="-4"/>
          <w:highlight w:val="none"/>
          <w:u w:val="single"/>
          <w:lang w:bidi="ar"/>
        </w:rPr>
        <w:t>经济标投标文件格式的格式二</w:t>
      </w:r>
      <w:r>
        <w:rPr>
          <w:rFonts w:hint="eastAsia" w:ascii="宋体" w:hAnsi="宋体" w:cs="宋体"/>
          <w:color w:val="auto"/>
          <w:spacing w:val="-4"/>
          <w:highlight w:val="none"/>
          <w:u w:val="single"/>
          <w:lang w:eastAsia="zh-CN" w:bidi="ar"/>
        </w:rPr>
        <w:t>、</w:t>
      </w:r>
      <w:r>
        <w:rPr>
          <w:rFonts w:hint="eastAsia" w:ascii="宋体" w:hAnsi="宋体" w:cs="宋体"/>
          <w:color w:val="auto"/>
          <w:spacing w:val="-4"/>
          <w:highlight w:val="none"/>
          <w:u w:val="single"/>
          <w:lang w:bidi="ar"/>
        </w:rPr>
        <w:t>格式二</w:t>
      </w:r>
      <w:r>
        <w:rPr>
          <w:rFonts w:hint="eastAsia" w:ascii="宋体" w:hAnsi="宋体" w:cs="宋体"/>
          <w:color w:val="auto"/>
          <w:spacing w:val="-4"/>
          <w:highlight w:val="none"/>
          <w:u w:val="single"/>
          <w:lang w:val="en-US" w:eastAsia="zh-CN" w:bidi="ar"/>
        </w:rPr>
        <w:t>-1</w:t>
      </w:r>
      <w:r>
        <w:rPr>
          <w:rFonts w:hint="eastAsia" w:ascii="宋体" w:hAnsi="宋体" w:cs="宋体"/>
          <w:color w:val="auto"/>
          <w:spacing w:val="-4"/>
          <w:highlight w:val="none"/>
          <w:u w:val="single"/>
          <w:lang w:bidi="ar"/>
        </w:rPr>
        <w:t>、格式三、格式四</w:t>
      </w:r>
      <w:r>
        <w:rPr>
          <w:rFonts w:hint="eastAsia"/>
          <w:color w:val="auto"/>
          <w:highlight w:val="none"/>
          <w:u w:val="single"/>
        </w:rPr>
        <w:t>。</w:t>
      </w:r>
    </w:p>
    <w:p>
      <w:pPr>
        <w:pStyle w:val="5"/>
        <w:ind w:firstLine="458"/>
        <w:rPr>
          <w:rFonts w:ascii="宋体" w:hAnsi="宋体"/>
          <w:color w:val="auto"/>
          <w:szCs w:val="21"/>
          <w:highlight w:val="none"/>
        </w:rPr>
        <w:sectPr>
          <w:endnotePr>
            <w:numFmt w:val="decimal"/>
          </w:endnotePr>
          <w:pgSz w:w="16838" w:h="11906" w:orient="landscape"/>
          <w:pgMar w:top="1418" w:right="1247" w:bottom="1418" w:left="1134" w:header="851" w:footer="907"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宋体" w:hAnsi="宋体"/>
          <w:color w:val="auto"/>
          <w:szCs w:val="21"/>
          <w:highlight w:val="none"/>
        </w:rPr>
        <w:t>评委签名：</w:t>
      </w:r>
    </w:p>
    <w:p>
      <w:pPr>
        <w:rPr>
          <w:rFonts w:hint="eastAsia"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附表四</w:t>
      </w:r>
    </w:p>
    <w:p>
      <w:pPr>
        <w:spacing w:line="360" w:lineRule="auto"/>
        <w:ind w:firstLine="373" w:firstLineChars="116"/>
        <w:jc w:val="center"/>
        <w:rPr>
          <w:rFonts w:ascii="宋体" w:hAnsi="宋体"/>
          <w:b/>
          <w:color w:val="auto"/>
          <w:kern w:val="0"/>
          <w:sz w:val="32"/>
          <w:szCs w:val="32"/>
          <w:highlight w:val="none"/>
        </w:rPr>
      </w:pPr>
      <w:r>
        <w:rPr>
          <w:rFonts w:hint="eastAsia" w:ascii="宋体" w:hAnsi="宋体"/>
          <w:b/>
          <w:color w:val="auto"/>
          <w:kern w:val="0"/>
          <w:sz w:val="32"/>
          <w:szCs w:val="32"/>
          <w:highlight w:val="none"/>
        </w:rPr>
        <w:t>技术标详细审查评分表</w:t>
      </w:r>
    </w:p>
    <w:tbl>
      <w:tblPr>
        <w:tblStyle w:val="37"/>
        <w:tblW w:w="5054" w:type="pct"/>
        <w:jc w:val="center"/>
        <w:tblLayout w:type="autofit"/>
        <w:tblCellMar>
          <w:top w:w="0" w:type="dxa"/>
          <w:left w:w="108" w:type="dxa"/>
          <w:bottom w:w="0" w:type="dxa"/>
          <w:right w:w="108" w:type="dxa"/>
        </w:tblCellMar>
      </w:tblPr>
      <w:tblGrid>
        <w:gridCol w:w="863"/>
        <w:gridCol w:w="1477"/>
        <w:gridCol w:w="608"/>
        <w:gridCol w:w="2966"/>
        <w:gridCol w:w="2966"/>
        <w:gridCol w:w="2966"/>
        <w:gridCol w:w="2985"/>
      </w:tblGrid>
      <w:tr>
        <w:tblPrEx>
          <w:tblCellMar>
            <w:top w:w="0" w:type="dxa"/>
            <w:left w:w="108" w:type="dxa"/>
            <w:bottom w:w="0" w:type="dxa"/>
            <w:right w:w="108" w:type="dxa"/>
          </w:tblCellMar>
        </w:tblPrEx>
        <w:trPr>
          <w:trHeight w:val="492" w:hRule="atLeast"/>
          <w:tblHeader/>
          <w:jc w:val="center"/>
        </w:trPr>
        <w:tc>
          <w:tcPr>
            <w:tcW w:w="291" w:type="pct"/>
            <w:tcBorders>
              <w:top w:val="single" w:color="auto" w:sz="8" w:space="0"/>
              <w:left w:val="single" w:color="auto" w:sz="8" w:space="0"/>
              <w:bottom w:val="single" w:color="auto" w:sz="4" w:space="0"/>
              <w:right w:val="single" w:color="auto" w:sz="4" w:space="0"/>
            </w:tcBorders>
            <w:vAlign w:val="center"/>
          </w:tcPr>
          <w:p>
            <w:pPr>
              <w:spacing w:line="0" w:lineRule="atLeast"/>
              <w:jc w:val="center"/>
              <w:rPr>
                <w:rFonts w:ascii="宋体" w:hAnsi="宋体"/>
                <w:color w:val="auto"/>
                <w:szCs w:val="21"/>
                <w:highlight w:val="none"/>
              </w:rPr>
            </w:pPr>
            <w:bookmarkStart w:id="68" w:name="OLE_LINK6"/>
            <w:r>
              <w:rPr>
                <w:rFonts w:hint="eastAsia" w:ascii="宋体" w:hAnsi="宋体"/>
                <w:color w:val="auto"/>
                <w:szCs w:val="21"/>
                <w:highlight w:val="none"/>
              </w:rPr>
              <w:t>评分</w:t>
            </w:r>
          </w:p>
          <w:p>
            <w:pPr>
              <w:spacing w:line="0" w:lineRule="atLeast"/>
              <w:jc w:val="center"/>
              <w:rPr>
                <w:rFonts w:ascii="宋体" w:hAnsi="宋体"/>
                <w:color w:val="auto"/>
                <w:szCs w:val="21"/>
                <w:highlight w:val="none"/>
              </w:rPr>
            </w:pPr>
            <w:r>
              <w:rPr>
                <w:rFonts w:hint="eastAsia" w:ascii="宋体" w:hAnsi="宋体"/>
                <w:color w:val="auto"/>
                <w:szCs w:val="21"/>
                <w:highlight w:val="none"/>
              </w:rPr>
              <w:t>项目</w:t>
            </w:r>
          </w:p>
        </w:tc>
        <w:tc>
          <w:tcPr>
            <w:tcW w:w="497" w:type="pct"/>
            <w:tcBorders>
              <w:top w:val="single" w:color="auto" w:sz="8" w:space="0"/>
              <w:left w:val="nil"/>
              <w:bottom w:val="single" w:color="auto" w:sz="4" w:space="0"/>
              <w:right w:val="single" w:color="auto" w:sz="4" w:space="0"/>
            </w:tcBorders>
            <w:vAlign w:val="center"/>
          </w:tcPr>
          <w:p>
            <w:pPr>
              <w:spacing w:line="0" w:lineRule="atLeast"/>
              <w:jc w:val="center"/>
              <w:rPr>
                <w:rFonts w:ascii="宋体" w:hAnsi="宋体"/>
                <w:color w:val="auto"/>
                <w:szCs w:val="21"/>
                <w:highlight w:val="none"/>
              </w:rPr>
            </w:pPr>
            <w:r>
              <w:rPr>
                <w:rFonts w:hint="eastAsia" w:ascii="宋体" w:hAnsi="宋体"/>
                <w:color w:val="auto"/>
                <w:szCs w:val="21"/>
                <w:highlight w:val="none"/>
              </w:rPr>
              <w:t>评分内容</w:t>
            </w:r>
          </w:p>
        </w:tc>
        <w:tc>
          <w:tcPr>
            <w:tcW w:w="205" w:type="pct"/>
            <w:tcBorders>
              <w:top w:val="single" w:color="auto" w:sz="8" w:space="0"/>
              <w:left w:val="nil"/>
              <w:bottom w:val="single" w:color="auto" w:sz="4" w:space="0"/>
              <w:right w:val="single" w:color="auto" w:sz="4" w:space="0"/>
            </w:tcBorders>
            <w:vAlign w:val="center"/>
          </w:tcPr>
          <w:p>
            <w:pPr>
              <w:spacing w:line="0" w:lineRule="atLeast"/>
              <w:jc w:val="center"/>
              <w:rPr>
                <w:rFonts w:ascii="宋体" w:hAnsi="宋体"/>
                <w:color w:val="auto"/>
                <w:szCs w:val="21"/>
                <w:highlight w:val="none"/>
              </w:rPr>
            </w:pPr>
            <w:r>
              <w:rPr>
                <w:rFonts w:hint="eastAsia" w:ascii="宋体" w:hAnsi="宋体"/>
                <w:color w:val="auto"/>
                <w:szCs w:val="21"/>
                <w:highlight w:val="none"/>
              </w:rPr>
              <w:t>分值</w:t>
            </w:r>
          </w:p>
        </w:tc>
        <w:tc>
          <w:tcPr>
            <w:tcW w:w="4006" w:type="pct"/>
            <w:gridSpan w:val="4"/>
            <w:tcBorders>
              <w:top w:val="single" w:color="auto" w:sz="8" w:space="0"/>
              <w:left w:val="nil"/>
              <w:bottom w:val="single" w:color="auto" w:sz="4" w:space="0"/>
              <w:right w:val="single" w:color="auto" w:sz="4" w:space="0"/>
            </w:tcBorders>
            <w:vAlign w:val="center"/>
          </w:tcPr>
          <w:p>
            <w:pPr>
              <w:spacing w:line="0" w:lineRule="atLeast"/>
              <w:jc w:val="center"/>
              <w:rPr>
                <w:rFonts w:ascii="宋体" w:hAnsi="宋体"/>
                <w:color w:val="auto"/>
                <w:szCs w:val="21"/>
                <w:highlight w:val="none"/>
              </w:rPr>
            </w:pPr>
            <w:r>
              <w:rPr>
                <w:rFonts w:hint="eastAsia" w:ascii="宋体" w:hAnsi="宋体"/>
                <w:color w:val="auto"/>
                <w:szCs w:val="21"/>
                <w:highlight w:val="none"/>
              </w:rPr>
              <w:t>评审标准</w:t>
            </w:r>
          </w:p>
        </w:tc>
      </w:tr>
      <w:tr>
        <w:tblPrEx>
          <w:tblCellMar>
            <w:top w:w="0" w:type="dxa"/>
            <w:left w:w="108" w:type="dxa"/>
            <w:bottom w:w="0" w:type="dxa"/>
            <w:right w:w="108" w:type="dxa"/>
          </w:tblCellMar>
        </w:tblPrEx>
        <w:trPr>
          <w:cantSplit/>
          <w:trHeight w:val="1195" w:hRule="atLeast"/>
          <w:jc w:val="center"/>
        </w:trPr>
        <w:tc>
          <w:tcPr>
            <w:tcW w:w="291" w:type="pct"/>
            <w:vMerge w:val="restart"/>
            <w:tcBorders>
              <w:top w:val="nil"/>
              <w:left w:val="single" w:color="auto" w:sz="8" w:space="0"/>
              <w:bottom w:val="single" w:color="auto" w:sz="4" w:space="0"/>
              <w:right w:val="single" w:color="auto" w:sz="4" w:space="0"/>
            </w:tcBorders>
            <w:vAlign w:val="center"/>
          </w:tcPr>
          <w:p>
            <w:pPr>
              <w:spacing w:line="0" w:lineRule="atLeast"/>
              <w:jc w:val="left"/>
              <w:rPr>
                <w:rFonts w:ascii="宋体" w:hAnsi="宋体"/>
                <w:color w:val="auto"/>
                <w:szCs w:val="21"/>
                <w:highlight w:val="none"/>
              </w:rPr>
            </w:pPr>
            <w:r>
              <w:rPr>
                <w:rFonts w:hint="eastAsia" w:ascii="宋体" w:hAnsi="宋体"/>
                <w:color w:val="auto"/>
                <w:szCs w:val="21"/>
                <w:highlight w:val="none"/>
              </w:rPr>
              <w:t>一、项目管理机构能力（4</w:t>
            </w:r>
            <w:r>
              <w:rPr>
                <w:rFonts w:ascii="宋体" w:hAnsi="宋体"/>
                <w:color w:val="auto"/>
                <w:szCs w:val="21"/>
                <w:highlight w:val="none"/>
              </w:rPr>
              <w:t>0</w:t>
            </w:r>
            <w:r>
              <w:rPr>
                <w:rFonts w:hint="eastAsia" w:ascii="宋体" w:hAnsi="宋体"/>
                <w:color w:val="auto"/>
                <w:szCs w:val="21"/>
                <w:highlight w:val="none"/>
              </w:rPr>
              <w:t>分）</w:t>
            </w:r>
          </w:p>
        </w:tc>
        <w:tc>
          <w:tcPr>
            <w:tcW w:w="497" w:type="pct"/>
            <w:tcBorders>
              <w:top w:val="single" w:color="auto" w:sz="4" w:space="0"/>
              <w:left w:val="nil"/>
              <w:bottom w:val="single" w:color="auto" w:sz="4" w:space="0"/>
              <w:right w:val="single" w:color="auto" w:sz="4" w:space="0"/>
            </w:tcBorders>
            <w:vAlign w:val="center"/>
          </w:tcPr>
          <w:p>
            <w:pPr>
              <w:spacing w:line="0" w:lineRule="atLeast"/>
              <w:rPr>
                <w:rFonts w:ascii="宋体" w:hAnsi="宋体"/>
                <w:color w:val="auto"/>
                <w:szCs w:val="21"/>
                <w:highlight w:val="none"/>
              </w:rPr>
            </w:pPr>
            <w:r>
              <w:rPr>
                <w:rFonts w:hint="eastAsia" w:ascii="宋体" w:hAnsi="宋体"/>
                <w:color w:val="auto"/>
                <w:szCs w:val="21"/>
                <w:highlight w:val="none"/>
              </w:rPr>
              <w:t>技术负责人</w:t>
            </w:r>
          </w:p>
        </w:tc>
        <w:tc>
          <w:tcPr>
            <w:tcW w:w="205" w:type="pct"/>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olor w:val="auto"/>
                <w:szCs w:val="21"/>
                <w:highlight w:val="none"/>
              </w:rPr>
            </w:pPr>
            <w:r>
              <w:rPr>
                <w:rFonts w:hint="eastAsia" w:ascii="宋体" w:hAnsi="宋体"/>
                <w:color w:val="auto"/>
                <w:szCs w:val="21"/>
                <w:highlight w:val="none"/>
              </w:rPr>
              <w:t>10</w:t>
            </w:r>
          </w:p>
        </w:tc>
        <w:tc>
          <w:tcPr>
            <w:tcW w:w="4006" w:type="pct"/>
            <w:gridSpan w:val="4"/>
            <w:tcBorders>
              <w:top w:val="single" w:color="auto" w:sz="4" w:space="0"/>
              <w:left w:val="nil"/>
              <w:bottom w:val="single" w:color="auto" w:sz="4" w:space="0"/>
              <w:right w:val="single" w:color="auto" w:sz="4" w:space="0"/>
            </w:tcBorders>
            <w:vAlign w:val="center"/>
          </w:tcPr>
          <w:p>
            <w:pPr>
              <w:spacing w:line="0" w:lineRule="atLeast"/>
              <w:rPr>
                <w:rFonts w:ascii="宋体" w:hAnsi="宋体"/>
                <w:color w:val="auto"/>
                <w:szCs w:val="21"/>
                <w:highlight w:val="none"/>
              </w:rPr>
            </w:pPr>
            <w:r>
              <w:rPr>
                <w:rFonts w:hint="eastAsia" w:ascii="宋体" w:hAnsi="宋体"/>
                <w:color w:val="auto"/>
                <w:szCs w:val="21"/>
                <w:highlight w:val="none"/>
              </w:rPr>
              <w:t>1.具有相关市政工程类专业中级或以上技术职称的，得5分；其它不得分；</w:t>
            </w:r>
          </w:p>
          <w:p>
            <w:pPr>
              <w:spacing w:line="0" w:lineRule="atLeast"/>
              <w:rPr>
                <w:rFonts w:hint="eastAsia" w:ascii="宋体" w:hAnsi="宋体"/>
                <w:color w:val="auto"/>
                <w:szCs w:val="21"/>
                <w:highlight w:val="none"/>
              </w:rPr>
            </w:pPr>
            <w:r>
              <w:rPr>
                <w:rFonts w:hint="eastAsia" w:ascii="宋体" w:hAnsi="宋体"/>
                <w:color w:val="auto"/>
                <w:szCs w:val="21"/>
                <w:highlight w:val="none"/>
              </w:rPr>
              <w:t>2.具备工作经验</w:t>
            </w:r>
            <w:r>
              <w:rPr>
                <w:rFonts w:ascii="宋体" w:hAnsi="宋体"/>
                <w:color w:val="auto"/>
                <w:szCs w:val="21"/>
                <w:highlight w:val="none"/>
              </w:rPr>
              <w:t>10</w:t>
            </w:r>
            <w:r>
              <w:rPr>
                <w:rFonts w:hint="eastAsia" w:ascii="宋体" w:hAnsi="宋体"/>
                <w:color w:val="auto"/>
                <w:szCs w:val="21"/>
                <w:highlight w:val="none"/>
              </w:rPr>
              <w:t>年以上的，得5分；工作经验5-</w:t>
            </w:r>
            <w:r>
              <w:rPr>
                <w:rFonts w:ascii="宋体" w:hAnsi="宋体"/>
                <w:color w:val="auto"/>
                <w:szCs w:val="21"/>
                <w:highlight w:val="none"/>
              </w:rPr>
              <w:t>10</w:t>
            </w:r>
            <w:r>
              <w:rPr>
                <w:rFonts w:hint="eastAsia" w:ascii="宋体" w:hAnsi="宋体"/>
                <w:color w:val="auto"/>
                <w:szCs w:val="21"/>
                <w:highlight w:val="none"/>
              </w:rPr>
              <w:t>（含）年，得3分；工作经验1-5（含）年，得1分；其它不得分。</w:t>
            </w:r>
          </w:p>
          <w:p>
            <w:pPr>
              <w:spacing w:line="0" w:lineRule="atLeast"/>
              <w:rPr>
                <w:rFonts w:ascii="宋体" w:hAnsi="宋体"/>
                <w:color w:val="auto"/>
                <w:szCs w:val="21"/>
                <w:highlight w:val="none"/>
              </w:rPr>
            </w:pPr>
            <w:r>
              <w:rPr>
                <w:rFonts w:hint="eastAsia" w:ascii="宋体" w:hAnsi="宋体"/>
                <w:color w:val="auto"/>
                <w:szCs w:val="21"/>
                <w:highlight w:val="none"/>
              </w:rPr>
              <w:t>备注：（1）本项最多得10分。（2）须提供职称证、大学专科或以上学历毕业证扫描件。（3）工作经验年限以大学专科或以上学历毕业证的颁发日期开始计算至投标截止时间止。</w:t>
            </w:r>
          </w:p>
        </w:tc>
      </w:tr>
      <w:tr>
        <w:tblPrEx>
          <w:tblCellMar>
            <w:top w:w="0" w:type="dxa"/>
            <w:left w:w="108" w:type="dxa"/>
            <w:bottom w:w="0" w:type="dxa"/>
            <w:right w:w="108" w:type="dxa"/>
          </w:tblCellMar>
        </w:tblPrEx>
        <w:trPr>
          <w:cantSplit/>
          <w:trHeight w:val="1433" w:hRule="atLeast"/>
          <w:jc w:val="center"/>
        </w:trPr>
        <w:tc>
          <w:tcPr>
            <w:tcW w:w="291" w:type="pct"/>
            <w:vMerge w:val="continue"/>
            <w:tcBorders>
              <w:top w:val="nil"/>
              <w:left w:val="single" w:color="auto" w:sz="8" w:space="0"/>
              <w:bottom w:val="single" w:color="auto" w:sz="4" w:space="0"/>
              <w:right w:val="single" w:color="auto" w:sz="4" w:space="0"/>
            </w:tcBorders>
            <w:vAlign w:val="center"/>
          </w:tcPr>
          <w:p>
            <w:pPr>
              <w:spacing w:line="0" w:lineRule="atLeast"/>
              <w:jc w:val="left"/>
              <w:rPr>
                <w:rFonts w:ascii="宋体" w:hAnsi="宋体"/>
                <w:color w:val="auto"/>
                <w:szCs w:val="21"/>
                <w:highlight w:val="none"/>
              </w:rPr>
            </w:pPr>
          </w:p>
        </w:tc>
        <w:tc>
          <w:tcPr>
            <w:tcW w:w="497" w:type="pct"/>
            <w:tcBorders>
              <w:top w:val="single" w:color="auto" w:sz="4" w:space="0"/>
              <w:left w:val="nil"/>
              <w:bottom w:val="single" w:color="auto" w:sz="4" w:space="0"/>
              <w:right w:val="single" w:color="auto" w:sz="4" w:space="0"/>
            </w:tcBorders>
            <w:vAlign w:val="center"/>
          </w:tcPr>
          <w:p>
            <w:pPr>
              <w:spacing w:line="0" w:lineRule="atLeast"/>
              <w:rPr>
                <w:rFonts w:ascii="宋体" w:hAnsi="宋体"/>
                <w:color w:val="auto"/>
                <w:szCs w:val="21"/>
                <w:highlight w:val="none"/>
              </w:rPr>
            </w:pPr>
            <w:r>
              <w:rPr>
                <w:rFonts w:hint="eastAsia" w:ascii="宋体" w:hAnsi="宋体"/>
                <w:color w:val="auto"/>
                <w:szCs w:val="21"/>
                <w:highlight w:val="none"/>
              </w:rPr>
              <w:t>安全负责人</w:t>
            </w:r>
          </w:p>
        </w:tc>
        <w:tc>
          <w:tcPr>
            <w:tcW w:w="205" w:type="pct"/>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olor w:val="auto"/>
                <w:szCs w:val="21"/>
                <w:highlight w:val="none"/>
              </w:rPr>
            </w:pPr>
            <w:r>
              <w:rPr>
                <w:rFonts w:ascii="宋体" w:hAnsi="宋体"/>
                <w:color w:val="auto"/>
                <w:szCs w:val="21"/>
                <w:highlight w:val="none"/>
              </w:rPr>
              <w:t>10</w:t>
            </w:r>
          </w:p>
        </w:tc>
        <w:tc>
          <w:tcPr>
            <w:tcW w:w="4006" w:type="pct"/>
            <w:gridSpan w:val="4"/>
            <w:tcBorders>
              <w:top w:val="single" w:color="auto" w:sz="4" w:space="0"/>
              <w:left w:val="nil"/>
              <w:bottom w:val="single" w:color="auto" w:sz="4" w:space="0"/>
              <w:right w:val="single" w:color="auto" w:sz="4" w:space="0"/>
            </w:tcBorders>
            <w:vAlign w:val="center"/>
          </w:tcPr>
          <w:p>
            <w:pPr>
              <w:spacing w:line="0" w:lineRule="atLeast"/>
              <w:rPr>
                <w:rFonts w:ascii="宋体" w:hAnsi="宋体"/>
                <w:color w:val="auto"/>
                <w:szCs w:val="21"/>
                <w:highlight w:val="none"/>
                <w:lang w:val="zh-TW" w:eastAsia="zh-TW"/>
              </w:rPr>
            </w:pPr>
            <w:r>
              <w:rPr>
                <w:rFonts w:hint="eastAsia" w:ascii="宋体" w:hAnsi="宋体"/>
                <w:color w:val="auto"/>
                <w:szCs w:val="21"/>
                <w:highlight w:val="none"/>
                <w:lang w:val="zh-TW" w:eastAsia="zh-TW"/>
              </w:rPr>
              <w:t>1</w:t>
            </w:r>
            <w:r>
              <w:rPr>
                <w:rFonts w:hint="eastAsia" w:ascii="宋体" w:hAnsi="宋体"/>
                <w:color w:val="auto"/>
                <w:szCs w:val="21"/>
                <w:highlight w:val="none"/>
              </w:rPr>
              <w:t>.</w:t>
            </w:r>
            <w:r>
              <w:rPr>
                <w:rFonts w:hint="eastAsia" w:ascii="宋体" w:hAnsi="宋体"/>
                <w:color w:val="auto"/>
                <w:szCs w:val="21"/>
                <w:highlight w:val="none"/>
                <w:lang w:val="zh-TW" w:eastAsia="zh-TW"/>
              </w:rPr>
              <w:t>具有</w:t>
            </w:r>
            <w:r>
              <w:rPr>
                <w:rFonts w:hint="eastAsia" w:ascii="宋体" w:hAnsi="宋体"/>
                <w:color w:val="auto"/>
                <w:szCs w:val="21"/>
                <w:highlight w:val="none"/>
              </w:rPr>
              <w:t>相关工程类专业中级或以上技术职称的</w:t>
            </w:r>
            <w:r>
              <w:rPr>
                <w:rFonts w:hint="eastAsia" w:ascii="宋体" w:hAnsi="宋体"/>
                <w:color w:val="auto"/>
                <w:szCs w:val="21"/>
                <w:highlight w:val="none"/>
                <w:lang w:val="zh-TW" w:eastAsia="zh-TW"/>
              </w:rPr>
              <w:t>，得</w:t>
            </w:r>
            <w:r>
              <w:rPr>
                <w:rFonts w:hint="eastAsia" w:ascii="宋体" w:hAnsi="宋体"/>
                <w:color w:val="auto"/>
                <w:szCs w:val="21"/>
                <w:highlight w:val="none"/>
              </w:rPr>
              <w:t>3</w:t>
            </w:r>
            <w:r>
              <w:rPr>
                <w:rFonts w:hint="eastAsia" w:ascii="宋体" w:hAnsi="宋体"/>
                <w:color w:val="auto"/>
                <w:szCs w:val="21"/>
                <w:highlight w:val="none"/>
                <w:lang w:val="zh-TW" w:eastAsia="zh-TW"/>
              </w:rPr>
              <w:t>分；其它不得分；</w:t>
            </w:r>
          </w:p>
          <w:p>
            <w:pPr>
              <w:spacing w:line="0" w:lineRule="atLeast"/>
              <w:rPr>
                <w:rFonts w:ascii="宋体" w:hAnsi="宋体"/>
                <w:color w:val="auto"/>
                <w:szCs w:val="21"/>
                <w:highlight w:val="none"/>
                <w:lang w:val="zh-TW" w:eastAsia="zh-TW"/>
              </w:rPr>
            </w:pPr>
            <w:r>
              <w:rPr>
                <w:rFonts w:hint="eastAsia" w:ascii="宋体" w:hAnsi="宋体"/>
                <w:color w:val="auto"/>
                <w:szCs w:val="21"/>
                <w:highlight w:val="none"/>
                <w:lang w:val="zh-TW" w:eastAsia="zh-TW"/>
              </w:rPr>
              <w:t>2</w:t>
            </w:r>
            <w:r>
              <w:rPr>
                <w:rFonts w:hint="eastAsia" w:ascii="宋体" w:hAnsi="宋体"/>
                <w:color w:val="auto"/>
                <w:szCs w:val="21"/>
                <w:highlight w:val="none"/>
              </w:rPr>
              <w:t>.</w:t>
            </w:r>
            <w:r>
              <w:rPr>
                <w:rFonts w:hint="eastAsia" w:ascii="宋体" w:hAnsi="宋体"/>
                <w:color w:val="auto"/>
                <w:szCs w:val="21"/>
                <w:highlight w:val="none"/>
                <w:lang w:val="zh-TW" w:eastAsia="zh-TW"/>
              </w:rPr>
              <w:t>具有</w:t>
            </w:r>
            <w:r>
              <w:rPr>
                <w:rFonts w:hint="eastAsia" w:ascii="宋体" w:hAnsi="宋体"/>
                <w:color w:val="auto"/>
                <w:szCs w:val="21"/>
                <w:highlight w:val="none"/>
                <w:lang w:val="zh-TW"/>
              </w:rPr>
              <w:t>有效期内安全生产考核合格证书（C类</w:t>
            </w:r>
            <w:r>
              <w:rPr>
                <w:rFonts w:hint="eastAsia" w:ascii="宋体" w:hAnsi="宋体"/>
                <w:color w:val="auto"/>
                <w:szCs w:val="21"/>
                <w:highlight w:val="none"/>
              </w:rPr>
              <w:t>/C3类</w:t>
            </w:r>
            <w:r>
              <w:rPr>
                <w:rFonts w:hint="eastAsia" w:ascii="宋体" w:hAnsi="宋体"/>
                <w:color w:val="auto"/>
                <w:szCs w:val="21"/>
                <w:highlight w:val="none"/>
                <w:lang w:val="zh-TW"/>
              </w:rPr>
              <w:t>）</w:t>
            </w:r>
            <w:r>
              <w:rPr>
                <w:rFonts w:hint="eastAsia" w:ascii="宋体" w:hAnsi="宋体"/>
                <w:color w:val="auto"/>
                <w:szCs w:val="21"/>
                <w:highlight w:val="none"/>
                <w:lang w:val="zh-TW" w:eastAsia="zh-TW"/>
              </w:rPr>
              <w:t>得</w:t>
            </w:r>
            <w:r>
              <w:rPr>
                <w:rFonts w:ascii="宋体" w:hAnsi="宋体"/>
                <w:color w:val="auto"/>
                <w:szCs w:val="21"/>
                <w:highlight w:val="none"/>
              </w:rPr>
              <w:t>2</w:t>
            </w:r>
            <w:r>
              <w:rPr>
                <w:rFonts w:hint="eastAsia" w:ascii="宋体" w:hAnsi="宋体"/>
                <w:color w:val="auto"/>
                <w:szCs w:val="21"/>
                <w:highlight w:val="none"/>
                <w:lang w:val="zh-TW" w:eastAsia="zh-TW"/>
              </w:rPr>
              <w:t>分，其它不得分；</w:t>
            </w:r>
          </w:p>
          <w:p>
            <w:pPr>
              <w:pStyle w:val="2"/>
              <w:rPr>
                <w:color w:val="auto"/>
                <w:highlight w:val="none"/>
                <w:lang w:val="zh-TW" w:eastAsia="zh-TW"/>
              </w:rPr>
            </w:pPr>
            <w:r>
              <w:rPr>
                <w:rFonts w:hint="eastAsia" w:ascii="宋体" w:hAnsi="宋体"/>
                <w:color w:val="auto"/>
                <w:szCs w:val="21"/>
                <w:highlight w:val="none"/>
              </w:rPr>
              <w:t>3.具备工作经验</w:t>
            </w:r>
            <w:r>
              <w:rPr>
                <w:rFonts w:ascii="宋体" w:hAnsi="宋体"/>
                <w:color w:val="auto"/>
                <w:szCs w:val="21"/>
                <w:highlight w:val="none"/>
              </w:rPr>
              <w:t>10</w:t>
            </w:r>
            <w:r>
              <w:rPr>
                <w:rFonts w:hint="eastAsia" w:ascii="宋体" w:hAnsi="宋体"/>
                <w:color w:val="auto"/>
                <w:szCs w:val="21"/>
                <w:highlight w:val="none"/>
              </w:rPr>
              <w:t>年以上的，得5分；工作经验5-</w:t>
            </w:r>
            <w:r>
              <w:rPr>
                <w:rFonts w:ascii="宋体" w:hAnsi="宋体"/>
                <w:color w:val="auto"/>
                <w:szCs w:val="21"/>
                <w:highlight w:val="none"/>
              </w:rPr>
              <w:t>10</w:t>
            </w:r>
            <w:r>
              <w:rPr>
                <w:rFonts w:hint="eastAsia" w:ascii="宋体" w:hAnsi="宋体"/>
                <w:color w:val="auto"/>
                <w:szCs w:val="21"/>
                <w:highlight w:val="none"/>
              </w:rPr>
              <w:t>（含）年，得3分；工作经验1-5（含）年，得1分；其它不得分。</w:t>
            </w:r>
          </w:p>
          <w:p>
            <w:pPr>
              <w:spacing w:line="0" w:lineRule="atLeast"/>
              <w:rPr>
                <w:rFonts w:ascii="宋体" w:hAnsi="宋体"/>
                <w:color w:val="auto"/>
                <w:szCs w:val="21"/>
                <w:highlight w:val="none"/>
              </w:rPr>
            </w:pPr>
            <w:r>
              <w:rPr>
                <w:rFonts w:hint="eastAsia" w:ascii="宋体" w:hAnsi="宋体"/>
                <w:color w:val="auto"/>
                <w:szCs w:val="21"/>
                <w:highlight w:val="none"/>
                <w:lang w:val="zh-TW" w:eastAsia="zh-TW"/>
              </w:rPr>
              <w:t>备注：</w:t>
            </w:r>
            <w:r>
              <w:rPr>
                <w:rFonts w:hint="eastAsia" w:ascii="宋体" w:hAnsi="宋体"/>
                <w:color w:val="auto"/>
                <w:szCs w:val="21"/>
                <w:highlight w:val="none"/>
                <w:lang w:val="zh-TW"/>
              </w:rPr>
              <w:t>（</w:t>
            </w:r>
            <w:r>
              <w:rPr>
                <w:rFonts w:hint="eastAsia" w:ascii="宋体" w:hAnsi="宋体"/>
                <w:color w:val="auto"/>
                <w:szCs w:val="21"/>
                <w:highlight w:val="none"/>
              </w:rPr>
              <w:t>1</w:t>
            </w:r>
            <w:r>
              <w:rPr>
                <w:rFonts w:hint="eastAsia" w:ascii="宋体" w:hAnsi="宋体"/>
                <w:color w:val="auto"/>
                <w:szCs w:val="21"/>
                <w:highlight w:val="none"/>
                <w:lang w:val="zh-TW"/>
              </w:rPr>
              <w:t>）</w:t>
            </w:r>
            <w:r>
              <w:rPr>
                <w:rFonts w:hint="eastAsia" w:ascii="宋体" w:hAnsi="宋体"/>
                <w:color w:val="auto"/>
                <w:szCs w:val="21"/>
                <w:highlight w:val="none"/>
              </w:rPr>
              <w:t>本项最多得</w:t>
            </w:r>
            <w:r>
              <w:rPr>
                <w:rFonts w:ascii="宋体" w:hAnsi="宋体"/>
                <w:color w:val="auto"/>
                <w:szCs w:val="21"/>
                <w:highlight w:val="none"/>
              </w:rPr>
              <w:t>10</w:t>
            </w:r>
            <w:r>
              <w:rPr>
                <w:rFonts w:hint="eastAsia" w:ascii="宋体" w:hAnsi="宋体"/>
                <w:color w:val="auto"/>
                <w:szCs w:val="21"/>
                <w:highlight w:val="none"/>
              </w:rPr>
              <w:t>分。</w:t>
            </w:r>
            <w:r>
              <w:rPr>
                <w:rFonts w:hint="eastAsia" w:ascii="宋体" w:hAnsi="宋体"/>
                <w:color w:val="auto"/>
                <w:szCs w:val="21"/>
                <w:highlight w:val="none"/>
                <w:lang w:val="zh-TW"/>
              </w:rPr>
              <w:t>（</w:t>
            </w:r>
            <w:r>
              <w:rPr>
                <w:rFonts w:hint="eastAsia" w:ascii="宋体" w:hAnsi="宋体"/>
                <w:color w:val="auto"/>
                <w:szCs w:val="21"/>
                <w:highlight w:val="none"/>
              </w:rPr>
              <w:t>2</w:t>
            </w:r>
            <w:r>
              <w:rPr>
                <w:rFonts w:hint="eastAsia" w:ascii="宋体" w:hAnsi="宋体"/>
                <w:color w:val="auto"/>
                <w:szCs w:val="21"/>
                <w:highlight w:val="none"/>
                <w:lang w:val="zh-TW"/>
              </w:rPr>
              <w:t>）须</w:t>
            </w:r>
            <w:r>
              <w:rPr>
                <w:rFonts w:hint="eastAsia" w:ascii="宋体" w:hAnsi="宋体"/>
                <w:color w:val="auto"/>
                <w:szCs w:val="21"/>
                <w:highlight w:val="none"/>
                <w:lang w:val="zh-TW" w:eastAsia="zh-TW"/>
              </w:rPr>
              <w:t>提供职称证书</w:t>
            </w:r>
            <w:r>
              <w:rPr>
                <w:rFonts w:hint="eastAsia" w:ascii="宋体" w:hAnsi="宋体"/>
                <w:color w:val="auto"/>
                <w:szCs w:val="21"/>
                <w:highlight w:val="none"/>
                <w:lang w:val="zh-TW"/>
              </w:rPr>
              <w:t>、安全生产考核合格证书、</w:t>
            </w:r>
            <w:r>
              <w:rPr>
                <w:rFonts w:hint="eastAsia" w:ascii="宋体" w:hAnsi="宋体"/>
                <w:color w:val="auto"/>
                <w:szCs w:val="21"/>
                <w:highlight w:val="none"/>
              </w:rPr>
              <w:t>大学专科或以上学历毕业证扫描件</w:t>
            </w:r>
            <w:r>
              <w:rPr>
                <w:rFonts w:hint="eastAsia" w:ascii="宋体" w:hAnsi="宋体"/>
                <w:color w:val="auto"/>
                <w:szCs w:val="21"/>
                <w:highlight w:val="none"/>
                <w:lang w:val="zh-TW"/>
              </w:rPr>
              <w:t>。</w:t>
            </w:r>
            <w:r>
              <w:rPr>
                <w:rFonts w:hint="eastAsia" w:ascii="宋体" w:hAnsi="宋体"/>
                <w:color w:val="auto"/>
                <w:szCs w:val="21"/>
                <w:highlight w:val="none"/>
              </w:rPr>
              <w:t>（3）工作经验年限以大学专科或以上学历毕业证的颁发日期开始计算至投标截止时间止。</w:t>
            </w:r>
          </w:p>
        </w:tc>
      </w:tr>
      <w:tr>
        <w:tblPrEx>
          <w:tblCellMar>
            <w:top w:w="0" w:type="dxa"/>
            <w:left w:w="108" w:type="dxa"/>
            <w:bottom w:w="0" w:type="dxa"/>
            <w:right w:w="108" w:type="dxa"/>
          </w:tblCellMar>
        </w:tblPrEx>
        <w:trPr>
          <w:trHeight w:val="1195" w:hRule="atLeast"/>
          <w:jc w:val="center"/>
        </w:trPr>
        <w:tc>
          <w:tcPr>
            <w:tcW w:w="291" w:type="pct"/>
            <w:vMerge w:val="continue"/>
            <w:tcBorders>
              <w:top w:val="nil"/>
              <w:left w:val="single" w:color="auto" w:sz="8" w:space="0"/>
              <w:bottom w:val="single" w:color="auto" w:sz="4" w:space="0"/>
              <w:right w:val="single" w:color="auto" w:sz="4" w:space="0"/>
            </w:tcBorders>
            <w:vAlign w:val="center"/>
          </w:tcPr>
          <w:p>
            <w:pPr>
              <w:spacing w:line="0" w:lineRule="atLeast"/>
              <w:jc w:val="left"/>
              <w:rPr>
                <w:rFonts w:ascii="宋体" w:hAnsi="宋体"/>
                <w:color w:val="auto"/>
                <w:szCs w:val="21"/>
                <w:highlight w:val="none"/>
              </w:rPr>
            </w:pPr>
          </w:p>
        </w:tc>
        <w:tc>
          <w:tcPr>
            <w:tcW w:w="497" w:type="pct"/>
            <w:tcBorders>
              <w:top w:val="single" w:color="auto" w:sz="4" w:space="0"/>
              <w:left w:val="nil"/>
              <w:bottom w:val="single" w:color="auto" w:sz="4" w:space="0"/>
              <w:right w:val="single" w:color="auto" w:sz="4" w:space="0"/>
            </w:tcBorders>
            <w:vAlign w:val="center"/>
          </w:tcPr>
          <w:p>
            <w:pPr>
              <w:spacing w:line="0" w:lineRule="atLeast"/>
              <w:rPr>
                <w:rFonts w:ascii="宋体" w:hAnsi="宋体"/>
                <w:color w:val="auto"/>
                <w:szCs w:val="21"/>
                <w:highlight w:val="none"/>
              </w:rPr>
            </w:pPr>
            <w:r>
              <w:rPr>
                <w:rFonts w:hint="eastAsia" w:ascii="宋体" w:hAnsi="宋体"/>
                <w:color w:val="auto"/>
                <w:szCs w:val="21"/>
                <w:highlight w:val="none"/>
              </w:rPr>
              <w:t>质量负责人</w:t>
            </w:r>
          </w:p>
        </w:tc>
        <w:tc>
          <w:tcPr>
            <w:tcW w:w="205" w:type="pct"/>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olor w:val="auto"/>
                <w:szCs w:val="21"/>
                <w:highlight w:val="none"/>
              </w:rPr>
            </w:pPr>
            <w:r>
              <w:rPr>
                <w:rFonts w:ascii="宋体" w:hAnsi="宋体"/>
                <w:color w:val="auto"/>
                <w:szCs w:val="21"/>
                <w:highlight w:val="none"/>
              </w:rPr>
              <w:t>10</w:t>
            </w:r>
          </w:p>
        </w:tc>
        <w:tc>
          <w:tcPr>
            <w:tcW w:w="4006" w:type="pct"/>
            <w:gridSpan w:val="4"/>
            <w:tcBorders>
              <w:top w:val="single" w:color="auto" w:sz="4" w:space="0"/>
              <w:left w:val="nil"/>
              <w:bottom w:val="single" w:color="auto" w:sz="4" w:space="0"/>
              <w:right w:val="single" w:color="auto" w:sz="4" w:space="0"/>
            </w:tcBorders>
            <w:vAlign w:val="center"/>
          </w:tcPr>
          <w:p>
            <w:pPr>
              <w:spacing w:line="0" w:lineRule="atLeast"/>
              <w:rPr>
                <w:rFonts w:ascii="宋体" w:hAnsi="宋体"/>
                <w:color w:val="auto"/>
                <w:szCs w:val="21"/>
                <w:highlight w:val="none"/>
              </w:rPr>
            </w:pPr>
            <w:r>
              <w:rPr>
                <w:rFonts w:hint="eastAsia" w:ascii="宋体" w:hAnsi="宋体"/>
                <w:color w:val="auto"/>
                <w:szCs w:val="21"/>
                <w:highlight w:val="none"/>
              </w:rPr>
              <w:t>1.具有相关工程类专业中级或以上技术职称的，得</w:t>
            </w:r>
            <w:r>
              <w:rPr>
                <w:rFonts w:ascii="宋体" w:hAnsi="宋体"/>
                <w:color w:val="auto"/>
                <w:szCs w:val="21"/>
                <w:highlight w:val="none"/>
              </w:rPr>
              <w:t>5</w:t>
            </w:r>
            <w:r>
              <w:rPr>
                <w:rFonts w:hint="eastAsia" w:ascii="宋体" w:hAnsi="宋体"/>
                <w:color w:val="auto"/>
                <w:szCs w:val="21"/>
                <w:highlight w:val="none"/>
              </w:rPr>
              <w:t>分；其它不得分；</w:t>
            </w:r>
          </w:p>
          <w:p>
            <w:pPr>
              <w:spacing w:line="0" w:lineRule="atLeast"/>
              <w:rPr>
                <w:rFonts w:ascii="宋体" w:hAnsi="宋体"/>
                <w:color w:val="auto"/>
                <w:szCs w:val="21"/>
                <w:highlight w:val="none"/>
              </w:rPr>
            </w:pPr>
            <w:r>
              <w:rPr>
                <w:rFonts w:hint="eastAsia" w:ascii="宋体" w:hAnsi="宋体"/>
                <w:color w:val="auto"/>
                <w:szCs w:val="21"/>
                <w:highlight w:val="none"/>
              </w:rPr>
              <w:t>2.具备工作经验</w:t>
            </w:r>
            <w:r>
              <w:rPr>
                <w:rFonts w:ascii="宋体" w:hAnsi="宋体"/>
                <w:color w:val="auto"/>
                <w:szCs w:val="21"/>
                <w:highlight w:val="none"/>
              </w:rPr>
              <w:t>10</w:t>
            </w:r>
            <w:r>
              <w:rPr>
                <w:rFonts w:hint="eastAsia" w:ascii="宋体" w:hAnsi="宋体"/>
                <w:color w:val="auto"/>
                <w:szCs w:val="21"/>
                <w:highlight w:val="none"/>
              </w:rPr>
              <w:t>年以上的，得5分；工作经验5-</w:t>
            </w:r>
            <w:r>
              <w:rPr>
                <w:rFonts w:ascii="宋体" w:hAnsi="宋体"/>
                <w:color w:val="auto"/>
                <w:szCs w:val="21"/>
                <w:highlight w:val="none"/>
              </w:rPr>
              <w:t>10</w:t>
            </w:r>
            <w:r>
              <w:rPr>
                <w:rFonts w:hint="eastAsia" w:ascii="宋体" w:hAnsi="宋体"/>
                <w:color w:val="auto"/>
                <w:szCs w:val="21"/>
                <w:highlight w:val="none"/>
              </w:rPr>
              <w:t>（含）年，得3分；工作经验1-5（含）年，得1分；其它不得分。</w:t>
            </w:r>
          </w:p>
          <w:p>
            <w:pPr>
              <w:spacing w:line="0" w:lineRule="atLeast"/>
              <w:rPr>
                <w:rFonts w:ascii="宋体" w:hAnsi="宋体"/>
                <w:color w:val="auto"/>
                <w:szCs w:val="21"/>
                <w:highlight w:val="none"/>
                <w:lang w:val="zh-TW"/>
              </w:rPr>
            </w:pPr>
            <w:r>
              <w:rPr>
                <w:rFonts w:hint="eastAsia" w:ascii="宋体" w:hAnsi="宋体"/>
                <w:color w:val="auto"/>
                <w:szCs w:val="21"/>
                <w:highlight w:val="none"/>
              </w:rPr>
              <w:t>备注：（1）本项最多得8分。（2）须提供职称证、大学专科或以上学历毕业证扫描件。（3）工作经验年限以大学专科或以上学历毕业证的颁发日期开始计算至投标截止时间止。</w:t>
            </w:r>
          </w:p>
        </w:tc>
      </w:tr>
      <w:tr>
        <w:tblPrEx>
          <w:tblCellMar>
            <w:top w:w="0" w:type="dxa"/>
            <w:left w:w="108" w:type="dxa"/>
            <w:bottom w:w="0" w:type="dxa"/>
            <w:right w:w="108" w:type="dxa"/>
          </w:tblCellMar>
        </w:tblPrEx>
        <w:trPr>
          <w:trHeight w:val="1195" w:hRule="atLeast"/>
          <w:jc w:val="center"/>
        </w:trPr>
        <w:tc>
          <w:tcPr>
            <w:tcW w:w="291" w:type="pct"/>
            <w:vMerge w:val="continue"/>
            <w:tcBorders>
              <w:top w:val="nil"/>
              <w:left w:val="single" w:color="auto" w:sz="8" w:space="0"/>
              <w:bottom w:val="single" w:color="auto" w:sz="4" w:space="0"/>
              <w:right w:val="single" w:color="auto" w:sz="4" w:space="0"/>
            </w:tcBorders>
            <w:vAlign w:val="center"/>
          </w:tcPr>
          <w:p>
            <w:pPr>
              <w:spacing w:line="0" w:lineRule="atLeast"/>
              <w:jc w:val="left"/>
              <w:rPr>
                <w:rFonts w:ascii="宋体" w:hAnsi="宋体"/>
                <w:color w:val="auto"/>
                <w:szCs w:val="21"/>
                <w:highlight w:val="none"/>
              </w:rPr>
            </w:pPr>
          </w:p>
        </w:tc>
        <w:tc>
          <w:tcPr>
            <w:tcW w:w="497" w:type="pct"/>
            <w:tcBorders>
              <w:top w:val="single" w:color="auto" w:sz="4" w:space="0"/>
              <w:left w:val="nil"/>
              <w:bottom w:val="single" w:color="auto" w:sz="4" w:space="0"/>
              <w:right w:val="single" w:color="auto" w:sz="4" w:space="0"/>
            </w:tcBorders>
            <w:vAlign w:val="center"/>
          </w:tcPr>
          <w:p>
            <w:pPr>
              <w:spacing w:line="0" w:lineRule="atLeast"/>
              <w:rPr>
                <w:rFonts w:ascii="宋体" w:hAnsi="宋体"/>
                <w:color w:val="auto"/>
                <w:szCs w:val="21"/>
                <w:highlight w:val="none"/>
              </w:rPr>
            </w:pPr>
            <w:r>
              <w:rPr>
                <w:rFonts w:hint="eastAsia" w:ascii="宋体" w:hAnsi="宋体"/>
                <w:color w:val="auto"/>
                <w:szCs w:val="21"/>
                <w:highlight w:val="none"/>
              </w:rPr>
              <w:t>造价负责人</w:t>
            </w:r>
          </w:p>
        </w:tc>
        <w:tc>
          <w:tcPr>
            <w:tcW w:w="205" w:type="pct"/>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olor w:val="auto"/>
                <w:szCs w:val="21"/>
                <w:highlight w:val="none"/>
              </w:rPr>
            </w:pPr>
            <w:r>
              <w:rPr>
                <w:rFonts w:ascii="宋体" w:hAnsi="宋体"/>
                <w:color w:val="auto"/>
                <w:szCs w:val="21"/>
                <w:highlight w:val="none"/>
              </w:rPr>
              <w:t>10</w:t>
            </w:r>
          </w:p>
        </w:tc>
        <w:tc>
          <w:tcPr>
            <w:tcW w:w="4006" w:type="pct"/>
            <w:gridSpan w:val="4"/>
            <w:tcBorders>
              <w:top w:val="single" w:color="auto" w:sz="4" w:space="0"/>
              <w:left w:val="nil"/>
              <w:bottom w:val="single" w:color="auto" w:sz="4" w:space="0"/>
              <w:right w:val="single" w:color="auto" w:sz="4" w:space="0"/>
            </w:tcBorders>
            <w:vAlign w:val="center"/>
          </w:tcPr>
          <w:p>
            <w:pPr>
              <w:spacing w:line="0" w:lineRule="atLeast"/>
              <w:rPr>
                <w:color w:val="auto"/>
                <w:highlight w:val="none"/>
                <w:lang w:val="zh-TW"/>
              </w:rPr>
            </w:pPr>
            <w:r>
              <w:rPr>
                <w:rFonts w:hint="eastAsia" w:ascii="宋体" w:hAnsi="宋体"/>
                <w:color w:val="auto"/>
                <w:szCs w:val="21"/>
                <w:highlight w:val="none"/>
              </w:rPr>
              <w:t>1.</w:t>
            </w:r>
            <w:r>
              <w:rPr>
                <w:rFonts w:hint="eastAsia" w:ascii="宋体" w:hAnsi="宋体"/>
                <w:color w:val="auto"/>
                <w:szCs w:val="21"/>
                <w:highlight w:val="none"/>
                <w:lang w:val="zh-TW"/>
              </w:rPr>
              <w:t>具有相关工程类专业中级或以上技术职称的，得</w:t>
            </w:r>
            <w:r>
              <w:rPr>
                <w:rFonts w:ascii="宋体" w:hAnsi="宋体"/>
                <w:color w:val="auto"/>
                <w:szCs w:val="21"/>
                <w:highlight w:val="none"/>
              </w:rPr>
              <w:t>5</w:t>
            </w:r>
            <w:r>
              <w:rPr>
                <w:rFonts w:hint="eastAsia" w:ascii="宋体" w:hAnsi="宋体"/>
                <w:color w:val="auto"/>
                <w:szCs w:val="21"/>
                <w:highlight w:val="none"/>
                <w:lang w:val="zh-TW"/>
              </w:rPr>
              <w:t>分；其它不得分；</w:t>
            </w:r>
          </w:p>
          <w:p>
            <w:pPr>
              <w:spacing w:line="0" w:lineRule="atLeast"/>
              <w:rPr>
                <w:rFonts w:ascii="宋体" w:hAnsi="宋体"/>
                <w:color w:val="auto"/>
                <w:szCs w:val="21"/>
                <w:highlight w:val="none"/>
                <w:lang w:val="zh-TW" w:eastAsia="zh-TW"/>
              </w:rPr>
            </w:pPr>
            <w:r>
              <w:rPr>
                <w:rFonts w:hint="eastAsia" w:ascii="宋体" w:hAnsi="宋体"/>
                <w:color w:val="auto"/>
                <w:szCs w:val="21"/>
                <w:highlight w:val="none"/>
              </w:rPr>
              <w:t>2. 具备工作经验</w:t>
            </w:r>
            <w:r>
              <w:rPr>
                <w:rFonts w:ascii="宋体" w:hAnsi="宋体"/>
                <w:color w:val="auto"/>
                <w:szCs w:val="21"/>
                <w:highlight w:val="none"/>
              </w:rPr>
              <w:t>10</w:t>
            </w:r>
            <w:r>
              <w:rPr>
                <w:rFonts w:hint="eastAsia" w:ascii="宋体" w:hAnsi="宋体"/>
                <w:color w:val="auto"/>
                <w:szCs w:val="21"/>
                <w:highlight w:val="none"/>
              </w:rPr>
              <w:t>年以上的，得5分；工作经验5-</w:t>
            </w:r>
            <w:r>
              <w:rPr>
                <w:rFonts w:ascii="宋体" w:hAnsi="宋体"/>
                <w:color w:val="auto"/>
                <w:szCs w:val="21"/>
                <w:highlight w:val="none"/>
              </w:rPr>
              <w:t>10</w:t>
            </w:r>
            <w:r>
              <w:rPr>
                <w:rFonts w:hint="eastAsia" w:ascii="宋体" w:hAnsi="宋体"/>
                <w:color w:val="auto"/>
                <w:szCs w:val="21"/>
                <w:highlight w:val="none"/>
              </w:rPr>
              <w:t>（含）年，得3分；工作经验1-5（含）年，得1分；其它不得分。</w:t>
            </w:r>
            <w:r>
              <w:rPr>
                <w:rFonts w:hint="eastAsia" w:ascii="宋体" w:hAnsi="宋体"/>
                <w:color w:val="auto"/>
                <w:szCs w:val="21"/>
                <w:highlight w:val="none"/>
                <w:lang w:val="zh-TW"/>
              </w:rPr>
              <w:t>备注：（</w:t>
            </w:r>
            <w:r>
              <w:rPr>
                <w:rFonts w:hint="eastAsia" w:ascii="宋体" w:hAnsi="宋体"/>
                <w:color w:val="auto"/>
                <w:szCs w:val="21"/>
                <w:highlight w:val="none"/>
              </w:rPr>
              <w:t>1</w:t>
            </w:r>
            <w:r>
              <w:rPr>
                <w:rFonts w:hint="eastAsia" w:ascii="宋体" w:hAnsi="宋体"/>
                <w:color w:val="auto"/>
                <w:szCs w:val="21"/>
                <w:highlight w:val="none"/>
                <w:lang w:val="zh-TW"/>
              </w:rPr>
              <w:t>）本项最多得</w:t>
            </w:r>
            <w:r>
              <w:rPr>
                <w:rFonts w:ascii="宋体" w:hAnsi="宋体"/>
                <w:color w:val="auto"/>
                <w:szCs w:val="21"/>
                <w:highlight w:val="none"/>
              </w:rPr>
              <w:t>10</w:t>
            </w:r>
            <w:r>
              <w:rPr>
                <w:rFonts w:hint="eastAsia" w:ascii="宋体" w:hAnsi="宋体"/>
                <w:color w:val="auto"/>
                <w:szCs w:val="21"/>
                <w:highlight w:val="none"/>
                <w:lang w:val="zh-TW"/>
              </w:rPr>
              <w:t>分。（</w:t>
            </w:r>
            <w:r>
              <w:rPr>
                <w:rFonts w:hint="eastAsia" w:ascii="宋体" w:hAnsi="宋体"/>
                <w:color w:val="auto"/>
                <w:szCs w:val="21"/>
                <w:highlight w:val="none"/>
              </w:rPr>
              <w:t>2</w:t>
            </w:r>
            <w:r>
              <w:rPr>
                <w:rFonts w:hint="eastAsia" w:ascii="宋体" w:hAnsi="宋体"/>
                <w:color w:val="auto"/>
                <w:szCs w:val="21"/>
                <w:highlight w:val="none"/>
                <w:lang w:val="zh-TW"/>
              </w:rPr>
              <w:t>）须提供职称证书扫描件</w:t>
            </w:r>
            <w:r>
              <w:rPr>
                <w:rFonts w:hint="eastAsia" w:ascii="宋体" w:hAnsi="宋体"/>
                <w:color w:val="auto"/>
                <w:szCs w:val="21"/>
                <w:highlight w:val="none"/>
              </w:rPr>
              <w:t>、大学专科或以上学历毕业证扫描件。</w:t>
            </w:r>
            <w:r>
              <w:rPr>
                <w:rFonts w:hint="eastAsia" w:ascii="宋体" w:hAnsi="宋体"/>
                <w:color w:val="auto"/>
                <w:szCs w:val="21"/>
                <w:highlight w:val="none"/>
                <w:lang w:val="zh-TW"/>
              </w:rPr>
              <w:t>（</w:t>
            </w:r>
            <w:r>
              <w:rPr>
                <w:rFonts w:hint="eastAsia" w:ascii="宋体" w:hAnsi="宋体"/>
                <w:color w:val="auto"/>
                <w:szCs w:val="21"/>
                <w:highlight w:val="none"/>
              </w:rPr>
              <w:t>3</w:t>
            </w:r>
            <w:r>
              <w:rPr>
                <w:rFonts w:hint="eastAsia" w:ascii="宋体" w:hAnsi="宋体"/>
                <w:color w:val="auto"/>
                <w:szCs w:val="21"/>
                <w:highlight w:val="none"/>
                <w:lang w:val="zh-TW"/>
              </w:rPr>
              <w:t>）</w:t>
            </w:r>
            <w:r>
              <w:rPr>
                <w:rFonts w:hint="eastAsia" w:ascii="宋体" w:hAnsi="宋体"/>
                <w:color w:val="auto"/>
                <w:szCs w:val="21"/>
                <w:highlight w:val="none"/>
              </w:rPr>
              <w:t>工作经验年限以大学专科或以上学历毕业证的颁发日期开始计算至投标截止时间止。</w:t>
            </w:r>
          </w:p>
        </w:tc>
      </w:tr>
      <w:tr>
        <w:tblPrEx>
          <w:tblCellMar>
            <w:top w:w="0" w:type="dxa"/>
            <w:left w:w="108" w:type="dxa"/>
            <w:bottom w:w="0" w:type="dxa"/>
            <w:right w:w="108" w:type="dxa"/>
          </w:tblCellMar>
        </w:tblPrEx>
        <w:trPr>
          <w:cantSplit/>
          <w:trHeight w:val="1263" w:hRule="atLeast"/>
          <w:jc w:val="center"/>
        </w:trPr>
        <w:tc>
          <w:tcPr>
            <w:tcW w:w="291" w:type="pct"/>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Cs w:val="21"/>
                <w:highlight w:val="none"/>
              </w:rPr>
            </w:pPr>
            <w:r>
              <w:rPr>
                <w:rFonts w:hint="eastAsia" w:ascii="宋体" w:hAnsi="宋体"/>
                <w:color w:val="auto"/>
                <w:szCs w:val="21"/>
                <w:highlight w:val="none"/>
              </w:rPr>
              <w:t>二、企业资信（20分）</w:t>
            </w:r>
          </w:p>
        </w:tc>
        <w:tc>
          <w:tcPr>
            <w:tcW w:w="497" w:type="pct"/>
            <w:tcBorders>
              <w:top w:val="single" w:color="auto" w:sz="4" w:space="0"/>
              <w:left w:val="nil"/>
              <w:bottom w:val="single" w:color="auto" w:sz="4" w:space="0"/>
              <w:right w:val="single" w:color="auto" w:sz="4" w:space="0"/>
            </w:tcBorders>
            <w:vAlign w:val="center"/>
          </w:tcPr>
          <w:p>
            <w:pPr>
              <w:widowControl/>
              <w:spacing w:line="0" w:lineRule="atLeast"/>
              <w:ind w:firstLine="210" w:firstLineChars="100"/>
              <w:jc w:val="left"/>
              <w:rPr>
                <w:rFonts w:ascii="宋体" w:hAnsi="宋体"/>
                <w:color w:val="auto"/>
                <w:szCs w:val="21"/>
                <w:highlight w:val="none"/>
              </w:rPr>
            </w:pPr>
            <w:r>
              <w:rPr>
                <w:rFonts w:hint="eastAsia" w:ascii="宋体" w:hAnsi="宋体"/>
                <w:color w:val="auto"/>
                <w:szCs w:val="21"/>
                <w:highlight w:val="none"/>
              </w:rPr>
              <w:t>企业业绩</w:t>
            </w:r>
          </w:p>
        </w:tc>
        <w:tc>
          <w:tcPr>
            <w:tcW w:w="205" w:type="pct"/>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color w:val="auto"/>
                <w:szCs w:val="21"/>
                <w:highlight w:val="none"/>
              </w:rPr>
            </w:pPr>
            <w:r>
              <w:rPr>
                <w:rFonts w:hint="eastAsia" w:ascii="宋体" w:hAnsi="宋体"/>
                <w:color w:val="auto"/>
                <w:szCs w:val="21"/>
                <w:highlight w:val="none"/>
              </w:rPr>
              <w:t>20</w:t>
            </w:r>
          </w:p>
        </w:tc>
        <w:tc>
          <w:tcPr>
            <w:tcW w:w="4006" w:type="pct"/>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color w:val="auto"/>
                <w:szCs w:val="21"/>
                <w:highlight w:val="none"/>
              </w:rPr>
            </w:pPr>
            <w:r>
              <w:rPr>
                <w:rFonts w:hint="eastAsia" w:ascii="宋体" w:hAnsi="宋体"/>
                <w:color w:val="auto"/>
                <w:szCs w:val="21"/>
                <w:highlight w:val="none"/>
              </w:rPr>
              <w:t>投标人自2022年1月1日至投标截止时间完成过质量合格的类似业绩，每项得</w:t>
            </w:r>
            <w:r>
              <w:rPr>
                <w:rFonts w:ascii="宋体" w:hAnsi="宋体"/>
                <w:color w:val="auto"/>
                <w:szCs w:val="21"/>
                <w:highlight w:val="none"/>
              </w:rPr>
              <w:t>5</w:t>
            </w:r>
            <w:r>
              <w:rPr>
                <w:rFonts w:hint="eastAsia" w:ascii="宋体" w:hAnsi="宋体"/>
                <w:color w:val="auto"/>
                <w:szCs w:val="21"/>
                <w:highlight w:val="none"/>
              </w:rPr>
              <w:t>分，本项最高得20分。</w:t>
            </w:r>
          </w:p>
        </w:tc>
      </w:tr>
      <w:tr>
        <w:tblPrEx>
          <w:tblCellMar>
            <w:top w:w="0" w:type="dxa"/>
            <w:left w:w="108" w:type="dxa"/>
            <w:bottom w:w="0" w:type="dxa"/>
            <w:right w:w="108" w:type="dxa"/>
          </w:tblCellMar>
        </w:tblPrEx>
        <w:trPr>
          <w:cantSplit/>
          <w:trHeight w:val="1368" w:hRule="atLeast"/>
          <w:jc w:val="center"/>
        </w:trPr>
        <w:tc>
          <w:tcPr>
            <w:tcW w:w="291" w:type="pct"/>
            <w:vMerge w:val="restart"/>
            <w:tcBorders>
              <w:top w:val="single" w:color="auto" w:sz="4" w:space="0"/>
              <w:left w:val="single" w:color="auto" w:sz="4" w:space="0"/>
              <w:right w:val="single" w:color="auto" w:sz="4" w:space="0"/>
            </w:tcBorders>
            <w:vAlign w:val="center"/>
          </w:tcPr>
          <w:p>
            <w:pPr>
              <w:spacing w:line="0" w:lineRule="atLeast"/>
              <w:jc w:val="center"/>
              <w:rPr>
                <w:rFonts w:ascii="宋体" w:hAnsi="宋体" w:cs="宋体"/>
                <w:color w:val="auto"/>
                <w:szCs w:val="21"/>
                <w:highlight w:val="none"/>
              </w:rPr>
            </w:pPr>
            <w:r>
              <w:rPr>
                <w:rFonts w:hint="eastAsia" w:ascii="宋体" w:hAnsi="宋体" w:cs="宋体"/>
                <w:color w:val="auto"/>
                <w:kern w:val="0"/>
                <w:szCs w:val="21"/>
                <w:highlight w:val="none"/>
              </w:rPr>
              <w:t>三、施工组织设计（40分）</w:t>
            </w:r>
          </w:p>
        </w:tc>
        <w:tc>
          <w:tcPr>
            <w:tcW w:w="497" w:type="pct"/>
            <w:tcBorders>
              <w:top w:val="single" w:color="auto" w:sz="4" w:space="0"/>
              <w:left w:val="nil"/>
              <w:bottom w:val="single" w:color="auto" w:sz="4" w:space="0"/>
              <w:right w:val="single" w:color="auto" w:sz="4" w:space="0"/>
            </w:tcBorders>
            <w:vAlign w:val="center"/>
          </w:tcPr>
          <w:p>
            <w:pPr>
              <w:widowControl/>
              <w:spacing w:line="315"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施工进度计划及工期保证措施</w:t>
            </w:r>
          </w:p>
        </w:tc>
        <w:tc>
          <w:tcPr>
            <w:tcW w:w="205" w:type="pct"/>
            <w:tcBorders>
              <w:top w:val="single" w:color="auto" w:sz="4" w:space="0"/>
              <w:left w:val="nil"/>
              <w:bottom w:val="single" w:color="auto" w:sz="4" w:space="0"/>
              <w:right w:val="single" w:color="auto" w:sz="4" w:space="0"/>
            </w:tcBorders>
            <w:vAlign w:val="center"/>
          </w:tcPr>
          <w:p>
            <w:pPr>
              <w:widowControl/>
              <w:spacing w:line="315"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1000" w:type="pct"/>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Cs w:val="21"/>
                <w:highlight w:val="none"/>
              </w:rPr>
            </w:pPr>
            <w:r>
              <w:rPr>
                <w:rFonts w:hint="eastAsia" w:ascii="宋体" w:hAnsi="宋体" w:cs="宋体"/>
                <w:color w:val="auto"/>
                <w:szCs w:val="21"/>
                <w:highlight w:val="none"/>
              </w:rPr>
              <w:t>优：工期在招标文件要求的基础上合理提前，且施工进度计划合理可行、保证措施明确具体，得</w:t>
            </w:r>
            <w:r>
              <w:rPr>
                <w:rFonts w:hint="eastAsia" w:ascii="宋体" w:hAnsi="宋体" w:cs="宋体"/>
                <w:color w:val="auto"/>
                <w:kern w:val="0"/>
                <w:sz w:val="22"/>
                <w:highlight w:val="none"/>
              </w:rPr>
              <w:t>[8-5）</w:t>
            </w:r>
            <w:r>
              <w:rPr>
                <w:rFonts w:hint="eastAsia" w:ascii="宋体" w:hAnsi="宋体" w:cs="宋体"/>
                <w:color w:val="auto"/>
                <w:szCs w:val="21"/>
                <w:highlight w:val="none"/>
              </w:rPr>
              <w:t>分。</w:t>
            </w:r>
          </w:p>
        </w:tc>
        <w:tc>
          <w:tcPr>
            <w:tcW w:w="1000" w:type="pct"/>
            <w:tcBorders>
              <w:top w:val="single" w:color="auto" w:sz="4" w:space="0"/>
              <w:left w:val="nil"/>
              <w:bottom w:val="single" w:color="auto" w:sz="4" w:space="0"/>
              <w:right w:val="single" w:color="auto" w:sz="4" w:space="0"/>
            </w:tcBorders>
          </w:tcPr>
          <w:p>
            <w:pPr>
              <w:widowControl/>
              <w:ind w:left="6" w:hanging="6" w:hangingChars="3"/>
              <w:jc w:val="left"/>
              <w:rPr>
                <w:rFonts w:ascii="宋体" w:hAnsi="宋体" w:cs="宋体"/>
                <w:color w:val="auto"/>
                <w:kern w:val="0"/>
                <w:szCs w:val="21"/>
                <w:highlight w:val="none"/>
              </w:rPr>
            </w:pPr>
            <w:r>
              <w:rPr>
                <w:rFonts w:hint="eastAsia" w:ascii="宋体" w:hAnsi="宋体" w:cs="宋体"/>
                <w:color w:val="auto"/>
                <w:szCs w:val="21"/>
                <w:highlight w:val="none"/>
              </w:rPr>
              <w:t>良:工期在招标文件要求的基础上合理提前或工期满足招标文件要求，且施工进度计划较合理可行、保证措施较明确具体，得</w:t>
            </w:r>
            <w:r>
              <w:rPr>
                <w:rFonts w:hint="eastAsia" w:ascii="宋体" w:hAnsi="宋体" w:cs="宋体"/>
                <w:color w:val="auto"/>
                <w:kern w:val="0"/>
                <w:sz w:val="22"/>
                <w:highlight w:val="none"/>
              </w:rPr>
              <w:t>[5-3）</w:t>
            </w:r>
            <w:r>
              <w:rPr>
                <w:rFonts w:hint="eastAsia" w:ascii="宋体" w:hAnsi="宋体" w:cs="宋体"/>
                <w:color w:val="auto"/>
                <w:szCs w:val="21"/>
                <w:highlight w:val="none"/>
              </w:rPr>
              <w:t>分。</w:t>
            </w:r>
          </w:p>
        </w:tc>
        <w:tc>
          <w:tcPr>
            <w:tcW w:w="1000" w:type="pct"/>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Cs w:val="21"/>
                <w:highlight w:val="none"/>
              </w:rPr>
            </w:pPr>
            <w:r>
              <w:rPr>
                <w:rFonts w:hint="eastAsia" w:ascii="宋体" w:hAnsi="宋体" w:cs="宋体"/>
                <w:color w:val="auto"/>
                <w:szCs w:val="21"/>
                <w:highlight w:val="none"/>
              </w:rPr>
              <w:t>中：工期满足招标文件要求，施工进度计划基本合理可行，保证措施一般，得</w:t>
            </w:r>
            <w:r>
              <w:rPr>
                <w:rFonts w:hint="eastAsia" w:ascii="宋体" w:hAnsi="宋体" w:cs="宋体"/>
                <w:color w:val="auto"/>
                <w:kern w:val="0"/>
                <w:sz w:val="22"/>
                <w:highlight w:val="none"/>
              </w:rPr>
              <w:t>[3-1）</w:t>
            </w:r>
            <w:r>
              <w:rPr>
                <w:rFonts w:hint="eastAsia" w:ascii="宋体" w:hAnsi="宋体" w:cs="宋体"/>
                <w:color w:val="auto"/>
                <w:szCs w:val="21"/>
                <w:highlight w:val="none"/>
              </w:rPr>
              <w:t>分；</w:t>
            </w:r>
            <w:r>
              <w:rPr>
                <w:rFonts w:hint="eastAsia" w:ascii="宋体" w:hAnsi="宋体" w:cs="宋体"/>
                <w:color w:val="auto"/>
                <w:szCs w:val="21"/>
                <w:highlight w:val="none"/>
              </w:rPr>
              <w:tab/>
            </w:r>
          </w:p>
        </w:tc>
        <w:tc>
          <w:tcPr>
            <w:tcW w:w="1005" w:type="pct"/>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Cs w:val="21"/>
                <w:highlight w:val="none"/>
              </w:rPr>
            </w:pPr>
            <w:r>
              <w:rPr>
                <w:rFonts w:hint="eastAsia" w:ascii="宋体" w:hAnsi="宋体" w:cs="宋体"/>
                <w:color w:val="auto"/>
                <w:szCs w:val="21"/>
                <w:highlight w:val="none"/>
              </w:rPr>
              <w:t>差：</w:t>
            </w:r>
            <w:r>
              <w:rPr>
                <w:rFonts w:hint="eastAsia" w:ascii="宋体" w:hAnsi="宋体" w:cs="宋体"/>
                <w:color w:val="auto"/>
                <w:kern w:val="0"/>
                <w:szCs w:val="21"/>
                <w:highlight w:val="none"/>
              </w:rPr>
              <w:t>不满足前述要求者，得</w:t>
            </w:r>
            <w:r>
              <w:rPr>
                <w:rFonts w:hint="eastAsia" w:ascii="宋体" w:hAnsi="宋体" w:cs="宋体"/>
                <w:color w:val="auto"/>
                <w:kern w:val="0"/>
                <w:sz w:val="22"/>
                <w:highlight w:val="none"/>
              </w:rPr>
              <w:t>[1-0]</w:t>
            </w:r>
            <w:r>
              <w:rPr>
                <w:rFonts w:hint="eastAsia" w:ascii="宋体" w:hAnsi="宋体" w:cs="宋体"/>
                <w:color w:val="auto"/>
                <w:kern w:val="0"/>
                <w:szCs w:val="21"/>
                <w:highlight w:val="none"/>
              </w:rPr>
              <w:t>分。</w:t>
            </w:r>
          </w:p>
        </w:tc>
      </w:tr>
      <w:tr>
        <w:tblPrEx>
          <w:tblCellMar>
            <w:top w:w="0" w:type="dxa"/>
            <w:left w:w="108" w:type="dxa"/>
            <w:bottom w:w="0" w:type="dxa"/>
            <w:right w:w="108" w:type="dxa"/>
          </w:tblCellMar>
        </w:tblPrEx>
        <w:trPr>
          <w:cantSplit/>
          <w:trHeight w:val="1912" w:hRule="atLeast"/>
          <w:jc w:val="center"/>
        </w:trPr>
        <w:tc>
          <w:tcPr>
            <w:tcW w:w="291" w:type="pct"/>
            <w:vMerge w:val="continue"/>
            <w:tcBorders>
              <w:left w:val="single" w:color="auto" w:sz="4" w:space="0"/>
              <w:right w:val="single" w:color="auto" w:sz="4" w:space="0"/>
            </w:tcBorders>
            <w:vAlign w:val="center"/>
          </w:tcPr>
          <w:p>
            <w:pPr>
              <w:spacing w:line="0" w:lineRule="atLeast"/>
              <w:jc w:val="left"/>
              <w:rPr>
                <w:rFonts w:ascii="宋体" w:hAnsi="宋体" w:cs="宋体"/>
                <w:color w:val="auto"/>
                <w:kern w:val="0"/>
                <w:szCs w:val="21"/>
                <w:highlight w:val="none"/>
              </w:rPr>
            </w:pPr>
          </w:p>
        </w:tc>
        <w:tc>
          <w:tcPr>
            <w:tcW w:w="497" w:type="pct"/>
            <w:tcBorders>
              <w:top w:val="single" w:color="auto" w:sz="4" w:space="0"/>
              <w:left w:val="nil"/>
              <w:bottom w:val="single" w:color="auto" w:sz="4" w:space="0"/>
              <w:right w:val="single" w:color="auto" w:sz="4" w:space="0"/>
            </w:tcBorders>
            <w:vAlign w:val="center"/>
          </w:tcPr>
          <w:p>
            <w:pPr>
              <w:widowControl/>
              <w:spacing w:line="315"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施工组织方案与技术措施</w:t>
            </w:r>
          </w:p>
        </w:tc>
        <w:tc>
          <w:tcPr>
            <w:tcW w:w="205" w:type="pct"/>
            <w:tcBorders>
              <w:top w:val="single" w:color="auto" w:sz="4" w:space="0"/>
              <w:left w:val="nil"/>
              <w:bottom w:val="single" w:color="auto" w:sz="4" w:space="0"/>
              <w:right w:val="single" w:color="auto" w:sz="4" w:space="0"/>
            </w:tcBorders>
            <w:vAlign w:val="center"/>
          </w:tcPr>
          <w:p>
            <w:pPr>
              <w:widowControl/>
              <w:spacing w:line="315"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1000" w:type="pct"/>
            <w:tcBorders>
              <w:top w:val="single" w:color="auto" w:sz="4" w:space="0"/>
              <w:left w:val="nil"/>
              <w:bottom w:val="single" w:color="auto" w:sz="4" w:space="0"/>
              <w:right w:val="single" w:color="auto" w:sz="4" w:space="0"/>
            </w:tcBorders>
          </w:tcPr>
          <w:p>
            <w:pPr>
              <w:widowControl/>
              <w:jc w:val="left"/>
              <w:rPr>
                <w:rFonts w:ascii="宋体" w:hAnsi="宋体" w:cs="宋体"/>
                <w:color w:val="auto"/>
                <w:szCs w:val="21"/>
                <w:highlight w:val="none"/>
              </w:rPr>
            </w:pPr>
            <w:r>
              <w:rPr>
                <w:rFonts w:hint="eastAsia" w:ascii="宋体" w:hAnsi="宋体" w:cs="宋体"/>
                <w:color w:val="auto"/>
                <w:szCs w:val="21"/>
                <w:highlight w:val="none"/>
              </w:rPr>
              <w:t>优：施工组织方案及施工方法先进，工程重点难点、施工关键技术工艺把握及应用准确，技术措施可以充分保障工程质量、工期和施工安全生产，且含有具体绿色施工措施，得</w:t>
            </w:r>
            <w:r>
              <w:rPr>
                <w:rFonts w:hint="eastAsia" w:ascii="宋体" w:hAnsi="宋体" w:cs="宋体"/>
                <w:color w:val="auto"/>
                <w:kern w:val="0"/>
                <w:sz w:val="22"/>
                <w:highlight w:val="none"/>
              </w:rPr>
              <w:t>[8-5）</w:t>
            </w:r>
            <w:r>
              <w:rPr>
                <w:rFonts w:hint="eastAsia" w:ascii="宋体" w:hAnsi="宋体" w:cs="宋体"/>
                <w:color w:val="auto"/>
                <w:szCs w:val="21"/>
                <w:highlight w:val="none"/>
              </w:rPr>
              <w:t>分。</w:t>
            </w:r>
          </w:p>
        </w:tc>
        <w:tc>
          <w:tcPr>
            <w:tcW w:w="1000" w:type="pct"/>
            <w:tcBorders>
              <w:top w:val="single" w:color="auto" w:sz="4" w:space="0"/>
              <w:left w:val="nil"/>
              <w:bottom w:val="single" w:color="auto" w:sz="4" w:space="0"/>
              <w:right w:val="single" w:color="auto" w:sz="4" w:space="0"/>
            </w:tcBorders>
          </w:tcPr>
          <w:p>
            <w:pPr>
              <w:widowControl/>
              <w:jc w:val="left"/>
              <w:rPr>
                <w:rFonts w:ascii="宋体" w:hAnsi="宋体" w:cs="宋体"/>
                <w:color w:val="auto"/>
                <w:szCs w:val="21"/>
                <w:highlight w:val="none"/>
              </w:rPr>
            </w:pPr>
            <w:r>
              <w:rPr>
                <w:rFonts w:hint="eastAsia" w:ascii="宋体" w:hAnsi="宋体" w:cs="宋体"/>
                <w:color w:val="auto"/>
                <w:szCs w:val="21"/>
                <w:highlight w:val="none"/>
              </w:rPr>
              <w:t>良：施工组织方案及施工方法较好，工程重点难点、施工关键技术工艺把握及应用较好，技术措施能较好保障工程质量、工期和施工安全生产，且含有相关绿色施工措施，得</w:t>
            </w:r>
            <w:r>
              <w:rPr>
                <w:rFonts w:hint="eastAsia" w:ascii="宋体" w:hAnsi="宋体" w:cs="宋体"/>
                <w:color w:val="auto"/>
                <w:kern w:val="0"/>
                <w:sz w:val="22"/>
                <w:highlight w:val="none"/>
              </w:rPr>
              <w:t>[5-3）</w:t>
            </w:r>
            <w:r>
              <w:rPr>
                <w:rFonts w:hint="eastAsia" w:ascii="宋体" w:hAnsi="宋体" w:cs="宋体"/>
                <w:color w:val="auto"/>
                <w:szCs w:val="21"/>
                <w:highlight w:val="none"/>
              </w:rPr>
              <w:t>分。</w:t>
            </w:r>
          </w:p>
        </w:tc>
        <w:tc>
          <w:tcPr>
            <w:tcW w:w="1000" w:type="pct"/>
            <w:tcBorders>
              <w:top w:val="single" w:color="auto" w:sz="4" w:space="0"/>
              <w:left w:val="nil"/>
              <w:bottom w:val="single" w:color="auto" w:sz="4" w:space="0"/>
              <w:right w:val="single" w:color="auto" w:sz="4" w:space="0"/>
            </w:tcBorders>
          </w:tcPr>
          <w:p>
            <w:pPr>
              <w:widowControl/>
              <w:jc w:val="left"/>
              <w:rPr>
                <w:rFonts w:ascii="宋体" w:hAnsi="宋体" w:cs="宋体"/>
                <w:color w:val="auto"/>
                <w:szCs w:val="21"/>
                <w:highlight w:val="none"/>
              </w:rPr>
            </w:pPr>
            <w:r>
              <w:rPr>
                <w:rFonts w:hint="eastAsia" w:ascii="宋体" w:hAnsi="宋体" w:cs="宋体"/>
                <w:color w:val="auto"/>
                <w:szCs w:val="21"/>
                <w:highlight w:val="none"/>
              </w:rPr>
              <w:t>中：施工组织方案或施工方法一般，或工程重点难点、施工关键技术工艺把握及应用基本可行，或技术措施能基本保障工程质量、工期和施工安全生产。且含有相关绿色施工措施，得</w:t>
            </w:r>
            <w:r>
              <w:rPr>
                <w:rFonts w:hint="eastAsia" w:ascii="宋体" w:hAnsi="宋体" w:cs="宋体"/>
                <w:color w:val="auto"/>
                <w:kern w:val="0"/>
                <w:sz w:val="22"/>
                <w:highlight w:val="none"/>
              </w:rPr>
              <w:t>[3-1）</w:t>
            </w:r>
            <w:r>
              <w:rPr>
                <w:rFonts w:hint="eastAsia" w:ascii="宋体" w:hAnsi="宋体" w:cs="宋体"/>
                <w:color w:val="auto"/>
                <w:szCs w:val="21"/>
                <w:highlight w:val="none"/>
              </w:rPr>
              <w:t>分。</w:t>
            </w:r>
          </w:p>
        </w:tc>
        <w:tc>
          <w:tcPr>
            <w:tcW w:w="1005" w:type="pct"/>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Cs w:val="21"/>
                <w:highlight w:val="none"/>
              </w:rPr>
            </w:pPr>
            <w:r>
              <w:rPr>
                <w:rFonts w:hint="eastAsia" w:ascii="宋体" w:hAnsi="宋体" w:cs="宋体"/>
                <w:color w:val="auto"/>
                <w:szCs w:val="21"/>
                <w:highlight w:val="none"/>
              </w:rPr>
              <w:t>差：不满足前述要求者，得</w:t>
            </w:r>
            <w:r>
              <w:rPr>
                <w:rFonts w:hint="eastAsia" w:ascii="宋体" w:hAnsi="宋体" w:cs="宋体"/>
                <w:color w:val="auto"/>
                <w:kern w:val="0"/>
                <w:sz w:val="22"/>
                <w:highlight w:val="none"/>
              </w:rPr>
              <w:t>[1-0]</w:t>
            </w:r>
            <w:r>
              <w:rPr>
                <w:rFonts w:hint="eastAsia" w:ascii="宋体" w:hAnsi="宋体" w:cs="宋体"/>
                <w:color w:val="auto"/>
                <w:szCs w:val="21"/>
                <w:highlight w:val="none"/>
              </w:rPr>
              <w:t>分。</w:t>
            </w:r>
          </w:p>
        </w:tc>
      </w:tr>
      <w:tr>
        <w:tblPrEx>
          <w:tblCellMar>
            <w:top w:w="0" w:type="dxa"/>
            <w:left w:w="108" w:type="dxa"/>
            <w:bottom w:w="0" w:type="dxa"/>
            <w:right w:w="108" w:type="dxa"/>
          </w:tblCellMar>
        </w:tblPrEx>
        <w:trPr>
          <w:cantSplit/>
          <w:trHeight w:val="825" w:hRule="atLeast"/>
          <w:jc w:val="center"/>
        </w:trPr>
        <w:tc>
          <w:tcPr>
            <w:tcW w:w="291" w:type="pct"/>
            <w:vMerge w:val="continue"/>
            <w:tcBorders>
              <w:left w:val="single" w:color="auto" w:sz="4" w:space="0"/>
              <w:right w:val="single" w:color="auto" w:sz="4" w:space="0"/>
            </w:tcBorders>
            <w:vAlign w:val="center"/>
          </w:tcPr>
          <w:p>
            <w:pPr>
              <w:spacing w:line="0" w:lineRule="atLeast"/>
              <w:jc w:val="left"/>
              <w:rPr>
                <w:rFonts w:ascii="宋体" w:hAnsi="宋体" w:cs="宋体"/>
                <w:color w:val="auto"/>
                <w:kern w:val="0"/>
                <w:szCs w:val="21"/>
                <w:highlight w:val="none"/>
              </w:rPr>
            </w:pPr>
          </w:p>
        </w:tc>
        <w:tc>
          <w:tcPr>
            <w:tcW w:w="497" w:type="pct"/>
            <w:tcBorders>
              <w:top w:val="single" w:color="auto" w:sz="4" w:space="0"/>
              <w:left w:val="nil"/>
              <w:bottom w:val="single" w:color="auto" w:sz="4" w:space="0"/>
              <w:right w:val="single" w:color="auto" w:sz="4" w:space="0"/>
            </w:tcBorders>
            <w:vAlign w:val="center"/>
          </w:tcPr>
          <w:p>
            <w:pPr>
              <w:widowControl/>
              <w:spacing w:line="9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施工质量保证措施</w:t>
            </w:r>
          </w:p>
        </w:tc>
        <w:tc>
          <w:tcPr>
            <w:tcW w:w="205" w:type="pct"/>
            <w:tcBorders>
              <w:top w:val="single" w:color="auto" w:sz="4" w:space="0"/>
              <w:left w:val="nil"/>
              <w:bottom w:val="single" w:color="auto" w:sz="4" w:space="0"/>
              <w:right w:val="single" w:color="auto" w:sz="4" w:space="0"/>
            </w:tcBorders>
            <w:vAlign w:val="center"/>
          </w:tcPr>
          <w:p>
            <w:pPr>
              <w:widowControl/>
              <w:spacing w:line="315"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1000" w:type="pct"/>
            <w:tcBorders>
              <w:top w:val="single" w:color="auto" w:sz="4" w:space="0"/>
              <w:left w:val="nil"/>
              <w:bottom w:val="single" w:color="auto" w:sz="4" w:space="0"/>
              <w:right w:val="single" w:color="auto" w:sz="4" w:space="0"/>
            </w:tcBorders>
          </w:tcPr>
          <w:p>
            <w:pPr>
              <w:widowControl/>
              <w:spacing w:line="90" w:lineRule="atLeast"/>
              <w:jc w:val="left"/>
              <w:rPr>
                <w:rFonts w:ascii="宋体" w:hAnsi="宋体" w:cs="宋体"/>
                <w:color w:val="auto"/>
                <w:kern w:val="0"/>
                <w:szCs w:val="21"/>
                <w:highlight w:val="none"/>
              </w:rPr>
            </w:pPr>
            <w:r>
              <w:rPr>
                <w:rFonts w:hint="eastAsia" w:ascii="宋体" w:hAnsi="宋体" w:cs="宋体"/>
                <w:color w:val="auto"/>
                <w:szCs w:val="21"/>
                <w:highlight w:val="none"/>
              </w:rPr>
              <w:t>优：施工质量保障体系健全，质量保证措施充分、合理可行</w:t>
            </w:r>
            <w:r>
              <w:rPr>
                <w:rFonts w:hint="eastAsia" w:ascii="宋体" w:hAnsi="宋体" w:cs="宋体"/>
                <w:color w:val="auto"/>
                <w:kern w:val="0"/>
                <w:szCs w:val="21"/>
                <w:highlight w:val="none"/>
              </w:rPr>
              <w:t>，得</w:t>
            </w:r>
            <w:r>
              <w:rPr>
                <w:rFonts w:hint="eastAsia" w:ascii="宋体" w:hAnsi="宋体" w:cs="宋体"/>
                <w:color w:val="auto"/>
                <w:kern w:val="0"/>
                <w:sz w:val="22"/>
                <w:highlight w:val="none"/>
              </w:rPr>
              <w:t>[8-5）</w:t>
            </w:r>
            <w:r>
              <w:rPr>
                <w:rFonts w:hint="eastAsia" w:ascii="宋体" w:hAnsi="宋体" w:cs="宋体"/>
                <w:color w:val="auto"/>
                <w:kern w:val="0"/>
                <w:szCs w:val="21"/>
                <w:highlight w:val="none"/>
              </w:rPr>
              <w:t>分。</w:t>
            </w:r>
          </w:p>
        </w:tc>
        <w:tc>
          <w:tcPr>
            <w:tcW w:w="1000" w:type="pct"/>
            <w:tcBorders>
              <w:top w:val="single" w:color="auto" w:sz="4" w:space="0"/>
              <w:left w:val="nil"/>
              <w:bottom w:val="single" w:color="auto" w:sz="4" w:space="0"/>
              <w:right w:val="single" w:color="auto" w:sz="4" w:space="0"/>
            </w:tcBorders>
          </w:tcPr>
          <w:p>
            <w:pPr>
              <w:widowControl/>
              <w:spacing w:line="90" w:lineRule="atLeast"/>
              <w:jc w:val="left"/>
              <w:rPr>
                <w:rFonts w:ascii="宋体" w:hAnsi="宋体" w:cs="宋体"/>
                <w:color w:val="auto"/>
                <w:kern w:val="0"/>
                <w:szCs w:val="21"/>
                <w:highlight w:val="none"/>
              </w:rPr>
            </w:pPr>
            <w:r>
              <w:rPr>
                <w:rFonts w:hint="eastAsia" w:ascii="宋体" w:hAnsi="宋体" w:cs="宋体"/>
                <w:color w:val="auto"/>
                <w:szCs w:val="21"/>
                <w:highlight w:val="none"/>
              </w:rPr>
              <w:t>良：施工质量保障体系较健全，质量保证措施较充分、较合理可行</w:t>
            </w:r>
            <w:r>
              <w:rPr>
                <w:rFonts w:hint="eastAsia" w:ascii="宋体" w:hAnsi="宋体" w:cs="宋体"/>
                <w:color w:val="auto"/>
                <w:kern w:val="0"/>
                <w:szCs w:val="21"/>
                <w:highlight w:val="none"/>
              </w:rPr>
              <w:t>，得</w:t>
            </w:r>
            <w:r>
              <w:rPr>
                <w:rFonts w:hint="eastAsia" w:ascii="宋体" w:hAnsi="宋体" w:cs="宋体"/>
                <w:color w:val="auto"/>
                <w:kern w:val="0"/>
                <w:sz w:val="22"/>
                <w:highlight w:val="none"/>
              </w:rPr>
              <w:t>[5-3）</w:t>
            </w:r>
            <w:r>
              <w:rPr>
                <w:rFonts w:hint="eastAsia" w:ascii="宋体" w:hAnsi="宋体" w:cs="宋体"/>
                <w:color w:val="auto"/>
                <w:kern w:val="0"/>
                <w:szCs w:val="21"/>
                <w:highlight w:val="none"/>
              </w:rPr>
              <w:t>分。</w:t>
            </w:r>
          </w:p>
        </w:tc>
        <w:tc>
          <w:tcPr>
            <w:tcW w:w="1000" w:type="pct"/>
            <w:tcBorders>
              <w:top w:val="single" w:color="auto" w:sz="4" w:space="0"/>
              <w:left w:val="nil"/>
              <w:bottom w:val="single" w:color="auto" w:sz="4" w:space="0"/>
              <w:right w:val="single" w:color="auto" w:sz="4" w:space="0"/>
            </w:tcBorders>
          </w:tcPr>
          <w:p>
            <w:pPr>
              <w:widowControl/>
              <w:spacing w:line="90" w:lineRule="atLeast"/>
              <w:jc w:val="left"/>
              <w:rPr>
                <w:rFonts w:ascii="宋体" w:hAnsi="宋体" w:cs="宋体"/>
                <w:color w:val="auto"/>
                <w:kern w:val="0"/>
                <w:szCs w:val="21"/>
                <w:highlight w:val="none"/>
              </w:rPr>
            </w:pPr>
            <w:r>
              <w:rPr>
                <w:rFonts w:hint="eastAsia" w:ascii="宋体" w:hAnsi="宋体" w:cs="宋体"/>
                <w:color w:val="auto"/>
                <w:szCs w:val="21"/>
                <w:highlight w:val="none"/>
              </w:rPr>
              <w:t>中：施工质量保障体系一般，质量保证措施一般、基本合理可行</w:t>
            </w:r>
            <w:r>
              <w:rPr>
                <w:rFonts w:hint="eastAsia" w:ascii="宋体" w:hAnsi="宋体" w:cs="宋体"/>
                <w:color w:val="auto"/>
                <w:kern w:val="0"/>
                <w:szCs w:val="21"/>
                <w:highlight w:val="none"/>
              </w:rPr>
              <w:t>，得</w:t>
            </w:r>
            <w:r>
              <w:rPr>
                <w:rFonts w:hint="eastAsia" w:ascii="宋体" w:hAnsi="宋体" w:cs="宋体"/>
                <w:color w:val="auto"/>
                <w:kern w:val="0"/>
                <w:sz w:val="22"/>
                <w:highlight w:val="none"/>
              </w:rPr>
              <w:t>[3-1）</w:t>
            </w:r>
            <w:r>
              <w:rPr>
                <w:rFonts w:hint="eastAsia" w:ascii="宋体" w:hAnsi="宋体" w:cs="宋体"/>
                <w:color w:val="auto"/>
                <w:kern w:val="0"/>
                <w:szCs w:val="21"/>
                <w:highlight w:val="none"/>
              </w:rPr>
              <w:t>分。</w:t>
            </w:r>
          </w:p>
        </w:tc>
        <w:tc>
          <w:tcPr>
            <w:tcW w:w="1005" w:type="pct"/>
            <w:tcBorders>
              <w:top w:val="single" w:color="auto" w:sz="4" w:space="0"/>
              <w:left w:val="nil"/>
              <w:bottom w:val="single" w:color="auto" w:sz="4" w:space="0"/>
              <w:right w:val="single" w:color="auto" w:sz="4" w:space="0"/>
            </w:tcBorders>
          </w:tcPr>
          <w:p>
            <w:pPr>
              <w:widowControl/>
              <w:spacing w:line="90" w:lineRule="atLeast"/>
              <w:jc w:val="left"/>
              <w:rPr>
                <w:rFonts w:ascii="宋体" w:hAnsi="宋体" w:cs="宋体"/>
                <w:color w:val="auto"/>
                <w:kern w:val="0"/>
                <w:szCs w:val="21"/>
                <w:highlight w:val="none"/>
              </w:rPr>
            </w:pPr>
            <w:r>
              <w:rPr>
                <w:rFonts w:hint="eastAsia" w:ascii="宋体" w:hAnsi="宋体" w:cs="宋体"/>
                <w:color w:val="auto"/>
                <w:szCs w:val="21"/>
                <w:highlight w:val="none"/>
              </w:rPr>
              <w:t>差：</w:t>
            </w:r>
            <w:r>
              <w:rPr>
                <w:rFonts w:hint="eastAsia" w:ascii="宋体" w:hAnsi="宋体" w:cs="宋体"/>
                <w:color w:val="auto"/>
                <w:kern w:val="0"/>
                <w:szCs w:val="21"/>
                <w:highlight w:val="none"/>
              </w:rPr>
              <w:t>不满足前述要求者，得</w:t>
            </w:r>
            <w:r>
              <w:rPr>
                <w:rFonts w:hint="eastAsia" w:ascii="宋体" w:hAnsi="宋体" w:cs="宋体"/>
                <w:color w:val="auto"/>
                <w:kern w:val="0"/>
                <w:sz w:val="22"/>
                <w:highlight w:val="none"/>
              </w:rPr>
              <w:t>[1-0]</w:t>
            </w:r>
            <w:r>
              <w:rPr>
                <w:rFonts w:hint="eastAsia" w:ascii="宋体" w:hAnsi="宋体" w:cs="宋体"/>
                <w:color w:val="auto"/>
                <w:kern w:val="0"/>
                <w:szCs w:val="21"/>
                <w:highlight w:val="none"/>
              </w:rPr>
              <w:t>分。</w:t>
            </w:r>
          </w:p>
        </w:tc>
      </w:tr>
      <w:tr>
        <w:tblPrEx>
          <w:tblCellMar>
            <w:top w:w="0" w:type="dxa"/>
            <w:left w:w="108" w:type="dxa"/>
            <w:bottom w:w="0" w:type="dxa"/>
            <w:right w:w="108" w:type="dxa"/>
          </w:tblCellMar>
        </w:tblPrEx>
        <w:trPr>
          <w:cantSplit/>
          <w:trHeight w:val="1096" w:hRule="atLeast"/>
          <w:jc w:val="center"/>
        </w:trPr>
        <w:tc>
          <w:tcPr>
            <w:tcW w:w="291" w:type="pct"/>
            <w:vMerge w:val="continue"/>
            <w:tcBorders>
              <w:left w:val="single" w:color="auto" w:sz="4" w:space="0"/>
              <w:right w:val="single" w:color="auto" w:sz="4" w:space="0"/>
            </w:tcBorders>
            <w:vAlign w:val="center"/>
          </w:tcPr>
          <w:p>
            <w:pPr>
              <w:spacing w:line="0" w:lineRule="atLeast"/>
              <w:jc w:val="left"/>
              <w:rPr>
                <w:rFonts w:ascii="宋体" w:hAnsi="宋体" w:cs="宋体"/>
                <w:color w:val="auto"/>
                <w:kern w:val="0"/>
                <w:szCs w:val="21"/>
                <w:highlight w:val="none"/>
              </w:rPr>
            </w:pPr>
          </w:p>
        </w:tc>
        <w:tc>
          <w:tcPr>
            <w:tcW w:w="497" w:type="pct"/>
            <w:tcBorders>
              <w:top w:val="single" w:color="auto" w:sz="4" w:space="0"/>
              <w:left w:val="nil"/>
              <w:bottom w:val="single" w:color="auto" w:sz="4" w:space="0"/>
              <w:right w:val="single" w:color="auto" w:sz="4" w:space="0"/>
            </w:tcBorders>
            <w:vAlign w:val="center"/>
          </w:tcPr>
          <w:p>
            <w:pPr>
              <w:widowControl/>
              <w:spacing w:line="9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安全文明施工措施</w:t>
            </w:r>
          </w:p>
        </w:tc>
        <w:tc>
          <w:tcPr>
            <w:tcW w:w="205" w:type="pct"/>
            <w:tcBorders>
              <w:top w:val="single" w:color="auto" w:sz="4" w:space="0"/>
              <w:left w:val="nil"/>
              <w:bottom w:val="single" w:color="auto" w:sz="4" w:space="0"/>
              <w:right w:val="single" w:color="auto" w:sz="4" w:space="0"/>
            </w:tcBorders>
            <w:vAlign w:val="center"/>
          </w:tcPr>
          <w:p>
            <w:pPr>
              <w:widowControl/>
              <w:spacing w:line="315"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1000" w:type="pct"/>
            <w:tcBorders>
              <w:top w:val="single" w:color="auto" w:sz="4" w:space="0"/>
              <w:left w:val="nil"/>
              <w:bottom w:val="single" w:color="auto" w:sz="4" w:space="0"/>
              <w:right w:val="single" w:color="auto" w:sz="4" w:space="0"/>
            </w:tcBorders>
          </w:tcPr>
          <w:p>
            <w:pPr>
              <w:widowControl/>
              <w:spacing w:line="90" w:lineRule="atLeast"/>
              <w:jc w:val="left"/>
              <w:rPr>
                <w:rFonts w:ascii="宋体" w:hAnsi="宋体" w:cs="宋体"/>
                <w:color w:val="auto"/>
                <w:kern w:val="0"/>
                <w:szCs w:val="21"/>
                <w:highlight w:val="none"/>
              </w:rPr>
            </w:pPr>
            <w:r>
              <w:rPr>
                <w:rFonts w:hint="eastAsia" w:ascii="宋体" w:hAnsi="宋体" w:cs="宋体"/>
                <w:color w:val="auto"/>
                <w:szCs w:val="21"/>
                <w:highlight w:val="none"/>
              </w:rPr>
              <w:t>优：</w:t>
            </w:r>
            <w:r>
              <w:rPr>
                <w:rFonts w:hint="eastAsia" w:ascii="宋体" w:hAnsi="宋体" w:cs="宋体"/>
                <w:color w:val="auto"/>
                <w:kern w:val="0"/>
                <w:szCs w:val="21"/>
                <w:highlight w:val="none"/>
              </w:rPr>
              <w:t>有健全的安全文明施工保障体系，各项保证措施明确、具体、可行，得</w:t>
            </w:r>
            <w:r>
              <w:rPr>
                <w:rFonts w:hint="eastAsia" w:ascii="宋体" w:hAnsi="宋体" w:cs="宋体"/>
                <w:color w:val="auto"/>
                <w:kern w:val="0"/>
                <w:sz w:val="22"/>
                <w:highlight w:val="none"/>
              </w:rPr>
              <w:t>[8-5）</w:t>
            </w:r>
            <w:r>
              <w:rPr>
                <w:rFonts w:hint="eastAsia" w:ascii="宋体" w:hAnsi="宋体" w:cs="宋体"/>
                <w:color w:val="auto"/>
                <w:kern w:val="0"/>
                <w:szCs w:val="21"/>
                <w:highlight w:val="none"/>
              </w:rPr>
              <w:t>分。</w:t>
            </w:r>
          </w:p>
        </w:tc>
        <w:tc>
          <w:tcPr>
            <w:tcW w:w="1000" w:type="pct"/>
            <w:tcBorders>
              <w:top w:val="single" w:color="auto" w:sz="4" w:space="0"/>
              <w:left w:val="nil"/>
              <w:bottom w:val="single" w:color="auto" w:sz="4" w:space="0"/>
              <w:right w:val="single" w:color="auto" w:sz="4" w:space="0"/>
            </w:tcBorders>
          </w:tcPr>
          <w:p>
            <w:pPr>
              <w:widowControl/>
              <w:spacing w:line="90" w:lineRule="atLeast"/>
              <w:jc w:val="left"/>
              <w:rPr>
                <w:rFonts w:ascii="宋体" w:hAnsi="宋体" w:cs="宋体"/>
                <w:color w:val="auto"/>
                <w:kern w:val="0"/>
                <w:szCs w:val="21"/>
                <w:highlight w:val="none"/>
              </w:rPr>
            </w:pPr>
            <w:r>
              <w:rPr>
                <w:rFonts w:hint="eastAsia" w:ascii="宋体" w:hAnsi="宋体" w:cs="宋体"/>
                <w:color w:val="auto"/>
                <w:szCs w:val="21"/>
                <w:highlight w:val="none"/>
              </w:rPr>
              <w:t>良：</w:t>
            </w:r>
            <w:r>
              <w:rPr>
                <w:rFonts w:hint="eastAsia" w:ascii="宋体" w:hAnsi="宋体" w:cs="宋体"/>
                <w:color w:val="auto"/>
                <w:kern w:val="0"/>
                <w:szCs w:val="21"/>
                <w:highlight w:val="none"/>
              </w:rPr>
              <w:t>有较健全的安全文明施工保障体系，各项保证措施较明确、较具体、较可行，得</w:t>
            </w:r>
            <w:r>
              <w:rPr>
                <w:rFonts w:hint="eastAsia" w:ascii="宋体" w:hAnsi="宋体" w:cs="宋体"/>
                <w:color w:val="auto"/>
                <w:kern w:val="0"/>
                <w:sz w:val="22"/>
                <w:highlight w:val="none"/>
              </w:rPr>
              <w:t>[5-3）</w:t>
            </w:r>
            <w:r>
              <w:rPr>
                <w:rFonts w:hint="eastAsia" w:ascii="宋体" w:hAnsi="宋体" w:cs="宋体"/>
                <w:color w:val="auto"/>
                <w:kern w:val="0"/>
                <w:szCs w:val="21"/>
                <w:highlight w:val="none"/>
              </w:rPr>
              <w:t>分。</w:t>
            </w:r>
          </w:p>
        </w:tc>
        <w:tc>
          <w:tcPr>
            <w:tcW w:w="1000" w:type="pct"/>
            <w:tcBorders>
              <w:top w:val="single" w:color="auto" w:sz="4" w:space="0"/>
              <w:left w:val="nil"/>
              <w:bottom w:val="single" w:color="auto" w:sz="4" w:space="0"/>
              <w:right w:val="single" w:color="auto" w:sz="4" w:space="0"/>
            </w:tcBorders>
          </w:tcPr>
          <w:p>
            <w:pPr>
              <w:widowControl/>
              <w:spacing w:line="90" w:lineRule="atLeast"/>
              <w:jc w:val="left"/>
              <w:rPr>
                <w:rFonts w:ascii="宋体" w:hAnsi="宋体" w:cs="宋体"/>
                <w:color w:val="auto"/>
                <w:kern w:val="0"/>
                <w:szCs w:val="21"/>
                <w:highlight w:val="none"/>
              </w:rPr>
            </w:pPr>
            <w:r>
              <w:rPr>
                <w:rFonts w:hint="eastAsia" w:ascii="宋体" w:hAnsi="宋体" w:cs="宋体"/>
                <w:color w:val="auto"/>
                <w:szCs w:val="21"/>
                <w:highlight w:val="none"/>
              </w:rPr>
              <w:t>中：</w:t>
            </w:r>
            <w:r>
              <w:rPr>
                <w:rFonts w:hint="eastAsia" w:ascii="宋体" w:hAnsi="宋体" w:cs="宋体"/>
                <w:color w:val="auto"/>
                <w:kern w:val="0"/>
                <w:szCs w:val="21"/>
                <w:highlight w:val="none"/>
              </w:rPr>
              <w:t>安全文明施工保障体系一般，各项保证措施一般，得</w:t>
            </w:r>
            <w:r>
              <w:rPr>
                <w:rFonts w:hint="eastAsia" w:ascii="宋体" w:hAnsi="宋体" w:cs="宋体"/>
                <w:color w:val="auto"/>
                <w:kern w:val="0"/>
                <w:sz w:val="22"/>
                <w:highlight w:val="none"/>
              </w:rPr>
              <w:t>[3-1）</w:t>
            </w:r>
            <w:r>
              <w:rPr>
                <w:rFonts w:hint="eastAsia" w:ascii="宋体" w:hAnsi="宋体" w:cs="宋体"/>
                <w:color w:val="auto"/>
                <w:kern w:val="0"/>
                <w:szCs w:val="21"/>
                <w:highlight w:val="none"/>
              </w:rPr>
              <w:t>分。</w:t>
            </w:r>
          </w:p>
        </w:tc>
        <w:tc>
          <w:tcPr>
            <w:tcW w:w="1005" w:type="pct"/>
            <w:tcBorders>
              <w:top w:val="single" w:color="auto" w:sz="4" w:space="0"/>
              <w:left w:val="nil"/>
              <w:bottom w:val="single" w:color="auto" w:sz="4" w:space="0"/>
              <w:right w:val="single" w:color="auto" w:sz="4" w:space="0"/>
            </w:tcBorders>
          </w:tcPr>
          <w:p>
            <w:pPr>
              <w:widowControl/>
              <w:spacing w:line="90" w:lineRule="atLeast"/>
              <w:jc w:val="left"/>
              <w:rPr>
                <w:rFonts w:ascii="宋体" w:hAnsi="宋体" w:cs="宋体"/>
                <w:color w:val="auto"/>
                <w:kern w:val="0"/>
                <w:szCs w:val="21"/>
                <w:highlight w:val="none"/>
              </w:rPr>
            </w:pPr>
            <w:bookmarkStart w:id="69" w:name="OLE_LINK2"/>
            <w:r>
              <w:rPr>
                <w:rFonts w:hint="eastAsia" w:ascii="宋体" w:hAnsi="宋体" w:cs="宋体"/>
                <w:color w:val="auto"/>
                <w:szCs w:val="21"/>
                <w:highlight w:val="none"/>
              </w:rPr>
              <w:t>差：</w:t>
            </w:r>
            <w:r>
              <w:rPr>
                <w:rFonts w:hint="eastAsia" w:ascii="宋体" w:hAnsi="宋体" w:cs="宋体"/>
                <w:color w:val="auto"/>
                <w:kern w:val="0"/>
                <w:szCs w:val="21"/>
                <w:highlight w:val="none"/>
              </w:rPr>
              <w:t>不满足前述要求者，得</w:t>
            </w:r>
            <w:r>
              <w:rPr>
                <w:rFonts w:hint="eastAsia" w:ascii="宋体" w:hAnsi="宋体" w:cs="宋体"/>
                <w:color w:val="auto"/>
                <w:kern w:val="0"/>
                <w:sz w:val="22"/>
                <w:highlight w:val="none"/>
              </w:rPr>
              <w:t>[1-0]</w:t>
            </w:r>
            <w:r>
              <w:rPr>
                <w:rFonts w:hint="eastAsia" w:ascii="宋体" w:hAnsi="宋体" w:cs="宋体"/>
                <w:color w:val="auto"/>
                <w:kern w:val="0"/>
                <w:szCs w:val="21"/>
                <w:highlight w:val="none"/>
              </w:rPr>
              <w:t>分。</w:t>
            </w:r>
            <w:bookmarkEnd w:id="69"/>
          </w:p>
        </w:tc>
      </w:tr>
      <w:tr>
        <w:tblPrEx>
          <w:tblCellMar>
            <w:top w:w="0" w:type="dxa"/>
            <w:left w:w="108" w:type="dxa"/>
            <w:bottom w:w="0" w:type="dxa"/>
            <w:right w:w="108" w:type="dxa"/>
          </w:tblCellMar>
        </w:tblPrEx>
        <w:trPr>
          <w:cantSplit/>
          <w:trHeight w:val="664" w:hRule="atLeast"/>
          <w:jc w:val="center"/>
        </w:trPr>
        <w:tc>
          <w:tcPr>
            <w:tcW w:w="291" w:type="pct"/>
            <w:vMerge w:val="continue"/>
            <w:tcBorders>
              <w:left w:val="single" w:color="auto" w:sz="4" w:space="0"/>
              <w:right w:val="single" w:color="auto" w:sz="4" w:space="0"/>
            </w:tcBorders>
            <w:vAlign w:val="center"/>
          </w:tcPr>
          <w:p>
            <w:pPr>
              <w:spacing w:line="0" w:lineRule="atLeast"/>
              <w:jc w:val="left"/>
              <w:rPr>
                <w:rFonts w:ascii="宋体" w:hAnsi="宋体" w:cs="宋体"/>
                <w:color w:val="auto"/>
                <w:kern w:val="0"/>
                <w:szCs w:val="21"/>
                <w:highlight w:val="none"/>
              </w:rPr>
            </w:pPr>
          </w:p>
        </w:tc>
        <w:tc>
          <w:tcPr>
            <w:tcW w:w="497" w:type="pct"/>
            <w:tcBorders>
              <w:top w:val="single" w:color="auto" w:sz="4" w:space="0"/>
              <w:left w:val="nil"/>
              <w:bottom w:val="single" w:color="auto" w:sz="4" w:space="0"/>
              <w:right w:val="single" w:color="auto" w:sz="4" w:space="0"/>
            </w:tcBorders>
            <w:vAlign w:val="center"/>
          </w:tcPr>
          <w:p>
            <w:pPr>
              <w:widowControl/>
              <w:spacing w:line="315"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绿色施工措施</w:t>
            </w:r>
          </w:p>
        </w:tc>
        <w:tc>
          <w:tcPr>
            <w:tcW w:w="205" w:type="pct"/>
            <w:tcBorders>
              <w:top w:val="single" w:color="auto" w:sz="4" w:space="0"/>
              <w:left w:val="nil"/>
              <w:bottom w:val="single" w:color="auto" w:sz="4" w:space="0"/>
              <w:right w:val="single" w:color="auto" w:sz="4" w:space="0"/>
            </w:tcBorders>
            <w:vAlign w:val="center"/>
          </w:tcPr>
          <w:p>
            <w:pPr>
              <w:widowControl/>
              <w:spacing w:line="315"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1000" w:type="pct"/>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Cs w:val="21"/>
                <w:highlight w:val="none"/>
              </w:rPr>
            </w:pPr>
            <w:r>
              <w:rPr>
                <w:rFonts w:hint="eastAsia" w:ascii="宋体" w:hAnsi="宋体" w:cs="宋体"/>
                <w:color w:val="auto"/>
                <w:szCs w:val="21"/>
                <w:highlight w:val="none"/>
              </w:rPr>
              <w:t>优：</w:t>
            </w:r>
            <w:r>
              <w:rPr>
                <w:rFonts w:hint="eastAsia" w:ascii="宋体" w:hAnsi="宋体" w:cs="宋体"/>
                <w:color w:val="auto"/>
                <w:kern w:val="0"/>
                <w:szCs w:val="21"/>
                <w:highlight w:val="none"/>
              </w:rPr>
              <w:t>有健全的绿色施工保证体系和组织机构（有机构框图），绿色文明施工和环境保护各项措施明确、具体、可行，结合本项目具体工作内容拟采用高新技术产品（有效期内）的，得</w:t>
            </w:r>
            <w:r>
              <w:rPr>
                <w:rFonts w:hint="eastAsia" w:ascii="宋体" w:hAnsi="宋体" w:cs="宋体"/>
                <w:color w:val="auto"/>
                <w:kern w:val="0"/>
                <w:sz w:val="22"/>
                <w:highlight w:val="none"/>
              </w:rPr>
              <w:t>[8-5）</w:t>
            </w:r>
            <w:r>
              <w:rPr>
                <w:rFonts w:hint="eastAsia" w:ascii="宋体" w:hAnsi="宋体" w:cs="宋体"/>
                <w:color w:val="auto"/>
                <w:kern w:val="0"/>
                <w:szCs w:val="21"/>
                <w:highlight w:val="none"/>
              </w:rPr>
              <w:t>分。</w:t>
            </w:r>
          </w:p>
        </w:tc>
        <w:tc>
          <w:tcPr>
            <w:tcW w:w="1000" w:type="pct"/>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Cs w:val="21"/>
                <w:highlight w:val="none"/>
              </w:rPr>
            </w:pPr>
            <w:r>
              <w:rPr>
                <w:rFonts w:hint="eastAsia" w:ascii="宋体" w:hAnsi="宋体" w:cs="宋体"/>
                <w:color w:val="auto"/>
                <w:szCs w:val="21"/>
                <w:highlight w:val="none"/>
              </w:rPr>
              <w:t>良：</w:t>
            </w:r>
            <w:r>
              <w:rPr>
                <w:rFonts w:hint="eastAsia" w:ascii="宋体" w:hAnsi="宋体" w:cs="宋体"/>
                <w:color w:val="auto"/>
                <w:kern w:val="0"/>
                <w:szCs w:val="21"/>
                <w:highlight w:val="none"/>
              </w:rPr>
              <w:t>有较健全的绿色施工保证体系和组织机构健全（有机构框图），绿色文明施工和环境保护各项措施较明确、较具体、较可行，得</w:t>
            </w:r>
            <w:r>
              <w:rPr>
                <w:rFonts w:hint="eastAsia" w:ascii="宋体" w:hAnsi="宋体" w:cs="宋体"/>
                <w:color w:val="auto"/>
                <w:kern w:val="0"/>
                <w:sz w:val="22"/>
                <w:highlight w:val="none"/>
              </w:rPr>
              <w:t>[5-3）</w:t>
            </w:r>
            <w:r>
              <w:rPr>
                <w:rFonts w:hint="eastAsia" w:ascii="宋体" w:hAnsi="宋体" w:cs="宋体"/>
                <w:color w:val="auto"/>
                <w:kern w:val="0"/>
                <w:szCs w:val="21"/>
                <w:highlight w:val="none"/>
              </w:rPr>
              <w:t>分。</w:t>
            </w:r>
          </w:p>
        </w:tc>
        <w:tc>
          <w:tcPr>
            <w:tcW w:w="1000" w:type="pct"/>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Cs w:val="21"/>
                <w:highlight w:val="none"/>
              </w:rPr>
            </w:pPr>
            <w:r>
              <w:rPr>
                <w:rFonts w:hint="eastAsia" w:ascii="宋体" w:hAnsi="宋体" w:cs="宋体"/>
                <w:color w:val="auto"/>
                <w:szCs w:val="21"/>
                <w:highlight w:val="none"/>
              </w:rPr>
              <w:t>中：</w:t>
            </w:r>
            <w:r>
              <w:rPr>
                <w:rFonts w:hint="eastAsia" w:ascii="宋体" w:hAnsi="宋体" w:cs="宋体"/>
                <w:color w:val="auto"/>
                <w:kern w:val="0"/>
                <w:szCs w:val="21"/>
                <w:highlight w:val="none"/>
              </w:rPr>
              <w:t>绿色施工保证体系和组织机构一般（有机构框图），绿色文明施工和环境保护各项措施一般，得</w:t>
            </w:r>
            <w:r>
              <w:rPr>
                <w:rFonts w:hint="eastAsia" w:ascii="宋体" w:hAnsi="宋体" w:cs="宋体"/>
                <w:color w:val="auto"/>
                <w:kern w:val="0"/>
                <w:sz w:val="22"/>
                <w:highlight w:val="none"/>
              </w:rPr>
              <w:t>[3-1）</w:t>
            </w:r>
            <w:r>
              <w:rPr>
                <w:rFonts w:hint="eastAsia" w:ascii="宋体" w:hAnsi="宋体" w:cs="宋体"/>
                <w:color w:val="auto"/>
                <w:kern w:val="0"/>
                <w:szCs w:val="21"/>
                <w:highlight w:val="none"/>
              </w:rPr>
              <w:t>分。</w:t>
            </w:r>
          </w:p>
        </w:tc>
        <w:tc>
          <w:tcPr>
            <w:tcW w:w="1005" w:type="pct"/>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Cs w:val="21"/>
                <w:highlight w:val="none"/>
              </w:rPr>
            </w:pPr>
            <w:r>
              <w:rPr>
                <w:rFonts w:hint="eastAsia" w:ascii="宋体" w:hAnsi="宋体" w:cs="宋体"/>
                <w:color w:val="auto"/>
                <w:szCs w:val="21"/>
                <w:highlight w:val="none"/>
              </w:rPr>
              <w:t>差：</w:t>
            </w:r>
            <w:r>
              <w:rPr>
                <w:rFonts w:hint="eastAsia" w:ascii="宋体" w:hAnsi="宋体" w:cs="宋体"/>
                <w:color w:val="auto"/>
                <w:kern w:val="0"/>
                <w:szCs w:val="21"/>
                <w:highlight w:val="none"/>
              </w:rPr>
              <w:t>不满足前述要求者，得</w:t>
            </w:r>
            <w:r>
              <w:rPr>
                <w:rFonts w:hint="eastAsia" w:ascii="宋体" w:hAnsi="宋体" w:cs="宋体"/>
                <w:color w:val="auto"/>
                <w:kern w:val="0"/>
                <w:sz w:val="22"/>
                <w:highlight w:val="none"/>
              </w:rPr>
              <w:t>[1-0]</w:t>
            </w:r>
            <w:r>
              <w:rPr>
                <w:rFonts w:hint="eastAsia" w:ascii="宋体" w:hAnsi="宋体" w:cs="宋体"/>
                <w:color w:val="auto"/>
                <w:kern w:val="0"/>
                <w:szCs w:val="21"/>
                <w:highlight w:val="none"/>
              </w:rPr>
              <w:t>分。</w:t>
            </w:r>
          </w:p>
        </w:tc>
      </w:tr>
      <w:tr>
        <w:tblPrEx>
          <w:tblCellMar>
            <w:top w:w="0" w:type="dxa"/>
            <w:left w:w="108" w:type="dxa"/>
            <w:bottom w:w="0" w:type="dxa"/>
            <w:right w:w="108" w:type="dxa"/>
          </w:tblCellMar>
        </w:tblPrEx>
        <w:trPr>
          <w:cantSplit/>
          <w:trHeight w:val="427" w:hRule="atLeast"/>
          <w:jc w:val="center"/>
        </w:trPr>
        <w:tc>
          <w:tcPr>
            <w:tcW w:w="789" w:type="pct"/>
            <w:gridSpan w:val="2"/>
            <w:tcBorders>
              <w:top w:val="single" w:color="auto" w:sz="4" w:space="0"/>
              <w:left w:val="single" w:color="auto" w:sz="8" w:space="0"/>
              <w:bottom w:val="single" w:color="auto" w:sz="4" w:space="0"/>
              <w:right w:val="single" w:color="auto" w:sz="4" w:space="0"/>
            </w:tcBorders>
            <w:vAlign w:val="center"/>
          </w:tcPr>
          <w:p>
            <w:pPr>
              <w:spacing w:line="0" w:lineRule="atLeast"/>
              <w:jc w:val="left"/>
              <w:rPr>
                <w:rFonts w:ascii="宋体" w:hAnsi="宋体"/>
                <w:color w:val="auto"/>
                <w:szCs w:val="21"/>
                <w:highlight w:val="none"/>
              </w:rPr>
            </w:pPr>
            <w:r>
              <w:rPr>
                <w:rFonts w:hint="eastAsia" w:ascii="宋体" w:hAnsi="宋体"/>
                <w:color w:val="auto"/>
                <w:szCs w:val="21"/>
                <w:highlight w:val="none"/>
              </w:rPr>
              <w:t>合计（一+二）</w:t>
            </w:r>
          </w:p>
        </w:tc>
        <w:tc>
          <w:tcPr>
            <w:tcW w:w="205" w:type="pct"/>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olor w:val="auto"/>
                <w:szCs w:val="21"/>
                <w:highlight w:val="none"/>
              </w:rPr>
            </w:pPr>
            <w:r>
              <w:rPr>
                <w:rFonts w:hint="eastAsia" w:ascii="宋体" w:hAnsi="宋体"/>
                <w:color w:val="auto"/>
                <w:szCs w:val="21"/>
                <w:highlight w:val="none"/>
              </w:rPr>
              <w:t>100</w:t>
            </w:r>
          </w:p>
        </w:tc>
        <w:tc>
          <w:tcPr>
            <w:tcW w:w="4006" w:type="pct"/>
            <w:gridSpan w:val="4"/>
            <w:tcBorders>
              <w:top w:val="single" w:color="auto" w:sz="4" w:space="0"/>
              <w:left w:val="nil"/>
              <w:bottom w:val="single" w:color="auto" w:sz="4" w:space="0"/>
              <w:right w:val="single" w:color="auto" w:sz="4" w:space="0"/>
            </w:tcBorders>
            <w:vAlign w:val="center"/>
          </w:tcPr>
          <w:p>
            <w:pPr>
              <w:spacing w:line="0" w:lineRule="atLeast"/>
              <w:rPr>
                <w:rFonts w:ascii="宋体" w:hAnsi="宋体"/>
                <w:color w:val="auto"/>
                <w:szCs w:val="21"/>
                <w:highlight w:val="none"/>
              </w:rPr>
            </w:pPr>
          </w:p>
        </w:tc>
      </w:tr>
    </w:tbl>
    <w:p>
      <w:pPr>
        <w:pStyle w:val="2"/>
        <w:ind w:firstLine="392"/>
        <w:rPr>
          <w:rFonts w:ascii="宋体" w:hAnsi="宋体"/>
          <w:color w:val="auto"/>
          <w:sz w:val="18"/>
          <w:szCs w:val="18"/>
          <w:highlight w:val="none"/>
        </w:rPr>
      </w:pPr>
      <w:r>
        <w:rPr>
          <w:rFonts w:hint="eastAsia" w:ascii="宋体" w:hAnsi="宋体"/>
          <w:color w:val="auto"/>
          <w:sz w:val="18"/>
          <w:szCs w:val="18"/>
          <w:highlight w:val="none"/>
        </w:rPr>
        <w:t>备注：</w:t>
      </w:r>
    </w:p>
    <w:p>
      <w:pPr>
        <w:numPr>
          <w:ilvl w:val="0"/>
          <w:numId w:val="8"/>
        </w:numPr>
        <w:ind w:firstLine="361"/>
        <w:rPr>
          <w:rFonts w:ascii="宋体" w:hAnsi="宋体" w:cs="宋体"/>
          <w:b/>
          <w:color w:val="auto"/>
          <w:sz w:val="18"/>
          <w:szCs w:val="18"/>
          <w:highlight w:val="none"/>
        </w:rPr>
      </w:pPr>
      <w:r>
        <w:rPr>
          <w:rFonts w:hint="eastAsia" w:ascii="宋体" w:hAnsi="宋体" w:cs="宋体"/>
          <w:b/>
          <w:color w:val="auto"/>
          <w:sz w:val="18"/>
          <w:szCs w:val="18"/>
          <w:highlight w:val="none"/>
        </w:rPr>
        <w:t>项目管理机构能力人员：</w:t>
      </w:r>
    </w:p>
    <w:p>
      <w:pPr>
        <w:pStyle w:val="2"/>
        <w:ind w:firstLine="360" w:firstLineChars="200"/>
        <w:rPr>
          <w:rFonts w:ascii="宋体" w:hAnsi="宋体" w:cs="宋体"/>
          <w:color w:val="auto"/>
          <w:sz w:val="18"/>
          <w:szCs w:val="18"/>
          <w:highlight w:val="none"/>
        </w:rPr>
      </w:pPr>
      <w:r>
        <w:rPr>
          <w:rFonts w:hint="eastAsia" w:ascii="宋体" w:hAnsi="宋体" w:cs="宋体"/>
          <w:color w:val="auto"/>
          <w:sz w:val="18"/>
          <w:szCs w:val="18"/>
          <w:highlight w:val="none"/>
        </w:rPr>
        <w:t>以上各岗位人员不得兼任，须提供上述拟投入本项目所有人员近一个月（2025年8月）在投标单位（或分支机构）购买的参保证明材料或免社保的证明扫描件，若为退休人员需提供退休证明及返聘合同扫描件，不符合条件或无提交相关资料的不计分。若发现弄虚作假的，则将其行为纳入不诚信名单，招标人保留上报给行政主管部门的权力。</w:t>
      </w:r>
    </w:p>
    <w:p>
      <w:pPr>
        <w:pStyle w:val="17"/>
        <w:spacing w:line="240" w:lineRule="auto"/>
        <w:ind w:firstLine="361" w:firstLineChars="200"/>
        <w:rPr>
          <w:rFonts w:cs="宋体"/>
          <w:b/>
          <w:bCs/>
          <w:color w:val="auto"/>
          <w:kern w:val="0"/>
          <w:sz w:val="18"/>
          <w:szCs w:val="18"/>
          <w:highlight w:val="none"/>
        </w:rPr>
      </w:pPr>
      <w:r>
        <w:rPr>
          <w:rFonts w:hint="eastAsia"/>
          <w:b/>
          <w:bCs/>
          <w:color w:val="auto"/>
          <w:sz w:val="18"/>
          <w:szCs w:val="18"/>
          <w:highlight w:val="none"/>
        </w:rPr>
        <w:t>2、类似施工业绩</w:t>
      </w:r>
      <w:r>
        <w:rPr>
          <w:rFonts w:hint="eastAsia" w:cs="宋体"/>
          <w:b/>
          <w:bCs/>
          <w:color w:val="auto"/>
          <w:kern w:val="0"/>
          <w:sz w:val="18"/>
          <w:szCs w:val="18"/>
          <w:highlight w:val="none"/>
        </w:rPr>
        <w:t>：中标金额大于或等于</w:t>
      </w:r>
      <w:r>
        <w:rPr>
          <w:rFonts w:cs="宋体"/>
          <w:b/>
          <w:bCs/>
          <w:color w:val="auto"/>
          <w:kern w:val="0"/>
          <w:sz w:val="18"/>
          <w:szCs w:val="18"/>
          <w:highlight w:val="none"/>
        </w:rPr>
        <w:t>250</w:t>
      </w:r>
      <w:r>
        <w:rPr>
          <w:rFonts w:hint="eastAsia" w:cs="宋体"/>
          <w:b/>
          <w:bCs/>
          <w:color w:val="auto"/>
          <w:kern w:val="0"/>
          <w:sz w:val="18"/>
          <w:szCs w:val="18"/>
          <w:highlight w:val="none"/>
        </w:rPr>
        <w:t>万元的市政公用工程施工总承包（不含轨道交通工程）业绩。</w:t>
      </w:r>
    </w:p>
    <w:p>
      <w:pPr>
        <w:pStyle w:val="2"/>
        <w:ind w:firstLine="360" w:firstLineChars="200"/>
        <w:rPr>
          <w:rFonts w:ascii="宋体" w:hAnsi="宋体" w:cs="宋体"/>
          <w:color w:val="auto"/>
          <w:sz w:val="18"/>
          <w:szCs w:val="18"/>
          <w:highlight w:val="none"/>
        </w:rPr>
      </w:pPr>
      <w:r>
        <w:rPr>
          <w:rFonts w:hint="eastAsia" w:ascii="宋体" w:hAnsi="宋体" w:cs="宋体"/>
          <w:color w:val="auto"/>
          <w:kern w:val="0"/>
          <w:sz w:val="18"/>
          <w:szCs w:val="18"/>
          <w:highlight w:val="none"/>
        </w:rPr>
        <w:t>完成时间以竣工验收报告或竣工等相关证明文件时间为准；中标金额以中标通知书金额为准，若中标通知书没有显示中标金额或免招标的，以合同协议书（不含补充合同）金额为准；需提供中标通知书或免招标证明、合同协议书（关键页）、竣工验收报告或竣工等相关证明文件，提供的材料不符合上述条件或未提供上述资料的，该业绩不予认定。</w:t>
      </w:r>
      <w:r>
        <w:rPr>
          <w:rFonts w:hint="eastAsia" w:ascii="宋体" w:hAnsi="宋体" w:cs="宋体"/>
          <w:color w:val="auto"/>
          <w:sz w:val="18"/>
          <w:szCs w:val="18"/>
          <w:highlight w:val="none"/>
        </w:rPr>
        <w:t>若发现弄虚作假的，则将其行为纳入不诚信名单，招标人保留上报给行政主管部门的权力。</w:t>
      </w:r>
    </w:p>
    <w:p>
      <w:pPr>
        <w:snapToGrid w:val="0"/>
        <w:ind w:firstLine="361" w:firstLineChars="200"/>
        <w:rPr>
          <w:rFonts w:ascii="宋体" w:hAnsi="宋体" w:cs="宋体"/>
          <w:color w:val="auto"/>
          <w:sz w:val="18"/>
          <w:szCs w:val="18"/>
          <w:highlight w:val="none"/>
        </w:rPr>
      </w:pPr>
      <w:r>
        <w:rPr>
          <w:rFonts w:hint="eastAsia" w:ascii="宋体" w:hAnsi="宋体" w:cs="宋体"/>
          <w:b/>
          <w:color w:val="auto"/>
          <w:sz w:val="18"/>
          <w:szCs w:val="18"/>
          <w:highlight w:val="none"/>
        </w:rPr>
        <w:t>3、</w:t>
      </w:r>
      <w:r>
        <w:rPr>
          <w:rFonts w:hint="eastAsia" w:ascii="宋体" w:hAnsi="宋体" w:cs="宋体"/>
          <w:color w:val="auto"/>
          <w:sz w:val="18"/>
          <w:szCs w:val="18"/>
          <w:highlight w:val="none"/>
        </w:rPr>
        <w:t>所有评委的分数汇总后的算术平均值为投标人的最终得分。分数出现小数点，保留小数点后二位小数，第三位小数四舍五入。</w:t>
      </w:r>
    </w:p>
    <w:p>
      <w:pPr>
        <w:pStyle w:val="2"/>
        <w:rPr>
          <w:color w:val="auto"/>
          <w:highlight w:val="none"/>
        </w:rPr>
      </w:pPr>
    </w:p>
    <w:p>
      <w:pPr>
        <w:jc w:val="left"/>
        <w:rPr>
          <w:color w:val="auto"/>
          <w:highlight w:val="none"/>
        </w:rPr>
      </w:pPr>
      <w:r>
        <w:rPr>
          <w:rFonts w:hint="eastAsia"/>
          <w:color w:val="auto"/>
          <w:highlight w:val="none"/>
        </w:rPr>
        <w:t>评委签名：</w:t>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 xml:space="preserve">                                  日期：</w:t>
      </w:r>
    </w:p>
    <w:bookmarkEnd w:id="68"/>
    <w:p>
      <w:pPr>
        <w:spacing w:line="360" w:lineRule="auto"/>
        <w:ind w:firstLine="373" w:firstLineChars="116"/>
        <w:jc w:val="center"/>
        <w:rPr>
          <w:rFonts w:ascii="宋体" w:hAnsi="宋体"/>
          <w:b/>
          <w:color w:val="auto"/>
          <w:kern w:val="0"/>
          <w:sz w:val="32"/>
          <w:szCs w:val="32"/>
          <w:highlight w:val="none"/>
        </w:rPr>
      </w:pPr>
    </w:p>
    <w:p>
      <w:pPr>
        <w:pStyle w:val="2"/>
        <w:rPr>
          <w:rFonts w:ascii="宋体" w:hAnsi="宋体"/>
          <w:b/>
          <w:color w:val="auto"/>
          <w:kern w:val="0"/>
          <w:sz w:val="32"/>
          <w:szCs w:val="32"/>
          <w:highlight w:val="none"/>
        </w:rPr>
      </w:pPr>
    </w:p>
    <w:p>
      <w:pPr>
        <w:pStyle w:val="2"/>
        <w:rPr>
          <w:rFonts w:ascii="宋体" w:hAnsi="宋体"/>
          <w:b/>
          <w:color w:val="auto"/>
          <w:kern w:val="0"/>
          <w:sz w:val="32"/>
          <w:szCs w:val="32"/>
          <w:highlight w:val="none"/>
        </w:rPr>
      </w:pPr>
    </w:p>
    <w:p>
      <w:pPr>
        <w:pStyle w:val="2"/>
        <w:rPr>
          <w:rFonts w:ascii="宋体" w:hAnsi="宋体"/>
          <w:b/>
          <w:color w:val="auto"/>
          <w:kern w:val="0"/>
          <w:sz w:val="32"/>
          <w:szCs w:val="32"/>
          <w:highlight w:val="none"/>
        </w:rPr>
      </w:pPr>
    </w:p>
    <w:p>
      <w:pPr>
        <w:pStyle w:val="2"/>
        <w:rPr>
          <w:rFonts w:ascii="宋体" w:hAnsi="宋体"/>
          <w:b/>
          <w:color w:val="auto"/>
          <w:kern w:val="0"/>
          <w:sz w:val="32"/>
          <w:szCs w:val="32"/>
          <w:highlight w:val="none"/>
        </w:rPr>
      </w:pPr>
    </w:p>
    <w:p>
      <w:pPr>
        <w:pStyle w:val="2"/>
        <w:rPr>
          <w:rFonts w:ascii="宋体" w:hAnsi="宋体"/>
          <w:b/>
          <w:color w:val="auto"/>
          <w:kern w:val="0"/>
          <w:sz w:val="32"/>
          <w:szCs w:val="32"/>
          <w:highlight w:val="none"/>
        </w:rPr>
      </w:pPr>
    </w:p>
    <w:p>
      <w:pPr>
        <w:pStyle w:val="2"/>
        <w:rPr>
          <w:rFonts w:ascii="宋体" w:hAnsi="宋体"/>
          <w:b/>
          <w:color w:val="auto"/>
          <w:kern w:val="0"/>
          <w:sz w:val="32"/>
          <w:szCs w:val="32"/>
          <w:highlight w:val="none"/>
        </w:rPr>
      </w:pPr>
    </w:p>
    <w:p>
      <w:pPr>
        <w:pStyle w:val="2"/>
        <w:rPr>
          <w:rFonts w:ascii="宋体" w:hAnsi="宋体"/>
          <w:b/>
          <w:color w:val="auto"/>
          <w:kern w:val="0"/>
          <w:sz w:val="32"/>
          <w:szCs w:val="32"/>
          <w:highlight w:val="none"/>
        </w:rPr>
      </w:pPr>
    </w:p>
    <w:p>
      <w:pPr>
        <w:rPr>
          <w:rFonts w:hint="eastAsia" w:ascii="Calibri" w:hAnsi="Calibri" w:eastAsia="宋体" w:cs="Times New Roman"/>
          <w:b w:val="0"/>
          <w:color w:val="auto"/>
          <w:sz w:val="24"/>
          <w:szCs w:val="24"/>
          <w:highlight w:val="none"/>
          <w:lang w:eastAsia="zh-CN"/>
        </w:rPr>
      </w:pPr>
      <w:r>
        <w:rPr>
          <w:rFonts w:hint="eastAsia" w:ascii="Calibri" w:hAnsi="Calibri" w:eastAsia="宋体" w:cs="Times New Roman"/>
          <w:color w:val="auto"/>
          <w:sz w:val="24"/>
          <w:szCs w:val="24"/>
          <w:highlight w:val="none"/>
        </w:rPr>
        <w:t>附表</w:t>
      </w:r>
      <w:r>
        <w:rPr>
          <w:rFonts w:hint="eastAsia" w:ascii="Calibri" w:hAnsi="Calibri" w:eastAsia="宋体" w:cs="Times New Roman"/>
          <w:color w:val="auto"/>
          <w:sz w:val="24"/>
          <w:szCs w:val="24"/>
          <w:highlight w:val="none"/>
          <w:lang w:val="en-US" w:eastAsia="zh-CN"/>
        </w:rPr>
        <w:t>五</w:t>
      </w:r>
    </w:p>
    <w:p>
      <w:pPr>
        <w:jc w:val="center"/>
        <w:rPr>
          <w:b/>
          <w:color w:val="auto"/>
          <w:sz w:val="36"/>
          <w:szCs w:val="36"/>
          <w:highlight w:val="none"/>
        </w:rPr>
      </w:pPr>
      <w:r>
        <w:rPr>
          <w:rFonts w:hint="eastAsia"/>
          <w:b/>
          <w:color w:val="auto"/>
          <w:sz w:val="36"/>
          <w:szCs w:val="36"/>
          <w:highlight w:val="none"/>
        </w:rPr>
        <w:t>算术复核表</w:t>
      </w:r>
    </w:p>
    <w:p>
      <w:pPr>
        <w:rPr>
          <w:color w:val="auto"/>
          <w:kern w:val="0"/>
          <w:szCs w:val="21"/>
          <w:highlight w:val="none"/>
        </w:rPr>
      </w:pPr>
      <w:r>
        <w:rPr>
          <w:rFonts w:hint="eastAsia"/>
          <w:color w:val="auto"/>
          <w:kern w:val="0"/>
          <w:szCs w:val="21"/>
          <w:highlight w:val="none"/>
        </w:rPr>
        <w:t>工程名称：</w:t>
      </w:r>
      <w:r>
        <w:rPr>
          <w:rFonts w:hint="eastAsia"/>
          <w:color w:val="auto"/>
          <w:kern w:val="0"/>
          <w:szCs w:val="21"/>
          <w:highlight w:val="none"/>
          <w:lang w:eastAsia="zh-CN"/>
        </w:rPr>
        <w:t>仙村镇沙滘村中坊社纪念公园建设工程施工总承包</w:t>
      </w:r>
      <w:r>
        <w:rPr>
          <w:color w:val="auto"/>
          <w:kern w:val="0"/>
          <w:szCs w:val="21"/>
          <w:highlight w:val="none"/>
        </w:rPr>
        <w:t xml:space="preserve">                                          </w:t>
      </w:r>
    </w:p>
    <w:p>
      <w:pPr>
        <w:rPr>
          <w:rFonts w:ascii="宋体" w:hAnsi="宋体"/>
          <w:color w:val="auto"/>
          <w:kern w:val="0"/>
          <w:szCs w:val="21"/>
          <w:highlight w:val="none"/>
        </w:rPr>
      </w:pPr>
      <w:r>
        <w:rPr>
          <w:rFonts w:hint="eastAsia" w:ascii="宋体" w:hAnsi="宋体"/>
          <w:color w:val="auto"/>
          <w:kern w:val="0"/>
          <w:szCs w:val="21"/>
          <w:highlight w:val="none"/>
        </w:rPr>
        <w:t>投标人</w:t>
      </w:r>
      <w:r>
        <w:rPr>
          <w:rFonts w:ascii="宋体" w:hAnsi="宋体"/>
          <w:color w:val="auto"/>
          <w:kern w:val="0"/>
          <w:szCs w:val="21"/>
          <w:highlight w:val="none"/>
        </w:rPr>
        <w:t xml:space="preserve">:                                                  </w:t>
      </w:r>
      <w:r>
        <w:rPr>
          <w:rFonts w:hint="eastAsia" w:ascii="宋体" w:hAnsi="宋体"/>
          <w:color w:val="auto"/>
          <w:kern w:val="0"/>
          <w:szCs w:val="21"/>
          <w:highlight w:val="none"/>
        </w:rPr>
        <w:t>单位：元</w:t>
      </w:r>
    </w:p>
    <w:tbl>
      <w:tblPr>
        <w:tblStyle w:val="37"/>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修正前投标</w:t>
            </w:r>
          </w:p>
          <w:p>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A</w:t>
            </w:r>
          </w:p>
        </w:tc>
        <w:tc>
          <w:tcPr>
            <w:tcW w:w="157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修正后投标</w:t>
            </w:r>
          </w:p>
          <w:p>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B</w:t>
            </w:r>
          </w:p>
        </w:tc>
        <w:tc>
          <w:tcPr>
            <w:tcW w:w="157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修正率</w:t>
            </w:r>
            <w:r>
              <w:rPr>
                <w:rFonts w:ascii="宋体" w:hAnsi="宋体"/>
                <w:color w:val="auto"/>
                <w:kern w:val="0"/>
                <w:szCs w:val="21"/>
                <w:highlight w:val="none"/>
              </w:rPr>
              <w:br w:type="textWrapping"/>
            </w:r>
            <w:r>
              <w:rPr>
                <w:rFonts w:ascii="宋体" w:hAnsi="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当</w:t>
            </w:r>
            <w:r>
              <w:rPr>
                <w:rFonts w:ascii="宋体" w:hAnsi="宋体"/>
                <w:color w:val="auto"/>
                <w:kern w:val="0"/>
                <w:szCs w:val="21"/>
                <w:highlight w:val="none"/>
              </w:rPr>
              <w:t>B&gt;A</w:t>
            </w:r>
            <w:r>
              <w:rPr>
                <w:rFonts w:hint="eastAsia" w:ascii="宋体" w:hAnsi="宋体"/>
                <w:color w:val="auto"/>
                <w:kern w:val="0"/>
                <w:szCs w:val="21"/>
                <w:highlight w:val="none"/>
              </w:rPr>
              <w:t>时，修正后报价与原报价的差额；当</w:t>
            </w:r>
            <w:r>
              <w:rPr>
                <w:rFonts w:ascii="宋体" w:hAnsi="宋体"/>
                <w:color w:val="auto"/>
                <w:kern w:val="0"/>
                <w:szCs w:val="21"/>
                <w:highlight w:val="none"/>
              </w:rPr>
              <w:t>B</w:t>
            </w:r>
            <w:r>
              <w:rPr>
                <w:rFonts w:hint="eastAsia" w:ascii="宋体" w:hAnsi="宋体"/>
                <w:color w:val="auto"/>
                <w:kern w:val="0"/>
                <w:szCs w:val="21"/>
                <w:highlight w:val="none"/>
              </w:rPr>
              <w:t>≤</w:t>
            </w:r>
            <w:r>
              <w:rPr>
                <w:rFonts w:ascii="宋体" w:hAnsi="宋体"/>
                <w:color w:val="auto"/>
                <w:kern w:val="0"/>
                <w:szCs w:val="21"/>
                <w:highlight w:val="none"/>
              </w:rPr>
              <w:t>A</w:t>
            </w:r>
            <w:r>
              <w:rPr>
                <w:rFonts w:hint="eastAsia" w:ascii="宋体" w:hAnsi="宋体"/>
                <w:color w:val="auto"/>
                <w:kern w:val="0"/>
                <w:szCs w:val="21"/>
                <w:highlight w:val="none"/>
              </w:rPr>
              <w:t>时</w:t>
            </w:r>
            <w:r>
              <w:rPr>
                <w:rFonts w:ascii="宋体" w:hAnsi="宋体"/>
                <w:color w:val="auto"/>
                <w:kern w:val="0"/>
                <w:szCs w:val="21"/>
                <w:highlight w:val="none"/>
              </w:rPr>
              <w:t>,R=0</w:t>
            </w: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ascii="宋体" w:hAnsi="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1]</w:t>
            </w:r>
          </w:p>
        </w:tc>
        <w:tc>
          <w:tcPr>
            <w:tcW w:w="1602"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ascii="宋体" w:hAnsi="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2]</w:t>
            </w:r>
          </w:p>
        </w:tc>
        <w:tc>
          <w:tcPr>
            <w:tcW w:w="1602"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ascii="宋体" w:hAnsi="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n]</w:t>
            </w:r>
          </w:p>
        </w:tc>
        <w:tc>
          <w:tcPr>
            <w:tcW w:w="1602"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A=A</w:t>
            </w:r>
            <w:r>
              <w:rPr>
                <w:rFonts w:ascii="宋体" w:hAnsi="宋体"/>
                <w:color w:val="auto"/>
                <w:kern w:val="0"/>
                <w:szCs w:val="21"/>
                <w:highlight w:val="none"/>
                <w:vertAlign w:val="subscript"/>
              </w:rPr>
              <w:t>1</w:t>
            </w:r>
            <w:r>
              <w:rPr>
                <w:rFonts w:ascii="宋体" w:hAnsi="宋体"/>
                <w:color w:val="auto"/>
                <w:kern w:val="0"/>
                <w:szCs w:val="21"/>
                <w:highlight w:val="none"/>
              </w:rPr>
              <w:t>+A</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An</w:t>
            </w:r>
            <w:r>
              <w:rPr>
                <w:rFonts w:hint="eastAsia" w:ascii="宋体" w:hAnsi="宋体"/>
                <w:color w:val="auto"/>
                <w:kern w:val="0"/>
                <w:szCs w:val="21"/>
                <w:highlight w:val="none"/>
              </w:rPr>
              <w:t>；∑</w:t>
            </w:r>
            <w:r>
              <w:rPr>
                <w:rFonts w:ascii="宋体" w:hAnsi="宋体"/>
                <w:color w:val="auto"/>
                <w:kern w:val="0"/>
                <w:szCs w:val="21"/>
                <w:highlight w:val="none"/>
              </w:rPr>
              <w:t>B=B</w:t>
            </w:r>
            <w:r>
              <w:rPr>
                <w:rFonts w:ascii="宋体" w:hAnsi="宋体"/>
                <w:color w:val="auto"/>
                <w:kern w:val="0"/>
                <w:szCs w:val="21"/>
                <w:highlight w:val="none"/>
                <w:vertAlign w:val="subscript"/>
              </w:rPr>
              <w:t>1</w:t>
            </w:r>
            <w:r>
              <w:rPr>
                <w:rFonts w:ascii="宋体" w:hAnsi="宋体"/>
                <w:color w:val="auto"/>
                <w:kern w:val="0"/>
                <w:szCs w:val="21"/>
                <w:highlight w:val="none"/>
              </w:rPr>
              <w:t>+B</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Bn</w:t>
            </w:r>
          </w:p>
        </w:tc>
      </w:tr>
    </w:tbl>
    <w:p>
      <w:pPr>
        <w:rPr>
          <w:rFonts w:cs="宋体"/>
          <w:color w:val="auto"/>
          <w:kern w:val="0"/>
          <w:szCs w:val="21"/>
          <w:highlight w:val="none"/>
        </w:rPr>
      </w:pPr>
      <w:r>
        <w:rPr>
          <w:rFonts w:hint="eastAsia" w:cs="宋体"/>
          <w:color w:val="auto"/>
          <w:kern w:val="0"/>
          <w:szCs w:val="21"/>
          <w:highlight w:val="none"/>
        </w:rPr>
        <w:t>修正原则：</w:t>
      </w:r>
      <w:r>
        <w:rPr>
          <w:rFonts w:hint="eastAsia"/>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cs="宋体"/>
          <w:color w:val="auto"/>
          <w:kern w:val="0"/>
          <w:szCs w:val="21"/>
          <w:highlight w:val="none"/>
        </w:rPr>
        <w:tab/>
      </w:r>
    </w:p>
    <w:p>
      <w:pPr>
        <w:rPr>
          <w:rFonts w:hint="eastAsia"/>
          <w:color w:val="auto"/>
          <w:kern w:val="0"/>
          <w:szCs w:val="21"/>
          <w:highlight w:val="none"/>
        </w:rPr>
      </w:pPr>
    </w:p>
    <w:p>
      <w:pPr>
        <w:rPr>
          <w:color w:val="auto"/>
          <w:kern w:val="0"/>
          <w:szCs w:val="21"/>
          <w:highlight w:val="none"/>
        </w:rPr>
      </w:pPr>
      <w:r>
        <w:rPr>
          <w:rFonts w:hint="eastAsia"/>
          <w:color w:val="auto"/>
          <w:kern w:val="0"/>
          <w:szCs w:val="21"/>
          <w:highlight w:val="none"/>
        </w:rPr>
        <w:t>评委签名：</w:t>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rFonts w:hint="eastAsia"/>
          <w:color w:val="auto"/>
          <w:kern w:val="0"/>
          <w:szCs w:val="21"/>
          <w:highlight w:val="none"/>
          <w:lang w:val="en-US" w:eastAsia="zh-CN"/>
        </w:rPr>
        <w:t xml:space="preserve">                                                                    </w:t>
      </w:r>
      <w:r>
        <w:rPr>
          <w:rFonts w:hint="eastAsia"/>
          <w:color w:val="auto"/>
          <w:kern w:val="0"/>
          <w:szCs w:val="21"/>
          <w:highlight w:val="none"/>
        </w:rPr>
        <w:t>日期：</w:t>
      </w:r>
    </w:p>
    <w:p>
      <w:pPr>
        <w:jc w:val="left"/>
        <w:rPr>
          <w:rFonts w:hint="eastAsia"/>
          <w:b/>
          <w:color w:val="auto"/>
          <w:sz w:val="36"/>
          <w:szCs w:val="36"/>
          <w:highlight w:val="none"/>
        </w:rPr>
      </w:pPr>
      <w:r>
        <w:rPr>
          <w:rFonts w:hint="eastAsia"/>
          <w:b/>
          <w:color w:val="auto"/>
          <w:sz w:val="36"/>
          <w:szCs w:val="36"/>
          <w:highlight w:val="none"/>
        </w:rPr>
        <w:br w:type="page"/>
      </w:r>
    </w:p>
    <w:p>
      <w:pPr>
        <w:jc w:val="center"/>
        <w:rPr>
          <w:b/>
          <w:color w:val="auto"/>
          <w:sz w:val="36"/>
          <w:szCs w:val="36"/>
          <w:highlight w:val="none"/>
        </w:rPr>
      </w:pPr>
      <w:r>
        <w:rPr>
          <w:rFonts w:hint="eastAsia"/>
          <w:b/>
          <w:color w:val="auto"/>
          <w:sz w:val="36"/>
          <w:szCs w:val="36"/>
          <w:highlight w:val="none"/>
        </w:rPr>
        <w:t>算术复核表</w:t>
      </w:r>
    </w:p>
    <w:p>
      <w:pPr>
        <w:rPr>
          <w:rFonts w:hint="eastAsia" w:eastAsia="宋体"/>
          <w:color w:val="auto"/>
          <w:szCs w:val="21"/>
          <w:highlight w:val="none"/>
          <w:lang w:eastAsia="zh-CN"/>
        </w:rPr>
      </w:pPr>
      <w:r>
        <w:rPr>
          <w:rFonts w:hint="eastAsia"/>
          <w:color w:val="auto"/>
          <w:szCs w:val="21"/>
          <w:highlight w:val="none"/>
        </w:rPr>
        <w:t>工程名称：</w:t>
      </w:r>
      <w:r>
        <w:rPr>
          <w:rFonts w:hint="eastAsia"/>
          <w:color w:val="auto"/>
          <w:szCs w:val="21"/>
          <w:highlight w:val="none"/>
          <w:lang w:eastAsia="zh-CN"/>
        </w:rPr>
        <w:t>仙村镇沙滘村中坊社纪念公园建设工程施工总承包</w:t>
      </w:r>
    </w:p>
    <w:tbl>
      <w:tblPr>
        <w:tblStyle w:val="3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pPr>
              <w:rPr>
                <w:b/>
                <w:color w:val="auto"/>
                <w:sz w:val="28"/>
                <w:szCs w:val="28"/>
                <w:highlight w:val="none"/>
              </w:rPr>
            </w:pPr>
            <w:r>
              <w:rPr>
                <w:rFonts w:hint="eastAsia"/>
                <w:b/>
                <w:color w:val="auto"/>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noWrap w:val="0"/>
            <w:vAlign w:val="top"/>
          </w:tcPr>
          <w:p>
            <w:pPr>
              <w:rPr>
                <w:b/>
                <w:color w:val="auto"/>
                <w:sz w:val="28"/>
                <w:szCs w:val="28"/>
                <w:highlight w:val="none"/>
              </w:rPr>
            </w:pPr>
            <w:r>
              <w:rPr>
                <w:rFonts w:hint="eastAsia"/>
                <w:b/>
                <w:color w:val="auto"/>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noWrap w:val="0"/>
            <w:vAlign w:val="top"/>
          </w:tcPr>
          <w:p>
            <w:pPr>
              <w:rPr>
                <w:b/>
                <w:color w:val="auto"/>
                <w:sz w:val="28"/>
                <w:szCs w:val="28"/>
                <w:highlight w:val="none"/>
              </w:rPr>
            </w:pPr>
            <w:r>
              <w:rPr>
                <w:rFonts w:hint="eastAsia"/>
                <w:b/>
                <w:color w:val="auto"/>
                <w:sz w:val="28"/>
                <w:szCs w:val="28"/>
                <w:highlight w:val="none"/>
              </w:rPr>
              <w:t>原投标报价（</w:t>
            </w:r>
            <w:r>
              <w:rPr>
                <w:b/>
                <w:color w:val="auto"/>
                <w:sz w:val="28"/>
                <w:szCs w:val="28"/>
                <w:highlight w:val="none"/>
              </w:rPr>
              <w:t>A</w:t>
            </w:r>
            <w:r>
              <w:rPr>
                <w:rFonts w:hint="eastAsia"/>
                <w:b/>
                <w:color w:val="auto"/>
                <w:sz w:val="28"/>
                <w:szCs w:val="28"/>
                <w:highlight w:val="none"/>
              </w:rPr>
              <w:t>）</w:t>
            </w:r>
          </w:p>
        </w:tc>
        <w:tc>
          <w:tcPr>
            <w:tcW w:w="3101" w:type="dxa"/>
            <w:tcBorders>
              <w:top w:val="single" w:color="auto" w:sz="4" w:space="0"/>
              <w:left w:val="single" w:color="auto" w:sz="4" w:space="0"/>
              <w:bottom w:val="single" w:color="auto" w:sz="4" w:space="0"/>
              <w:right w:val="single" w:color="auto" w:sz="4" w:space="0"/>
            </w:tcBorders>
            <w:noWrap w:val="0"/>
            <w:vAlign w:val="top"/>
          </w:tcPr>
          <w:p>
            <w:pPr>
              <w:rPr>
                <w:b/>
                <w:color w:val="auto"/>
                <w:sz w:val="28"/>
                <w:szCs w:val="28"/>
                <w:highlight w:val="none"/>
              </w:rPr>
            </w:pPr>
            <w:r>
              <w:rPr>
                <w:rFonts w:hint="eastAsia"/>
                <w:b/>
                <w:color w:val="auto"/>
                <w:sz w:val="28"/>
                <w:szCs w:val="28"/>
                <w:highlight w:val="none"/>
              </w:rPr>
              <w:t>算数复核后投标报价（</w:t>
            </w:r>
            <w:r>
              <w:rPr>
                <w:b/>
                <w:color w:val="auto"/>
                <w:sz w:val="28"/>
                <w:szCs w:val="28"/>
                <w:highlight w:val="none"/>
              </w:rPr>
              <w:t>B</w:t>
            </w:r>
            <w:r>
              <w:rPr>
                <w:rFonts w:hint="eastAsia"/>
                <w:b/>
                <w:color w:val="auto"/>
                <w:sz w:val="28"/>
                <w:szCs w:val="28"/>
                <w:highlight w:val="none"/>
              </w:rPr>
              <w:t>）</w:t>
            </w:r>
          </w:p>
        </w:tc>
        <w:tc>
          <w:tcPr>
            <w:tcW w:w="3423" w:type="dxa"/>
            <w:tcBorders>
              <w:top w:val="single" w:color="auto" w:sz="4" w:space="0"/>
              <w:left w:val="single" w:color="auto" w:sz="4" w:space="0"/>
              <w:bottom w:val="single" w:color="auto" w:sz="4" w:space="0"/>
              <w:right w:val="single" w:color="auto" w:sz="4" w:space="0"/>
            </w:tcBorders>
            <w:noWrap w:val="0"/>
            <w:vAlign w:val="top"/>
          </w:tcPr>
          <w:p>
            <w:pPr>
              <w:rPr>
                <w:b/>
                <w:color w:val="auto"/>
                <w:sz w:val="28"/>
                <w:szCs w:val="28"/>
                <w:highlight w:val="none"/>
              </w:rPr>
            </w:pPr>
            <w:r>
              <w:rPr>
                <w:rFonts w:hint="eastAsia"/>
                <w:b/>
                <w:color w:val="auto"/>
                <w:sz w:val="28"/>
                <w:szCs w:val="28"/>
                <w:highlight w:val="none"/>
              </w:rPr>
              <w:t>误差率（</w:t>
            </w:r>
            <w:r>
              <w:rPr>
                <w:b/>
                <w:color w:val="auto"/>
                <w:sz w:val="28"/>
                <w:szCs w:val="28"/>
                <w:highlight w:val="none"/>
              </w:rPr>
              <w:t>r=|A-B|/A*100%</w:t>
            </w:r>
            <w:r>
              <w:rPr>
                <w:rFonts w:hint="eastAsia"/>
                <w:b/>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rPr>
                <w:color w:val="auto"/>
                <w:sz w:val="36"/>
                <w:szCs w:val="36"/>
                <w:highlight w:val="none"/>
              </w:rPr>
            </w:pPr>
          </w:p>
        </w:tc>
      </w:tr>
    </w:tbl>
    <w:p>
      <w:pPr>
        <w:rPr>
          <w:rFonts w:hint="eastAsia"/>
          <w:color w:val="auto"/>
          <w:kern w:val="0"/>
          <w:szCs w:val="21"/>
          <w:highlight w:val="none"/>
        </w:rPr>
      </w:pPr>
    </w:p>
    <w:p>
      <w:pPr>
        <w:rPr>
          <w:color w:val="auto"/>
          <w:kern w:val="0"/>
          <w:szCs w:val="21"/>
          <w:highlight w:val="none"/>
        </w:rPr>
      </w:pPr>
      <w:r>
        <w:rPr>
          <w:rFonts w:hint="eastAsia"/>
          <w:color w:val="auto"/>
          <w:kern w:val="0"/>
          <w:szCs w:val="21"/>
          <w:highlight w:val="none"/>
        </w:rPr>
        <w:t>评委签名：</w:t>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rFonts w:hint="eastAsia"/>
          <w:color w:val="auto"/>
          <w:kern w:val="0"/>
          <w:szCs w:val="21"/>
          <w:highlight w:val="none"/>
          <w:lang w:val="en-US" w:eastAsia="zh-CN"/>
        </w:rPr>
        <w:t xml:space="preserve">                                                                    </w:t>
      </w:r>
      <w:r>
        <w:rPr>
          <w:rFonts w:hint="eastAsia"/>
          <w:color w:val="auto"/>
          <w:kern w:val="0"/>
          <w:szCs w:val="21"/>
          <w:highlight w:val="none"/>
        </w:rPr>
        <w:t>日期：</w:t>
      </w:r>
    </w:p>
    <w:p>
      <w:pPr>
        <w:spacing w:line="360" w:lineRule="auto"/>
        <w:jc w:val="center"/>
        <w:rPr>
          <w:rFonts w:ascii="仿宋_GB2312" w:hAnsi="宋体" w:eastAsia="仿宋_GB2312"/>
          <w:color w:val="auto"/>
          <w:szCs w:val="21"/>
          <w:highlight w:val="none"/>
        </w:rPr>
        <w:sectPr>
          <w:headerReference r:id="rId12" w:type="first"/>
          <w:footerReference r:id="rId15" w:type="first"/>
          <w:headerReference r:id="rId10" w:type="default"/>
          <w:footerReference r:id="rId13" w:type="default"/>
          <w:headerReference r:id="rId11" w:type="even"/>
          <w:footerReference r:id="rId14" w:type="even"/>
          <w:endnotePr>
            <w:numFmt w:val="decimal"/>
          </w:endnotePr>
          <w:pgSz w:w="16838" w:h="11906" w:orient="landscape"/>
          <w:pgMar w:top="1418" w:right="1247" w:bottom="1418" w:left="1134" w:header="851" w:footer="907" w:gutter="0"/>
          <w:cols w:space="720" w:num="1"/>
          <w:titlePg/>
          <w:docGrid w:type="lines" w:linePitch="312" w:charSpace="0"/>
        </w:sectPr>
      </w:pPr>
    </w:p>
    <w:p>
      <w:pPr>
        <w:rPr>
          <w:rFonts w:hint="eastAsia" w:ascii="Calibri" w:hAnsi="Calibri" w:eastAsia="宋体" w:cs="Times New Roman"/>
          <w:b w:val="0"/>
          <w:color w:val="auto"/>
          <w:sz w:val="24"/>
          <w:szCs w:val="24"/>
          <w:highlight w:val="none"/>
          <w:lang w:eastAsia="zh-CN"/>
        </w:rPr>
      </w:pPr>
      <w:r>
        <w:rPr>
          <w:rFonts w:hint="eastAsia" w:ascii="Calibri" w:hAnsi="Calibri" w:eastAsia="宋体" w:cs="Times New Roman"/>
          <w:color w:val="auto"/>
          <w:sz w:val="24"/>
          <w:szCs w:val="24"/>
          <w:highlight w:val="none"/>
        </w:rPr>
        <w:t>附表</w:t>
      </w:r>
      <w:r>
        <w:rPr>
          <w:rFonts w:hint="eastAsia" w:ascii="Calibri" w:hAnsi="Calibri" w:eastAsia="宋体" w:cs="Times New Roman"/>
          <w:color w:val="auto"/>
          <w:sz w:val="24"/>
          <w:szCs w:val="24"/>
          <w:highlight w:val="none"/>
          <w:lang w:val="en-US" w:eastAsia="zh-CN"/>
        </w:rPr>
        <w:t>六</w:t>
      </w:r>
    </w:p>
    <w:p>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定标因素表（定标阶段用表）</w:t>
      </w:r>
    </w:p>
    <w:p>
      <w:pPr>
        <w:ind w:firstLine="0" w:firstLineChars="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工程名称：</w:t>
      </w:r>
      <w:r>
        <w:rPr>
          <w:rFonts w:hint="eastAsia" w:ascii="宋体" w:hAnsi="宋体" w:cs="宋体"/>
          <w:color w:val="auto"/>
          <w:sz w:val="24"/>
          <w:szCs w:val="24"/>
          <w:highlight w:val="none"/>
          <w:lang w:eastAsia="zh-CN"/>
        </w:rPr>
        <w:t>仙村镇沙滘村中坊社纪念公园建设工程施工总承包</w:t>
      </w:r>
    </w:p>
    <w:tbl>
      <w:tblPr>
        <w:tblStyle w:val="37"/>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114"/>
        <w:gridCol w:w="772"/>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评价项目</w:t>
            </w:r>
          </w:p>
        </w:tc>
        <w:tc>
          <w:tcPr>
            <w:tcW w:w="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分值</w:t>
            </w:r>
          </w:p>
        </w:tc>
        <w:tc>
          <w:tcPr>
            <w:tcW w:w="66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定标评价的内容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价格因素</w:t>
            </w:r>
          </w:p>
        </w:tc>
        <w:tc>
          <w:tcPr>
            <w:tcW w:w="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N</w:t>
            </w:r>
          </w:p>
        </w:tc>
        <w:tc>
          <w:tcPr>
            <w:tcW w:w="665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Cs w:val="21"/>
                <w:highlight w:val="none"/>
              </w:rPr>
            </w:pPr>
            <w:r>
              <w:rPr>
                <w:rFonts w:hint="eastAsia" w:ascii="宋体" w:hAnsi="宋体" w:cs="宋体"/>
                <w:color w:val="auto"/>
                <w:szCs w:val="21"/>
                <w:highlight w:val="none"/>
              </w:rPr>
              <w:t>定标委员会对</w:t>
            </w:r>
            <w:r>
              <w:rPr>
                <w:rFonts w:hint="eastAsia" w:ascii="宋体" w:hAnsi="宋体" w:cs="宋体"/>
                <w:color w:val="auto"/>
                <w:szCs w:val="21"/>
                <w:highlight w:val="none"/>
                <w:lang w:eastAsia="zh-CN"/>
              </w:rPr>
              <w:t>合格中标候选人</w:t>
            </w:r>
            <w:r>
              <w:rPr>
                <w:rFonts w:hint="eastAsia" w:ascii="宋体" w:hAnsi="宋体" w:cs="宋体"/>
                <w:color w:val="auto"/>
                <w:szCs w:val="21"/>
                <w:highlight w:val="none"/>
              </w:rPr>
              <w:t>投标报价进行打分，</w:t>
            </w:r>
            <w:r>
              <w:rPr>
                <w:rFonts w:hint="eastAsia" w:ascii="宋体" w:hAnsi="宋体" w:cs="宋体"/>
                <w:color w:val="auto"/>
                <w:szCs w:val="21"/>
                <w:highlight w:val="none"/>
                <w:lang w:eastAsia="zh-CN"/>
              </w:rPr>
              <w:t>合格中标候选人</w:t>
            </w:r>
            <w:r>
              <w:rPr>
                <w:rFonts w:hint="eastAsia" w:ascii="宋体" w:hAnsi="宋体" w:cs="宋体"/>
                <w:color w:val="auto"/>
                <w:szCs w:val="21"/>
                <w:highlight w:val="none"/>
              </w:rPr>
              <w:t>中最低的投标报价，其投标报价得分为N分。</w:t>
            </w:r>
          </w:p>
          <w:p>
            <w:pPr>
              <w:jc w:val="left"/>
              <w:rPr>
                <w:rFonts w:ascii="宋体" w:hAnsi="宋体" w:cs="宋体"/>
                <w:color w:val="auto"/>
                <w:highlight w:val="none"/>
              </w:rPr>
            </w:pPr>
            <w:r>
              <w:rPr>
                <w:rFonts w:hint="eastAsia" w:ascii="宋体" w:hAnsi="宋体" w:cs="宋体"/>
                <w:color w:val="auto"/>
                <w:szCs w:val="21"/>
                <w:highlight w:val="none"/>
              </w:rPr>
              <w:t>对应其他</w:t>
            </w:r>
            <w:r>
              <w:rPr>
                <w:rFonts w:hint="eastAsia" w:ascii="宋体" w:hAnsi="宋体" w:cs="宋体"/>
                <w:color w:val="auto"/>
                <w:szCs w:val="21"/>
                <w:highlight w:val="none"/>
                <w:lang w:eastAsia="zh-CN"/>
              </w:rPr>
              <w:t>合格中标候选人</w:t>
            </w:r>
            <w:r>
              <w:rPr>
                <w:rFonts w:hint="eastAsia" w:ascii="宋体" w:hAnsi="宋体" w:cs="宋体"/>
                <w:color w:val="auto"/>
                <w:szCs w:val="21"/>
                <w:highlight w:val="none"/>
              </w:rPr>
              <w:t>得分=【1-（对应投标报价-</w:t>
            </w:r>
            <w:r>
              <w:rPr>
                <w:rFonts w:hint="eastAsia" w:ascii="宋体" w:hAnsi="宋体" w:cs="宋体"/>
                <w:color w:val="auto"/>
                <w:szCs w:val="21"/>
                <w:highlight w:val="none"/>
                <w:lang w:eastAsia="zh-CN"/>
              </w:rPr>
              <w:t>合格中标候选人</w:t>
            </w:r>
            <w:r>
              <w:rPr>
                <w:rFonts w:hint="eastAsia" w:ascii="宋体" w:hAnsi="宋体" w:cs="宋体"/>
                <w:color w:val="auto"/>
                <w:szCs w:val="21"/>
                <w:highlight w:val="none"/>
              </w:rPr>
              <w:t>中最低的投标报价）/</w:t>
            </w:r>
            <w:r>
              <w:rPr>
                <w:rFonts w:hint="eastAsia" w:ascii="宋体" w:hAnsi="宋体" w:cs="宋体"/>
                <w:color w:val="auto"/>
                <w:szCs w:val="21"/>
                <w:highlight w:val="none"/>
                <w:lang w:eastAsia="zh-CN"/>
              </w:rPr>
              <w:t>合格中标候选人</w:t>
            </w:r>
            <w:r>
              <w:rPr>
                <w:rFonts w:hint="eastAsia" w:ascii="宋体" w:hAnsi="宋体" w:cs="宋体"/>
                <w:color w:val="auto"/>
                <w:szCs w:val="21"/>
                <w:highlight w:val="none"/>
              </w:rPr>
              <w:t>中最低的投标报价）】×N。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答辩因素</w:t>
            </w:r>
          </w:p>
        </w:tc>
        <w:tc>
          <w:tcPr>
            <w:tcW w:w="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olor w:val="auto"/>
                <w:szCs w:val="21"/>
                <w:highlight w:val="none"/>
              </w:rPr>
              <w:t>N</w:t>
            </w:r>
          </w:p>
        </w:tc>
        <w:tc>
          <w:tcPr>
            <w:tcW w:w="665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合格中标候选人</w:t>
            </w:r>
            <w:r>
              <w:rPr>
                <w:rFonts w:hint="eastAsia" w:ascii="宋体" w:hAnsi="宋体" w:cs="宋体"/>
                <w:color w:val="auto"/>
                <w:szCs w:val="21"/>
                <w:highlight w:val="none"/>
              </w:rPr>
              <w:t>拟派项目负责人</w:t>
            </w:r>
            <w:r>
              <w:rPr>
                <w:rFonts w:hint="eastAsia" w:ascii="宋体" w:hAnsi="宋体" w:cs="宋体"/>
                <w:color w:val="auto"/>
                <w:szCs w:val="21"/>
                <w:highlight w:val="none"/>
                <w:lang w:val="en-US" w:eastAsia="zh-CN"/>
              </w:rPr>
              <w:t>及</w:t>
            </w:r>
            <w:r>
              <w:rPr>
                <w:rFonts w:hint="eastAsia" w:ascii="宋体" w:hAnsi="宋体" w:cs="宋体"/>
                <w:color w:val="auto"/>
                <w:szCs w:val="21"/>
                <w:highlight w:val="none"/>
              </w:rPr>
              <w:t>技术负责人对拟派团队履约能力与履约水平的介绍；介绍内容包括但不限于：公司简介、项目管理班子人员、</w:t>
            </w:r>
            <w:r>
              <w:rPr>
                <w:rFonts w:hint="eastAsia" w:ascii="宋体" w:hAnsi="宋体" w:cs="Arial"/>
                <w:color w:val="auto"/>
                <w:kern w:val="0"/>
                <w:szCs w:val="21"/>
                <w:highlight w:val="none"/>
              </w:rPr>
              <w:t>资源供应计划、对工程施工重点和难点的应对措施，对招标人提出的施工现场建筑垃圾源头减量的具体要求以及建筑垃圾综合利用产品的使用要求提供相应措施等；</w:t>
            </w:r>
          </w:p>
          <w:p>
            <w:pPr>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合格中标候选人</w:t>
            </w:r>
            <w:r>
              <w:rPr>
                <w:rFonts w:hint="eastAsia" w:ascii="宋体" w:hAnsi="宋体" w:cs="宋体"/>
                <w:color w:val="auto"/>
                <w:szCs w:val="21"/>
                <w:highlight w:val="none"/>
              </w:rPr>
              <w:t>拟派项目负责人</w:t>
            </w:r>
            <w:r>
              <w:rPr>
                <w:rFonts w:hint="eastAsia" w:ascii="宋体" w:hAnsi="宋体" w:cs="宋体"/>
                <w:color w:val="auto"/>
                <w:szCs w:val="21"/>
                <w:highlight w:val="none"/>
                <w:lang w:val="en-US" w:eastAsia="zh-CN"/>
              </w:rPr>
              <w:t>及</w:t>
            </w:r>
            <w:r>
              <w:rPr>
                <w:rFonts w:hint="eastAsia" w:ascii="宋体" w:hAnsi="宋体" w:cs="宋体"/>
                <w:color w:val="auto"/>
                <w:szCs w:val="21"/>
                <w:highlight w:val="none"/>
              </w:rPr>
              <w:t>技术负责人针对定标委员会提出的问题进行回答。</w:t>
            </w:r>
          </w:p>
          <w:p>
            <w:pPr>
              <w:rPr>
                <w:rFonts w:hint="eastAsia"/>
                <w:color w:val="auto"/>
                <w:highlight w:val="none"/>
              </w:rPr>
            </w:pPr>
            <w:r>
              <w:rPr>
                <w:rFonts w:hint="eastAsia" w:ascii="宋体" w:hAnsi="宋体" w:cs="宋体"/>
                <w:color w:val="auto"/>
                <w:szCs w:val="21"/>
                <w:highlight w:val="none"/>
              </w:rPr>
              <w:t>3、原则上，介绍及答辩时间不超过</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分钟，其中介绍时间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分钟，答辩时间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分钟，具体以实际情况为准。</w:t>
            </w:r>
          </w:p>
        </w:tc>
      </w:tr>
    </w:tbl>
    <w:p>
      <w:pPr>
        <w:spacing w:line="300" w:lineRule="exact"/>
        <w:ind w:right="-325" w:rightChars="-155"/>
        <w:rPr>
          <w:rFonts w:hint="eastAsia" w:ascii="宋体" w:hAnsi="宋体" w:cs="宋体"/>
          <w:color w:val="auto"/>
          <w:szCs w:val="21"/>
          <w:highlight w:val="none"/>
        </w:rPr>
      </w:pPr>
      <w:r>
        <w:rPr>
          <w:rFonts w:hint="eastAsia" w:ascii="宋体" w:hAnsi="宋体" w:cs="宋体"/>
          <w:color w:val="auto"/>
          <w:szCs w:val="21"/>
          <w:highlight w:val="none"/>
        </w:rPr>
        <w:t>备注：</w:t>
      </w:r>
    </w:p>
    <w:p>
      <w:pPr>
        <w:spacing w:line="300" w:lineRule="exact"/>
        <w:ind w:right="-325" w:rightChars="-155"/>
        <w:rPr>
          <w:rFonts w:ascii="宋体" w:hAnsi="宋体" w:cs="宋体"/>
          <w:color w:val="auto"/>
          <w:szCs w:val="21"/>
          <w:highlight w:val="none"/>
        </w:rPr>
      </w:pPr>
      <w:r>
        <w:rPr>
          <w:rFonts w:hint="eastAsia" w:ascii="宋体" w:hAnsi="宋体" w:cs="宋体"/>
          <w:color w:val="auto"/>
          <w:szCs w:val="21"/>
          <w:highlight w:val="none"/>
        </w:rPr>
        <w:t>1、各</w:t>
      </w:r>
      <w:r>
        <w:rPr>
          <w:rFonts w:hint="eastAsia" w:ascii="宋体" w:hAnsi="宋体" w:cs="宋体"/>
          <w:color w:val="auto"/>
          <w:szCs w:val="21"/>
          <w:highlight w:val="none"/>
          <w:lang w:eastAsia="zh-CN"/>
        </w:rPr>
        <w:t>合格中标候选人</w:t>
      </w:r>
      <w:r>
        <w:rPr>
          <w:rFonts w:hint="eastAsia" w:ascii="宋体" w:hAnsi="宋体" w:cs="宋体"/>
          <w:color w:val="auto"/>
          <w:szCs w:val="21"/>
          <w:highlight w:val="none"/>
        </w:rPr>
        <w:t>拟派项目负责人</w:t>
      </w:r>
      <w:r>
        <w:rPr>
          <w:rFonts w:hint="eastAsia" w:ascii="宋体" w:hAnsi="宋体" w:cs="宋体"/>
          <w:color w:val="auto"/>
          <w:szCs w:val="21"/>
          <w:highlight w:val="none"/>
          <w:lang w:val="en-US" w:eastAsia="zh-CN"/>
        </w:rPr>
        <w:t>及</w:t>
      </w:r>
      <w:r>
        <w:rPr>
          <w:rFonts w:hint="eastAsia" w:ascii="宋体" w:hAnsi="宋体" w:cs="宋体"/>
          <w:color w:val="auto"/>
          <w:szCs w:val="21"/>
          <w:highlight w:val="none"/>
        </w:rPr>
        <w:t>技术负责人必须携带本单位法定代表人证明书原件、法定代表人授权委托证明书原件，本人身份证原件参与介绍及答辩；否则，不允许参与本项目介绍及答辩，后果自负；</w:t>
      </w:r>
    </w:p>
    <w:p>
      <w:pPr>
        <w:spacing w:line="300" w:lineRule="exact"/>
        <w:ind w:right="-325" w:rightChars="-15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2、答辩进场顺序</w:t>
      </w:r>
      <w:r>
        <w:rPr>
          <w:rFonts w:hint="eastAsia" w:ascii="宋体" w:hAnsi="宋体" w:cs="宋体"/>
          <w:color w:val="auto"/>
          <w:szCs w:val="21"/>
          <w:highlight w:val="none"/>
          <w:lang w:eastAsia="zh-CN"/>
        </w:rPr>
        <w:t>：</w:t>
      </w:r>
      <w:r>
        <w:rPr>
          <w:rFonts w:hint="eastAsia" w:ascii="宋体" w:hAnsi="宋体" w:cs="宋体"/>
          <w:color w:val="auto"/>
          <w:szCs w:val="21"/>
          <w:highlight w:val="none"/>
        </w:rPr>
        <w:t>按拟派项目负责人</w:t>
      </w:r>
      <w:r>
        <w:rPr>
          <w:rFonts w:hint="eastAsia" w:ascii="宋体" w:hAnsi="宋体" w:cs="宋体"/>
          <w:color w:val="auto"/>
          <w:szCs w:val="21"/>
          <w:highlight w:val="none"/>
          <w:lang w:val="en-US" w:eastAsia="zh-CN"/>
        </w:rPr>
        <w:t>及</w:t>
      </w:r>
      <w:r>
        <w:rPr>
          <w:rFonts w:hint="eastAsia" w:ascii="宋体" w:hAnsi="宋体" w:cs="宋体"/>
          <w:color w:val="auto"/>
          <w:szCs w:val="21"/>
          <w:highlight w:val="none"/>
        </w:rPr>
        <w:t>技术负责人签到顺序各自抽取答辩顺序号，按答辩顺序号由小至大依次进场答辩</w:t>
      </w:r>
      <w:r>
        <w:rPr>
          <w:rFonts w:hint="eastAsia" w:ascii="宋体" w:hAnsi="宋体" w:cs="宋体"/>
          <w:color w:val="auto"/>
          <w:szCs w:val="21"/>
          <w:highlight w:val="none"/>
          <w:lang w:eastAsia="zh-CN"/>
        </w:rPr>
        <w:t>；</w:t>
      </w:r>
    </w:p>
    <w:p>
      <w:pPr>
        <w:rPr>
          <w:rFonts w:hint="eastAsia" w:ascii="宋体" w:hAnsi="宋体" w:cs="宋体"/>
          <w:color w:val="auto"/>
          <w:szCs w:val="21"/>
          <w:highlight w:val="none"/>
        </w:rPr>
      </w:pPr>
      <w:r>
        <w:rPr>
          <w:rFonts w:hint="eastAsia" w:ascii="宋体" w:hAnsi="宋体" w:cs="宋体"/>
          <w:color w:val="auto"/>
          <w:szCs w:val="21"/>
          <w:highlight w:val="none"/>
        </w:rPr>
        <w:t>3、N为最终</w:t>
      </w:r>
      <w:r>
        <w:rPr>
          <w:rFonts w:hint="eastAsia" w:ascii="宋体" w:hAnsi="宋体" w:cs="宋体"/>
          <w:color w:val="auto"/>
          <w:szCs w:val="21"/>
          <w:highlight w:val="none"/>
          <w:lang w:eastAsia="zh-CN"/>
        </w:rPr>
        <w:t>合格中标候选人</w:t>
      </w:r>
      <w:r>
        <w:rPr>
          <w:rFonts w:hint="eastAsia" w:ascii="宋体" w:hAnsi="宋体" w:cs="宋体"/>
          <w:color w:val="auto"/>
          <w:szCs w:val="21"/>
          <w:highlight w:val="none"/>
        </w:rPr>
        <w:t>家数；</w:t>
      </w:r>
    </w:p>
    <w:p>
      <w:pPr>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合格中标候选人</w:t>
      </w:r>
      <w:r>
        <w:rPr>
          <w:rFonts w:hint="eastAsia" w:ascii="宋体" w:hAnsi="宋体" w:cs="宋体"/>
          <w:color w:val="auto"/>
          <w:szCs w:val="21"/>
          <w:highlight w:val="none"/>
        </w:rPr>
        <w:t>价格因素得分为所有定标委员会成员对同一</w:t>
      </w:r>
      <w:r>
        <w:rPr>
          <w:rFonts w:hint="eastAsia" w:ascii="宋体" w:hAnsi="宋体" w:cs="宋体"/>
          <w:color w:val="auto"/>
          <w:szCs w:val="21"/>
          <w:highlight w:val="none"/>
          <w:lang w:eastAsia="zh-CN"/>
        </w:rPr>
        <w:t>合格中标候选人</w:t>
      </w:r>
      <w:r>
        <w:rPr>
          <w:rFonts w:hint="eastAsia" w:ascii="宋体" w:hAnsi="宋体" w:cs="宋体"/>
          <w:color w:val="auto"/>
          <w:szCs w:val="21"/>
          <w:highlight w:val="none"/>
        </w:rPr>
        <w:t>的评分相加；</w:t>
      </w:r>
    </w:p>
    <w:p>
      <w:pPr>
        <w:rPr>
          <w:color w:val="auto"/>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合格中标候选人</w:t>
      </w:r>
      <w:r>
        <w:rPr>
          <w:rFonts w:hint="eastAsia" w:ascii="宋体" w:hAnsi="宋体" w:cs="宋体"/>
          <w:color w:val="auto"/>
          <w:szCs w:val="21"/>
          <w:highlight w:val="none"/>
        </w:rPr>
        <w:t>答辩因素得分为所有定标委员会成员对同一</w:t>
      </w:r>
      <w:r>
        <w:rPr>
          <w:rFonts w:hint="eastAsia" w:ascii="宋体" w:hAnsi="宋体" w:cs="宋体"/>
          <w:color w:val="auto"/>
          <w:szCs w:val="21"/>
          <w:highlight w:val="none"/>
          <w:lang w:eastAsia="zh-CN"/>
        </w:rPr>
        <w:t>合格中标候选人</w:t>
      </w:r>
      <w:r>
        <w:rPr>
          <w:rFonts w:hint="eastAsia" w:ascii="宋体" w:hAnsi="宋体" w:cs="宋体"/>
          <w:color w:val="auto"/>
          <w:szCs w:val="21"/>
          <w:highlight w:val="none"/>
        </w:rPr>
        <w:t>的评分相加。</w:t>
      </w:r>
    </w:p>
    <w:p>
      <w:pPr>
        <w:rPr>
          <w:rFonts w:hint="eastAsia" w:ascii="宋体" w:hAnsi="宋体"/>
          <w:color w:val="auto"/>
          <w:szCs w:val="21"/>
          <w:highlight w:val="none"/>
        </w:rPr>
      </w:pPr>
      <w:r>
        <w:rPr>
          <w:rFonts w:hint="eastAsia" w:ascii="宋体" w:hAnsi="宋体"/>
          <w:color w:val="auto"/>
          <w:szCs w:val="21"/>
          <w:highlight w:val="none"/>
        </w:rPr>
        <w:br w:type="page"/>
      </w:r>
    </w:p>
    <w:p>
      <w:pPr>
        <w:rPr>
          <w:rFonts w:hint="eastAsia" w:ascii="宋体" w:hAnsi="宋体" w:eastAsia="宋体"/>
          <w:b/>
          <w:color w:val="auto"/>
          <w:sz w:val="24"/>
          <w:szCs w:val="24"/>
          <w:highlight w:val="none"/>
          <w:lang w:eastAsia="zh-CN"/>
        </w:rPr>
      </w:pPr>
      <w:r>
        <w:rPr>
          <w:rFonts w:hint="eastAsia" w:ascii="宋体" w:hAnsi="宋体"/>
          <w:color w:val="auto"/>
          <w:sz w:val="24"/>
          <w:szCs w:val="24"/>
          <w:highlight w:val="none"/>
        </w:rPr>
        <w:t>附表</w:t>
      </w:r>
      <w:r>
        <w:rPr>
          <w:rFonts w:hint="eastAsia" w:ascii="宋体" w:hAnsi="宋体"/>
          <w:color w:val="auto"/>
          <w:sz w:val="24"/>
          <w:szCs w:val="24"/>
          <w:highlight w:val="none"/>
          <w:lang w:val="en-US" w:eastAsia="zh-CN"/>
        </w:rPr>
        <w:t>七</w:t>
      </w:r>
    </w:p>
    <w:p>
      <w:pPr>
        <w:jc w:val="center"/>
        <w:rPr>
          <w:rFonts w:ascii="宋体" w:hAnsi="宋体"/>
          <w:b/>
          <w:color w:val="auto"/>
          <w:sz w:val="36"/>
          <w:szCs w:val="36"/>
          <w:highlight w:val="none"/>
        </w:rPr>
      </w:pPr>
      <w:r>
        <w:rPr>
          <w:rFonts w:hint="eastAsia" w:ascii="宋体" w:hAnsi="宋体"/>
          <w:b/>
          <w:color w:val="auto"/>
          <w:sz w:val="36"/>
          <w:szCs w:val="36"/>
          <w:highlight w:val="none"/>
        </w:rPr>
        <w:t>评审得分表</w:t>
      </w:r>
    </w:p>
    <w:p>
      <w:pPr>
        <w:jc w:val="center"/>
        <w:rPr>
          <w:rFonts w:ascii="宋体" w:hAnsi="宋体"/>
          <w:b/>
          <w:color w:val="auto"/>
          <w:sz w:val="30"/>
          <w:szCs w:val="30"/>
          <w:highlight w:val="none"/>
        </w:rPr>
      </w:pPr>
      <w:r>
        <w:rPr>
          <w:rFonts w:hint="eastAsia" w:ascii="宋体" w:hAnsi="宋体"/>
          <w:b/>
          <w:color w:val="auto"/>
          <w:sz w:val="36"/>
          <w:szCs w:val="36"/>
          <w:highlight w:val="none"/>
        </w:rPr>
        <w:t>（定标阶段答辩因素</w:t>
      </w:r>
      <w:r>
        <w:rPr>
          <w:rFonts w:ascii="宋体" w:hAnsi="宋体"/>
          <w:b/>
          <w:color w:val="auto"/>
          <w:sz w:val="36"/>
          <w:szCs w:val="36"/>
          <w:highlight w:val="none"/>
        </w:rPr>
        <w:t>—</w:t>
      </w:r>
      <w:r>
        <w:rPr>
          <w:rFonts w:hint="eastAsia" w:ascii="宋体" w:hAnsi="宋体"/>
          <w:b/>
          <w:color w:val="auto"/>
          <w:sz w:val="36"/>
          <w:szCs w:val="36"/>
          <w:highlight w:val="none"/>
        </w:rPr>
        <w:t>定标委员个人用表）</w:t>
      </w:r>
    </w:p>
    <w:p>
      <w:pPr>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工程名称：</w:t>
      </w:r>
      <w:r>
        <w:rPr>
          <w:rFonts w:hint="eastAsia" w:ascii="宋体" w:hAnsi="宋体"/>
          <w:color w:val="auto"/>
          <w:sz w:val="24"/>
          <w:szCs w:val="24"/>
          <w:highlight w:val="none"/>
          <w:lang w:eastAsia="zh-CN"/>
        </w:rPr>
        <w:t>仙村镇沙滘村中坊社纪念公园建设工程施工总承包</w:t>
      </w:r>
    </w:p>
    <w:tbl>
      <w:tblPr>
        <w:tblStyle w:val="37"/>
        <w:tblW w:w="85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318"/>
        <w:gridCol w:w="2995"/>
        <w:gridCol w:w="3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auto"/>
                <w:sz w:val="24"/>
                <w:highlight w:val="none"/>
              </w:rPr>
            </w:pPr>
            <w:r>
              <w:rPr>
                <w:rFonts w:hint="eastAsia" w:ascii="宋体" w:hAnsi="宋体"/>
                <w:color w:val="auto"/>
                <w:sz w:val="24"/>
                <w:highlight w:val="none"/>
              </w:rPr>
              <w:t>排序</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auto"/>
                <w:sz w:val="24"/>
                <w:highlight w:val="none"/>
              </w:rPr>
            </w:pPr>
            <w:r>
              <w:rPr>
                <w:rFonts w:hint="eastAsia" w:ascii="宋体" w:hAnsi="宋体"/>
                <w:color w:val="auto"/>
                <w:sz w:val="24"/>
                <w:highlight w:val="none"/>
              </w:rPr>
              <w:t>得分</w:t>
            </w:r>
          </w:p>
        </w:tc>
        <w:tc>
          <w:tcPr>
            <w:tcW w:w="29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b/>
                <w:bCs/>
                <w:color w:val="auto"/>
                <w:sz w:val="24"/>
                <w:highlight w:val="none"/>
              </w:rPr>
            </w:pPr>
            <w:r>
              <w:rPr>
                <w:rFonts w:hint="eastAsia" w:ascii="宋体" w:hAnsi="宋体"/>
                <w:color w:val="auto"/>
                <w:sz w:val="24"/>
                <w:highlight w:val="none"/>
              </w:rPr>
              <w:t>评语</w:t>
            </w:r>
          </w:p>
        </w:tc>
        <w:tc>
          <w:tcPr>
            <w:tcW w:w="313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合格中标候选人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auto"/>
                <w:sz w:val="24"/>
                <w:highlight w:val="none"/>
              </w:rPr>
            </w:pPr>
            <w:r>
              <w:rPr>
                <w:rFonts w:ascii="宋体" w:hAnsi="宋体"/>
                <w:color w:val="auto"/>
                <w:sz w:val="24"/>
                <w:highlight w:val="none"/>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auto"/>
                <w:sz w:val="24"/>
                <w:highlight w:val="none"/>
              </w:rPr>
            </w:pPr>
            <w:r>
              <w:rPr>
                <w:rFonts w:ascii="宋体" w:hAnsi="宋体"/>
                <w:color w:val="auto"/>
                <w:sz w:val="24"/>
                <w:highlight w:val="none"/>
              </w:rPr>
              <w:t>N</w:t>
            </w:r>
          </w:p>
        </w:tc>
        <w:tc>
          <w:tcPr>
            <w:tcW w:w="29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auto"/>
                <w:sz w:val="24"/>
                <w:highlight w:val="none"/>
              </w:rPr>
            </w:pPr>
          </w:p>
        </w:tc>
        <w:tc>
          <w:tcPr>
            <w:tcW w:w="313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auto"/>
                <w:sz w:val="24"/>
                <w:highlight w:val="none"/>
              </w:rPr>
            </w:pPr>
            <w:r>
              <w:rPr>
                <w:rFonts w:ascii="宋体" w:hAnsi="宋体"/>
                <w:color w:val="auto"/>
                <w:sz w:val="24"/>
                <w:highlight w:val="none"/>
              </w:rPr>
              <w:t>2</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auto"/>
                <w:sz w:val="24"/>
                <w:highlight w:val="none"/>
              </w:rPr>
            </w:pPr>
            <w:r>
              <w:rPr>
                <w:rFonts w:ascii="宋体" w:hAnsi="宋体"/>
                <w:color w:val="auto"/>
                <w:sz w:val="24"/>
                <w:highlight w:val="none"/>
              </w:rPr>
              <w:t>N-1</w:t>
            </w:r>
          </w:p>
        </w:tc>
        <w:tc>
          <w:tcPr>
            <w:tcW w:w="29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auto"/>
                <w:sz w:val="24"/>
                <w:highlight w:val="none"/>
              </w:rPr>
            </w:pPr>
          </w:p>
        </w:tc>
        <w:tc>
          <w:tcPr>
            <w:tcW w:w="313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auto"/>
                <w:sz w:val="24"/>
                <w:highlight w:val="none"/>
              </w:rPr>
            </w:pPr>
            <w:r>
              <w:rPr>
                <w:rFonts w:ascii="宋体" w:hAnsi="宋体"/>
                <w:color w:val="auto"/>
                <w:sz w:val="24"/>
                <w:highlight w:val="none"/>
              </w:rPr>
              <w:t>3</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auto"/>
                <w:sz w:val="24"/>
                <w:highlight w:val="none"/>
              </w:rPr>
            </w:pPr>
            <w:r>
              <w:rPr>
                <w:rFonts w:ascii="宋体" w:hAnsi="宋体"/>
                <w:color w:val="auto"/>
                <w:sz w:val="24"/>
                <w:highlight w:val="none"/>
              </w:rPr>
              <w:t>N-2</w:t>
            </w:r>
          </w:p>
        </w:tc>
        <w:tc>
          <w:tcPr>
            <w:tcW w:w="29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auto"/>
                <w:sz w:val="24"/>
                <w:highlight w:val="none"/>
              </w:rPr>
            </w:pPr>
          </w:p>
        </w:tc>
        <w:tc>
          <w:tcPr>
            <w:tcW w:w="313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auto"/>
                <w:sz w:val="24"/>
                <w:highlight w:val="none"/>
              </w:rPr>
            </w:pPr>
            <w:r>
              <w:rPr>
                <w:rFonts w:ascii="宋体" w:hAnsi="宋体"/>
                <w:color w:val="auto"/>
                <w:sz w:val="24"/>
                <w:highlight w:val="none"/>
              </w:rPr>
              <w:t>...</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auto"/>
                <w:sz w:val="24"/>
                <w:highlight w:val="none"/>
              </w:rPr>
            </w:pPr>
          </w:p>
        </w:tc>
        <w:tc>
          <w:tcPr>
            <w:tcW w:w="29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auto"/>
                <w:sz w:val="24"/>
                <w:highlight w:val="none"/>
              </w:rPr>
            </w:pPr>
          </w:p>
        </w:tc>
        <w:tc>
          <w:tcPr>
            <w:tcW w:w="313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auto"/>
                <w:sz w:val="24"/>
                <w:highlight w:val="none"/>
              </w:rPr>
            </w:pPr>
            <w:r>
              <w:rPr>
                <w:rFonts w:ascii="宋体" w:hAnsi="宋体"/>
                <w:color w:val="auto"/>
                <w:sz w:val="24"/>
                <w:highlight w:val="none"/>
              </w:rPr>
              <w:t>...</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auto"/>
                <w:sz w:val="24"/>
                <w:highlight w:val="none"/>
              </w:rPr>
            </w:pPr>
          </w:p>
        </w:tc>
        <w:tc>
          <w:tcPr>
            <w:tcW w:w="29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auto"/>
                <w:sz w:val="24"/>
                <w:highlight w:val="none"/>
              </w:rPr>
            </w:pPr>
          </w:p>
        </w:tc>
        <w:tc>
          <w:tcPr>
            <w:tcW w:w="313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auto"/>
                <w:sz w:val="24"/>
                <w:highlight w:val="none"/>
              </w:rPr>
            </w:pPr>
            <w:r>
              <w:rPr>
                <w:rFonts w:ascii="宋体" w:hAnsi="宋体"/>
                <w:color w:val="auto"/>
                <w:sz w:val="24"/>
                <w:highlight w:val="none"/>
              </w:rPr>
              <w:t>N</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auto"/>
                <w:sz w:val="24"/>
                <w:highlight w:val="none"/>
              </w:rPr>
            </w:pPr>
            <w:r>
              <w:rPr>
                <w:rFonts w:ascii="宋体" w:hAnsi="宋体"/>
                <w:color w:val="auto"/>
                <w:sz w:val="24"/>
                <w:highlight w:val="none"/>
              </w:rPr>
              <w:t>1</w:t>
            </w:r>
          </w:p>
        </w:tc>
        <w:tc>
          <w:tcPr>
            <w:tcW w:w="29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auto"/>
                <w:sz w:val="24"/>
                <w:highlight w:val="none"/>
              </w:rPr>
            </w:pPr>
          </w:p>
        </w:tc>
        <w:tc>
          <w:tcPr>
            <w:tcW w:w="313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auto"/>
                <w:sz w:val="24"/>
                <w:highlight w:val="none"/>
              </w:rPr>
            </w:pPr>
          </w:p>
        </w:tc>
      </w:tr>
    </w:tbl>
    <w:p>
      <w:pPr>
        <w:spacing w:line="600" w:lineRule="exact"/>
        <w:ind w:right="-9"/>
        <w:jc w:val="center"/>
        <w:rPr>
          <w:rFonts w:ascii="宋体" w:hAnsi="宋体"/>
          <w:color w:val="auto"/>
          <w:sz w:val="24"/>
          <w:highlight w:val="none"/>
        </w:rPr>
      </w:pPr>
    </w:p>
    <w:p>
      <w:pPr>
        <w:spacing w:line="360" w:lineRule="auto"/>
        <w:ind w:right="420"/>
        <w:rPr>
          <w:rFonts w:ascii="宋体" w:hAnsi="宋体"/>
          <w:color w:val="auto"/>
          <w:sz w:val="24"/>
          <w:highlight w:val="none"/>
        </w:rPr>
      </w:pPr>
      <w:r>
        <w:rPr>
          <w:rFonts w:hint="eastAsia" w:ascii="宋体" w:hAnsi="宋体"/>
          <w:color w:val="auto"/>
          <w:sz w:val="24"/>
          <w:highlight w:val="none"/>
        </w:rPr>
        <w:t>备注：</w:t>
      </w:r>
    </w:p>
    <w:p>
      <w:pPr>
        <w:ind w:right="-733" w:rightChars="-349"/>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）本表格用于答辩因素评审计分，每行限填一个</w:t>
      </w:r>
      <w:r>
        <w:rPr>
          <w:rFonts w:hint="eastAsia" w:ascii="宋体" w:hAnsi="宋体"/>
          <w:color w:val="auto"/>
          <w:sz w:val="24"/>
          <w:highlight w:val="none"/>
          <w:lang w:eastAsia="zh-CN"/>
        </w:rPr>
        <w:t>合格中标候选人</w:t>
      </w:r>
      <w:r>
        <w:rPr>
          <w:rFonts w:hint="eastAsia" w:ascii="宋体" w:hAnsi="宋体"/>
          <w:color w:val="auto"/>
          <w:sz w:val="24"/>
          <w:highlight w:val="none"/>
        </w:rPr>
        <w:t>，定标委员会成员应当独立打分；</w:t>
      </w:r>
    </w:p>
    <w:p>
      <w:pPr>
        <w:rPr>
          <w:rFonts w:ascii="宋体" w:hAnsi="宋体"/>
          <w:color w:val="auto"/>
          <w:sz w:val="24"/>
          <w:szCs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）定标委员会各成员对所有进入定标程序的</w:t>
      </w:r>
      <w:r>
        <w:rPr>
          <w:rFonts w:ascii="宋体" w:hAnsi="宋体"/>
          <w:color w:val="auto"/>
          <w:sz w:val="24"/>
          <w:highlight w:val="none"/>
        </w:rPr>
        <w:t>N</w:t>
      </w:r>
      <w:r>
        <w:rPr>
          <w:rFonts w:hint="eastAsia" w:ascii="宋体" w:hAnsi="宋体"/>
          <w:color w:val="auto"/>
          <w:sz w:val="24"/>
          <w:highlight w:val="none"/>
        </w:rPr>
        <w:t>名</w:t>
      </w:r>
      <w:r>
        <w:rPr>
          <w:rFonts w:hint="eastAsia" w:ascii="宋体" w:hAnsi="宋体"/>
          <w:color w:val="auto"/>
          <w:sz w:val="24"/>
          <w:highlight w:val="none"/>
          <w:lang w:eastAsia="zh-CN"/>
        </w:rPr>
        <w:t>合格中标候选人</w:t>
      </w:r>
      <w:r>
        <w:rPr>
          <w:rFonts w:hint="eastAsia" w:ascii="宋体" w:hAnsi="宋体"/>
          <w:color w:val="auto"/>
          <w:sz w:val="24"/>
          <w:highlight w:val="none"/>
        </w:rPr>
        <w:t>进行择优排序，排序第一名得</w:t>
      </w:r>
      <w:r>
        <w:rPr>
          <w:rFonts w:ascii="宋体" w:hAnsi="宋体"/>
          <w:color w:val="auto"/>
          <w:sz w:val="24"/>
          <w:highlight w:val="none"/>
        </w:rPr>
        <w:t>N</w:t>
      </w:r>
      <w:r>
        <w:rPr>
          <w:rFonts w:hint="eastAsia" w:ascii="宋体" w:hAnsi="宋体"/>
          <w:color w:val="auto"/>
          <w:sz w:val="24"/>
          <w:highlight w:val="none"/>
        </w:rPr>
        <w:t>分</w:t>
      </w:r>
      <w:r>
        <w:rPr>
          <w:rFonts w:hint="eastAsia" w:ascii="宋体" w:hAnsi="宋体"/>
          <w:color w:val="auto"/>
          <w:sz w:val="24"/>
          <w:szCs w:val="24"/>
          <w:highlight w:val="none"/>
        </w:rPr>
        <w:t>，排序第二名得</w:t>
      </w:r>
      <w:r>
        <w:rPr>
          <w:rFonts w:ascii="宋体" w:hAnsi="宋体"/>
          <w:color w:val="auto"/>
          <w:sz w:val="24"/>
          <w:szCs w:val="24"/>
          <w:highlight w:val="none"/>
        </w:rPr>
        <w:t>N-1</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以此类推</w:t>
      </w:r>
      <w:r>
        <w:rPr>
          <w:rFonts w:hint="eastAsia" w:ascii="宋体" w:hAnsi="宋体"/>
          <w:color w:val="auto"/>
          <w:sz w:val="24"/>
          <w:szCs w:val="24"/>
          <w:highlight w:val="none"/>
        </w:rPr>
        <w:t>，排名第</w:t>
      </w:r>
      <w:r>
        <w:rPr>
          <w:rFonts w:ascii="宋体" w:hAnsi="宋体"/>
          <w:color w:val="auto"/>
          <w:sz w:val="24"/>
          <w:szCs w:val="24"/>
          <w:highlight w:val="none"/>
        </w:rPr>
        <w:t>N</w:t>
      </w:r>
      <w:r>
        <w:rPr>
          <w:rFonts w:hint="eastAsia" w:ascii="宋体" w:hAnsi="宋体"/>
          <w:color w:val="auto"/>
          <w:sz w:val="24"/>
          <w:szCs w:val="24"/>
          <w:highlight w:val="none"/>
        </w:rPr>
        <w:t>名得</w:t>
      </w:r>
      <w:r>
        <w:rPr>
          <w:rFonts w:ascii="宋体" w:hAnsi="宋体"/>
          <w:color w:val="auto"/>
          <w:sz w:val="24"/>
          <w:szCs w:val="24"/>
          <w:highlight w:val="none"/>
        </w:rPr>
        <w:t>1</w:t>
      </w:r>
      <w:r>
        <w:rPr>
          <w:rFonts w:hint="eastAsia" w:ascii="宋体" w:hAnsi="宋体"/>
          <w:color w:val="auto"/>
          <w:sz w:val="24"/>
          <w:szCs w:val="24"/>
          <w:highlight w:val="none"/>
        </w:rPr>
        <w:t>分；</w:t>
      </w:r>
    </w:p>
    <w:p>
      <w:pPr>
        <w:spacing w:line="360" w:lineRule="auto"/>
        <w:rPr>
          <w:rFonts w:ascii="宋体" w:hAnsi="宋体"/>
          <w:color w:val="auto"/>
          <w:sz w:val="24"/>
          <w:highlight w:val="none"/>
        </w:rPr>
      </w:pPr>
    </w:p>
    <w:p>
      <w:pPr>
        <w:pStyle w:val="2"/>
        <w:ind w:firstLine="400"/>
        <w:rPr>
          <w:color w:val="auto"/>
          <w:highlight w:val="none"/>
        </w:rPr>
      </w:pPr>
    </w:p>
    <w:p>
      <w:pPr>
        <w:spacing w:line="360" w:lineRule="auto"/>
        <w:ind w:left="314" w:hanging="314" w:hangingChars="131"/>
        <w:rPr>
          <w:rFonts w:ascii="宋体" w:hAnsi="宋体"/>
          <w:color w:val="auto"/>
          <w:sz w:val="24"/>
          <w:highlight w:val="none"/>
        </w:rPr>
      </w:pPr>
      <w:r>
        <w:rPr>
          <w:rFonts w:hint="eastAsia" w:ascii="宋体" w:hAnsi="宋体"/>
          <w:color w:val="auto"/>
          <w:sz w:val="24"/>
          <w:highlight w:val="none"/>
        </w:rPr>
        <w:t>定标委员会成员签名：</w:t>
      </w:r>
    </w:p>
    <w:p>
      <w:pPr>
        <w:spacing w:line="360" w:lineRule="auto"/>
        <w:rPr>
          <w:rFonts w:ascii="宋体" w:hAnsi="宋体"/>
          <w:color w:val="auto"/>
          <w:sz w:val="24"/>
          <w:highlight w:val="none"/>
        </w:rPr>
      </w:pPr>
    </w:p>
    <w:p>
      <w:pPr>
        <w:pStyle w:val="2"/>
        <w:ind w:firstLine="400"/>
        <w:rPr>
          <w:color w:val="auto"/>
          <w:highlight w:val="none"/>
        </w:rPr>
      </w:pPr>
    </w:p>
    <w:p>
      <w:pPr>
        <w:spacing w:line="360" w:lineRule="auto"/>
        <w:ind w:left="314" w:right="960" w:hanging="314" w:hangingChars="131"/>
        <w:jc w:val="center"/>
        <w:rPr>
          <w:rFonts w:ascii="宋体" w:hAnsi="宋体"/>
          <w:color w:val="auto"/>
          <w:sz w:val="24"/>
          <w:highlight w:val="none"/>
        </w:rPr>
      </w:pPr>
      <w:r>
        <w:rPr>
          <w:rFonts w:hint="eastAsia" w:ascii="宋体" w:hAnsi="宋体"/>
          <w:color w:val="auto"/>
          <w:sz w:val="24"/>
          <w:highlight w:val="none"/>
        </w:rPr>
        <w:t xml:space="preserve">                                     日期：  年  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日</w:t>
      </w:r>
    </w:p>
    <w:p>
      <w:pPr>
        <w:pStyle w:val="2"/>
        <w:ind w:firstLine="400"/>
        <w:rPr>
          <w:color w:val="auto"/>
          <w:highlight w:val="none"/>
        </w:rPr>
      </w:pPr>
    </w:p>
    <w:p>
      <w:pPr>
        <w:rPr>
          <w:rFonts w:hint="eastAsia" w:ascii="宋体" w:hAnsi="宋体"/>
          <w:color w:val="auto"/>
          <w:szCs w:val="21"/>
          <w:highlight w:val="none"/>
        </w:rPr>
        <w:sectPr>
          <w:headerReference r:id="rId17" w:type="first"/>
          <w:footerReference r:id="rId19" w:type="first"/>
          <w:headerReference r:id="rId16" w:type="default"/>
          <w:footerReference r:id="rId18" w:type="default"/>
          <w:endnotePr>
            <w:numFmt w:val="decimal"/>
          </w:endnotePr>
          <w:pgSz w:w="11905" w:h="16838"/>
          <w:pgMar w:top="1247" w:right="1417" w:bottom="1134" w:left="1417" w:header="851" w:footer="907" w:gutter="0"/>
          <w:pgBorders>
            <w:top w:val="none" w:sz="0" w:space="0"/>
            <w:left w:val="none" w:sz="0" w:space="0"/>
            <w:bottom w:val="none" w:sz="0" w:space="0"/>
            <w:right w:val="none" w:sz="0" w:space="0"/>
          </w:pgBorders>
          <w:pgNumType w:fmt="decimal"/>
          <w:cols w:space="425" w:num="1"/>
          <w:titlePg/>
          <w:rtlGutter w:val="0"/>
          <w:docGrid w:type="lines" w:linePitch="312" w:charSpace="0"/>
        </w:sectPr>
      </w:pPr>
    </w:p>
    <w:p>
      <w:pPr>
        <w:rPr>
          <w:rFonts w:hint="eastAsia" w:ascii="宋体" w:hAnsi="宋体" w:eastAsia="宋体"/>
          <w:b/>
          <w:color w:val="auto"/>
          <w:sz w:val="24"/>
          <w:szCs w:val="24"/>
          <w:highlight w:val="none"/>
          <w:lang w:val="en-US" w:eastAsia="zh-CN"/>
        </w:rPr>
      </w:pPr>
      <w:r>
        <w:rPr>
          <w:rFonts w:hint="eastAsia" w:ascii="宋体" w:hAnsi="宋体"/>
          <w:color w:val="auto"/>
          <w:sz w:val="24"/>
          <w:szCs w:val="24"/>
          <w:highlight w:val="none"/>
        </w:rPr>
        <w:t>附表</w:t>
      </w:r>
      <w:r>
        <w:rPr>
          <w:rFonts w:hint="eastAsia" w:ascii="宋体" w:hAnsi="宋体"/>
          <w:color w:val="auto"/>
          <w:sz w:val="24"/>
          <w:szCs w:val="24"/>
          <w:highlight w:val="none"/>
          <w:lang w:val="en-US" w:eastAsia="zh-CN"/>
        </w:rPr>
        <w:t>八</w:t>
      </w:r>
    </w:p>
    <w:p>
      <w:pPr>
        <w:jc w:val="center"/>
        <w:rPr>
          <w:rFonts w:ascii="宋体" w:hAnsi="宋体"/>
          <w:b/>
          <w:color w:val="auto"/>
          <w:sz w:val="30"/>
          <w:szCs w:val="30"/>
          <w:highlight w:val="none"/>
        </w:rPr>
      </w:pPr>
      <w:r>
        <w:rPr>
          <w:rFonts w:hint="eastAsia" w:ascii="宋体" w:hAnsi="宋体"/>
          <w:b/>
          <w:color w:val="auto"/>
          <w:sz w:val="36"/>
          <w:szCs w:val="36"/>
          <w:highlight w:val="none"/>
        </w:rPr>
        <w:t>得分统计表（定标阶段</w:t>
      </w:r>
      <w:r>
        <w:rPr>
          <w:rFonts w:hint="eastAsia" w:ascii="宋体" w:hAnsi="宋体"/>
          <w:b/>
          <w:bCs/>
          <w:color w:val="auto"/>
          <w:sz w:val="36"/>
          <w:szCs w:val="36"/>
          <w:highlight w:val="none"/>
        </w:rPr>
        <w:t>答辩因素</w:t>
      </w:r>
      <w:r>
        <w:rPr>
          <w:rFonts w:hint="eastAsia" w:ascii="宋体" w:hAnsi="宋体"/>
          <w:b/>
          <w:color w:val="auto"/>
          <w:sz w:val="36"/>
          <w:szCs w:val="36"/>
          <w:highlight w:val="none"/>
        </w:rPr>
        <w:t>用表）</w:t>
      </w:r>
    </w:p>
    <w:p>
      <w:pPr>
        <w:rPr>
          <w:rFonts w:ascii="宋体" w:hAnsi="宋体"/>
          <w:color w:val="auto"/>
          <w:sz w:val="24"/>
          <w:szCs w:val="24"/>
          <w:highlight w:val="none"/>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521"/>
        <w:gridCol w:w="828"/>
        <w:gridCol w:w="828"/>
        <w:gridCol w:w="828"/>
        <w:gridCol w:w="828"/>
        <w:gridCol w:w="82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r>
              <w:rPr>
                <w:rFonts w:hint="eastAsia" w:ascii="宋体" w:hAnsi="宋体"/>
                <w:color w:val="auto"/>
                <w:sz w:val="24"/>
                <w:highlight w:val="none"/>
              </w:rPr>
              <w:t>序号</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合格中标候选人</w:t>
            </w: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评分人</w:t>
            </w:r>
            <w:r>
              <w:rPr>
                <w:rFonts w:ascii="宋体" w:hAnsi="宋体"/>
                <w:color w:val="auto"/>
                <w:szCs w:val="21"/>
                <w:highlight w:val="none"/>
              </w:rPr>
              <w:t>1</w:t>
            </w:r>
          </w:p>
        </w:tc>
        <w:tc>
          <w:tcPr>
            <w:tcW w:w="82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highlight w:val="none"/>
              </w:rPr>
            </w:pPr>
            <w:r>
              <w:rPr>
                <w:rFonts w:hint="eastAsia" w:ascii="宋体" w:hAnsi="宋体"/>
                <w:color w:val="auto"/>
                <w:szCs w:val="21"/>
                <w:highlight w:val="none"/>
              </w:rPr>
              <w:t>评分人</w:t>
            </w:r>
            <w:r>
              <w:rPr>
                <w:rFonts w:ascii="宋体" w:hAnsi="宋体"/>
                <w:color w:val="auto"/>
                <w:szCs w:val="21"/>
                <w:highlight w:val="none"/>
              </w:rPr>
              <w:t>2</w:t>
            </w:r>
          </w:p>
        </w:tc>
        <w:tc>
          <w:tcPr>
            <w:tcW w:w="82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highlight w:val="none"/>
              </w:rPr>
            </w:pPr>
            <w:r>
              <w:rPr>
                <w:rFonts w:hint="eastAsia" w:ascii="宋体" w:hAnsi="宋体"/>
                <w:color w:val="auto"/>
                <w:szCs w:val="21"/>
                <w:highlight w:val="none"/>
              </w:rPr>
              <w:t>评分人</w:t>
            </w:r>
            <w:r>
              <w:rPr>
                <w:rFonts w:ascii="宋体" w:hAnsi="宋体"/>
                <w:color w:val="auto"/>
                <w:szCs w:val="21"/>
                <w:highlight w:val="none"/>
              </w:rPr>
              <w:t>3</w:t>
            </w: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szCs w:val="21"/>
                <w:highlight w:val="none"/>
              </w:rPr>
              <w:t>...</w:t>
            </w: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szCs w:val="21"/>
                <w:highlight w:val="none"/>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合计</w:t>
            </w:r>
          </w:p>
          <w:p>
            <w:pPr>
              <w:jc w:val="center"/>
              <w:rPr>
                <w:rFonts w:ascii="宋体" w:hAnsi="宋体"/>
                <w:color w:val="auto"/>
                <w:szCs w:val="21"/>
                <w:highlight w:val="none"/>
              </w:rPr>
            </w:pPr>
            <w:r>
              <w:rPr>
                <w:rFonts w:hint="eastAsia" w:ascii="宋体" w:hAnsi="宋体"/>
                <w:color w:val="auto"/>
                <w:szCs w:val="21"/>
                <w:highlight w:val="none"/>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r>
              <w:rPr>
                <w:rFonts w:ascii="宋体" w:hAnsi="宋体"/>
                <w:color w:val="auto"/>
                <w:sz w:val="24"/>
                <w:highlight w:val="none"/>
              </w:rPr>
              <w:t>1</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r>
              <w:rPr>
                <w:rFonts w:ascii="宋体" w:hAnsi="宋体"/>
                <w:color w:val="auto"/>
                <w:sz w:val="24"/>
                <w:highlight w:val="none"/>
              </w:rPr>
              <w:t>2</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r>
              <w:rPr>
                <w:rFonts w:ascii="宋体" w:hAnsi="宋体"/>
                <w:color w:val="auto"/>
                <w:sz w:val="24"/>
                <w:highlight w:val="none"/>
              </w:rPr>
              <w:t>3</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r>
              <w:rPr>
                <w:rFonts w:ascii="宋体" w:hAnsi="宋体"/>
                <w:color w:val="auto"/>
                <w:sz w:val="24"/>
                <w:highlight w:val="none"/>
              </w:rPr>
              <w:t>4</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r>
              <w:rPr>
                <w:rFonts w:ascii="宋体" w:hAnsi="宋体"/>
                <w:color w:val="auto"/>
                <w:sz w:val="24"/>
                <w:highlight w:val="none"/>
              </w:rPr>
              <w:t>...</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25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25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24"/>
                <w:highlight w:val="none"/>
              </w:rPr>
            </w:pPr>
          </w:p>
        </w:tc>
      </w:tr>
    </w:tbl>
    <w:p>
      <w:pPr>
        <w:spacing w:line="360" w:lineRule="auto"/>
        <w:ind w:left="314" w:hanging="314" w:hangingChars="131"/>
        <w:rPr>
          <w:rFonts w:ascii="宋体" w:hAnsi="宋体"/>
          <w:color w:val="auto"/>
          <w:sz w:val="24"/>
          <w:highlight w:val="none"/>
        </w:rPr>
      </w:pPr>
      <w:r>
        <w:rPr>
          <w:rFonts w:hint="eastAsia" w:ascii="宋体" w:hAnsi="宋体"/>
          <w:color w:val="auto"/>
          <w:sz w:val="24"/>
          <w:highlight w:val="none"/>
        </w:rPr>
        <w:t>备注：将所有定标委员会成员对同一</w:t>
      </w:r>
      <w:r>
        <w:rPr>
          <w:rFonts w:hint="eastAsia" w:ascii="宋体" w:hAnsi="宋体"/>
          <w:color w:val="auto"/>
          <w:sz w:val="24"/>
          <w:highlight w:val="none"/>
          <w:lang w:eastAsia="zh-CN"/>
        </w:rPr>
        <w:t>合格中标候选人</w:t>
      </w:r>
      <w:r>
        <w:rPr>
          <w:rFonts w:hint="eastAsia" w:ascii="宋体" w:hAnsi="宋体"/>
          <w:bCs/>
          <w:color w:val="auto"/>
          <w:sz w:val="24"/>
          <w:highlight w:val="none"/>
        </w:rPr>
        <w:t>答辩因素</w:t>
      </w:r>
      <w:r>
        <w:rPr>
          <w:rFonts w:hint="eastAsia" w:ascii="宋体" w:hAnsi="宋体"/>
          <w:color w:val="auto"/>
          <w:sz w:val="24"/>
          <w:highlight w:val="none"/>
        </w:rPr>
        <w:t>的评分进行相加，得出每位</w:t>
      </w:r>
      <w:r>
        <w:rPr>
          <w:rFonts w:hint="eastAsia" w:ascii="宋体" w:hAnsi="宋体"/>
          <w:color w:val="auto"/>
          <w:sz w:val="24"/>
          <w:highlight w:val="none"/>
          <w:lang w:eastAsia="zh-CN"/>
        </w:rPr>
        <w:t>合格中标候选人</w:t>
      </w:r>
      <w:r>
        <w:rPr>
          <w:rFonts w:hint="eastAsia" w:ascii="宋体" w:hAnsi="宋体"/>
          <w:bCs/>
          <w:color w:val="auto"/>
          <w:sz w:val="24"/>
          <w:highlight w:val="none"/>
        </w:rPr>
        <w:t>答辩因素部分评审得分。</w:t>
      </w:r>
    </w:p>
    <w:p>
      <w:pPr>
        <w:spacing w:line="360" w:lineRule="auto"/>
        <w:ind w:left="314" w:hanging="314" w:hangingChars="131"/>
        <w:rPr>
          <w:rFonts w:ascii="宋体" w:hAnsi="宋体"/>
          <w:color w:val="auto"/>
          <w:sz w:val="24"/>
          <w:highlight w:val="none"/>
        </w:rPr>
      </w:pPr>
    </w:p>
    <w:p>
      <w:pPr>
        <w:spacing w:line="360" w:lineRule="auto"/>
        <w:ind w:left="314" w:hanging="314" w:hangingChars="131"/>
        <w:rPr>
          <w:rFonts w:ascii="宋体" w:hAnsi="宋体"/>
          <w:color w:val="auto"/>
          <w:sz w:val="24"/>
          <w:highlight w:val="none"/>
        </w:rPr>
      </w:pPr>
    </w:p>
    <w:p>
      <w:pPr>
        <w:spacing w:line="360" w:lineRule="auto"/>
        <w:ind w:left="314" w:hanging="314" w:hangingChars="131"/>
        <w:rPr>
          <w:rFonts w:ascii="宋体" w:hAnsi="宋体"/>
          <w:color w:val="auto"/>
          <w:sz w:val="24"/>
          <w:highlight w:val="none"/>
        </w:rPr>
      </w:pPr>
      <w:r>
        <w:rPr>
          <w:rFonts w:hint="eastAsia" w:ascii="宋体" w:hAnsi="宋体"/>
          <w:color w:val="auto"/>
          <w:sz w:val="24"/>
          <w:highlight w:val="none"/>
        </w:rPr>
        <w:t>定标委员会签名：</w:t>
      </w:r>
    </w:p>
    <w:p>
      <w:pPr>
        <w:spacing w:line="360" w:lineRule="auto"/>
        <w:rPr>
          <w:rFonts w:ascii="宋体" w:hAnsi="宋体"/>
          <w:color w:val="auto"/>
          <w:sz w:val="24"/>
          <w:highlight w:val="none"/>
        </w:rPr>
      </w:pPr>
    </w:p>
    <w:p>
      <w:pPr>
        <w:pStyle w:val="2"/>
        <w:ind w:firstLine="402"/>
        <w:rPr>
          <w:color w:val="auto"/>
          <w:highlight w:val="none"/>
        </w:rPr>
      </w:pPr>
    </w:p>
    <w:p>
      <w:pPr>
        <w:spacing w:line="360" w:lineRule="auto"/>
        <w:ind w:left="314" w:right="960" w:hanging="314" w:hangingChars="131"/>
        <w:jc w:val="center"/>
        <w:rPr>
          <w:rFonts w:ascii="宋体" w:hAnsi="宋体"/>
          <w:color w:val="auto"/>
          <w:sz w:val="24"/>
          <w:highlight w:val="none"/>
        </w:rPr>
      </w:pPr>
      <w:r>
        <w:rPr>
          <w:rFonts w:hint="eastAsia" w:ascii="宋体" w:hAnsi="宋体"/>
          <w:color w:val="auto"/>
          <w:sz w:val="24"/>
          <w:highlight w:val="none"/>
        </w:rPr>
        <w:t xml:space="preserve">                                     日期：  年  月 日</w:t>
      </w:r>
    </w:p>
    <w:p>
      <w:pPr>
        <w:widowControl/>
        <w:jc w:val="left"/>
        <w:rPr>
          <w:rFonts w:ascii="宋体" w:hAnsi="宋体"/>
          <w:color w:val="auto"/>
          <w:szCs w:val="21"/>
          <w:highlight w:val="none"/>
        </w:rPr>
      </w:pPr>
      <w:r>
        <w:rPr>
          <w:rFonts w:ascii="宋体" w:hAnsi="宋体"/>
          <w:color w:val="auto"/>
          <w:szCs w:val="21"/>
          <w:highlight w:val="none"/>
        </w:rPr>
        <w:br w:type="page"/>
      </w:r>
    </w:p>
    <w:p>
      <w:pPr>
        <w:rPr>
          <w:rFonts w:ascii="宋体" w:hAnsi="宋体"/>
          <w:b/>
          <w:color w:val="auto"/>
          <w:sz w:val="36"/>
          <w:szCs w:val="36"/>
          <w:highlight w:val="none"/>
        </w:rPr>
      </w:pPr>
      <w:r>
        <w:rPr>
          <w:rFonts w:hint="eastAsia" w:ascii="宋体" w:hAnsi="宋体"/>
          <w:color w:val="auto"/>
          <w:sz w:val="24"/>
          <w:szCs w:val="24"/>
          <w:highlight w:val="none"/>
        </w:rPr>
        <w:t>附表</w:t>
      </w:r>
      <w:r>
        <w:rPr>
          <w:rFonts w:hint="eastAsia" w:ascii="宋体" w:hAnsi="宋体"/>
          <w:color w:val="auto"/>
          <w:sz w:val="24"/>
          <w:szCs w:val="24"/>
          <w:highlight w:val="none"/>
          <w:lang w:val="en-US" w:eastAsia="zh-CN"/>
        </w:rPr>
        <w:t>九</w:t>
      </w:r>
      <w:r>
        <w:rPr>
          <w:rFonts w:hint="eastAsia" w:ascii="宋体" w:hAnsi="宋体"/>
          <w:color w:val="auto"/>
          <w:szCs w:val="21"/>
          <w:highlight w:val="none"/>
        </w:rPr>
        <w:t xml:space="preserve">                            </w:t>
      </w:r>
      <w:r>
        <w:rPr>
          <w:rFonts w:hint="eastAsia" w:ascii="宋体" w:hAnsi="宋体"/>
          <w:b/>
          <w:color w:val="auto"/>
          <w:sz w:val="36"/>
          <w:szCs w:val="36"/>
          <w:highlight w:val="none"/>
        </w:rPr>
        <w:t xml:space="preserve"> </w:t>
      </w:r>
    </w:p>
    <w:p>
      <w:pPr>
        <w:jc w:val="center"/>
        <w:rPr>
          <w:rFonts w:ascii="宋体" w:hAnsi="宋体"/>
          <w:color w:val="auto"/>
          <w:szCs w:val="21"/>
          <w:highlight w:val="none"/>
        </w:rPr>
      </w:pPr>
      <w:r>
        <w:rPr>
          <w:rFonts w:hint="eastAsia" w:ascii="宋体" w:hAnsi="宋体"/>
          <w:b/>
          <w:color w:val="auto"/>
          <w:sz w:val="36"/>
          <w:szCs w:val="36"/>
          <w:highlight w:val="none"/>
        </w:rPr>
        <w:t>总得分计算及排序表</w:t>
      </w:r>
    </w:p>
    <w:p>
      <w:pPr>
        <w:rPr>
          <w:rFonts w:hint="eastAsia" w:ascii="宋体" w:hAnsi="宋体" w:eastAsia="宋体"/>
          <w:color w:val="auto"/>
          <w:szCs w:val="21"/>
          <w:highlight w:val="none"/>
          <w:lang w:eastAsia="zh-CN"/>
        </w:rPr>
      </w:pPr>
      <w:r>
        <w:rPr>
          <w:rFonts w:hint="eastAsia" w:ascii="宋体" w:hAnsi="宋体"/>
          <w:color w:val="auto"/>
          <w:sz w:val="24"/>
          <w:szCs w:val="24"/>
          <w:highlight w:val="none"/>
        </w:rPr>
        <w:t>工程名称：</w:t>
      </w:r>
      <w:r>
        <w:rPr>
          <w:rFonts w:hint="eastAsia" w:ascii="宋体" w:hAnsi="宋体"/>
          <w:color w:val="auto"/>
          <w:sz w:val="24"/>
          <w:szCs w:val="24"/>
          <w:highlight w:val="none"/>
          <w:lang w:eastAsia="zh-CN"/>
        </w:rPr>
        <w:t>仙村镇沙滘村中坊社纪念公园建设工程施工总承包</w:t>
      </w:r>
    </w:p>
    <w:tbl>
      <w:tblPr>
        <w:tblStyle w:val="37"/>
        <w:tblW w:w="9495"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1575"/>
        <w:gridCol w:w="908"/>
        <w:gridCol w:w="1218"/>
        <w:gridCol w:w="959"/>
        <w:gridCol w:w="1228"/>
        <w:gridCol w:w="718"/>
        <w:gridCol w:w="779"/>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543"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1575" w:type="dxa"/>
            <w:noWrap w:val="0"/>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合格中标候选人</w:t>
            </w:r>
          </w:p>
        </w:tc>
        <w:tc>
          <w:tcPr>
            <w:tcW w:w="908"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答辩因素得分</w:t>
            </w:r>
          </w:p>
        </w:tc>
        <w:tc>
          <w:tcPr>
            <w:tcW w:w="1218"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答辩因素（权重70%）</w:t>
            </w:r>
          </w:p>
        </w:tc>
        <w:tc>
          <w:tcPr>
            <w:tcW w:w="959"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价格因素得分</w:t>
            </w:r>
          </w:p>
        </w:tc>
        <w:tc>
          <w:tcPr>
            <w:tcW w:w="1228"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价格因素（权重30%）</w:t>
            </w:r>
          </w:p>
        </w:tc>
        <w:tc>
          <w:tcPr>
            <w:tcW w:w="718"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总得分</w:t>
            </w:r>
          </w:p>
        </w:tc>
        <w:tc>
          <w:tcPr>
            <w:tcW w:w="779"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排序</w:t>
            </w:r>
          </w:p>
        </w:tc>
        <w:tc>
          <w:tcPr>
            <w:tcW w:w="1567"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是否被推荐为中标人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543" w:type="dxa"/>
            <w:noWrap w:val="0"/>
            <w:vAlign w:val="top"/>
          </w:tcPr>
          <w:p>
            <w:pPr>
              <w:rPr>
                <w:rFonts w:ascii="宋体" w:hAnsi="宋体"/>
                <w:color w:val="auto"/>
                <w:szCs w:val="21"/>
                <w:highlight w:val="none"/>
              </w:rPr>
            </w:pPr>
          </w:p>
        </w:tc>
        <w:tc>
          <w:tcPr>
            <w:tcW w:w="1575" w:type="dxa"/>
            <w:noWrap w:val="0"/>
            <w:vAlign w:val="top"/>
          </w:tcPr>
          <w:p>
            <w:pPr>
              <w:rPr>
                <w:rFonts w:ascii="宋体" w:hAnsi="宋体"/>
                <w:color w:val="auto"/>
                <w:szCs w:val="21"/>
                <w:highlight w:val="none"/>
              </w:rPr>
            </w:pPr>
          </w:p>
        </w:tc>
        <w:tc>
          <w:tcPr>
            <w:tcW w:w="908" w:type="dxa"/>
            <w:noWrap w:val="0"/>
            <w:vAlign w:val="top"/>
          </w:tcPr>
          <w:p>
            <w:pPr>
              <w:rPr>
                <w:rFonts w:ascii="宋体" w:hAnsi="宋体"/>
                <w:color w:val="auto"/>
                <w:szCs w:val="21"/>
                <w:highlight w:val="none"/>
              </w:rPr>
            </w:pPr>
          </w:p>
        </w:tc>
        <w:tc>
          <w:tcPr>
            <w:tcW w:w="1218" w:type="dxa"/>
            <w:noWrap w:val="0"/>
            <w:vAlign w:val="top"/>
          </w:tcPr>
          <w:p>
            <w:pPr>
              <w:rPr>
                <w:rFonts w:ascii="宋体" w:hAnsi="宋体"/>
                <w:color w:val="auto"/>
                <w:szCs w:val="21"/>
                <w:highlight w:val="none"/>
              </w:rPr>
            </w:pPr>
          </w:p>
        </w:tc>
        <w:tc>
          <w:tcPr>
            <w:tcW w:w="959" w:type="dxa"/>
            <w:noWrap w:val="0"/>
            <w:vAlign w:val="top"/>
          </w:tcPr>
          <w:p>
            <w:pPr>
              <w:rPr>
                <w:rFonts w:ascii="宋体" w:hAnsi="宋体"/>
                <w:color w:val="auto"/>
                <w:szCs w:val="21"/>
                <w:highlight w:val="none"/>
              </w:rPr>
            </w:pPr>
          </w:p>
        </w:tc>
        <w:tc>
          <w:tcPr>
            <w:tcW w:w="1228" w:type="dxa"/>
            <w:noWrap w:val="0"/>
            <w:vAlign w:val="top"/>
          </w:tcPr>
          <w:p>
            <w:pPr>
              <w:rPr>
                <w:rFonts w:ascii="宋体" w:hAnsi="宋体"/>
                <w:color w:val="auto"/>
                <w:szCs w:val="21"/>
                <w:highlight w:val="none"/>
              </w:rPr>
            </w:pPr>
          </w:p>
        </w:tc>
        <w:tc>
          <w:tcPr>
            <w:tcW w:w="718" w:type="dxa"/>
            <w:noWrap w:val="0"/>
            <w:vAlign w:val="top"/>
          </w:tcPr>
          <w:p>
            <w:pPr>
              <w:rPr>
                <w:rFonts w:ascii="宋体" w:hAnsi="宋体"/>
                <w:color w:val="auto"/>
                <w:szCs w:val="21"/>
                <w:highlight w:val="none"/>
              </w:rPr>
            </w:pPr>
          </w:p>
        </w:tc>
        <w:tc>
          <w:tcPr>
            <w:tcW w:w="779" w:type="dxa"/>
            <w:noWrap w:val="0"/>
            <w:vAlign w:val="top"/>
          </w:tcPr>
          <w:p>
            <w:pPr>
              <w:rPr>
                <w:rFonts w:ascii="宋体" w:hAnsi="宋体"/>
                <w:color w:val="auto"/>
                <w:szCs w:val="21"/>
                <w:highlight w:val="none"/>
              </w:rPr>
            </w:pPr>
          </w:p>
        </w:tc>
        <w:tc>
          <w:tcPr>
            <w:tcW w:w="1567" w:type="dxa"/>
            <w:noWrap w:val="0"/>
            <w:vAlign w:val="top"/>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43" w:type="dxa"/>
            <w:noWrap w:val="0"/>
            <w:vAlign w:val="top"/>
          </w:tcPr>
          <w:p>
            <w:pPr>
              <w:rPr>
                <w:rFonts w:ascii="宋体" w:hAnsi="宋体"/>
                <w:color w:val="auto"/>
                <w:szCs w:val="21"/>
                <w:highlight w:val="none"/>
              </w:rPr>
            </w:pPr>
          </w:p>
        </w:tc>
        <w:tc>
          <w:tcPr>
            <w:tcW w:w="1575" w:type="dxa"/>
            <w:noWrap w:val="0"/>
            <w:vAlign w:val="top"/>
          </w:tcPr>
          <w:p>
            <w:pPr>
              <w:rPr>
                <w:rFonts w:ascii="宋体" w:hAnsi="宋体"/>
                <w:color w:val="auto"/>
                <w:szCs w:val="21"/>
                <w:highlight w:val="none"/>
              </w:rPr>
            </w:pPr>
          </w:p>
        </w:tc>
        <w:tc>
          <w:tcPr>
            <w:tcW w:w="908" w:type="dxa"/>
            <w:noWrap w:val="0"/>
            <w:vAlign w:val="top"/>
          </w:tcPr>
          <w:p>
            <w:pPr>
              <w:rPr>
                <w:rFonts w:ascii="宋体" w:hAnsi="宋体"/>
                <w:color w:val="auto"/>
                <w:szCs w:val="21"/>
                <w:highlight w:val="none"/>
              </w:rPr>
            </w:pPr>
          </w:p>
        </w:tc>
        <w:tc>
          <w:tcPr>
            <w:tcW w:w="1218" w:type="dxa"/>
            <w:noWrap w:val="0"/>
            <w:vAlign w:val="top"/>
          </w:tcPr>
          <w:p>
            <w:pPr>
              <w:rPr>
                <w:rFonts w:ascii="宋体" w:hAnsi="宋体"/>
                <w:color w:val="auto"/>
                <w:szCs w:val="21"/>
                <w:highlight w:val="none"/>
              </w:rPr>
            </w:pPr>
          </w:p>
        </w:tc>
        <w:tc>
          <w:tcPr>
            <w:tcW w:w="959" w:type="dxa"/>
            <w:noWrap w:val="0"/>
            <w:vAlign w:val="top"/>
          </w:tcPr>
          <w:p>
            <w:pPr>
              <w:rPr>
                <w:rFonts w:ascii="宋体" w:hAnsi="宋体"/>
                <w:color w:val="auto"/>
                <w:szCs w:val="21"/>
                <w:highlight w:val="none"/>
              </w:rPr>
            </w:pPr>
          </w:p>
        </w:tc>
        <w:tc>
          <w:tcPr>
            <w:tcW w:w="1228" w:type="dxa"/>
            <w:noWrap w:val="0"/>
            <w:vAlign w:val="top"/>
          </w:tcPr>
          <w:p>
            <w:pPr>
              <w:rPr>
                <w:rFonts w:ascii="宋体" w:hAnsi="宋体"/>
                <w:color w:val="auto"/>
                <w:szCs w:val="21"/>
                <w:highlight w:val="none"/>
              </w:rPr>
            </w:pPr>
          </w:p>
        </w:tc>
        <w:tc>
          <w:tcPr>
            <w:tcW w:w="718" w:type="dxa"/>
            <w:noWrap w:val="0"/>
            <w:vAlign w:val="top"/>
          </w:tcPr>
          <w:p>
            <w:pPr>
              <w:rPr>
                <w:rFonts w:ascii="宋体" w:hAnsi="宋体"/>
                <w:color w:val="auto"/>
                <w:szCs w:val="21"/>
                <w:highlight w:val="none"/>
              </w:rPr>
            </w:pPr>
          </w:p>
        </w:tc>
        <w:tc>
          <w:tcPr>
            <w:tcW w:w="779" w:type="dxa"/>
            <w:noWrap w:val="0"/>
            <w:vAlign w:val="top"/>
          </w:tcPr>
          <w:p>
            <w:pPr>
              <w:rPr>
                <w:rFonts w:ascii="宋体" w:hAnsi="宋体"/>
                <w:color w:val="auto"/>
                <w:szCs w:val="21"/>
                <w:highlight w:val="none"/>
              </w:rPr>
            </w:pPr>
          </w:p>
        </w:tc>
        <w:tc>
          <w:tcPr>
            <w:tcW w:w="1567" w:type="dxa"/>
            <w:noWrap w:val="0"/>
            <w:vAlign w:val="top"/>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43" w:type="dxa"/>
            <w:noWrap w:val="0"/>
            <w:vAlign w:val="top"/>
          </w:tcPr>
          <w:p>
            <w:pPr>
              <w:rPr>
                <w:rFonts w:ascii="宋体" w:hAnsi="宋体"/>
                <w:color w:val="auto"/>
                <w:szCs w:val="21"/>
                <w:highlight w:val="none"/>
              </w:rPr>
            </w:pPr>
          </w:p>
        </w:tc>
        <w:tc>
          <w:tcPr>
            <w:tcW w:w="1575" w:type="dxa"/>
            <w:noWrap w:val="0"/>
            <w:vAlign w:val="top"/>
          </w:tcPr>
          <w:p>
            <w:pPr>
              <w:rPr>
                <w:rFonts w:ascii="宋体" w:hAnsi="宋体"/>
                <w:color w:val="auto"/>
                <w:szCs w:val="21"/>
                <w:highlight w:val="none"/>
              </w:rPr>
            </w:pPr>
          </w:p>
        </w:tc>
        <w:tc>
          <w:tcPr>
            <w:tcW w:w="908" w:type="dxa"/>
            <w:noWrap w:val="0"/>
            <w:vAlign w:val="top"/>
          </w:tcPr>
          <w:p>
            <w:pPr>
              <w:rPr>
                <w:rFonts w:ascii="宋体" w:hAnsi="宋体"/>
                <w:color w:val="auto"/>
                <w:szCs w:val="21"/>
                <w:highlight w:val="none"/>
              </w:rPr>
            </w:pPr>
          </w:p>
        </w:tc>
        <w:tc>
          <w:tcPr>
            <w:tcW w:w="1218" w:type="dxa"/>
            <w:noWrap w:val="0"/>
            <w:vAlign w:val="top"/>
          </w:tcPr>
          <w:p>
            <w:pPr>
              <w:rPr>
                <w:rFonts w:ascii="宋体" w:hAnsi="宋体"/>
                <w:color w:val="auto"/>
                <w:szCs w:val="21"/>
                <w:highlight w:val="none"/>
              </w:rPr>
            </w:pPr>
          </w:p>
        </w:tc>
        <w:tc>
          <w:tcPr>
            <w:tcW w:w="959" w:type="dxa"/>
            <w:noWrap w:val="0"/>
            <w:vAlign w:val="top"/>
          </w:tcPr>
          <w:p>
            <w:pPr>
              <w:rPr>
                <w:rFonts w:ascii="宋体" w:hAnsi="宋体"/>
                <w:color w:val="auto"/>
                <w:szCs w:val="21"/>
                <w:highlight w:val="none"/>
              </w:rPr>
            </w:pPr>
          </w:p>
        </w:tc>
        <w:tc>
          <w:tcPr>
            <w:tcW w:w="1228" w:type="dxa"/>
            <w:noWrap w:val="0"/>
            <w:vAlign w:val="top"/>
          </w:tcPr>
          <w:p>
            <w:pPr>
              <w:rPr>
                <w:rFonts w:ascii="宋体" w:hAnsi="宋体"/>
                <w:color w:val="auto"/>
                <w:szCs w:val="21"/>
                <w:highlight w:val="none"/>
              </w:rPr>
            </w:pPr>
          </w:p>
        </w:tc>
        <w:tc>
          <w:tcPr>
            <w:tcW w:w="718" w:type="dxa"/>
            <w:noWrap w:val="0"/>
            <w:vAlign w:val="top"/>
          </w:tcPr>
          <w:p>
            <w:pPr>
              <w:rPr>
                <w:rFonts w:ascii="宋体" w:hAnsi="宋体"/>
                <w:color w:val="auto"/>
                <w:szCs w:val="21"/>
                <w:highlight w:val="none"/>
              </w:rPr>
            </w:pPr>
          </w:p>
        </w:tc>
        <w:tc>
          <w:tcPr>
            <w:tcW w:w="779" w:type="dxa"/>
            <w:noWrap w:val="0"/>
            <w:vAlign w:val="top"/>
          </w:tcPr>
          <w:p>
            <w:pPr>
              <w:rPr>
                <w:rFonts w:ascii="宋体" w:hAnsi="宋体"/>
                <w:color w:val="auto"/>
                <w:szCs w:val="21"/>
                <w:highlight w:val="none"/>
              </w:rPr>
            </w:pPr>
          </w:p>
        </w:tc>
        <w:tc>
          <w:tcPr>
            <w:tcW w:w="1567" w:type="dxa"/>
            <w:noWrap w:val="0"/>
            <w:vAlign w:val="top"/>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43" w:type="dxa"/>
            <w:noWrap w:val="0"/>
            <w:vAlign w:val="top"/>
          </w:tcPr>
          <w:p>
            <w:pPr>
              <w:rPr>
                <w:rFonts w:ascii="宋体" w:hAnsi="宋体"/>
                <w:color w:val="auto"/>
                <w:szCs w:val="21"/>
                <w:highlight w:val="none"/>
              </w:rPr>
            </w:pPr>
          </w:p>
        </w:tc>
        <w:tc>
          <w:tcPr>
            <w:tcW w:w="1575" w:type="dxa"/>
            <w:noWrap w:val="0"/>
            <w:vAlign w:val="top"/>
          </w:tcPr>
          <w:p>
            <w:pPr>
              <w:rPr>
                <w:rFonts w:ascii="宋体" w:hAnsi="宋体"/>
                <w:color w:val="auto"/>
                <w:szCs w:val="21"/>
                <w:highlight w:val="none"/>
              </w:rPr>
            </w:pPr>
          </w:p>
        </w:tc>
        <w:tc>
          <w:tcPr>
            <w:tcW w:w="908" w:type="dxa"/>
            <w:noWrap w:val="0"/>
            <w:vAlign w:val="top"/>
          </w:tcPr>
          <w:p>
            <w:pPr>
              <w:rPr>
                <w:rFonts w:ascii="宋体" w:hAnsi="宋体"/>
                <w:color w:val="auto"/>
                <w:szCs w:val="21"/>
                <w:highlight w:val="none"/>
              </w:rPr>
            </w:pPr>
          </w:p>
        </w:tc>
        <w:tc>
          <w:tcPr>
            <w:tcW w:w="1218" w:type="dxa"/>
            <w:noWrap w:val="0"/>
            <w:vAlign w:val="top"/>
          </w:tcPr>
          <w:p>
            <w:pPr>
              <w:rPr>
                <w:rFonts w:ascii="宋体" w:hAnsi="宋体"/>
                <w:color w:val="auto"/>
                <w:szCs w:val="21"/>
                <w:highlight w:val="none"/>
              </w:rPr>
            </w:pPr>
          </w:p>
        </w:tc>
        <w:tc>
          <w:tcPr>
            <w:tcW w:w="959" w:type="dxa"/>
            <w:noWrap w:val="0"/>
            <w:vAlign w:val="top"/>
          </w:tcPr>
          <w:p>
            <w:pPr>
              <w:rPr>
                <w:rFonts w:ascii="宋体" w:hAnsi="宋体"/>
                <w:color w:val="auto"/>
                <w:szCs w:val="21"/>
                <w:highlight w:val="none"/>
              </w:rPr>
            </w:pPr>
          </w:p>
        </w:tc>
        <w:tc>
          <w:tcPr>
            <w:tcW w:w="1228" w:type="dxa"/>
            <w:noWrap w:val="0"/>
            <w:vAlign w:val="top"/>
          </w:tcPr>
          <w:p>
            <w:pPr>
              <w:rPr>
                <w:rFonts w:ascii="宋体" w:hAnsi="宋体"/>
                <w:color w:val="auto"/>
                <w:szCs w:val="21"/>
                <w:highlight w:val="none"/>
              </w:rPr>
            </w:pPr>
          </w:p>
        </w:tc>
        <w:tc>
          <w:tcPr>
            <w:tcW w:w="718" w:type="dxa"/>
            <w:noWrap w:val="0"/>
            <w:vAlign w:val="top"/>
          </w:tcPr>
          <w:p>
            <w:pPr>
              <w:rPr>
                <w:rFonts w:ascii="宋体" w:hAnsi="宋体"/>
                <w:color w:val="auto"/>
                <w:szCs w:val="21"/>
                <w:highlight w:val="none"/>
              </w:rPr>
            </w:pPr>
          </w:p>
        </w:tc>
        <w:tc>
          <w:tcPr>
            <w:tcW w:w="779" w:type="dxa"/>
            <w:noWrap w:val="0"/>
            <w:vAlign w:val="top"/>
          </w:tcPr>
          <w:p>
            <w:pPr>
              <w:rPr>
                <w:rFonts w:ascii="宋体" w:hAnsi="宋体"/>
                <w:color w:val="auto"/>
                <w:szCs w:val="21"/>
                <w:highlight w:val="none"/>
              </w:rPr>
            </w:pPr>
          </w:p>
        </w:tc>
        <w:tc>
          <w:tcPr>
            <w:tcW w:w="1567" w:type="dxa"/>
            <w:noWrap w:val="0"/>
            <w:vAlign w:val="top"/>
          </w:tcPr>
          <w:p>
            <w:pPr>
              <w:rPr>
                <w:rFonts w:ascii="宋体" w:hAnsi="宋体"/>
                <w:color w:val="auto"/>
                <w:szCs w:val="21"/>
                <w:highlight w:val="none"/>
              </w:rPr>
            </w:pPr>
          </w:p>
        </w:tc>
      </w:tr>
    </w:tbl>
    <w:p>
      <w:pPr>
        <w:rPr>
          <w:rFonts w:ascii="宋体" w:hAnsi="宋体"/>
          <w:color w:val="auto"/>
          <w:szCs w:val="21"/>
          <w:highlight w:val="none"/>
        </w:rPr>
      </w:pPr>
    </w:p>
    <w:p>
      <w:pPr>
        <w:rPr>
          <w:rFonts w:ascii="宋体" w:cs="宋体"/>
          <w:color w:val="auto"/>
          <w:szCs w:val="21"/>
          <w:highlight w:val="none"/>
        </w:rPr>
      </w:pPr>
      <w:r>
        <w:rPr>
          <w:rFonts w:hint="eastAsia" w:ascii="宋体" w:hAnsi="宋体"/>
          <w:color w:val="auto"/>
          <w:szCs w:val="21"/>
          <w:highlight w:val="none"/>
        </w:rPr>
        <w:t>注：1.</w:t>
      </w:r>
      <w:r>
        <w:rPr>
          <w:rFonts w:hint="eastAsia" w:ascii="宋体" w:cs="宋体"/>
          <w:color w:val="auto"/>
          <w:szCs w:val="21"/>
          <w:highlight w:val="none"/>
        </w:rPr>
        <w:t>若</w:t>
      </w:r>
      <w:r>
        <w:rPr>
          <w:rFonts w:hint="eastAsia" w:ascii="宋体" w:cs="宋体"/>
          <w:color w:val="auto"/>
          <w:szCs w:val="21"/>
          <w:highlight w:val="none"/>
          <w:lang w:eastAsia="zh-CN"/>
        </w:rPr>
        <w:t>合格中标候选人</w:t>
      </w:r>
      <w:r>
        <w:rPr>
          <w:rFonts w:hint="eastAsia" w:ascii="宋体" w:cs="宋体"/>
          <w:color w:val="auto"/>
          <w:szCs w:val="21"/>
          <w:highlight w:val="none"/>
        </w:rPr>
        <w:t>总得分相同且影响</w:t>
      </w:r>
      <w:r>
        <w:rPr>
          <w:rFonts w:hint="eastAsia" w:ascii="宋体" w:cs="宋体"/>
          <w:color w:val="auto"/>
          <w:szCs w:val="21"/>
          <w:highlight w:val="none"/>
          <w:lang w:eastAsia="zh-CN"/>
        </w:rPr>
        <w:t>合格中标候选人</w:t>
      </w:r>
      <w:r>
        <w:rPr>
          <w:rFonts w:hint="eastAsia" w:ascii="宋体" w:cs="宋体"/>
          <w:color w:val="auto"/>
          <w:szCs w:val="21"/>
          <w:highlight w:val="none"/>
        </w:rPr>
        <w:t>排序的，以答辩因素得分高</w:t>
      </w:r>
      <w:r>
        <w:rPr>
          <w:rFonts w:hint="eastAsia" w:ascii="宋体" w:hAnsi="宋体"/>
          <w:color w:val="auto"/>
          <w:szCs w:val="21"/>
          <w:highlight w:val="none"/>
        </w:rPr>
        <w:t>的排前；若答辩因素得分相同的，</w:t>
      </w:r>
      <w:r>
        <w:rPr>
          <w:rFonts w:hint="eastAsia" w:ascii="宋体" w:cs="宋体"/>
          <w:color w:val="auto"/>
          <w:szCs w:val="21"/>
          <w:highlight w:val="none"/>
        </w:rPr>
        <w:t>以价格因素</w:t>
      </w:r>
      <w:r>
        <w:rPr>
          <w:rFonts w:hint="eastAsia" w:ascii="宋体" w:hAnsi="宋体"/>
          <w:color w:val="auto"/>
          <w:szCs w:val="21"/>
          <w:highlight w:val="none"/>
        </w:rPr>
        <w:t>得分</w:t>
      </w:r>
      <w:r>
        <w:rPr>
          <w:rFonts w:hint="eastAsia" w:ascii="宋体" w:cs="宋体"/>
          <w:color w:val="auto"/>
          <w:szCs w:val="21"/>
          <w:highlight w:val="none"/>
        </w:rPr>
        <w:t>高</w:t>
      </w:r>
      <w:r>
        <w:rPr>
          <w:rFonts w:hint="eastAsia" w:ascii="宋体" w:hAnsi="宋体"/>
          <w:color w:val="auto"/>
          <w:szCs w:val="21"/>
          <w:highlight w:val="none"/>
        </w:rPr>
        <w:t>的排前</w:t>
      </w:r>
      <w:r>
        <w:rPr>
          <w:rFonts w:hint="eastAsia" w:ascii="宋体" w:hAnsi="宋体" w:cs="宋体"/>
          <w:color w:val="auto"/>
          <w:szCs w:val="21"/>
          <w:highlight w:val="none"/>
        </w:rPr>
        <w:t>，若价格因素得分仍相同的，由定标委员会投票确定排序</w:t>
      </w:r>
      <w:r>
        <w:rPr>
          <w:rFonts w:hint="eastAsia" w:ascii="宋体" w:cs="宋体"/>
          <w:color w:val="auto"/>
          <w:szCs w:val="21"/>
          <w:highlight w:val="none"/>
        </w:rPr>
        <w:t>。</w:t>
      </w:r>
    </w:p>
    <w:p>
      <w:pPr>
        <w:rPr>
          <w:rFonts w:hint="eastAsia" w:ascii="宋体" w:cs="宋体"/>
          <w:bCs/>
          <w:color w:val="auto"/>
          <w:szCs w:val="21"/>
          <w:highlight w:val="none"/>
        </w:rPr>
      </w:pPr>
      <w:r>
        <w:rPr>
          <w:rFonts w:hint="eastAsia" w:ascii="宋体" w:cs="宋体"/>
          <w:color w:val="auto"/>
          <w:szCs w:val="21"/>
          <w:highlight w:val="none"/>
        </w:rPr>
        <w:t>2.</w:t>
      </w:r>
      <w:r>
        <w:rPr>
          <w:rFonts w:hint="eastAsia" w:ascii="宋体" w:cs="宋体"/>
          <w:bCs/>
          <w:color w:val="auto"/>
          <w:szCs w:val="21"/>
          <w:highlight w:val="none"/>
        </w:rPr>
        <w:t>总得分四舍五入保留两位小数。</w:t>
      </w:r>
    </w:p>
    <w:p>
      <w:pPr>
        <w:rPr>
          <w:rFonts w:ascii="宋体" w:hAnsi="宋体"/>
          <w:color w:val="auto"/>
          <w:szCs w:val="21"/>
          <w:highlight w:val="none"/>
        </w:rPr>
      </w:pPr>
      <w:r>
        <w:rPr>
          <w:rFonts w:hint="eastAsia" w:ascii="宋体" w:hAnsi="宋体"/>
          <w:color w:val="auto"/>
          <w:szCs w:val="21"/>
          <w:highlight w:val="none"/>
        </w:rPr>
        <w:t>3.定标委员会确定总得分最高的合格中标候选人为中标人。</w:t>
      </w:r>
    </w:p>
    <w:p>
      <w:pPr>
        <w:pStyle w:val="10"/>
        <w:rPr>
          <w:color w:val="auto"/>
          <w:highlight w:val="none"/>
        </w:rPr>
      </w:pPr>
    </w:p>
    <w:p>
      <w:pPr>
        <w:pStyle w:val="10"/>
        <w:rPr>
          <w:color w:val="auto"/>
          <w:highlight w:val="none"/>
        </w:rPr>
      </w:pPr>
    </w:p>
    <w:p>
      <w:pPr>
        <w:pStyle w:val="10"/>
        <w:rPr>
          <w:rFonts w:ascii="宋体" w:hAnsi="宋体"/>
          <w:color w:val="auto"/>
          <w:szCs w:val="21"/>
          <w:highlight w:val="none"/>
        </w:rPr>
      </w:pPr>
    </w:p>
    <w:p>
      <w:pPr>
        <w:rPr>
          <w:color w:val="auto"/>
          <w:highlight w:val="none"/>
        </w:rPr>
      </w:pPr>
    </w:p>
    <w:p>
      <w:pPr>
        <w:spacing w:line="360" w:lineRule="auto"/>
        <w:ind w:left="314" w:hanging="314" w:hangingChars="131"/>
        <w:rPr>
          <w:rFonts w:ascii="宋体" w:hAnsi="宋体"/>
          <w:color w:val="auto"/>
          <w:sz w:val="24"/>
          <w:highlight w:val="none"/>
        </w:rPr>
      </w:pPr>
      <w:r>
        <w:rPr>
          <w:rFonts w:hint="eastAsia" w:ascii="宋体" w:hAnsi="宋体"/>
          <w:color w:val="auto"/>
          <w:sz w:val="24"/>
          <w:highlight w:val="none"/>
        </w:rPr>
        <w:t>定标委员会签名：</w:t>
      </w:r>
    </w:p>
    <w:p>
      <w:pPr>
        <w:spacing w:line="360" w:lineRule="auto"/>
        <w:rPr>
          <w:rFonts w:ascii="宋体" w:hAnsi="宋体"/>
          <w:color w:val="auto"/>
          <w:sz w:val="24"/>
          <w:highlight w:val="none"/>
        </w:rPr>
      </w:pPr>
    </w:p>
    <w:p>
      <w:pPr>
        <w:pStyle w:val="2"/>
        <w:ind w:firstLine="402"/>
        <w:rPr>
          <w:color w:val="auto"/>
          <w:highlight w:val="none"/>
        </w:rPr>
      </w:pPr>
    </w:p>
    <w:p>
      <w:pPr>
        <w:spacing w:line="360" w:lineRule="auto"/>
        <w:ind w:left="314" w:right="960" w:hanging="314" w:hangingChars="131"/>
        <w:jc w:val="center"/>
        <w:rPr>
          <w:rFonts w:ascii="宋体" w:hAnsi="宋体"/>
          <w:color w:val="auto"/>
          <w:sz w:val="24"/>
          <w:highlight w:val="none"/>
        </w:rPr>
      </w:pPr>
      <w:r>
        <w:rPr>
          <w:rFonts w:hint="eastAsia" w:ascii="宋体" w:hAnsi="宋体"/>
          <w:color w:val="auto"/>
          <w:sz w:val="24"/>
          <w:highlight w:val="none"/>
        </w:rPr>
        <w:t xml:space="preserve">                                     日期：  年  月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pPr>
        <w:widowControl/>
        <w:snapToGrid/>
        <w:spacing w:line="240" w:lineRule="auto"/>
        <w:ind w:right="0"/>
        <w:jc w:val="left"/>
        <w:rPr>
          <w:rFonts w:hint="eastAsia" w:ascii="宋体" w:hAnsi="宋体"/>
          <w:color w:val="auto"/>
          <w:sz w:val="28"/>
          <w:szCs w:val="28"/>
          <w:highlight w:val="none"/>
        </w:rPr>
      </w:pPr>
      <w:r>
        <w:rPr>
          <w:rFonts w:hint="eastAsia" w:ascii="宋体" w:hAnsi="宋体"/>
          <w:color w:val="auto"/>
          <w:sz w:val="28"/>
          <w:szCs w:val="28"/>
          <w:highlight w:val="none"/>
        </w:rPr>
        <w:br w:type="page"/>
      </w:r>
    </w:p>
    <w:p>
      <w:pPr>
        <w:rPr>
          <w:color w:val="auto"/>
          <w:highlight w:val="none"/>
        </w:rPr>
      </w:pPr>
    </w:p>
    <w:p>
      <w:pPr>
        <w:pStyle w:val="3"/>
        <w:rPr>
          <w:rFonts w:hint="eastAsia" w:eastAsia="宋体"/>
          <w:color w:val="auto"/>
          <w:highlight w:val="none"/>
          <w:lang w:eastAsia="zh-CN"/>
        </w:rPr>
      </w:pPr>
      <w:bookmarkStart w:id="70" w:name="_Toc2272566"/>
      <w:bookmarkStart w:id="71" w:name="_Toc21525511"/>
      <w:bookmarkStart w:id="72" w:name="_Toc15112"/>
      <w:bookmarkStart w:id="73" w:name="_Toc25611"/>
      <w:r>
        <w:rPr>
          <w:rFonts w:hint="eastAsia"/>
          <w:color w:val="auto"/>
          <w:highlight w:val="none"/>
        </w:rPr>
        <w:t>第三章</w:t>
      </w:r>
      <w:r>
        <w:rPr>
          <w:color w:val="auto"/>
          <w:highlight w:val="none"/>
        </w:rPr>
        <w:t xml:space="preserve">  </w:t>
      </w:r>
      <w:r>
        <w:rPr>
          <w:rFonts w:hint="eastAsia"/>
          <w:color w:val="auto"/>
          <w:highlight w:val="none"/>
        </w:rPr>
        <w:t>合同条款</w:t>
      </w:r>
      <w:bookmarkEnd w:id="70"/>
      <w:bookmarkEnd w:id="71"/>
      <w:r>
        <w:rPr>
          <w:rFonts w:hint="eastAsia"/>
          <w:color w:val="auto"/>
          <w:highlight w:val="none"/>
          <w:lang w:eastAsia="zh-CN"/>
        </w:rPr>
        <w:t>及格式</w:t>
      </w:r>
      <w:bookmarkEnd w:id="72"/>
      <w:bookmarkEnd w:id="73"/>
    </w:p>
    <w:p>
      <w:pPr>
        <w:spacing w:before="0" w:line="300" w:lineRule="auto"/>
        <w:ind w:left="0" w:leftChars="0" w:firstLine="560" w:firstLineChars="200"/>
        <w:jc w:val="center"/>
        <w:rPr>
          <w:rFonts w:hint="eastAsia" w:ascii="宋体" w:hAnsi="宋体" w:eastAsia="宋体"/>
          <w:strike w:val="0"/>
          <w:color w:val="auto"/>
          <w:sz w:val="28"/>
          <w:szCs w:val="28"/>
          <w:highlight w:val="none"/>
          <w:lang w:eastAsia="zh-CN"/>
        </w:rPr>
      </w:pPr>
      <w:r>
        <w:rPr>
          <w:rFonts w:hint="eastAsia" w:ascii="宋体" w:hAnsi="宋体"/>
          <w:strike w:val="0"/>
          <w:color w:val="auto"/>
          <w:sz w:val="28"/>
          <w:szCs w:val="28"/>
          <w:highlight w:val="none"/>
          <w:lang w:eastAsia="zh-CN"/>
        </w:rPr>
        <w:t>（</w:t>
      </w:r>
      <w:r>
        <w:rPr>
          <w:rFonts w:hint="eastAsia" w:ascii="宋体" w:hAnsi="宋体"/>
          <w:strike w:val="0"/>
          <w:color w:val="auto"/>
          <w:sz w:val="28"/>
          <w:szCs w:val="28"/>
          <w:highlight w:val="none"/>
        </w:rPr>
        <w:t>另册</w:t>
      </w:r>
      <w:r>
        <w:rPr>
          <w:rFonts w:hint="eastAsia" w:ascii="宋体" w:hAnsi="宋体"/>
          <w:strike w:val="0"/>
          <w:color w:val="auto"/>
          <w:sz w:val="28"/>
          <w:szCs w:val="28"/>
          <w:highlight w:val="none"/>
          <w:lang w:eastAsia="zh-CN"/>
        </w:rPr>
        <w:t>）</w:t>
      </w: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ind w:left="0" w:leftChars="0" w:firstLine="0" w:firstLineChars="0"/>
        <w:rPr>
          <w:color w:val="auto"/>
          <w:sz w:val="24"/>
          <w:szCs w:val="24"/>
          <w:highlight w:val="none"/>
        </w:rPr>
      </w:pPr>
    </w:p>
    <w:p>
      <w:pPr>
        <w:pStyle w:val="21"/>
        <w:spacing w:line="360" w:lineRule="auto"/>
        <w:rPr>
          <w:color w:val="auto"/>
          <w:sz w:val="24"/>
          <w:szCs w:val="24"/>
          <w:highlight w:val="none"/>
        </w:rPr>
      </w:pPr>
    </w:p>
    <w:p>
      <w:pPr>
        <w:pStyle w:val="21"/>
        <w:spacing w:line="360" w:lineRule="auto"/>
        <w:rPr>
          <w:color w:val="auto"/>
          <w:sz w:val="24"/>
          <w:szCs w:val="24"/>
          <w:highlight w:val="none"/>
        </w:rPr>
      </w:pPr>
      <w:r>
        <w:rPr>
          <w:color w:val="auto"/>
          <w:sz w:val="24"/>
          <w:szCs w:val="24"/>
          <w:highlight w:val="none"/>
        </w:rPr>
        <w:br w:type="page"/>
      </w:r>
    </w:p>
    <w:p>
      <w:pPr>
        <w:pStyle w:val="3"/>
        <w:rPr>
          <w:color w:val="auto"/>
          <w:highlight w:val="none"/>
        </w:rPr>
      </w:pPr>
      <w:bookmarkStart w:id="74" w:name="_Toc2272567"/>
      <w:bookmarkStart w:id="75" w:name="_Toc32300"/>
      <w:bookmarkStart w:id="76" w:name="_Toc29898"/>
      <w:bookmarkStart w:id="77" w:name="_Toc21525512"/>
      <w:r>
        <w:rPr>
          <w:rFonts w:hint="eastAsia"/>
          <w:color w:val="auto"/>
          <w:highlight w:val="none"/>
        </w:rPr>
        <w:t>第四章</w:t>
      </w:r>
      <w:r>
        <w:rPr>
          <w:color w:val="auto"/>
          <w:highlight w:val="none"/>
        </w:rPr>
        <w:t xml:space="preserve">  </w:t>
      </w:r>
      <w:r>
        <w:rPr>
          <w:rFonts w:hint="eastAsia"/>
          <w:color w:val="auto"/>
          <w:highlight w:val="none"/>
        </w:rPr>
        <w:t>投标文件格式</w:t>
      </w:r>
      <w:bookmarkEnd w:id="74"/>
      <w:bookmarkEnd w:id="75"/>
      <w:bookmarkEnd w:id="76"/>
      <w:bookmarkEnd w:id="77"/>
    </w:p>
    <w:p>
      <w:pPr>
        <w:pStyle w:val="121"/>
        <w:spacing w:before="156" w:line="360" w:lineRule="auto"/>
        <w:outlineLvl w:val="0"/>
        <w:rPr>
          <w:rFonts w:hint="eastAsia" w:ascii="宋体" w:hAnsi="宋体" w:eastAsia="宋体" w:cs="宋体"/>
          <w:color w:val="auto"/>
          <w:highlight w:val="none"/>
        </w:rPr>
      </w:pPr>
      <w:bookmarkStart w:id="78" w:name="_Toc8084"/>
      <w:bookmarkStart w:id="79" w:name="_Toc31873"/>
      <w:bookmarkStart w:id="80" w:name="_Toc7019446"/>
    </w:p>
    <w:p>
      <w:pPr>
        <w:pStyle w:val="121"/>
        <w:spacing w:before="156" w:line="360" w:lineRule="auto"/>
        <w:outlineLvl w:val="0"/>
        <w:rPr>
          <w:rFonts w:hint="eastAsia" w:ascii="宋体" w:hAnsi="宋体" w:eastAsia="宋体" w:cs="宋体"/>
          <w:color w:val="auto"/>
          <w:highlight w:val="none"/>
        </w:rPr>
      </w:pPr>
    </w:p>
    <w:p>
      <w:pPr>
        <w:pStyle w:val="121"/>
        <w:spacing w:before="156" w:line="360" w:lineRule="auto"/>
        <w:outlineLvl w:val="0"/>
        <w:rPr>
          <w:rFonts w:hint="eastAsia" w:ascii="宋体" w:hAnsi="宋体" w:eastAsia="宋体" w:cs="宋体"/>
          <w:color w:val="auto"/>
          <w:highlight w:val="none"/>
        </w:rPr>
      </w:pPr>
      <w:r>
        <w:rPr>
          <w:rFonts w:hint="eastAsia" w:ascii="宋体" w:hAnsi="宋体" w:eastAsia="宋体" w:cs="宋体"/>
          <w:color w:val="auto"/>
          <w:highlight w:val="none"/>
        </w:rPr>
        <w:t>一、技术标投标文件格式</w:t>
      </w:r>
      <w:bookmarkEnd w:id="78"/>
      <w:bookmarkEnd w:id="79"/>
      <w:bookmarkEnd w:id="80"/>
    </w:p>
    <w:p>
      <w:pPr>
        <w:outlineLvl w:val="2"/>
        <w:rPr>
          <w:rFonts w:hint="eastAsia" w:ascii="宋体" w:hAnsi="宋体" w:cs="宋体"/>
          <w:b/>
          <w:color w:val="auto"/>
          <w:sz w:val="24"/>
          <w:szCs w:val="24"/>
          <w:highlight w:val="none"/>
        </w:rPr>
      </w:pPr>
      <w:r>
        <w:rPr>
          <w:color w:val="auto"/>
          <w:highlight w:val="none"/>
        </w:rPr>
        <w:br w:type="page"/>
      </w:r>
      <w:bookmarkStart w:id="81" w:name="_Toc24682"/>
      <w:r>
        <w:rPr>
          <w:rFonts w:hint="eastAsia" w:ascii="宋体" w:hAnsi="宋体" w:cs="宋体"/>
          <w:b/>
          <w:color w:val="auto"/>
          <w:sz w:val="24"/>
          <w:szCs w:val="24"/>
          <w:highlight w:val="none"/>
        </w:rPr>
        <w:t>格式一：技术标封面</w:t>
      </w:r>
      <w:bookmarkEnd w:id="81"/>
    </w:p>
    <w:p>
      <w:pPr>
        <w:pStyle w:val="122"/>
        <w:ind w:firstLine="496"/>
        <w:rPr>
          <w:rFonts w:hint="eastAsia" w:ascii="宋体" w:hAnsi="宋体" w:cs="宋体"/>
          <w:color w:val="auto"/>
          <w:highlight w:val="none"/>
        </w:rPr>
      </w:pPr>
    </w:p>
    <w:p>
      <w:pPr>
        <w:pStyle w:val="122"/>
        <w:ind w:firstLine="496"/>
        <w:rPr>
          <w:rFonts w:hint="eastAsia" w:ascii="宋体" w:hAnsi="宋体" w:cs="宋体"/>
          <w:color w:val="auto"/>
          <w:highlight w:val="none"/>
        </w:rPr>
      </w:pPr>
    </w:p>
    <w:p>
      <w:pPr>
        <w:pStyle w:val="122"/>
        <w:ind w:firstLine="496"/>
        <w:rPr>
          <w:rFonts w:hint="eastAsia" w:ascii="宋体" w:hAnsi="宋体" w:cs="宋体"/>
          <w:color w:val="auto"/>
          <w:highlight w:val="none"/>
        </w:rPr>
      </w:pPr>
    </w:p>
    <w:p>
      <w:pPr>
        <w:pStyle w:val="123"/>
        <w:rPr>
          <w:rFonts w:hint="eastAsia" w:ascii="宋体" w:hAnsi="宋体" w:eastAsia="宋体" w:cs="宋体"/>
          <w:b w:val="0"/>
          <w:color w:val="auto"/>
          <w:highlight w:val="none"/>
          <w:u w:val="single"/>
        </w:rPr>
      </w:pPr>
      <w:r>
        <w:rPr>
          <w:rFonts w:hint="eastAsia" w:ascii="宋体" w:hAnsi="宋体" w:eastAsia="宋体" w:cs="宋体"/>
          <w:b w:val="0"/>
          <w:color w:val="auto"/>
          <w:highlight w:val="none"/>
          <w:u w:val="single"/>
        </w:rPr>
        <w:t xml:space="preserve">[工程名称] </w:t>
      </w:r>
    </w:p>
    <w:p>
      <w:pPr>
        <w:pStyle w:val="122"/>
        <w:ind w:firstLine="496"/>
        <w:rPr>
          <w:rFonts w:hint="eastAsia" w:ascii="宋体" w:hAnsi="宋体" w:cs="宋体"/>
          <w:color w:val="auto"/>
          <w:highlight w:val="none"/>
        </w:rPr>
      </w:pPr>
    </w:p>
    <w:p>
      <w:pPr>
        <w:pStyle w:val="122"/>
        <w:ind w:firstLine="496"/>
        <w:rPr>
          <w:rFonts w:hint="eastAsia" w:ascii="宋体" w:hAnsi="宋体" w:cs="宋体"/>
          <w:color w:val="auto"/>
          <w:highlight w:val="none"/>
        </w:rPr>
      </w:pPr>
    </w:p>
    <w:p>
      <w:pPr>
        <w:pStyle w:val="122"/>
        <w:ind w:firstLine="496"/>
        <w:rPr>
          <w:rFonts w:hint="eastAsia" w:ascii="宋体" w:hAnsi="宋体" w:cs="宋体"/>
          <w:color w:val="auto"/>
          <w:highlight w:val="none"/>
        </w:rPr>
      </w:pPr>
    </w:p>
    <w:p>
      <w:pPr>
        <w:pStyle w:val="122"/>
        <w:ind w:firstLine="496"/>
        <w:rPr>
          <w:rFonts w:hint="eastAsia" w:ascii="宋体" w:hAnsi="宋体" w:cs="宋体"/>
          <w:color w:val="auto"/>
          <w:highlight w:val="none"/>
        </w:rPr>
      </w:pPr>
    </w:p>
    <w:p>
      <w:pPr>
        <w:pStyle w:val="124"/>
        <w:rPr>
          <w:rFonts w:hint="eastAsia" w:ascii="宋体" w:hAnsi="宋体" w:eastAsia="宋体" w:cs="宋体"/>
          <w:b w:val="0"/>
          <w:color w:val="auto"/>
          <w:highlight w:val="none"/>
        </w:rPr>
      </w:pPr>
      <w:r>
        <w:rPr>
          <w:rFonts w:hint="eastAsia" w:ascii="宋体" w:hAnsi="宋体" w:eastAsia="宋体" w:cs="宋体"/>
          <w:b w:val="0"/>
          <w:color w:val="auto"/>
          <w:highlight w:val="none"/>
        </w:rPr>
        <w:t>投标文件</w:t>
      </w:r>
    </w:p>
    <w:p>
      <w:pPr>
        <w:pStyle w:val="123"/>
        <w:rPr>
          <w:rFonts w:hint="eastAsia" w:ascii="宋体" w:hAnsi="宋体" w:eastAsia="宋体" w:cs="宋体"/>
          <w:b w:val="0"/>
          <w:color w:val="auto"/>
          <w:highlight w:val="none"/>
        </w:rPr>
      </w:pPr>
      <w:r>
        <w:rPr>
          <w:rFonts w:hint="eastAsia" w:ascii="宋体" w:hAnsi="宋体" w:eastAsia="宋体" w:cs="宋体"/>
          <w:b w:val="0"/>
          <w:color w:val="auto"/>
          <w:highlight w:val="none"/>
        </w:rPr>
        <w:t>第一册  【技术投标文件（含资格审查文件）】</w:t>
      </w:r>
    </w:p>
    <w:p>
      <w:pPr>
        <w:pStyle w:val="122"/>
        <w:ind w:firstLine="496"/>
        <w:rPr>
          <w:rFonts w:hint="eastAsia" w:ascii="宋体" w:hAnsi="宋体" w:cs="宋体"/>
          <w:color w:val="auto"/>
          <w:highlight w:val="none"/>
        </w:rPr>
      </w:pPr>
    </w:p>
    <w:p>
      <w:pPr>
        <w:pStyle w:val="122"/>
        <w:ind w:firstLine="496"/>
        <w:rPr>
          <w:rFonts w:hint="eastAsia" w:ascii="宋体" w:hAnsi="宋体" w:cs="宋体"/>
          <w:color w:val="auto"/>
          <w:highlight w:val="none"/>
        </w:rPr>
      </w:pPr>
    </w:p>
    <w:p>
      <w:pPr>
        <w:pStyle w:val="122"/>
        <w:ind w:firstLine="496"/>
        <w:rPr>
          <w:rFonts w:hint="eastAsia" w:ascii="宋体" w:hAnsi="宋体" w:cs="宋体"/>
          <w:color w:val="auto"/>
          <w:highlight w:val="none"/>
        </w:rPr>
      </w:pPr>
    </w:p>
    <w:p>
      <w:pPr>
        <w:pStyle w:val="122"/>
        <w:ind w:firstLine="496"/>
        <w:rPr>
          <w:rFonts w:hint="eastAsia" w:ascii="宋体" w:hAnsi="宋体" w:cs="宋体"/>
          <w:color w:val="auto"/>
          <w:highlight w:val="none"/>
        </w:rPr>
      </w:pPr>
    </w:p>
    <w:p>
      <w:pPr>
        <w:pStyle w:val="122"/>
        <w:ind w:firstLine="496"/>
        <w:rPr>
          <w:rFonts w:hint="eastAsia" w:ascii="宋体" w:hAnsi="宋体" w:cs="宋体"/>
          <w:color w:val="auto"/>
          <w:highlight w:val="none"/>
        </w:rPr>
      </w:pPr>
    </w:p>
    <w:p>
      <w:pPr>
        <w:pStyle w:val="122"/>
        <w:ind w:firstLine="496"/>
        <w:rPr>
          <w:rFonts w:hint="eastAsia" w:ascii="宋体" w:hAnsi="宋体" w:cs="宋体"/>
          <w:color w:val="auto"/>
          <w:highlight w:val="none"/>
        </w:rPr>
      </w:pPr>
    </w:p>
    <w:p>
      <w:pPr>
        <w:pStyle w:val="125"/>
        <w:ind w:firstLine="616"/>
        <w:rPr>
          <w:rFonts w:hint="eastAsia"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p>
    <w:p>
      <w:pPr>
        <w:pStyle w:val="125"/>
        <w:ind w:firstLine="616"/>
        <w:rPr>
          <w:rFonts w:hint="eastAsia" w:ascii="宋体" w:hAnsi="宋体" w:cs="宋体"/>
          <w:color w:val="auto"/>
          <w:sz w:val="24"/>
          <w:szCs w:val="24"/>
          <w:highlight w:val="none"/>
        </w:rPr>
      </w:pPr>
      <w:r>
        <w:rPr>
          <w:rFonts w:hint="eastAsia" w:ascii="宋体" w:hAnsi="宋体" w:cs="宋体"/>
          <w:color w:val="auto"/>
          <w:highlight w:val="none"/>
        </w:rPr>
        <w:t>日  期：</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pPr>
        <w:pStyle w:val="122"/>
        <w:ind w:firstLine="496"/>
        <w:rPr>
          <w:rFonts w:hint="eastAsia" w:ascii="宋体" w:hAnsi="宋体" w:cs="宋体"/>
          <w:color w:val="auto"/>
          <w:highlight w:val="none"/>
        </w:rPr>
      </w:pPr>
    </w:p>
    <w:p>
      <w:pPr>
        <w:rPr>
          <w:rFonts w:hint="eastAsia" w:ascii="宋体" w:hAnsi="宋体" w:cs="宋体"/>
          <w:color w:val="auto"/>
          <w:highlight w:val="none"/>
        </w:rPr>
      </w:pPr>
      <w:r>
        <w:rPr>
          <w:rFonts w:hint="eastAsia" w:ascii="宋体" w:hAnsi="宋体" w:cs="宋体"/>
          <w:color w:val="auto"/>
          <w:highlight w:val="none"/>
        </w:rPr>
        <w:br w:type="page"/>
      </w:r>
    </w:p>
    <w:p>
      <w:pPr>
        <w:outlineLvl w:val="2"/>
        <w:rPr>
          <w:rFonts w:hint="eastAsia" w:ascii="宋体" w:hAnsi="宋体" w:cs="宋体"/>
          <w:b/>
          <w:color w:val="auto"/>
          <w:sz w:val="24"/>
          <w:szCs w:val="24"/>
          <w:highlight w:val="none"/>
        </w:rPr>
      </w:pPr>
      <w:bookmarkStart w:id="82" w:name="_Toc19890"/>
      <w:r>
        <w:rPr>
          <w:rFonts w:hint="eastAsia" w:ascii="宋体" w:hAnsi="宋体" w:cs="宋体"/>
          <w:b/>
          <w:color w:val="auto"/>
          <w:sz w:val="24"/>
          <w:szCs w:val="24"/>
          <w:highlight w:val="none"/>
        </w:rPr>
        <w:t>格式二：广州建设工程施工招标投标书</w:t>
      </w:r>
      <w:bookmarkEnd w:id="82"/>
    </w:p>
    <w:p>
      <w:pPr>
        <w:autoSpaceDE w:val="0"/>
        <w:autoSpaceDN w:val="0"/>
        <w:adjustRightInd w:val="0"/>
        <w:ind w:left="-540" w:leftChars="-257" w:firstLine="1135" w:firstLineChars="257"/>
        <w:jc w:val="center"/>
        <w:rPr>
          <w:rFonts w:ascii="宋体" w:hAnsi="宋体" w:cs="宋体"/>
          <w:b/>
          <w:bCs/>
          <w:color w:val="auto"/>
          <w:sz w:val="44"/>
          <w:szCs w:val="44"/>
          <w:highlight w:val="none"/>
          <w:lang w:val="zh-CN"/>
        </w:rPr>
      </w:pPr>
    </w:p>
    <w:p>
      <w:pPr>
        <w:bidi w:val="0"/>
        <w:jc w:val="center"/>
        <w:rPr>
          <w:rFonts w:hint="eastAsia"/>
          <w:b/>
          <w:bCs/>
          <w:color w:val="auto"/>
          <w:sz w:val="44"/>
          <w:szCs w:val="44"/>
          <w:highlight w:val="none"/>
          <w:lang w:val="zh-CN"/>
        </w:rPr>
      </w:pPr>
      <w:r>
        <w:rPr>
          <w:rFonts w:hint="eastAsia"/>
          <w:b/>
          <w:bCs/>
          <w:color w:val="auto"/>
          <w:sz w:val="44"/>
          <w:szCs w:val="44"/>
          <w:highlight w:val="none"/>
          <w:lang w:val="zh-CN"/>
        </w:rPr>
        <w:t>广州建设工程施工招标投标书</w:t>
      </w:r>
    </w:p>
    <w:tbl>
      <w:tblPr>
        <w:tblStyle w:val="37"/>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3"/>
        <w:gridCol w:w="4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3" w:type="dxa"/>
            <w:tcBorders>
              <w:top w:val="single" w:color="auto" w:sz="4" w:space="0"/>
              <w:left w:val="single" w:color="auto" w:sz="4" w:space="0"/>
              <w:bottom w:val="single" w:color="auto" w:sz="4" w:space="0"/>
              <w:right w:val="single" w:color="auto" w:sz="4" w:space="0"/>
            </w:tcBorders>
            <w:vAlign w:val="center"/>
          </w:tcPr>
          <w:p>
            <w:pPr>
              <w:bidi w:val="0"/>
              <w:rPr>
                <w:color w:val="auto"/>
                <w:sz w:val="28"/>
                <w:szCs w:val="28"/>
                <w:highlight w:val="none"/>
                <w:lang w:val="zh-CN"/>
              </w:rPr>
            </w:pPr>
            <w:r>
              <w:rPr>
                <w:rFonts w:hint="eastAsia"/>
                <w:color w:val="auto"/>
                <w:sz w:val="28"/>
                <w:szCs w:val="28"/>
                <w:highlight w:val="none"/>
                <w:lang w:val="zh-CN"/>
              </w:rPr>
              <w:t>工程名称</w:t>
            </w:r>
          </w:p>
        </w:tc>
        <w:tc>
          <w:tcPr>
            <w:tcW w:w="4576" w:type="dxa"/>
            <w:tcBorders>
              <w:top w:val="single" w:color="auto" w:sz="4" w:space="0"/>
              <w:left w:val="single" w:color="auto" w:sz="4" w:space="0"/>
              <w:bottom w:val="single" w:color="auto" w:sz="4" w:space="0"/>
              <w:right w:val="single" w:color="auto" w:sz="4" w:space="0"/>
            </w:tcBorders>
          </w:tcPr>
          <w:p>
            <w:pPr>
              <w:bidi w:val="0"/>
              <w:rPr>
                <w:color w:val="auto"/>
                <w:sz w:val="28"/>
                <w:szCs w:val="28"/>
                <w:highlight w:val="none"/>
                <w:lang w:val="zh-CN"/>
              </w:rPr>
            </w:pPr>
            <w:r>
              <w:rPr>
                <w:rFonts w:hint="eastAsia"/>
                <w:color w:val="auto"/>
                <w:sz w:val="28"/>
                <w:szCs w:val="28"/>
                <w:highlight w:val="none"/>
                <w:lang w:val="zh-CN" w:eastAsia="zh-CN"/>
              </w:rPr>
              <w:t>仙村镇沙滘村中坊社纪念公园建设工程施工总承包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3" w:type="dxa"/>
            <w:tcBorders>
              <w:top w:val="single" w:color="auto" w:sz="4" w:space="0"/>
              <w:left w:val="single" w:color="auto" w:sz="4" w:space="0"/>
              <w:bottom w:val="single" w:color="auto" w:sz="4" w:space="0"/>
              <w:right w:val="single" w:color="auto" w:sz="4" w:space="0"/>
            </w:tcBorders>
            <w:vAlign w:val="center"/>
          </w:tcPr>
          <w:p>
            <w:pPr>
              <w:bidi w:val="0"/>
              <w:rPr>
                <w:color w:val="auto"/>
                <w:sz w:val="28"/>
                <w:szCs w:val="28"/>
                <w:highlight w:val="none"/>
                <w:lang w:val="zh-CN"/>
              </w:rPr>
            </w:pPr>
            <w:r>
              <w:rPr>
                <w:rFonts w:hint="eastAsia"/>
                <w:color w:val="auto"/>
                <w:sz w:val="28"/>
                <w:szCs w:val="28"/>
                <w:highlight w:val="none"/>
                <w:lang w:val="zh-CN"/>
              </w:rPr>
              <w:t>投标总报价（元）</w:t>
            </w:r>
          </w:p>
        </w:tc>
        <w:tc>
          <w:tcPr>
            <w:tcW w:w="4576" w:type="dxa"/>
            <w:tcBorders>
              <w:top w:val="single" w:color="auto" w:sz="4" w:space="0"/>
              <w:left w:val="single" w:color="auto" w:sz="4" w:space="0"/>
              <w:bottom w:val="single" w:color="auto" w:sz="4" w:space="0"/>
              <w:right w:val="single" w:color="auto" w:sz="4" w:space="0"/>
            </w:tcBorders>
            <w:vAlign w:val="center"/>
          </w:tcPr>
          <w:p>
            <w:pPr>
              <w:bidi w:val="0"/>
              <w:rPr>
                <w:color w:val="auto"/>
                <w:sz w:val="28"/>
                <w:szCs w:val="2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3" w:type="dxa"/>
            <w:tcBorders>
              <w:top w:val="single" w:color="auto" w:sz="4" w:space="0"/>
              <w:left w:val="single" w:color="auto" w:sz="4" w:space="0"/>
              <w:bottom w:val="single" w:color="auto" w:sz="4" w:space="0"/>
              <w:right w:val="single" w:color="auto" w:sz="4" w:space="0"/>
            </w:tcBorders>
            <w:vAlign w:val="center"/>
          </w:tcPr>
          <w:p>
            <w:pPr>
              <w:bidi w:val="0"/>
              <w:rPr>
                <w:color w:val="auto"/>
                <w:sz w:val="28"/>
                <w:szCs w:val="28"/>
                <w:highlight w:val="none"/>
                <w:lang w:val="zh-CN"/>
              </w:rPr>
            </w:pPr>
            <w:r>
              <w:rPr>
                <w:rFonts w:hint="eastAsia"/>
                <w:color w:val="auto"/>
                <w:sz w:val="28"/>
                <w:szCs w:val="28"/>
                <w:highlight w:val="none"/>
                <w:lang w:val="zh-CN"/>
              </w:rPr>
              <w:t>其中：人工费（元）</w:t>
            </w:r>
          </w:p>
        </w:tc>
        <w:tc>
          <w:tcPr>
            <w:tcW w:w="4576" w:type="dxa"/>
            <w:tcBorders>
              <w:top w:val="single" w:color="auto" w:sz="4" w:space="0"/>
              <w:left w:val="single" w:color="auto" w:sz="4" w:space="0"/>
              <w:bottom w:val="single" w:color="auto" w:sz="4" w:space="0"/>
              <w:right w:val="single" w:color="auto" w:sz="4" w:space="0"/>
            </w:tcBorders>
            <w:vAlign w:val="center"/>
          </w:tcPr>
          <w:p>
            <w:pPr>
              <w:bidi w:val="0"/>
              <w:rPr>
                <w:color w:val="auto"/>
                <w:sz w:val="28"/>
                <w:szCs w:val="2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3" w:type="dxa"/>
            <w:tcBorders>
              <w:top w:val="single" w:color="auto" w:sz="4" w:space="0"/>
              <w:left w:val="single" w:color="auto" w:sz="4" w:space="0"/>
              <w:bottom w:val="single" w:color="auto" w:sz="4" w:space="0"/>
              <w:right w:val="single" w:color="auto" w:sz="4" w:space="0"/>
            </w:tcBorders>
            <w:vAlign w:val="center"/>
          </w:tcPr>
          <w:p>
            <w:pPr>
              <w:bidi w:val="0"/>
              <w:rPr>
                <w:color w:val="auto"/>
                <w:sz w:val="28"/>
                <w:szCs w:val="28"/>
                <w:highlight w:val="none"/>
                <w:lang w:val="zh-CN"/>
              </w:rPr>
            </w:pPr>
            <w:r>
              <w:rPr>
                <w:rFonts w:hint="eastAsia"/>
                <w:color w:val="auto"/>
                <w:sz w:val="28"/>
                <w:szCs w:val="28"/>
                <w:highlight w:val="none"/>
                <w:lang w:val="zh-CN"/>
              </w:rPr>
              <w:t>其中：绿色施工安全防护措施费（元）</w:t>
            </w:r>
          </w:p>
        </w:tc>
        <w:tc>
          <w:tcPr>
            <w:tcW w:w="4576" w:type="dxa"/>
            <w:tcBorders>
              <w:top w:val="single" w:color="auto" w:sz="4" w:space="0"/>
              <w:left w:val="single" w:color="auto" w:sz="4" w:space="0"/>
              <w:bottom w:val="single" w:color="auto" w:sz="4" w:space="0"/>
              <w:right w:val="single" w:color="auto" w:sz="4" w:space="0"/>
            </w:tcBorders>
            <w:vAlign w:val="center"/>
          </w:tcPr>
          <w:p>
            <w:pPr>
              <w:bidi w:val="0"/>
              <w:rPr>
                <w:color w:val="auto"/>
                <w:sz w:val="28"/>
                <w:szCs w:val="2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3" w:type="dxa"/>
            <w:tcBorders>
              <w:top w:val="single" w:color="auto" w:sz="4" w:space="0"/>
              <w:left w:val="single" w:color="auto" w:sz="4" w:space="0"/>
              <w:bottom w:val="single" w:color="auto" w:sz="4" w:space="0"/>
              <w:right w:val="single" w:color="auto" w:sz="4" w:space="0"/>
            </w:tcBorders>
            <w:vAlign w:val="center"/>
          </w:tcPr>
          <w:p>
            <w:pPr>
              <w:bidi w:val="0"/>
              <w:rPr>
                <w:color w:val="auto"/>
                <w:sz w:val="28"/>
                <w:szCs w:val="28"/>
                <w:highlight w:val="none"/>
                <w:lang w:val="zh-CN"/>
              </w:rPr>
            </w:pPr>
            <w:r>
              <w:rPr>
                <w:rFonts w:hint="eastAsia"/>
                <w:color w:val="auto"/>
                <w:sz w:val="28"/>
                <w:szCs w:val="28"/>
                <w:highlight w:val="none"/>
                <w:lang w:val="zh-CN"/>
              </w:rPr>
              <w:t>投标总工期</w:t>
            </w:r>
          </w:p>
        </w:tc>
        <w:tc>
          <w:tcPr>
            <w:tcW w:w="4576" w:type="dxa"/>
            <w:tcBorders>
              <w:top w:val="single" w:color="auto" w:sz="4" w:space="0"/>
              <w:left w:val="single" w:color="auto" w:sz="4" w:space="0"/>
              <w:bottom w:val="single" w:color="auto" w:sz="4" w:space="0"/>
              <w:right w:val="single" w:color="auto" w:sz="4" w:space="0"/>
            </w:tcBorders>
          </w:tcPr>
          <w:p>
            <w:pPr>
              <w:bidi w:val="0"/>
              <w:rPr>
                <w:color w:val="auto"/>
                <w:sz w:val="28"/>
                <w:szCs w:val="2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3" w:type="dxa"/>
            <w:tcBorders>
              <w:top w:val="single" w:color="auto" w:sz="4" w:space="0"/>
              <w:left w:val="single" w:color="auto" w:sz="4" w:space="0"/>
              <w:bottom w:val="single" w:color="auto" w:sz="4" w:space="0"/>
              <w:right w:val="single" w:color="auto" w:sz="4" w:space="0"/>
            </w:tcBorders>
            <w:vAlign w:val="center"/>
          </w:tcPr>
          <w:p>
            <w:pPr>
              <w:bidi w:val="0"/>
              <w:rPr>
                <w:color w:val="auto"/>
                <w:sz w:val="28"/>
                <w:szCs w:val="28"/>
                <w:highlight w:val="none"/>
              </w:rPr>
            </w:pPr>
            <w:r>
              <w:rPr>
                <w:rFonts w:hint="eastAsia"/>
                <w:color w:val="auto"/>
                <w:sz w:val="28"/>
                <w:szCs w:val="28"/>
                <w:highlight w:val="none"/>
                <w:lang w:val="zh-CN"/>
              </w:rPr>
              <w:t>工程质量标准</w:t>
            </w:r>
          </w:p>
        </w:tc>
        <w:tc>
          <w:tcPr>
            <w:tcW w:w="4576" w:type="dxa"/>
            <w:tcBorders>
              <w:top w:val="single" w:color="auto" w:sz="4" w:space="0"/>
              <w:left w:val="single" w:color="auto" w:sz="4" w:space="0"/>
              <w:bottom w:val="single" w:color="auto" w:sz="4" w:space="0"/>
              <w:right w:val="single" w:color="auto" w:sz="4" w:space="0"/>
            </w:tcBorders>
          </w:tcPr>
          <w:p>
            <w:pPr>
              <w:bidi w:val="0"/>
              <w:rPr>
                <w:color w:val="auto"/>
                <w:sz w:val="28"/>
                <w:szCs w:val="2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3" w:type="dxa"/>
            <w:tcBorders>
              <w:top w:val="single" w:color="auto" w:sz="4" w:space="0"/>
              <w:left w:val="single" w:color="auto" w:sz="4" w:space="0"/>
              <w:bottom w:val="single" w:color="auto" w:sz="4" w:space="0"/>
              <w:right w:val="single" w:color="auto" w:sz="4" w:space="0"/>
            </w:tcBorders>
            <w:vAlign w:val="center"/>
          </w:tcPr>
          <w:p>
            <w:pPr>
              <w:bidi w:val="0"/>
              <w:rPr>
                <w:color w:val="auto"/>
                <w:sz w:val="28"/>
                <w:szCs w:val="28"/>
                <w:highlight w:val="none"/>
                <w:lang w:val="zh-CN"/>
              </w:rPr>
            </w:pPr>
            <w:r>
              <w:rPr>
                <w:rFonts w:hint="eastAsia"/>
                <w:color w:val="auto"/>
                <w:sz w:val="28"/>
                <w:szCs w:val="28"/>
                <w:highlight w:val="none"/>
                <w:lang w:val="zh-CN"/>
              </w:rPr>
              <w:t>保修期限</w:t>
            </w:r>
          </w:p>
        </w:tc>
        <w:tc>
          <w:tcPr>
            <w:tcW w:w="4576" w:type="dxa"/>
            <w:tcBorders>
              <w:top w:val="single" w:color="auto" w:sz="4" w:space="0"/>
              <w:left w:val="single" w:color="auto" w:sz="4" w:space="0"/>
              <w:bottom w:val="single" w:color="auto" w:sz="4" w:space="0"/>
              <w:right w:val="single" w:color="auto" w:sz="4" w:space="0"/>
            </w:tcBorders>
          </w:tcPr>
          <w:p>
            <w:pPr>
              <w:bidi w:val="0"/>
              <w:rPr>
                <w:color w:val="auto"/>
                <w:sz w:val="28"/>
                <w:szCs w:val="28"/>
                <w:highlight w:val="none"/>
                <w:lang w:val="zh-CN"/>
              </w:rPr>
            </w:pPr>
          </w:p>
        </w:tc>
      </w:tr>
    </w:tbl>
    <w:p>
      <w:pPr>
        <w:bidi w:val="0"/>
        <w:rPr>
          <w:color w:val="auto"/>
          <w:highlight w:val="none"/>
        </w:rPr>
      </w:pPr>
    </w:p>
    <w:tbl>
      <w:tblPr>
        <w:tblStyle w:val="37"/>
        <w:tblW w:w="9008" w:type="dxa"/>
        <w:tblInd w:w="0" w:type="dxa"/>
        <w:tblLayout w:type="fixed"/>
        <w:tblCellMar>
          <w:top w:w="0" w:type="dxa"/>
          <w:left w:w="108" w:type="dxa"/>
          <w:bottom w:w="0" w:type="dxa"/>
          <w:right w:w="108" w:type="dxa"/>
        </w:tblCellMar>
      </w:tblPr>
      <w:tblGrid>
        <w:gridCol w:w="9008"/>
      </w:tblGrid>
      <w:tr>
        <w:tblPrEx>
          <w:tblCellMar>
            <w:top w:w="0" w:type="dxa"/>
            <w:left w:w="108" w:type="dxa"/>
            <w:bottom w:w="0" w:type="dxa"/>
            <w:right w:w="108" w:type="dxa"/>
          </w:tblCellMar>
        </w:tblPrEx>
        <w:trPr>
          <w:trHeight w:val="195" w:hRule="atLeast"/>
        </w:trPr>
        <w:tc>
          <w:tcPr>
            <w:tcW w:w="9008" w:type="dxa"/>
            <w:tcBorders>
              <w:top w:val="nil"/>
              <w:left w:val="nil"/>
              <w:bottom w:val="nil"/>
              <w:right w:val="nil"/>
            </w:tcBorders>
            <w:noWrap/>
            <w:vAlign w:val="bottom"/>
          </w:tcPr>
          <w:p>
            <w:pPr>
              <w:bidi w:val="0"/>
              <w:rPr>
                <w:color w:val="auto"/>
                <w:highlight w:val="none"/>
              </w:rPr>
            </w:pPr>
            <w:r>
              <w:rPr>
                <w:color w:val="auto"/>
                <w:highlight w:val="none"/>
              </w:rPr>
              <w:t xml:space="preserve">                                                                                             </w:t>
            </w:r>
          </w:p>
        </w:tc>
      </w:tr>
    </w:tbl>
    <w:p>
      <w:pPr>
        <w:outlineLvl w:val="2"/>
        <w:rPr>
          <w:rFonts w:hint="eastAsia" w:ascii="宋体" w:hAnsi="宋体" w:cs="宋体"/>
          <w:b/>
          <w:color w:val="auto"/>
          <w:sz w:val="24"/>
          <w:szCs w:val="24"/>
          <w:highlight w:val="none"/>
        </w:rPr>
      </w:pPr>
      <w:r>
        <w:rPr>
          <w:color w:val="auto"/>
          <w:highlight w:val="none"/>
        </w:rPr>
        <w:br w:type="page"/>
      </w:r>
      <w:bookmarkStart w:id="83" w:name="_Toc7748"/>
      <w:r>
        <w:rPr>
          <w:rFonts w:hint="eastAsia" w:ascii="宋体" w:hAnsi="宋体" w:cs="宋体"/>
          <w:b/>
          <w:color w:val="auto"/>
          <w:sz w:val="24"/>
          <w:szCs w:val="24"/>
          <w:highlight w:val="none"/>
        </w:rPr>
        <w:t>格式三：法定代表人证明书、授权委托书</w:t>
      </w:r>
      <w:bookmarkEnd w:id="83"/>
    </w:p>
    <w:p>
      <w:pPr>
        <w:pStyle w:val="12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法定代表人证明书、授权委托书</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（1）法定代表人证明书</w:t>
      </w:r>
    </w:p>
    <w:p>
      <w:pPr>
        <w:pStyle w:val="122"/>
        <w:ind w:firstLine="480"/>
        <w:rPr>
          <w:rFonts w:hint="eastAsia" w:ascii="宋体" w:hAnsi="宋体" w:cs="宋体"/>
          <w:color w:val="auto"/>
          <w:highlight w:val="none"/>
        </w:rPr>
      </w:pPr>
      <w:r>
        <w:rPr>
          <w:rFonts w:hint="eastAsia" w:ascii="宋体" w:hAnsi="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41275</wp:posOffset>
                </wp:positionV>
                <wp:extent cx="5716905" cy="2773680"/>
                <wp:effectExtent l="4445" t="5080" r="12700" b="21590"/>
                <wp:wrapNone/>
                <wp:docPr id="39" name="文本框 39"/>
                <wp:cNvGraphicFramePr/>
                <a:graphic xmlns:a="http://schemas.openxmlformats.org/drawingml/2006/main">
                  <a:graphicData uri="http://schemas.microsoft.com/office/word/2010/wordprocessingShape">
                    <wps:wsp>
                      <wps:cNvSpPr txBox="1"/>
                      <wps:spPr>
                        <a:xfrm>
                          <a:off x="0" y="0"/>
                          <a:ext cx="5716905" cy="27736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122"/>
                              <w:ind w:firstLine="0" w:firstLineChars="0"/>
                              <w:rPr>
                                <w:rFonts w:ascii="宋体" w:hAnsi="宋体"/>
                                <w:szCs w:val="28"/>
                              </w:rPr>
                            </w:pPr>
                          </w:p>
                          <w:p>
                            <w:pPr>
                              <w:pStyle w:val="122"/>
                              <w:ind w:firstLine="0" w:firstLineChars="0"/>
                              <w:rPr>
                                <w:rFonts w:hint="eastAsia" w:ascii="宋体" w:hAnsi="宋体"/>
                                <w:szCs w:val="28"/>
                              </w:rPr>
                            </w:pPr>
                            <w:r>
                              <w:rPr>
                                <w:rFonts w:hint="eastAsia" w:ascii="宋体" w:hAnsi="宋体"/>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pPr>
                              <w:pStyle w:val="122"/>
                              <w:ind w:firstLine="0" w:firstLineChars="0"/>
                              <w:rPr>
                                <w:rFonts w:hint="eastAsia" w:ascii="宋体" w:hAnsi="宋体"/>
                                <w:szCs w:val="28"/>
                              </w:rPr>
                            </w:pPr>
                            <w:r>
                              <w:rPr>
                                <w:rFonts w:hint="eastAsia" w:ascii="宋体" w:hAnsi="宋体"/>
                                <w:szCs w:val="28"/>
                              </w:rPr>
                              <w:t>特此证明。</w:t>
                            </w:r>
                          </w:p>
                          <w:p>
                            <w:pPr>
                              <w:pStyle w:val="122"/>
                              <w:ind w:firstLine="0" w:firstLineChars="0"/>
                              <w:rPr>
                                <w:rFonts w:hint="eastAsia" w:ascii="宋体" w:hAnsi="宋体"/>
                                <w:szCs w:val="28"/>
                              </w:rPr>
                            </w:pPr>
                            <w:r>
                              <w:rPr>
                                <w:rFonts w:hint="eastAsia" w:ascii="宋体" w:hAnsi="宋体"/>
                                <w:szCs w:val="28"/>
                              </w:rPr>
                              <w:t>有效期限：</w:t>
                            </w:r>
                            <w:r>
                              <w:rPr>
                                <w:rFonts w:hint="eastAsia" w:ascii="宋体" w:hAnsi="宋体"/>
                                <w:szCs w:val="28"/>
                                <w:u w:val="single"/>
                              </w:rPr>
                              <w:t xml:space="preserve">                                  </w:t>
                            </w:r>
                          </w:p>
                          <w:p>
                            <w:pPr>
                              <w:pStyle w:val="122"/>
                              <w:ind w:firstLine="0" w:firstLineChars="0"/>
                              <w:rPr>
                                <w:rFonts w:hint="eastAsia"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pPr>
                              <w:pStyle w:val="122"/>
                              <w:ind w:firstLine="0" w:firstLineChars="0"/>
                              <w:rPr>
                                <w:rFonts w:hint="eastAsia"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pPr>
                              <w:pStyle w:val="122"/>
                              <w:ind w:firstLine="0" w:firstLineChars="0"/>
                              <w:rPr>
                                <w:rFonts w:hint="eastAsia" w:ascii="宋体" w:hAnsi="宋体"/>
                                <w:szCs w:val="28"/>
                              </w:rPr>
                            </w:pPr>
                            <w:r>
                              <w:rPr>
                                <w:rFonts w:hint="eastAsia" w:ascii="宋体" w:hAnsi="宋体"/>
                                <w:szCs w:val="28"/>
                              </w:rPr>
                              <w:t>经营范围：</w:t>
                            </w:r>
                            <w:r>
                              <w:rPr>
                                <w:rFonts w:hint="eastAsia" w:ascii="宋体" w:hAnsi="宋体"/>
                                <w:szCs w:val="28"/>
                                <w:u w:val="single"/>
                              </w:rPr>
                              <w:t xml:space="preserve">                                       </w:t>
                            </w:r>
                          </w:p>
                          <w:p>
                            <w:pPr>
                              <w:pStyle w:val="122"/>
                              <w:ind w:firstLine="0" w:firstLineChars="0"/>
                              <w:rPr>
                                <w:rFonts w:hint="eastAsia" w:ascii="宋体" w:hAnsi="宋体"/>
                                <w:szCs w:val="28"/>
                              </w:rPr>
                            </w:pPr>
                            <w:r>
                              <w:rPr>
                                <w:rFonts w:hint="eastAsia" w:ascii="宋体" w:hAnsi="宋体"/>
                                <w:szCs w:val="28"/>
                              </w:rPr>
                              <w:t>　　　　　　　　　　           单位：　　　　　　　　　　　（盖章）</w:t>
                            </w:r>
                          </w:p>
                          <w:p>
                            <w:pPr>
                              <w:pStyle w:val="122"/>
                              <w:ind w:firstLine="0" w:firstLineChars="0"/>
                              <w:rPr>
                                <w:rFonts w:hint="eastAsia" w:ascii="宋体" w:hAnsi="宋体"/>
                                <w:szCs w:val="28"/>
                              </w:rPr>
                            </w:pPr>
                            <w:r>
                              <w:rPr>
                                <w:rFonts w:hint="eastAsia" w:ascii="宋体" w:hAnsi="宋体"/>
                                <w:szCs w:val="28"/>
                              </w:rPr>
                              <w:t>　　　　　　　　　　　　　　　　　　       年  月  日</w:t>
                            </w:r>
                          </w:p>
                        </w:txbxContent>
                      </wps:txbx>
                      <wps:bodyPr upright="1"/>
                    </wps:wsp>
                  </a:graphicData>
                </a:graphic>
              </wp:anchor>
            </w:drawing>
          </mc:Choice>
          <mc:Fallback>
            <w:pict>
              <v:shape id="_x0000_s1026" o:spid="_x0000_s1026" o:spt="202" type="#_x0000_t202" style="position:absolute;left:0pt;margin-left:6pt;margin-top:3.25pt;height:218.4pt;width:450.15pt;z-index:251659264;mso-width-relative:page;mso-height-relative:page;" fillcolor="#FFFFFF" filled="t" stroked="t" coordsize="21600,21600" o:gfxdata="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yEwnzXAAAACAEAAA8AAAAA&#10;AAAAAQAgAAAAIgAAAGRycy9kb3ducmV2LnhtbFBLAQIUABQAAAAIAIdO4kAaPOv9FQIAAEcEAAAO&#10;AAAAAAAAAAEAIAAAACYBAABkcnMvZTJvRG9jLnhtbFBLBQYAAAAABgAGAFkBAACtBQAAAAA=&#10;">
                <v:fill on="t" focussize="0,0"/>
                <v:stroke color="#000000" joinstyle="miter"/>
                <v:imagedata o:title=""/>
                <o:lock v:ext="edit" aspectratio="f"/>
                <v:textbox>
                  <w:txbxContent>
                    <w:p>
                      <w:pPr>
                        <w:pStyle w:val="122"/>
                        <w:ind w:firstLine="0" w:firstLineChars="0"/>
                        <w:rPr>
                          <w:rFonts w:ascii="宋体" w:hAnsi="宋体"/>
                          <w:szCs w:val="28"/>
                        </w:rPr>
                      </w:pPr>
                    </w:p>
                    <w:p>
                      <w:pPr>
                        <w:pStyle w:val="122"/>
                        <w:ind w:firstLine="0" w:firstLineChars="0"/>
                        <w:rPr>
                          <w:rFonts w:hint="eastAsia" w:ascii="宋体" w:hAnsi="宋体"/>
                          <w:szCs w:val="28"/>
                        </w:rPr>
                      </w:pPr>
                      <w:r>
                        <w:rPr>
                          <w:rFonts w:hint="eastAsia" w:ascii="宋体" w:hAnsi="宋体"/>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pPr>
                        <w:pStyle w:val="122"/>
                        <w:ind w:firstLine="0" w:firstLineChars="0"/>
                        <w:rPr>
                          <w:rFonts w:hint="eastAsia" w:ascii="宋体" w:hAnsi="宋体"/>
                          <w:szCs w:val="28"/>
                        </w:rPr>
                      </w:pPr>
                      <w:r>
                        <w:rPr>
                          <w:rFonts w:hint="eastAsia" w:ascii="宋体" w:hAnsi="宋体"/>
                          <w:szCs w:val="28"/>
                        </w:rPr>
                        <w:t>特此证明。</w:t>
                      </w:r>
                    </w:p>
                    <w:p>
                      <w:pPr>
                        <w:pStyle w:val="122"/>
                        <w:ind w:firstLine="0" w:firstLineChars="0"/>
                        <w:rPr>
                          <w:rFonts w:hint="eastAsia" w:ascii="宋体" w:hAnsi="宋体"/>
                          <w:szCs w:val="28"/>
                        </w:rPr>
                      </w:pPr>
                      <w:r>
                        <w:rPr>
                          <w:rFonts w:hint="eastAsia" w:ascii="宋体" w:hAnsi="宋体"/>
                          <w:szCs w:val="28"/>
                        </w:rPr>
                        <w:t>有效期限：</w:t>
                      </w:r>
                      <w:r>
                        <w:rPr>
                          <w:rFonts w:hint="eastAsia" w:ascii="宋体" w:hAnsi="宋体"/>
                          <w:szCs w:val="28"/>
                          <w:u w:val="single"/>
                        </w:rPr>
                        <w:t xml:space="preserve">                                  </w:t>
                      </w:r>
                    </w:p>
                    <w:p>
                      <w:pPr>
                        <w:pStyle w:val="122"/>
                        <w:ind w:firstLine="0" w:firstLineChars="0"/>
                        <w:rPr>
                          <w:rFonts w:hint="eastAsia"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pPr>
                        <w:pStyle w:val="122"/>
                        <w:ind w:firstLine="0" w:firstLineChars="0"/>
                        <w:rPr>
                          <w:rFonts w:hint="eastAsia"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pPr>
                        <w:pStyle w:val="122"/>
                        <w:ind w:firstLine="0" w:firstLineChars="0"/>
                        <w:rPr>
                          <w:rFonts w:hint="eastAsia" w:ascii="宋体" w:hAnsi="宋体"/>
                          <w:szCs w:val="28"/>
                        </w:rPr>
                      </w:pPr>
                      <w:r>
                        <w:rPr>
                          <w:rFonts w:hint="eastAsia" w:ascii="宋体" w:hAnsi="宋体"/>
                          <w:szCs w:val="28"/>
                        </w:rPr>
                        <w:t>经营范围：</w:t>
                      </w:r>
                      <w:r>
                        <w:rPr>
                          <w:rFonts w:hint="eastAsia" w:ascii="宋体" w:hAnsi="宋体"/>
                          <w:szCs w:val="28"/>
                          <w:u w:val="single"/>
                        </w:rPr>
                        <w:t xml:space="preserve">                                       </w:t>
                      </w:r>
                    </w:p>
                    <w:p>
                      <w:pPr>
                        <w:pStyle w:val="122"/>
                        <w:ind w:firstLine="0" w:firstLineChars="0"/>
                        <w:rPr>
                          <w:rFonts w:hint="eastAsia" w:ascii="宋体" w:hAnsi="宋体"/>
                          <w:szCs w:val="28"/>
                        </w:rPr>
                      </w:pPr>
                      <w:r>
                        <w:rPr>
                          <w:rFonts w:hint="eastAsia" w:ascii="宋体" w:hAnsi="宋体"/>
                          <w:szCs w:val="28"/>
                        </w:rPr>
                        <w:t>　　　　　　　　　　           单位：　　　　　　　　　　　（盖章）</w:t>
                      </w:r>
                    </w:p>
                    <w:p>
                      <w:pPr>
                        <w:pStyle w:val="122"/>
                        <w:ind w:firstLine="0" w:firstLineChars="0"/>
                        <w:rPr>
                          <w:rFonts w:hint="eastAsia" w:ascii="宋体" w:hAnsi="宋体"/>
                          <w:szCs w:val="28"/>
                        </w:rPr>
                      </w:pPr>
                      <w:r>
                        <w:rPr>
                          <w:rFonts w:hint="eastAsia" w:ascii="宋体" w:hAnsi="宋体"/>
                          <w:szCs w:val="28"/>
                        </w:rPr>
                        <w:t>　　　　　　　　　　　　　　　　　　       年  月  日</w:t>
                      </w:r>
                    </w:p>
                  </w:txbxContent>
                </v:textbox>
              </v:shape>
            </w:pict>
          </mc:Fallback>
        </mc:AlternateContent>
      </w:r>
    </w:p>
    <w:p>
      <w:pPr>
        <w:pStyle w:val="122"/>
        <w:ind w:firstLine="496"/>
        <w:rPr>
          <w:rFonts w:hint="eastAsia" w:ascii="宋体" w:hAnsi="宋体" w:cs="宋体"/>
          <w:color w:val="auto"/>
          <w:highlight w:val="none"/>
        </w:rPr>
      </w:pPr>
      <w:r>
        <w:rPr>
          <w:rFonts w:hint="eastAsia" w:ascii="宋体" w:hAnsi="宋体" w:cs="宋体"/>
          <w:color w:val="auto"/>
          <w:highlight w:val="none"/>
        </w:rPr>
        <w:t>授权委</w:t>
      </w:r>
    </w:p>
    <w:p>
      <w:pPr>
        <w:pStyle w:val="122"/>
        <w:ind w:firstLine="496"/>
        <w:rPr>
          <w:rFonts w:hint="eastAsia" w:ascii="宋体" w:hAnsi="宋体" w:cs="宋体"/>
          <w:color w:val="auto"/>
          <w:highlight w:val="none"/>
        </w:rPr>
      </w:pPr>
    </w:p>
    <w:p>
      <w:pPr>
        <w:pStyle w:val="122"/>
        <w:ind w:firstLine="496"/>
        <w:rPr>
          <w:rFonts w:hint="eastAsia" w:ascii="宋体" w:hAnsi="宋体" w:cs="宋体"/>
          <w:color w:val="auto"/>
          <w:highlight w:val="none"/>
        </w:rPr>
      </w:pPr>
      <w:r>
        <w:rPr>
          <w:rFonts w:hint="eastAsia" w:ascii="宋体" w:hAnsi="宋体" w:cs="宋体"/>
          <w:color w:val="auto"/>
          <w:highlight w:val="none"/>
        </w:rPr>
        <w:t>托证明书</w:t>
      </w:r>
    </w:p>
    <w:p>
      <w:pPr>
        <w:pStyle w:val="122"/>
        <w:ind w:firstLine="496"/>
        <w:rPr>
          <w:rFonts w:hint="eastAsia" w:ascii="宋体" w:hAnsi="宋体" w:cs="宋体"/>
          <w:color w:val="auto"/>
          <w:highlight w:val="none"/>
        </w:rPr>
      </w:pPr>
      <w:r>
        <w:rPr>
          <w:rFonts w:hint="eastAsia" w:ascii="宋体" w:hAnsi="宋体" w:cs="宋体"/>
          <w:color w:val="auto"/>
          <w:highlight w:val="none"/>
        </w:rPr>
        <w:t>（　 ）第　号</w:t>
      </w:r>
    </w:p>
    <w:p>
      <w:pPr>
        <w:pStyle w:val="122"/>
        <w:ind w:firstLine="496"/>
        <w:rPr>
          <w:rFonts w:hint="eastAsia" w:ascii="宋体" w:hAnsi="宋体" w:cs="宋体"/>
          <w:color w:val="auto"/>
          <w:highlight w:val="none"/>
        </w:rPr>
      </w:pPr>
      <w:r>
        <w:rPr>
          <w:rFonts w:hint="eastAsia" w:ascii="宋体" w:hAnsi="宋体" w:cs="宋体"/>
          <w:color w:val="auto"/>
          <w:highlight w:val="none"/>
        </w:rPr>
        <w:t>注：按提供的该表格格式填写，或使用从工商管理部门购买的表格填写。</w:t>
      </w:r>
    </w:p>
    <w:p>
      <w:pPr>
        <w:pStyle w:val="122"/>
        <w:ind w:firstLine="496"/>
        <w:rPr>
          <w:rFonts w:hint="eastAsia" w:ascii="宋体" w:hAnsi="宋体" w:cs="宋体"/>
          <w:color w:val="auto"/>
          <w:highlight w:val="none"/>
        </w:rPr>
      </w:pPr>
    </w:p>
    <w:p>
      <w:pPr>
        <w:pStyle w:val="122"/>
        <w:ind w:firstLine="496"/>
        <w:rPr>
          <w:rFonts w:hint="eastAsia" w:ascii="宋体" w:hAnsi="宋体" w:cs="宋体"/>
          <w:color w:val="auto"/>
          <w:highlight w:val="none"/>
        </w:rPr>
      </w:pPr>
    </w:p>
    <w:p>
      <w:pPr>
        <w:pStyle w:val="122"/>
        <w:ind w:firstLine="496"/>
        <w:rPr>
          <w:rFonts w:hint="eastAsia" w:ascii="宋体" w:hAnsi="宋体" w:cs="宋体"/>
          <w:color w:val="auto"/>
          <w:highlight w:val="none"/>
        </w:rPr>
      </w:pPr>
      <w:r>
        <w:rPr>
          <w:rFonts w:hint="eastAsia" w:ascii="宋体" w:hAnsi="宋体" w:cs="宋体"/>
          <w:color w:val="auto"/>
          <w:highlight w:val="none"/>
        </w:rPr>
        <w:t>（2）法定代表人授权委托书</w:t>
      </w:r>
    </w:p>
    <w:p>
      <w:pPr>
        <w:pStyle w:val="122"/>
        <w:ind w:firstLine="496"/>
        <w:rPr>
          <w:rFonts w:hint="eastAsia" w:ascii="宋体" w:hAnsi="宋体" w:cs="宋体"/>
          <w:color w:val="auto"/>
          <w:highlight w:val="none"/>
        </w:rPr>
      </w:pPr>
      <w:r>
        <w:rPr>
          <w:rFonts w:hint="eastAsia" w:ascii="宋体" w:hAnsi="宋体" w:cs="宋体"/>
          <w:color w:val="auto"/>
          <w:highlight w:val="none"/>
        </w:rPr>
        <w:t xml:space="preserve">                                                     </w:t>
      </w:r>
    </w:p>
    <w:p>
      <w:pPr>
        <w:pStyle w:val="122"/>
        <w:ind w:firstLine="496"/>
        <w:jc w:val="left"/>
        <w:rPr>
          <w:rFonts w:hint="eastAsia" w:ascii="宋体" w:hAnsi="宋体" w:cs="宋体"/>
          <w:color w:val="auto"/>
          <w:highlight w:val="none"/>
        </w:rPr>
      </w:pPr>
      <w:r>
        <w:rPr>
          <w:rFonts w:hint="eastAsia" w:ascii="宋体" w:hAnsi="宋体" w:cs="宋体"/>
          <w:color w:val="auto"/>
          <w:highlight w:val="none"/>
        </w:rPr>
        <w:t>（2）法定代表人授权委托书</w:t>
      </w:r>
    </w:p>
    <w:p>
      <w:pPr>
        <w:pStyle w:val="122"/>
        <w:ind w:firstLine="480"/>
        <w:rPr>
          <w:rFonts w:hint="eastAsia" w:ascii="宋体" w:hAnsi="宋体" w:cs="宋体"/>
          <w:color w:val="auto"/>
          <w:highlight w:val="none"/>
        </w:rPr>
      </w:pPr>
      <w:r>
        <w:rPr>
          <w:rFonts w:hint="eastAsia" w:ascii="宋体" w:hAnsi="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117475</wp:posOffset>
                </wp:positionH>
                <wp:positionV relativeFrom="paragraph">
                  <wp:posOffset>36195</wp:posOffset>
                </wp:positionV>
                <wp:extent cx="5692140" cy="3321050"/>
                <wp:effectExtent l="4445" t="4445" r="18415" b="8255"/>
                <wp:wrapNone/>
                <wp:docPr id="38" name="文本框 38"/>
                <wp:cNvGraphicFramePr/>
                <a:graphic xmlns:a="http://schemas.openxmlformats.org/drawingml/2006/main">
                  <a:graphicData uri="http://schemas.microsoft.com/office/word/2010/wordprocessingShape">
                    <wps:wsp>
                      <wps:cNvSpPr txBox="1"/>
                      <wps:spPr>
                        <a:xfrm>
                          <a:off x="0" y="0"/>
                          <a:ext cx="5692140" cy="33210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122"/>
                              <w:ind w:firstLine="0" w:firstLineChars="0"/>
                              <w:rPr>
                                <w:rFonts w:ascii="宋体" w:hAnsi="宋体"/>
                                <w:szCs w:val="28"/>
                              </w:rPr>
                            </w:pPr>
                            <w:r>
                              <w:rPr>
                                <w:rFonts w:hint="eastAsia" w:ascii="宋体" w:hAnsi="宋体"/>
                                <w:szCs w:val="28"/>
                              </w:rPr>
                              <w:t xml:space="preserve">　　　    </w:t>
                            </w:r>
                          </w:p>
                          <w:p>
                            <w:pPr>
                              <w:pStyle w:val="122"/>
                              <w:ind w:firstLine="0" w:firstLineChars="0"/>
                              <w:rPr>
                                <w:rFonts w:hint="eastAsia" w:ascii="宋体" w:hAnsi="宋体"/>
                              </w:rPr>
                            </w:pPr>
                            <w:r>
                              <w:rPr>
                                <w:rFonts w:hint="eastAsia" w:ascii="宋体" w:hAnsi="宋体"/>
                              </w:rPr>
                              <w:t>兹授权</w:t>
                            </w:r>
                            <w:r>
                              <w:rPr>
                                <w:rFonts w:hint="eastAsia" w:ascii="宋体" w:hAnsi="宋体"/>
                                <w:u w:val="single"/>
                              </w:rPr>
                              <w:t xml:space="preserve">                </w:t>
                            </w:r>
                            <w:r>
                              <w:rPr>
                                <w:rFonts w:hint="eastAsia" w:ascii="宋体" w:hAnsi="宋体"/>
                              </w:rPr>
                              <w:t>为我方委托代理人，其权限是：</w:t>
                            </w:r>
                            <w:r>
                              <w:rPr>
                                <w:rFonts w:hint="eastAsia" w:ascii="宋体" w:hAnsi="宋体"/>
                                <w:u w:val="single"/>
                              </w:rPr>
                              <w:t xml:space="preserve">                </w:t>
                            </w:r>
                          </w:p>
                          <w:p>
                            <w:pPr>
                              <w:pStyle w:val="122"/>
                              <w:ind w:firstLine="0" w:firstLineChars="0"/>
                              <w:rPr>
                                <w:rFonts w:hint="eastAsia" w:ascii="宋体" w:hAnsi="宋体"/>
                                <w:u w:val="single"/>
                              </w:rPr>
                            </w:pPr>
                            <w:r>
                              <w:rPr>
                                <w:rFonts w:hint="eastAsia" w:ascii="宋体" w:hAnsi="宋体"/>
                              </w:rPr>
                              <w:t xml:space="preserve"> </w:t>
                            </w:r>
                            <w:r>
                              <w:rPr>
                                <w:rFonts w:hint="eastAsia" w:ascii="宋体" w:hAnsi="宋体"/>
                                <w:u w:val="single"/>
                              </w:rPr>
                              <w:t xml:space="preserve">                                                                </w:t>
                            </w:r>
                          </w:p>
                          <w:p>
                            <w:pPr>
                              <w:pStyle w:val="122"/>
                              <w:ind w:firstLine="0" w:firstLineChars="0"/>
                              <w:rPr>
                                <w:rFonts w:hint="eastAsia" w:ascii="宋体" w:hAnsi="宋体"/>
                              </w:rPr>
                            </w:pPr>
                            <w:r>
                              <w:rPr>
                                <w:rFonts w:hint="eastAsia" w:ascii="宋体" w:hAnsi="宋体"/>
                              </w:rPr>
                              <w:t>有效期限：</w:t>
                            </w:r>
                            <w:r>
                              <w:rPr>
                                <w:rFonts w:hint="eastAsia" w:ascii="宋体" w:hAnsi="宋体"/>
                                <w:u w:val="single"/>
                              </w:rPr>
                              <w:t xml:space="preserve">                                                        </w:t>
                            </w:r>
                          </w:p>
                          <w:p>
                            <w:pPr>
                              <w:pStyle w:val="122"/>
                              <w:ind w:firstLine="496"/>
                              <w:rPr>
                                <w:rFonts w:hint="eastAsia" w:ascii="宋体" w:hAnsi="宋体"/>
                              </w:rPr>
                            </w:pPr>
                          </w:p>
                          <w:p>
                            <w:pPr>
                              <w:pStyle w:val="122"/>
                              <w:ind w:firstLine="0" w:firstLineChars="0"/>
                              <w:rPr>
                                <w:rFonts w:hint="eastAsia" w:ascii="宋体" w:hAnsi="宋体"/>
                              </w:rPr>
                            </w:pPr>
                            <w:r>
                              <w:rPr>
                                <w:rFonts w:hint="eastAsia" w:ascii="宋体" w:hAnsi="宋体"/>
                              </w:rPr>
                              <w:t>附：代理人性别：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r>
                              <w:rPr>
                                <w:rFonts w:hint="eastAsia" w:ascii="宋体" w:hAnsi="宋体"/>
                              </w:rPr>
                              <w:t>身份证号码：</w:t>
                            </w:r>
                            <w:r>
                              <w:rPr>
                                <w:rFonts w:hint="eastAsia" w:ascii="宋体" w:hAnsi="宋体"/>
                                <w:u w:val="single"/>
                              </w:rPr>
                              <w:t xml:space="preserve">                       </w:t>
                            </w:r>
                          </w:p>
                          <w:p>
                            <w:pPr>
                              <w:pStyle w:val="122"/>
                              <w:ind w:firstLine="0" w:firstLineChars="0"/>
                              <w:rPr>
                                <w:rFonts w:hint="eastAsia" w:ascii="宋体" w:hAnsi="宋体"/>
                              </w:rPr>
                            </w:pPr>
                            <w:r>
                              <w:rPr>
                                <w:rFonts w:hint="eastAsia" w:ascii="宋体" w:hAnsi="宋体"/>
                              </w:rPr>
                              <w:t>注册号码：</w:t>
                            </w:r>
                            <w:r>
                              <w:rPr>
                                <w:rFonts w:hint="eastAsia" w:ascii="宋体" w:hAnsi="宋体"/>
                                <w:u w:val="single"/>
                              </w:rPr>
                              <w:t xml:space="preserve">                  </w:t>
                            </w:r>
                            <w:r>
                              <w:rPr>
                                <w:rFonts w:hint="eastAsia" w:ascii="宋体" w:hAnsi="宋体"/>
                              </w:rPr>
                              <w:t>企业类型：</w:t>
                            </w:r>
                            <w:r>
                              <w:rPr>
                                <w:rFonts w:hint="eastAsia" w:ascii="宋体" w:hAnsi="宋体"/>
                                <w:u w:val="single"/>
                              </w:rPr>
                              <w:t xml:space="preserve">                            </w:t>
                            </w:r>
                          </w:p>
                          <w:p>
                            <w:pPr>
                              <w:pStyle w:val="122"/>
                              <w:ind w:firstLine="0" w:firstLineChars="0"/>
                              <w:rPr>
                                <w:rFonts w:hint="eastAsia" w:ascii="宋体" w:hAnsi="宋体"/>
                              </w:rPr>
                            </w:pPr>
                            <w:r>
                              <w:rPr>
                                <w:rFonts w:hint="eastAsia" w:ascii="宋体" w:hAnsi="宋体"/>
                              </w:rPr>
                              <w:t>经营范围：</w:t>
                            </w:r>
                            <w:r>
                              <w:rPr>
                                <w:rFonts w:hint="eastAsia" w:ascii="宋体" w:hAnsi="宋体"/>
                                <w:u w:val="single"/>
                              </w:rPr>
                              <w:t xml:space="preserve">                                                        </w:t>
                            </w:r>
                          </w:p>
                          <w:p>
                            <w:pPr>
                              <w:snapToGrid w:val="0"/>
                              <w:spacing w:line="360" w:lineRule="auto"/>
                              <w:rPr>
                                <w:rFonts w:hint="eastAsia" w:ascii="宋体" w:hAnsi="宋体"/>
                                <w:sz w:val="24"/>
                              </w:rPr>
                            </w:pPr>
                            <w:r>
                              <w:rPr>
                                <w:rFonts w:hint="eastAsia" w:ascii="宋体" w:hAnsi="宋体"/>
                                <w:snapToGrid w:val="0"/>
                                <w:spacing w:val="4"/>
                                <w:sz w:val="24"/>
                                <w:szCs w:val="24"/>
                              </w:rPr>
                              <w:t>法定代表人（负</w:t>
                            </w:r>
                            <w:r>
                              <w:rPr>
                                <w:rFonts w:hint="eastAsia" w:ascii="宋体" w:hAnsi="宋体"/>
                                <w:sz w:val="24"/>
                              </w:rPr>
                              <w:t>责人）：</w:t>
                            </w:r>
                            <w:r>
                              <w:rPr>
                                <w:rFonts w:hint="eastAsia" w:ascii="宋体" w:hAnsi="宋体"/>
                                <w:sz w:val="24"/>
                                <w:u w:val="single"/>
                              </w:rPr>
                              <w:t xml:space="preserve">　　　          </w:t>
                            </w:r>
                            <w:r>
                              <w:rPr>
                                <w:rFonts w:hint="eastAsia" w:ascii="宋体" w:hAnsi="宋体"/>
                                <w:sz w:val="24"/>
                              </w:rPr>
                              <w:t>（签名或盖章）</w:t>
                            </w:r>
                          </w:p>
                          <w:p>
                            <w:pPr>
                              <w:pStyle w:val="122"/>
                              <w:ind w:firstLine="0" w:firstLineChars="0"/>
                              <w:rPr>
                                <w:rFonts w:hint="eastAsia" w:ascii="宋体" w:hAnsi="宋体"/>
                                <w:u w:val="single"/>
                              </w:rPr>
                            </w:pPr>
                            <w:r>
                              <w:rPr>
                                <w:rFonts w:hint="eastAsia" w:ascii="宋体" w:hAnsi="宋体"/>
                              </w:rPr>
                              <w:t>授权单位：（盖章）</w:t>
                            </w:r>
                            <w:r>
                              <w:rPr>
                                <w:rFonts w:hint="eastAsia" w:ascii="宋体" w:hAnsi="宋体"/>
                                <w:u w:val="single"/>
                              </w:rPr>
                              <w:t xml:space="preserve">                     </w:t>
                            </w:r>
                          </w:p>
                          <w:p>
                            <w:pPr>
                              <w:pStyle w:val="122"/>
                              <w:ind w:firstLine="0" w:firstLineChars="0"/>
                              <w:rPr>
                                <w:rFonts w:hint="eastAsia" w:ascii="宋体" w:hAnsi="宋体"/>
                                <w:u w:val="single"/>
                              </w:rPr>
                            </w:pPr>
                            <w:r>
                              <w:rPr>
                                <w:rFonts w:hint="eastAsia" w:ascii="宋体" w:hAnsi="宋体"/>
                              </w:rPr>
                              <w:t xml:space="preserve">                                              年  月  日</w:t>
                            </w:r>
                          </w:p>
                        </w:txbxContent>
                      </wps:txbx>
                      <wps:bodyPr upright="1"/>
                    </wps:wsp>
                  </a:graphicData>
                </a:graphic>
              </wp:anchor>
            </w:drawing>
          </mc:Choice>
          <mc:Fallback>
            <w:pict>
              <v:shape id="_x0000_s1026" o:spid="_x0000_s1026" o:spt="202" type="#_x0000_t202" style="position:absolute;left:0pt;margin-left:9.25pt;margin-top:2.85pt;height:261.5pt;width:448.2pt;z-index:251660288;mso-width-relative:page;mso-height-relative:page;" fillcolor="#FFFFFF" filled="t" stroked="t" coordsize="21600,21600" o:gfxdata="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0ciTNcAAAAIAQAADwAAAAAA&#10;AAABACAAAAAiAAAAZHJzL2Rvd25yZXYueG1sUEsBAhQAFAAAAAgAh07iQGHV1XMUAgAARwQAAA4A&#10;AAAAAAAAAQAgAAAAJgEAAGRycy9lMm9Eb2MueG1sUEsFBgAAAAAGAAYAWQEAAKwFAAAAAA==&#10;">
                <v:fill on="t" focussize="0,0"/>
                <v:stroke color="#000000" joinstyle="miter"/>
                <v:imagedata o:title=""/>
                <o:lock v:ext="edit" aspectratio="f"/>
                <v:textbox>
                  <w:txbxContent>
                    <w:p>
                      <w:pPr>
                        <w:pStyle w:val="122"/>
                        <w:ind w:firstLine="0" w:firstLineChars="0"/>
                        <w:rPr>
                          <w:rFonts w:ascii="宋体" w:hAnsi="宋体"/>
                          <w:szCs w:val="28"/>
                        </w:rPr>
                      </w:pPr>
                      <w:r>
                        <w:rPr>
                          <w:rFonts w:hint="eastAsia" w:ascii="宋体" w:hAnsi="宋体"/>
                          <w:szCs w:val="28"/>
                        </w:rPr>
                        <w:t xml:space="preserve">　　　    </w:t>
                      </w:r>
                    </w:p>
                    <w:p>
                      <w:pPr>
                        <w:pStyle w:val="122"/>
                        <w:ind w:firstLine="0" w:firstLineChars="0"/>
                        <w:rPr>
                          <w:rFonts w:hint="eastAsia" w:ascii="宋体" w:hAnsi="宋体"/>
                        </w:rPr>
                      </w:pPr>
                      <w:r>
                        <w:rPr>
                          <w:rFonts w:hint="eastAsia" w:ascii="宋体" w:hAnsi="宋体"/>
                        </w:rPr>
                        <w:t>兹授权</w:t>
                      </w:r>
                      <w:r>
                        <w:rPr>
                          <w:rFonts w:hint="eastAsia" w:ascii="宋体" w:hAnsi="宋体"/>
                          <w:u w:val="single"/>
                        </w:rPr>
                        <w:t xml:space="preserve">                </w:t>
                      </w:r>
                      <w:r>
                        <w:rPr>
                          <w:rFonts w:hint="eastAsia" w:ascii="宋体" w:hAnsi="宋体"/>
                        </w:rPr>
                        <w:t>为我方委托代理人，其权限是：</w:t>
                      </w:r>
                      <w:r>
                        <w:rPr>
                          <w:rFonts w:hint="eastAsia" w:ascii="宋体" w:hAnsi="宋体"/>
                          <w:u w:val="single"/>
                        </w:rPr>
                        <w:t xml:space="preserve">                </w:t>
                      </w:r>
                    </w:p>
                    <w:p>
                      <w:pPr>
                        <w:pStyle w:val="122"/>
                        <w:ind w:firstLine="0" w:firstLineChars="0"/>
                        <w:rPr>
                          <w:rFonts w:hint="eastAsia" w:ascii="宋体" w:hAnsi="宋体"/>
                          <w:u w:val="single"/>
                        </w:rPr>
                      </w:pPr>
                      <w:r>
                        <w:rPr>
                          <w:rFonts w:hint="eastAsia" w:ascii="宋体" w:hAnsi="宋体"/>
                        </w:rPr>
                        <w:t xml:space="preserve"> </w:t>
                      </w:r>
                      <w:r>
                        <w:rPr>
                          <w:rFonts w:hint="eastAsia" w:ascii="宋体" w:hAnsi="宋体"/>
                          <w:u w:val="single"/>
                        </w:rPr>
                        <w:t xml:space="preserve">                                                                </w:t>
                      </w:r>
                    </w:p>
                    <w:p>
                      <w:pPr>
                        <w:pStyle w:val="122"/>
                        <w:ind w:firstLine="0" w:firstLineChars="0"/>
                        <w:rPr>
                          <w:rFonts w:hint="eastAsia" w:ascii="宋体" w:hAnsi="宋体"/>
                        </w:rPr>
                      </w:pPr>
                      <w:r>
                        <w:rPr>
                          <w:rFonts w:hint="eastAsia" w:ascii="宋体" w:hAnsi="宋体"/>
                        </w:rPr>
                        <w:t>有效期限：</w:t>
                      </w:r>
                      <w:r>
                        <w:rPr>
                          <w:rFonts w:hint="eastAsia" w:ascii="宋体" w:hAnsi="宋体"/>
                          <w:u w:val="single"/>
                        </w:rPr>
                        <w:t xml:space="preserve">                                                        </w:t>
                      </w:r>
                    </w:p>
                    <w:p>
                      <w:pPr>
                        <w:pStyle w:val="122"/>
                        <w:ind w:firstLine="496"/>
                        <w:rPr>
                          <w:rFonts w:hint="eastAsia" w:ascii="宋体" w:hAnsi="宋体"/>
                        </w:rPr>
                      </w:pPr>
                    </w:p>
                    <w:p>
                      <w:pPr>
                        <w:pStyle w:val="122"/>
                        <w:ind w:firstLine="0" w:firstLineChars="0"/>
                        <w:rPr>
                          <w:rFonts w:hint="eastAsia" w:ascii="宋体" w:hAnsi="宋体"/>
                        </w:rPr>
                      </w:pPr>
                      <w:r>
                        <w:rPr>
                          <w:rFonts w:hint="eastAsia" w:ascii="宋体" w:hAnsi="宋体"/>
                        </w:rPr>
                        <w:t>附：代理人性别：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r>
                        <w:rPr>
                          <w:rFonts w:hint="eastAsia" w:ascii="宋体" w:hAnsi="宋体"/>
                        </w:rPr>
                        <w:t>身份证号码：</w:t>
                      </w:r>
                      <w:r>
                        <w:rPr>
                          <w:rFonts w:hint="eastAsia" w:ascii="宋体" w:hAnsi="宋体"/>
                          <w:u w:val="single"/>
                        </w:rPr>
                        <w:t xml:space="preserve">                       </w:t>
                      </w:r>
                    </w:p>
                    <w:p>
                      <w:pPr>
                        <w:pStyle w:val="122"/>
                        <w:ind w:firstLine="0" w:firstLineChars="0"/>
                        <w:rPr>
                          <w:rFonts w:hint="eastAsia" w:ascii="宋体" w:hAnsi="宋体"/>
                        </w:rPr>
                      </w:pPr>
                      <w:r>
                        <w:rPr>
                          <w:rFonts w:hint="eastAsia" w:ascii="宋体" w:hAnsi="宋体"/>
                        </w:rPr>
                        <w:t>注册号码：</w:t>
                      </w:r>
                      <w:r>
                        <w:rPr>
                          <w:rFonts w:hint="eastAsia" w:ascii="宋体" w:hAnsi="宋体"/>
                          <w:u w:val="single"/>
                        </w:rPr>
                        <w:t xml:space="preserve">                  </w:t>
                      </w:r>
                      <w:r>
                        <w:rPr>
                          <w:rFonts w:hint="eastAsia" w:ascii="宋体" w:hAnsi="宋体"/>
                        </w:rPr>
                        <w:t>企业类型：</w:t>
                      </w:r>
                      <w:r>
                        <w:rPr>
                          <w:rFonts w:hint="eastAsia" w:ascii="宋体" w:hAnsi="宋体"/>
                          <w:u w:val="single"/>
                        </w:rPr>
                        <w:t xml:space="preserve">                            </w:t>
                      </w:r>
                    </w:p>
                    <w:p>
                      <w:pPr>
                        <w:pStyle w:val="122"/>
                        <w:ind w:firstLine="0" w:firstLineChars="0"/>
                        <w:rPr>
                          <w:rFonts w:hint="eastAsia" w:ascii="宋体" w:hAnsi="宋体"/>
                        </w:rPr>
                      </w:pPr>
                      <w:r>
                        <w:rPr>
                          <w:rFonts w:hint="eastAsia" w:ascii="宋体" w:hAnsi="宋体"/>
                        </w:rPr>
                        <w:t>经营范围：</w:t>
                      </w:r>
                      <w:r>
                        <w:rPr>
                          <w:rFonts w:hint="eastAsia" w:ascii="宋体" w:hAnsi="宋体"/>
                          <w:u w:val="single"/>
                        </w:rPr>
                        <w:t xml:space="preserve">                                                        </w:t>
                      </w:r>
                    </w:p>
                    <w:p>
                      <w:pPr>
                        <w:snapToGrid w:val="0"/>
                        <w:spacing w:line="360" w:lineRule="auto"/>
                        <w:rPr>
                          <w:rFonts w:hint="eastAsia" w:ascii="宋体" w:hAnsi="宋体"/>
                          <w:sz w:val="24"/>
                        </w:rPr>
                      </w:pPr>
                      <w:r>
                        <w:rPr>
                          <w:rFonts w:hint="eastAsia" w:ascii="宋体" w:hAnsi="宋体"/>
                          <w:snapToGrid w:val="0"/>
                          <w:spacing w:val="4"/>
                          <w:sz w:val="24"/>
                          <w:szCs w:val="24"/>
                        </w:rPr>
                        <w:t>法定代表人（负</w:t>
                      </w:r>
                      <w:r>
                        <w:rPr>
                          <w:rFonts w:hint="eastAsia" w:ascii="宋体" w:hAnsi="宋体"/>
                          <w:sz w:val="24"/>
                        </w:rPr>
                        <w:t>责人）：</w:t>
                      </w:r>
                      <w:r>
                        <w:rPr>
                          <w:rFonts w:hint="eastAsia" w:ascii="宋体" w:hAnsi="宋体"/>
                          <w:sz w:val="24"/>
                          <w:u w:val="single"/>
                        </w:rPr>
                        <w:t xml:space="preserve">　　　          </w:t>
                      </w:r>
                      <w:r>
                        <w:rPr>
                          <w:rFonts w:hint="eastAsia" w:ascii="宋体" w:hAnsi="宋体"/>
                          <w:sz w:val="24"/>
                        </w:rPr>
                        <w:t>（签名或盖章）</w:t>
                      </w:r>
                    </w:p>
                    <w:p>
                      <w:pPr>
                        <w:pStyle w:val="122"/>
                        <w:ind w:firstLine="0" w:firstLineChars="0"/>
                        <w:rPr>
                          <w:rFonts w:hint="eastAsia" w:ascii="宋体" w:hAnsi="宋体"/>
                          <w:u w:val="single"/>
                        </w:rPr>
                      </w:pPr>
                      <w:r>
                        <w:rPr>
                          <w:rFonts w:hint="eastAsia" w:ascii="宋体" w:hAnsi="宋体"/>
                        </w:rPr>
                        <w:t>授权单位：（盖章）</w:t>
                      </w:r>
                      <w:r>
                        <w:rPr>
                          <w:rFonts w:hint="eastAsia" w:ascii="宋体" w:hAnsi="宋体"/>
                          <w:u w:val="single"/>
                        </w:rPr>
                        <w:t xml:space="preserve">                     </w:t>
                      </w:r>
                    </w:p>
                    <w:p>
                      <w:pPr>
                        <w:pStyle w:val="122"/>
                        <w:ind w:firstLine="0" w:firstLineChars="0"/>
                        <w:rPr>
                          <w:rFonts w:hint="eastAsia" w:ascii="宋体" w:hAnsi="宋体"/>
                          <w:u w:val="single"/>
                        </w:rPr>
                      </w:pPr>
                      <w:r>
                        <w:rPr>
                          <w:rFonts w:hint="eastAsia" w:ascii="宋体" w:hAnsi="宋体"/>
                        </w:rPr>
                        <w:t xml:space="preserve">                                              年  月  日</w:t>
                      </w:r>
                    </w:p>
                  </w:txbxContent>
                </v:textbox>
              </v:shape>
            </w:pict>
          </mc:Fallback>
        </mc:AlternateContent>
      </w:r>
    </w:p>
    <w:p>
      <w:pPr>
        <w:pStyle w:val="122"/>
        <w:ind w:firstLine="496"/>
        <w:rPr>
          <w:rFonts w:hint="eastAsia" w:ascii="宋体" w:hAnsi="宋体" w:cs="宋体"/>
          <w:color w:val="auto"/>
          <w:highlight w:val="none"/>
        </w:rPr>
      </w:pPr>
    </w:p>
    <w:p>
      <w:pPr>
        <w:pStyle w:val="122"/>
        <w:ind w:firstLine="496"/>
        <w:rPr>
          <w:rFonts w:hint="eastAsia" w:ascii="宋体" w:hAnsi="宋体" w:cs="宋体"/>
          <w:color w:val="auto"/>
          <w:highlight w:val="none"/>
        </w:rPr>
      </w:pPr>
    </w:p>
    <w:p>
      <w:pPr>
        <w:pStyle w:val="122"/>
        <w:ind w:firstLine="496"/>
        <w:rPr>
          <w:rFonts w:hint="eastAsia" w:ascii="宋体" w:hAnsi="宋体" w:cs="宋体"/>
          <w:color w:val="auto"/>
          <w:highlight w:val="none"/>
        </w:rPr>
      </w:pPr>
    </w:p>
    <w:p>
      <w:pPr>
        <w:pStyle w:val="122"/>
        <w:ind w:firstLine="496"/>
        <w:rPr>
          <w:rFonts w:hint="eastAsia" w:ascii="宋体" w:hAnsi="宋体" w:cs="宋体"/>
          <w:color w:val="auto"/>
          <w:highlight w:val="none"/>
        </w:rPr>
      </w:pPr>
    </w:p>
    <w:p>
      <w:pPr>
        <w:pStyle w:val="122"/>
        <w:ind w:firstLine="496"/>
        <w:rPr>
          <w:rFonts w:hint="eastAsia" w:ascii="宋体" w:hAnsi="宋体" w:cs="宋体"/>
          <w:color w:val="auto"/>
          <w:highlight w:val="none"/>
        </w:rPr>
      </w:pPr>
    </w:p>
    <w:p>
      <w:pPr>
        <w:pStyle w:val="122"/>
        <w:ind w:firstLine="496"/>
        <w:rPr>
          <w:rFonts w:hint="eastAsia" w:ascii="宋体" w:hAnsi="宋体" w:cs="宋体"/>
          <w:color w:val="auto"/>
          <w:highlight w:val="none"/>
        </w:rPr>
      </w:pPr>
    </w:p>
    <w:p>
      <w:pPr>
        <w:pStyle w:val="122"/>
        <w:ind w:firstLine="496"/>
        <w:rPr>
          <w:rFonts w:hint="eastAsia" w:ascii="宋体" w:hAnsi="宋体" w:cs="宋体"/>
          <w:color w:val="auto"/>
          <w:highlight w:val="none"/>
        </w:rPr>
      </w:pPr>
    </w:p>
    <w:p>
      <w:pPr>
        <w:pStyle w:val="122"/>
        <w:ind w:firstLine="496"/>
        <w:rPr>
          <w:rFonts w:hint="eastAsia" w:ascii="宋体" w:hAnsi="宋体" w:cs="宋体"/>
          <w:color w:val="auto"/>
          <w:highlight w:val="none"/>
        </w:rPr>
      </w:pPr>
    </w:p>
    <w:p>
      <w:pPr>
        <w:pStyle w:val="122"/>
        <w:ind w:firstLine="496"/>
        <w:jc w:val="right"/>
        <w:rPr>
          <w:rFonts w:hint="eastAsia" w:ascii="宋体" w:hAnsi="宋体" w:cs="宋体"/>
          <w:color w:val="auto"/>
          <w:highlight w:val="none"/>
        </w:rPr>
      </w:pPr>
      <w:r>
        <w:rPr>
          <w:rFonts w:hint="eastAsia" w:ascii="宋体" w:hAnsi="宋体" w:cs="宋体"/>
          <w:color w:val="auto"/>
          <w:highlight w:val="none"/>
        </w:rPr>
        <w:t>注：该格式供参考，原件装订于正本中。</w:t>
      </w:r>
    </w:p>
    <w:p>
      <w:pPr>
        <w:pStyle w:val="122"/>
        <w:ind w:firstLine="496"/>
        <w:rPr>
          <w:rFonts w:hint="eastAsia" w:ascii="宋体" w:hAnsi="宋体" w:cs="宋体"/>
          <w:color w:val="auto"/>
          <w:highlight w:val="none"/>
        </w:rPr>
      </w:pPr>
    </w:p>
    <w:p>
      <w:pPr>
        <w:pStyle w:val="122"/>
        <w:ind w:firstLine="496"/>
        <w:rPr>
          <w:rFonts w:hint="eastAsia" w:ascii="宋体" w:hAnsi="宋体" w:cs="宋体"/>
          <w:color w:val="auto"/>
          <w:highlight w:val="none"/>
        </w:rPr>
      </w:pPr>
    </w:p>
    <w:p>
      <w:pPr>
        <w:pStyle w:val="122"/>
        <w:ind w:firstLine="496"/>
        <w:rPr>
          <w:rFonts w:hint="eastAsia" w:ascii="宋体" w:hAnsi="宋体" w:cs="宋体"/>
          <w:color w:val="auto"/>
          <w:highlight w:val="none"/>
        </w:rPr>
      </w:pPr>
      <w:r>
        <w:rPr>
          <w:rFonts w:hint="eastAsia" w:ascii="宋体" w:hAnsi="宋体" w:cs="宋体"/>
          <w:color w:val="auto"/>
          <w:highlight w:val="none"/>
        </w:rPr>
        <w:t>注：该格式供参考。</w:t>
      </w:r>
    </w:p>
    <w:p>
      <w:pPr>
        <w:pStyle w:val="122"/>
        <w:ind w:firstLine="496"/>
        <w:rPr>
          <w:rFonts w:hint="eastAsia" w:ascii="宋体" w:hAnsi="宋体" w:cs="宋体"/>
          <w:color w:val="auto"/>
          <w:highlight w:val="none"/>
        </w:rPr>
      </w:pPr>
    </w:p>
    <w:p>
      <w:pPr>
        <w:bidi w:val="0"/>
        <w:rPr>
          <w:color w:val="auto"/>
          <w:sz w:val="28"/>
          <w:szCs w:val="28"/>
          <w:highlight w:val="none"/>
        </w:rPr>
      </w:pPr>
    </w:p>
    <w:p>
      <w:pPr>
        <w:rPr>
          <w:rFonts w:hint="eastAsia" w:ascii="宋体" w:hAnsi="宋体" w:cs="宋体"/>
          <w:color w:val="auto"/>
          <w:highlight w:val="none"/>
        </w:rPr>
      </w:pPr>
    </w:p>
    <w:p>
      <w:pPr>
        <w:rPr>
          <w:rFonts w:hint="eastAsia" w:ascii="宋体" w:hAnsi="宋体" w:cs="宋体"/>
          <w:b/>
          <w:color w:val="auto"/>
          <w:highlight w:val="none"/>
        </w:rPr>
      </w:pPr>
      <w:bookmarkStart w:id="84" w:name="_Toc30976"/>
      <w:r>
        <w:rPr>
          <w:rFonts w:hint="eastAsia" w:ascii="宋体" w:hAnsi="宋体" w:cs="宋体"/>
          <w:b/>
          <w:color w:val="auto"/>
          <w:highlight w:val="none"/>
        </w:rPr>
        <w:br w:type="page"/>
      </w:r>
    </w:p>
    <w:p>
      <w:pPr>
        <w:pStyle w:val="122"/>
        <w:ind w:firstLine="199" w:firstLineChars="80"/>
        <w:jc w:val="left"/>
        <w:outlineLvl w:val="2"/>
        <w:rPr>
          <w:rFonts w:hint="eastAsia" w:ascii="宋体" w:hAnsi="宋体" w:cs="宋体"/>
          <w:b/>
          <w:color w:val="auto"/>
          <w:highlight w:val="none"/>
        </w:rPr>
      </w:pPr>
      <w:r>
        <w:rPr>
          <w:rFonts w:hint="eastAsia" w:ascii="宋体" w:hAnsi="宋体" w:cs="宋体"/>
          <w:b/>
          <w:color w:val="auto"/>
          <w:highlight w:val="none"/>
        </w:rPr>
        <w:t>格式四：施工组织架构图</w:t>
      </w:r>
      <w:bookmarkEnd w:id="84"/>
    </w:p>
    <w:p>
      <w:pPr>
        <w:pStyle w:val="126"/>
        <w:rPr>
          <w:rFonts w:hint="eastAsia" w:ascii="宋体" w:hAnsi="宋体" w:eastAsia="宋体" w:cs="宋体"/>
          <w:b w:val="0"/>
          <w:color w:val="auto"/>
          <w:highlight w:val="none"/>
        </w:rPr>
      </w:pPr>
    </w:p>
    <w:p>
      <w:pPr>
        <w:pStyle w:val="12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施工组织架构图</w:t>
      </w:r>
    </w:p>
    <w:p>
      <w:pPr>
        <w:pStyle w:val="122"/>
        <w:ind w:firstLine="496"/>
        <w:rPr>
          <w:rFonts w:hint="eastAsia" w:ascii="宋体" w:hAnsi="宋体" w:cs="宋体"/>
          <w:color w:val="auto"/>
          <w:highlight w:val="none"/>
        </w:rPr>
      </w:pPr>
    </w:p>
    <w:p>
      <w:pPr>
        <w:pStyle w:val="122"/>
        <w:ind w:firstLine="496"/>
        <w:rPr>
          <w:rFonts w:hint="eastAsia" w:ascii="宋体" w:hAnsi="宋体" w:cs="宋体"/>
          <w:color w:val="auto"/>
          <w:highlight w:val="none"/>
        </w:rPr>
      </w:pPr>
      <w:r>
        <w:rPr>
          <w:rFonts w:hint="eastAsia" w:ascii="宋体" w:hAnsi="宋体" w:cs="宋体"/>
          <w:color w:val="auto"/>
          <w:highlight w:val="none"/>
        </w:rPr>
        <w:t>注：</w:t>
      </w:r>
    </w:p>
    <w:p>
      <w:pPr>
        <w:pStyle w:val="122"/>
        <w:ind w:firstLine="496"/>
        <w:rPr>
          <w:rFonts w:hint="eastAsia" w:ascii="宋体" w:hAnsi="宋体" w:cs="宋体"/>
          <w:color w:val="auto"/>
          <w:highlight w:val="none"/>
        </w:rPr>
      </w:pPr>
      <w:r>
        <w:rPr>
          <w:rFonts w:hint="eastAsia" w:ascii="宋体" w:hAnsi="宋体" w:cs="宋体"/>
          <w:color w:val="auto"/>
          <w:highlight w:val="none"/>
        </w:rPr>
        <w:t>1、投标人应结合本工程的类型和特点，科学、合理地设置本项目的施工组织架构；</w:t>
      </w:r>
    </w:p>
    <w:p>
      <w:pPr>
        <w:pStyle w:val="122"/>
        <w:ind w:firstLine="496"/>
        <w:rPr>
          <w:rFonts w:hint="eastAsia" w:ascii="宋体" w:hAnsi="宋体" w:cs="宋体"/>
          <w:color w:val="auto"/>
          <w:highlight w:val="none"/>
        </w:rPr>
      </w:pPr>
      <w:r>
        <w:rPr>
          <w:rFonts w:hint="eastAsia" w:ascii="宋体" w:hAnsi="宋体" w:cs="宋体"/>
          <w:color w:val="auto"/>
          <w:highlight w:val="none"/>
        </w:rPr>
        <w:t>2、施工组织架构图由投标人结合招标人对本工程的具体要求自行设定；</w:t>
      </w:r>
    </w:p>
    <w:p>
      <w:pPr>
        <w:pStyle w:val="122"/>
        <w:ind w:firstLine="496"/>
        <w:rPr>
          <w:rFonts w:hint="eastAsia" w:ascii="宋体" w:hAnsi="宋体" w:cs="宋体"/>
          <w:color w:val="auto"/>
          <w:highlight w:val="none"/>
        </w:rPr>
      </w:pPr>
      <w:r>
        <w:rPr>
          <w:rFonts w:hint="eastAsia" w:ascii="宋体" w:hAnsi="宋体" w:cs="宋体"/>
          <w:color w:val="auto"/>
          <w:highlight w:val="none"/>
        </w:rPr>
        <w:t>3、可结合自身情况附相关辅助说明资料。</w:t>
      </w:r>
    </w:p>
    <w:p>
      <w:pPr>
        <w:pStyle w:val="122"/>
        <w:ind w:firstLine="496"/>
        <w:rPr>
          <w:rFonts w:hint="eastAsia" w:ascii="宋体" w:hAnsi="宋体" w:cs="宋体"/>
          <w:color w:val="auto"/>
          <w:highlight w:val="none"/>
        </w:rPr>
      </w:pPr>
    </w:p>
    <w:p>
      <w:pPr>
        <w:pStyle w:val="122"/>
        <w:ind w:firstLine="496"/>
        <w:rPr>
          <w:rFonts w:hint="eastAsia" w:ascii="宋体" w:hAnsi="宋体" w:cs="宋体"/>
          <w:color w:val="auto"/>
          <w:highlight w:val="none"/>
        </w:rPr>
      </w:pPr>
    </w:p>
    <w:p>
      <w:pPr>
        <w:pStyle w:val="122"/>
        <w:ind w:firstLine="496"/>
        <w:rPr>
          <w:rFonts w:hint="eastAsia" w:ascii="宋体" w:hAnsi="宋体" w:cs="宋体"/>
          <w:color w:val="auto"/>
          <w:highlight w:val="none"/>
        </w:rPr>
      </w:pPr>
    </w:p>
    <w:p>
      <w:pPr>
        <w:pStyle w:val="122"/>
        <w:ind w:firstLine="496"/>
        <w:rPr>
          <w:rFonts w:hint="eastAsia" w:ascii="宋体" w:hAnsi="宋体" w:cs="宋体"/>
          <w:color w:val="auto"/>
          <w:highlight w:val="none"/>
        </w:rPr>
      </w:pPr>
    </w:p>
    <w:p>
      <w:pPr>
        <w:pStyle w:val="122"/>
        <w:ind w:firstLine="496"/>
        <w:rPr>
          <w:rFonts w:hint="eastAsia" w:ascii="宋体" w:hAnsi="宋体" w:cs="宋体"/>
          <w:color w:val="auto"/>
          <w:highlight w:val="none"/>
        </w:rPr>
      </w:pPr>
    </w:p>
    <w:p>
      <w:pPr>
        <w:pStyle w:val="122"/>
        <w:ind w:firstLine="496"/>
        <w:rPr>
          <w:rFonts w:hint="eastAsia" w:ascii="宋体" w:hAnsi="宋体" w:cs="宋体"/>
          <w:color w:val="auto"/>
          <w:highlight w:val="none"/>
        </w:rPr>
      </w:pPr>
    </w:p>
    <w:p>
      <w:pPr>
        <w:pStyle w:val="122"/>
        <w:ind w:firstLine="496"/>
        <w:rPr>
          <w:rFonts w:hint="eastAsia" w:ascii="宋体" w:hAnsi="宋体" w:cs="宋体"/>
          <w:color w:val="auto"/>
          <w:highlight w:val="none"/>
        </w:rPr>
      </w:pPr>
    </w:p>
    <w:p>
      <w:pPr>
        <w:pStyle w:val="122"/>
        <w:ind w:firstLine="496"/>
        <w:rPr>
          <w:rFonts w:hint="eastAsia" w:ascii="宋体" w:hAnsi="宋体" w:cs="宋体"/>
          <w:color w:val="auto"/>
          <w:highlight w:val="none"/>
        </w:rPr>
      </w:pPr>
    </w:p>
    <w:p>
      <w:pPr>
        <w:pStyle w:val="122"/>
        <w:ind w:firstLine="3596" w:firstLineChars="1450"/>
        <w:rPr>
          <w:rFonts w:hint="eastAsia" w:ascii="宋体" w:hAnsi="宋体" w:cs="宋体"/>
          <w:color w:val="auto"/>
          <w:highlight w:val="none"/>
        </w:rPr>
      </w:pPr>
      <w:r>
        <w:rPr>
          <w:rFonts w:hint="eastAsia" w:ascii="宋体" w:hAnsi="宋体" w:cs="宋体"/>
          <w:color w:val="auto"/>
          <w:highlight w:val="none"/>
        </w:rPr>
        <w:t>投标人：</w:t>
      </w:r>
    </w:p>
    <w:p>
      <w:pPr>
        <w:pStyle w:val="122"/>
        <w:ind w:firstLine="3596" w:firstLineChars="1450"/>
        <w:rPr>
          <w:rFonts w:hint="eastAsia" w:ascii="宋体" w:hAnsi="宋体" w:cs="宋体"/>
          <w:color w:val="auto"/>
          <w:highlight w:val="none"/>
        </w:rPr>
      </w:pPr>
      <w:r>
        <w:rPr>
          <w:rFonts w:hint="eastAsia" w:ascii="宋体" w:hAnsi="宋体" w:cs="宋体"/>
          <w:color w:val="auto"/>
          <w:highlight w:val="none"/>
        </w:rPr>
        <w:t xml:space="preserve">日   期：    年    月    日 </w:t>
      </w:r>
    </w:p>
    <w:p>
      <w:pPr>
        <w:rPr>
          <w:color w:val="auto"/>
          <w:highlight w:val="none"/>
        </w:rPr>
      </w:pPr>
      <w:r>
        <w:rPr>
          <w:color w:val="auto"/>
          <w:highlight w:val="none"/>
        </w:rPr>
        <w:br w:type="page"/>
      </w:r>
    </w:p>
    <w:p>
      <w:pPr>
        <w:outlineLvl w:val="2"/>
        <w:rPr>
          <w:rFonts w:hint="eastAsia" w:ascii="宋体" w:hAnsi="宋体" w:cs="宋体"/>
          <w:b/>
          <w:color w:val="auto"/>
          <w:sz w:val="24"/>
          <w:szCs w:val="24"/>
          <w:highlight w:val="none"/>
        </w:rPr>
      </w:pPr>
      <w:bookmarkStart w:id="85" w:name="_Toc610"/>
      <w:r>
        <w:rPr>
          <w:rFonts w:hint="eastAsia" w:ascii="宋体" w:hAnsi="宋体" w:cs="宋体"/>
          <w:b/>
          <w:color w:val="auto"/>
          <w:sz w:val="24"/>
          <w:szCs w:val="24"/>
          <w:highlight w:val="none"/>
        </w:rPr>
        <w:t>格式五：投入主要人员汇总表</w:t>
      </w:r>
      <w:bookmarkEnd w:id="85"/>
    </w:p>
    <w:p>
      <w:pPr>
        <w:pStyle w:val="126"/>
        <w:rPr>
          <w:rFonts w:ascii="宋体" w:hAnsi="宋体" w:eastAsia="宋体"/>
          <w:color w:val="auto"/>
          <w:sz w:val="32"/>
          <w:szCs w:val="32"/>
          <w:highlight w:val="none"/>
        </w:rPr>
      </w:pPr>
      <w:r>
        <w:rPr>
          <w:rFonts w:hint="eastAsia" w:ascii="宋体" w:hAnsi="宋体" w:eastAsia="宋体"/>
          <w:color w:val="auto"/>
          <w:sz w:val="32"/>
          <w:szCs w:val="32"/>
          <w:highlight w:val="none"/>
        </w:rPr>
        <w:t>投入主要人员汇总表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60"/>
        <w:gridCol w:w="960"/>
        <w:gridCol w:w="960"/>
        <w:gridCol w:w="960"/>
        <w:gridCol w:w="960"/>
        <w:gridCol w:w="960"/>
        <w:gridCol w:w="960"/>
        <w:gridCol w:w="1428"/>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pStyle w:val="127"/>
              <w:jc w:val="center"/>
              <w:rPr>
                <w:rFonts w:cs="宋体"/>
                <w:color w:val="auto"/>
                <w:highlight w:val="none"/>
              </w:rPr>
            </w:pPr>
            <w:r>
              <w:rPr>
                <w:rFonts w:hint="eastAsia" w:cs="宋体"/>
                <w:color w:val="auto"/>
                <w:highlight w:val="none"/>
              </w:rPr>
              <w:t>序号</w:t>
            </w: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7"/>
              <w:jc w:val="center"/>
              <w:rPr>
                <w:rFonts w:cs="宋体"/>
                <w:color w:val="auto"/>
                <w:highlight w:val="none"/>
              </w:rPr>
            </w:pPr>
            <w:r>
              <w:rPr>
                <w:rFonts w:hint="eastAsia" w:cs="宋体"/>
                <w:color w:val="auto"/>
                <w:spacing w:val="-6"/>
                <w:highlight w:val="none"/>
              </w:rPr>
              <w:t>在本项目担任的职务</w:t>
            </w: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7"/>
              <w:jc w:val="center"/>
              <w:rPr>
                <w:rFonts w:cs="宋体"/>
                <w:color w:val="auto"/>
                <w:highlight w:val="none"/>
              </w:rPr>
            </w:pPr>
            <w:r>
              <w:rPr>
                <w:rFonts w:hint="eastAsia" w:cs="宋体"/>
                <w:color w:val="auto"/>
                <w:highlight w:val="none"/>
              </w:rPr>
              <w:t>姓名</w:t>
            </w: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7"/>
              <w:jc w:val="center"/>
              <w:rPr>
                <w:rFonts w:cs="宋体"/>
                <w:color w:val="auto"/>
                <w:highlight w:val="none"/>
              </w:rPr>
            </w:pPr>
            <w:r>
              <w:rPr>
                <w:rFonts w:hint="eastAsia" w:cs="宋体"/>
                <w:color w:val="auto"/>
                <w:highlight w:val="none"/>
              </w:rPr>
              <w:t>性别</w:t>
            </w: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7"/>
              <w:jc w:val="center"/>
              <w:rPr>
                <w:rFonts w:cs="宋体"/>
                <w:color w:val="auto"/>
                <w:highlight w:val="none"/>
              </w:rPr>
            </w:pPr>
            <w:r>
              <w:rPr>
                <w:rFonts w:hint="eastAsia" w:cs="宋体"/>
                <w:color w:val="auto"/>
                <w:highlight w:val="none"/>
              </w:rPr>
              <w:t>年龄</w:t>
            </w: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7"/>
              <w:jc w:val="center"/>
              <w:rPr>
                <w:rFonts w:cs="宋体"/>
                <w:color w:val="auto"/>
                <w:highlight w:val="none"/>
              </w:rPr>
            </w:pPr>
            <w:r>
              <w:rPr>
                <w:rFonts w:hint="eastAsia" w:cs="宋体"/>
                <w:color w:val="auto"/>
                <w:highlight w:val="none"/>
              </w:rPr>
              <w:t>职称</w:t>
            </w: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7"/>
              <w:jc w:val="center"/>
              <w:rPr>
                <w:rFonts w:cs="宋体"/>
                <w:color w:val="auto"/>
                <w:highlight w:val="none"/>
              </w:rPr>
            </w:pPr>
            <w:r>
              <w:rPr>
                <w:rFonts w:hint="eastAsia" w:cs="宋体"/>
                <w:color w:val="auto"/>
                <w:highlight w:val="none"/>
              </w:rPr>
              <w:t>专业</w:t>
            </w: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7"/>
              <w:jc w:val="center"/>
              <w:rPr>
                <w:rFonts w:cs="宋体"/>
                <w:color w:val="auto"/>
                <w:highlight w:val="none"/>
              </w:rPr>
            </w:pPr>
            <w:r>
              <w:rPr>
                <w:rFonts w:hint="eastAsia" w:cs="宋体"/>
                <w:color w:val="auto"/>
                <w:highlight w:val="none"/>
              </w:rPr>
              <w:t>从事工程工作年限</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127"/>
              <w:jc w:val="center"/>
              <w:rPr>
                <w:rFonts w:cs="宋体"/>
                <w:color w:val="auto"/>
                <w:highlight w:val="none"/>
              </w:rPr>
            </w:pPr>
            <w:r>
              <w:rPr>
                <w:rFonts w:hint="eastAsia" w:cs="宋体"/>
                <w:color w:val="auto"/>
                <w:highlight w:val="none"/>
              </w:rPr>
              <w:t>职称或执业或上岗（或岗位）证号</w:t>
            </w:r>
          </w:p>
        </w:tc>
        <w:tc>
          <w:tcPr>
            <w:tcW w:w="596" w:type="dxa"/>
            <w:tcBorders>
              <w:top w:val="single" w:color="auto" w:sz="4" w:space="0"/>
              <w:left w:val="single" w:color="auto" w:sz="4" w:space="0"/>
              <w:bottom w:val="single" w:color="auto" w:sz="4" w:space="0"/>
              <w:right w:val="single" w:color="auto" w:sz="4" w:space="0"/>
            </w:tcBorders>
            <w:noWrap w:val="0"/>
            <w:vAlign w:val="center"/>
          </w:tcPr>
          <w:p>
            <w:pPr>
              <w:pStyle w:val="127"/>
              <w:jc w:val="center"/>
              <w:rPr>
                <w:rFonts w:cs="宋体"/>
                <w:color w:val="auto"/>
                <w:highlight w:val="none"/>
              </w:rPr>
            </w:pPr>
            <w:r>
              <w:rPr>
                <w:rFonts w:hint="eastAsia"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122"/>
              <w:ind w:firstLine="496"/>
              <w:rPr>
                <w:rFonts w:ascii="宋体" w:hAnsi="宋体"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noWrap w:val="0"/>
            <w:vAlign w:val="top"/>
          </w:tcPr>
          <w:p>
            <w:pPr>
              <w:pStyle w:val="122"/>
              <w:ind w:firstLine="49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122"/>
              <w:ind w:firstLine="496"/>
              <w:rPr>
                <w:rFonts w:ascii="宋体" w:hAnsi="宋体"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noWrap w:val="0"/>
            <w:vAlign w:val="top"/>
          </w:tcPr>
          <w:p>
            <w:pPr>
              <w:pStyle w:val="122"/>
              <w:ind w:firstLine="49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122"/>
              <w:ind w:firstLine="496"/>
              <w:rPr>
                <w:rFonts w:ascii="宋体" w:hAnsi="宋体"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noWrap w:val="0"/>
            <w:vAlign w:val="top"/>
          </w:tcPr>
          <w:p>
            <w:pPr>
              <w:pStyle w:val="122"/>
              <w:ind w:firstLine="49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122"/>
              <w:ind w:firstLine="496"/>
              <w:rPr>
                <w:rFonts w:ascii="宋体" w:hAnsi="宋体"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noWrap w:val="0"/>
            <w:vAlign w:val="top"/>
          </w:tcPr>
          <w:p>
            <w:pPr>
              <w:pStyle w:val="122"/>
              <w:ind w:firstLine="49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122"/>
              <w:ind w:firstLine="496"/>
              <w:rPr>
                <w:rFonts w:ascii="宋体" w:hAnsi="宋体"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noWrap w:val="0"/>
            <w:vAlign w:val="top"/>
          </w:tcPr>
          <w:p>
            <w:pPr>
              <w:pStyle w:val="122"/>
              <w:ind w:firstLine="49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122"/>
              <w:ind w:firstLine="496"/>
              <w:rPr>
                <w:rFonts w:ascii="宋体" w:hAnsi="宋体"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noWrap w:val="0"/>
            <w:vAlign w:val="top"/>
          </w:tcPr>
          <w:p>
            <w:pPr>
              <w:pStyle w:val="122"/>
              <w:ind w:firstLine="49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122"/>
              <w:ind w:firstLine="496"/>
              <w:rPr>
                <w:rFonts w:ascii="宋体" w:hAnsi="宋体"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noWrap w:val="0"/>
            <w:vAlign w:val="top"/>
          </w:tcPr>
          <w:p>
            <w:pPr>
              <w:pStyle w:val="122"/>
              <w:ind w:firstLine="49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122"/>
              <w:ind w:firstLine="496"/>
              <w:rPr>
                <w:rFonts w:ascii="宋体" w:hAnsi="宋体"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noWrap w:val="0"/>
            <w:vAlign w:val="top"/>
          </w:tcPr>
          <w:p>
            <w:pPr>
              <w:pStyle w:val="122"/>
              <w:ind w:firstLine="496"/>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122"/>
              <w:ind w:firstLine="496"/>
              <w:rPr>
                <w:rFonts w:ascii="宋体" w:hAnsi="宋体"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122"/>
              <w:ind w:firstLine="496"/>
              <w:rPr>
                <w:rFonts w:ascii="宋体" w:hAnsi="宋体"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noWrap w:val="0"/>
            <w:vAlign w:val="top"/>
          </w:tcPr>
          <w:p>
            <w:pPr>
              <w:pStyle w:val="122"/>
              <w:ind w:firstLine="496"/>
              <w:rPr>
                <w:rFonts w:ascii="宋体" w:hAnsi="宋体" w:cs="宋体"/>
                <w:color w:val="auto"/>
                <w:highlight w:val="none"/>
              </w:rPr>
            </w:pPr>
          </w:p>
        </w:tc>
      </w:tr>
    </w:tbl>
    <w:p>
      <w:pPr>
        <w:widowControl/>
        <w:shd w:val="clear" w:color="auto" w:fill="FFFFFF"/>
        <w:adjustRightInd w:val="0"/>
        <w:ind w:firstLine="422" w:firstLineChars="200"/>
        <w:jc w:val="left"/>
        <w:rPr>
          <w:rFonts w:hint="eastAsia" w:ascii="宋体" w:hAnsi="宋体" w:cs="宋体"/>
          <w:bCs/>
          <w:color w:val="auto"/>
          <w:kern w:val="0"/>
          <w:szCs w:val="21"/>
          <w:highlight w:val="none"/>
        </w:rPr>
      </w:pPr>
      <w:r>
        <w:rPr>
          <w:b/>
          <w:color w:val="auto"/>
          <w:highlight w:val="none"/>
        </w:rPr>
        <w:t>备注：</w:t>
      </w:r>
      <w:r>
        <w:rPr>
          <w:rFonts w:hint="eastAsia" w:ascii="宋体" w:hAnsi="宋体" w:cs="宋体"/>
          <w:bCs/>
          <w:color w:val="auto"/>
          <w:kern w:val="0"/>
          <w:szCs w:val="21"/>
          <w:highlight w:val="none"/>
        </w:rPr>
        <w:t>1、本表为项目经理部主要人员的基本要求，投标单位可根据自身情况增加专业技术管理人员，各岗位人员不得相互兼职。</w:t>
      </w:r>
    </w:p>
    <w:p>
      <w:pPr>
        <w:widowControl/>
        <w:shd w:val="clear" w:color="auto" w:fill="FFFFFF"/>
        <w:adjustRightInd w:val="0"/>
        <w:ind w:firstLine="420" w:firstLineChars="20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2、工作经验以简历表中填报的“参加工作年限”为准。</w:t>
      </w:r>
    </w:p>
    <w:p>
      <w:pPr>
        <w:widowControl/>
        <w:shd w:val="clear" w:color="auto" w:fill="FFFFFF"/>
        <w:adjustRightInd w:val="0"/>
        <w:ind w:firstLine="420" w:firstLineChars="20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3、本表项目经理部主要人员需提供</w:t>
      </w:r>
      <w:r>
        <w:rPr>
          <w:rFonts w:hint="eastAsia" w:ascii="宋体" w:hAnsi="宋体" w:cs="宋体"/>
          <w:bCs/>
          <w:color w:val="auto"/>
          <w:kern w:val="0"/>
          <w:szCs w:val="21"/>
          <w:highlight w:val="none"/>
          <w:lang w:eastAsia="zh-CN"/>
        </w:rPr>
        <w:t>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rPr>
        <w:t>月份社保证明文件扫描件（具体按当地社保系统所能查询的最新记录为准），并按《第五章 技术条件》的人员要求提供相应证明材料，工作年限以毕业证发证日期起算。</w:t>
      </w:r>
    </w:p>
    <w:p>
      <w:pPr>
        <w:widowControl/>
        <w:shd w:val="clear" w:color="auto" w:fill="FFFFFF"/>
        <w:adjustRightInd w:val="0"/>
        <w:ind w:firstLine="420" w:firstLineChars="20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4、人员仅指投标人自身人员，如投标申请人为集团公司，则不含集团下属具有独立法人的子公司的人员，但包含非独立法人的分公司人员；同样下属具有独立法人的子公司也不得使用集团公司的人员。</w:t>
      </w:r>
    </w:p>
    <w:p>
      <w:pPr>
        <w:widowControl/>
        <w:shd w:val="clear" w:color="auto" w:fill="FFFFFF"/>
        <w:adjustRightInd w:val="0"/>
        <w:ind w:firstLine="420" w:firstLineChars="200"/>
        <w:jc w:val="left"/>
        <w:rPr>
          <w:color w:val="auto"/>
          <w:highlight w:val="none"/>
        </w:rPr>
      </w:pPr>
      <w:r>
        <w:rPr>
          <w:rFonts w:hint="eastAsia" w:ascii="宋体" w:hAnsi="宋体" w:cs="宋体"/>
          <w:bCs/>
          <w:color w:val="auto"/>
          <w:szCs w:val="21"/>
          <w:highlight w:val="none"/>
        </w:rPr>
        <w:t>5、拟投入的项目部人员，未经招标人同意，中标后不得更换，否则按合同约定承担违约责任</w:t>
      </w:r>
      <w:r>
        <w:rPr>
          <w:color w:val="auto"/>
          <w:highlight w:val="none"/>
        </w:rPr>
        <w:t>。</w:t>
      </w:r>
    </w:p>
    <w:p>
      <w:pPr>
        <w:pStyle w:val="122"/>
        <w:ind w:firstLine="3596" w:firstLineChars="1450"/>
        <w:rPr>
          <w:rFonts w:hint="eastAsia" w:ascii="宋体" w:hAnsi="宋体" w:cs="宋体"/>
          <w:color w:val="auto"/>
          <w:highlight w:val="none"/>
        </w:rPr>
      </w:pPr>
    </w:p>
    <w:p>
      <w:pPr>
        <w:pStyle w:val="122"/>
        <w:ind w:firstLine="3596" w:firstLineChars="1450"/>
        <w:rPr>
          <w:rFonts w:hint="eastAsia" w:ascii="宋体" w:hAnsi="宋体" w:cs="宋体"/>
          <w:color w:val="auto"/>
          <w:highlight w:val="none"/>
        </w:rPr>
      </w:pPr>
    </w:p>
    <w:p>
      <w:pPr>
        <w:pStyle w:val="122"/>
        <w:ind w:firstLine="3596" w:firstLineChars="1450"/>
        <w:rPr>
          <w:rFonts w:hint="eastAsia" w:ascii="宋体" w:hAnsi="宋体" w:cs="宋体"/>
          <w:color w:val="auto"/>
          <w:highlight w:val="none"/>
        </w:rPr>
      </w:pPr>
      <w:r>
        <w:rPr>
          <w:rFonts w:hint="eastAsia" w:ascii="宋体" w:hAnsi="宋体" w:cs="宋体"/>
          <w:color w:val="auto"/>
          <w:highlight w:val="none"/>
        </w:rPr>
        <w:t>投标人：</w:t>
      </w:r>
    </w:p>
    <w:p>
      <w:pPr>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日   期：    年    月    日</w:t>
      </w:r>
    </w:p>
    <w:p>
      <w:pPr>
        <w:widowControl/>
        <w:spacing w:line="240" w:lineRule="auto"/>
        <w:jc w:val="left"/>
        <w:outlineLvl w:val="9"/>
        <w:rPr>
          <w:rFonts w:hint="eastAsia" w:ascii="宋体" w:hAnsi="宋体" w:cs="宋体"/>
          <w:b/>
          <w:color w:val="auto"/>
          <w:sz w:val="24"/>
          <w:szCs w:val="24"/>
          <w:highlight w:val="none"/>
        </w:rPr>
      </w:pPr>
      <w:bookmarkStart w:id="86" w:name="_Toc23720"/>
      <w:r>
        <w:rPr>
          <w:rFonts w:hint="eastAsia" w:ascii="宋体" w:hAnsi="宋体" w:cs="宋体"/>
          <w:b/>
          <w:color w:val="auto"/>
          <w:sz w:val="24"/>
          <w:szCs w:val="24"/>
          <w:highlight w:val="none"/>
        </w:rPr>
        <w:br w:type="page"/>
      </w:r>
    </w:p>
    <w:p>
      <w:pPr>
        <w:widowControl/>
        <w:spacing w:line="360" w:lineRule="auto"/>
        <w:jc w:val="left"/>
        <w:outlineLvl w:val="2"/>
        <w:rPr>
          <w:rFonts w:hint="eastAsia" w:ascii="宋体" w:hAnsi="宋体" w:cs="宋体"/>
          <w:b/>
          <w:color w:val="auto"/>
          <w:sz w:val="24"/>
          <w:szCs w:val="24"/>
          <w:highlight w:val="none"/>
        </w:rPr>
      </w:pPr>
      <w:r>
        <w:rPr>
          <w:rFonts w:hint="eastAsia" w:ascii="宋体" w:hAnsi="宋体" w:cs="宋体"/>
          <w:b/>
          <w:color w:val="auto"/>
          <w:sz w:val="24"/>
          <w:szCs w:val="24"/>
          <w:highlight w:val="none"/>
        </w:rPr>
        <w:t>格式六：主要人员简历表</w:t>
      </w:r>
      <w:bookmarkEnd w:id="86"/>
    </w:p>
    <w:p>
      <w:pPr>
        <w:pStyle w:val="12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主要人员简历表</w:t>
      </w:r>
    </w:p>
    <w:tbl>
      <w:tblPr>
        <w:tblStyle w:val="37"/>
        <w:tblpPr w:leftFromText="180" w:rightFromText="180" w:vertAnchor="text" w:tblpX="-206" w:tblpY="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2"/>
        <w:gridCol w:w="1547"/>
        <w:gridCol w:w="557"/>
        <w:gridCol w:w="992"/>
        <w:gridCol w:w="378"/>
        <w:gridCol w:w="1405"/>
        <w:gridCol w:w="296"/>
        <w:gridCol w:w="1182"/>
        <w:gridCol w:w="69"/>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27"/>
              <w:spacing w:line="360" w:lineRule="auto"/>
              <w:jc w:val="center"/>
              <w:rPr>
                <w:rFonts w:hint="eastAsia" w:cs="宋体"/>
                <w:b/>
                <w:color w:val="auto"/>
                <w:sz w:val="24"/>
                <w:szCs w:val="24"/>
                <w:highlight w:val="none"/>
              </w:rPr>
            </w:pPr>
            <w:r>
              <w:rPr>
                <w:rFonts w:hint="eastAsia" w:cs="宋体"/>
                <w:b/>
                <w:color w:val="auto"/>
                <w:sz w:val="24"/>
                <w:szCs w:val="24"/>
                <w:highlight w:val="none"/>
              </w:rPr>
              <w:t>姓名</w:t>
            </w:r>
          </w:p>
        </w:tc>
        <w:tc>
          <w:tcPr>
            <w:tcW w:w="2126" w:type="dxa"/>
            <w:gridSpan w:val="3"/>
            <w:tcBorders>
              <w:top w:val="single" w:color="auto" w:sz="4" w:space="0"/>
              <w:left w:val="single" w:color="auto" w:sz="4" w:space="0"/>
              <w:bottom w:val="single" w:color="auto" w:sz="4" w:space="0"/>
              <w:right w:val="single" w:color="auto" w:sz="4" w:space="0"/>
            </w:tcBorders>
            <w:noWrap w:val="0"/>
            <w:vAlign w:val="center"/>
          </w:tcPr>
          <w:p>
            <w:pPr>
              <w:pStyle w:val="122"/>
              <w:keepNext/>
              <w:keepLines/>
              <w:spacing w:before="120" w:after="120"/>
              <w:ind w:firstLine="0" w:firstLineChars="0"/>
              <w:jc w:val="center"/>
              <w:outlineLvl w:val="0"/>
              <w:rPr>
                <w:rFonts w:hint="eastAsia" w:ascii="宋体" w:hAnsi="宋体" w:cs="宋体"/>
                <w:b/>
                <w:color w:val="auto"/>
                <w:highlight w:val="none"/>
              </w:rPr>
            </w:pPr>
          </w:p>
        </w:tc>
        <w:tc>
          <w:tcPr>
            <w:tcW w:w="1370" w:type="dxa"/>
            <w:gridSpan w:val="2"/>
            <w:tcBorders>
              <w:top w:val="single" w:color="auto" w:sz="4" w:space="0"/>
              <w:left w:val="single" w:color="auto" w:sz="4" w:space="0"/>
              <w:bottom w:val="single" w:color="auto" w:sz="4" w:space="0"/>
              <w:right w:val="single" w:color="auto" w:sz="4" w:space="0"/>
            </w:tcBorders>
            <w:noWrap w:val="0"/>
            <w:vAlign w:val="center"/>
          </w:tcPr>
          <w:p>
            <w:pPr>
              <w:pStyle w:val="127"/>
              <w:spacing w:line="360" w:lineRule="auto"/>
              <w:jc w:val="center"/>
              <w:rPr>
                <w:rFonts w:hint="eastAsia" w:cs="宋体"/>
                <w:b/>
                <w:color w:val="auto"/>
                <w:sz w:val="24"/>
                <w:szCs w:val="24"/>
                <w:highlight w:val="none"/>
              </w:rPr>
            </w:pPr>
            <w:r>
              <w:rPr>
                <w:rFonts w:hint="eastAsia" w:cs="宋体"/>
                <w:b/>
                <w:color w:val="auto"/>
                <w:sz w:val="24"/>
                <w:szCs w:val="24"/>
                <w:highlight w:val="none"/>
              </w:rPr>
              <w:t>性别</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pStyle w:val="122"/>
              <w:keepNext/>
              <w:keepLines/>
              <w:spacing w:before="120" w:after="120"/>
              <w:ind w:firstLine="0" w:firstLineChars="0"/>
              <w:jc w:val="center"/>
              <w:outlineLvl w:val="0"/>
              <w:rPr>
                <w:rFonts w:hint="eastAsia" w:ascii="宋体" w:hAnsi="宋体" w:cs="宋体"/>
                <w:b/>
                <w:color w:val="auto"/>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pStyle w:val="127"/>
              <w:spacing w:line="360" w:lineRule="auto"/>
              <w:jc w:val="center"/>
              <w:rPr>
                <w:rFonts w:hint="eastAsia" w:cs="宋体"/>
                <w:b/>
                <w:color w:val="auto"/>
                <w:sz w:val="24"/>
                <w:szCs w:val="24"/>
                <w:highlight w:val="none"/>
              </w:rPr>
            </w:pPr>
            <w:r>
              <w:rPr>
                <w:rFonts w:hint="eastAsia" w:cs="宋体"/>
                <w:b/>
                <w:color w:val="auto"/>
                <w:sz w:val="24"/>
                <w:szCs w:val="24"/>
                <w:highlight w:val="none"/>
              </w:rPr>
              <w:t>年龄</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pStyle w:val="122"/>
              <w:keepNext/>
              <w:keepLines/>
              <w:spacing w:before="120" w:after="120"/>
              <w:ind w:firstLine="0" w:firstLineChars="0"/>
              <w:jc w:val="center"/>
              <w:outlineLvl w:val="0"/>
              <w:rPr>
                <w:rFonts w:hint="eastAsia" w:ascii="宋体" w:hAnsi="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27"/>
              <w:spacing w:line="360" w:lineRule="auto"/>
              <w:jc w:val="center"/>
              <w:rPr>
                <w:rFonts w:hint="eastAsia" w:cs="宋体"/>
                <w:b/>
                <w:color w:val="auto"/>
                <w:sz w:val="24"/>
                <w:szCs w:val="24"/>
                <w:highlight w:val="none"/>
              </w:rPr>
            </w:pPr>
            <w:r>
              <w:rPr>
                <w:rFonts w:hint="eastAsia" w:cs="宋体"/>
                <w:b/>
                <w:bCs/>
                <w:color w:val="auto"/>
                <w:highlight w:val="none"/>
              </w:rPr>
              <w:t>身份证号码</w:t>
            </w:r>
          </w:p>
        </w:tc>
        <w:tc>
          <w:tcPr>
            <w:tcW w:w="7999" w:type="dxa"/>
            <w:gridSpan w:val="10"/>
            <w:tcBorders>
              <w:top w:val="single" w:color="auto" w:sz="4" w:space="0"/>
              <w:left w:val="single" w:color="auto" w:sz="4" w:space="0"/>
              <w:bottom w:val="single" w:color="auto" w:sz="4" w:space="0"/>
              <w:right w:val="single" w:color="auto" w:sz="4" w:space="0"/>
            </w:tcBorders>
            <w:noWrap w:val="0"/>
            <w:vAlign w:val="center"/>
          </w:tcPr>
          <w:p>
            <w:pPr>
              <w:pStyle w:val="122"/>
              <w:ind w:firstLine="0" w:firstLineChars="0"/>
              <w:jc w:val="center"/>
              <w:rPr>
                <w:rFonts w:hint="eastAsia" w:ascii="宋体" w:hAnsi="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27"/>
              <w:spacing w:line="360" w:lineRule="auto"/>
              <w:jc w:val="center"/>
              <w:rPr>
                <w:rFonts w:hint="eastAsia" w:cs="宋体"/>
                <w:b/>
                <w:color w:val="auto"/>
                <w:sz w:val="24"/>
                <w:szCs w:val="24"/>
                <w:highlight w:val="none"/>
              </w:rPr>
            </w:pPr>
            <w:r>
              <w:rPr>
                <w:rFonts w:hint="eastAsia" w:cs="宋体"/>
                <w:b/>
                <w:color w:val="auto"/>
                <w:sz w:val="18"/>
                <w:szCs w:val="18"/>
                <w:highlight w:val="none"/>
              </w:rPr>
              <w:t>在本项目任职</w:t>
            </w:r>
          </w:p>
        </w:tc>
        <w:tc>
          <w:tcPr>
            <w:tcW w:w="2126" w:type="dxa"/>
            <w:gridSpan w:val="3"/>
            <w:tcBorders>
              <w:top w:val="single" w:color="auto" w:sz="4" w:space="0"/>
              <w:left w:val="single" w:color="auto" w:sz="4" w:space="0"/>
              <w:bottom w:val="single" w:color="auto" w:sz="4" w:space="0"/>
              <w:right w:val="single" w:color="auto" w:sz="4" w:space="0"/>
            </w:tcBorders>
            <w:noWrap w:val="0"/>
            <w:vAlign w:val="center"/>
          </w:tcPr>
          <w:p>
            <w:pPr>
              <w:pStyle w:val="122"/>
              <w:keepNext/>
              <w:keepLines/>
              <w:spacing w:before="120" w:after="120"/>
              <w:ind w:firstLine="0" w:firstLineChars="0"/>
              <w:jc w:val="center"/>
              <w:outlineLvl w:val="0"/>
              <w:rPr>
                <w:rFonts w:hint="eastAsia" w:ascii="宋体" w:hAnsi="宋体" w:cs="宋体"/>
                <w:b/>
                <w:color w:val="auto"/>
                <w:highlight w:val="none"/>
              </w:rPr>
            </w:pPr>
          </w:p>
        </w:tc>
        <w:tc>
          <w:tcPr>
            <w:tcW w:w="1370" w:type="dxa"/>
            <w:gridSpan w:val="2"/>
            <w:tcBorders>
              <w:top w:val="single" w:color="auto" w:sz="4" w:space="0"/>
              <w:left w:val="single" w:color="auto" w:sz="4" w:space="0"/>
              <w:bottom w:val="single" w:color="auto" w:sz="4" w:space="0"/>
              <w:right w:val="single" w:color="auto" w:sz="4" w:space="0"/>
            </w:tcBorders>
            <w:noWrap w:val="0"/>
            <w:vAlign w:val="center"/>
          </w:tcPr>
          <w:p>
            <w:pPr>
              <w:pStyle w:val="127"/>
              <w:spacing w:line="360" w:lineRule="auto"/>
              <w:jc w:val="center"/>
              <w:rPr>
                <w:rFonts w:hint="eastAsia" w:cs="宋体"/>
                <w:b/>
                <w:color w:val="auto"/>
                <w:sz w:val="24"/>
                <w:szCs w:val="24"/>
                <w:highlight w:val="none"/>
              </w:rPr>
            </w:pPr>
            <w:r>
              <w:rPr>
                <w:rFonts w:hint="eastAsia" w:cs="宋体"/>
                <w:b/>
                <w:color w:val="auto"/>
                <w:sz w:val="24"/>
                <w:szCs w:val="24"/>
                <w:highlight w:val="none"/>
              </w:rPr>
              <w:t>职称</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pStyle w:val="122"/>
              <w:keepNext/>
              <w:keepLines/>
              <w:spacing w:before="120" w:after="120"/>
              <w:ind w:firstLine="0" w:firstLineChars="0"/>
              <w:jc w:val="center"/>
              <w:outlineLvl w:val="0"/>
              <w:rPr>
                <w:rFonts w:hint="eastAsia" w:ascii="宋体" w:hAnsi="宋体" w:cs="宋体"/>
                <w:b/>
                <w:color w:val="auto"/>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pStyle w:val="127"/>
              <w:spacing w:line="360" w:lineRule="auto"/>
              <w:jc w:val="center"/>
              <w:rPr>
                <w:rFonts w:hint="eastAsia" w:cs="宋体"/>
                <w:b/>
                <w:color w:val="auto"/>
                <w:sz w:val="24"/>
                <w:szCs w:val="24"/>
                <w:highlight w:val="none"/>
              </w:rPr>
            </w:pPr>
            <w:r>
              <w:rPr>
                <w:rFonts w:hint="eastAsia" w:cs="宋体"/>
                <w:b/>
                <w:color w:val="auto"/>
                <w:sz w:val="24"/>
                <w:szCs w:val="24"/>
                <w:highlight w:val="none"/>
              </w:rPr>
              <w:t>学历</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pStyle w:val="122"/>
              <w:keepNext/>
              <w:keepLines/>
              <w:spacing w:before="120" w:after="120"/>
              <w:ind w:firstLine="0" w:firstLineChars="0"/>
              <w:jc w:val="center"/>
              <w:outlineLvl w:val="0"/>
              <w:rPr>
                <w:rFonts w:hint="eastAsia" w:ascii="宋体" w:hAnsi="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27"/>
              <w:spacing w:line="360" w:lineRule="auto"/>
              <w:jc w:val="center"/>
              <w:rPr>
                <w:rFonts w:hint="eastAsia" w:cs="宋体"/>
                <w:b/>
                <w:color w:val="auto"/>
                <w:sz w:val="24"/>
                <w:szCs w:val="24"/>
                <w:highlight w:val="none"/>
              </w:rPr>
            </w:pPr>
            <w:r>
              <w:rPr>
                <w:rFonts w:hint="eastAsia" w:cs="宋体"/>
                <w:b/>
                <w:color w:val="auto"/>
                <w:sz w:val="24"/>
                <w:szCs w:val="24"/>
                <w:highlight w:val="none"/>
              </w:rPr>
              <w:t>参加工作</w:t>
            </w:r>
          </w:p>
          <w:p>
            <w:pPr>
              <w:pStyle w:val="127"/>
              <w:spacing w:line="360" w:lineRule="auto"/>
              <w:jc w:val="center"/>
              <w:rPr>
                <w:rFonts w:hint="eastAsia" w:cs="宋体"/>
                <w:b/>
                <w:color w:val="auto"/>
                <w:sz w:val="24"/>
                <w:szCs w:val="24"/>
                <w:highlight w:val="none"/>
              </w:rPr>
            </w:pPr>
            <w:r>
              <w:rPr>
                <w:rFonts w:hint="eastAsia" w:cs="宋体"/>
                <w:b/>
                <w:color w:val="auto"/>
                <w:sz w:val="24"/>
                <w:szCs w:val="24"/>
                <w:highlight w:val="none"/>
              </w:rPr>
              <w:t>年限</w:t>
            </w:r>
          </w:p>
        </w:tc>
        <w:tc>
          <w:tcPr>
            <w:tcW w:w="2126" w:type="dxa"/>
            <w:gridSpan w:val="3"/>
            <w:tcBorders>
              <w:top w:val="single" w:color="auto" w:sz="4" w:space="0"/>
              <w:left w:val="single" w:color="auto" w:sz="4" w:space="0"/>
              <w:bottom w:val="single" w:color="auto" w:sz="4" w:space="0"/>
              <w:right w:val="single" w:color="auto" w:sz="4" w:space="0"/>
            </w:tcBorders>
            <w:noWrap w:val="0"/>
            <w:vAlign w:val="center"/>
          </w:tcPr>
          <w:p>
            <w:pPr>
              <w:pStyle w:val="122"/>
              <w:keepNext/>
              <w:keepLines/>
              <w:spacing w:before="120" w:after="120"/>
              <w:ind w:firstLine="0" w:firstLineChars="0"/>
              <w:jc w:val="center"/>
              <w:outlineLvl w:val="0"/>
              <w:rPr>
                <w:rFonts w:hint="eastAsia" w:ascii="宋体" w:hAnsi="宋体" w:cs="宋体"/>
                <w:b/>
                <w:color w:val="auto"/>
                <w:highlight w:val="none"/>
              </w:rPr>
            </w:pPr>
          </w:p>
        </w:tc>
        <w:tc>
          <w:tcPr>
            <w:tcW w:w="1370" w:type="dxa"/>
            <w:gridSpan w:val="2"/>
            <w:tcBorders>
              <w:top w:val="single" w:color="auto" w:sz="4" w:space="0"/>
              <w:left w:val="single" w:color="auto" w:sz="4" w:space="0"/>
              <w:bottom w:val="single" w:color="auto" w:sz="4" w:space="0"/>
              <w:right w:val="single" w:color="auto" w:sz="4" w:space="0"/>
            </w:tcBorders>
            <w:noWrap w:val="0"/>
            <w:vAlign w:val="center"/>
          </w:tcPr>
          <w:p>
            <w:pPr>
              <w:pStyle w:val="122"/>
              <w:ind w:firstLine="0" w:firstLineChars="0"/>
              <w:jc w:val="center"/>
              <w:rPr>
                <w:rFonts w:hint="eastAsia" w:ascii="宋体" w:hAnsi="宋体" w:cs="宋体"/>
                <w:b/>
                <w:color w:val="auto"/>
                <w:highlight w:val="none"/>
              </w:rPr>
            </w:pPr>
            <w:r>
              <w:rPr>
                <w:rFonts w:hint="eastAsia" w:ascii="宋体" w:hAnsi="宋体" w:cs="宋体"/>
                <w:b/>
                <w:color w:val="auto"/>
                <w:highlight w:val="none"/>
              </w:rPr>
              <w:t>担任相应职务年限</w:t>
            </w:r>
          </w:p>
        </w:tc>
        <w:tc>
          <w:tcPr>
            <w:tcW w:w="4503" w:type="dxa"/>
            <w:gridSpan w:val="5"/>
            <w:tcBorders>
              <w:top w:val="single" w:color="auto" w:sz="4" w:space="0"/>
              <w:left w:val="single" w:color="auto" w:sz="4" w:space="0"/>
              <w:bottom w:val="single" w:color="auto" w:sz="4" w:space="0"/>
              <w:right w:val="single" w:color="auto" w:sz="4" w:space="0"/>
            </w:tcBorders>
            <w:noWrap w:val="0"/>
            <w:vAlign w:val="center"/>
          </w:tcPr>
          <w:p>
            <w:pPr>
              <w:pStyle w:val="122"/>
              <w:keepNext/>
              <w:keepLines/>
              <w:spacing w:before="120" w:after="120"/>
              <w:ind w:firstLine="0" w:firstLineChars="0"/>
              <w:jc w:val="center"/>
              <w:outlineLvl w:val="0"/>
              <w:rPr>
                <w:rFonts w:hint="eastAsia" w:ascii="宋体" w:hAnsi="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27"/>
              <w:spacing w:line="360" w:lineRule="auto"/>
              <w:jc w:val="center"/>
              <w:rPr>
                <w:rFonts w:hint="eastAsia" w:cs="宋体"/>
                <w:b/>
                <w:color w:val="auto"/>
                <w:sz w:val="24"/>
                <w:szCs w:val="24"/>
                <w:highlight w:val="none"/>
              </w:rPr>
            </w:pPr>
            <w:r>
              <w:rPr>
                <w:rFonts w:hint="eastAsia" w:cs="宋体"/>
                <w:b/>
                <w:color w:val="auto"/>
                <w:sz w:val="24"/>
                <w:szCs w:val="24"/>
                <w:highlight w:val="none"/>
              </w:rPr>
              <w:t>资格证书号</w:t>
            </w:r>
          </w:p>
        </w:tc>
        <w:tc>
          <w:tcPr>
            <w:tcW w:w="7999" w:type="dxa"/>
            <w:gridSpan w:val="10"/>
            <w:tcBorders>
              <w:top w:val="single" w:color="auto" w:sz="4" w:space="0"/>
              <w:left w:val="single" w:color="auto" w:sz="4" w:space="0"/>
              <w:bottom w:val="single" w:color="auto" w:sz="4" w:space="0"/>
              <w:right w:val="single" w:color="auto" w:sz="4" w:space="0"/>
            </w:tcBorders>
            <w:noWrap w:val="0"/>
            <w:vAlign w:val="center"/>
          </w:tcPr>
          <w:p>
            <w:pPr>
              <w:pStyle w:val="122"/>
              <w:keepNext/>
              <w:keepLines/>
              <w:spacing w:before="120" w:after="120"/>
              <w:ind w:firstLine="0" w:firstLineChars="0"/>
              <w:jc w:val="center"/>
              <w:outlineLvl w:val="0"/>
              <w:rPr>
                <w:rFonts w:hint="eastAsia" w:ascii="宋体" w:hAnsi="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525" w:type="dxa"/>
            <w:gridSpan w:val="11"/>
            <w:tcBorders>
              <w:top w:val="single" w:color="auto" w:sz="4" w:space="0"/>
              <w:left w:val="single" w:color="auto" w:sz="4" w:space="0"/>
              <w:bottom w:val="single" w:color="auto" w:sz="4" w:space="0"/>
              <w:right w:val="single" w:color="auto" w:sz="4" w:space="0"/>
            </w:tcBorders>
            <w:noWrap w:val="0"/>
            <w:vAlign w:val="center"/>
          </w:tcPr>
          <w:p>
            <w:pPr>
              <w:pStyle w:val="122"/>
              <w:ind w:firstLine="0" w:firstLineChars="0"/>
              <w:jc w:val="center"/>
              <w:rPr>
                <w:rFonts w:hint="eastAsia" w:ascii="宋体" w:hAnsi="宋体" w:cs="宋体"/>
                <w:b/>
                <w:color w:val="auto"/>
                <w:highlight w:val="none"/>
              </w:rPr>
            </w:pPr>
            <w:r>
              <w:rPr>
                <w:rFonts w:hint="eastAsia" w:ascii="宋体" w:hAnsi="宋体" w:cs="宋体"/>
                <w:b/>
                <w:color w:val="auto"/>
                <w:highlight w:val="none"/>
              </w:rPr>
              <w:t>业绩简介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tcBorders>
              <w:top w:val="single" w:color="auto" w:sz="4" w:space="0"/>
              <w:left w:val="single" w:color="auto" w:sz="4" w:space="0"/>
              <w:bottom w:val="single" w:color="auto" w:sz="4" w:space="0"/>
              <w:right w:val="single" w:color="auto" w:sz="4" w:space="0"/>
            </w:tcBorders>
            <w:noWrap w:val="0"/>
            <w:vAlign w:val="center"/>
          </w:tcPr>
          <w:p>
            <w:pPr>
              <w:pStyle w:val="127"/>
              <w:spacing w:line="360" w:lineRule="auto"/>
              <w:jc w:val="center"/>
              <w:rPr>
                <w:rFonts w:hint="eastAsia" w:cs="宋体"/>
                <w:b/>
                <w:color w:val="auto"/>
                <w:sz w:val="24"/>
                <w:szCs w:val="24"/>
                <w:highlight w:val="none"/>
              </w:rPr>
            </w:pPr>
            <w:r>
              <w:rPr>
                <w:rFonts w:hint="eastAsia" w:cs="宋体"/>
                <w:b/>
                <w:color w:val="auto"/>
                <w:sz w:val="24"/>
                <w:szCs w:val="24"/>
                <w:highlight w:val="none"/>
              </w:rPr>
              <w:t>建设单位</w:t>
            </w:r>
          </w:p>
        </w:tc>
        <w:tc>
          <w:tcPr>
            <w:tcW w:w="1547" w:type="dxa"/>
            <w:tcBorders>
              <w:top w:val="single" w:color="auto" w:sz="4" w:space="0"/>
              <w:left w:val="single" w:color="auto" w:sz="4" w:space="0"/>
              <w:bottom w:val="single" w:color="auto" w:sz="4" w:space="0"/>
              <w:right w:val="single" w:color="auto" w:sz="4" w:space="0"/>
            </w:tcBorders>
            <w:noWrap w:val="0"/>
            <w:vAlign w:val="center"/>
          </w:tcPr>
          <w:p>
            <w:pPr>
              <w:pStyle w:val="127"/>
              <w:spacing w:line="360" w:lineRule="auto"/>
              <w:jc w:val="center"/>
              <w:rPr>
                <w:rFonts w:hint="eastAsia" w:cs="宋体"/>
                <w:b/>
                <w:color w:val="auto"/>
                <w:sz w:val="24"/>
                <w:szCs w:val="24"/>
                <w:highlight w:val="none"/>
              </w:rPr>
            </w:pPr>
            <w:r>
              <w:rPr>
                <w:rFonts w:hint="eastAsia" w:cs="宋体"/>
                <w:b/>
                <w:color w:val="auto"/>
                <w:sz w:val="24"/>
                <w:szCs w:val="24"/>
                <w:highlight w:val="none"/>
              </w:rPr>
              <w:t>项目名称</w:t>
            </w: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pPr>
              <w:pStyle w:val="127"/>
              <w:spacing w:line="360" w:lineRule="auto"/>
              <w:jc w:val="center"/>
              <w:rPr>
                <w:rFonts w:hint="eastAsia" w:cs="宋体"/>
                <w:b/>
                <w:color w:val="auto"/>
                <w:sz w:val="24"/>
                <w:szCs w:val="24"/>
                <w:highlight w:val="none"/>
              </w:rPr>
            </w:pPr>
            <w:r>
              <w:rPr>
                <w:rFonts w:hint="eastAsia" w:cs="宋体"/>
                <w:b/>
                <w:color w:val="auto"/>
                <w:sz w:val="24"/>
                <w:szCs w:val="24"/>
                <w:highlight w:val="none"/>
              </w:rPr>
              <w:t>建设规模</w:t>
            </w:r>
          </w:p>
        </w:tc>
        <w:tc>
          <w:tcPr>
            <w:tcW w:w="1783" w:type="dxa"/>
            <w:gridSpan w:val="2"/>
            <w:tcBorders>
              <w:top w:val="single" w:color="auto" w:sz="4" w:space="0"/>
              <w:left w:val="single" w:color="auto" w:sz="4" w:space="0"/>
              <w:bottom w:val="single" w:color="auto" w:sz="4" w:space="0"/>
              <w:right w:val="single" w:color="auto" w:sz="4" w:space="0"/>
            </w:tcBorders>
            <w:noWrap w:val="0"/>
            <w:vAlign w:val="center"/>
          </w:tcPr>
          <w:p>
            <w:pPr>
              <w:pStyle w:val="127"/>
              <w:spacing w:line="360" w:lineRule="auto"/>
              <w:jc w:val="center"/>
              <w:rPr>
                <w:rFonts w:hint="eastAsia" w:cs="宋体"/>
                <w:b/>
                <w:color w:val="auto"/>
                <w:sz w:val="24"/>
                <w:szCs w:val="24"/>
                <w:highlight w:val="none"/>
              </w:rPr>
            </w:pPr>
            <w:r>
              <w:rPr>
                <w:rFonts w:hint="eastAsia" w:cs="宋体"/>
                <w:b/>
                <w:color w:val="auto"/>
                <w:sz w:val="24"/>
                <w:szCs w:val="24"/>
                <w:highlight w:val="none"/>
              </w:rPr>
              <w:t>开、竣工日期</w:t>
            </w:r>
          </w:p>
        </w:tc>
        <w:tc>
          <w:tcPr>
            <w:tcW w:w="1547" w:type="dxa"/>
            <w:gridSpan w:val="3"/>
            <w:tcBorders>
              <w:top w:val="single" w:color="auto" w:sz="4" w:space="0"/>
              <w:left w:val="single" w:color="auto" w:sz="4" w:space="0"/>
              <w:bottom w:val="single" w:color="auto" w:sz="4" w:space="0"/>
              <w:right w:val="single" w:color="auto" w:sz="4" w:space="0"/>
            </w:tcBorders>
            <w:noWrap w:val="0"/>
            <w:vAlign w:val="center"/>
          </w:tcPr>
          <w:p>
            <w:pPr>
              <w:pStyle w:val="127"/>
              <w:spacing w:line="360" w:lineRule="auto"/>
              <w:jc w:val="center"/>
              <w:rPr>
                <w:rFonts w:hint="eastAsia" w:cs="宋体"/>
                <w:b/>
                <w:color w:val="auto"/>
                <w:sz w:val="24"/>
                <w:szCs w:val="24"/>
                <w:highlight w:val="none"/>
              </w:rPr>
            </w:pPr>
            <w:r>
              <w:rPr>
                <w:rFonts w:hint="eastAsia" w:cs="宋体"/>
                <w:b/>
                <w:color w:val="auto"/>
                <w:sz w:val="24"/>
                <w:szCs w:val="24"/>
                <w:highlight w:val="none"/>
              </w:rPr>
              <w:t>在建或已完</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pStyle w:val="127"/>
              <w:spacing w:line="360" w:lineRule="auto"/>
              <w:jc w:val="center"/>
              <w:rPr>
                <w:rFonts w:hint="eastAsia" w:cs="宋体"/>
                <w:b/>
                <w:color w:val="auto"/>
                <w:sz w:val="24"/>
                <w:szCs w:val="24"/>
                <w:highlight w:val="none"/>
              </w:rPr>
            </w:pPr>
            <w:r>
              <w:rPr>
                <w:rFonts w:hint="eastAsia" w:cs="宋体"/>
                <w:b/>
                <w:color w:val="auto"/>
                <w:sz w:val="24"/>
                <w:szCs w:val="24"/>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tcBorders>
              <w:top w:val="single" w:color="auto" w:sz="4" w:space="0"/>
              <w:left w:val="single" w:color="auto" w:sz="4" w:space="0"/>
              <w:bottom w:val="single" w:color="auto" w:sz="4" w:space="0"/>
              <w:right w:val="single" w:color="auto" w:sz="4" w:space="0"/>
            </w:tcBorders>
            <w:noWrap w:val="0"/>
            <w:vAlign w:val="center"/>
          </w:tcPr>
          <w:p>
            <w:pPr>
              <w:pStyle w:val="122"/>
              <w:ind w:firstLine="0" w:firstLineChars="0"/>
              <w:jc w:val="center"/>
              <w:rPr>
                <w:rFonts w:hint="eastAsia" w:ascii="宋体" w:hAnsi="宋体" w:cs="宋体"/>
                <w:b/>
                <w:color w:val="auto"/>
                <w:highlight w:val="none"/>
              </w:rPr>
            </w:pPr>
          </w:p>
        </w:tc>
        <w:tc>
          <w:tcPr>
            <w:tcW w:w="1547" w:type="dxa"/>
            <w:tcBorders>
              <w:top w:val="single" w:color="auto" w:sz="4" w:space="0"/>
              <w:left w:val="single" w:color="auto" w:sz="4" w:space="0"/>
              <w:bottom w:val="single" w:color="auto" w:sz="4" w:space="0"/>
              <w:right w:val="single" w:color="auto" w:sz="4" w:space="0"/>
            </w:tcBorders>
            <w:noWrap w:val="0"/>
            <w:vAlign w:val="center"/>
          </w:tcPr>
          <w:p>
            <w:pPr>
              <w:pStyle w:val="122"/>
              <w:ind w:firstLine="0" w:firstLineChars="0"/>
              <w:jc w:val="center"/>
              <w:rPr>
                <w:rFonts w:hint="eastAsia" w:ascii="宋体" w:hAnsi="宋体" w:cs="宋体"/>
                <w:b/>
                <w:color w:val="auto"/>
                <w:highlight w:val="none"/>
              </w:rPr>
            </w:pP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pPr>
              <w:pStyle w:val="122"/>
              <w:ind w:firstLine="0" w:firstLineChars="0"/>
              <w:jc w:val="center"/>
              <w:rPr>
                <w:rFonts w:hint="eastAsia" w:ascii="宋体" w:hAnsi="宋体" w:cs="宋体"/>
                <w:b/>
                <w:color w:val="auto"/>
                <w:highlight w:val="none"/>
              </w:rPr>
            </w:pPr>
          </w:p>
        </w:tc>
        <w:tc>
          <w:tcPr>
            <w:tcW w:w="1783" w:type="dxa"/>
            <w:gridSpan w:val="2"/>
            <w:tcBorders>
              <w:top w:val="single" w:color="auto" w:sz="4" w:space="0"/>
              <w:left w:val="single" w:color="auto" w:sz="4" w:space="0"/>
              <w:bottom w:val="single" w:color="auto" w:sz="4" w:space="0"/>
              <w:right w:val="single" w:color="auto" w:sz="4" w:space="0"/>
            </w:tcBorders>
            <w:noWrap w:val="0"/>
            <w:vAlign w:val="center"/>
          </w:tcPr>
          <w:p>
            <w:pPr>
              <w:pStyle w:val="122"/>
              <w:ind w:firstLine="0" w:firstLineChars="0"/>
              <w:jc w:val="center"/>
              <w:rPr>
                <w:rFonts w:hint="eastAsia" w:ascii="宋体" w:hAnsi="宋体" w:cs="宋体"/>
                <w:b/>
                <w:color w:val="auto"/>
                <w:highlight w:val="none"/>
              </w:rPr>
            </w:pPr>
          </w:p>
        </w:tc>
        <w:tc>
          <w:tcPr>
            <w:tcW w:w="1547" w:type="dxa"/>
            <w:gridSpan w:val="3"/>
            <w:tcBorders>
              <w:top w:val="single" w:color="auto" w:sz="4" w:space="0"/>
              <w:left w:val="single" w:color="auto" w:sz="4" w:space="0"/>
              <w:bottom w:val="single" w:color="auto" w:sz="4" w:space="0"/>
              <w:right w:val="single" w:color="auto" w:sz="4" w:space="0"/>
            </w:tcBorders>
            <w:noWrap w:val="0"/>
            <w:vAlign w:val="center"/>
          </w:tcPr>
          <w:p>
            <w:pPr>
              <w:pStyle w:val="122"/>
              <w:ind w:firstLine="0" w:firstLineChars="0"/>
              <w:jc w:val="center"/>
              <w:rPr>
                <w:rFonts w:hint="eastAsia" w:ascii="宋体" w:hAnsi="宋体" w:cs="宋体"/>
                <w:b/>
                <w:color w:val="auto"/>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pPr>
              <w:pStyle w:val="122"/>
              <w:ind w:firstLine="0" w:firstLineChars="0"/>
              <w:jc w:val="center"/>
              <w:rPr>
                <w:rFonts w:hint="eastAsia" w:ascii="宋体" w:hAnsi="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tcBorders>
              <w:top w:val="single" w:color="auto" w:sz="4" w:space="0"/>
              <w:left w:val="single" w:color="auto" w:sz="4" w:space="0"/>
              <w:bottom w:val="single" w:color="auto" w:sz="4" w:space="0"/>
              <w:right w:val="single" w:color="auto" w:sz="4" w:space="0"/>
            </w:tcBorders>
            <w:noWrap w:val="0"/>
            <w:vAlign w:val="center"/>
          </w:tcPr>
          <w:p>
            <w:pPr>
              <w:pStyle w:val="122"/>
              <w:ind w:firstLine="0" w:firstLineChars="0"/>
              <w:jc w:val="center"/>
              <w:rPr>
                <w:rFonts w:hint="eastAsia" w:ascii="宋体" w:hAnsi="宋体" w:cs="宋体"/>
                <w:color w:val="auto"/>
                <w:highlight w:val="none"/>
              </w:rPr>
            </w:pPr>
          </w:p>
        </w:tc>
        <w:tc>
          <w:tcPr>
            <w:tcW w:w="1547" w:type="dxa"/>
            <w:tcBorders>
              <w:top w:val="single" w:color="auto" w:sz="4" w:space="0"/>
              <w:left w:val="single" w:color="auto" w:sz="4" w:space="0"/>
              <w:bottom w:val="single" w:color="auto" w:sz="4" w:space="0"/>
              <w:right w:val="single" w:color="auto" w:sz="4" w:space="0"/>
            </w:tcBorders>
            <w:noWrap w:val="0"/>
            <w:vAlign w:val="center"/>
          </w:tcPr>
          <w:p>
            <w:pPr>
              <w:pStyle w:val="122"/>
              <w:ind w:firstLine="0" w:firstLineChars="0"/>
              <w:jc w:val="center"/>
              <w:rPr>
                <w:rFonts w:hint="eastAsia" w:ascii="宋体" w:hAnsi="宋体" w:cs="宋体"/>
                <w:color w:val="auto"/>
                <w:highlight w:val="none"/>
              </w:rPr>
            </w:pP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pPr>
              <w:pStyle w:val="122"/>
              <w:ind w:firstLine="0" w:firstLineChars="0"/>
              <w:jc w:val="center"/>
              <w:rPr>
                <w:rFonts w:hint="eastAsia" w:ascii="宋体" w:hAnsi="宋体" w:cs="宋体"/>
                <w:color w:val="auto"/>
                <w:highlight w:val="none"/>
              </w:rPr>
            </w:pPr>
          </w:p>
        </w:tc>
        <w:tc>
          <w:tcPr>
            <w:tcW w:w="1783" w:type="dxa"/>
            <w:gridSpan w:val="2"/>
            <w:tcBorders>
              <w:top w:val="single" w:color="auto" w:sz="4" w:space="0"/>
              <w:left w:val="single" w:color="auto" w:sz="4" w:space="0"/>
              <w:bottom w:val="single" w:color="auto" w:sz="4" w:space="0"/>
              <w:right w:val="single" w:color="auto" w:sz="4" w:space="0"/>
            </w:tcBorders>
            <w:noWrap w:val="0"/>
            <w:vAlign w:val="center"/>
          </w:tcPr>
          <w:p>
            <w:pPr>
              <w:pStyle w:val="122"/>
              <w:ind w:firstLine="0" w:firstLineChars="0"/>
              <w:jc w:val="center"/>
              <w:rPr>
                <w:rFonts w:hint="eastAsia" w:ascii="宋体" w:hAnsi="宋体" w:cs="宋体"/>
                <w:color w:val="auto"/>
                <w:highlight w:val="none"/>
              </w:rPr>
            </w:pPr>
          </w:p>
        </w:tc>
        <w:tc>
          <w:tcPr>
            <w:tcW w:w="1547" w:type="dxa"/>
            <w:gridSpan w:val="3"/>
            <w:tcBorders>
              <w:top w:val="single" w:color="auto" w:sz="4" w:space="0"/>
              <w:left w:val="single" w:color="auto" w:sz="4" w:space="0"/>
              <w:bottom w:val="single" w:color="auto" w:sz="4" w:space="0"/>
              <w:right w:val="single" w:color="auto" w:sz="4" w:space="0"/>
            </w:tcBorders>
            <w:noWrap w:val="0"/>
            <w:vAlign w:val="center"/>
          </w:tcPr>
          <w:p>
            <w:pPr>
              <w:pStyle w:val="122"/>
              <w:ind w:firstLine="0" w:firstLineChars="0"/>
              <w:jc w:val="center"/>
              <w:rPr>
                <w:rFonts w:hint="eastAsia" w:ascii="宋体" w:hAnsi="宋体" w:cs="宋体"/>
                <w:color w:val="auto"/>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pPr>
              <w:pStyle w:val="122"/>
              <w:ind w:firstLine="0" w:firstLineChars="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tcBorders>
              <w:top w:val="single" w:color="auto" w:sz="4" w:space="0"/>
              <w:left w:val="single" w:color="auto" w:sz="4" w:space="0"/>
              <w:bottom w:val="single" w:color="auto" w:sz="4" w:space="0"/>
              <w:right w:val="single" w:color="auto" w:sz="4" w:space="0"/>
            </w:tcBorders>
            <w:noWrap w:val="0"/>
            <w:vAlign w:val="center"/>
          </w:tcPr>
          <w:p>
            <w:pPr>
              <w:pStyle w:val="122"/>
              <w:ind w:firstLine="0" w:firstLineChars="0"/>
              <w:jc w:val="center"/>
              <w:rPr>
                <w:rFonts w:hint="eastAsia" w:ascii="宋体" w:hAnsi="宋体" w:cs="宋体"/>
                <w:color w:val="auto"/>
                <w:highlight w:val="none"/>
              </w:rPr>
            </w:pPr>
          </w:p>
        </w:tc>
        <w:tc>
          <w:tcPr>
            <w:tcW w:w="1547" w:type="dxa"/>
            <w:tcBorders>
              <w:top w:val="single" w:color="auto" w:sz="4" w:space="0"/>
              <w:left w:val="single" w:color="auto" w:sz="4" w:space="0"/>
              <w:bottom w:val="single" w:color="auto" w:sz="4" w:space="0"/>
              <w:right w:val="single" w:color="auto" w:sz="4" w:space="0"/>
            </w:tcBorders>
            <w:noWrap w:val="0"/>
            <w:vAlign w:val="center"/>
          </w:tcPr>
          <w:p>
            <w:pPr>
              <w:pStyle w:val="122"/>
              <w:ind w:firstLine="0" w:firstLineChars="0"/>
              <w:jc w:val="center"/>
              <w:rPr>
                <w:rFonts w:hint="eastAsia" w:ascii="宋体" w:hAnsi="宋体" w:cs="宋体"/>
                <w:color w:val="auto"/>
                <w:highlight w:val="none"/>
              </w:rPr>
            </w:pP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pPr>
              <w:pStyle w:val="122"/>
              <w:ind w:firstLine="0" w:firstLineChars="0"/>
              <w:jc w:val="center"/>
              <w:rPr>
                <w:rFonts w:hint="eastAsia" w:ascii="宋体" w:hAnsi="宋体" w:cs="宋体"/>
                <w:color w:val="auto"/>
                <w:highlight w:val="none"/>
              </w:rPr>
            </w:pPr>
          </w:p>
        </w:tc>
        <w:tc>
          <w:tcPr>
            <w:tcW w:w="1783" w:type="dxa"/>
            <w:gridSpan w:val="2"/>
            <w:tcBorders>
              <w:top w:val="single" w:color="auto" w:sz="4" w:space="0"/>
              <w:left w:val="single" w:color="auto" w:sz="4" w:space="0"/>
              <w:bottom w:val="single" w:color="auto" w:sz="4" w:space="0"/>
              <w:right w:val="single" w:color="auto" w:sz="4" w:space="0"/>
            </w:tcBorders>
            <w:noWrap w:val="0"/>
            <w:vAlign w:val="center"/>
          </w:tcPr>
          <w:p>
            <w:pPr>
              <w:pStyle w:val="122"/>
              <w:ind w:firstLine="0" w:firstLineChars="0"/>
              <w:jc w:val="center"/>
              <w:rPr>
                <w:rFonts w:hint="eastAsia" w:ascii="宋体" w:hAnsi="宋体" w:cs="宋体"/>
                <w:color w:val="auto"/>
                <w:highlight w:val="none"/>
              </w:rPr>
            </w:pPr>
          </w:p>
        </w:tc>
        <w:tc>
          <w:tcPr>
            <w:tcW w:w="1547" w:type="dxa"/>
            <w:gridSpan w:val="3"/>
            <w:tcBorders>
              <w:top w:val="single" w:color="auto" w:sz="4" w:space="0"/>
              <w:left w:val="single" w:color="auto" w:sz="4" w:space="0"/>
              <w:bottom w:val="single" w:color="auto" w:sz="4" w:space="0"/>
              <w:right w:val="single" w:color="auto" w:sz="4" w:space="0"/>
            </w:tcBorders>
            <w:noWrap w:val="0"/>
            <w:vAlign w:val="center"/>
          </w:tcPr>
          <w:p>
            <w:pPr>
              <w:pStyle w:val="122"/>
              <w:ind w:firstLine="0" w:firstLineChars="0"/>
              <w:jc w:val="center"/>
              <w:rPr>
                <w:rFonts w:hint="eastAsia" w:ascii="宋体" w:hAnsi="宋体" w:cs="宋体"/>
                <w:color w:val="auto"/>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pPr>
              <w:pStyle w:val="122"/>
              <w:ind w:firstLine="0" w:firstLineChars="0"/>
              <w:jc w:val="center"/>
              <w:rPr>
                <w:rFonts w:hint="eastAsia" w:ascii="宋体" w:hAnsi="宋体" w:cs="宋体"/>
                <w:color w:val="auto"/>
                <w:highlight w:val="none"/>
              </w:rPr>
            </w:pPr>
          </w:p>
        </w:tc>
      </w:tr>
    </w:tbl>
    <w:p>
      <w:pPr>
        <w:pStyle w:val="122"/>
        <w:ind w:firstLine="3596" w:firstLineChars="1450"/>
        <w:rPr>
          <w:rFonts w:hint="eastAsia" w:ascii="宋体" w:hAnsi="宋体" w:cs="宋体"/>
          <w:color w:val="auto"/>
          <w:highlight w:val="none"/>
        </w:rPr>
      </w:pPr>
    </w:p>
    <w:p>
      <w:pPr>
        <w:rPr>
          <w:rFonts w:hint="eastAsia" w:ascii="宋体" w:hAnsi="宋体" w:cs="宋体"/>
          <w:b/>
          <w:color w:val="auto"/>
          <w:highlight w:val="none"/>
        </w:rPr>
      </w:pPr>
      <w:r>
        <w:rPr>
          <w:rFonts w:hint="eastAsia" w:ascii="宋体" w:hAnsi="宋体" w:cs="宋体"/>
          <w:b/>
          <w:snapToGrid w:val="0"/>
          <w:color w:val="auto"/>
          <w:highlight w:val="none"/>
        </w:rPr>
        <w:br w:type="page"/>
      </w:r>
    </w:p>
    <w:p>
      <w:pPr>
        <w:pStyle w:val="122"/>
        <w:ind w:right="496" w:firstLine="498"/>
        <w:outlineLvl w:val="2"/>
        <w:rPr>
          <w:rFonts w:hint="eastAsia" w:ascii="宋体" w:hAnsi="宋体" w:cs="宋体"/>
          <w:b/>
          <w:color w:val="auto"/>
          <w:highlight w:val="none"/>
        </w:rPr>
      </w:pPr>
      <w:bookmarkStart w:id="87" w:name="_Toc24837"/>
      <w:r>
        <w:rPr>
          <w:rFonts w:hint="eastAsia" w:ascii="宋体" w:hAnsi="宋体" w:cs="宋体"/>
          <w:b/>
          <w:color w:val="auto"/>
          <w:highlight w:val="none"/>
        </w:rPr>
        <w:t>格式七：投标函</w:t>
      </w:r>
      <w:bookmarkEnd w:id="87"/>
    </w:p>
    <w:p>
      <w:pPr>
        <w:pStyle w:val="122"/>
        <w:ind w:firstLine="496"/>
        <w:rPr>
          <w:rFonts w:hint="eastAsia" w:ascii="宋体" w:hAnsi="宋体" w:cs="宋体"/>
          <w:color w:val="auto"/>
          <w:highlight w:val="none"/>
        </w:rPr>
      </w:pPr>
    </w:p>
    <w:p>
      <w:pPr>
        <w:pStyle w:val="126"/>
        <w:rPr>
          <w:rFonts w:ascii="宋体" w:hAnsi="宋体" w:eastAsia="宋体"/>
          <w:color w:val="auto"/>
          <w:highlight w:val="none"/>
        </w:rPr>
      </w:pPr>
      <w:r>
        <w:rPr>
          <w:rFonts w:hint="eastAsia" w:ascii="宋体" w:hAnsi="宋体" w:eastAsia="宋体"/>
          <w:color w:val="auto"/>
          <w:highlight w:val="none"/>
        </w:rPr>
        <w:t>投 标 函</w:t>
      </w:r>
    </w:p>
    <w:p>
      <w:pPr>
        <w:pStyle w:val="122"/>
        <w:ind w:firstLine="496"/>
        <w:rPr>
          <w:rFonts w:hint="eastAsia"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lang w:eastAsia="zh-CN"/>
        </w:rPr>
        <w:t>广州市增城区仙村镇沙滘村中坊股份经济合作社</w:t>
      </w:r>
    </w:p>
    <w:p>
      <w:pPr>
        <w:pStyle w:val="122"/>
        <w:ind w:firstLine="496"/>
        <w:rPr>
          <w:rFonts w:hint="eastAsia" w:ascii="宋体" w:hAnsi="宋体" w:cs="宋体"/>
          <w:color w:val="auto"/>
          <w:highlight w:val="none"/>
        </w:rPr>
      </w:pPr>
      <w:r>
        <w:rPr>
          <w:rFonts w:hint="eastAsia" w:ascii="宋体" w:hAnsi="宋体" w:cs="宋体"/>
          <w:color w:val="auto"/>
          <w:highlight w:val="none"/>
        </w:rPr>
        <w:t>1.根据招标人</w:t>
      </w:r>
      <w:r>
        <w:rPr>
          <w:rFonts w:hint="eastAsia" w:ascii="宋体" w:hAnsi="宋体" w:cs="宋体"/>
          <w:color w:val="auto"/>
          <w:highlight w:val="none"/>
          <w:u w:val="single"/>
          <w:lang w:eastAsia="zh-CN"/>
        </w:rPr>
        <w:t>仙村镇沙滘村中坊社纪念公园建设工程施工总承包</w:t>
      </w:r>
      <w:r>
        <w:rPr>
          <w:rFonts w:hint="eastAsia" w:ascii="宋体" w:hAnsi="宋体" w:cs="宋体"/>
          <w:color w:val="auto"/>
          <w:highlight w:val="none"/>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pPr>
        <w:pStyle w:val="122"/>
        <w:ind w:firstLine="496"/>
        <w:rPr>
          <w:rFonts w:hint="eastAsia"/>
          <w:color w:val="auto"/>
          <w:highlight w:val="none"/>
        </w:rPr>
      </w:pPr>
      <w:r>
        <w:rPr>
          <w:rFonts w:hint="eastAsia" w:ascii="宋体" w:hAnsi="宋体" w:cs="宋体"/>
          <w:color w:val="auto"/>
          <w:highlight w:val="none"/>
        </w:rPr>
        <w:t>2.我方已详细审核全部招标文件，包括修改文件（如有时）及有关附件。</w:t>
      </w:r>
    </w:p>
    <w:p>
      <w:pPr>
        <w:pStyle w:val="122"/>
        <w:ind w:firstLine="496"/>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b/>
          <w:bCs/>
          <w:color w:val="auto"/>
          <w:kern w:val="1"/>
          <w:szCs w:val="21"/>
          <w:highlight w:val="none"/>
          <w:lang w:val="zh-CN"/>
        </w:rPr>
        <w:t>我方已认真审阅招标文件及合同条件，已知悉相关要求及风险因素，我方承诺无条件接受全部合同条件，并承诺最迟于收到中标通知书之日起30日内，无条件按招标文件所附的合同版本与你方签订合同，否则可视为我方自动放弃中标资格。</w:t>
      </w:r>
    </w:p>
    <w:p>
      <w:pPr>
        <w:pStyle w:val="122"/>
        <w:ind w:firstLine="496"/>
        <w:rPr>
          <w:rFonts w:hint="eastAsia" w:ascii="宋体" w:hAnsi="宋体" w:cs="宋体"/>
          <w:color w:val="auto"/>
          <w:highlight w:val="none"/>
        </w:rPr>
      </w:pPr>
      <w:r>
        <w:rPr>
          <w:rFonts w:hint="eastAsia" w:ascii="宋体" w:hAnsi="宋体" w:cs="宋体"/>
          <w:color w:val="auto"/>
          <w:highlight w:val="none"/>
        </w:rPr>
        <w:t>4.如果我方中标，我方保证按照合同文件中规定的开工日期开始施工，并按规定的预计竣工日期完成和交付全部工程。</w:t>
      </w:r>
    </w:p>
    <w:p>
      <w:pPr>
        <w:pStyle w:val="122"/>
        <w:ind w:firstLine="496"/>
        <w:rPr>
          <w:rFonts w:hint="eastAsia" w:ascii="宋体" w:hAnsi="宋体" w:cs="宋体"/>
          <w:color w:val="auto"/>
          <w:highlight w:val="none"/>
        </w:rPr>
      </w:pPr>
      <w:r>
        <w:rPr>
          <w:rFonts w:hint="eastAsia" w:ascii="宋体" w:hAnsi="宋体" w:cs="宋体"/>
          <w:color w:val="auto"/>
          <w:highlight w:val="none"/>
        </w:rPr>
        <w:t>5.如果我方中标，我方承诺在充分考虑场地环境变化及政策性调整等风险因素的前提下，继续补充完善施工组织设计，直至招标人满意为止并加以实施，由此产生的费用已包含在投标报价中。</w:t>
      </w:r>
    </w:p>
    <w:p>
      <w:pPr>
        <w:pStyle w:val="122"/>
        <w:ind w:firstLine="496"/>
        <w:rPr>
          <w:rFonts w:hint="eastAsia"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u w:val="single"/>
        </w:rPr>
        <w:t>如果我方中标，我方承诺按《建设工程质量管理条例》（中华人民共和国国务院令第279号）、《建设工程安全生产管理条例》（中华人民共和国国务院令第393号）等规定对承包工程的全部建设工程质量和施工现场的安全生产负责</w:t>
      </w:r>
      <w:r>
        <w:rPr>
          <w:rFonts w:hint="eastAsia" w:ascii="宋体" w:hAnsi="宋体" w:cs="宋体"/>
          <w:color w:val="auto"/>
          <w:highlight w:val="none"/>
        </w:rPr>
        <w:t>。</w:t>
      </w:r>
    </w:p>
    <w:p>
      <w:pPr>
        <w:pStyle w:val="122"/>
        <w:ind w:firstLine="496"/>
        <w:rPr>
          <w:rFonts w:hint="eastAsia" w:ascii="宋体" w:hAnsi="宋体" w:cs="宋体"/>
          <w:color w:val="auto"/>
          <w:highlight w:val="none"/>
        </w:rPr>
      </w:pPr>
      <w:r>
        <w:rPr>
          <w:rFonts w:hint="eastAsia" w:ascii="宋体" w:hAnsi="宋体" w:cs="宋体"/>
          <w:color w:val="auto"/>
          <w:highlight w:val="none"/>
        </w:rPr>
        <w:t>7.如果我方中标，我方将按照招标文件的规定，按时提交履约担保，以保障本项目优质、优价、按期、顺利完成。</w:t>
      </w:r>
    </w:p>
    <w:p>
      <w:pPr>
        <w:pStyle w:val="122"/>
        <w:ind w:firstLine="496"/>
        <w:rPr>
          <w:rFonts w:hint="eastAsia" w:ascii="宋体" w:hAnsi="宋体" w:cs="宋体"/>
          <w:color w:val="auto"/>
          <w:highlight w:val="none"/>
        </w:rPr>
      </w:pPr>
      <w:r>
        <w:rPr>
          <w:rFonts w:hint="eastAsia" w:ascii="宋体" w:hAnsi="宋体" w:cs="宋体"/>
          <w:color w:val="auto"/>
          <w:highlight w:val="none"/>
        </w:rPr>
        <w:t>8.我方同意所提交的投标文件在招标文件投标须知中第15条规定的投标有效期内有效，在此期限届满之前，本投标书始终将对我方具有约束力，并随时接受中标。</w:t>
      </w:r>
    </w:p>
    <w:p>
      <w:pPr>
        <w:pStyle w:val="122"/>
        <w:ind w:firstLine="496"/>
        <w:rPr>
          <w:rFonts w:hint="eastAsia" w:ascii="宋体" w:hAnsi="宋体" w:cs="宋体"/>
          <w:color w:val="auto"/>
          <w:highlight w:val="none"/>
        </w:rPr>
      </w:pPr>
      <w:r>
        <w:rPr>
          <w:rFonts w:hint="eastAsia" w:ascii="宋体" w:hAnsi="宋体" w:cs="宋体"/>
          <w:color w:val="auto"/>
          <w:highlight w:val="none"/>
        </w:rPr>
        <w:t>9.在合同协议书正式签署生效之前，本投标书连同你单位的中标通知书将构成我们双方之间共同遵守的文件，对双方具有约束力。</w:t>
      </w:r>
    </w:p>
    <w:p>
      <w:pPr>
        <w:pStyle w:val="122"/>
        <w:ind w:firstLine="496"/>
        <w:rPr>
          <w:rFonts w:hint="eastAsia" w:ascii="宋体" w:hAnsi="宋体" w:cs="宋体"/>
          <w:color w:val="auto"/>
          <w:highlight w:val="none"/>
        </w:rPr>
      </w:pPr>
      <w:r>
        <w:rPr>
          <w:rFonts w:hint="eastAsia" w:ascii="宋体" w:hAnsi="宋体" w:cs="宋体"/>
          <w:color w:val="auto"/>
          <w:highlight w:val="none"/>
        </w:rPr>
        <w:t>10.随同本投标文件，</w:t>
      </w:r>
      <w:r>
        <w:rPr>
          <w:rFonts w:hint="eastAsia" w:ascii="宋体" w:hAnsi="宋体" w:cs="宋体"/>
          <w:b w:val="0"/>
          <w:bCs w:val="0"/>
          <w:color w:val="auto"/>
          <w:highlight w:val="none"/>
        </w:rPr>
        <w:t>我方已提交投标担保</w:t>
      </w:r>
      <w:r>
        <w:rPr>
          <w:rFonts w:hint="eastAsia" w:ascii="宋体" w:hAnsi="宋体" w:cs="宋体"/>
          <w:color w:val="auto"/>
          <w:highlight w:val="none"/>
        </w:rPr>
        <w:t>。如果我方在投标文件有效期内撤回投标文件；或在接到中标通知书后28天内未能或拒绝签订合同协议书；或未能按招标文件要求提交履约担保，你单位有权没收投标保证金，另选中标单位。</w:t>
      </w:r>
    </w:p>
    <w:p>
      <w:pPr>
        <w:pStyle w:val="122"/>
        <w:ind w:firstLine="496"/>
        <w:rPr>
          <w:rFonts w:ascii="宋体" w:hAnsi="宋体"/>
          <w:color w:val="auto"/>
          <w:highlight w:val="none"/>
        </w:rPr>
      </w:pPr>
      <w:r>
        <w:rPr>
          <w:rFonts w:hint="eastAsia" w:ascii="宋体" w:hAnsi="宋体" w:cs="宋体"/>
          <w:color w:val="auto"/>
          <w:highlight w:val="none"/>
        </w:rPr>
        <w:t>11.我方理解，你单位不一定接受最低标价的投标或你单位接到的其它任何投标。同时也理解，你单位不负担我方的任何投标费用</w:t>
      </w:r>
      <w:r>
        <w:rPr>
          <w:rFonts w:hint="eastAsia" w:ascii="宋体" w:hAnsi="宋体"/>
          <w:color w:val="auto"/>
          <w:highlight w:val="none"/>
        </w:rPr>
        <w:t>。</w:t>
      </w:r>
    </w:p>
    <w:p>
      <w:pPr>
        <w:pStyle w:val="122"/>
        <w:ind w:firstLine="496"/>
        <w:rPr>
          <w:rFonts w:ascii="宋体" w:hAnsi="宋体"/>
          <w:color w:val="auto"/>
          <w:highlight w:val="none"/>
        </w:rPr>
      </w:pPr>
    </w:p>
    <w:p>
      <w:pPr>
        <w:pStyle w:val="122"/>
        <w:ind w:firstLine="496"/>
        <w:rPr>
          <w:rFonts w:ascii="宋体" w:hAnsi="宋体"/>
          <w:color w:val="auto"/>
          <w:highlight w:val="none"/>
        </w:rPr>
      </w:pPr>
    </w:p>
    <w:p>
      <w:pPr>
        <w:pStyle w:val="122"/>
        <w:ind w:firstLine="496"/>
        <w:rPr>
          <w:rFonts w:ascii="宋体" w:hAnsi="宋体"/>
          <w:color w:val="auto"/>
          <w:highlight w:val="none"/>
        </w:rPr>
      </w:pPr>
    </w:p>
    <w:p>
      <w:pPr>
        <w:pStyle w:val="122"/>
        <w:ind w:firstLine="691" w:firstLineChars="279"/>
        <w:rPr>
          <w:rFonts w:ascii="宋体" w:hAnsi="宋体"/>
          <w:color w:val="auto"/>
          <w:highlight w:val="none"/>
        </w:rPr>
      </w:pPr>
      <w:r>
        <w:rPr>
          <w:rFonts w:hint="eastAsia" w:ascii="宋体" w:hAnsi="宋体"/>
          <w:color w:val="auto"/>
          <w:highlight w:val="none"/>
        </w:rPr>
        <w:t>投 标 人：</w:t>
      </w:r>
    </w:p>
    <w:p>
      <w:pPr>
        <w:pStyle w:val="122"/>
        <w:ind w:firstLine="691" w:firstLineChars="279"/>
        <w:rPr>
          <w:rFonts w:ascii="宋体" w:hAnsi="宋体"/>
          <w:color w:val="auto"/>
          <w:highlight w:val="none"/>
        </w:rPr>
      </w:pPr>
      <w:r>
        <w:rPr>
          <w:rFonts w:hint="eastAsia" w:ascii="宋体" w:hAnsi="宋体"/>
          <w:color w:val="auto"/>
          <w:highlight w:val="none"/>
        </w:rPr>
        <w:t xml:space="preserve">日    期：    年    月    日 </w:t>
      </w:r>
    </w:p>
    <w:p>
      <w:pPr>
        <w:pStyle w:val="122"/>
        <w:ind w:firstLine="691" w:firstLineChars="279"/>
        <w:rPr>
          <w:rFonts w:hint="eastAsia" w:ascii="宋体" w:hAnsi="宋体" w:cs="宋体"/>
          <w:color w:val="auto"/>
          <w:highlight w:val="none"/>
        </w:rPr>
      </w:pPr>
    </w:p>
    <w:p>
      <w:pPr>
        <w:widowControl/>
        <w:spacing w:beforeAutospacing="1" w:afterAutospacing="1" w:line="360" w:lineRule="auto"/>
        <w:jc w:val="left"/>
        <w:rPr>
          <w:rFonts w:hint="eastAsia" w:ascii="宋体" w:hAnsi="宋体" w:cs="宋体"/>
          <w:snapToGrid w:val="0"/>
          <w:color w:val="auto"/>
          <w:spacing w:val="4"/>
          <w:kern w:val="0"/>
          <w:sz w:val="24"/>
          <w:szCs w:val="24"/>
          <w:highlight w:val="none"/>
        </w:rPr>
        <w:sectPr>
          <w:footerReference r:id="rId20" w:type="default"/>
          <w:pgSz w:w="11907" w:h="16840"/>
          <w:pgMar w:top="1100" w:right="1418" w:bottom="1418" w:left="1418" w:header="709" w:footer="851" w:gutter="0"/>
          <w:cols w:space="720" w:num="1"/>
          <w:docGrid w:type="lines" w:linePitch="312" w:charSpace="0"/>
        </w:sectPr>
      </w:pPr>
    </w:p>
    <w:p>
      <w:pPr>
        <w:pStyle w:val="122"/>
        <w:ind w:firstLine="0" w:firstLineChars="0"/>
        <w:outlineLvl w:val="2"/>
        <w:rPr>
          <w:rFonts w:hint="eastAsia" w:ascii="宋体" w:hAnsi="宋体" w:cs="宋体"/>
          <w:b/>
          <w:color w:val="auto"/>
          <w:highlight w:val="none"/>
        </w:rPr>
      </w:pPr>
      <w:bookmarkStart w:id="88" w:name="_Toc30071"/>
      <w:r>
        <w:rPr>
          <w:rFonts w:hint="eastAsia" w:ascii="宋体" w:hAnsi="宋体" w:cs="宋体"/>
          <w:b/>
          <w:color w:val="auto"/>
          <w:highlight w:val="none"/>
        </w:rPr>
        <w:t>格式八：承诺书</w:t>
      </w:r>
      <w:bookmarkEnd w:id="88"/>
    </w:p>
    <w:p>
      <w:pPr>
        <w:pStyle w:val="126"/>
        <w:rPr>
          <w:rFonts w:hint="eastAsia" w:ascii="宋体" w:hAnsi="宋体" w:eastAsia="宋体" w:cs="宋体"/>
          <w:b w:val="0"/>
          <w:color w:val="auto"/>
          <w:highlight w:val="none"/>
        </w:rPr>
      </w:pPr>
      <w:r>
        <w:rPr>
          <w:rFonts w:hint="eastAsia" w:ascii="宋体" w:hAnsi="宋体" w:eastAsia="宋体" w:cs="宋体"/>
          <w:b w:val="0"/>
          <w:color w:val="auto"/>
          <w:highlight w:val="none"/>
        </w:rPr>
        <w:t>承  诺  书</w:t>
      </w:r>
    </w:p>
    <w:p>
      <w:pPr>
        <w:pStyle w:val="122"/>
        <w:ind w:firstLine="0" w:firstLineChars="0"/>
        <w:rPr>
          <w:rFonts w:hint="default" w:ascii="宋体" w:hAnsi="宋体" w:eastAsia="宋体"/>
          <w:color w:val="auto"/>
          <w:highlight w:val="none"/>
          <w:u w:val="single"/>
          <w:lang w:val="en-US" w:eastAsia="zh-CN"/>
        </w:rPr>
      </w:pPr>
      <w:r>
        <w:rPr>
          <w:rFonts w:hint="eastAsia" w:ascii="宋体" w:hAnsi="宋体"/>
          <w:color w:val="auto"/>
          <w:highlight w:val="none"/>
          <w:u w:val="none"/>
        </w:rPr>
        <w:t>致：</w:t>
      </w:r>
      <w:r>
        <w:rPr>
          <w:rFonts w:hint="eastAsia" w:ascii="宋体" w:hAnsi="宋体"/>
          <w:color w:val="auto"/>
          <w:highlight w:val="none"/>
          <w:u w:val="single"/>
          <w:lang w:val="zh-CN"/>
        </w:rPr>
        <w:t>广州市增城区仙村镇沙滘村中坊股份经济合作社</w:t>
      </w:r>
    </w:p>
    <w:p>
      <w:pPr>
        <w:pStyle w:val="122"/>
        <w:ind w:firstLine="496"/>
        <w:rPr>
          <w:rFonts w:ascii="宋体" w:hAnsi="宋体"/>
          <w:color w:val="auto"/>
          <w:highlight w:val="none"/>
        </w:rPr>
      </w:pPr>
      <w:r>
        <w:rPr>
          <w:rFonts w:hint="eastAsia" w:ascii="宋体" w:hAnsi="宋体"/>
          <w:color w:val="auto"/>
          <w:highlight w:val="none"/>
        </w:rPr>
        <w:t>经详细阅读本工程招标文件、招标答疑纪要和踏勘现场，我司已理解招标人对本招标项目工程管理的高标准及严格要求，在此，我司郑重作出以下承诺：</w:t>
      </w:r>
    </w:p>
    <w:p>
      <w:pPr>
        <w:pStyle w:val="122"/>
        <w:ind w:firstLine="496"/>
        <w:rPr>
          <w:rFonts w:ascii="宋体" w:hAnsi="宋体"/>
          <w:color w:val="auto"/>
          <w:highlight w:val="none"/>
        </w:rPr>
      </w:pPr>
      <w:r>
        <w:rPr>
          <w:rFonts w:hint="eastAsia" w:ascii="宋体" w:hAnsi="宋体"/>
          <w:color w:val="auto"/>
          <w:highlight w:val="none"/>
        </w:rPr>
        <w:t>一、我司已按投标须知第5条的要求完成了对现场的踏勘工作，已充分了解施工现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施工期间现场条件发生的任何阻碍而影响投标承诺的竣工日期。</w:t>
      </w:r>
    </w:p>
    <w:p>
      <w:pPr>
        <w:pStyle w:val="122"/>
        <w:ind w:firstLine="496"/>
        <w:rPr>
          <w:rFonts w:ascii="宋体" w:hAnsi="宋体"/>
          <w:color w:val="auto"/>
          <w:highlight w:val="none"/>
        </w:rPr>
      </w:pPr>
      <w:r>
        <w:rPr>
          <w:rFonts w:hint="eastAsia" w:ascii="宋体" w:hAnsi="宋体"/>
          <w:color w:val="auto"/>
          <w:highlight w:val="none"/>
        </w:rPr>
        <w:t>二、我司已全面细致熟悉、复核和理解本招标项目招标时的所有图纸、资料和设计文件，已完全理解本工程的特点和设计意图。经认真审查，我司认为本招标项目图纸、资料和设计文件完整，不存在错项、漏项的情况，满足和符合施工要求；如工程实施过程中发生因上述图纸、资料和设计文件不完整而导致的变更，我司承诺在不影响工程顺利推进的前提下，及时主动报招标人审批同意，其中因我司原因而发生的，我司承诺不要求增加任何费用。</w:t>
      </w:r>
    </w:p>
    <w:p>
      <w:pPr>
        <w:pStyle w:val="122"/>
        <w:ind w:firstLine="496"/>
        <w:rPr>
          <w:rFonts w:ascii="宋体" w:hAnsi="宋体"/>
          <w:color w:val="auto"/>
          <w:highlight w:val="none"/>
        </w:rPr>
      </w:pPr>
      <w:r>
        <w:rPr>
          <w:rFonts w:hint="eastAsia" w:ascii="宋体" w:hAnsi="宋体"/>
          <w:color w:val="auto"/>
          <w:highlight w:val="none"/>
        </w:rPr>
        <w:t>三、经认真审查，我司认为本招标项目图纸、资料和设计文件中不存在不能施工、不便于施工的技术问题；施工期间如仍需发生施工工艺、重大技术方案的调整，我司承诺在不影响工程顺利推进的前提下，及时主动报招标人审批同意，其中因我司原因而发生的，我司承诺不要求增加任何费用。</w:t>
      </w:r>
    </w:p>
    <w:p>
      <w:pPr>
        <w:pStyle w:val="122"/>
        <w:ind w:firstLine="496"/>
        <w:rPr>
          <w:rFonts w:ascii="宋体" w:hAnsi="宋体"/>
          <w:color w:val="auto"/>
          <w:highlight w:val="none"/>
        </w:rPr>
      </w:pPr>
      <w:r>
        <w:rPr>
          <w:rFonts w:hint="eastAsia" w:ascii="宋体" w:hAnsi="宋体"/>
          <w:color w:val="auto"/>
          <w:highlight w:val="none"/>
        </w:rPr>
        <w:t>四、经认真进行市场调查，我司承诺本招标项目材料、设备来源有保证，可按投标承诺及时组织到货，无需代换，图纸、资料和设计文件中所要求的条件我司全部能够满足。</w:t>
      </w:r>
    </w:p>
    <w:p>
      <w:pPr>
        <w:pStyle w:val="122"/>
        <w:ind w:firstLine="496"/>
        <w:rPr>
          <w:rFonts w:ascii="宋体" w:hAnsi="宋体"/>
          <w:color w:val="auto"/>
          <w:spacing w:val="2"/>
          <w:position w:val="2"/>
          <w:highlight w:val="none"/>
        </w:rPr>
      </w:pPr>
      <w:r>
        <w:rPr>
          <w:rFonts w:hint="eastAsia" w:ascii="宋体" w:hAnsi="宋体"/>
          <w:color w:val="auto"/>
          <w:highlight w:val="none"/>
        </w:rPr>
        <w:t>五、</w:t>
      </w:r>
      <w:r>
        <w:rPr>
          <w:rFonts w:hint="eastAsia" w:ascii="宋体" w:hAnsi="宋体"/>
          <w:color w:val="auto"/>
          <w:spacing w:val="2"/>
          <w:position w:val="2"/>
          <w:highlight w:val="none"/>
        </w:rPr>
        <w:t>鉴于本工程的重要性、复杂性和工期的紧迫性，为确保按时、按质完成本工程的施工任务，我司经慎重考虑，承诺按招标文件的要求投入人员。否则，按合同约定处理，并承担违约责任。</w:t>
      </w:r>
    </w:p>
    <w:p>
      <w:pPr>
        <w:pStyle w:val="122"/>
        <w:ind w:firstLine="496"/>
        <w:rPr>
          <w:rFonts w:ascii="宋体" w:hAnsi="宋体"/>
          <w:color w:val="auto"/>
          <w:highlight w:val="none"/>
        </w:rPr>
      </w:pPr>
      <w:r>
        <w:rPr>
          <w:rFonts w:hint="eastAsia" w:ascii="宋体" w:hAnsi="宋体"/>
          <w:color w:val="auto"/>
          <w:highlight w:val="none"/>
        </w:rPr>
        <w:t>六、我司已充分阅读并理解招标文件第三章合同格式的所有内容，且对合同条款相关疑问已在投标阶段时提出。如果我司的投标被接受，将保证按招标文件规定的时间及合同条款</w:t>
      </w:r>
      <w:r>
        <w:rPr>
          <w:rFonts w:hint="eastAsia" w:ascii="宋体" w:hAnsi="宋体" w:eastAsia="宋体" w:cs="Times New Roman"/>
          <w:strike w:val="0"/>
          <w:color w:val="auto"/>
          <w:highlight w:val="none"/>
        </w:rPr>
        <w:t>与</w:t>
      </w:r>
      <w:r>
        <w:rPr>
          <w:rFonts w:hint="eastAsia" w:ascii="宋体" w:hAnsi="宋体"/>
          <w:color w:val="auto"/>
          <w:highlight w:val="none"/>
        </w:rPr>
        <w:t>贵</w:t>
      </w:r>
      <w:r>
        <w:rPr>
          <w:rFonts w:hint="eastAsia" w:ascii="宋体" w:hAnsi="宋体"/>
          <w:color w:val="auto"/>
          <w:highlight w:val="none"/>
          <w:lang w:val="en-US" w:eastAsia="zh-CN"/>
        </w:rPr>
        <w:t>单位</w:t>
      </w:r>
      <w:r>
        <w:rPr>
          <w:rFonts w:hint="eastAsia" w:ascii="宋体" w:hAnsi="宋体"/>
          <w:color w:val="auto"/>
          <w:highlight w:val="none"/>
        </w:rPr>
        <w:t>签订合同，且在办理合同签订手续时积极主动配合招标人，不提出任何违反招标文件合同条款精神的任何书面要求和疑问。</w:t>
      </w:r>
    </w:p>
    <w:p>
      <w:pPr>
        <w:pStyle w:val="122"/>
        <w:ind w:firstLine="472"/>
        <w:rPr>
          <w:rFonts w:ascii="宋体" w:hAnsi="宋体"/>
          <w:color w:val="auto"/>
          <w:spacing w:val="-2"/>
          <w:highlight w:val="none"/>
        </w:rPr>
      </w:pPr>
      <w:r>
        <w:rPr>
          <w:rFonts w:hint="eastAsia" w:ascii="宋体" w:hAnsi="宋体"/>
          <w:color w:val="auto"/>
          <w:spacing w:val="-2"/>
          <w:highlight w:val="none"/>
        </w:rPr>
        <w:t>七、我司保证本工程文明施工和职业健康安全管理方案完全满足国家、省、市政府、主管部门颁布的安全生产规程与规定，完全满足《建筑施工安全检查标准》（JGJ59-2011）、《广州市建设工程现场文明施工管理办法》（穗建质[2008]937号）、《广州市城乡建设委员会关于印发广州市加强建筑工地环保管理工作方案的通知》(穗建质〔2014〕754号)、《广州市建设工程绿色施工围蔽指导图集（V2.0版）》</w:t>
      </w:r>
      <w:r>
        <w:rPr>
          <w:rFonts w:hint="eastAsia" w:ascii="宋体" w:hAnsi="宋体"/>
          <w:color w:val="auto"/>
          <w:highlight w:val="none"/>
        </w:rPr>
        <w:t>、</w:t>
      </w:r>
      <w:r>
        <w:rPr>
          <w:rFonts w:hint="eastAsia" w:ascii="宋体" w:hAnsi="宋体"/>
          <w:bCs/>
          <w:color w:val="auto"/>
          <w:highlight w:val="none"/>
        </w:rPr>
        <w:t>《广州市提升建设工程安全文明施工管理水平的工作指引》（穗建质[2017]815号）</w:t>
      </w:r>
      <w:r>
        <w:rPr>
          <w:rFonts w:hint="eastAsia" w:ascii="宋体" w:hAnsi="宋体"/>
          <w:color w:val="auto"/>
          <w:spacing w:val="-2"/>
          <w:highlight w:val="none"/>
        </w:rPr>
        <w:t>和《广州市建筑工程安全生产措施费管理办法》（穗建筑[2003]106号）各项规定和招标文件要求。否则，愿意无条件接受招标人的任何处罚，直至被清退出场，并为此承担相应的法律责任。</w:t>
      </w:r>
    </w:p>
    <w:p>
      <w:pPr>
        <w:pStyle w:val="122"/>
        <w:ind w:firstLine="472"/>
        <w:rPr>
          <w:rFonts w:ascii="宋体" w:hAnsi="宋体"/>
          <w:bCs/>
          <w:color w:val="auto"/>
          <w:spacing w:val="-2"/>
          <w:highlight w:val="none"/>
        </w:rPr>
      </w:pPr>
      <w:r>
        <w:rPr>
          <w:rFonts w:hint="eastAsia" w:ascii="宋体" w:hAnsi="宋体"/>
          <w:bCs/>
          <w:color w:val="auto"/>
          <w:spacing w:val="-2"/>
          <w:highlight w:val="none"/>
        </w:rPr>
        <w:t>八、</w:t>
      </w:r>
      <w:r>
        <w:rPr>
          <w:rFonts w:hint="eastAsia" w:ascii="宋体" w:hAnsi="宋体"/>
          <w:color w:val="auto"/>
          <w:spacing w:val="-2"/>
          <w:highlight w:val="none"/>
        </w:rPr>
        <w:t>我司保证本工程竣工验收、竣工资料和竣工备案管理完全符合国家、省、市政府、主管部门颁布的竣工验收和档案管理各项规定及招标文件中提出的各项管理要求。</w:t>
      </w:r>
    </w:p>
    <w:p>
      <w:pPr>
        <w:pStyle w:val="122"/>
        <w:ind w:firstLine="496"/>
        <w:rPr>
          <w:rFonts w:ascii="宋体" w:hAnsi="宋体"/>
          <w:color w:val="auto"/>
          <w:highlight w:val="none"/>
        </w:rPr>
      </w:pPr>
      <w:r>
        <w:rPr>
          <w:rFonts w:hint="eastAsia" w:ascii="宋体" w:hAnsi="宋体"/>
          <w:color w:val="auto"/>
          <w:highlight w:val="none"/>
        </w:rPr>
        <w:t>九、我司保证在本项目投标中不存在围标、串标等违法、违规行为，如经招标监管部门查实存在上述行为，我司同意由招标人没收我司提交的投标保证金，并对由此造成的后果承担相应的法律责任。</w:t>
      </w:r>
    </w:p>
    <w:p>
      <w:pPr>
        <w:pStyle w:val="122"/>
        <w:ind w:firstLine="496"/>
        <w:rPr>
          <w:rFonts w:ascii="宋体" w:hAnsi="宋体"/>
          <w:bCs/>
          <w:color w:val="auto"/>
          <w:highlight w:val="none"/>
        </w:rPr>
      </w:pPr>
      <w:r>
        <w:rPr>
          <w:rFonts w:hint="eastAsia" w:ascii="宋体" w:hAnsi="宋体"/>
          <w:color w:val="auto"/>
          <w:highlight w:val="none"/>
        </w:rPr>
        <w:t>十、如果我司中标，我司保证实际投入本项目的人员、材料、机械、设备与我司递交的投标文件一致，且不低于本项目招标文件的要求，并保证按招标文件第五章中人员配备要求中的人员在进场前准时参加招标人组织的面试考核。若不满足招标文件要求或考核不通过，我司承诺无条件按招标人的要求进行更换，直至招标人满意为止。</w:t>
      </w:r>
      <w:r>
        <w:rPr>
          <w:rFonts w:hint="eastAsia" w:ascii="宋体" w:hAnsi="宋体"/>
          <w:bCs/>
          <w:color w:val="auto"/>
          <w:highlight w:val="none"/>
        </w:rPr>
        <w:t>经招标人和总监理工程师考核，我司未按投标文件投入主要人员或经过更换后的人员不能满足本项目要求的，</w:t>
      </w:r>
      <w:r>
        <w:rPr>
          <w:rFonts w:hint="eastAsia" w:ascii="宋体" w:hAnsi="宋体"/>
          <w:color w:val="auto"/>
          <w:highlight w:val="none"/>
        </w:rPr>
        <w:t>我司承诺</w:t>
      </w:r>
      <w:r>
        <w:rPr>
          <w:rFonts w:hint="eastAsia" w:ascii="宋体" w:hAnsi="宋体"/>
          <w:bCs/>
          <w:color w:val="auto"/>
          <w:highlight w:val="none"/>
        </w:rPr>
        <w:t>除无条件按招标人的要求更换外，还应按合同约定的金额向招标人支付违约金。</w:t>
      </w:r>
    </w:p>
    <w:p>
      <w:pPr>
        <w:pStyle w:val="122"/>
        <w:ind w:firstLine="496"/>
        <w:rPr>
          <w:rFonts w:ascii="宋体" w:hAnsi="宋体"/>
          <w:color w:val="auto"/>
          <w:highlight w:val="none"/>
        </w:rPr>
      </w:pPr>
      <w:r>
        <w:rPr>
          <w:rFonts w:hint="eastAsia" w:ascii="宋体" w:hAnsi="宋体"/>
          <w:bCs/>
          <w:color w:val="auto"/>
          <w:highlight w:val="none"/>
        </w:rPr>
        <w:t>十一、</w:t>
      </w:r>
      <w:r>
        <w:rPr>
          <w:rFonts w:hint="eastAsia" w:ascii="宋体" w:hAnsi="宋体" w:cs="EuroRoman"/>
          <w:color w:val="auto"/>
          <w:spacing w:val="-4"/>
          <w:szCs w:val="21"/>
          <w:highlight w:val="none"/>
        </w:rPr>
        <w:t>如我司中标，我司承诺本项目的主要材料设备的选用严格按照发包人的规定执行，选用的材料设备的品牌、档次、技术参数需满足或优于投标文件要求，且不以任何理由调整中标的材料、设备价格</w:t>
      </w:r>
      <w:r>
        <w:rPr>
          <w:rFonts w:hint="eastAsia" w:ascii="宋体" w:hAnsi="宋体"/>
          <w:color w:val="auto"/>
          <w:highlight w:val="none"/>
        </w:rPr>
        <w:t>。</w:t>
      </w:r>
    </w:p>
    <w:p>
      <w:pPr>
        <w:pStyle w:val="122"/>
        <w:ind w:firstLine="496"/>
        <w:rPr>
          <w:rFonts w:ascii="宋体" w:hAnsi="宋体"/>
          <w:color w:val="auto"/>
          <w:highlight w:val="none"/>
        </w:rPr>
      </w:pPr>
      <w:r>
        <w:rPr>
          <w:rFonts w:hint="eastAsia" w:ascii="宋体" w:hAnsi="宋体"/>
          <w:color w:val="auto"/>
          <w:highlight w:val="none"/>
        </w:rPr>
        <w:t>十二、如果我司中标，对招标人、监理人为确保工程质量管理和工程进度而下达的调整人员配备要求的指令、通知，我司承诺无条件地在限期内执行并调整到位。</w:t>
      </w:r>
    </w:p>
    <w:p>
      <w:pPr>
        <w:pStyle w:val="122"/>
        <w:ind w:firstLine="496"/>
        <w:rPr>
          <w:rFonts w:ascii="宋体" w:hAnsi="宋体"/>
          <w:strike/>
          <w:color w:val="auto"/>
          <w:highlight w:val="none"/>
          <w:u w:val="single"/>
        </w:rPr>
      </w:pPr>
      <w:r>
        <w:rPr>
          <w:rFonts w:hint="eastAsia" w:ascii="宋体" w:hAnsi="宋体"/>
          <w:color w:val="auto"/>
          <w:highlight w:val="none"/>
          <w:u w:val="single"/>
        </w:rPr>
        <w:t>十三、如果我司中标，我司承诺如出现施工进度、质量、投入不满足需要，严重影响施工现场推进或招标人认为必要的其他情形，招标人还有权视现场情况要求我司法定代表人驻场办公，直至招标人同意退场为止，否则我司愿承担有关违约责任</w:t>
      </w:r>
      <w:r>
        <w:rPr>
          <w:rFonts w:hint="eastAsia" w:ascii="宋体" w:hAnsi="宋体"/>
          <w:strike w:val="0"/>
          <w:color w:val="auto"/>
          <w:highlight w:val="none"/>
          <w:u w:val="single"/>
        </w:rPr>
        <w:t>。</w:t>
      </w:r>
    </w:p>
    <w:p>
      <w:pPr>
        <w:pStyle w:val="122"/>
        <w:ind w:firstLine="496"/>
        <w:rPr>
          <w:rFonts w:ascii="宋体" w:hAnsi="宋体"/>
          <w:color w:val="auto"/>
          <w:highlight w:val="none"/>
        </w:rPr>
      </w:pPr>
      <w:r>
        <w:rPr>
          <w:rFonts w:hint="eastAsia" w:ascii="宋体" w:hAnsi="宋体"/>
          <w:color w:val="auto"/>
          <w:highlight w:val="none"/>
        </w:rPr>
        <w:t>十</w:t>
      </w:r>
      <w:r>
        <w:rPr>
          <w:rFonts w:hint="eastAsia" w:ascii="宋体" w:hAnsi="宋体"/>
          <w:color w:val="auto"/>
          <w:highlight w:val="none"/>
          <w:lang w:val="en-US" w:eastAsia="zh-CN"/>
        </w:rPr>
        <w:t>四</w:t>
      </w:r>
      <w:r>
        <w:rPr>
          <w:rFonts w:hint="eastAsia" w:ascii="宋体" w:hAnsi="宋体"/>
          <w:color w:val="auto"/>
          <w:highlight w:val="none"/>
        </w:rPr>
        <w:t>、我公司承诺</w:t>
      </w:r>
      <w:r>
        <w:rPr>
          <w:rFonts w:hint="eastAsia" w:ascii="宋体" w:hAnsi="宋体" w:cs="宋体"/>
          <w:color w:val="auto"/>
          <w:highlight w:val="none"/>
        </w:rPr>
        <w:t>选用绿色生产达标企业生产的混凝土</w:t>
      </w:r>
      <w:r>
        <w:rPr>
          <w:rFonts w:hint="eastAsia" w:ascii="宋体" w:hAnsi="宋体"/>
          <w:color w:val="auto"/>
          <w:highlight w:val="none"/>
        </w:rPr>
        <w:t>。</w:t>
      </w:r>
    </w:p>
    <w:p>
      <w:pPr>
        <w:pStyle w:val="122"/>
        <w:ind w:firstLine="0" w:firstLineChars="0"/>
        <w:rPr>
          <w:rFonts w:ascii="宋体" w:hAnsi="宋体"/>
          <w:color w:val="auto"/>
          <w:highlight w:val="none"/>
        </w:rPr>
      </w:pPr>
    </w:p>
    <w:p>
      <w:pPr>
        <w:pStyle w:val="122"/>
        <w:ind w:firstLine="3472" w:firstLineChars="1400"/>
        <w:rPr>
          <w:rFonts w:ascii="宋体" w:hAnsi="宋体"/>
          <w:color w:val="auto"/>
          <w:highlight w:val="none"/>
        </w:rPr>
      </w:pPr>
      <w:r>
        <w:rPr>
          <w:rFonts w:hint="eastAsia" w:ascii="宋体" w:hAnsi="宋体"/>
          <w:color w:val="auto"/>
          <w:highlight w:val="none"/>
        </w:rPr>
        <w:t>投标人：</w:t>
      </w:r>
    </w:p>
    <w:p>
      <w:pPr>
        <w:pStyle w:val="122"/>
        <w:ind w:firstLine="3472" w:firstLineChars="1400"/>
        <w:rPr>
          <w:rFonts w:ascii="宋体" w:hAnsi="宋体"/>
          <w:color w:val="auto"/>
          <w:highlight w:val="none"/>
        </w:rPr>
      </w:pPr>
      <w:r>
        <w:rPr>
          <w:rFonts w:hint="eastAsia" w:ascii="宋体" w:hAnsi="宋体"/>
          <w:color w:val="auto"/>
          <w:highlight w:val="none"/>
        </w:rPr>
        <w:t>日期：    年    月    日</w:t>
      </w:r>
    </w:p>
    <w:p>
      <w:pPr>
        <w:pStyle w:val="122"/>
        <w:ind w:firstLine="3472" w:firstLineChars="1400"/>
        <w:rPr>
          <w:rFonts w:hint="eastAsia" w:ascii="宋体" w:hAnsi="宋体" w:cs="宋体"/>
          <w:color w:val="auto"/>
          <w:highlight w:val="none"/>
        </w:rPr>
      </w:pPr>
    </w:p>
    <w:p>
      <w:pPr>
        <w:rPr>
          <w:color w:val="auto"/>
          <w:highlight w:val="none"/>
        </w:rPr>
      </w:pPr>
      <w:r>
        <w:rPr>
          <w:color w:val="auto"/>
          <w:highlight w:val="none"/>
        </w:rPr>
        <w:br w:type="page"/>
      </w:r>
    </w:p>
    <w:p>
      <w:pPr>
        <w:rPr>
          <w:rFonts w:hint="eastAsia" w:ascii="宋体" w:hAnsi="宋体"/>
          <w:b/>
          <w:color w:val="auto"/>
          <w:sz w:val="24"/>
          <w:szCs w:val="24"/>
          <w:highlight w:val="none"/>
        </w:rPr>
      </w:pPr>
      <w:r>
        <w:rPr>
          <w:rFonts w:hint="eastAsia" w:ascii="宋体" w:hAnsi="宋体"/>
          <w:b/>
          <w:color w:val="auto"/>
          <w:sz w:val="24"/>
          <w:szCs w:val="24"/>
          <w:highlight w:val="none"/>
        </w:rPr>
        <w:t>格式九：危险性较大的分部分项工程安全管理措施</w:t>
      </w:r>
    </w:p>
    <w:p>
      <w:pPr>
        <w:rPr>
          <w:color w:val="auto"/>
          <w:highlight w:val="none"/>
        </w:rPr>
      </w:pPr>
    </w:p>
    <w:p>
      <w:pPr>
        <w:widowControl/>
        <w:autoSpaceDE w:val="0"/>
        <w:autoSpaceDN w:val="0"/>
        <w:adjustRightInd w:val="0"/>
        <w:spacing w:line="360" w:lineRule="auto"/>
        <w:jc w:val="center"/>
        <w:rPr>
          <w:rFonts w:cs="宋体"/>
          <w:b/>
          <w:color w:val="auto"/>
          <w:kern w:val="0"/>
          <w:sz w:val="32"/>
          <w:szCs w:val="32"/>
          <w:highlight w:val="none"/>
        </w:rPr>
      </w:pPr>
      <w:r>
        <w:rPr>
          <w:rFonts w:hint="eastAsia" w:cs="宋体"/>
          <w:b/>
          <w:color w:val="auto"/>
          <w:kern w:val="0"/>
          <w:sz w:val="32"/>
          <w:szCs w:val="32"/>
          <w:highlight w:val="none"/>
        </w:rPr>
        <w:t>危险性较大的分部分项工程安全管理措施</w:t>
      </w:r>
    </w:p>
    <w:p>
      <w:pPr>
        <w:widowControl/>
        <w:numPr>
          <w:ilvl w:val="0"/>
          <w:numId w:val="9"/>
        </w:numPr>
        <w:autoSpaceDE w:val="0"/>
        <w:autoSpaceDN w:val="0"/>
        <w:adjustRightInd w:val="0"/>
        <w:spacing w:line="360" w:lineRule="auto"/>
        <w:jc w:val="left"/>
        <w:rPr>
          <w:rFonts w:ascii="宋体" w:hAnsi="宋体" w:cs="宋体"/>
          <w:snapToGrid w:val="0"/>
          <w:color w:val="auto"/>
          <w:spacing w:val="4"/>
          <w:kern w:val="0"/>
          <w:sz w:val="24"/>
          <w:szCs w:val="24"/>
          <w:highlight w:val="none"/>
        </w:rPr>
      </w:pPr>
      <w:r>
        <w:rPr>
          <w:rFonts w:hint="eastAsia" w:ascii="宋体" w:hAnsi="宋体" w:cs="宋体"/>
          <w:color w:val="auto"/>
          <w:kern w:val="0"/>
          <w:sz w:val="24"/>
          <w:szCs w:val="24"/>
          <w:highlight w:val="none"/>
        </w:rPr>
        <w:t>根据中华人民共和国住房和城乡建设部令第37号《危险性较大的分部分项工程安全管理规定》（以下简称“37号文”），投标人在投标时须补充完善危大工程清单并</w:t>
      </w:r>
      <w:r>
        <w:rPr>
          <w:rFonts w:hint="eastAsia" w:ascii="宋体" w:hAnsi="宋体" w:cs="宋体"/>
          <w:snapToGrid w:val="0"/>
          <w:color w:val="auto"/>
          <w:spacing w:val="4"/>
          <w:kern w:val="0"/>
          <w:sz w:val="24"/>
          <w:szCs w:val="24"/>
          <w:highlight w:val="none"/>
        </w:rPr>
        <w:t>结合本工程的类型和特点，科学、合理地设置本项目的危险性较大的分部分项工程安全管理措施，危险性较大的分部分项工程安全管理措施由投标人结合招标人对本工程的具体要求自行设定。</w:t>
      </w:r>
    </w:p>
    <w:p>
      <w:pPr>
        <w:widowControl/>
        <w:numPr>
          <w:ilvl w:val="0"/>
          <w:numId w:val="9"/>
        </w:num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招标人根据设计文件的要求及37号文的规定列出“危险性较大的分部分项工程清单及超过一定规模的危险性较大的分部分项工程清单”中与本招标项目相关的清单项，具体详第5点“打√”标识。</w:t>
      </w:r>
    </w:p>
    <w:p>
      <w:pPr>
        <w:widowControl/>
        <w:numPr>
          <w:ilvl w:val="0"/>
          <w:numId w:val="10"/>
        </w:num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投标人同意招标人在清单中标识的该项请在对应项打“√”标识，并在投标文件中提供相应的安全管理措施。</w:t>
      </w:r>
    </w:p>
    <w:p>
      <w:pPr>
        <w:widowControl/>
        <w:numPr>
          <w:ilvl w:val="0"/>
          <w:numId w:val="10"/>
        </w:num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投标人对清单中认为需要补充的该项请在对应项打“√”标识，并在投标文件中提供相应的安全管理措施。</w:t>
      </w:r>
    </w:p>
    <w:p>
      <w:pPr>
        <w:widowControl/>
        <w:numPr>
          <w:ilvl w:val="0"/>
          <w:numId w:val="10"/>
        </w:num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投标人不同意招标人在清单中标识的该项请在对应项打“×”标识，并在备注栏填上相关说明。</w:t>
      </w:r>
    </w:p>
    <w:p>
      <w:pPr>
        <w:widowControl/>
        <w:numPr>
          <w:ilvl w:val="0"/>
          <w:numId w:val="9"/>
        </w:numPr>
        <w:autoSpaceDE w:val="0"/>
        <w:autoSpaceDN w:val="0"/>
        <w:adjustRightInd w:val="0"/>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投标人应当在投标时根据招标人提供的下述第5点清单，在投标文件中编制专项施工方案。</w:t>
      </w:r>
    </w:p>
    <w:p>
      <w:pPr>
        <w:widowControl/>
        <w:numPr>
          <w:ilvl w:val="0"/>
          <w:numId w:val="9"/>
        </w:num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pPr>
        <w:widowControl/>
        <w:numPr>
          <w:ilvl w:val="0"/>
          <w:numId w:val="9"/>
        </w:num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危险性较大的分部分项工程清单及超过一定规模的危险性较大的分部分项工程清单：</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9"/>
        <w:gridCol w:w="1353"/>
        <w:gridCol w:w="1353"/>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759" w:type="dxa"/>
            <w:noWrap w:val="0"/>
            <w:vAlign w:val="center"/>
          </w:tcPr>
          <w:p>
            <w:pPr>
              <w:widowControl/>
              <w:jc w:val="left"/>
              <w:rPr>
                <w:b/>
                <w:color w:val="auto"/>
                <w:kern w:val="0"/>
                <w:sz w:val="24"/>
                <w:szCs w:val="20"/>
                <w:highlight w:val="none"/>
              </w:rPr>
            </w:pPr>
            <w:r>
              <w:rPr>
                <w:rFonts w:hint="eastAsia"/>
                <w:b/>
                <w:color w:val="auto"/>
                <w:kern w:val="0"/>
                <w:sz w:val="24"/>
                <w:szCs w:val="20"/>
                <w:highlight w:val="none"/>
              </w:rPr>
              <w:t>第一部分、危险性较大的分部分项工程清单</w:t>
            </w:r>
          </w:p>
        </w:tc>
        <w:tc>
          <w:tcPr>
            <w:tcW w:w="1353" w:type="dxa"/>
            <w:noWrap w:val="0"/>
            <w:vAlign w:val="center"/>
          </w:tcPr>
          <w:p>
            <w:pPr>
              <w:widowControl/>
              <w:jc w:val="center"/>
              <w:rPr>
                <w:b/>
                <w:color w:val="auto"/>
                <w:kern w:val="0"/>
                <w:sz w:val="24"/>
                <w:szCs w:val="36"/>
                <w:highlight w:val="none"/>
              </w:rPr>
            </w:pPr>
            <w:r>
              <w:rPr>
                <w:rFonts w:hint="eastAsia"/>
                <w:b/>
                <w:color w:val="auto"/>
                <w:kern w:val="0"/>
                <w:sz w:val="24"/>
                <w:szCs w:val="36"/>
                <w:highlight w:val="none"/>
              </w:rPr>
              <w:t>招标人</w:t>
            </w:r>
          </w:p>
        </w:tc>
        <w:tc>
          <w:tcPr>
            <w:tcW w:w="1353" w:type="dxa"/>
            <w:noWrap w:val="0"/>
            <w:vAlign w:val="center"/>
          </w:tcPr>
          <w:p>
            <w:pPr>
              <w:widowControl/>
              <w:jc w:val="center"/>
              <w:rPr>
                <w:b/>
                <w:color w:val="auto"/>
                <w:kern w:val="0"/>
                <w:sz w:val="24"/>
                <w:szCs w:val="36"/>
                <w:highlight w:val="none"/>
              </w:rPr>
            </w:pPr>
            <w:r>
              <w:rPr>
                <w:rFonts w:hint="eastAsia"/>
                <w:b/>
                <w:color w:val="auto"/>
                <w:kern w:val="0"/>
                <w:sz w:val="24"/>
                <w:szCs w:val="36"/>
                <w:highlight w:val="none"/>
              </w:rPr>
              <w:t>投标人</w:t>
            </w:r>
          </w:p>
        </w:tc>
        <w:tc>
          <w:tcPr>
            <w:tcW w:w="1057" w:type="dxa"/>
            <w:noWrap w:val="0"/>
            <w:vAlign w:val="center"/>
          </w:tcPr>
          <w:p>
            <w:pPr>
              <w:widowControl/>
              <w:jc w:val="center"/>
              <w:rPr>
                <w:b/>
                <w:color w:val="auto"/>
                <w:kern w:val="0"/>
                <w:sz w:val="24"/>
                <w:szCs w:val="36"/>
                <w:highlight w:val="none"/>
              </w:rPr>
            </w:pPr>
            <w:r>
              <w:rPr>
                <w:rFonts w:hint="eastAsia"/>
                <w:b/>
                <w:color w:val="auto"/>
                <w:kern w:val="0"/>
                <w:sz w:val="24"/>
                <w:szCs w:val="36"/>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color w:val="auto"/>
                <w:kern w:val="0"/>
                <w:sz w:val="24"/>
                <w:szCs w:val="20"/>
                <w:highlight w:val="none"/>
              </w:rPr>
            </w:pPr>
            <w:r>
              <w:rPr>
                <w:rFonts w:hint="eastAsia"/>
                <w:color w:val="auto"/>
                <w:kern w:val="0"/>
                <w:sz w:val="24"/>
                <w:szCs w:val="20"/>
                <w:highlight w:val="none"/>
              </w:rPr>
              <w:t>一、基坑工程</w:t>
            </w:r>
          </w:p>
        </w:tc>
        <w:tc>
          <w:tcPr>
            <w:tcW w:w="1353" w:type="dxa"/>
            <w:noWrap w:val="0"/>
            <w:vAlign w:val="center"/>
          </w:tcPr>
          <w:p>
            <w:pPr>
              <w:widowControl/>
              <w:jc w:val="center"/>
              <w:rPr>
                <w:color w:val="auto"/>
                <w:kern w:val="0"/>
                <w:sz w:val="24"/>
                <w:szCs w:val="36"/>
                <w:highlight w:val="none"/>
              </w:rPr>
            </w:pPr>
          </w:p>
        </w:tc>
        <w:tc>
          <w:tcPr>
            <w:tcW w:w="1353" w:type="dxa"/>
            <w:noWrap w:val="0"/>
            <w:vAlign w:val="center"/>
          </w:tcPr>
          <w:p>
            <w:pPr>
              <w:widowControl/>
              <w:jc w:val="center"/>
              <w:rPr>
                <w:color w:val="auto"/>
                <w:kern w:val="0"/>
                <w:sz w:val="20"/>
                <w:szCs w:val="20"/>
                <w:highlight w:val="none"/>
              </w:rPr>
            </w:pP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color w:val="auto"/>
                <w:kern w:val="0"/>
                <w:sz w:val="24"/>
                <w:szCs w:val="20"/>
                <w:highlight w:val="none"/>
              </w:rPr>
            </w:pPr>
            <w:r>
              <w:rPr>
                <w:rFonts w:hint="eastAsia"/>
                <w:color w:val="auto"/>
                <w:kern w:val="0"/>
                <w:sz w:val="24"/>
                <w:szCs w:val="20"/>
                <w:highlight w:val="none"/>
              </w:rPr>
              <w:t>（一）开挖深度超过3m（含3m）的基坑（槽）的土方开挖、支护、降水工程。</w:t>
            </w:r>
          </w:p>
        </w:tc>
        <w:tc>
          <w:tcPr>
            <w:tcW w:w="1353" w:type="dxa"/>
            <w:noWrap w:val="0"/>
            <w:vAlign w:val="center"/>
          </w:tcPr>
          <w:p>
            <w:pPr>
              <w:widowControl/>
              <w:jc w:val="center"/>
              <w:rPr>
                <w:color w:val="auto"/>
                <w:kern w:val="0"/>
                <w:sz w:val="20"/>
                <w:szCs w:val="20"/>
                <w:highlight w:val="none"/>
              </w:rPr>
            </w:pPr>
            <w:r>
              <w:rPr>
                <w:rFonts w:hint="eastAsia"/>
                <w:color w:val="auto"/>
                <w:kern w:val="0"/>
                <w:sz w:val="24"/>
                <w:szCs w:val="36"/>
                <w:highlight w:val="none"/>
              </w:rPr>
              <w:t xml:space="preserve">(  </w:t>
            </w:r>
            <w:r>
              <w:rPr>
                <w:rFonts w:hint="default" w:ascii="Arial" w:hAnsi="Arial" w:cs="Arial"/>
                <w:color w:val="auto"/>
                <w:kern w:val="0"/>
                <w:sz w:val="24"/>
                <w:szCs w:val="36"/>
                <w:highlight w:val="none"/>
              </w:rPr>
              <w:t>√</w:t>
            </w:r>
            <w:r>
              <w:rPr>
                <w:rFonts w:hint="eastAsia" w:ascii="Arial" w:hAnsi="Arial" w:cs="Arial"/>
                <w:color w:val="auto"/>
                <w:kern w:val="0"/>
                <w:sz w:val="24"/>
                <w:szCs w:val="36"/>
                <w:highlight w:val="none"/>
                <w:lang w:val="en-US" w:eastAsia="zh-CN"/>
              </w:rPr>
              <w:t xml:space="preserve"> </w:t>
            </w:r>
            <w:r>
              <w:rPr>
                <w:rFonts w:hint="eastAsia"/>
                <w:color w:val="auto"/>
                <w:kern w:val="0"/>
                <w:sz w:val="24"/>
                <w:szCs w:val="36"/>
                <w:highlight w:val="none"/>
              </w:rPr>
              <w:t xml:space="preserve">  )</w:t>
            </w:r>
          </w:p>
        </w:tc>
        <w:tc>
          <w:tcPr>
            <w:tcW w:w="1353" w:type="dxa"/>
            <w:noWrap w:val="0"/>
            <w:vAlign w:val="center"/>
          </w:tcPr>
          <w:p>
            <w:pPr>
              <w:widowControl/>
              <w:jc w:val="center"/>
              <w:rPr>
                <w:color w:val="auto"/>
                <w:kern w:val="0"/>
                <w:sz w:val="20"/>
                <w:szCs w:val="20"/>
                <w:highlight w:val="none"/>
              </w:rPr>
            </w:pPr>
            <w:r>
              <w:rPr>
                <w:rFonts w:hint="eastAsia"/>
                <w:color w:val="auto"/>
                <w:kern w:val="0"/>
                <w:sz w:val="24"/>
                <w:szCs w:val="36"/>
                <w:highlight w:val="none"/>
              </w:rPr>
              <w:t>(    )</w:t>
            </w: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spacing w:line="360" w:lineRule="atLeast"/>
              <w:jc w:val="left"/>
              <w:rPr>
                <w:rFonts w:cs="宋体"/>
                <w:color w:val="auto"/>
                <w:kern w:val="0"/>
                <w:sz w:val="24"/>
                <w:szCs w:val="20"/>
                <w:highlight w:val="none"/>
              </w:rPr>
            </w:pPr>
            <w:r>
              <w:rPr>
                <w:rFonts w:hint="eastAsia" w:cs="宋体"/>
                <w:color w:val="auto"/>
                <w:kern w:val="0"/>
                <w:sz w:val="24"/>
                <w:szCs w:val="20"/>
                <w:highlight w:val="none"/>
              </w:rPr>
              <w:t>（二）开挖深度虽未超过3m，但地质条件、周围环境和地下管线复杂，或影响毗邻建、构筑物安全的基坑（槽）的土方开挖、支护、降水工程。</w:t>
            </w:r>
          </w:p>
        </w:tc>
        <w:tc>
          <w:tcPr>
            <w:tcW w:w="1353" w:type="dxa"/>
            <w:noWrap w:val="0"/>
            <w:vAlign w:val="center"/>
          </w:tcPr>
          <w:p>
            <w:pPr>
              <w:widowControl/>
              <w:jc w:val="center"/>
              <w:rPr>
                <w:color w:val="auto"/>
                <w:kern w:val="0"/>
                <w:sz w:val="20"/>
                <w:szCs w:val="20"/>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color w:val="auto"/>
                <w:kern w:val="0"/>
                <w:sz w:val="24"/>
                <w:szCs w:val="20"/>
                <w:highlight w:val="none"/>
              </w:rPr>
            </w:pPr>
            <w:r>
              <w:rPr>
                <w:rFonts w:hint="eastAsia" w:cs="宋体"/>
                <w:color w:val="auto"/>
                <w:kern w:val="0"/>
                <w:sz w:val="24"/>
                <w:szCs w:val="20"/>
                <w:highlight w:val="none"/>
              </w:rPr>
              <w:t>二、模板工程及支撑体系</w:t>
            </w:r>
          </w:p>
        </w:tc>
        <w:tc>
          <w:tcPr>
            <w:tcW w:w="1353" w:type="dxa"/>
            <w:noWrap w:val="0"/>
            <w:vAlign w:val="center"/>
          </w:tcPr>
          <w:p>
            <w:pPr>
              <w:widowControl/>
              <w:jc w:val="center"/>
              <w:rPr>
                <w:color w:val="auto"/>
                <w:kern w:val="0"/>
                <w:sz w:val="20"/>
                <w:szCs w:val="20"/>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0"/>
                <w:szCs w:val="20"/>
                <w:highlight w:val="none"/>
              </w:rPr>
            </w:pP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olor w:val="auto"/>
                <w:kern w:val="0"/>
                <w:sz w:val="24"/>
                <w:szCs w:val="20"/>
                <w:highlight w:val="none"/>
              </w:rPr>
              <w:t>（一）各类工具式模板工程：包括滑模、爬模、飞模、隧道模等工程。</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0"/>
                <w:szCs w:val="20"/>
                <w:highlight w:val="none"/>
              </w:rPr>
            </w:pPr>
            <w:r>
              <w:rPr>
                <w:rFonts w:hint="eastAsia"/>
                <w:color w:val="auto"/>
                <w:kern w:val="0"/>
                <w:sz w:val="24"/>
                <w:szCs w:val="36"/>
                <w:highlight w:val="none"/>
              </w:rPr>
              <w:t>(    )</w:t>
            </w: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0"/>
                <w:szCs w:val="20"/>
                <w:highlight w:val="none"/>
              </w:rPr>
            </w:pPr>
            <w:r>
              <w:rPr>
                <w:rFonts w:hint="eastAsia"/>
                <w:color w:val="auto"/>
                <w:kern w:val="0"/>
                <w:sz w:val="24"/>
                <w:szCs w:val="36"/>
                <w:highlight w:val="none"/>
              </w:rPr>
              <w:t>(    )</w:t>
            </w: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（三）承重支撑体系：用于钢结构安装等满堂支撑体系。</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三、起重吊装及起重机械安装拆卸工程</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（一）采用非常规起重设备、方法，且单件起吊重量在10kN及以上的起重吊装工程。</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（二）采用起重机械进行安装的工程。</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（三）起重机械安装和拆卸工程。</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四、脚手架工程</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（一）搭设高度24m及以上的落地式钢管脚手架工程（包括采光井、电梯井脚手架）。</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（二）附着式升降脚手架工程。</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（三）悬挑式脚手架工程。</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（四）高处作业吊篮。</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（五）卸料平台、操作平台工程。</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（六）异型脚手架工程。</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五、拆除工程</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可能影响行人、交通、电力设施、通讯设施或其它建、构筑物安全的拆除工程。</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六、暗挖工程</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采用矿山法、盾构法、顶管法施工的隧道、洞室工程。</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七、其它</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（一）建筑幕墙安装工程。</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（二）钢结构、网架和索膜结构安装工程。</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（三）人工挖孔桩工程。</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（四）水下作业工程。</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（五）装配式建筑混凝土预制构件安装工程。</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（六）采用新技术、新工艺、新材料、新设备可能影响工程施工安全，尚无国家、行业及地方技术标准的分部分项工程。</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b/>
                <w:color w:val="auto"/>
                <w:kern w:val="0"/>
                <w:sz w:val="24"/>
                <w:szCs w:val="20"/>
                <w:highlight w:val="none"/>
              </w:rPr>
            </w:pPr>
            <w:r>
              <w:rPr>
                <w:rFonts w:hint="eastAsia" w:cs="宋体"/>
                <w:b/>
                <w:color w:val="auto"/>
                <w:kern w:val="0"/>
                <w:sz w:val="24"/>
                <w:szCs w:val="20"/>
                <w:highlight w:val="none"/>
              </w:rPr>
              <w:t>第二部分、超过一定规模的危险性较大的分部分项工程清单</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一、深基坑工程</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开挖深度超过5m（含5m）的基坑（槽）的土方开挖、支护、降水工程。</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二、模板工程及支撑体系</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（一）各类工具式模板工程：包括滑模、爬模、飞模、隧道模等工程。</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（二）混凝土模板支撑工程：搭设高度8m及以上，或搭设跨度18m及以上，或施工总荷载（设计值）15kN/m2及以上，或集中线荷载（设计值）20kN/m及以上。</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（三）承重支撑体系：用于钢结构安装等满堂支撑体系，承受单点集中荷载7kN及以上。</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三、起重吊装及起重机械安装拆卸工程</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（一）采用非常规起重设备、方法，且单件起吊重量在100kN及以上的起重吊装工程。</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（二）起重量300kN及以上，或搭设总高度200m及以上，或搭设基础标高在200m及以上的起重机械安装和拆卸工程。</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四、脚手架工程</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（一）搭设高度50m及以上的落地式钢管脚手架工程。</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（二）提升高度在150m及以上的附着式升降脚手架工程或附着式升降操作平台工程。</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（三）分段架体搭设高度20m及以上的悬挑式脚手架工程。</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五、拆除工程</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（一）码头、桥梁、高架、烟囱、水塔或拆除中容易引起有毒有害气（液）体或粉尘扩散、易燃易爆事故发生的特殊建、构筑物的拆除工程。</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（二）文物保护建筑、优秀历史建筑或历史文化风貌区影响范围内的拆除工程。</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六、暗挖工程</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采用矿山法、盾构法、顶管法施工的隧道、洞室工程。</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七、其它</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（一）施工高度50m及以上的建筑幕墙安装工程。</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（二）跨度36m及以上的钢结构安装工程，或跨度60m及以上的网架和索膜结构安装工程。</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（三）开挖深度16m及以上的人工挖孔桩工程。</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（四）水下作业工程。</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（五）重量1000kN及以上的大型结构整体顶升、平移、转体等施工工艺。</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pPr>
              <w:widowControl/>
              <w:jc w:val="center"/>
              <w:rPr>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cs="宋体"/>
                <w:color w:val="auto"/>
                <w:kern w:val="0"/>
                <w:sz w:val="24"/>
                <w:szCs w:val="20"/>
                <w:highlight w:val="none"/>
              </w:rPr>
            </w:pPr>
            <w:r>
              <w:rPr>
                <w:rFonts w:hint="eastAsia" w:cs="宋体"/>
                <w:color w:val="auto"/>
                <w:kern w:val="0"/>
                <w:sz w:val="24"/>
                <w:szCs w:val="20"/>
                <w:highlight w:val="none"/>
              </w:rPr>
              <w:t>（六）采用新技术、新工艺、新材料、新设备可能影响工程施工安全，尚无国家、行业及地方技术标准的分部分项工程。</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pPr>
              <w:widowControl/>
              <w:jc w:val="center"/>
              <w:rPr>
                <w:color w:val="auto"/>
                <w:kern w:val="0"/>
                <w:sz w:val="24"/>
                <w:szCs w:val="36"/>
                <w:highlight w:val="none"/>
              </w:rPr>
            </w:pPr>
          </w:p>
        </w:tc>
      </w:tr>
    </w:tbl>
    <w:p>
      <w:pPr>
        <w:pStyle w:val="10"/>
        <w:rPr>
          <w:color w:val="auto"/>
          <w:highlight w:val="none"/>
        </w:rPr>
      </w:pPr>
    </w:p>
    <w:p>
      <w:pPr>
        <w:pStyle w:val="122"/>
        <w:ind w:firstLine="198" w:firstLineChars="80"/>
        <w:jc w:val="left"/>
        <w:rPr>
          <w:rFonts w:hint="eastAsia" w:ascii="宋体" w:hAnsi="宋体" w:cs="宋体"/>
          <w:b/>
          <w:color w:val="auto"/>
          <w:highlight w:val="none"/>
        </w:rPr>
      </w:pPr>
      <w:r>
        <w:rPr>
          <w:rFonts w:cs="宋体"/>
          <w:color w:val="auto"/>
          <w:szCs w:val="20"/>
          <w:highlight w:val="none"/>
        </w:rPr>
        <w:br w:type="page"/>
      </w:r>
    </w:p>
    <w:p>
      <w:pPr>
        <w:pStyle w:val="122"/>
        <w:ind w:firstLine="0" w:firstLineChars="0"/>
        <w:jc w:val="left"/>
        <w:outlineLvl w:val="2"/>
        <w:rPr>
          <w:rFonts w:hint="eastAsia" w:ascii="宋体" w:hAnsi="宋体" w:cs="宋体"/>
          <w:b/>
          <w:color w:val="auto"/>
          <w:highlight w:val="none"/>
        </w:rPr>
      </w:pPr>
      <w:bookmarkStart w:id="89" w:name="_Toc25215"/>
      <w:r>
        <w:rPr>
          <w:rFonts w:hint="eastAsia" w:ascii="宋体" w:hAnsi="宋体" w:cs="宋体"/>
          <w:b/>
          <w:color w:val="auto"/>
          <w:highlight w:val="none"/>
        </w:rPr>
        <w:t>格式十：参与编制技术标投标文件人员名单</w:t>
      </w:r>
      <w:bookmarkEnd w:id="89"/>
    </w:p>
    <w:p>
      <w:pPr>
        <w:tabs>
          <w:tab w:val="left" w:pos="720"/>
        </w:tabs>
        <w:snapToGrid w:val="0"/>
        <w:spacing w:line="360" w:lineRule="auto"/>
        <w:jc w:val="center"/>
        <w:rPr>
          <w:color w:val="auto"/>
          <w:szCs w:val="21"/>
          <w:highlight w:val="none"/>
        </w:rPr>
      </w:pPr>
      <w:r>
        <w:rPr>
          <w:rFonts w:hint="eastAsia"/>
          <w:color w:val="auto"/>
          <w:szCs w:val="21"/>
          <w:highlight w:val="none"/>
        </w:rPr>
        <w:t>一、参与编制技术标投标文件人员名单</w:t>
      </w:r>
    </w:p>
    <w:tbl>
      <w:tblPr>
        <w:tblStyle w:val="3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bl>
    <w:p>
      <w:pPr>
        <w:tabs>
          <w:tab w:val="left" w:pos="720"/>
        </w:tabs>
        <w:snapToGrid w:val="0"/>
        <w:spacing w:line="360" w:lineRule="auto"/>
        <w:rPr>
          <w:color w:val="auto"/>
          <w:sz w:val="24"/>
          <w:szCs w:val="24"/>
          <w:highlight w:val="none"/>
        </w:rPr>
      </w:pPr>
    </w:p>
    <w:p>
      <w:pPr>
        <w:pStyle w:val="5"/>
        <w:spacing w:after="0" w:line="360" w:lineRule="auto"/>
        <w:ind w:left="-2" w:leftChars="-1" w:firstLine="367" w:firstLineChars="175"/>
        <w:jc w:val="left"/>
        <w:rPr>
          <w:color w:val="auto"/>
          <w:szCs w:val="21"/>
          <w:highlight w:val="none"/>
        </w:rPr>
      </w:pPr>
      <w:r>
        <w:rPr>
          <w:rFonts w:hint="eastAsia"/>
          <w:color w:val="auto"/>
          <w:szCs w:val="21"/>
          <w:highlight w:val="none"/>
        </w:rPr>
        <w:t>注：参与编制投标文件所有人员名单应包括如编制技术投标方案、负责清样校对、负责打印及复印等所有人员在内的人员名单。</w:t>
      </w:r>
    </w:p>
    <w:p>
      <w:pPr>
        <w:tabs>
          <w:tab w:val="left" w:pos="720"/>
        </w:tabs>
        <w:snapToGrid w:val="0"/>
        <w:spacing w:line="360" w:lineRule="auto"/>
        <w:rPr>
          <w:color w:val="auto"/>
          <w:sz w:val="24"/>
          <w:szCs w:val="24"/>
          <w:highlight w:val="none"/>
        </w:rPr>
      </w:pPr>
    </w:p>
    <w:p>
      <w:pPr>
        <w:tabs>
          <w:tab w:val="left" w:pos="720"/>
        </w:tabs>
        <w:snapToGrid w:val="0"/>
        <w:spacing w:line="360" w:lineRule="auto"/>
        <w:jc w:val="center"/>
        <w:rPr>
          <w:rFonts w:hint="eastAsia"/>
          <w:color w:val="auto"/>
          <w:szCs w:val="21"/>
          <w:highlight w:val="none"/>
        </w:rPr>
      </w:pPr>
    </w:p>
    <w:p>
      <w:pPr>
        <w:tabs>
          <w:tab w:val="left" w:pos="720"/>
        </w:tabs>
        <w:snapToGrid w:val="0"/>
        <w:spacing w:line="360" w:lineRule="auto"/>
        <w:jc w:val="center"/>
        <w:rPr>
          <w:rFonts w:hint="eastAsia"/>
          <w:color w:val="auto"/>
          <w:szCs w:val="21"/>
          <w:highlight w:val="none"/>
        </w:rPr>
      </w:pPr>
    </w:p>
    <w:p>
      <w:pPr>
        <w:tabs>
          <w:tab w:val="left" w:pos="720"/>
        </w:tabs>
        <w:snapToGrid w:val="0"/>
        <w:spacing w:line="360" w:lineRule="auto"/>
        <w:jc w:val="center"/>
        <w:rPr>
          <w:rFonts w:hint="eastAsia"/>
          <w:color w:val="auto"/>
          <w:szCs w:val="21"/>
          <w:highlight w:val="none"/>
        </w:rPr>
      </w:pPr>
    </w:p>
    <w:p>
      <w:pPr>
        <w:tabs>
          <w:tab w:val="left" w:pos="720"/>
        </w:tabs>
        <w:snapToGrid w:val="0"/>
        <w:spacing w:line="360" w:lineRule="auto"/>
        <w:jc w:val="center"/>
        <w:rPr>
          <w:rFonts w:hint="eastAsia"/>
          <w:color w:val="auto"/>
          <w:szCs w:val="21"/>
          <w:highlight w:val="none"/>
        </w:rPr>
      </w:pPr>
    </w:p>
    <w:p>
      <w:pPr>
        <w:tabs>
          <w:tab w:val="left" w:pos="720"/>
        </w:tabs>
        <w:snapToGrid w:val="0"/>
        <w:spacing w:line="360" w:lineRule="auto"/>
        <w:jc w:val="center"/>
        <w:rPr>
          <w:rFonts w:hint="eastAsia"/>
          <w:color w:val="auto"/>
          <w:szCs w:val="21"/>
          <w:highlight w:val="none"/>
        </w:rPr>
      </w:pPr>
    </w:p>
    <w:p>
      <w:pPr>
        <w:tabs>
          <w:tab w:val="left" w:pos="720"/>
        </w:tabs>
        <w:snapToGrid w:val="0"/>
        <w:spacing w:line="360" w:lineRule="auto"/>
        <w:jc w:val="center"/>
        <w:rPr>
          <w:rFonts w:hint="eastAsia"/>
          <w:color w:val="auto"/>
          <w:szCs w:val="21"/>
          <w:highlight w:val="none"/>
        </w:rPr>
      </w:pPr>
    </w:p>
    <w:p>
      <w:pPr>
        <w:tabs>
          <w:tab w:val="left" w:pos="720"/>
        </w:tabs>
        <w:snapToGrid w:val="0"/>
        <w:spacing w:line="360" w:lineRule="auto"/>
        <w:jc w:val="center"/>
        <w:rPr>
          <w:rFonts w:hint="eastAsia"/>
          <w:color w:val="auto"/>
          <w:szCs w:val="21"/>
          <w:highlight w:val="none"/>
        </w:rPr>
      </w:pPr>
    </w:p>
    <w:p>
      <w:pPr>
        <w:snapToGrid/>
        <w:spacing w:line="240" w:lineRule="auto"/>
        <w:jc w:val="left"/>
        <w:rPr>
          <w:rFonts w:hint="eastAsia"/>
          <w:color w:val="auto"/>
          <w:szCs w:val="21"/>
          <w:highlight w:val="none"/>
        </w:rPr>
      </w:pPr>
      <w:r>
        <w:rPr>
          <w:rFonts w:hint="eastAsia"/>
          <w:color w:val="auto"/>
          <w:szCs w:val="21"/>
          <w:highlight w:val="none"/>
        </w:rPr>
        <w:br w:type="page"/>
      </w:r>
    </w:p>
    <w:p>
      <w:pPr>
        <w:pStyle w:val="122"/>
        <w:ind w:firstLine="0" w:firstLineChars="0"/>
        <w:jc w:val="left"/>
        <w:outlineLvl w:val="2"/>
        <w:rPr>
          <w:rFonts w:hint="eastAsia" w:ascii="宋体" w:hAnsi="宋体" w:cs="宋体"/>
          <w:b/>
          <w:color w:val="auto"/>
          <w:highlight w:val="none"/>
        </w:rPr>
      </w:pPr>
      <w:r>
        <w:rPr>
          <w:rFonts w:hint="eastAsia" w:ascii="宋体" w:hAnsi="宋体" w:cs="宋体"/>
          <w:b/>
          <w:color w:val="auto"/>
          <w:highlight w:val="none"/>
        </w:rPr>
        <w:t>格式十</w:t>
      </w:r>
      <w:r>
        <w:rPr>
          <w:rFonts w:hint="eastAsia" w:ascii="宋体" w:hAnsi="宋体" w:cs="宋体"/>
          <w:b/>
          <w:color w:val="auto"/>
          <w:highlight w:val="none"/>
          <w:lang w:val="en-US" w:eastAsia="zh-CN"/>
        </w:rPr>
        <w:t>一</w:t>
      </w:r>
      <w:r>
        <w:rPr>
          <w:rFonts w:hint="eastAsia" w:ascii="宋体" w:hAnsi="宋体" w:cs="宋体"/>
          <w:b/>
          <w:color w:val="auto"/>
          <w:highlight w:val="none"/>
        </w:rPr>
        <w:t>：投标人廉洁承诺书</w:t>
      </w:r>
    </w:p>
    <w:p>
      <w:pPr>
        <w:pStyle w:val="34"/>
        <w:spacing w:before="157" w:beforeLines="50" w:beforeAutospacing="0" w:after="157" w:afterLines="50" w:afterAutospacing="0" w:line="360" w:lineRule="auto"/>
        <w:ind w:firstLine="482"/>
        <w:jc w:val="center"/>
        <w:rPr>
          <w:rFonts w:hint="eastAsia" w:ascii="宋体" w:hAnsi="宋体" w:cs="宋体"/>
          <w:b/>
          <w:bCs/>
          <w:color w:val="auto"/>
          <w:sz w:val="32"/>
          <w:szCs w:val="32"/>
          <w:highlight w:val="none"/>
        </w:rPr>
      </w:pPr>
      <w:r>
        <w:rPr>
          <w:rFonts w:hint="eastAsia" w:ascii="宋体" w:hAnsi="宋体" w:eastAsia="宋体" w:cs="宋体"/>
          <w:b/>
          <w:bCs/>
          <w:color w:val="auto"/>
          <w:sz w:val="32"/>
          <w:szCs w:val="32"/>
          <w:highlight w:val="none"/>
        </w:rPr>
        <w:t>投标人廉洁承诺书</w:t>
      </w:r>
    </w:p>
    <w:p>
      <w:pPr>
        <w:pStyle w:val="21"/>
        <w:spacing w:line="360" w:lineRule="auto"/>
        <w:ind w:right="420"/>
        <w:jc w:val="both"/>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lang w:eastAsia="zh-CN"/>
        </w:rPr>
        <w:t>广州市增城区仙村镇沙滘村中坊股份经济合作社</w:t>
      </w:r>
      <w:r>
        <w:rPr>
          <w:rFonts w:hint="eastAsia" w:ascii="宋体" w:hAnsi="宋体" w:eastAsia="宋体" w:cs="宋体"/>
          <w:color w:val="auto"/>
          <w:sz w:val="21"/>
          <w:szCs w:val="21"/>
          <w:highlight w:val="none"/>
          <w:lang w:eastAsia="zh-CN"/>
        </w:rPr>
        <w:t>：</w:t>
      </w:r>
    </w:p>
    <w:p>
      <w:pPr>
        <w:pStyle w:val="21"/>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本公司参加了</w:t>
      </w:r>
      <w:r>
        <w:rPr>
          <w:rFonts w:hint="eastAsia" w:hAnsi="宋体" w:cs="宋体"/>
          <w:color w:val="auto"/>
          <w:sz w:val="21"/>
          <w:szCs w:val="21"/>
          <w:highlight w:val="none"/>
          <w:u w:val="single"/>
          <w:lang w:eastAsia="zh-CN"/>
        </w:rPr>
        <w:t>仙村镇沙滘村中坊社纪念公园建设工程施工总承包</w:t>
      </w:r>
      <w:r>
        <w:rPr>
          <w:rFonts w:hint="eastAsia" w:ascii="宋体" w:hAnsi="宋体" w:eastAsia="宋体" w:cs="宋体"/>
          <w:color w:val="auto"/>
          <w:sz w:val="21"/>
          <w:szCs w:val="21"/>
          <w:highlight w:val="none"/>
        </w:rPr>
        <w:t>投标，为确保招标工作的公平、公正、公开、有序进行，我们保证遵守《中华人民共和国招标投标法》、《中华人民共和国招标投标法实施条例》、《广东省实施&lt;中华人民共和国招标投标法&gt;办法》等法律法规，特承诺如下事项：</w:t>
      </w:r>
    </w:p>
    <w:p>
      <w:pPr>
        <w:pStyle w:val="21"/>
        <w:spacing w:line="360" w:lineRule="auto"/>
        <w:ind w:right="420" w:firstLine="420" w:firstLineChars="200"/>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一、自觉遵守国家有关法律法规及廉洁规定。</w:t>
      </w:r>
    </w:p>
    <w:p>
      <w:pPr>
        <w:pStyle w:val="21"/>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二、不与招标单位工作人员串通投标，损害国家利益、企业利益以及他人的合法利益；</w:t>
      </w:r>
    </w:p>
    <w:p>
      <w:pPr>
        <w:pStyle w:val="21"/>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三、不与其他单位围标、串标，不出让投标资格，不向招标人或评标委员会成员行贿。</w:t>
      </w:r>
    </w:p>
    <w:p>
      <w:pPr>
        <w:pStyle w:val="21"/>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 xml:space="preserve">四、不以任何名义向参与招标、评标工作的有关人员提供高消费宴请及娱乐活动和赠送回扣、红包、礼金、购物卡、有价证券、贵重物品和好处费、感谢费等； </w:t>
      </w:r>
    </w:p>
    <w:p>
      <w:pPr>
        <w:pStyle w:val="21"/>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五、不以任何名义为参与招标、评标工作的有关人员装修住房、婚丧嫁</w:t>
      </w:r>
      <w:r>
        <w:rPr>
          <w:rFonts w:hint="eastAsia" w:hAnsi="宋体" w:cs="宋体"/>
          <w:color w:val="auto"/>
          <w:sz w:val="21"/>
          <w:szCs w:val="21"/>
          <w:highlight w:val="none"/>
          <w:lang w:eastAsia="zh-CN"/>
        </w:rPr>
        <w:t>娶</w:t>
      </w:r>
      <w:r>
        <w:rPr>
          <w:rFonts w:hint="eastAsia" w:ascii="宋体" w:hAnsi="宋体" w:eastAsia="宋体" w:cs="宋体"/>
          <w:color w:val="auto"/>
          <w:sz w:val="21"/>
          <w:szCs w:val="21"/>
          <w:highlight w:val="none"/>
        </w:rPr>
        <w:t>、配偶子女的工作安排以及境内外旅游等提供方便；</w:t>
      </w:r>
    </w:p>
    <w:p>
      <w:pPr>
        <w:pStyle w:val="21"/>
        <w:spacing w:line="360" w:lineRule="auto"/>
        <w:ind w:right="420" w:firstLine="420" w:firstLineChars="200"/>
        <w:rPr>
          <w:rFonts w:hint="eastAsia"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六、不以谋取非正当利益为目的，擅自与参与招标、评标工作的有关人员就业务问题进行私下商谈或者达成利益默契</w:t>
      </w:r>
      <w:r>
        <w:rPr>
          <w:rFonts w:hint="eastAsia" w:hAnsi="宋体" w:eastAsia="宋体" w:cs="宋体"/>
          <w:color w:val="auto"/>
          <w:sz w:val="21"/>
          <w:szCs w:val="21"/>
          <w:highlight w:val="none"/>
          <w:lang w:eastAsia="zh-CN"/>
        </w:rPr>
        <w:t>。</w:t>
      </w:r>
    </w:p>
    <w:p>
      <w:pPr>
        <w:pStyle w:val="21"/>
        <w:spacing w:line="360" w:lineRule="auto"/>
        <w:ind w:right="420" w:firstLine="420" w:firstLineChars="200"/>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本公司违反上述承诺，或本承诺陈述与事实不符，经查实，本公司愿意接受公开通报，被招标监管部门信用评价记录不良行为并扣分，并承担由此带来的法律后果。</w:t>
      </w:r>
    </w:p>
    <w:p>
      <w:pPr>
        <w:rPr>
          <w:rFonts w:hint="eastAsia" w:hAnsi="宋体" w:eastAsia="宋体" w:cs="宋体"/>
          <w:color w:val="auto"/>
          <w:sz w:val="21"/>
          <w:szCs w:val="21"/>
          <w:highlight w:val="none"/>
          <w:lang w:eastAsia="zh-CN"/>
        </w:rPr>
      </w:pPr>
    </w:p>
    <w:p>
      <w:pPr>
        <w:pStyle w:val="10"/>
        <w:rPr>
          <w:rFonts w:hint="eastAsia" w:hAnsi="宋体" w:eastAsia="宋体" w:cs="宋体"/>
          <w:color w:val="auto"/>
          <w:sz w:val="21"/>
          <w:szCs w:val="21"/>
          <w:highlight w:val="none"/>
          <w:lang w:eastAsia="zh-CN"/>
        </w:rPr>
      </w:pPr>
    </w:p>
    <w:p>
      <w:pPr>
        <w:jc w:val="right"/>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承诺企业：</w:t>
      </w:r>
      <w:r>
        <w:rPr>
          <w:rFonts w:hint="eastAsia" w:hAnsi="宋体" w:eastAsia="宋体" w:cs="宋体"/>
          <w:color w:val="auto"/>
          <w:sz w:val="21"/>
          <w:szCs w:val="21"/>
          <w:highlight w:val="none"/>
          <w:u w:val="single"/>
          <w:lang w:val="en-US" w:eastAsia="zh-CN"/>
        </w:rPr>
        <w:t xml:space="preserve">                           </w:t>
      </w:r>
      <w:r>
        <w:rPr>
          <w:rFonts w:hint="eastAsia" w:hAnsi="宋体" w:eastAsia="宋体" w:cs="宋体"/>
          <w:color w:val="auto"/>
          <w:sz w:val="21"/>
          <w:szCs w:val="21"/>
          <w:highlight w:val="none"/>
          <w:lang w:eastAsia="zh-CN"/>
        </w:rPr>
        <w:t>（盖单位章）</w:t>
      </w:r>
    </w:p>
    <w:p>
      <w:pPr>
        <w:pStyle w:val="10"/>
        <w:rPr>
          <w:rFonts w:hint="eastAsia"/>
          <w:color w:val="auto"/>
          <w:highlight w:val="none"/>
          <w:lang w:eastAsia="zh-CN"/>
        </w:rPr>
      </w:pPr>
    </w:p>
    <w:p>
      <w:pPr>
        <w:pStyle w:val="10"/>
        <w:wordWrap w:val="0"/>
        <w:jc w:val="right"/>
        <w:rPr>
          <w:rFonts w:hint="default"/>
          <w:color w:val="auto"/>
          <w:highlight w:val="none"/>
          <w:u w:val="single"/>
          <w:lang w:val="en-US" w:eastAsia="zh-CN"/>
        </w:rPr>
      </w:pPr>
      <w:r>
        <w:rPr>
          <w:rFonts w:hint="eastAsia" w:hAnsi="宋体" w:eastAsia="宋体" w:cs="宋体"/>
          <w:color w:val="auto"/>
          <w:sz w:val="21"/>
          <w:szCs w:val="21"/>
          <w:highlight w:val="none"/>
          <w:lang w:eastAsia="zh-CN"/>
        </w:rPr>
        <w:t>法定代表人：</w:t>
      </w:r>
      <w:r>
        <w:rPr>
          <w:rFonts w:hint="eastAsia" w:hAnsi="宋体" w:eastAsia="宋体" w:cs="宋体"/>
          <w:color w:val="auto"/>
          <w:sz w:val="21"/>
          <w:szCs w:val="21"/>
          <w:highlight w:val="none"/>
          <w:u w:val="single"/>
          <w:lang w:val="en-US" w:eastAsia="zh-CN"/>
        </w:rPr>
        <w:t xml:space="preserve">                                      </w:t>
      </w:r>
      <w:r>
        <w:rPr>
          <w:rFonts w:hint="eastAsia" w:hAnsi="宋体" w:eastAsia="宋体" w:cs="宋体"/>
          <w:color w:val="auto"/>
          <w:sz w:val="21"/>
          <w:szCs w:val="21"/>
          <w:highlight w:val="none"/>
          <w:u w:val="none"/>
          <w:lang w:val="en-US" w:eastAsia="zh-CN"/>
        </w:rPr>
        <w:t>（签字或盖章）</w:t>
      </w:r>
    </w:p>
    <w:p>
      <w:pPr>
        <w:tabs>
          <w:tab w:val="left" w:pos="720"/>
        </w:tabs>
        <w:snapToGrid w:val="0"/>
        <w:spacing w:line="360" w:lineRule="auto"/>
        <w:ind w:firstLine="2530" w:firstLineChars="900"/>
        <w:rPr>
          <w:rStyle w:val="61"/>
          <w:rFonts w:hint="eastAsia"/>
          <w:color w:val="auto"/>
          <w:highlight w:val="none"/>
        </w:rPr>
      </w:pPr>
    </w:p>
    <w:p>
      <w:pPr>
        <w:pStyle w:val="2"/>
        <w:rPr>
          <w:rFonts w:hint="eastAsia"/>
          <w:color w:val="auto"/>
          <w:highlight w:val="none"/>
        </w:rPr>
      </w:pPr>
    </w:p>
    <w:p>
      <w:pPr>
        <w:tabs>
          <w:tab w:val="left" w:pos="720"/>
        </w:tabs>
        <w:snapToGrid w:val="0"/>
        <w:spacing w:line="360" w:lineRule="auto"/>
        <w:jc w:val="center"/>
        <w:rPr>
          <w:rFonts w:hint="eastAsia"/>
          <w:color w:val="auto"/>
          <w:szCs w:val="21"/>
          <w:highlight w:val="none"/>
        </w:rPr>
      </w:pPr>
    </w:p>
    <w:p>
      <w:pPr>
        <w:tabs>
          <w:tab w:val="left" w:pos="720"/>
        </w:tabs>
        <w:snapToGrid w:val="0"/>
        <w:spacing w:line="360" w:lineRule="auto"/>
        <w:jc w:val="center"/>
        <w:rPr>
          <w:rFonts w:hint="eastAsia"/>
          <w:color w:val="auto"/>
          <w:szCs w:val="21"/>
          <w:highlight w:val="none"/>
        </w:rPr>
      </w:pPr>
    </w:p>
    <w:p>
      <w:pPr>
        <w:tabs>
          <w:tab w:val="left" w:pos="720"/>
        </w:tabs>
        <w:snapToGrid w:val="0"/>
        <w:spacing w:line="360" w:lineRule="auto"/>
        <w:jc w:val="center"/>
        <w:rPr>
          <w:rFonts w:hint="eastAsia"/>
          <w:color w:val="auto"/>
          <w:szCs w:val="21"/>
          <w:highlight w:val="none"/>
        </w:rPr>
      </w:pPr>
    </w:p>
    <w:p>
      <w:pPr>
        <w:tabs>
          <w:tab w:val="left" w:pos="720"/>
        </w:tabs>
        <w:snapToGrid w:val="0"/>
        <w:spacing w:line="360" w:lineRule="auto"/>
        <w:jc w:val="center"/>
        <w:rPr>
          <w:rFonts w:hint="eastAsia"/>
          <w:color w:val="auto"/>
          <w:szCs w:val="21"/>
          <w:highlight w:val="none"/>
        </w:rPr>
      </w:pPr>
    </w:p>
    <w:p>
      <w:pPr>
        <w:rPr>
          <w:rFonts w:hint="eastAsia" w:ascii="宋体" w:hAnsi="宋体" w:cs="宋体"/>
          <w:b/>
          <w:color w:val="auto"/>
          <w:highlight w:val="none"/>
        </w:rPr>
      </w:pPr>
      <w:r>
        <w:rPr>
          <w:rFonts w:hint="eastAsia" w:ascii="宋体" w:hAnsi="宋体" w:cs="宋体"/>
          <w:b/>
          <w:color w:val="auto"/>
          <w:highlight w:val="none"/>
        </w:rPr>
        <w:br w:type="page"/>
      </w:r>
    </w:p>
    <w:p>
      <w:pPr>
        <w:pStyle w:val="128"/>
        <w:spacing w:beforeLines="0" w:afterLines="0" w:line="360" w:lineRule="auto"/>
        <w:rPr>
          <w:rFonts w:hint="eastAsia" w:ascii="宋体" w:eastAsia="宋体" w:cs="宋体"/>
          <w:color w:val="auto"/>
          <w:highlight w:val="none"/>
        </w:rPr>
      </w:pPr>
      <w:r>
        <w:rPr>
          <w:rFonts w:hint="eastAsia" w:ascii="宋体" w:hAnsi="宋体" w:cs="宋体"/>
          <w:b/>
          <w:color w:val="auto"/>
          <w:highlight w:val="none"/>
        </w:rPr>
        <w:t>格式十</w:t>
      </w:r>
      <w:r>
        <w:rPr>
          <w:rFonts w:hint="eastAsia" w:ascii="宋体" w:cs="宋体"/>
          <w:b/>
          <w:color w:val="auto"/>
          <w:highlight w:val="none"/>
          <w:lang w:val="en-US" w:eastAsia="zh-CN"/>
        </w:rPr>
        <w:t>二</w:t>
      </w:r>
      <w:r>
        <w:rPr>
          <w:rFonts w:hint="eastAsia" w:ascii="宋体" w:hAnsi="宋体" w:cs="宋体"/>
          <w:b/>
          <w:color w:val="auto"/>
          <w:highlight w:val="none"/>
        </w:rPr>
        <w:t>：</w:t>
      </w:r>
      <w:r>
        <w:rPr>
          <w:rFonts w:hint="eastAsia" w:ascii="宋体" w:eastAsia="宋体" w:cs="宋体"/>
          <w:color w:val="auto"/>
          <w:highlight w:val="none"/>
        </w:rPr>
        <w:t>中小企业声明函</w:t>
      </w:r>
    </w:p>
    <w:p>
      <w:pPr>
        <w:jc w:val="center"/>
        <w:rPr>
          <w:rFonts w:ascii="黑体" w:hAnsi="黑体" w:eastAsia="黑体" w:cs="华文仿宋"/>
          <w:color w:val="auto"/>
          <w:kern w:val="0"/>
          <w:sz w:val="28"/>
          <w:szCs w:val="28"/>
          <w:highlight w:val="none"/>
          <w:lang w:val="zh-CN"/>
        </w:rPr>
      </w:pPr>
      <w:r>
        <w:rPr>
          <w:rFonts w:hint="eastAsia" w:ascii="黑体" w:hAnsi="黑体" w:eastAsia="黑体" w:cs="华文仿宋"/>
          <w:color w:val="auto"/>
          <w:kern w:val="0"/>
          <w:sz w:val="28"/>
          <w:szCs w:val="28"/>
          <w:highlight w:val="none"/>
          <w:lang w:val="zh-CN"/>
        </w:rPr>
        <w:t>中小企业声明函</w:t>
      </w:r>
    </w:p>
    <w:p>
      <w:pPr>
        <w:spacing w:line="360" w:lineRule="auto"/>
        <w:ind w:firstLine="480" w:firstLineChars="200"/>
        <w:rPr>
          <w:rFonts w:ascii="宋体" w:hAnsi="宋体" w:cs="Courier New"/>
          <w:color w:val="auto"/>
          <w:sz w:val="24"/>
          <w:szCs w:val="24"/>
          <w:highlight w:val="none"/>
        </w:rPr>
      </w:pPr>
      <w:r>
        <w:rPr>
          <w:rFonts w:ascii="宋体" w:hAnsi="宋体" w:cs="Courier New"/>
          <w:color w:val="auto"/>
          <w:sz w:val="24"/>
          <w:szCs w:val="24"/>
          <w:highlight w:val="none"/>
        </w:rPr>
        <w:t>本</w:t>
      </w:r>
      <w:r>
        <w:rPr>
          <w:rFonts w:hint="eastAsia" w:ascii="宋体" w:hAnsi="宋体" w:cs="Courier New"/>
          <w:color w:val="auto"/>
          <w:sz w:val="24"/>
          <w:szCs w:val="24"/>
          <w:highlight w:val="none"/>
        </w:rPr>
        <w:t>企业</w:t>
      </w:r>
      <w:r>
        <w:rPr>
          <w:rFonts w:ascii="宋体" w:hAnsi="宋体" w:cs="Courier New"/>
          <w:color w:val="auto"/>
          <w:sz w:val="24"/>
          <w:szCs w:val="24"/>
          <w:highlight w:val="none"/>
        </w:rPr>
        <w:t>郑重声明，根据</w:t>
      </w:r>
      <w:r>
        <w:rPr>
          <w:rFonts w:hint="eastAsia" w:ascii="宋体" w:hAnsi="宋体" w:cs="Courier New"/>
          <w:color w:val="auto"/>
          <w:sz w:val="24"/>
          <w:szCs w:val="24"/>
          <w:highlight w:val="none"/>
        </w:rPr>
        <w:t>《关于印发中小企业划型标准规定的通知》（工信部联企业〔2011〕300号）</w:t>
      </w:r>
      <w:r>
        <w:rPr>
          <w:rFonts w:ascii="宋体" w:hAnsi="宋体" w:cs="Courier New"/>
          <w:color w:val="auto"/>
          <w:sz w:val="24"/>
          <w:szCs w:val="24"/>
          <w:highlight w:val="none"/>
        </w:rPr>
        <w:t>的规定，本</w:t>
      </w:r>
      <w:r>
        <w:rPr>
          <w:rFonts w:hint="eastAsia" w:ascii="宋体" w:hAnsi="宋体" w:cs="Courier New"/>
          <w:color w:val="auto"/>
          <w:sz w:val="24"/>
          <w:szCs w:val="24"/>
          <w:highlight w:val="none"/>
        </w:rPr>
        <w:t>企业</w:t>
      </w:r>
      <w:r>
        <w:rPr>
          <w:rFonts w:ascii="宋体" w:hAnsi="宋体" w:cs="Courier New"/>
          <w:color w:val="auto"/>
          <w:sz w:val="24"/>
          <w:szCs w:val="24"/>
          <w:highlight w:val="none"/>
        </w:rPr>
        <w:t>具体情况如下：</w:t>
      </w:r>
    </w:p>
    <w:p>
      <w:pPr>
        <w:spacing w:line="360" w:lineRule="auto"/>
        <w:ind w:firstLine="480" w:firstLineChars="200"/>
        <w:rPr>
          <w:rFonts w:ascii="宋体" w:hAnsi="宋体" w:cs="Courier New"/>
          <w:color w:val="auto"/>
          <w:sz w:val="24"/>
          <w:szCs w:val="24"/>
          <w:highlight w:val="none"/>
        </w:rPr>
      </w:pPr>
      <w:r>
        <w:rPr>
          <w:rFonts w:hint="eastAsia" w:ascii="宋体" w:hAnsi="宋体" w:cs="Courier New"/>
          <w:color w:val="auto"/>
          <w:sz w:val="24"/>
          <w:szCs w:val="24"/>
          <w:highlight w:val="none"/>
        </w:rPr>
        <w:t>本企业</w:t>
      </w:r>
      <w:r>
        <w:rPr>
          <w:rFonts w:ascii="宋体" w:hAnsi="宋体" w:cs="Courier New"/>
          <w:color w:val="auto"/>
          <w:sz w:val="24"/>
          <w:szCs w:val="24"/>
          <w:highlight w:val="none"/>
        </w:rPr>
        <w:t>属于</w:t>
      </w:r>
      <w:r>
        <w:rPr>
          <w:rFonts w:hint="eastAsia" w:ascii="宋体" w:hAnsi="宋体" w:cs="Courier New"/>
          <w:color w:val="auto"/>
          <w:sz w:val="24"/>
          <w:szCs w:val="24"/>
          <w:highlight w:val="none"/>
        </w:rPr>
        <w:t>建筑业</w:t>
      </w:r>
      <w:r>
        <w:rPr>
          <w:rFonts w:ascii="宋体" w:hAnsi="宋体" w:cs="Courier New"/>
          <w:color w:val="auto"/>
          <w:sz w:val="24"/>
          <w:szCs w:val="24"/>
          <w:highlight w:val="none"/>
        </w:rPr>
        <w:t>行业；营业收入为</w:t>
      </w:r>
      <w:r>
        <w:rPr>
          <w:rFonts w:hint="eastAsia" w:ascii="宋体" w:hAnsi="宋体" w:cs="Courier New"/>
          <w:color w:val="auto"/>
          <w:sz w:val="24"/>
          <w:szCs w:val="24"/>
          <w:highlight w:val="none"/>
          <w:u w:val="single"/>
        </w:rPr>
        <w:t xml:space="preserve"> </w:t>
      </w:r>
      <w:r>
        <w:rPr>
          <w:rFonts w:hint="eastAsia" w:ascii="宋体" w:hAnsi="宋体" w:cs="Courier New"/>
          <w:color w:val="auto"/>
          <w:sz w:val="24"/>
          <w:szCs w:val="24"/>
          <w:highlight w:val="none"/>
          <w:u w:val="single"/>
          <w:lang w:val="en-US" w:eastAsia="zh-CN"/>
        </w:rPr>
        <w:t xml:space="preserve">  </w:t>
      </w:r>
      <w:r>
        <w:rPr>
          <w:rFonts w:hint="eastAsia" w:ascii="宋体" w:hAnsi="宋体" w:cs="Courier New"/>
          <w:color w:val="auto"/>
          <w:sz w:val="24"/>
          <w:szCs w:val="24"/>
          <w:highlight w:val="none"/>
          <w:u w:val="single"/>
        </w:rPr>
        <w:t xml:space="preserve">  </w:t>
      </w:r>
      <w:r>
        <w:rPr>
          <w:rFonts w:ascii="宋体" w:hAnsi="宋体" w:cs="Courier New"/>
          <w:color w:val="auto"/>
          <w:sz w:val="24"/>
          <w:szCs w:val="24"/>
          <w:highlight w:val="none"/>
        </w:rPr>
        <w:t>万元，资产总额为</w:t>
      </w:r>
      <w:r>
        <w:rPr>
          <w:rFonts w:hint="eastAsia" w:ascii="宋体" w:hAnsi="宋体" w:cs="Courier New"/>
          <w:color w:val="auto"/>
          <w:sz w:val="24"/>
          <w:szCs w:val="24"/>
          <w:highlight w:val="none"/>
          <w:u w:val="single"/>
        </w:rPr>
        <w:t xml:space="preserve"> </w:t>
      </w:r>
      <w:r>
        <w:rPr>
          <w:rFonts w:hint="eastAsia" w:ascii="宋体" w:hAnsi="宋体" w:cs="Courier New"/>
          <w:color w:val="auto"/>
          <w:sz w:val="24"/>
          <w:szCs w:val="24"/>
          <w:highlight w:val="none"/>
          <w:u w:val="single"/>
          <w:lang w:val="en-US" w:eastAsia="zh-CN"/>
        </w:rPr>
        <w:t xml:space="preserve">  </w:t>
      </w:r>
      <w:r>
        <w:rPr>
          <w:rFonts w:hint="eastAsia" w:ascii="宋体" w:hAnsi="宋体" w:cs="Courier New"/>
          <w:color w:val="auto"/>
          <w:sz w:val="24"/>
          <w:szCs w:val="24"/>
          <w:highlight w:val="none"/>
          <w:u w:val="single"/>
        </w:rPr>
        <w:t xml:space="preserve">  </w:t>
      </w:r>
      <w:r>
        <w:rPr>
          <w:rFonts w:ascii="宋体" w:hAnsi="宋体" w:cs="Courier New"/>
          <w:color w:val="auto"/>
          <w:sz w:val="24"/>
          <w:szCs w:val="24"/>
          <w:highlight w:val="none"/>
        </w:rPr>
        <w:t>万元，属于</w:t>
      </w:r>
      <w:r>
        <w:rPr>
          <w:rFonts w:hint="eastAsia" w:ascii="宋体" w:hAnsi="宋体" w:cs="Courier New"/>
          <w:color w:val="auto"/>
          <w:sz w:val="24"/>
          <w:szCs w:val="24"/>
          <w:highlight w:val="none"/>
          <w:u w:val="single"/>
          <w:lang w:val="en-US" w:eastAsia="zh-CN"/>
        </w:rPr>
        <w:t xml:space="preserve">       </w:t>
      </w:r>
      <w:r>
        <w:rPr>
          <w:rFonts w:ascii="宋体" w:hAnsi="宋体" w:cs="Courier New"/>
          <w:color w:val="auto"/>
          <w:sz w:val="24"/>
          <w:szCs w:val="24"/>
          <w:highlight w:val="none"/>
        </w:rPr>
        <w:t>（中型企业、小型企业、微型企业）；</w:t>
      </w:r>
    </w:p>
    <w:p>
      <w:pPr>
        <w:spacing w:line="360" w:lineRule="auto"/>
        <w:ind w:firstLine="480" w:firstLineChars="200"/>
        <w:rPr>
          <w:rFonts w:ascii="宋体" w:hAnsi="宋体" w:cs="Courier New"/>
          <w:color w:val="auto"/>
          <w:sz w:val="24"/>
          <w:szCs w:val="24"/>
          <w:highlight w:val="none"/>
        </w:rPr>
      </w:pPr>
      <w:r>
        <w:rPr>
          <w:rFonts w:hint="eastAsia" w:ascii="宋体" w:hAnsi="宋体" w:cs="Courier New"/>
          <w:color w:val="auto"/>
          <w:sz w:val="24"/>
          <w:szCs w:val="24"/>
          <w:highlight w:val="none"/>
        </w:rPr>
        <w:t>依据《政府采购促进中小企业发展管理办法》的规定，本企业</w:t>
      </w:r>
      <w:r>
        <w:rPr>
          <w:rFonts w:ascii="宋体" w:hAnsi="宋体" w:cs="Courier New"/>
          <w:color w:val="auto"/>
          <w:sz w:val="24"/>
          <w:szCs w:val="24"/>
          <w:highlight w:val="none"/>
        </w:rPr>
        <w:t xml:space="preserve">不属于大企业的分支机构，不存在控股股东为大企业的情形，也不存在与大企业的负责人为同一人的情形。 </w:t>
      </w:r>
    </w:p>
    <w:p>
      <w:pPr>
        <w:spacing w:line="360" w:lineRule="auto"/>
        <w:ind w:firstLine="480" w:firstLineChars="200"/>
        <w:rPr>
          <w:rFonts w:ascii="宋体" w:hAnsi="宋体" w:cs="Courier New"/>
          <w:color w:val="auto"/>
          <w:sz w:val="24"/>
          <w:szCs w:val="24"/>
          <w:highlight w:val="none"/>
        </w:rPr>
      </w:pPr>
      <w:r>
        <w:rPr>
          <w:rFonts w:ascii="宋体" w:hAnsi="宋体" w:cs="Courier New"/>
          <w:color w:val="auto"/>
          <w:sz w:val="24"/>
          <w:szCs w:val="24"/>
          <w:highlight w:val="none"/>
        </w:rPr>
        <w:t xml:space="preserve">本企业对上述声明内容的真实性负责。如有虚假，将依法承担相应责任。 </w:t>
      </w:r>
    </w:p>
    <w:p>
      <w:pPr>
        <w:spacing w:line="360" w:lineRule="auto"/>
        <w:ind w:firstLine="480" w:firstLineChars="200"/>
        <w:rPr>
          <w:rFonts w:ascii="宋体" w:hAnsi="宋体" w:cs="Courier New"/>
          <w:color w:val="auto"/>
          <w:sz w:val="24"/>
          <w:szCs w:val="24"/>
          <w:highlight w:val="none"/>
        </w:rPr>
      </w:pPr>
    </w:p>
    <w:p>
      <w:pPr>
        <w:spacing w:line="360" w:lineRule="auto"/>
        <w:ind w:firstLine="4800" w:firstLineChars="2000"/>
        <w:rPr>
          <w:rFonts w:ascii="宋体" w:hAnsi="宋体" w:cs="Courier New"/>
          <w:color w:val="auto"/>
          <w:sz w:val="24"/>
          <w:szCs w:val="24"/>
          <w:highlight w:val="none"/>
        </w:rPr>
      </w:pPr>
      <w:r>
        <w:rPr>
          <w:rFonts w:ascii="宋体" w:hAnsi="宋体" w:cs="Courier New"/>
          <w:color w:val="auto"/>
          <w:sz w:val="24"/>
          <w:szCs w:val="24"/>
          <w:highlight w:val="none"/>
        </w:rPr>
        <w:t>企业名称</w:t>
      </w:r>
      <w:r>
        <w:rPr>
          <w:rFonts w:hint="eastAsia" w:ascii="宋体" w:hAnsi="宋体" w:cs="Courier New"/>
          <w:color w:val="auto"/>
          <w:sz w:val="24"/>
          <w:szCs w:val="24"/>
          <w:highlight w:val="none"/>
        </w:rPr>
        <w:t xml:space="preserve">  </w:t>
      </w:r>
      <w:r>
        <w:rPr>
          <w:rFonts w:ascii="宋体" w:hAnsi="宋体" w:cs="Courier New"/>
          <w:color w:val="auto"/>
          <w:sz w:val="24"/>
          <w:szCs w:val="24"/>
          <w:highlight w:val="none"/>
        </w:rPr>
        <w:t>（盖章）：</w:t>
      </w:r>
    </w:p>
    <w:p>
      <w:pPr>
        <w:spacing w:line="360" w:lineRule="auto"/>
        <w:jc w:val="center"/>
        <w:rPr>
          <w:rFonts w:ascii="宋体" w:hAnsi="宋体" w:cs="Courier New"/>
          <w:color w:val="auto"/>
          <w:sz w:val="24"/>
          <w:szCs w:val="24"/>
          <w:highlight w:val="none"/>
        </w:rPr>
      </w:pPr>
      <w:r>
        <w:rPr>
          <w:rFonts w:hint="eastAsia" w:ascii="宋体" w:hAnsi="宋体" w:cs="Courier New"/>
          <w:color w:val="auto"/>
          <w:sz w:val="24"/>
          <w:szCs w:val="24"/>
          <w:highlight w:val="none"/>
        </w:rPr>
        <w:t xml:space="preserve">            日 期：</w:t>
      </w:r>
    </w:p>
    <w:p>
      <w:pPr>
        <w:spacing w:line="360" w:lineRule="auto"/>
        <w:rPr>
          <w:rFonts w:hint="eastAsia" w:ascii="宋体" w:hAnsi="宋体" w:cs="Courier New"/>
          <w:color w:val="auto"/>
          <w:sz w:val="24"/>
          <w:szCs w:val="24"/>
          <w:highlight w:val="none"/>
        </w:rPr>
      </w:pPr>
    </w:p>
    <w:p>
      <w:pPr>
        <w:spacing w:line="360" w:lineRule="auto"/>
        <w:rPr>
          <w:rFonts w:hint="eastAsia" w:ascii="宋体" w:hAnsi="宋体" w:cs="Courier New"/>
          <w:color w:val="auto"/>
          <w:sz w:val="24"/>
          <w:szCs w:val="24"/>
          <w:highlight w:val="none"/>
        </w:rPr>
      </w:pPr>
    </w:p>
    <w:p>
      <w:pPr>
        <w:spacing w:line="360" w:lineRule="auto"/>
        <w:rPr>
          <w:rFonts w:ascii="宋体" w:hAnsi="宋体" w:cs="Courier New"/>
          <w:color w:val="auto"/>
          <w:sz w:val="24"/>
          <w:szCs w:val="24"/>
          <w:highlight w:val="none"/>
        </w:rPr>
      </w:pPr>
      <w:r>
        <w:rPr>
          <w:rFonts w:hint="eastAsia" w:ascii="宋体" w:hAnsi="宋体" w:cs="Courier New"/>
          <w:color w:val="auto"/>
          <w:sz w:val="24"/>
          <w:szCs w:val="24"/>
          <w:highlight w:val="none"/>
        </w:rPr>
        <w:t>注：</w:t>
      </w:r>
    </w:p>
    <w:p>
      <w:pPr>
        <w:spacing w:line="360" w:lineRule="auto"/>
        <w:rPr>
          <w:rFonts w:ascii="宋体" w:hAnsi="宋体" w:cs="Courier New"/>
          <w:color w:val="auto"/>
          <w:sz w:val="24"/>
          <w:szCs w:val="24"/>
          <w:highlight w:val="none"/>
        </w:rPr>
      </w:pPr>
      <w:r>
        <w:rPr>
          <w:rFonts w:hint="eastAsia" w:ascii="宋体" w:hAnsi="宋体" w:cs="Courier New"/>
          <w:color w:val="auto"/>
          <w:sz w:val="24"/>
          <w:szCs w:val="24"/>
          <w:highlight w:val="none"/>
        </w:rPr>
        <w:t>1、营业收入、资产总额填报上一年度数据，无上一年度数据的新成立企业可不填报。</w:t>
      </w:r>
    </w:p>
    <w:p>
      <w:pPr>
        <w:spacing w:line="360" w:lineRule="auto"/>
        <w:rPr>
          <w:rFonts w:ascii="宋体" w:hAnsi="宋体" w:cs="Courier New"/>
          <w:color w:val="auto"/>
          <w:sz w:val="24"/>
          <w:szCs w:val="24"/>
          <w:highlight w:val="none"/>
        </w:rPr>
      </w:pPr>
      <w:r>
        <w:rPr>
          <w:rFonts w:hint="eastAsia" w:ascii="宋体" w:hAnsi="宋体" w:cs="Courier New"/>
          <w:color w:val="auto"/>
          <w:sz w:val="24"/>
          <w:szCs w:val="24"/>
          <w:highlight w:val="none"/>
        </w:rPr>
        <w:t>2、《中小企业声明函》须按照本函格式填写，否则评标委员会有权视其为非中小企业，不享受免于提交投标保证金的优惠政策。</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3、招标人、招标代理机构将按有关规定公开《中小企业声明函》。</w:t>
      </w:r>
    </w:p>
    <w:p>
      <w:pPr>
        <w:pStyle w:val="128"/>
        <w:spacing w:beforeLines="0" w:afterLines="0" w:line="360" w:lineRule="auto"/>
        <w:rPr>
          <w:rFonts w:hint="eastAsia" w:ascii="宋体" w:eastAsia="宋体" w:cs="宋体"/>
          <w:color w:val="auto"/>
          <w:highlight w:val="none"/>
        </w:rPr>
      </w:pPr>
      <w:r>
        <w:rPr>
          <w:rFonts w:ascii="宋体" w:eastAsia="宋体"/>
          <w:color w:val="auto"/>
          <w:highlight w:val="none"/>
        </w:rPr>
        <w:br w:type="page"/>
      </w:r>
      <w:bookmarkStart w:id="90" w:name="_Toc25397"/>
      <w:bookmarkStart w:id="91" w:name="_Toc84936528"/>
      <w:r>
        <w:rPr>
          <w:rFonts w:hint="eastAsia" w:ascii="宋体" w:eastAsia="宋体" w:cs="宋体"/>
          <w:color w:val="auto"/>
          <w:highlight w:val="none"/>
        </w:rPr>
        <w:t>格式十</w:t>
      </w:r>
      <w:r>
        <w:rPr>
          <w:rFonts w:hint="eastAsia" w:ascii="宋体" w:eastAsia="宋体" w:cs="宋体"/>
          <w:color w:val="auto"/>
          <w:highlight w:val="none"/>
          <w:lang w:val="en-US" w:eastAsia="zh-CN"/>
        </w:rPr>
        <w:t>三</w:t>
      </w:r>
      <w:r>
        <w:rPr>
          <w:rFonts w:hint="eastAsia" w:ascii="宋体" w:eastAsia="宋体" w:cs="宋体"/>
          <w:color w:val="auto"/>
          <w:highlight w:val="none"/>
        </w:rPr>
        <w:t>：关于投标保证金的承诺</w:t>
      </w:r>
      <w:bookmarkEnd w:id="90"/>
      <w:bookmarkEnd w:id="91"/>
    </w:p>
    <w:p>
      <w:pPr>
        <w:rPr>
          <w:rFonts w:hint="eastAsia" w:ascii="宋体" w:hAnsi="宋体" w:cs="宋体"/>
          <w:color w:val="auto"/>
          <w:highlight w:val="none"/>
        </w:rPr>
      </w:pPr>
    </w:p>
    <w:p>
      <w:pPr>
        <w:jc w:val="center"/>
        <w:rPr>
          <w:rFonts w:hint="eastAsia" w:ascii="黑体" w:hAnsi="黑体" w:eastAsia="黑体" w:cs="华文仿宋"/>
          <w:color w:val="auto"/>
          <w:kern w:val="0"/>
          <w:sz w:val="28"/>
          <w:szCs w:val="28"/>
          <w:highlight w:val="none"/>
          <w:lang w:val="zh-CN"/>
        </w:rPr>
      </w:pPr>
      <w:r>
        <w:rPr>
          <w:rFonts w:hint="eastAsia" w:ascii="黑体" w:hAnsi="黑体" w:eastAsia="黑体" w:cs="华文仿宋"/>
          <w:color w:val="auto"/>
          <w:kern w:val="0"/>
          <w:sz w:val="28"/>
          <w:szCs w:val="28"/>
          <w:highlight w:val="none"/>
          <w:lang w:val="zh-CN"/>
        </w:rPr>
        <w:t>关于投标保证金的承诺</w:t>
      </w:r>
    </w:p>
    <w:p>
      <w:pPr>
        <w:spacing w:line="360" w:lineRule="auto"/>
        <w:jc w:val="left"/>
        <w:rPr>
          <w:rFonts w:hint="eastAsia" w:ascii="宋体" w:hAnsi="宋体" w:cs="仿宋_GB2312"/>
          <w:color w:val="auto"/>
          <w:sz w:val="24"/>
          <w:szCs w:val="24"/>
          <w:highlight w:val="none"/>
        </w:rPr>
      </w:pPr>
    </w:p>
    <w:p>
      <w:pPr>
        <w:spacing w:line="360" w:lineRule="auto"/>
        <w:jc w:val="left"/>
        <w:rPr>
          <w:rFonts w:ascii="宋体" w:hAnsi="宋体" w:cs="仿宋_GB2312"/>
          <w:color w:val="auto"/>
          <w:sz w:val="24"/>
          <w:szCs w:val="24"/>
          <w:highlight w:val="none"/>
        </w:rPr>
      </w:pPr>
      <w:r>
        <w:rPr>
          <w:rFonts w:hint="eastAsia" w:ascii="宋体" w:hAnsi="宋体"/>
          <w:color w:val="auto"/>
          <w:sz w:val="24"/>
          <w:szCs w:val="24"/>
          <w:highlight w:val="none"/>
        </w:rPr>
        <w:t>广州市增城区仙村镇沙滘村中坊股份经济合作社</w:t>
      </w:r>
      <w:r>
        <w:rPr>
          <w:rFonts w:hint="eastAsia" w:ascii="宋体" w:hAnsi="宋体" w:cs="仿宋_GB2312"/>
          <w:color w:val="auto"/>
          <w:sz w:val="24"/>
          <w:szCs w:val="24"/>
          <w:highlight w:val="none"/>
        </w:rPr>
        <w:t>：</w:t>
      </w:r>
    </w:p>
    <w:p>
      <w:pPr>
        <w:spacing w:line="360" w:lineRule="auto"/>
        <w:ind w:firstLine="480" w:firstLineChars="200"/>
        <w:jc w:val="left"/>
        <w:rPr>
          <w:rFonts w:ascii="宋体" w:hAnsi="宋体" w:cs="仿宋_GB2312"/>
          <w:color w:val="auto"/>
          <w:sz w:val="24"/>
          <w:szCs w:val="24"/>
          <w:highlight w:val="none"/>
        </w:rPr>
      </w:pPr>
      <w:r>
        <w:rPr>
          <w:rFonts w:hint="eastAsia" w:ascii="宋体" w:hAnsi="宋体" w:cs="仿宋_GB2312"/>
          <w:color w:val="auto"/>
          <w:sz w:val="24"/>
          <w:szCs w:val="24"/>
          <w:highlight w:val="none"/>
        </w:rPr>
        <w:t>本公司就参加</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u w:val="single"/>
          <w:lang w:eastAsia="zh-CN"/>
        </w:rPr>
        <w:t>仙村镇沙滘村中坊社纪念公园建设工程施工总承包</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项目的投标工作，作出郑重声明：</w:t>
      </w:r>
    </w:p>
    <w:p>
      <w:pPr>
        <w:spacing w:line="360" w:lineRule="auto"/>
        <w:ind w:firstLine="480" w:firstLineChars="200"/>
        <w:jc w:val="left"/>
        <w:rPr>
          <w:rFonts w:ascii="宋体" w:hAnsi="宋体" w:cs="仿宋_GB2312"/>
          <w:color w:val="auto"/>
          <w:sz w:val="24"/>
          <w:szCs w:val="24"/>
          <w:highlight w:val="none"/>
        </w:rPr>
      </w:pPr>
      <w:r>
        <w:rPr>
          <w:rFonts w:hint="eastAsia" w:ascii="宋体" w:hAnsi="宋体" w:cs="仿宋_GB2312"/>
          <w:color w:val="auto"/>
          <w:sz w:val="24"/>
          <w:szCs w:val="24"/>
          <w:highlight w:val="none"/>
        </w:rPr>
        <w:t>本公司满足招标文件中免交投标保证金的相关要求，在投标时未提交投标保证金。我司理解在投标时免交投标保证金是为企业减负的举措，并未免除我司的投标义务，本公司</w:t>
      </w:r>
      <w:r>
        <w:rPr>
          <w:rFonts w:hint="eastAsia" w:ascii="宋体" w:hAnsi="宋体" w:cs="华文仿宋"/>
          <w:color w:val="auto"/>
          <w:kern w:val="0"/>
          <w:sz w:val="24"/>
          <w:szCs w:val="24"/>
          <w:highlight w:val="none"/>
          <w:lang w:val="zh-CN"/>
        </w:rPr>
        <w:t>一旦发生符合招标文件规定的不予退还投标保证金情形的，将</w:t>
      </w:r>
      <w:r>
        <w:rPr>
          <w:rFonts w:hint="eastAsia" w:ascii="宋体" w:hAnsi="宋体" w:cs="仿宋_GB2312"/>
          <w:color w:val="auto"/>
          <w:sz w:val="24"/>
          <w:szCs w:val="24"/>
          <w:highlight w:val="none"/>
        </w:rPr>
        <w:t>按照招标人的要求，在规定的时间内向招标人足额补交投标保证金。</w:t>
      </w:r>
    </w:p>
    <w:p>
      <w:pPr>
        <w:spacing w:line="360" w:lineRule="auto"/>
        <w:ind w:firstLine="480" w:firstLineChars="200"/>
        <w:jc w:val="left"/>
        <w:rPr>
          <w:rFonts w:ascii="宋体" w:hAnsi="宋体" w:cs="仿宋_GB2312"/>
          <w:color w:val="auto"/>
          <w:sz w:val="24"/>
          <w:szCs w:val="24"/>
          <w:highlight w:val="none"/>
        </w:rPr>
      </w:pPr>
      <w:r>
        <w:rPr>
          <w:rFonts w:hint="eastAsia" w:ascii="宋体" w:hAnsi="宋体" w:cs="仿宋_GB2312"/>
          <w:color w:val="auto"/>
          <w:sz w:val="24"/>
          <w:szCs w:val="24"/>
          <w:highlight w:val="none"/>
        </w:rPr>
        <w:t>本公司违反上述保证的，将被视为虚假承诺，按相关规定进行信用记录。本公司对失信行为产生的一切后果已知悉，并承担由此产生的相应责任。</w:t>
      </w:r>
    </w:p>
    <w:p>
      <w:pPr>
        <w:spacing w:line="360" w:lineRule="auto"/>
        <w:ind w:firstLine="480" w:firstLineChars="200"/>
        <w:jc w:val="left"/>
        <w:rPr>
          <w:rFonts w:ascii="宋体" w:hAnsi="宋体" w:cs="仿宋_GB2312"/>
          <w:color w:val="auto"/>
          <w:sz w:val="24"/>
          <w:szCs w:val="24"/>
          <w:highlight w:val="none"/>
        </w:rPr>
      </w:pPr>
      <w:r>
        <w:rPr>
          <w:rFonts w:hint="eastAsia" w:ascii="宋体" w:hAnsi="宋体" w:cs="仿宋_GB2312"/>
          <w:color w:val="auto"/>
          <w:sz w:val="24"/>
          <w:szCs w:val="24"/>
          <w:highlight w:val="none"/>
        </w:rPr>
        <w:t>特此承诺。</w:t>
      </w:r>
    </w:p>
    <w:p>
      <w:pPr>
        <w:spacing w:line="360" w:lineRule="auto"/>
        <w:ind w:firstLine="480" w:firstLineChars="200"/>
        <w:jc w:val="left"/>
        <w:rPr>
          <w:rFonts w:ascii="宋体" w:hAnsi="宋体" w:cs="仿宋_GB2312"/>
          <w:color w:val="auto"/>
          <w:sz w:val="24"/>
          <w:szCs w:val="24"/>
          <w:highlight w:val="none"/>
        </w:rPr>
      </w:pPr>
    </w:p>
    <w:p>
      <w:pPr>
        <w:spacing w:line="360" w:lineRule="auto"/>
        <w:ind w:firstLine="480" w:firstLineChars="200"/>
        <w:jc w:val="left"/>
        <w:rPr>
          <w:rFonts w:ascii="宋体" w:hAnsi="宋体" w:cs="仿宋_GB2312"/>
          <w:color w:val="auto"/>
          <w:sz w:val="24"/>
          <w:szCs w:val="24"/>
          <w:highlight w:val="none"/>
        </w:rPr>
      </w:pPr>
    </w:p>
    <w:p>
      <w:pPr>
        <w:spacing w:line="360" w:lineRule="auto"/>
        <w:ind w:firstLine="480" w:firstLineChars="200"/>
        <w:jc w:val="left"/>
        <w:rPr>
          <w:rFonts w:ascii="宋体" w:hAnsi="宋体" w:cs="仿宋_GB2312"/>
          <w:color w:val="auto"/>
          <w:sz w:val="24"/>
          <w:szCs w:val="24"/>
          <w:highlight w:val="none"/>
        </w:rPr>
      </w:pPr>
    </w:p>
    <w:p>
      <w:pPr>
        <w:spacing w:line="360" w:lineRule="auto"/>
        <w:ind w:firstLine="3120" w:firstLineChars="1300"/>
        <w:jc w:val="right"/>
        <w:rPr>
          <w:rFonts w:ascii="宋体" w:hAnsi="宋体" w:cs="仿宋_GB2312"/>
          <w:color w:val="auto"/>
          <w:sz w:val="24"/>
          <w:szCs w:val="24"/>
          <w:highlight w:val="none"/>
        </w:rPr>
      </w:pPr>
      <w:r>
        <w:rPr>
          <w:rFonts w:ascii="宋体" w:hAnsi="宋体" w:cs="仿宋_GB2312"/>
          <w:color w:val="auto"/>
          <w:sz w:val="24"/>
          <w:szCs w:val="24"/>
          <w:highlight w:val="none"/>
        </w:rPr>
        <w:t>投标人：　　（盖章）</w:t>
      </w:r>
    </w:p>
    <w:p>
      <w:pPr>
        <w:spacing w:line="360" w:lineRule="auto"/>
        <w:ind w:firstLine="3120" w:firstLineChars="1300"/>
        <w:jc w:val="center"/>
        <w:rPr>
          <w:rFonts w:hint="eastAsia" w:ascii="宋体" w:hAnsi="宋体" w:cs="宋体"/>
          <w:color w:val="auto"/>
          <w:sz w:val="24"/>
          <w:szCs w:val="24"/>
          <w:highlight w:val="none"/>
        </w:rPr>
      </w:pPr>
      <w:r>
        <w:rPr>
          <w:rFonts w:hint="eastAsia" w:ascii="宋体" w:hAnsi="宋体" w:cs="仿宋_GB2312"/>
          <w:color w:val="auto"/>
          <w:sz w:val="24"/>
          <w:szCs w:val="24"/>
          <w:highlight w:val="none"/>
        </w:rPr>
        <w:t xml:space="preserve">                  </w:t>
      </w:r>
      <w:r>
        <w:rPr>
          <w:rFonts w:ascii="宋体" w:hAnsi="宋体" w:cs="仿宋_GB2312"/>
          <w:color w:val="auto"/>
          <w:sz w:val="24"/>
          <w:szCs w:val="24"/>
          <w:highlight w:val="none"/>
        </w:rPr>
        <w:t xml:space="preserve">日  期：    </w:t>
      </w:r>
    </w:p>
    <w:p>
      <w:pPr>
        <w:pStyle w:val="122"/>
        <w:ind w:firstLine="496"/>
        <w:rPr>
          <w:rFonts w:hint="eastAsia" w:ascii="宋体" w:hAnsi="宋体" w:cs="宋体"/>
          <w:color w:val="auto"/>
          <w:highlight w:val="none"/>
        </w:rPr>
      </w:pPr>
    </w:p>
    <w:p>
      <w:pPr>
        <w:spacing w:before="156"/>
        <w:outlineLvl w:val="0"/>
        <w:rPr>
          <w:rFonts w:hint="eastAsia" w:ascii="宋体" w:hAnsi="宋体" w:eastAsia="宋体" w:cs="宋体"/>
          <w:color w:val="auto"/>
          <w:highlight w:val="none"/>
        </w:rPr>
      </w:pPr>
      <w:bookmarkStart w:id="92" w:name="_Toc21343"/>
      <w:bookmarkStart w:id="93" w:name="_Toc7019447"/>
      <w:bookmarkStart w:id="94" w:name="_Toc6123"/>
      <w:r>
        <w:rPr>
          <w:rFonts w:hint="eastAsia" w:ascii="宋体" w:hAnsi="宋体" w:eastAsia="宋体" w:cs="宋体"/>
          <w:color w:val="auto"/>
          <w:highlight w:val="none"/>
        </w:rPr>
        <w:br w:type="page"/>
      </w:r>
    </w:p>
    <w:p>
      <w:pPr>
        <w:pStyle w:val="121"/>
        <w:spacing w:before="156" w:line="360" w:lineRule="auto"/>
        <w:outlineLvl w:val="0"/>
        <w:rPr>
          <w:rFonts w:hint="eastAsia" w:ascii="宋体" w:hAnsi="宋体" w:eastAsia="宋体" w:cs="宋体"/>
          <w:color w:val="auto"/>
          <w:highlight w:val="none"/>
        </w:rPr>
      </w:pPr>
      <w:r>
        <w:rPr>
          <w:rFonts w:hint="eastAsia" w:ascii="宋体" w:hAnsi="宋体" w:eastAsia="宋体" w:cs="宋体"/>
          <w:color w:val="auto"/>
          <w:highlight w:val="none"/>
        </w:rPr>
        <w:t>二、经济标投标文件格式</w:t>
      </w:r>
      <w:bookmarkEnd w:id="92"/>
      <w:bookmarkEnd w:id="93"/>
      <w:bookmarkEnd w:id="94"/>
    </w:p>
    <w:p>
      <w:pPr>
        <w:pStyle w:val="122"/>
        <w:ind w:firstLine="496"/>
        <w:rPr>
          <w:rFonts w:hint="eastAsia" w:ascii="宋体" w:hAnsi="宋体" w:cs="宋体"/>
          <w:color w:val="auto"/>
          <w:highlight w:val="none"/>
        </w:rPr>
      </w:pPr>
    </w:p>
    <w:p>
      <w:pPr>
        <w:tabs>
          <w:tab w:val="left" w:pos="720"/>
        </w:tabs>
        <w:snapToGrid w:val="0"/>
        <w:spacing w:line="360" w:lineRule="auto"/>
        <w:jc w:val="center"/>
        <w:rPr>
          <w:rFonts w:hint="eastAsia"/>
          <w:color w:val="auto"/>
          <w:szCs w:val="21"/>
          <w:highlight w:val="none"/>
        </w:rPr>
      </w:pPr>
      <w:r>
        <w:rPr>
          <w:rFonts w:hint="eastAsia" w:ascii="宋体" w:hAnsi="宋体" w:cs="宋体"/>
          <w:b/>
          <w:color w:val="auto"/>
          <w:highlight w:val="none"/>
        </w:rPr>
        <w:br w:type="page"/>
      </w:r>
    </w:p>
    <w:p>
      <w:pPr>
        <w:outlineLvl w:val="2"/>
        <w:rPr>
          <w:rFonts w:hint="eastAsia" w:ascii="宋体" w:hAnsi="宋体" w:cs="宋体"/>
          <w:b/>
          <w:color w:val="auto"/>
          <w:sz w:val="24"/>
          <w:szCs w:val="24"/>
          <w:highlight w:val="none"/>
        </w:rPr>
      </w:pPr>
      <w:bookmarkStart w:id="95" w:name="_Toc30545"/>
      <w:r>
        <w:rPr>
          <w:rFonts w:hint="eastAsia" w:ascii="宋体" w:hAnsi="宋体" w:cs="宋体"/>
          <w:b/>
          <w:color w:val="auto"/>
          <w:sz w:val="24"/>
          <w:szCs w:val="24"/>
          <w:highlight w:val="none"/>
        </w:rPr>
        <w:t>格式一：经济标封面</w:t>
      </w:r>
      <w:bookmarkEnd w:id="95"/>
    </w:p>
    <w:p>
      <w:pPr>
        <w:pStyle w:val="122"/>
        <w:ind w:firstLine="496"/>
        <w:rPr>
          <w:rFonts w:hint="eastAsia" w:ascii="宋体" w:hAnsi="宋体" w:cs="宋体"/>
          <w:color w:val="auto"/>
          <w:highlight w:val="none"/>
        </w:rPr>
      </w:pPr>
    </w:p>
    <w:p>
      <w:pPr>
        <w:pStyle w:val="122"/>
        <w:ind w:firstLine="496"/>
        <w:rPr>
          <w:rFonts w:hint="eastAsia" w:ascii="宋体" w:hAnsi="宋体" w:cs="宋体"/>
          <w:color w:val="auto"/>
          <w:highlight w:val="none"/>
        </w:rPr>
      </w:pPr>
    </w:p>
    <w:p>
      <w:pPr>
        <w:pStyle w:val="123"/>
        <w:rPr>
          <w:rFonts w:hint="eastAsia" w:ascii="宋体" w:hAnsi="宋体" w:eastAsia="宋体" w:cs="宋体"/>
          <w:b w:val="0"/>
          <w:color w:val="auto"/>
          <w:highlight w:val="none"/>
          <w:u w:val="single"/>
        </w:rPr>
      </w:pPr>
      <w:r>
        <w:rPr>
          <w:rFonts w:hint="eastAsia" w:ascii="宋体" w:hAnsi="宋体" w:eastAsia="宋体" w:cs="宋体"/>
          <w:b w:val="0"/>
          <w:color w:val="auto"/>
          <w:highlight w:val="none"/>
          <w:u w:val="single"/>
        </w:rPr>
        <w:t xml:space="preserve">[工程名称] </w:t>
      </w:r>
    </w:p>
    <w:p>
      <w:pPr>
        <w:pStyle w:val="122"/>
        <w:ind w:firstLine="496"/>
        <w:rPr>
          <w:rFonts w:hint="eastAsia" w:ascii="宋体" w:hAnsi="宋体" w:cs="宋体"/>
          <w:color w:val="auto"/>
          <w:highlight w:val="none"/>
        </w:rPr>
      </w:pPr>
    </w:p>
    <w:p>
      <w:pPr>
        <w:pStyle w:val="122"/>
        <w:ind w:firstLine="496"/>
        <w:rPr>
          <w:rFonts w:hint="eastAsia" w:ascii="宋体" w:hAnsi="宋体" w:cs="宋体"/>
          <w:color w:val="auto"/>
          <w:highlight w:val="none"/>
        </w:rPr>
      </w:pPr>
    </w:p>
    <w:p>
      <w:pPr>
        <w:pStyle w:val="122"/>
        <w:ind w:firstLine="496"/>
        <w:rPr>
          <w:rFonts w:hint="eastAsia" w:ascii="宋体" w:hAnsi="宋体" w:cs="宋体"/>
          <w:color w:val="auto"/>
          <w:highlight w:val="none"/>
        </w:rPr>
      </w:pPr>
    </w:p>
    <w:p>
      <w:pPr>
        <w:pStyle w:val="122"/>
        <w:ind w:firstLine="496"/>
        <w:rPr>
          <w:rFonts w:hint="eastAsia" w:ascii="宋体" w:hAnsi="宋体" w:cs="宋体"/>
          <w:color w:val="auto"/>
          <w:highlight w:val="none"/>
        </w:rPr>
      </w:pPr>
    </w:p>
    <w:p>
      <w:pPr>
        <w:pStyle w:val="124"/>
        <w:rPr>
          <w:rFonts w:hint="eastAsia" w:ascii="宋体" w:hAnsi="宋体" w:eastAsia="宋体" w:cs="宋体"/>
          <w:b w:val="0"/>
          <w:color w:val="auto"/>
          <w:highlight w:val="none"/>
        </w:rPr>
      </w:pPr>
      <w:r>
        <w:rPr>
          <w:rFonts w:hint="eastAsia" w:ascii="宋体" w:hAnsi="宋体" w:eastAsia="宋体" w:cs="宋体"/>
          <w:b w:val="0"/>
          <w:color w:val="auto"/>
          <w:highlight w:val="none"/>
        </w:rPr>
        <w:t>投标文件</w:t>
      </w:r>
    </w:p>
    <w:p>
      <w:pPr>
        <w:pStyle w:val="123"/>
        <w:rPr>
          <w:rFonts w:hint="eastAsia" w:ascii="宋体" w:hAnsi="宋体" w:eastAsia="宋体" w:cs="宋体"/>
          <w:b w:val="0"/>
          <w:color w:val="auto"/>
          <w:highlight w:val="none"/>
        </w:rPr>
      </w:pPr>
      <w:r>
        <w:rPr>
          <w:rFonts w:hint="eastAsia" w:ascii="宋体" w:hAnsi="宋体" w:eastAsia="宋体" w:cs="宋体"/>
          <w:b w:val="0"/>
          <w:color w:val="auto"/>
          <w:highlight w:val="none"/>
        </w:rPr>
        <w:t>第二册 （经济标书）</w:t>
      </w:r>
    </w:p>
    <w:p>
      <w:pPr>
        <w:pStyle w:val="122"/>
        <w:ind w:firstLine="496"/>
        <w:rPr>
          <w:rFonts w:hint="eastAsia" w:ascii="宋体" w:hAnsi="宋体" w:cs="宋体"/>
          <w:color w:val="auto"/>
          <w:highlight w:val="none"/>
        </w:rPr>
      </w:pPr>
      <w:r>
        <w:rPr>
          <w:rFonts w:hint="eastAsia" w:ascii="宋体" w:hAnsi="宋体" w:cs="宋体"/>
          <w:color w:val="auto"/>
          <w:highlight w:val="none"/>
        </w:rPr>
        <w:t xml:space="preserve">   </w:t>
      </w:r>
    </w:p>
    <w:p>
      <w:pPr>
        <w:pStyle w:val="122"/>
        <w:ind w:firstLine="496"/>
        <w:rPr>
          <w:rFonts w:hint="eastAsia" w:ascii="宋体" w:hAnsi="宋体" w:cs="宋体"/>
          <w:color w:val="auto"/>
          <w:highlight w:val="none"/>
        </w:rPr>
      </w:pPr>
    </w:p>
    <w:p>
      <w:pPr>
        <w:pStyle w:val="122"/>
        <w:ind w:firstLine="496"/>
        <w:rPr>
          <w:rFonts w:hint="eastAsia" w:ascii="宋体" w:hAnsi="宋体" w:cs="宋体"/>
          <w:color w:val="auto"/>
          <w:highlight w:val="none"/>
        </w:rPr>
      </w:pPr>
    </w:p>
    <w:p>
      <w:pPr>
        <w:pStyle w:val="122"/>
        <w:ind w:firstLine="496"/>
        <w:rPr>
          <w:rFonts w:hint="eastAsia" w:ascii="宋体" w:hAnsi="宋体" w:cs="宋体"/>
          <w:color w:val="auto"/>
          <w:highlight w:val="none"/>
        </w:rPr>
      </w:pPr>
    </w:p>
    <w:p>
      <w:pPr>
        <w:pStyle w:val="122"/>
        <w:ind w:firstLine="496"/>
        <w:rPr>
          <w:rFonts w:hint="eastAsia" w:ascii="宋体" w:hAnsi="宋体" w:cs="宋体"/>
          <w:color w:val="auto"/>
          <w:highlight w:val="none"/>
        </w:rPr>
      </w:pPr>
    </w:p>
    <w:p>
      <w:pPr>
        <w:pStyle w:val="122"/>
        <w:ind w:firstLine="496"/>
        <w:rPr>
          <w:rFonts w:hint="eastAsia" w:ascii="宋体" w:hAnsi="宋体" w:cs="宋体"/>
          <w:color w:val="auto"/>
          <w:highlight w:val="none"/>
        </w:rPr>
      </w:pPr>
    </w:p>
    <w:p>
      <w:pPr>
        <w:pStyle w:val="125"/>
        <w:ind w:firstLine="616"/>
        <w:rPr>
          <w:rFonts w:hint="default" w:ascii="宋体" w:hAnsi="宋体" w:eastAsia="宋体" w:cs="宋体"/>
          <w:color w:val="auto"/>
          <w:highlight w:val="none"/>
          <w:lang w:val="en-US" w:eastAsia="zh-CN"/>
        </w:rPr>
      </w:pPr>
      <w:r>
        <w:rPr>
          <w:rFonts w:hint="eastAsia" w:ascii="宋体" w:hAnsi="宋体" w:cs="宋体"/>
          <w:color w:val="auto"/>
          <w:highlight w:val="none"/>
        </w:rPr>
        <w:t>投标人：</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p>
    <w:p>
      <w:pPr>
        <w:pStyle w:val="125"/>
        <w:ind w:firstLine="616"/>
        <w:rPr>
          <w:rFonts w:hint="eastAsia" w:ascii="宋体" w:hAnsi="宋体" w:cs="宋体"/>
          <w:color w:val="auto"/>
          <w:highlight w:val="none"/>
        </w:rPr>
      </w:pPr>
      <w:r>
        <w:rPr>
          <w:rFonts w:hint="eastAsia" w:ascii="宋体" w:hAnsi="宋体" w:cs="宋体"/>
          <w:color w:val="auto"/>
          <w:highlight w:val="none"/>
        </w:rPr>
        <w:t>日  期：</w:t>
      </w:r>
      <w:r>
        <w:rPr>
          <w:rFonts w:hint="eastAsia" w:ascii="宋体" w:hAnsi="宋体" w:cs="宋体"/>
          <w:color w:val="auto"/>
          <w:highlight w:val="none"/>
          <w:u w:val="single"/>
        </w:rPr>
        <w:t xml:space="preserve">                 </w:t>
      </w:r>
    </w:p>
    <w:p>
      <w:pPr>
        <w:rPr>
          <w:rFonts w:hint="eastAsia" w:ascii="宋体" w:hAnsi="宋体" w:cs="宋体"/>
          <w:color w:val="auto"/>
          <w:highlight w:val="none"/>
        </w:rPr>
      </w:pPr>
      <w:r>
        <w:rPr>
          <w:rFonts w:hint="eastAsia" w:ascii="宋体" w:hAnsi="宋体" w:cs="宋体"/>
          <w:color w:val="auto"/>
          <w:highlight w:val="none"/>
        </w:rPr>
        <w:br w:type="page"/>
      </w:r>
    </w:p>
    <w:p>
      <w:pPr>
        <w:outlineLvl w:val="2"/>
        <w:rPr>
          <w:rFonts w:hint="eastAsia" w:ascii="宋体" w:hAnsi="宋体" w:cs="宋体"/>
          <w:b/>
          <w:color w:val="auto"/>
          <w:sz w:val="24"/>
          <w:szCs w:val="24"/>
          <w:highlight w:val="none"/>
        </w:rPr>
      </w:pPr>
      <w:bookmarkStart w:id="96" w:name="_Toc19278"/>
      <w:r>
        <w:rPr>
          <w:rFonts w:hint="eastAsia" w:ascii="宋体" w:hAnsi="宋体" w:cs="宋体"/>
          <w:b/>
          <w:color w:val="auto"/>
          <w:sz w:val="24"/>
          <w:szCs w:val="24"/>
          <w:highlight w:val="none"/>
        </w:rPr>
        <w:t>格式二：工程量清单计价表</w:t>
      </w:r>
      <w:bookmarkEnd w:id="96"/>
    </w:p>
    <w:p>
      <w:pPr>
        <w:pStyle w:val="122"/>
        <w:ind w:firstLine="498"/>
        <w:rPr>
          <w:rFonts w:hint="eastAsia" w:ascii="宋体" w:hAnsi="宋体" w:cs="宋体"/>
          <w:b/>
          <w:color w:val="auto"/>
          <w:highlight w:val="none"/>
        </w:rPr>
      </w:pPr>
    </w:p>
    <w:p>
      <w:pPr>
        <w:pStyle w:val="126"/>
        <w:ind w:firstLine="617"/>
        <w:rPr>
          <w:rFonts w:hint="eastAsia" w:ascii="宋体" w:hAnsi="宋体" w:eastAsia="宋体" w:cs="宋体"/>
          <w:color w:val="auto"/>
          <w:highlight w:val="none"/>
        </w:rPr>
      </w:pPr>
      <w:r>
        <w:rPr>
          <w:rFonts w:hint="eastAsia" w:ascii="宋体" w:hAnsi="宋体" w:eastAsia="宋体" w:cs="宋体"/>
          <w:color w:val="auto"/>
          <w:highlight w:val="none"/>
        </w:rPr>
        <w:t>工程量清单计价表</w:t>
      </w:r>
    </w:p>
    <w:p>
      <w:pPr>
        <w:pStyle w:val="122"/>
        <w:ind w:firstLine="498"/>
        <w:rPr>
          <w:rFonts w:hint="eastAsia" w:ascii="宋体" w:hAnsi="宋体" w:cs="宋体"/>
          <w:b/>
          <w:color w:val="auto"/>
          <w:highlight w:val="none"/>
        </w:rPr>
      </w:pPr>
    </w:p>
    <w:p>
      <w:pPr>
        <w:pStyle w:val="122"/>
        <w:ind w:firstLine="498"/>
        <w:rPr>
          <w:rFonts w:hint="eastAsia" w:ascii="宋体" w:hAnsi="宋体" w:cs="宋体"/>
          <w:b/>
          <w:color w:val="auto"/>
          <w:highlight w:val="none"/>
        </w:rPr>
      </w:pPr>
      <w:r>
        <w:rPr>
          <w:rFonts w:hint="eastAsia" w:ascii="宋体" w:hAnsi="宋体" w:cs="宋体"/>
          <w:b/>
          <w:color w:val="auto"/>
          <w:highlight w:val="none"/>
        </w:rPr>
        <w:t>本部分内容详见招标文件第七章工程量清单。</w:t>
      </w:r>
    </w:p>
    <w:p>
      <w:pPr>
        <w:snapToGrid/>
        <w:spacing w:line="240" w:lineRule="auto"/>
        <w:jc w:val="left"/>
        <w:rPr>
          <w:rFonts w:hint="eastAsia"/>
          <w:color w:val="auto"/>
          <w:szCs w:val="21"/>
          <w:highlight w:val="none"/>
        </w:rPr>
      </w:pPr>
      <w:r>
        <w:rPr>
          <w:rFonts w:hint="eastAsia"/>
          <w:color w:val="auto"/>
          <w:szCs w:val="21"/>
          <w:highlight w:val="none"/>
        </w:rPr>
        <w:br w:type="page"/>
      </w:r>
    </w:p>
    <w:p>
      <w:pPr>
        <w:outlineLvl w:val="2"/>
        <w:rPr>
          <w:rFonts w:hint="eastAsia" w:ascii="宋体" w:hAnsi="宋体" w:cs="宋体"/>
          <w:b/>
          <w:color w:val="auto"/>
          <w:sz w:val="24"/>
          <w:szCs w:val="24"/>
          <w:highlight w:val="none"/>
        </w:rPr>
      </w:pPr>
      <w:bookmarkStart w:id="97" w:name="_Toc25912"/>
      <w:r>
        <w:rPr>
          <w:rFonts w:hint="eastAsia" w:ascii="宋体" w:hAnsi="宋体" w:cs="宋体"/>
          <w:b/>
          <w:color w:val="auto"/>
          <w:sz w:val="24"/>
          <w:szCs w:val="24"/>
          <w:highlight w:val="none"/>
        </w:rPr>
        <w:t>格式三：参与编制经济标投标文件人员名单</w:t>
      </w:r>
      <w:bookmarkEnd w:id="97"/>
    </w:p>
    <w:p>
      <w:pPr>
        <w:tabs>
          <w:tab w:val="left" w:pos="720"/>
        </w:tabs>
        <w:snapToGrid w:val="0"/>
        <w:spacing w:line="360" w:lineRule="auto"/>
        <w:jc w:val="center"/>
        <w:rPr>
          <w:rFonts w:hint="eastAsia" w:ascii="宋体" w:hAnsi="宋体" w:cs="宋体"/>
          <w:color w:val="auto"/>
          <w:sz w:val="24"/>
          <w:highlight w:val="none"/>
        </w:rPr>
      </w:pPr>
    </w:p>
    <w:p>
      <w:pPr>
        <w:pStyle w:val="126"/>
        <w:ind w:firstLine="617"/>
        <w:rPr>
          <w:rFonts w:hint="eastAsia" w:ascii="宋体" w:hAnsi="宋体" w:eastAsia="宋体" w:cs="宋体"/>
          <w:bCs w:val="0"/>
          <w:color w:val="auto"/>
          <w:highlight w:val="none"/>
        </w:rPr>
      </w:pPr>
      <w:r>
        <w:rPr>
          <w:rFonts w:hint="eastAsia" w:ascii="宋体" w:hAnsi="宋体" w:eastAsia="宋体" w:cs="宋体"/>
          <w:bCs w:val="0"/>
          <w:color w:val="auto"/>
          <w:highlight w:val="none"/>
        </w:rPr>
        <w:t>参与编制经济标投标文件人员名单</w:t>
      </w:r>
    </w:p>
    <w:tbl>
      <w:tblPr>
        <w:tblStyle w:val="3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bl>
    <w:p>
      <w:pPr>
        <w:pStyle w:val="5"/>
        <w:spacing w:after="0" w:line="360" w:lineRule="auto"/>
        <w:ind w:left="-2" w:leftChars="-1" w:firstLine="367" w:firstLineChars="175"/>
        <w:jc w:val="left"/>
        <w:rPr>
          <w:color w:val="auto"/>
          <w:szCs w:val="21"/>
          <w:highlight w:val="none"/>
        </w:rPr>
      </w:pPr>
      <w:r>
        <w:rPr>
          <w:rFonts w:hint="eastAsia"/>
          <w:color w:val="auto"/>
          <w:szCs w:val="21"/>
          <w:highlight w:val="none"/>
        </w:rPr>
        <w:t>注：参与编制投标文件所有人员名单应包括编制各种专业工程量清单投标报价、负责清样校对、负责打印及复印等所有人员在内的人员名单。</w:t>
      </w:r>
    </w:p>
    <w:p>
      <w:pPr>
        <w:autoSpaceDE w:val="0"/>
        <w:autoSpaceDN w:val="0"/>
        <w:adjustRightInd w:val="0"/>
        <w:rPr>
          <w:rFonts w:hint="eastAsia" w:ascii="宋体" w:hAnsi="宋体" w:cs="宋体"/>
          <w:b/>
          <w:color w:val="auto"/>
          <w:szCs w:val="21"/>
          <w:highlight w:val="none"/>
        </w:rPr>
      </w:pPr>
      <w:r>
        <w:rPr>
          <w:rFonts w:hint="eastAsia"/>
          <w:color w:val="auto"/>
          <w:sz w:val="28"/>
          <w:szCs w:val="28"/>
          <w:highlight w:val="none"/>
          <w:lang w:val="en-US" w:eastAsia="zh-CN"/>
        </w:rPr>
        <w:br w:type="page"/>
      </w:r>
      <w:bookmarkStart w:id="98" w:name="_Toc20620"/>
      <w:r>
        <w:rPr>
          <w:rFonts w:hint="eastAsia" w:ascii="宋体" w:hAnsi="宋体" w:cs="宋体"/>
          <w:b/>
          <w:color w:val="auto"/>
          <w:szCs w:val="21"/>
          <w:highlight w:val="none"/>
        </w:rPr>
        <w:t>格式四：对投标文件编制的承诺</w:t>
      </w:r>
      <w:bookmarkEnd w:id="98"/>
    </w:p>
    <w:p>
      <w:pPr>
        <w:autoSpaceDE w:val="0"/>
        <w:autoSpaceDN w:val="0"/>
        <w:adjustRightInd w:val="0"/>
        <w:spacing w:after="0"/>
        <w:jc w:val="center"/>
        <w:rPr>
          <w:rFonts w:hint="eastAsia"/>
          <w:b/>
          <w:color w:val="auto"/>
          <w:sz w:val="32"/>
          <w:szCs w:val="32"/>
          <w:highlight w:val="none"/>
        </w:rPr>
      </w:pPr>
    </w:p>
    <w:p>
      <w:pPr>
        <w:pStyle w:val="5"/>
        <w:spacing w:after="0" w:line="360" w:lineRule="auto"/>
        <w:ind w:firstLine="0"/>
        <w:jc w:val="center"/>
        <w:rPr>
          <w:color w:val="auto"/>
          <w:sz w:val="32"/>
          <w:szCs w:val="32"/>
          <w:highlight w:val="none"/>
        </w:rPr>
      </w:pPr>
      <w:r>
        <w:rPr>
          <w:rFonts w:hint="eastAsia"/>
          <w:b/>
          <w:color w:val="auto"/>
          <w:sz w:val="32"/>
          <w:szCs w:val="32"/>
          <w:highlight w:val="none"/>
        </w:rPr>
        <w:t>对投标文件编制的承诺</w:t>
      </w:r>
    </w:p>
    <w:p>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本公司授权</w:t>
      </w:r>
      <w:r>
        <w:rPr>
          <w:rFonts w:hint="eastAsia" w:ascii="宋体" w:hAnsi="宋体"/>
          <w:color w:val="auto"/>
          <w:sz w:val="24"/>
          <w:szCs w:val="24"/>
          <w:highlight w:val="none"/>
          <w:u w:val="single"/>
        </w:rPr>
        <w:t xml:space="preserve">         （身份证号：               ）</w:t>
      </w:r>
      <w:r>
        <w:rPr>
          <w:rFonts w:hint="eastAsia" w:ascii="宋体" w:hAnsi="宋体"/>
          <w:color w:val="auto"/>
          <w:sz w:val="24"/>
          <w:szCs w:val="24"/>
          <w:highlight w:val="none"/>
        </w:rPr>
        <w:t>负责对投标文件的编制及内容进行解释、说明，并承诺以下事项：</w:t>
      </w:r>
    </w:p>
    <w:p>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1.被授权人清楚投标文件编制的具体情况，包括技术方案文件、工程量清单、以及投标文件的加密打包的理解；</w:t>
      </w:r>
    </w:p>
    <w:p>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2.在本项目开标至评标结束前，努力确保被授权人在项目评标所在地附近；</w:t>
      </w:r>
    </w:p>
    <w:p>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3.从评标委员会要求澄清起二小时内，被授权人应如实地书面澄清。</w:t>
      </w:r>
    </w:p>
    <w:p>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 xml:space="preserve">如由于未遵守上述承诺内容之一导致无法进行澄清的，我公司认可和接受评标委员会作出的评审结论。                                 </w:t>
      </w:r>
    </w:p>
    <w:p>
      <w:pPr>
        <w:pStyle w:val="5"/>
        <w:spacing w:after="0"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 xml:space="preserve"> </w:t>
      </w:r>
    </w:p>
    <w:p>
      <w:pPr>
        <w:pStyle w:val="5"/>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附件：《投标文件编制情况》</w:t>
      </w:r>
    </w:p>
    <w:p>
      <w:pPr>
        <w:spacing w:line="360" w:lineRule="auto"/>
        <w:ind w:right="90" w:firstLine="3240" w:firstLineChars="1350"/>
        <w:rPr>
          <w:rFonts w:ascii="宋体" w:hAnsi="宋体"/>
          <w:color w:val="auto"/>
          <w:sz w:val="24"/>
          <w:szCs w:val="24"/>
          <w:highlight w:val="none"/>
          <w:u w:val="single"/>
        </w:rPr>
      </w:pPr>
      <w:r>
        <w:rPr>
          <w:rFonts w:hint="eastAsia" w:ascii="宋体" w:hAnsi="宋体"/>
          <w:color w:val="auto"/>
          <w:sz w:val="24"/>
          <w:szCs w:val="24"/>
          <w:highlight w:val="none"/>
        </w:rPr>
        <w:t xml:space="preserve"> 投标人名称（盖法人公章）：</w:t>
      </w:r>
      <w:r>
        <w:rPr>
          <w:rFonts w:hint="eastAsia" w:ascii="宋体" w:hAnsi="宋体"/>
          <w:color w:val="auto"/>
          <w:sz w:val="24"/>
          <w:szCs w:val="24"/>
          <w:highlight w:val="none"/>
          <w:u w:val="single"/>
        </w:rPr>
        <w:t xml:space="preserve">                  </w:t>
      </w:r>
    </w:p>
    <w:p>
      <w:pPr>
        <w:spacing w:line="360" w:lineRule="auto"/>
        <w:ind w:firstLine="2160" w:firstLineChars="900"/>
        <w:rPr>
          <w:rFonts w:ascii="宋体" w:hAnsi="宋体"/>
          <w:color w:val="auto"/>
          <w:sz w:val="24"/>
          <w:szCs w:val="24"/>
          <w:highlight w:val="none"/>
          <w:u w:val="single"/>
        </w:rPr>
      </w:pPr>
      <w:r>
        <w:rPr>
          <w:rFonts w:hint="eastAsia" w:ascii="宋体" w:hAnsi="宋体"/>
          <w:color w:val="auto"/>
          <w:sz w:val="24"/>
          <w:szCs w:val="24"/>
          <w:highlight w:val="none"/>
        </w:rPr>
        <w:t>法定代表人或被授权人（签字或盖章）：</w:t>
      </w:r>
      <w:r>
        <w:rPr>
          <w:rFonts w:hint="eastAsia" w:ascii="宋体" w:hAnsi="宋体"/>
          <w:color w:val="auto"/>
          <w:sz w:val="24"/>
          <w:szCs w:val="24"/>
          <w:highlight w:val="none"/>
          <w:u w:val="single"/>
        </w:rPr>
        <w:t xml:space="preserve">                  </w:t>
      </w:r>
    </w:p>
    <w:p>
      <w:pPr>
        <w:spacing w:line="360" w:lineRule="auto"/>
        <w:ind w:firstLine="4440" w:firstLineChars="1850"/>
        <w:jc w:val="center"/>
        <w:rPr>
          <w:color w:val="auto"/>
          <w:sz w:val="24"/>
          <w:szCs w:val="24"/>
          <w:highlight w:val="none"/>
        </w:rPr>
      </w:pPr>
      <w:r>
        <w:rPr>
          <w:rFonts w:hint="eastAsia"/>
          <w:color w:val="auto"/>
          <w:sz w:val="24"/>
          <w:szCs w:val="24"/>
          <w:highlight w:val="none"/>
        </w:rPr>
        <w:t xml:space="preserve"> 日期：      年   月   日 </w:t>
      </w:r>
      <w:r>
        <w:rPr>
          <w:rFonts w:hint="eastAsia"/>
          <w:color w:val="auto"/>
          <w:sz w:val="18"/>
          <w:szCs w:val="18"/>
          <w:highlight w:val="none"/>
        </w:rPr>
        <w:t xml:space="preserve"> </w:t>
      </w:r>
      <w:r>
        <w:rPr>
          <w:rFonts w:hint="eastAsia"/>
          <w:color w:val="auto"/>
          <w:sz w:val="24"/>
          <w:szCs w:val="24"/>
          <w:highlight w:val="none"/>
        </w:rPr>
        <w:t xml:space="preserve">    </w:t>
      </w:r>
    </w:p>
    <w:p>
      <w:pPr>
        <w:pStyle w:val="5"/>
        <w:spacing w:after="0" w:line="360" w:lineRule="auto"/>
        <w:ind w:firstLine="0"/>
        <w:rPr>
          <w:b/>
          <w:color w:val="auto"/>
          <w:sz w:val="32"/>
          <w:szCs w:val="32"/>
          <w:highlight w:val="none"/>
        </w:rPr>
      </w:pPr>
    </w:p>
    <w:p>
      <w:pPr>
        <w:pStyle w:val="5"/>
        <w:spacing w:after="0" w:line="360" w:lineRule="auto"/>
        <w:ind w:firstLine="643" w:firstLineChars="200"/>
        <w:jc w:val="center"/>
        <w:rPr>
          <w:color w:val="auto"/>
          <w:sz w:val="18"/>
          <w:szCs w:val="18"/>
          <w:highlight w:val="none"/>
        </w:rPr>
      </w:pPr>
      <w:r>
        <w:rPr>
          <w:rFonts w:hint="eastAsia"/>
          <w:b/>
          <w:color w:val="auto"/>
          <w:sz w:val="32"/>
          <w:szCs w:val="32"/>
          <w:highlight w:val="none"/>
        </w:rPr>
        <w:t>投标文件编制情况</w:t>
      </w:r>
    </w:p>
    <w:p>
      <w:pPr>
        <w:pStyle w:val="5"/>
        <w:spacing w:after="0"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1.投标文件报价编制方式: □自行编制的，编制的负责人：</w:t>
      </w:r>
      <w:r>
        <w:rPr>
          <w:rFonts w:hint="eastAsia" w:ascii="宋体" w:hAnsi="宋体"/>
          <w:color w:val="auto"/>
          <w:sz w:val="24"/>
          <w:szCs w:val="24"/>
          <w:highlight w:val="none"/>
          <w:u w:val="single"/>
        </w:rPr>
        <w:t xml:space="preserve"> （盖造价工程师执业专用章或全国建设工程造价员章，执业单位应与投标人一致） </w:t>
      </w:r>
      <w:r>
        <w:rPr>
          <w:rFonts w:hint="eastAsia" w:ascii="宋体" w:hAnsi="宋体"/>
          <w:color w:val="auto"/>
          <w:sz w:val="24"/>
          <w:szCs w:val="24"/>
          <w:highlight w:val="none"/>
        </w:rPr>
        <w:t>。□委托编制的，受委托单位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，编制的负责人：</w:t>
      </w:r>
      <w:r>
        <w:rPr>
          <w:rFonts w:hint="eastAsia" w:ascii="宋体" w:hAnsi="宋体"/>
          <w:color w:val="auto"/>
          <w:sz w:val="24"/>
          <w:szCs w:val="24"/>
          <w:highlight w:val="none"/>
          <w:u w:val="single"/>
        </w:rPr>
        <w:t xml:space="preserve"> （盖造价工程师执业专用章或全国建设工程造价员章，执业单位应与受委托单位一致） </w:t>
      </w:r>
      <w:r>
        <w:rPr>
          <w:rFonts w:hint="eastAsia" w:ascii="宋体" w:hAnsi="宋体"/>
          <w:color w:val="auto"/>
          <w:sz w:val="24"/>
          <w:szCs w:val="24"/>
          <w:highlight w:val="none"/>
        </w:rPr>
        <w:t>。</w:t>
      </w:r>
    </w:p>
    <w:p>
      <w:pPr>
        <w:pStyle w:val="5"/>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2.投标文件加密打包的电脑情况</w:t>
      </w:r>
    </w:p>
    <w:tbl>
      <w:tblPr>
        <w:tblStyle w:val="37"/>
        <w:tblW w:w="9180" w:type="dxa"/>
        <w:tblInd w:w="0" w:type="dxa"/>
        <w:tblLayout w:type="fixed"/>
        <w:tblCellMar>
          <w:top w:w="0" w:type="dxa"/>
          <w:left w:w="108" w:type="dxa"/>
          <w:bottom w:w="0" w:type="dxa"/>
          <w:right w:w="108" w:type="dxa"/>
        </w:tblCellMar>
      </w:tblPr>
      <w:tblGrid>
        <w:gridCol w:w="9180"/>
      </w:tblGrid>
      <w:tr>
        <w:tblPrEx>
          <w:tblCellMar>
            <w:top w:w="0" w:type="dxa"/>
            <w:left w:w="108" w:type="dxa"/>
            <w:bottom w:w="0" w:type="dxa"/>
            <w:right w:w="108" w:type="dxa"/>
          </w:tblCellMar>
        </w:tblPrEx>
        <w:trPr>
          <w:trHeight w:val="1870" w:hRule="atLeast"/>
        </w:trPr>
        <w:tc>
          <w:tcPr>
            <w:tcW w:w="9180" w:type="dxa"/>
            <w:shd w:val="clear" w:color="auto" w:fill="auto"/>
          </w:tcPr>
          <w:p>
            <w:pPr>
              <w:pStyle w:val="5"/>
              <w:spacing w:after="0" w:line="360" w:lineRule="auto"/>
              <w:ind w:firstLine="0"/>
              <w:rPr>
                <w:rFonts w:ascii="宋体" w:hAnsi="宋体"/>
                <w:color w:val="auto"/>
                <w:sz w:val="24"/>
                <w:szCs w:val="24"/>
                <w:highlight w:val="none"/>
              </w:rPr>
            </w:pPr>
            <w:r>
              <w:rPr>
                <w:rFonts w:hint="eastAsia" w:ascii="宋体" w:hAnsi="宋体"/>
                <w:color w:val="auto"/>
                <w:sz w:val="24"/>
                <w:szCs w:val="24"/>
                <w:highlight w:val="none"/>
              </w:rPr>
              <w:t>投标文件加密打包的电脑     自有    □      外包    □     其他    □</w:t>
            </w:r>
          </w:p>
          <w:p>
            <w:pPr>
              <w:pStyle w:val="5"/>
              <w:spacing w:after="0" w:line="360" w:lineRule="auto"/>
              <w:ind w:firstLine="0"/>
              <w:rPr>
                <w:rFonts w:ascii="宋体" w:hAnsi="宋体"/>
                <w:color w:val="auto"/>
                <w:sz w:val="24"/>
                <w:szCs w:val="24"/>
                <w:highlight w:val="none"/>
              </w:rPr>
            </w:pPr>
            <w:r>
              <w:rPr>
                <w:rFonts w:hint="eastAsia" w:ascii="宋体" w:hAnsi="宋体"/>
                <w:color w:val="auto"/>
                <w:sz w:val="24"/>
                <w:szCs w:val="24"/>
                <w:highlight w:val="none"/>
              </w:rPr>
              <w:t>电脑类型</w:t>
            </w:r>
          </w:p>
          <w:p>
            <w:pPr>
              <w:pStyle w:val="5"/>
              <w:spacing w:after="0" w:line="360" w:lineRule="auto"/>
              <w:ind w:firstLine="0"/>
              <w:rPr>
                <w:rFonts w:ascii="宋体" w:hAnsi="宋体"/>
                <w:color w:val="auto"/>
                <w:sz w:val="24"/>
                <w:szCs w:val="24"/>
                <w:highlight w:val="none"/>
              </w:rPr>
            </w:pPr>
            <w:r>
              <w:rPr>
                <w:rFonts w:hint="eastAsia" w:ascii="宋体" w:hAnsi="宋体"/>
                <w:color w:val="auto"/>
                <w:sz w:val="24"/>
                <w:szCs w:val="24"/>
                <w:highlight w:val="none"/>
              </w:rPr>
              <w:t>电脑所属单位</w:t>
            </w:r>
          </w:p>
          <w:p>
            <w:pPr>
              <w:pStyle w:val="5"/>
              <w:spacing w:after="0" w:line="360" w:lineRule="auto"/>
              <w:ind w:firstLine="0"/>
              <w:rPr>
                <w:rFonts w:ascii="宋体" w:hAnsi="宋体"/>
                <w:color w:val="auto"/>
                <w:sz w:val="24"/>
                <w:szCs w:val="24"/>
                <w:highlight w:val="none"/>
              </w:rPr>
            </w:pPr>
            <w:r>
              <w:rPr>
                <w:rFonts w:hint="eastAsia" w:ascii="宋体" w:hAnsi="宋体"/>
                <w:color w:val="auto"/>
                <w:sz w:val="24"/>
                <w:szCs w:val="24"/>
                <w:highlight w:val="none"/>
              </w:rPr>
              <w:t>电脑所在地址        （如××市××区(县) ××街（路）××号××大厦××房）</w:t>
            </w:r>
          </w:p>
        </w:tc>
      </w:tr>
    </w:tbl>
    <w:p>
      <w:pPr>
        <w:tabs>
          <w:tab w:val="left" w:pos="720"/>
        </w:tabs>
        <w:snapToGrid w:val="0"/>
        <w:spacing w:line="360" w:lineRule="auto"/>
        <w:ind w:firstLine="2530" w:firstLineChars="900"/>
        <w:rPr>
          <w:rStyle w:val="61"/>
          <w:rFonts w:hint="eastAsia"/>
          <w:color w:val="auto"/>
          <w:highlight w:val="none"/>
        </w:rPr>
      </w:pPr>
      <w:bookmarkStart w:id="99" w:name="_Toc2272568"/>
      <w:bookmarkStart w:id="100" w:name="_Toc21525513"/>
      <w:bookmarkStart w:id="101" w:name="_Toc15835"/>
      <w:bookmarkStart w:id="102" w:name="_Toc26180"/>
    </w:p>
    <w:p>
      <w:pPr>
        <w:tabs>
          <w:tab w:val="left" w:pos="720"/>
        </w:tabs>
        <w:snapToGrid w:val="0"/>
        <w:spacing w:line="360" w:lineRule="auto"/>
        <w:ind w:firstLine="2530" w:firstLineChars="900"/>
        <w:rPr>
          <w:rStyle w:val="61"/>
          <w:rFonts w:hint="eastAsia"/>
          <w:color w:val="auto"/>
          <w:highlight w:val="none"/>
        </w:rPr>
      </w:pPr>
    </w:p>
    <w:p>
      <w:pPr>
        <w:tabs>
          <w:tab w:val="left" w:pos="720"/>
        </w:tabs>
        <w:snapToGrid w:val="0"/>
        <w:spacing w:line="360" w:lineRule="auto"/>
        <w:ind w:firstLine="2530" w:firstLineChars="900"/>
        <w:rPr>
          <w:rStyle w:val="61"/>
          <w:rFonts w:hint="eastAsia"/>
          <w:color w:val="auto"/>
          <w:highlight w:val="none"/>
        </w:rPr>
      </w:pPr>
    </w:p>
    <w:p>
      <w:pPr>
        <w:tabs>
          <w:tab w:val="left" w:pos="720"/>
        </w:tabs>
        <w:snapToGrid w:val="0"/>
        <w:spacing w:line="360" w:lineRule="auto"/>
        <w:ind w:firstLine="2530" w:firstLineChars="900"/>
        <w:rPr>
          <w:rStyle w:val="61"/>
          <w:color w:val="auto"/>
          <w:highlight w:val="none"/>
        </w:rPr>
      </w:pPr>
      <w:r>
        <w:rPr>
          <w:rStyle w:val="61"/>
          <w:rFonts w:hint="eastAsia"/>
          <w:color w:val="auto"/>
          <w:highlight w:val="none"/>
        </w:rPr>
        <w:t>第五章</w:t>
      </w:r>
      <w:r>
        <w:rPr>
          <w:rStyle w:val="61"/>
          <w:color w:val="auto"/>
          <w:highlight w:val="none"/>
        </w:rPr>
        <w:t xml:space="preserve">  </w:t>
      </w:r>
      <w:r>
        <w:rPr>
          <w:rStyle w:val="61"/>
          <w:rFonts w:hint="eastAsia"/>
          <w:color w:val="auto"/>
          <w:highlight w:val="none"/>
        </w:rPr>
        <w:t>技术条件（工程建设标准）</w:t>
      </w:r>
      <w:bookmarkEnd w:id="99"/>
      <w:bookmarkEnd w:id="100"/>
    </w:p>
    <w:bookmarkEnd w:id="101"/>
    <w:bookmarkEnd w:id="102"/>
    <w:p>
      <w:pPr>
        <w:keepNext w:val="0"/>
        <w:keepLines w:val="0"/>
        <w:pageBreakBefore w:val="0"/>
        <w:kinsoku/>
        <w:wordWrap/>
        <w:overflowPunct/>
        <w:topLinePunct w:val="0"/>
        <w:autoSpaceDE/>
        <w:autoSpaceDN/>
        <w:bidi w:val="0"/>
        <w:adjustRightInd/>
        <w:spacing w:line="360" w:lineRule="auto"/>
        <w:ind w:firstLine="576"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bCs/>
          <w:color w:val="auto"/>
          <w:spacing w:val="4"/>
          <w:kern w:val="0"/>
          <w:sz w:val="28"/>
          <w:szCs w:val="28"/>
          <w:highlight w:val="none"/>
        </w:rPr>
        <w:t>本工程承包范围、承包方式、工期要求、质量标准、安全、文明施工具体详见合同条款约定。</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1、具体按施工图纸、中华人民共和国现行技术和验收规范、图纸中规定的其它技术和验收标准、遵照招标人相关规定要求为准。</w:t>
      </w:r>
    </w:p>
    <w:p>
      <w:pPr>
        <w:keepNext w:val="0"/>
        <w:keepLines w:val="0"/>
        <w:pageBreakBefore w:val="0"/>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color w:val="auto"/>
          <w:sz w:val="28"/>
          <w:szCs w:val="28"/>
          <w:highlight w:val="none"/>
        </w:rPr>
        <w:t>2、依据设计文件的要求，本招标工程项目的材料、设备、施工须达到中华人民共和国以及省、市或行业的工程建设标准、规范的要求。</w:t>
      </w:r>
    </w:p>
    <w:p>
      <w:pPr>
        <w:keepNext w:val="0"/>
        <w:keepLines w:val="0"/>
        <w:pageBreakBefore w:val="0"/>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3.施工现场建筑垃圾源头减量的具体要求和建筑垃圾综合利用产品的使用要求：</w:t>
      </w:r>
    </w:p>
    <w:p>
      <w:pPr>
        <w:keepNext w:val="0"/>
        <w:keepLines w:val="0"/>
        <w:pageBreakBefore w:val="0"/>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1）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pPr>
        <w:keepNext w:val="0"/>
        <w:keepLines w:val="0"/>
        <w:pageBreakBefore w:val="0"/>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（2）建筑垃圾应当按照国家有关规定进行分类，实行分类收集、分类贮存、分类运输、分类处置。</w:t>
      </w:r>
    </w:p>
    <w:p>
      <w:pPr>
        <w:keepNext w:val="0"/>
        <w:keepLines w:val="0"/>
        <w:pageBreakBefore w:val="0"/>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3）建设单位督促施工单位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pPr>
        <w:keepNext w:val="0"/>
        <w:keepLines w:val="0"/>
        <w:pageBreakBefore w:val="0"/>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4）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建筑垃圾运输车辆、船舶应当符合相应的载运技术条件。建筑垃圾处置场所为陆域的，不得采用开底式船舶运输建筑垃圾。</w:t>
      </w:r>
    </w:p>
    <w:p>
      <w:pPr>
        <w:keepNext w:val="0"/>
        <w:keepLines w:val="0"/>
        <w:pageBreakBefore w:val="0"/>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（5）工程泥浆应当在施工现场进行脱水固化处理。施工现场不具备条件的，应当采用罐装器具密闭运输至依法设置的建筑垃圾处置场所进行处置。水上工程中依法无需经脱水处理的除外。</w:t>
      </w:r>
    </w:p>
    <w:p>
      <w:pPr>
        <w:keepNext w:val="0"/>
        <w:keepLines w:val="0"/>
        <w:pageBreakBefore w:val="0"/>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6）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pPr>
        <w:keepNext w:val="0"/>
        <w:keepLines w:val="0"/>
        <w:pageBreakBefore w:val="0"/>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（7）建设单位和施工单位严格遵守并执行《广东省建筑垃圾管理条例》。</w:t>
      </w:r>
    </w:p>
    <w:p>
      <w:pPr>
        <w:keepNext w:val="0"/>
        <w:keepLines w:val="0"/>
        <w:pageBreakBefore w:val="0"/>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以上相关条款等均需符合《广东省建筑垃圾管理条例》的相关要求。</w:t>
      </w:r>
    </w:p>
    <w:p>
      <w:pPr>
        <w:pStyle w:val="2"/>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Cs/>
          <w:color w:val="auto"/>
          <w:kern w:val="2"/>
          <w:sz w:val="28"/>
          <w:szCs w:val="28"/>
          <w:highlight w:val="none"/>
          <w:lang w:val="en-US" w:eastAsia="zh-CN" w:bidi="ar-SA"/>
        </w:rPr>
        <w:t>4.为响应广州市推动智能建造试点城市建设的需求，推进建筑业数字化、智能化转型，鼓励承包人积极参考使用《</w:t>
      </w:r>
      <w:bookmarkStart w:id="103" w:name="OLE_LINK9"/>
      <w:r>
        <w:rPr>
          <w:rFonts w:hint="eastAsia" w:ascii="宋体" w:hAnsi="宋体" w:eastAsia="宋体" w:cs="宋体"/>
          <w:bCs/>
          <w:color w:val="auto"/>
          <w:kern w:val="2"/>
          <w:sz w:val="28"/>
          <w:szCs w:val="28"/>
          <w:highlight w:val="none"/>
          <w:lang w:val="en-US" w:eastAsia="zh-CN" w:bidi="ar-SA"/>
        </w:rPr>
        <w:t>广州市智能建造技术清单（1.0版）</w:t>
      </w:r>
      <w:bookmarkEnd w:id="103"/>
      <w:r>
        <w:rPr>
          <w:rFonts w:hint="eastAsia" w:ascii="宋体" w:hAnsi="宋体" w:eastAsia="宋体" w:cs="宋体"/>
          <w:bCs/>
          <w:color w:val="auto"/>
          <w:kern w:val="2"/>
          <w:sz w:val="28"/>
          <w:szCs w:val="28"/>
          <w:highlight w:val="none"/>
          <w:lang w:val="en-US" w:eastAsia="zh-CN" w:bidi="ar-SA"/>
        </w:rPr>
        <w:t>》中的相关技术。</w:t>
      </w:r>
    </w:p>
    <w:p>
      <w:pPr>
        <w:pStyle w:val="111"/>
        <w:keepNext w:val="0"/>
        <w:keepLines w:val="0"/>
        <w:pageBreakBefore w:val="0"/>
        <w:kinsoku/>
        <w:wordWrap/>
        <w:overflowPunct/>
        <w:topLinePunct w:val="0"/>
        <w:autoSpaceDE/>
        <w:autoSpaceDN/>
        <w:bidi w:val="0"/>
        <w:adjustRightInd/>
        <w:spacing w:line="360" w:lineRule="auto"/>
        <w:ind w:firstLine="560"/>
        <w:jc w:val="left"/>
        <w:textAlignment w:val="auto"/>
        <w:outlineLvl w:val="0"/>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5.为贯彻绿色发展理念，本项目应积极使用氢燃料电池建筑废弃物运输车、混凝土搅拌车和物流运输车辆参与运输作业。</w:t>
      </w:r>
    </w:p>
    <w:p>
      <w:pPr>
        <w:pStyle w:val="111"/>
        <w:keepNext w:val="0"/>
        <w:keepLines w:val="0"/>
        <w:pageBreakBefore w:val="0"/>
        <w:kinsoku/>
        <w:wordWrap/>
        <w:overflowPunct/>
        <w:topLinePunct w:val="0"/>
        <w:autoSpaceDE/>
        <w:autoSpaceDN/>
        <w:bidi w:val="0"/>
        <w:adjustRightInd/>
        <w:spacing w:line="360" w:lineRule="auto"/>
        <w:ind w:firstLine="560"/>
        <w:jc w:val="left"/>
        <w:textAlignment w:val="auto"/>
        <w:outlineLvl w:val="0"/>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6.对承包人参与“百千万工程”的具体要求在中标后按照投标承诺和招标人的要求执行。如政府部门有“百干万工程”相关要求，承包人须无条件配合。</w:t>
      </w:r>
    </w:p>
    <w:p>
      <w:pPr>
        <w:pStyle w:val="111"/>
        <w:keepNext w:val="0"/>
        <w:keepLines w:val="0"/>
        <w:pageBreakBefore w:val="0"/>
        <w:kinsoku/>
        <w:wordWrap/>
        <w:overflowPunct/>
        <w:topLinePunct w:val="0"/>
        <w:autoSpaceDE/>
        <w:autoSpaceDN/>
        <w:bidi w:val="0"/>
        <w:adjustRightInd/>
        <w:spacing w:line="360" w:lineRule="auto"/>
        <w:ind w:firstLine="560"/>
        <w:jc w:val="left"/>
        <w:textAlignment w:val="auto"/>
        <w:outlineLvl w:val="0"/>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7.本项目施工过程中涉及占道施工，承包人需按相关部门要求办理占道施工许可证等相关审批手续并做好相关告知工作，占道施工过程中做好围蔽及指引工作，施工完成后做好修复，围蔽需严格按照</w:t>
      </w:r>
      <w:r>
        <w:rPr>
          <w:rFonts w:hint="eastAsia" w:ascii="宋体" w:hAnsi="宋体" w:eastAsia="宋体" w:cs="宋体"/>
          <w:color w:val="auto"/>
          <w:sz w:val="28"/>
          <w:szCs w:val="28"/>
          <w:highlight w:val="none"/>
          <w:lang w:val="en-US" w:eastAsia="zh-CN"/>
        </w:rPr>
        <w:t>《广州市建设工程绿色施工围蔽指导图集V2.0版》执行。</w:t>
      </w:r>
    </w:p>
    <w:p>
      <w:pPr>
        <w:pStyle w:val="3"/>
        <w:rPr>
          <w:color w:val="auto"/>
          <w:highlight w:val="none"/>
        </w:rPr>
      </w:pPr>
      <w:r>
        <w:rPr>
          <w:color w:val="auto"/>
          <w:sz w:val="24"/>
          <w:szCs w:val="24"/>
          <w:highlight w:val="none"/>
        </w:rPr>
        <w:br w:type="page"/>
      </w:r>
      <w:bookmarkStart w:id="104" w:name="_Toc2272569"/>
      <w:bookmarkStart w:id="105" w:name="_Toc21525514"/>
      <w:bookmarkStart w:id="106" w:name="_Toc24011"/>
      <w:bookmarkStart w:id="107" w:name="_Toc17091"/>
      <w:r>
        <w:rPr>
          <w:rFonts w:hint="eastAsia"/>
          <w:color w:val="auto"/>
          <w:highlight w:val="none"/>
        </w:rPr>
        <w:t>第六章</w:t>
      </w:r>
      <w:r>
        <w:rPr>
          <w:color w:val="auto"/>
          <w:highlight w:val="none"/>
        </w:rPr>
        <w:t xml:space="preserve">  </w:t>
      </w:r>
      <w:r>
        <w:rPr>
          <w:rFonts w:hint="eastAsia"/>
          <w:color w:val="auto"/>
          <w:highlight w:val="none"/>
        </w:rPr>
        <w:t>图纸及勘察资料</w:t>
      </w:r>
      <w:bookmarkEnd w:id="104"/>
      <w:bookmarkEnd w:id="105"/>
      <w:bookmarkEnd w:id="106"/>
      <w:bookmarkEnd w:id="107"/>
    </w:p>
    <w:p>
      <w:pPr>
        <w:jc w:val="center"/>
        <w:rPr>
          <w:rFonts w:ascii="宋体"/>
          <w:b/>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rPr>
        <w:t>另册</w:t>
      </w:r>
      <w:r>
        <w:rPr>
          <w:rFonts w:hint="eastAsia" w:ascii="宋体" w:hAnsi="宋体"/>
          <w:color w:val="auto"/>
          <w:sz w:val="24"/>
          <w:szCs w:val="24"/>
          <w:highlight w:val="none"/>
          <w:lang w:eastAsia="zh-CN"/>
        </w:rPr>
        <w:t>）</w:t>
      </w:r>
    </w:p>
    <w:p>
      <w:pPr>
        <w:pStyle w:val="3"/>
        <w:rPr>
          <w:color w:val="auto"/>
          <w:highlight w:val="none"/>
        </w:rPr>
      </w:pPr>
      <w:r>
        <w:rPr>
          <w:color w:val="auto"/>
          <w:sz w:val="24"/>
          <w:szCs w:val="24"/>
          <w:highlight w:val="none"/>
        </w:rPr>
        <w:br w:type="page"/>
      </w:r>
      <w:bookmarkStart w:id="108" w:name="_Toc13042"/>
      <w:bookmarkStart w:id="109" w:name="_Toc1393"/>
      <w:bookmarkStart w:id="110" w:name="_Toc2272570"/>
      <w:bookmarkStart w:id="111" w:name="_Toc21525515"/>
      <w:r>
        <w:rPr>
          <w:rFonts w:hint="eastAsia"/>
          <w:color w:val="auto"/>
          <w:highlight w:val="none"/>
        </w:rPr>
        <w:t>第七章</w:t>
      </w:r>
      <w:r>
        <w:rPr>
          <w:color w:val="auto"/>
          <w:highlight w:val="none"/>
        </w:rPr>
        <w:t xml:space="preserve">  </w:t>
      </w:r>
      <w:r>
        <w:rPr>
          <w:rFonts w:hint="eastAsia"/>
          <w:color w:val="auto"/>
          <w:highlight w:val="none"/>
        </w:rPr>
        <w:t>工程量清单</w:t>
      </w:r>
      <w:bookmarkEnd w:id="108"/>
      <w:bookmarkEnd w:id="109"/>
      <w:bookmarkEnd w:id="110"/>
      <w:bookmarkEnd w:id="111"/>
    </w:p>
    <w:p>
      <w:pPr>
        <w:pStyle w:val="5"/>
        <w:spacing w:after="0" w:line="360" w:lineRule="auto"/>
        <w:ind w:left="-2" w:leftChars="-1" w:firstLine="960" w:firstLineChars="400"/>
        <w:jc w:val="center"/>
        <w:rPr>
          <w:rFonts w:hint="eastAsia" w:ascii="宋体" w:eastAsia="宋体"/>
          <w:color w:val="auto"/>
          <w:sz w:val="24"/>
          <w:highlight w:val="none"/>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另册</w:t>
      </w:r>
      <w:r>
        <w:rPr>
          <w:rFonts w:hint="eastAsia" w:ascii="宋体" w:hAnsi="宋体"/>
          <w:color w:val="auto"/>
          <w:sz w:val="24"/>
          <w:szCs w:val="24"/>
          <w:highlight w:val="none"/>
          <w:lang w:eastAsia="zh-CN"/>
        </w:rPr>
        <w:t>）</w:t>
      </w:r>
    </w:p>
    <w:p>
      <w:pPr>
        <w:pStyle w:val="3"/>
        <w:rPr>
          <w:color w:val="auto"/>
          <w:highlight w:val="none"/>
        </w:rPr>
      </w:pPr>
    </w:p>
    <w:p>
      <w:pPr>
        <w:pStyle w:val="3"/>
        <w:rPr>
          <w:rFonts w:ascii="宋体"/>
          <w:color w:val="auto"/>
          <w:highlight w:val="none"/>
        </w:rPr>
      </w:pPr>
      <w:r>
        <w:rPr>
          <w:color w:val="auto"/>
          <w:sz w:val="24"/>
          <w:szCs w:val="24"/>
          <w:highlight w:val="none"/>
        </w:rPr>
        <w:br w:type="page"/>
      </w:r>
      <w:bookmarkStart w:id="112" w:name="_Toc21525516"/>
      <w:bookmarkStart w:id="113" w:name="_Toc19152"/>
      <w:bookmarkStart w:id="114" w:name="_Toc2272571"/>
      <w:bookmarkStart w:id="115" w:name="_Toc18445"/>
      <w:r>
        <w:rPr>
          <w:rFonts w:hint="eastAsia"/>
          <w:color w:val="auto"/>
          <w:highlight w:val="none"/>
        </w:rPr>
        <w:t>第八章</w:t>
      </w:r>
      <w:r>
        <w:rPr>
          <w:color w:val="auto"/>
          <w:highlight w:val="none"/>
        </w:rPr>
        <w:t xml:space="preserve">  </w:t>
      </w:r>
      <w:r>
        <w:rPr>
          <w:rFonts w:hint="eastAsia"/>
          <w:color w:val="auto"/>
          <w:highlight w:val="none"/>
        </w:rPr>
        <w:t>最高投标限价</w:t>
      </w:r>
      <w:bookmarkEnd w:id="112"/>
      <w:bookmarkEnd w:id="113"/>
      <w:bookmarkEnd w:id="114"/>
      <w:bookmarkEnd w:id="115"/>
    </w:p>
    <w:p>
      <w:pPr>
        <w:spacing w:line="360" w:lineRule="auto"/>
        <w:ind w:firstLine="480"/>
        <w:jc w:val="center"/>
        <w:rPr>
          <w:rFonts w:hint="eastAsia" w:ascii="宋体" w:hAnsi="宋体" w:eastAsia="宋体"/>
          <w:color w:val="auto"/>
          <w:sz w:val="28"/>
          <w:szCs w:val="28"/>
          <w:highlight w:val="none"/>
          <w:u w:val="single"/>
          <w:lang w:eastAsia="zh-CN"/>
        </w:rPr>
      </w:pPr>
      <w:r>
        <w:rPr>
          <w:rFonts w:hint="eastAsia" w:ascii="宋体" w:hAnsi="宋体"/>
          <w:color w:val="auto"/>
          <w:sz w:val="28"/>
          <w:szCs w:val="28"/>
          <w:highlight w:val="none"/>
          <w:u w:val="single"/>
          <w:lang w:eastAsia="zh-CN"/>
        </w:rPr>
        <w:t>（</w:t>
      </w:r>
      <w:r>
        <w:rPr>
          <w:rFonts w:hint="eastAsia" w:ascii="宋体" w:hAnsi="宋体"/>
          <w:color w:val="auto"/>
          <w:sz w:val="28"/>
          <w:szCs w:val="28"/>
          <w:highlight w:val="none"/>
          <w:u w:val="single"/>
        </w:rPr>
        <w:t>另册</w:t>
      </w:r>
      <w:r>
        <w:rPr>
          <w:rFonts w:hint="eastAsia" w:ascii="宋体" w:hAnsi="宋体"/>
          <w:color w:val="auto"/>
          <w:sz w:val="28"/>
          <w:szCs w:val="28"/>
          <w:highlight w:val="none"/>
          <w:u w:val="single"/>
          <w:lang w:eastAsia="zh-CN"/>
        </w:rPr>
        <w:t>）</w:t>
      </w:r>
    </w:p>
    <w:p>
      <w:pPr>
        <w:spacing w:line="360" w:lineRule="auto"/>
        <w:ind w:firstLine="480"/>
        <w:rPr>
          <w:rFonts w:ascii="宋体" w:hAnsi="宋体"/>
          <w:color w:val="auto"/>
          <w:sz w:val="24"/>
          <w:szCs w:val="24"/>
          <w:highlight w:val="none"/>
          <w:u w:val="single"/>
        </w:rPr>
      </w:pPr>
    </w:p>
    <w:p>
      <w:pPr>
        <w:rPr>
          <w:color w:val="auto"/>
          <w:highlight w:val="none"/>
        </w:rPr>
      </w:pPr>
    </w:p>
    <w:p>
      <w:pPr>
        <w:pStyle w:val="21"/>
        <w:rPr>
          <w:color w:val="auto"/>
          <w:sz w:val="36"/>
          <w:highlight w:val="none"/>
          <w:u w:val="single"/>
        </w:rPr>
      </w:pPr>
    </w:p>
    <w:p>
      <w:pPr>
        <w:rPr>
          <w:color w:val="auto"/>
          <w:highlight w:val="none"/>
        </w:rPr>
      </w:pPr>
      <w:bookmarkStart w:id="116" w:name="_GoBack"/>
      <w:bookmarkEnd w:id="116"/>
    </w:p>
    <w:sectPr>
      <w:headerReference r:id="rId21" w:type="default"/>
      <w:footerReference r:id="rId22" w:type="default"/>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2312">
    <w:altName w:val="宋体"/>
    <w:panose1 w:val="02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EuroRoman">
    <w:altName w:val="Segoe Print"/>
    <w:panose1 w:val="00000400000000000000"/>
    <w:charset w:val="02"/>
    <w:family w:val="auto"/>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6"/>
                    </w:pPr>
                  </w:p>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9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ind w:firstLine="392"/>
                            <w:jc w:val="center"/>
                          </w:pPr>
                          <w:r>
                            <w:rPr>
                              <w:rStyle w:val="42"/>
                            </w:rPr>
                            <w:fldChar w:fldCharType="begin"/>
                          </w:r>
                          <w:r>
                            <w:rPr>
                              <w:rStyle w:val="42"/>
                            </w:rPr>
                            <w:instrText xml:space="preserve"> PAGE </w:instrText>
                          </w:r>
                          <w:r>
                            <w:rPr>
                              <w:rStyle w:val="42"/>
                            </w:rPr>
                            <w:fldChar w:fldCharType="separate"/>
                          </w:r>
                          <w:r>
                            <w:rPr>
                              <w:rStyle w:val="42"/>
                            </w:rPr>
                            <w:t>52</w:t>
                          </w:r>
                          <w:r>
                            <w:rPr>
                              <w:rStyle w:val="4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6"/>
                      <w:ind w:firstLine="392"/>
                      <w:jc w:val="center"/>
                    </w:pPr>
                    <w:r>
                      <w:rPr>
                        <w:rStyle w:val="42"/>
                      </w:rPr>
                      <w:fldChar w:fldCharType="begin"/>
                    </w:r>
                    <w:r>
                      <w:rPr>
                        <w:rStyle w:val="42"/>
                      </w:rPr>
                      <w:instrText xml:space="preserve"> PAGE </w:instrText>
                    </w:r>
                    <w:r>
                      <w:rPr>
                        <w:rStyle w:val="42"/>
                      </w:rPr>
                      <w:fldChar w:fldCharType="separate"/>
                    </w:r>
                    <w:r>
                      <w:rPr>
                        <w:rStyle w:val="42"/>
                      </w:rPr>
                      <w:t>52</w:t>
                    </w:r>
                    <w:r>
                      <w:rPr>
                        <w:rStyle w:val="42"/>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399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70</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62336;mso-width-relative:page;mso-height-relative:page;" filled="f" stroked="f" coordsize="21600,21600" o:gfxdata="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XGO1q0AAAAAMBAAAPAAAAAAAAAAEAIAAAACIAAABkcnMv&#10;ZG93bnJldi54bWxQSwECFAAUAAAACACHTuJANU7VOdIBAAClAwAADgAAAAAAAAABACAAAAAfAQAA&#10;ZHJzL2Uyb0RvYy54bWxQSwUGAAAAAAYABgBZAQAAY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70</w:t>
                    </w:r>
                    <w:r>
                      <w:rPr>
                        <w:rFonts w:hint="eastAsia"/>
                        <w:sz w:val="18"/>
                      </w:rPr>
                      <w:fldChar w:fldCharType="end"/>
                    </w:r>
                  </w:p>
                </w:txbxContent>
              </v:textbox>
            </v:shape>
          </w:pict>
        </mc:Fallback>
      </mc:AlternateContent>
    </w:r>
    <w:r>
      <w:rPr>
        <w:rFonts w:hint="eastAsia"/>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jc w:val="center"/>
                            <w:rPr>
                              <w:rStyle w:val="42"/>
                            </w:rPr>
                          </w:pPr>
                          <w:r>
                            <w:rPr>
                              <w:rStyle w:val="42"/>
                            </w:rPr>
                            <w:fldChar w:fldCharType="begin"/>
                          </w:r>
                          <w:r>
                            <w:rPr>
                              <w:rStyle w:val="42"/>
                            </w:rPr>
                            <w:instrText xml:space="preserve">PAGE  </w:instrText>
                          </w:r>
                          <w:r>
                            <w:rPr>
                              <w:rStyle w:val="42"/>
                            </w:rPr>
                            <w:fldChar w:fldCharType="separate"/>
                          </w:r>
                          <w:r>
                            <w:rPr>
                              <w:rStyle w:val="42"/>
                            </w:rPr>
                            <w:t>74</w:t>
                          </w:r>
                          <w:r>
                            <w:rPr>
                              <w:rStyle w:val="42"/>
                            </w:rPr>
                            <w:fldChar w:fldCharType="end"/>
                          </w:r>
                        </w:p>
                        <w:p>
                          <w:pPr>
                            <w:pStyle w:val="26"/>
                            <w:ind w:left="-4410" w:leftChars="-2100" w:right="-4439" w:rightChars="-2114"/>
                            <w:rPr>
                              <w:rStyle w:val="42"/>
                            </w:rP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6"/>
                      <w:jc w:val="center"/>
                      <w:rPr>
                        <w:rStyle w:val="42"/>
                      </w:rPr>
                    </w:pPr>
                    <w:r>
                      <w:rPr>
                        <w:rStyle w:val="42"/>
                      </w:rPr>
                      <w:fldChar w:fldCharType="begin"/>
                    </w:r>
                    <w:r>
                      <w:rPr>
                        <w:rStyle w:val="42"/>
                      </w:rPr>
                      <w:instrText xml:space="preserve">PAGE  </w:instrText>
                    </w:r>
                    <w:r>
                      <w:rPr>
                        <w:rStyle w:val="42"/>
                      </w:rPr>
                      <w:fldChar w:fldCharType="separate"/>
                    </w:r>
                    <w:r>
                      <w:rPr>
                        <w:rStyle w:val="42"/>
                      </w:rPr>
                      <w:t>74</w:t>
                    </w:r>
                    <w:r>
                      <w:rPr>
                        <w:rStyle w:val="42"/>
                      </w:rPr>
                      <w:fldChar w:fldCharType="end"/>
                    </w:r>
                  </w:p>
                  <w:p>
                    <w:pPr>
                      <w:pStyle w:val="26"/>
                      <w:ind w:left="-4410" w:leftChars="-2100" w:right="-4439" w:rightChars="-2114"/>
                      <w:rPr>
                        <w:rStyle w:val="42"/>
                      </w:rPr>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2"/>
      </w:rPr>
    </w:pPr>
    <w:r>
      <w:fldChar w:fldCharType="begin"/>
    </w:r>
    <w:r>
      <w:rPr>
        <w:rStyle w:val="42"/>
      </w:rPr>
      <w:instrText xml:space="preserve">PAGE  </w:instrText>
    </w:r>
    <w:r>
      <w:fldChar w:fldCharType="separate"/>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8</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92"/>
      <w:jc w:val="center"/>
      <w:rPr>
        <w:rStyle w:val="4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9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ind w:firstLine="392"/>
                            <w:jc w:val="center"/>
                          </w:pPr>
                          <w:r>
                            <w:rPr>
                              <w:rStyle w:val="42"/>
                            </w:rPr>
                            <w:fldChar w:fldCharType="begin"/>
                          </w:r>
                          <w:r>
                            <w:rPr>
                              <w:rStyle w:val="42"/>
                            </w:rPr>
                            <w:instrText xml:space="preserve"> PAGE </w:instrText>
                          </w:r>
                          <w:r>
                            <w:rPr>
                              <w:rStyle w:val="42"/>
                            </w:rPr>
                            <w:fldChar w:fldCharType="separate"/>
                          </w:r>
                          <w:r>
                            <w:rPr>
                              <w:rStyle w:val="42"/>
                            </w:rPr>
                            <w:t>52</w:t>
                          </w:r>
                          <w:r>
                            <w:rPr>
                              <w:rStyle w:val="4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6"/>
                      <w:ind w:firstLine="392"/>
                      <w:jc w:val="center"/>
                    </w:pPr>
                    <w:r>
                      <w:rPr>
                        <w:rStyle w:val="42"/>
                      </w:rPr>
                      <w:fldChar w:fldCharType="begin"/>
                    </w:r>
                    <w:r>
                      <w:rPr>
                        <w:rStyle w:val="42"/>
                      </w:rPr>
                      <w:instrText xml:space="preserve"> PAGE </w:instrText>
                    </w:r>
                    <w:r>
                      <w:rPr>
                        <w:rStyle w:val="42"/>
                      </w:rPr>
                      <w:fldChar w:fldCharType="separate"/>
                    </w:r>
                    <w:r>
                      <w:rPr>
                        <w:rStyle w:val="42"/>
                      </w:rPr>
                      <w:t>52</w:t>
                    </w:r>
                    <w:r>
                      <w:rPr>
                        <w:rStyle w:val="42"/>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jc w:val="center"/>
                            <w:rPr>
                              <w:rStyle w:val="42"/>
                            </w:rPr>
                          </w:pPr>
                          <w:r>
                            <w:rPr>
                              <w:rStyle w:val="42"/>
                            </w:rPr>
                            <w:fldChar w:fldCharType="begin"/>
                          </w:r>
                          <w:r>
                            <w:rPr>
                              <w:rStyle w:val="42"/>
                            </w:rPr>
                            <w:instrText xml:space="preserve">PAGE  </w:instrText>
                          </w:r>
                          <w:r>
                            <w:rPr>
                              <w:rStyle w:val="42"/>
                            </w:rPr>
                            <w:fldChar w:fldCharType="separate"/>
                          </w:r>
                          <w:r>
                            <w:rPr>
                              <w:rStyle w:val="42"/>
                            </w:rPr>
                            <w:t>56</w:t>
                          </w:r>
                          <w:r>
                            <w:rPr>
                              <w:rStyle w:val="42"/>
                            </w:rPr>
                            <w:fldChar w:fldCharType="end"/>
                          </w:r>
                        </w:p>
                        <w:p>
                          <w:pPr>
                            <w:pStyle w:val="26"/>
                            <w:ind w:left="-4410" w:leftChars="-2100" w:right="-4439" w:rightChars="-2114"/>
                            <w:rPr>
                              <w:rStyle w:val="42"/>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26"/>
                      <w:jc w:val="center"/>
                      <w:rPr>
                        <w:rStyle w:val="42"/>
                      </w:rPr>
                    </w:pPr>
                    <w:r>
                      <w:rPr>
                        <w:rStyle w:val="42"/>
                      </w:rPr>
                      <w:fldChar w:fldCharType="begin"/>
                    </w:r>
                    <w:r>
                      <w:rPr>
                        <w:rStyle w:val="42"/>
                      </w:rPr>
                      <w:instrText xml:space="preserve">PAGE  </w:instrText>
                    </w:r>
                    <w:r>
                      <w:rPr>
                        <w:rStyle w:val="42"/>
                      </w:rPr>
                      <w:fldChar w:fldCharType="separate"/>
                    </w:r>
                    <w:r>
                      <w:rPr>
                        <w:rStyle w:val="42"/>
                      </w:rPr>
                      <w:t>56</w:t>
                    </w:r>
                    <w:r>
                      <w:rPr>
                        <w:rStyle w:val="42"/>
                      </w:rPr>
                      <w:fldChar w:fldCharType="end"/>
                    </w:r>
                  </w:p>
                  <w:p>
                    <w:pPr>
                      <w:pStyle w:val="26"/>
                      <w:ind w:left="-4410" w:leftChars="-2100" w:right="-4439" w:rightChars="-2114"/>
                      <w:rPr>
                        <w:rStyle w:val="42"/>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outside" w:y="1"/>
      <w:rPr>
        <w:rStyle w:val="42"/>
      </w:rPr>
    </w:pPr>
    <w:r>
      <w:rPr>
        <w:rStyle w:val="42"/>
      </w:rPr>
      <w:fldChar w:fldCharType="begin"/>
    </w:r>
    <w:r>
      <w:rPr>
        <w:rStyle w:val="42"/>
      </w:rPr>
      <w:instrText xml:space="preserve">PAGE  </w:instrText>
    </w:r>
    <w:r>
      <w:rPr>
        <w:rStyle w:val="42"/>
      </w:rPr>
      <w:fldChar w:fldCharType="separate"/>
    </w:r>
    <w:r>
      <w:rPr>
        <w:rStyle w:val="42"/>
        <w:rFonts w:hint="eastAsia"/>
      </w:rPr>
      <w:t>一</w:t>
    </w:r>
    <w:r>
      <w:rPr>
        <w:rStyle w:val="42"/>
      </w:rPr>
      <w:t>–2</w:t>
    </w:r>
    <w:r>
      <w:rPr>
        <w:rStyle w:val="42"/>
      </w:rPr>
      <w:fldChar w:fldCharType="end"/>
    </w:r>
  </w:p>
  <w:p>
    <w:pPr>
      <w:pStyle w:val="26"/>
      <w:ind w:right="360" w:firstLine="360"/>
      <w:jc w:val="center"/>
    </w:pPr>
    <w:r>
      <w:rPr>
        <w:kern w:val="0"/>
        <w:sz w:val="2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jc w:val="center"/>
                          </w:pPr>
                          <w:r>
                            <w:rPr>
                              <w:rStyle w:val="42"/>
                            </w:rPr>
                            <w:fldChar w:fldCharType="begin"/>
                          </w:r>
                          <w:r>
                            <w:rPr>
                              <w:rStyle w:val="42"/>
                            </w:rPr>
                            <w:instrText xml:space="preserve"> PAGE </w:instrText>
                          </w:r>
                          <w:r>
                            <w:rPr>
                              <w:rStyle w:val="42"/>
                            </w:rPr>
                            <w:fldChar w:fldCharType="separate"/>
                          </w:r>
                          <w:r>
                            <w:rPr>
                              <w:rStyle w:val="42"/>
                            </w:rPr>
                            <w:t>53</w:t>
                          </w:r>
                          <w:r>
                            <w:rPr>
                              <w:rStyle w:val="4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26"/>
                      <w:jc w:val="center"/>
                    </w:pPr>
                    <w:r>
                      <w:rPr>
                        <w:rStyle w:val="42"/>
                      </w:rPr>
                      <w:fldChar w:fldCharType="begin"/>
                    </w:r>
                    <w:r>
                      <w:rPr>
                        <w:rStyle w:val="42"/>
                      </w:rPr>
                      <w:instrText xml:space="preserve"> PAGE </w:instrText>
                    </w:r>
                    <w:r>
                      <w:rPr>
                        <w:rStyle w:val="42"/>
                      </w:rPr>
                      <w:fldChar w:fldCharType="separate"/>
                    </w:r>
                    <w:r>
                      <w:rPr>
                        <w:rStyle w:val="42"/>
                      </w:rPr>
                      <w:t>53</w:t>
                    </w:r>
                    <w:r>
                      <w:rPr>
                        <w:rStyle w:val="42"/>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92"/>
      <w:jc w:val="center"/>
      <w:rPr>
        <w:rStyle w:val="4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ind w:firstLine="39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rPr>
        <w:i/>
        <w:iCs/>
      </w:rPr>
    </w:pPr>
    <w:r>
      <w:rPr>
        <w:rFonts w:hint="eastAsia"/>
        <w:i/>
        <w:iCs/>
      </w:rPr>
      <w:t>横枝岗路道路排水改造工程招标文件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right"/>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ind w:firstLine="39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8F24C"/>
    <w:multiLevelType w:val="singleLevel"/>
    <w:tmpl w:val="8798F24C"/>
    <w:lvl w:ilvl="0" w:tentative="0">
      <w:start w:val="1"/>
      <w:numFmt w:val="decimal"/>
      <w:suff w:val="nothing"/>
      <w:lvlText w:val="%1、"/>
      <w:lvlJc w:val="left"/>
    </w:lvl>
  </w:abstractNum>
  <w:abstractNum w:abstractNumId="1">
    <w:nsid w:val="AC97394D"/>
    <w:multiLevelType w:val="singleLevel"/>
    <w:tmpl w:val="AC97394D"/>
    <w:lvl w:ilvl="0" w:tentative="0">
      <w:start w:val="1"/>
      <w:numFmt w:val="decimal"/>
      <w:suff w:val="nothing"/>
      <w:lvlText w:val="（%1）"/>
      <w:lvlJc w:val="left"/>
    </w:lvl>
  </w:abstractNum>
  <w:abstractNum w:abstractNumId="2">
    <w:nsid w:val="E70D7EBD"/>
    <w:multiLevelType w:val="singleLevel"/>
    <w:tmpl w:val="E70D7EBD"/>
    <w:lvl w:ilvl="0" w:tentative="0">
      <w:start w:val="27"/>
      <w:numFmt w:val="decimal"/>
      <w:suff w:val="nothing"/>
      <w:lvlText w:val="%1．"/>
      <w:lvlJc w:val="left"/>
    </w:lvl>
  </w:abstractNum>
  <w:abstractNum w:abstractNumId="3">
    <w:nsid w:val="E998A4BE"/>
    <w:multiLevelType w:val="singleLevel"/>
    <w:tmpl w:val="E998A4BE"/>
    <w:lvl w:ilvl="0" w:tentative="0">
      <w:start w:val="32"/>
      <w:numFmt w:val="decimal"/>
      <w:suff w:val="space"/>
      <w:lvlText w:val="%1."/>
      <w:lvlJc w:val="left"/>
    </w:lvl>
  </w:abstractNum>
  <w:abstractNum w:abstractNumId="4">
    <w:nsid w:val="F405C34B"/>
    <w:multiLevelType w:val="singleLevel"/>
    <w:tmpl w:val="F405C34B"/>
    <w:lvl w:ilvl="0" w:tentative="0">
      <w:start w:val="1"/>
      <w:numFmt w:val="decimal"/>
      <w:suff w:val="nothing"/>
      <w:lvlText w:val="（%1）"/>
      <w:lvlJc w:val="left"/>
    </w:lvl>
  </w:abstractNum>
  <w:abstractNum w:abstractNumId="5">
    <w:nsid w:val="00000004"/>
    <w:multiLevelType w:val="multilevel"/>
    <w:tmpl w:val="000000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0"/>
    <w:multiLevelType w:val="multilevel"/>
    <w:tmpl w:val="00000010"/>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259905B5"/>
    <w:multiLevelType w:val="multilevel"/>
    <w:tmpl w:val="259905B5"/>
    <w:lvl w:ilvl="0" w:tentative="0">
      <w:start w:val="1"/>
      <w:numFmt w:val="chineseCountingThousand"/>
      <w:pStyle w:val="95"/>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9"/>
      <w:suff w:val="space"/>
      <w:lvlText w:val="%2.%3.%4"/>
      <w:lvlJc w:val="left"/>
      <w:pPr>
        <w:ind w:left="284" w:hanging="284"/>
      </w:pPr>
      <w:rPr>
        <w:rFonts w:hint="eastAsia" w:ascii="宋体" w:eastAsia="宋体" w:cs="Times New Roman"/>
        <w:b/>
        <w:i w:val="0"/>
        <w:sz w:val="28"/>
      </w:rPr>
    </w:lvl>
    <w:lvl w:ilvl="4" w:tentative="0">
      <w:start w:val="1"/>
      <w:numFmt w:val="decimal"/>
      <w:pStyle w:val="11"/>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3"/>
      <w:suff w:val="nothing"/>
      <w:lvlText w:val=""/>
      <w:lvlJc w:val="left"/>
      <w:rPr>
        <w:rFonts w:hint="eastAsia" w:cs="Times New Roman"/>
      </w:rPr>
    </w:lvl>
    <w:lvl w:ilvl="7" w:tentative="0">
      <w:start w:val="1"/>
      <w:numFmt w:val="none"/>
      <w:pStyle w:val="14"/>
      <w:suff w:val="nothing"/>
      <w:lvlText w:val=""/>
      <w:lvlJc w:val="left"/>
      <w:rPr>
        <w:rFonts w:hint="eastAsia" w:cs="Times New Roman"/>
      </w:rPr>
    </w:lvl>
    <w:lvl w:ilvl="8" w:tentative="0">
      <w:start w:val="1"/>
      <w:numFmt w:val="none"/>
      <w:pStyle w:val="15"/>
      <w:suff w:val="nothing"/>
      <w:lvlText w:val=""/>
      <w:lvlJc w:val="left"/>
      <w:rPr>
        <w:rFonts w:hint="eastAsia" w:cs="Times New Roman"/>
      </w:rPr>
    </w:lvl>
  </w:abstractNum>
  <w:abstractNum w:abstractNumId="8">
    <w:nsid w:val="27058BAD"/>
    <w:multiLevelType w:val="singleLevel"/>
    <w:tmpl w:val="27058BAD"/>
    <w:lvl w:ilvl="0" w:tentative="0">
      <w:start w:val="1"/>
      <w:numFmt w:val="decimal"/>
      <w:suff w:val="nothing"/>
      <w:lvlText w:val="%1、"/>
      <w:lvlJc w:val="left"/>
      <w:pPr>
        <w:ind w:left="59"/>
      </w:pPr>
    </w:lvl>
  </w:abstractNum>
  <w:abstractNum w:abstractNumId="9">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2"/>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7"/>
  </w:num>
  <w:num w:numId="2">
    <w:abstractNumId w:val="9"/>
  </w:num>
  <w:num w:numId="3">
    <w:abstractNumId w:val="0"/>
  </w:num>
  <w:num w:numId="4">
    <w:abstractNumId w:val="1"/>
  </w:num>
  <w:num w:numId="5">
    <w:abstractNumId w:val="4"/>
  </w:num>
  <w:num w:numId="6">
    <w:abstractNumId w:val="2"/>
  </w:num>
  <w:num w:numId="7">
    <w:abstractNumId w:val="3"/>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jNWQwMDg5YmFmZmUwYWUzNmQ4M2VkNjJkNGJkOWUifQ=="/>
  </w:docVars>
  <w:rsids>
    <w:rsidRoot w:val="007B41BE"/>
    <w:rsid w:val="000200EE"/>
    <w:rsid w:val="00055C10"/>
    <w:rsid w:val="000575F8"/>
    <w:rsid w:val="00074FD1"/>
    <w:rsid w:val="0007706A"/>
    <w:rsid w:val="00091BFE"/>
    <w:rsid w:val="000B5826"/>
    <w:rsid w:val="000C1007"/>
    <w:rsid w:val="000C11E0"/>
    <w:rsid w:val="000C2710"/>
    <w:rsid w:val="000D396E"/>
    <w:rsid w:val="001667FD"/>
    <w:rsid w:val="00181CAA"/>
    <w:rsid w:val="00193EB2"/>
    <w:rsid w:val="001C5D94"/>
    <w:rsid w:val="001F3D02"/>
    <w:rsid w:val="002025C6"/>
    <w:rsid w:val="0022299B"/>
    <w:rsid w:val="00250092"/>
    <w:rsid w:val="00266748"/>
    <w:rsid w:val="00280CC3"/>
    <w:rsid w:val="002C4F11"/>
    <w:rsid w:val="003204F0"/>
    <w:rsid w:val="00336AA3"/>
    <w:rsid w:val="0037590B"/>
    <w:rsid w:val="00390B87"/>
    <w:rsid w:val="003A5C56"/>
    <w:rsid w:val="00405D31"/>
    <w:rsid w:val="004370EC"/>
    <w:rsid w:val="004424B8"/>
    <w:rsid w:val="00472A98"/>
    <w:rsid w:val="004B295D"/>
    <w:rsid w:val="004D63FD"/>
    <w:rsid w:val="00510754"/>
    <w:rsid w:val="005118C8"/>
    <w:rsid w:val="00576448"/>
    <w:rsid w:val="005866FB"/>
    <w:rsid w:val="005B5915"/>
    <w:rsid w:val="005C212B"/>
    <w:rsid w:val="006036EF"/>
    <w:rsid w:val="00673B83"/>
    <w:rsid w:val="00680BFD"/>
    <w:rsid w:val="006B5ED1"/>
    <w:rsid w:val="006B6B0D"/>
    <w:rsid w:val="006F3576"/>
    <w:rsid w:val="0073229B"/>
    <w:rsid w:val="00780EC8"/>
    <w:rsid w:val="007A3304"/>
    <w:rsid w:val="007B41BE"/>
    <w:rsid w:val="007B6534"/>
    <w:rsid w:val="007D6D06"/>
    <w:rsid w:val="007E2745"/>
    <w:rsid w:val="00835C9E"/>
    <w:rsid w:val="008C4DAF"/>
    <w:rsid w:val="008D2515"/>
    <w:rsid w:val="008E20BD"/>
    <w:rsid w:val="008E4AD1"/>
    <w:rsid w:val="00920E49"/>
    <w:rsid w:val="00934DF4"/>
    <w:rsid w:val="00991949"/>
    <w:rsid w:val="009A704D"/>
    <w:rsid w:val="009E5A35"/>
    <w:rsid w:val="009F18D3"/>
    <w:rsid w:val="00A0387A"/>
    <w:rsid w:val="00A05F7D"/>
    <w:rsid w:val="00A0619D"/>
    <w:rsid w:val="00A15723"/>
    <w:rsid w:val="00A20AF3"/>
    <w:rsid w:val="00A2579D"/>
    <w:rsid w:val="00A460C3"/>
    <w:rsid w:val="00A50D34"/>
    <w:rsid w:val="00A55F9B"/>
    <w:rsid w:val="00A64E29"/>
    <w:rsid w:val="00AD3DEE"/>
    <w:rsid w:val="00AD6716"/>
    <w:rsid w:val="00AF1BCD"/>
    <w:rsid w:val="00AF2A6F"/>
    <w:rsid w:val="00B53804"/>
    <w:rsid w:val="00B668E3"/>
    <w:rsid w:val="00B72862"/>
    <w:rsid w:val="00BC2597"/>
    <w:rsid w:val="00BC7B91"/>
    <w:rsid w:val="00BE1732"/>
    <w:rsid w:val="00BE216D"/>
    <w:rsid w:val="00BE7667"/>
    <w:rsid w:val="00BF1FEA"/>
    <w:rsid w:val="00C267C0"/>
    <w:rsid w:val="00C32C1E"/>
    <w:rsid w:val="00C408D3"/>
    <w:rsid w:val="00C81F53"/>
    <w:rsid w:val="00C82C8A"/>
    <w:rsid w:val="00CB3932"/>
    <w:rsid w:val="00CD156B"/>
    <w:rsid w:val="00CF68BB"/>
    <w:rsid w:val="00D60E1D"/>
    <w:rsid w:val="00D75B45"/>
    <w:rsid w:val="00D84E64"/>
    <w:rsid w:val="00D9313A"/>
    <w:rsid w:val="00DF1C79"/>
    <w:rsid w:val="00E22EAB"/>
    <w:rsid w:val="00E36378"/>
    <w:rsid w:val="00E457F6"/>
    <w:rsid w:val="00E54A7D"/>
    <w:rsid w:val="00E638F3"/>
    <w:rsid w:val="00EA368C"/>
    <w:rsid w:val="00EB4FAD"/>
    <w:rsid w:val="00EB6530"/>
    <w:rsid w:val="00EC014E"/>
    <w:rsid w:val="00F214CA"/>
    <w:rsid w:val="00F26640"/>
    <w:rsid w:val="00F40301"/>
    <w:rsid w:val="00F50A88"/>
    <w:rsid w:val="00FA5926"/>
    <w:rsid w:val="00FC5596"/>
    <w:rsid w:val="01644A16"/>
    <w:rsid w:val="02690261"/>
    <w:rsid w:val="0288594E"/>
    <w:rsid w:val="02C05BB1"/>
    <w:rsid w:val="02FD74EC"/>
    <w:rsid w:val="030456DB"/>
    <w:rsid w:val="030977B8"/>
    <w:rsid w:val="037C0716"/>
    <w:rsid w:val="03B73450"/>
    <w:rsid w:val="03CE4981"/>
    <w:rsid w:val="03F53B6F"/>
    <w:rsid w:val="03F61BD5"/>
    <w:rsid w:val="04016C0A"/>
    <w:rsid w:val="042965C4"/>
    <w:rsid w:val="04353393"/>
    <w:rsid w:val="04A75B49"/>
    <w:rsid w:val="05740424"/>
    <w:rsid w:val="0593547E"/>
    <w:rsid w:val="05935ABA"/>
    <w:rsid w:val="05EA2C50"/>
    <w:rsid w:val="060600D3"/>
    <w:rsid w:val="061A393B"/>
    <w:rsid w:val="061C7FBD"/>
    <w:rsid w:val="06B236B6"/>
    <w:rsid w:val="06C0025A"/>
    <w:rsid w:val="06C70A28"/>
    <w:rsid w:val="06CF5060"/>
    <w:rsid w:val="06D038B7"/>
    <w:rsid w:val="06D66AB2"/>
    <w:rsid w:val="071250C8"/>
    <w:rsid w:val="072F44E3"/>
    <w:rsid w:val="07312890"/>
    <w:rsid w:val="073C3C45"/>
    <w:rsid w:val="07A13F45"/>
    <w:rsid w:val="07EF4429"/>
    <w:rsid w:val="08061A64"/>
    <w:rsid w:val="0829536C"/>
    <w:rsid w:val="08517165"/>
    <w:rsid w:val="08A51580"/>
    <w:rsid w:val="08C11542"/>
    <w:rsid w:val="090C13B6"/>
    <w:rsid w:val="090F4EF1"/>
    <w:rsid w:val="094E1D6F"/>
    <w:rsid w:val="09EB6AE1"/>
    <w:rsid w:val="09F07A09"/>
    <w:rsid w:val="09F33618"/>
    <w:rsid w:val="09FA7832"/>
    <w:rsid w:val="0A0F62EE"/>
    <w:rsid w:val="0A755759"/>
    <w:rsid w:val="0AA17E9A"/>
    <w:rsid w:val="0AF62F6A"/>
    <w:rsid w:val="0B2374C1"/>
    <w:rsid w:val="0B4354CB"/>
    <w:rsid w:val="0B6E4437"/>
    <w:rsid w:val="0B7E1CB6"/>
    <w:rsid w:val="0B9109AA"/>
    <w:rsid w:val="0B9E2981"/>
    <w:rsid w:val="0BC3240C"/>
    <w:rsid w:val="0BC83F60"/>
    <w:rsid w:val="0C521233"/>
    <w:rsid w:val="0C730B66"/>
    <w:rsid w:val="0CD70861"/>
    <w:rsid w:val="0CF976B5"/>
    <w:rsid w:val="0D020937"/>
    <w:rsid w:val="0D4A0241"/>
    <w:rsid w:val="0DA717DD"/>
    <w:rsid w:val="0DC94D42"/>
    <w:rsid w:val="0DCB34F3"/>
    <w:rsid w:val="0DCB4DF2"/>
    <w:rsid w:val="0DDF12C8"/>
    <w:rsid w:val="0E1D06E9"/>
    <w:rsid w:val="0E4C4CAD"/>
    <w:rsid w:val="0E6C4374"/>
    <w:rsid w:val="0F375E16"/>
    <w:rsid w:val="0F6636B8"/>
    <w:rsid w:val="0F6A1B72"/>
    <w:rsid w:val="0F7E4AB5"/>
    <w:rsid w:val="0F9C78A7"/>
    <w:rsid w:val="0FB1034C"/>
    <w:rsid w:val="0FDF5C57"/>
    <w:rsid w:val="0FEF45D8"/>
    <w:rsid w:val="10336447"/>
    <w:rsid w:val="106B07D0"/>
    <w:rsid w:val="10AB3168"/>
    <w:rsid w:val="10B57C21"/>
    <w:rsid w:val="10F94ED4"/>
    <w:rsid w:val="11052D75"/>
    <w:rsid w:val="11121F8F"/>
    <w:rsid w:val="11CA3566"/>
    <w:rsid w:val="11E8746F"/>
    <w:rsid w:val="126430AE"/>
    <w:rsid w:val="126F465A"/>
    <w:rsid w:val="128D521B"/>
    <w:rsid w:val="129844CF"/>
    <w:rsid w:val="129B2E90"/>
    <w:rsid w:val="12C51E21"/>
    <w:rsid w:val="13021F79"/>
    <w:rsid w:val="13186862"/>
    <w:rsid w:val="137A5404"/>
    <w:rsid w:val="13EF0EA4"/>
    <w:rsid w:val="1422437D"/>
    <w:rsid w:val="14D34591"/>
    <w:rsid w:val="14D74F4B"/>
    <w:rsid w:val="14D9719C"/>
    <w:rsid w:val="14F35BB7"/>
    <w:rsid w:val="14FF2617"/>
    <w:rsid w:val="156911ED"/>
    <w:rsid w:val="156C0326"/>
    <w:rsid w:val="15DD252D"/>
    <w:rsid w:val="162C4539"/>
    <w:rsid w:val="16551BAC"/>
    <w:rsid w:val="16B608A6"/>
    <w:rsid w:val="16DC72B0"/>
    <w:rsid w:val="17077E1E"/>
    <w:rsid w:val="171017AC"/>
    <w:rsid w:val="173741A6"/>
    <w:rsid w:val="17497256"/>
    <w:rsid w:val="174B1C4B"/>
    <w:rsid w:val="17555BDC"/>
    <w:rsid w:val="17684412"/>
    <w:rsid w:val="17822770"/>
    <w:rsid w:val="17AE485B"/>
    <w:rsid w:val="17B0263E"/>
    <w:rsid w:val="17B8199D"/>
    <w:rsid w:val="17EC2627"/>
    <w:rsid w:val="18151F96"/>
    <w:rsid w:val="181C07FE"/>
    <w:rsid w:val="18474916"/>
    <w:rsid w:val="18891660"/>
    <w:rsid w:val="18FE38EB"/>
    <w:rsid w:val="19AE6A7C"/>
    <w:rsid w:val="19D2412A"/>
    <w:rsid w:val="19E466F4"/>
    <w:rsid w:val="1A205D77"/>
    <w:rsid w:val="1A2F4635"/>
    <w:rsid w:val="1A3C3472"/>
    <w:rsid w:val="1A6500CD"/>
    <w:rsid w:val="1A6E3101"/>
    <w:rsid w:val="1AA40A79"/>
    <w:rsid w:val="1AAA7997"/>
    <w:rsid w:val="1AB67180"/>
    <w:rsid w:val="1ACE0706"/>
    <w:rsid w:val="1AD03189"/>
    <w:rsid w:val="1AD432CC"/>
    <w:rsid w:val="1AEA5623"/>
    <w:rsid w:val="1B6805D3"/>
    <w:rsid w:val="1B927ADD"/>
    <w:rsid w:val="1B9E2075"/>
    <w:rsid w:val="1BAE4885"/>
    <w:rsid w:val="1BCD0437"/>
    <w:rsid w:val="1BD779EE"/>
    <w:rsid w:val="1BDF0B10"/>
    <w:rsid w:val="1BED33B9"/>
    <w:rsid w:val="1C3B7114"/>
    <w:rsid w:val="1C471BAE"/>
    <w:rsid w:val="1C5C0C26"/>
    <w:rsid w:val="1CD4051D"/>
    <w:rsid w:val="1CDD2E94"/>
    <w:rsid w:val="1CF81061"/>
    <w:rsid w:val="1D027F1C"/>
    <w:rsid w:val="1D0A3E09"/>
    <w:rsid w:val="1D5E21B9"/>
    <w:rsid w:val="1E09047B"/>
    <w:rsid w:val="1E110AAE"/>
    <w:rsid w:val="1E1D26F4"/>
    <w:rsid w:val="1E486D96"/>
    <w:rsid w:val="1E4B60B4"/>
    <w:rsid w:val="1E513B7B"/>
    <w:rsid w:val="1E66059A"/>
    <w:rsid w:val="1EBA5A37"/>
    <w:rsid w:val="1F0E6A13"/>
    <w:rsid w:val="1F2453AC"/>
    <w:rsid w:val="1F47327D"/>
    <w:rsid w:val="1F7056B8"/>
    <w:rsid w:val="1F816AF6"/>
    <w:rsid w:val="1F8E47EB"/>
    <w:rsid w:val="1FCD6E14"/>
    <w:rsid w:val="20543031"/>
    <w:rsid w:val="20557F08"/>
    <w:rsid w:val="20834165"/>
    <w:rsid w:val="20A005A5"/>
    <w:rsid w:val="20A0645E"/>
    <w:rsid w:val="20E36C50"/>
    <w:rsid w:val="210A1F65"/>
    <w:rsid w:val="21132098"/>
    <w:rsid w:val="21250A1F"/>
    <w:rsid w:val="214205AF"/>
    <w:rsid w:val="214D61A8"/>
    <w:rsid w:val="21537433"/>
    <w:rsid w:val="219F1FA0"/>
    <w:rsid w:val="21E76FBA"/>
    <w:rsid w:val="22016D7A"/>
    <w:rsid w:val="226B42AC"/>
    <w:rsid w:val="226F3203"/>
    <w:rsid w:val="22714212"/>
    <w:rsid w:val="22AD29BB"/>
    <w:rsid w:val="232F5F2B"/>
    <w:rsid w:val="232F6B26"/>
    <w:rsid w:val="23355E47"/>
    <w:rsid w:val="233A2E13"/>
    <w:rsid w:val="233A60FF"/>
    <w:rsid w:val="23AD17DA"/>
    <w:rsid w:val="24116252"/>
    <w:rsid w:val="244D1F35"/>
    <w:rsid w:val="24615AF1"/>
    <w:rsid w:val="247B4132"/>
    <w:rsid w:val="24A47FAB"/>
    <w:rsid w:val="24A972CC"/>
    <w:rsid w:val="24B2644C"/>
    <w:rsid w:val="24BD7292"/>
    <w:rsid w:val="24C525F3"/>
    <w:rsid w:val="25436D3F"/>
    <w:rsid w:val="259D757A"/>
    <w:rsid w:val="25C90160"/>
    <w:rsid w:val="25CF7B6F"/>
    <w:rsid w:val="25EB1CBA"/>
    <w:rsid w:val="26343586"/>
    <w:rsid w:val="263B7010"/>
    <w:rsid w:val="2689151F"/>
    <w:rsid w:val="269C3B29"/>
    <w:rsid w:val="26CA70AB"/>
    <w:rsid w:val="270B2DC1"/>
    <w:rsid w:val="27206676"/>
    <w:rsid w:val="27323AFD"/>
    <w:rsid w:val="273625F3"/>
    <w:rsid w:val="27615AEF"/>
    <w:rsid w:val="27640D6C"/>
    <w:rsid w:val="27814EF7"/>
    <w:rsid w:val="280A27C2"/>
    <w:rsid w:val="28180C8B"/>
    <w:rsid w:val="281929B4"/>
    <w:rsid w:val="284631BC"/>
    <w:rsid w:val="2877577E"/>
    <w:rsid w:val="28790229"/>
    <w:rsid w:val="28955221"/>
    <w:rsid w:val="29463324"/>
    <w:rsid w:val="29483044"/>
    <w:rsid w:val="29505BAB"/>
    <w:rsid w:val="29DB5E89"/>
    <w:rsid w:val="2A4C510C"/>
    <w:rsid w:val="2A880A7B"/>
    <w:rsid w:val="2AE05EC0"/>
    <w:rsid w:val="2AE47E9C"/>
    <w:rsid w:val="2AE5327C"/>
    <w:rsid w:val="2AEC5CA9"/>
    <w:rsid w:val="2B044026"/>
    <w:rsid w:val="2B585185"/>
    <w:rsid w:val="2B6048E8"/>
    <w:rsid w:val="2B987E93"/>
    <w:rsid w:val="2BA900DA"/>
    <w:rsid w:val="2BEF72A0"/>
    <w:rsid w:val="2BFF6D43"/>
    <w:rsid w:val="2C5E4903"/>
    <w:rsid w:val="2CDE257A"/>
    <w:rsid w:val="2CEE627B"/>
    <w:rsid w:val="2D015AC5"/>
    <w:rsid w:val="2D020C71"/>
    <w:rsid w:val="2D1D0F10"/>
    <w:rsid w:val="2D254805"/>
    <w:rsid w:val="2D3E6293"/>
    <w:rsid w:val="2D716FB7"/>
    <w:rsid w:val="2D7D1990"/>
    <w:rsid w:val="2D98291D"/>
    <w:rsid w:val="2DA34F17"/>
    <w:rsid w:val="2DB66D80"/>
    <w:rsid w:val="2DC144F7"/>
    <w:rsid w:val="2DC4660F"/>
    <w:rsid w:val="2E216582"/>
    <w:rsid w:val="2ED85E73"/>
    <w:rsid w:val="2EDA6F06"/>
    <w:rsid w:val="2EE92449"/>
    <w:rsid w:val="2F384988"/>
    <w:rsid w:val="2F3E13BB"/>
    <w:rsid w:val="2F60641D"/>
    <w:rsid w:val="2F6239B5"/>
    <w:rsid w:val="2FC04BEF"/>
    <w:rsid w:val="30057BEC"/>
    <w:rsid w:val="301A4A2F"/>
    <w:rsid w:val="30287B62"/>
    <w:rsid w:val="30442541"/>
    <w:rsid w:val="305C69DC"/>
    <w:rsid w:val="30997F39"/>
    <w:rsid w:val="30B03D7B"/>
    <w:rsid w:val="31047F0E"/>
    <w:rsid w:val="315C46BD"/>
    <w:rsid w:val="315F14ED"/>
    <w:rsid w:val="31916E1B"/>
    <w:rsid w:val="31A041CB"/>
    <w:rsid w:val="31B42F84"/>
    <w:rsid w:val="325521FB"/>
    <w:rsid w:val="329135B7"/>
    <w:rsid w:val="32BF3509"/>
    <w:rsid w:val="32D66DBC"/>
    <w:rsid w:val="32E35695"/>
    <w:rsid w:val="33110959"/>
    <w:rsid w:val="331B63F6"/>
    <w:rsid w:val="33326123"/>
    <w:rsid w:val="33B916E0"/>
    <w:rsid w:val="33D321A9"/>
    <w:rsid w:val="33E31656"/>
    <w:rsid w:val="33FC15EB"/>
    <w:rsid w:val="343A2EB0"/>
    <w:rsid w:val="344D3BF7"/>
    <w:rsid w:val="349E2586"/>
    <w:rsid w:val="34AC0990"/>
    <w:rsid w:val="35150EE6"/>
    <w:rsid w:val="36107F4A"/>
    <w:rsid w:val="36174299"/>
    <w:rsid w:val="36504865"/>
    <w:rsid w:val="366D489F"/>
    <w:rsid w:val="367C1664"/>
    <w:rsid w:val="36807F5F"/>
    <w:rsid w:val="368F09FA"/>
    <w:rsid w:val="36E032BC"/>
    <w:rsid w:val="36E76FE1"/>
    <w:rsid w:val="371C3AB8"/>
    <w:rsid w:val="375D203C"/>
    <w:rsid w:val="3762626B"/>
    <w:rsid w:val="37697A40"/>
    <w:rsid w:val="377F0305"/>
    <w:rsid w:val="38026A6F"/>
    <w:rsid w:val="38083E3F"/>
    <w:rsid w:val="38244844"/>
    <w:rsid w:val="382A706F"/>
    <w:rsid w:val="383C5696"/>
    <w:rsid w:val="387B18EF"/>
    <w:rsid w:val="387E303B"/>
    <w:rsid w:val="38FD1C54"/>
    <w:rsid w:val="392D582E"/>
    <w:rsid w:val="39422F8F"/>
    <w:rsid w:val="39560B39"/>
    <w:rsid w:val="39C15447"/>
    <w:rsid w:val="39C25830"/>
    <w:rsid w:val="39CD1C0A"/>
    <w:rsid w:val="39F201BF"/>
    <w:rsid w:val="3A033549"/>
    <w:rsid w:val="3A3C34B9"/>
    <w:rsid w:val="3A9827B6"/>
    <w:rsid w:val="3AB07A8D"/>
    <w:rsid w:val="3AB578C7"/>
    <w:rsid w:val="3AC33AC5"/>
    <w:rsid w:val="3ACB45E1"/>
    <w:rsid w:val="3AD14697"/>
    <w:rsid w:val="3AD74EBF"/>
    <w:rsid w:val="3AE710BD"/>
    <w:rsid w:val="3AFB79C9"/>
    <w:rsid w:val="3B2F65C0"/>
    <w:rsid w:val="3B457B92"/>
    <w:rsid w:val="3B4B4673"/>
    <w:rsid w:val="3B7A3D52"/>
    <w:rsid w:val="3BC608D8"/>
    <w:rsid w:val="3BC63B24"/>
    <w:rsid w:val="3BCD3EBF"/>
    <w:rsid w:val="3BCF390A"/>
    <w:rsid w:val="3C067395"/>
    <w:rsid w:val="3CAB19CD"/>
    <w:rsid w:val="3CAC7EDE"/>
    <w:rsid w:val="3CDB3BDA"/>
    <w:rsid w:val="3CFB3391"/>
    <w:rsid w:val="3D1D7181"/>
    <w:rsid w:val="3D562934"/>
    <w:rsid w:val="3D60411F"/>
    <w:rsid w:val="3D8A02CD"/>
    <w:rsid w:val="3D9E44C4"/>
    <w:rsid w:val="3DA93298"/>
    <w:rsid w:val="3DDF4B2C"/>
    <w:rsid w:val="3DEF4B51"/>
    <w:rsid w:val="3DF94976"/>
    <w:rsid w:val="3E004CF1"/>
    <w:rsid w:val="3E547E99"/>
    <w:rsid w:val="3EC82150"/>
    <w:rsid w:val="3ED6747E"/>
    <w:rsid w:val="3EFA5782"/>
    <w:rsid w:val="3F0D44AE"/>
    <w:rsid w:val="3F1D6618"/>
    <w:rsid w:val="3F36468C"/>
    <w:rsid w:val="3F8302EC"/>
    <w:rsid w:val="3FB75AA7"/>
    <w:rsid w:val="3FBA1F41"/>
    <w:rsid w:val="3FFC782B"/>
    <w:rsid w:val="401B3CF2"/>
    <w:rsid w:val="40327DB0"/>
    <w:rsid w:val="403D690D"/>
    <w:rsid w:val="40767760"/>
    <w:rsid w:val="40AB1D23"/>
    <w:rsid w:val="40F53849"/>
    <w:rsid w:val="41E657FF"/>
    <w:rsid w:val="41E70D48"/>
    <w:rsid w:val="42917FBA"/>
    <w:rsid w:val="42F824B0"/>
    <w:rsid w:val="436C0A8D"/>
    <w:rsid w:val="43DC2B82"/>
    <w:rsid w:val="43E22ABA"/>
    <w:rsid w:val="43F80DCD"/>
    <w:rsid w:val="43FB75A4"/>
    <w:rsid w:val="445D41D8"/>
    <w:rsid w:val="44733D03"/>
    <w:rsid w:val="44751F2B"/>
    <w:rsid w:val="44884C83"/>
    <w:rsid w:val="449622B7"/>
    <w:rsid w:val="44B26298"/>
    <w:rsid w:val="44F06DC0"/>
    <w:rsid w:val="453074E6"/>
    <w:rsid w:val="45BD01EF"/>
    <w:rsid w:val="463A54F2"/>
    <w:rsid w:val="464D21E9"/>
    <w:rsid w:val="46500EC4"/>
    <w:rsid w:val="46667BC4"/>
    <w:rsid w:val="467E1C70"/>
    <w:rsid w:val="468A4245"/>
    <w:rsid w:val="469067CA"/>
    <w:rsid w:val="46A47E62"/>
    <w:rsid w:val="4748596C"/>
    <w:rsid w:val="47500045"/>
    <w:rsid w:val="476B40D2"/>
    <w:rsid w:val="478B7839"/>
    <w:rsid w:val="48040645"/>
    <w:rsid w:val="48523C0A"/>
    <w:rsid w:val="486A4A4B"/>
    <w:rsid w:val="48763CF2"/>
    <w:rsid w:val="487C78C9"/>
    <w:rsid w:val="48965DC1"/>
    <w:rsid w:val="489E3890"/>
    <w:rsid w:val="494975E8"/>
    <w:rsid w:val="497A2C70"/>
    <w:rsid w:val="49AD34D2"/>
    <w:rsid w:val="49E47F6E"/>
    <w:rsid w:val="4A045071"/>
    <w:rsid w:val="4A4F766A"/>
    <w:rsid w:val="4A51245D"/>
    <w:rsid w:val="4A9E70FF"/>
    <w:rsid w:val="4AF35168"/>
    <w:rsid w:val="4B3A06D7"/>
    <w:rsid w:val="4B3F6B82"/>
    <w:rsid w:val="4B447127"/>
    <w:rsid w:val="4B6B7860"/>
    <w:rsid w:val="4B751DCD"/>
    <w:rsid w:val="4B822253"/>
    <w:rsid w:val="4B893ACB"/>
    <w:rsid w:val="4B9366F7"/>
    <w:rsid w:val="4BC56187"/>
    <w:rsid w:val="4BD34E49"/>
    <w:rsid w:val="4C0C01C1"/>
    <w:rsid w:val="4C216494"/>
    <w:rsid w:val="4CBC28D9"/>
    <w:rsid w:val="4D215C91"/>
    <w:rsid w:val="4D3021F3"/>
    <w:rsid w:val="4D3F455B"/>
    <w:rsid w:val="4D6E3BBD"/>
    <w:rsid w:val="4DB258D2"/>
    <w:rsid w:val="4DBC088F"/>
    <w:rsid w:val="4DCF2F60"/>
    <w:rsid w:val="4E0F0D90"/>
    <w:rsid w:val="4E2174AB"/>
    <w:rsid w:val="4E2C1433"/>
    <w:rsid w:val="4E300D69"/>
    <w:rsid w:val="4E4E5A90"/>
    <w:rsid w:val="4E6C325B"/>
    <w:rsid w:val="4EC54C1D"/>
    <w:rsid w:val="4ED35B75"/>
    <w:rsid w:val="4EE00DE1"/>
    <w:rsid w:val="4F040119"/>
    <w:rsid w:val="4F2064F4"/>
    <w:rsid w:val="4F5E65A9"/>
    <w:rsid w:val="4F7072B9"/>
    <w:rsid w:val="4F7E2EF6"/>
    <w:rsid w:val="4F8464B4"/>
    <w:rsid w:val="4F9A1B35"/>
    <w:rsid w:val="4FD70343"/>
    <w:rsid w:val="50086A80"/>
    <w:rsid w:val="500A35A4"/>
    <w:rsid w:val="501660AA"/>
    <w:rsid w:val="50391FDB"/>
    <w:rsid w:val="504E4830"/>
    <w:rsid w:val="50530F7D"/>
    <w:rsid w:val="50703E32"/>
    <w:rsid w:val="50806617"/>
    <w:rsid w:val="50D76907"/>
    <w:rsid w:val="50E71153"/>
    <w:rsid w:val="50ED2565"/>
    <w:rsid w:val="513F1823"/>
    <w:rsid w:val="516F27CB"/>
    <w:rsid w:val="5196143C"/>
    <w:rsid w:val="51D765EB"/>
    <w:rsid w:val="51E63FE0"/>
    <w:rsid w:val="52043826"/>
    <w:rsid w:val="52125025"/>
    <w:rsid w:val="524266BE"/>
    <w:rsid w:val="526B75A9"/>
    <w:rsid w:val="528369F3"/>
    <w:rsid w:val="52F13971"/>
    <w:rsid w:val="531151F6"/>
    <w:rsid w:val="53193AC3"/>
    <w:rsid w:val="53356AB0"/>
    <w:rsid w:val="53597175"/>
    <w:rsid w:val="53687418"/>
    <w:rsid w:val="53720DE2"/>
    <w:rsid w:val="537A6974"/>
    <w:rsid w:val="53B1462E"/>
    <w:rsid w:val="53B2711E"/>
    <w:rsid w:val="53CD4272"/>
    <w:rsid w:val="53F92C98"/>
    <w:rsid w:val="54067AFD"/>
    <w:rsid w:val="54224ABC"/>
    <w:rsid w:val="54422A68"/>
    <w:rsid w:val="54435711"/>
    <w:rsid w:val="54533C00"/>
    <w:rsid w:val="54E53EBA"/>
    <w:rsid w:val="555D67A4"/>
    <w:rsid w:val="55B60238"/>
    <w:rsid w:val="55EA5219"/>
    <w:rsid w:val="55ED2086"/>
    <w:rsid w:val="561505D4"/>
    <w:rsid w:val="5623537D"/>
    <w:rsid w:val="563102A4"/>
    <w:rsid w:val="566141E2"/>
    <w:rsid w:val="56973E1F"/>
    <w:rsid w:val="56F11165"/>
    <w:rsid w:val="56F64158"/>
    <w:rsid w:val="5749367F"/>
    <w:rsid w:val="575327DB"/>
    <w:rsid w:val="576772B5"/>
    <w:rsid w:val="57B91C1A"/>
    <w:rsid w:val="57CD71C9"/>
    <w:rsid w:val="57E34306"/>
    <w:rsid w:val="57E57589"/>
    <w:rsid w:val="57ED2754"/>
    <w:rsid w:val="58315F63"/>
    <w:rsid w:val="585E7C73"/>
    <w:rsid w:val="58737507"/>
    <w:rsid w:val="58AC71CF"/>
    <w:rsid w:val="58AD3BBB"/>
    <w:rsid w:val="591254B9"/>
    <w:rsid w:val="59A92A61"/>
    <w:rsid w:val="59C9560C"/>
    <w:rsid w:val="5A6804AB"/>
    <w:rsid w:val="5A7C529E"/>
    <w:rsid w:val="5ADE1F73"/>
    <w:rsid w:val="5B3A78F1"/>
    <w:rsid w:val="5BF8382F"/>
    <w:rsid w:val="5C22684F"/>
    <w:rsid w:val="5CB52BD2"/>
    <w:rsid w:val="5CDF456F"/>
    <w:rsid w:val="5CE3322E"/>
    <w:rsid w:val="5CF6526E"/>
    <w:rsid w:val="5D33795E"/>
    <w:rsid w:val="5D3D6594"/>
    <w:rsid w:val="5D572C78"/>
    <w:rsid w:val="5D944D6A"/>
    <w:rsid w:val="5DCB33F6"/>
    <w:rsid w:val="5DD153DA"/>
    <w:rsid w:val="5DFF429F"/>
    <w:rsid w:val="5E3556CC"/>
    <w:rsid w:val="5E4A70E9"/>
    <w:rsid w:val="5E6A2CC5"/>
    <w:rsid w:val="5E990EF9"/>
    <w:rsid w:val="5E99583F"/>
    <w:rsid w:val="5EBF74D1"/>
    <w:rsid w:val="5ECD16E6"/>
    <w:rsid w:val="5F2465E8"/>
    <w:rsid w:val="5F306102"/>
    <w:rsid w:val="5F4B72E8"/>
    <w:rsid w:val="5F783DAA"/>
    <w:rsid w:val="601A24B3"/>
    <w:rsid w:val="601E1A65"/>
    <w:rsid w:val="603B11D0"/>
    <w:rsid w:val="605B55DE"/>
    <w:rsid w:val="609E44E1"/>
    <w:rsid w:val="60E15CF6"/>
    <w:rsid w:val="60FE4D9D"/>
    <w:rsid w:val="61067EA9"/>
    <w:rsid w:val="612702A0"/>
    <w:rsid w:val="612C47B1"/>
    <w:rsid w:val="61AA49D7"/>
    <w:rsid w:val="61AE18F8"/>
    <w:rsid w:val="61C46012"/>
    <w:rsid w:val="61C86EF0"/>
    <w:rsid w:val="61DB480A"/>
    <w:rsid w:val="625843EF"/>
    <w:rsid w:val="62595539"/>
    <w:rsid w:val="626A12F1"/>
    <w:rsid w:val="62F241E8"/>
    <w:rsid w:val="63195A6F"/>
    <w:rsid w:val="632B71C6"/>
    <w:rsid w:val="634C153F"/>
    <w:rsid w:val="636F7002"/>
    <w:rsid w:val="637075B0"/>
    <w:rsid w:val="64164680"/>
    <w:rsid w:val="6438051B"/>
    <w:rsid w:val="645940DA"/>
    <w:rsid w:val="64834DD8"/>
    <w:rsid w:val="648C318D"/>
    <w:rsid w:val="64D30970"/>
    <w:rsid w:val="651843C7"/>
    <w:rsid w:val="653505E7"/>
    <w:rsid w:val="658F218E"/>
    <w:rsid w:val="66001ED5"/>
    <w:rsid w:val="661B154B"/>
    <w:rsid w:val="662114A5"/>
    <w:rsid w:val="662E766F"/>
    <w:rsid w:val="66AC2722"/>
    <w:rsid w:val="66AC5C6E"/>
    <w:rsid w:val="67305B69"/>
    <w:rsid w:val="673D224C"/>
    <w:rsid w:val="676A38DC"/>
    <w:rsid w:val="678F1196"/>
    <w:rsid w:val="67996D59"/>
    <w:rsid w:val="67A05B7E"/>
    <w:rsid w:val="67ED5EED"/>
    <w:rsid w:val="67FE6E42"/>
    <w:rsid w:val="68101CC4"/>
    <w:rsid w:val="68624B65"/>
    <w:rsid w:val="687424E1"/>
    <w:rsid w:val="689C2C37"/>
    <w:rsid w:val="68A51AEC"/>
    <w:rsid w:val="68D433DA"/>
    <w:rsid w:val="68D81006"/>
    <w:rsid w:val="68E02061"/>
    <w:rsid w:val="69146FEF"/>
    <w:rsid w:val="69D34CDF"/>
    <w:rsid w:val="6A232065"/>
    <w:rsid w:val="6A5F4FA1"/>
    <w:rsid w:val="6A6E5D46"/>
    <w:rsid w:val="6A7A4E34"/>
    <w:rsid w:val="6AAD6825"/>
    <w:rsid w:val="6ADA6866"/>
    <w:rsid w:val="6AF51460"/>
    <w:rsid w:val="6B61332D"/>
    <w:rsid w:val="6BE31D4A"/>
    <w:rsid w:val="6C4516BE"/>
    <w:rsid w:val="6C4F5101"/>
    <w:rsid w:val="6C7621DF"/>
    <w:rsid w:val="6C787452"/>
    <w:rsid w:val="6C853C97"/>
    <w:rsid w:val="6CE1254E"/>
    <w:rsid w:val="6CEF4F0F"/>
    <w:rsid w:val="6D397846"/>
    <w:rsid w:val="6D7A58FA"/>
    <w:rsid w:val="6DAA12B9"/>
    <w:rsid w:val="6DAB59DE"/>
    <w:rsid w:val="6DAC0CA7"/>
    <w:rsid w:val="6DEE118A"/>
    <w:rsid w:val="6E434EF0"/>
    <w:rsid w:val="6E6E4E06"/>
    <w:rsid w:val="6E7A016D"/>
    <w:rsid w:val="6E89329B"/>
    <w:rsid w:val="6EC24A7A"/>
    <w:rsid w:val="6EC47A23"/>
    <w:rsid w:val="6EF47564"/>
    <w:rsid w:val="701B0E3A"/>
    <w:rsid w:val="70235C5C"/>
    <w:rsid w:val="702C1048"/>
    <w:rsid w:val="70455FF7"/>
    <w:rsid w:val="705B4869"/>
    <w:rsid w:val="707215D5"/>
    <w:rsid w:val="708B7B34"/>
    <w:rsid w:val="70D65C22"/>
    <w:rsid w:val="71493855"/>
    <w:rsid w:val="71525973"/>
    <w:rsid w:val="71B53A87"/>
    <w:rsid w:val="71D55BDA"/>
    <w:rsid w:val="71DA2ABA"/>
    <w:rsid w:val="71F76241"/>
    <w:rsid w:val="726971FF"/>
    <w:rsid w:val="72D2660D"/>
    <w:rsid w:val="72DC4468"/>
    <w:rsid w:val="72F42593"/>
    <w:rsid w:val="730043D2"/>
    <w:rsid w:val="73593D50"/>
    <w:rsid w:val="73724465"/>
    <w:rsid w:val="737861A1"/>
    <w:rsid w:val="737A6199"/>
    <w:rsid w:val="73CC483B"/>
    <w:rsid w:val="74115621"/>
    <w:rsid w:val="74125A53"/>
    <w:rsid w:val="741D2362"/>
    <w:rsid w:val="74933D70"/>
    <w:rsid w:val="749C2B7B"/>
    <w:rsid w:val="749D1342"/>
    <w:rsid w:val="75566EE4"/>
    <w:rsid w:val="7562469E"/>
    <w:rsid w:val="757B0FD9"/>
    <w:rsid w:val="7583200C"/>
    <w:rsid w:val="75D55BE1"/>
    <w:rsid w:val="7660428B"/>
    <w:rsid w:val="766D6F36"/>
    <w:rsid w:val="76C56DC4"/>
    <w:rsid w:val="76F2653C"/>
    <w:rsid w:val="77286A1B"/>
    <w:rsid w:val="777C6EDB"/>
    <w:rsid w:val="77B4314C"/>
    <w:rsid w:val="77CD13AB"/>
    <w:rsid w:val="77D84AFD"/>
    <w:rsid w:val="780C21B2"/>
    <w:rsid w:val="7862795C"/>
    <w:rsid w:val="788F349B"/>
    <w:rsid w:val="789E6215"/>
    <w:rsid w:val="78C624D7"/>
    <w:rsid w:val="78C647AD"/>
    <w:rsid w:val="78F9378E"/>
    <w:rsid w:val="7957005C"/>
    <w:rsid w:val="79900684"/>
    <w:rsid w:val="79963F39"/>
    <w:rsid w:val="79A65463"/>
    <w:rsid w:val="79CC012D"/>
    <w:rsid w:val="79DD6DF8"/>
    <w:rsid w:val="79F31D17"/>
    <w:rsid w:val="7A286456"/>
    <w:rsid w:val="7A38269C"/>
    <w:rsid w:val="7AA41DEE"/>
    <w:rsid w:val="7ACF0E2A"/>
    <w:rsid w:val="7ADC31A8"/>
    <w:rsid w:val="7AE11CFE"/>
    <w:rsid w:val="7B275319"/>
    <w:rsid w:val="7B4324F0"/>
    <w:rsid w:val="7B453B00"/>
    <w:rsid w:val="7B8F0214"/>
    <w:rsid w:val="7BD111CC"/>
    <w:rsid w:val="7BD913B3"/>
    <w:rsid w:val="7BF111A2"/>
    <w:rsid w:val="7C280C89"/>
    <w:rsid w:val="7CAE4569"/>
    <w:rsid w:val="7CB121DB"/>
    <w:rsid w:val="7CBE43EB"/>
    <w:rsid w:val="7CBF407C"/>
    <w:rsid w:val="7CF55006"/>
    <w:rsid w:val="7D040A54"/>
    <w:rsid w:val="7D180639"/>
    <w:rsid w:val="7D2B5029"/>
    <w:rsid w:val="7D624BF0"/>
    <w:rsid w:val="7D67310E"/>
    <w:rsid w:val="7DA3060D"/>
    <w:rsid w:val="7DBB4185"/>
    <w:rsid w:val="7DC934DB"/>
    <w:rsid w:val="7DED3CF7"/>
    <w:rsid w:val="7E121CA5"/>
    <w:rsid w:val="7E5739DC"/>
    <w:rsid w:val="7E9E3841"/>
    <w:rsid w:val="7EC226B5"/>
    <w:rsid w:val="7ECB1A77"/>
    <w:rsid w:val="7ECC1B65"/>
    <w:rsid w:val="7ED22AB7"/>
    <w:rsid w:val="7ED60533"/>
    <w:rsid w:val="7EE23AE4"/>
    <w:rsid w:val="7EE52B34"/>
    <w:rsid w:val="7EF939F5"/>
    <w:rsid w:val="7F271C71"/>
    <w:rsid w:val="7F2C363A"/>
    <w:rsid w:val="7F7025A7"/>
    <w:rsid w:val="7FB77874"/>
    <w:rsid w:val="7FC9617F"/>
    <w:rsid w:val="7FD51448"/>
    <w:rsid w:val="7FE32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5"/>
    <w:link w:val="61"/>
    <w:qFormat/>
    <w:uiPriority w:val="0"/>
    <w:pPr>
      <w:keepNext/>
      <w:keepLines/>
      <w:spacing w:after="120" w:line="360" w:lineRule="auto"/>
      <w:outlineLvl w:val="0"/>
    </w:pPr>
    <w:rPr>
      <w:kern w:val="44"/>
      <w:sz w:val="28"/>
      <w:szCs w:val="28"/>
    </w:rPr>
  </w:style>
  <w:style w:type="paragraph" w:styleId="7">
    <w:name w:val="heading 2"/>
    <w:basedOn w:val="1"/>
    <w:next w:val="1"/>
    <w:link w:val="62"/>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8">
    <w:name w:val="heading 3"/>
    <w:basedOn w:val="1"/>
    <w:next w:val="1"/>
    <w:link w:val="47"/>
    <w:qFormat/>
    <w:uiPriority w:val="0"/>
    <w:pPr>
      <w:widowControl/>
      <w:spacing w:before="100" w:beforeAutospacing="1" w:after="100" w:afterAutospacing="1"/>
      <w:jc w:val="left"/>
      <w:outlineLvl w:val="2"/>
    </w:pPr>
    <w:rPr>
      <w:rFonts w:ascii="宋体" w:hAnsi="宋体" w:eastAsia="宋体" w:cs="宋体"/>
      <w:kern w:val="0"/>
      <w:sz w:val="24"/>
      <w:szCs w:val="27"/>
    </w:rPr>
  </w:style>
  <w:style w:type="paragraph" w:styleId="9">
    <w:name w:val="heading 4"/>
    <w:basedOn w:val="8"/>
    <w:next w:val="10"/>
    <w:link w:val="63"/>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11">
    <w:name w:val="heading 5"/>
    <w:basedOn w:val="9"/>
    <w:next w:val="10"/>
    <w:link w:val="64"/>
    <w:qFormat/>
    <w:uiPriority w:val="0"/>
    <w:pPr>
      <w:numPr>
        <w:ilvl w:val="4"/>
      </w:numPr>
      <w:spacing w:line="240" w:lineRule="exact"/>
      <w:outlineLvl w:val="4"/>
    </w:pPr>
  </w:style>
  <w:style w:type="paragraph" w:styleId="12">
    <w:name w:val="heading 6"/>
    <w:basedOn w:val="1"/>
    <w:next w:val="1"/>
    <w:link w:val="65"/>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3">
    <w:name w:val="heading 7"/>
    <w:basedOn w:val="1"/>
    <w:next w:val="10"/>
    <w:link w:val="66"/>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4">
    <w:name w:val="heading 8"/>
    <w:basedOn w:val="1"/>
    <w:next w:val="10"/>
    <w:link w:val="67"/>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5">
    <w:name w:val="heading 9"/>
    <w:basedOn w:val="1"/>
    <w:next w:val="10"/>
    <w:link w:val="68"/>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Calibri" w:hAnsi="Calibri" w:eastAsia="宋体" w:cs="Times New Roman"/>
      <w:kern w:val="2"/>
      <w:sz w:val="21"/>
      <w:szCs w:val="22"/>
      <w:lang w:val="en-US" w:eastAsia="zh-CN" w:bidi="ar-SA"/>
    </w:rPr>
  </w:style>
  <w:style w:type="paragraph" w:styleId="4">
    <w:name w:val="Title"/>
    <w:basedOn w:val="1"/>
    <w:link w:val="70"/>
    <w:qFormat/>
    <w:uiPriority w:val="0"/>
    <w:pPr>
      <w:spacing w:before="120" w:after="60"/>
      <w:jc w:val="center"/>
    </w:pPr>
    <w:rPr>
      <w:rFonts w:ascii="Arial" w:hAnsi="Arial"/>
      <w:b/>
      <w:sz w:val="44"/>
      <w:szCs w:val="20"/>
    </w:rPr>
  </w:style>
  <w:style w:type="paragraph" w:styleId="5">
    <w:name w:val="Body Text First Indent"/>
    <w:basedOn w:val="6"/>
    <w:link w:val="74"/>
    <w:qFormat/>
    <w:uiPriority w:val="0"/>
    <w:pPr>
      <w:ind w:firstLine="420"/>
    </w:pPr>
  </w:style>
  <w:style w:type="paragraph" w:styleId="6">
    <w:name w:val="Body Text"/>
    <w:basedOn w:val="1"/>
    <w:link w:val="72"/>
    <w:qFormat/>
    <w:uiPriority w:val="0"/>
    <w:pPr>
      <w:spacing w:after="120"/>
    </w:pPr>
    <w:rPr>
      <w:rFonts w:ascii="Times New Roman" w:hAnsi="Times New Roman"/>
      <w:szCs w:val="20"/>
    </w:rPr>
  </w:style>
  <w:style w:type="paragraph" w:styleId="10">
    <w:name w:val="Normal Indent"/>
    <w:basedOn w:val="1"/>
    <w:next w:val="1"/>
    <w:qFormat/>
    <w:uiPriority w:val="0"/>
    <w:pPr>
      <w:ind w:firstLine="420"/>
    </w:pPr>
    <w:rPr>
      <w:rFonts w:ascii="Times New Roman" w:hAnsi="Times New Roman"/>
      <w:szCs w:val="20"/>
    </w:rPr>
  </w:style>
  <w:style w:type="paragraph" w:styleId="16">
    <w:name w:val="Document Map"/>
    <w:basedOn w:val="1"/>
    <w:link w:val="80"/>
    <w:qFormat/>
    <w:uiPriority w:val="0"/>
    <w:pPr>
      <w:shd w:val="clear" w:color="auto" w:fill="000080"/>
    </w:pPr>
    <w:rPr>
      <w:rFonts w:ascii="Times New Roman" w:hAnsi="Times New Roman"/>
      <w:szCs w:val="20"/>
    </w:rPr>
  </w:style>
  <w:style w:type="paragraph" w:styleId="17">
    <w:name w:val="annotation text"/>
    <w:basedOn w:val="1"/>
    <w:link w:val="106"/>
    <w:qFormat/>
    <w:uiPriority w:val="0"/>
    <w:pPr>
      <w:spacing w:line="360" w:lineRule="auto"/>
      <w:ind w:firstLine="523" w:firstLineChars="218"/>
      <w:jc w:val="left"/>
    </w:pPr>
    <w:rPr>
      <w:rFonts w:ascii="宋体" w:hAnsi="宋体"/>
      <w:sz w:val="24"/>
      <w:szCs w:val="24"/>
    </w:rPr>
  </w:style>
  <w:style w:type="paragraph" w:styleId="18">
    <w:name w:val="Body Text Indent"/>
    <w:basedOn w:val="1"/>
    <w:link w:val="78"/>
    <w:qFormat/>
    <w:uiPriority w:val="0"/>
    <w:pPr>
      <w:ind w:firstLine="570"/>
    </w:pPr>
    <w:rPr>
      <w:rFonts w:ascii="Times New Roman" w:hAnsi="Times New Roman"/>
      <w:sz w:val="28"/>
      <w:szCs w:val="20"/>
    </w:rPr>
  </w:style>
  <w:style w:type="paragraph" w:styleId="19">
    <w:name w:val="index 4"/>
    <w:basedOn w:val="1"/>
    <w:next w:val="1"/>
    <w:unhideWhenUsed/>
    <w:qFormat/>
    <w:uiPriority w:val="99"/>
    <w:pPr>
      <w:ind w:left="600" w:leftChars="600"/>
    </w:pPr>
  </w:style>
  <w:style w:type="paragraph" w:styleId="20">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21">
    <w:name w:val="Plain Text"/>
    <w:basedOn w:val="1"/>
    <w:next w:val="1"/>
    <w:link w:val="82"/>
    <w:qFormat/>
    <w:uiPriority w:val="0"/>
    <w:rPr>
      <w:rFonts w:ascii="宋体" w:hAnsi="Courier New"/>
      <w:szCs w:val="20"/>
    </w:rPr>
  </w:style>
  <w:style w:type="paragraph" w:styleId="22">
    <w:name w:val="Date"/>
    <w:basedOn w:val="1"/>
    <w:next w:val="1"/>
    <w:link w:val="76"/>
    <w:qFormat/>
    <w:uiPriority w:val="0"/>
    <w:rPr>
      <w:rFonts w:ascii="Times New Roman" w:hAnsi="Times New Roman"/>
      <w:szCs w:val="20"/>
    </w:rPr>
  </w:style>
  <w:style w:type="paragraph" w:styleId="23">
    <w:name w:val="Body Text Indent 2"/>
    <w:basedOn w:val="1"/>
    <w:link w:val="84"/>
    <w:qFormat/>
    <w:uiPriority w:val="0"/>
    <w:pPr>
      <w:spacing w:line="400" w:lineRule="exact"/>
      <w:ind w:left="425"/>
    </w:pPr>
    <w:rPr>
      <w:rFonts w:ascii="Times New Roman" w:hAnsi="Times New Roman"/>
      <w:color w:val="000000"/>
      <w:sz w:val="24"/>
      <w:szCs w:val="20"/>
    </w:rPr>
  </w:style>
  <w:style w:type="paragraph" w:styleId="24">
    <w:name w:val="endnote text"/>
    <w:basedOn w:val="1"/>
    <w:link w:val="93"/>
    <w:qFormat/>
    <w:uiPriority w:val="0"/>
    <w:pPr>
      <w:snapToGrid w:val="0"/>
      <w:jc w:val="left"/>
    </w:pPr>
    <w:rPr>
      <w:rFonts w:ascii="Times New Roman" w:hAnsi="Times New Roman"/>
      <w:szCs w:val="20"/>
    </w:rPr>
  </w:style>
  <w:style w:type="paragraph" w:styleId="25">
    <w:name w:val="Balloon Text"/>
    <w:basedOn w:val="1"/>
    <w:link w:val="103"/>
    <w:qFormat/>
    <w:uiPriority w:val="0"/>
    <w:rPr>
      <w:rFonts w:ascii="Times New Roman" w:hAnsi="Times New Roman"/>
      <w:sz w:val="18"/>
      <w:szCs w:val="18"/>
    </w:rPr>
  </w:style>
  <w:style w:type="paragraph" w:styleId="26">
    <w:name w:val="footer"/>
    <w:basedOn w:val="1"/>
    <w:link w:val="60"/>
    <w:unhideWhenUsed/>
    <w:qFormat/>
    <w:uiPriority w:val="0"/>
    <w:pPr>
      <w:tabs>
        <w:tab w:val="center" w:pos="4153"/>
        <w:tab w:val="right" w:pos="8306"/>
      </w:tabs>
      <w:snapToGrid w:val="0"/>
      <w:jc w:val="left"/>
    </w:pPr>
    <w:rPr>
      <w:sz w:val="18"/>
      <w:szCs w:val="18"/>
    </w:rPr>
  </w:style>
  <w:style w:type="paragraph" w:styleId="27">
    <w:name w:val="header"/>
    <w:basedOn w:val="1"/>
    <w:link w:val="58"/>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9">
    <w:name w:val="footnote text"/>
    <w:basedOn w:val="1"/>
    <w:link w:val="108"/>
    <w:qFormat/>
    <w:uiPriority w:val="0"/>
    <w:pPr>
      <w:snapToGrid w:val="0"/>
      <w:spacing w:line="360" w:lineRule="auto"/>
      <w:ind w:firstLine="523" w:firstLineChars="218"/>
      <w:jc w:val="left"/>
    </w:pPr>
    <w:rPr>
      <w:rFonts w:ascii="宋体" w:hAnsi="宋体"/>
      <w:sz w:val="18"/>
      <w:szCs w:val="18"/>
    </w:rPr>
  </w:style>
  <w:style w:type="paragraph" w:styleId="30">
    <w:name w:val="Body Text Indent 3"/>
    <w:basedOn w:val="1"/>
    <w:link w:val="86"/>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31">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2">
    <w:name w:val="Body Text 2"/>
    <w:basedOn w:val="1"/>
    <w:link w:val="90"/>
    <w:qFormat/>
    <w:uiPriority w:val="0"/>
    <w:rPr>
      <w:rFonts w:ascii="宋体" w:hAnsi="宋体"/>
      <w:szCs w:val="24"/>
      <w:u w:val="single"/>
    </w:rPr>
  </w:style>
  <w:style w:type="paragraph" w:styleId="33">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4">
    <w:name w:val="Normal (Web)"/>
    <w:basedOn w:val="1"/>
    <w:qFormat/>
    <w:uiPriority w:val="0"/>
    <w:pPr>
      <w:widowControl/>
      <w:autoSpaceDE/>
      <w:autoSpaceDN/>
      <w:spacing w:before="100" w:beforeAutospacing="1" w:after="100" w:afterAutospacing="1"/>
    </w:pPr>
    <w:rPr>
      <w:rFonts w:ascii="宋体" w:hAnsi="宋体" w:eastAsia="方正楷体_GB2312" w:cs="宋体"/>
      <w:sz w:val="24"/>
      <w:szCs w:val="24"/>
    </w:rPr>
  </w:style>
  <w:style w:type="paragraph" w:styleId="35">
    <w:name w:val="index 1"/>
    <w:basedOn w:val="1"/>
    <w:next w:val="1"/>
    <w:qFormat/>
    <w:uiPriority w:val="0"/>
    <w:rPr>
      <w:rFonts w:ascii="Times New Roman" w:hAnsi="Times New Roman" w:eastAsia="仿宋_GB2312"/>
      <w:sz w:val="28"/>
      <w:szCs w:val="20"/>
    </w:rPr>
  </w:style>
  <w:style w:type="paragraph" w:styleId="36">
    <w:name w:val="annotation subject"/>
    <w:basedOn w:val="17"/>
    <w:next w:val="17"/>
    <w:link w:val="110"/>
    <w:qFormat/>
    <w:uiPriority w:val="0"/>
    <w:rPr>
      <w:b/>
      <w:bCs/>
    </w:rPr>
  </w:style>
  <w:style w:type="table" w:styleId="38">
    <w:name w:val="Table Grid"/>
    <w:basedOn w:val="37"/>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rPr>
  </w:style>
  <w:style w:type="character" w:styleId="41">
    <w:name w:val="endnote reference"/>
    <w:qFormat/>
    <w:uiPriority w:val="0"/>
    <w:rPr>
      <w:vertAlign w:val="superscript"/>
    </w:rPr>
  </w:style>
  <w:style w:type="character" w:styleId="42">
    <w:name w:val="page number"/>
    <w:qFormat/>
    <w:uiPriority w:val="0"/>
    <w:rPr>
      <w:rFonts w:cs="Times New Roman"/>
    </w:rPr>
  </w:style>
  <w:style w:type="character" w:styleId="43">
    <w:name w:val="FollowedHyperlink"/>
    <w:semiHidden/>
    <w:unhideWhenUsed/>
    <w:qFormat/>
    <w:uiPriority w:val="99"/>
    <w:rPr>
      <w:color w:val="954F72"/>
      <w:u w:val="single"/>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styleId="46">
    <w:name w:val="footnote reference"/>
    <w:qFormat/>
    <w:uiPriority w:val="0"/>
    <w:rPr>
      <w:vertAlign w:val="superscript"/>
    </w:rPr>
  </w:style>
  <w:style w:type="character" w:customStyle="1" w:styleId="47">
    <w:name w:val="标题 3 Char"/>
    <w:link w:val="8"/>
    <w:qFormat/>
    <w:uiPriority w:val="0"/>
    <w:rPr>
      <w:rFonts w:ascii="宋体" w:hAnsi="宋体" w:eastAsia="宋体" w:cs="宋体"/>
      <w:kern w:val="0"/>
      <w:sz w:val="24"/>
      <w:szCs w:val="27"/>
    </w:rPr>
  </w:style>
  <w:style w:type="character" w:customStyle="1" w:styleId="48">
    <w:name w:val="标题 1 字符"/>
    <w:qFormat/>
    <w:uiPriority w:val="9"/>
    <w:rPr>
      <w:rFonts w:ascii="Calibri" w:hAnsi="Calibri" w:eastAsia="宋体" w:cs="Times New Roman"/>
      <w:b/>
      <w:bCs/>
      <w:kern w:val="44"/>
      <w:sz w:val="44"/>
      <w:szCs w:val="44"/>
    </w:rPr>
  </w:style>
  <w:style w:type="character" w:customStyle="1" w:styleId="49">
    <w:name w:val="标题 2 字符"/>
    <w:semiHidden/>
    <w:qFormat/>
    <w:uiPriority w:val="9"/>
    <w:rPr>
      <w:rFonts w:ascii="等线 Light" w:hAnsi="等线 Light" w:eastAsia="等线 Light" w:cs="Times New Roman"/>
      <w:b/>
      <w:bCs/>
      <w:sz w:val="32"/>
      <w:szCs w:val="32"/>
    </w:rPr>
  </w:style>
  <w:style w:type="character" w:customStyle="1" w:styleId="50">
    <w:name w:val="标题 3 字符"/>
    <w:semiHidden/>
    <w:qFormat/>
    <w:uiPriority w:val="9"/>
    <w:rPr>
      <w:rFonts w:ascii="Calibri" w:hAnsi="Calibri" w:eastAsia="宋体" w:cs="Times New Roman"/>
      <w:b/>
      <w:bCs/>
      <w:sz w:val="32"/>
      <w:szCs w:val="32"/>
    </w:rPr>
  </w:style>
  <w:style w:type="character" w:customStyle="1" w:styleId="51">
    <w:name w:val="标题 4 字符"/>
    <w:semiHidden/>
    <w:qFormat/>
    <w:uiPriority w:val="9"/>
    <w:rPr>
      <w:rFonts w:ascii="等线 Light" w:hAnsi="等线 Light" w:eastAsia="等线 Light" w:cs="Times New Roman"/>
      <w:b/>
      <w:bCs/>
      <w:sz w:val="28"/>
      <w:szCs w:val="28"/>
    </w:rPr>
  </w:style>
  <w:style w:type="character" w:customStyle="1" w:styleId="52">
    <w:name w:val="标题 5 字符"/>
    <w:semiHidden/>
    <w:qFormat/>
    <w:uiPriority w:val="9"/>
    <w:rPr>
      <w:rFonts w:ascii="Calibri" w:hAnsi="Calibri" w:eastAsia="宋体" w:cs="Times New Roman"/>
      <w:b/>
      <w:bCs/>
      <w:sz w:val="28"/>
      <w:szCs w:val="28"/>
    </w:rPr>
  </w:style>
  <w:style w:type="character" w:customStyle="1" w:styleId="53">
    <w:name w:val="标题 6 字符"/>
    <w:semiHidden/>
    <w:qFormat/>
    <w:uiPriority w:val="9"/>
    <w:rPr>
      <w:rFonts w:ascii="等线 Light" w:hAnsi="等线 Light" w:eastAsia="等线 Light" w:cs="Times New Roman"/>
      <w:b/>
      <w:bCs/>
      <w:sz w:val="24"/>
      <w:szCs w:val="24"/>
    </w:rPr>
  </w:style>
  <w:style w:type="character" w:customStyle="1" w:styleId="54">
    <w:name w:val="标题 7 字符"/>
    <w:semiHidden/>
    <w:qFormat/>
    <w:uiPriority w:val="9"/>
    <w:rPr>
      <w:rFonts w:ascii="Calibri" w:hAnsi="Calibri" w:eastAsia="宋体" w:cs="Times New Roman"/>
      <w:b/>
      <w:bCs/>
      <w:sz w:val="24"/>
      <w:szCs w:val="24"/>
    </w:rPr>
  </w:style>
  <w:style w:type="character" w:customStyle="1" w:styleId="55">
    <w:name w:val="标题 8 字符"/>
    <w:semiHidden/>
    <w:qFormat/>
    <w:uiPriority w:val="9"/>
    <w:rPr>
      <w:rFonts w:ascii="等线 Light" w:hAnsi="等线 Light" w:eastAsia="等线 Light" w:cs="Times New Roman"/>
      <w:sz w:val="24"/>
      <w:szCs w:val="24"/>
    </w:rPr>
  </w:style>
  <w:style w:type="character" w:customStyle="1" w:styleId="56">
    <w:name w:val="标题 9 字符"/>
    <w:semiHidden/>
    <w:qFormat/>
    <w:uiPriority w:val="9"/>
    <w:rPr>
      <w:rFonts w:ascii="等线 Light" w:hAnsi="等线 Light" w:eastAsia="等线 Light" w:cs="Times New Roman"/>
      <w:szCs w:val="21"/>
    </w:rPr>
  </w:style>
  <w:style w:type="character" w:customStyle="1" w:styleId="57">
    <w:name w:val="页眉 字符"/>
    <w:semiHidden/>
    <w:qFormat/>
    <w:uiPriority w:val="99"/>
    <w:rPr>
      <w:rFonts w:ascii="Calibri" w:hAnsi="Calibri" w:eastAsia="宋体" w:cs="Times New Roman"/>
      <w:sz w:val="18"/>
      <w:szCs w:val="18"/>
    </w:rPr>
  </w:style>
  <w:style w:type="character" w:customStyle="1" w:styleId="58">
    <w:name w:val="页眉 Char3"/>
    <w:link w:val="27"/>
    <w:qFormat/>
    <w:uiPriority w:val="0"/>
    <w:rPr>
      <w:rFonts w:ascii="Calibri" w:hAnsi="Calibri" w:eastAsia="宋体" w:cs="Times New Roman"/>
      <w:sz w:val="18"/>
      <w:szCs w:val="18"/>
    </w:rPr>
  </w:style>
  <w:style w:type="character" w:customStyle="1" w:styleId="59">
    <w:name w:val="页脚 字符"/>
    <w:semiHidden/>
    <w:qFormat/>
    <w:uiPriority w:val="99"/>
    <w:rPr>
      <w:rFonts w:ascii="Calibri" w:hAnsi="Calibri" w:eastAsia="宋体" w:cs="Times New Roman"/>
      <w:sz w:val="18"/>
      <w:szCs w:val="18"/>
    </w:rPr>
  </w:style>
  <w:style w:type="character" w:customStyle="1" w:styleId="60">
    <w:name w:val="页脚 Char"/>
    <w:link w:val="26"/>
    <w:qFormat/>
    <w:uiPriority w:val="0"/>
    <w:rPr>
      <w:rFonts w:ascii="Calibri" w:hAnsi="Calibri" w:eastAsia="宋体" w:cs="Times New Roman"/>
      <w:sz w:val="18"/>
      <w:szCs w:val="18"/>
    </w:rPr>
  </w:style>
  <w:style w:type="character" w:customStyle="1" w:styleId="61">
    <w:name w:val="标题 1 Char"/>
    <w:link w:val="3"/>
    <w:qFormat/>
    <w:uiPriority w:val="0"/>
    <w:rPr>
      <w:rFonts w:ascii="Arial" w:hAnsi="Arial" w:eastAsia="宋体"/>
      <w:b/>
      <w:kern w:val="44"/>
      <w:sz w:val="28"/>
      <w:szCs w:val="28"/>
    </w:rPr>
  </w:style>
  <w:style w:type="character" w:customStyle="1" w:styleId="62">
    <w:name w:val="标题 2 Char"/>
    <w:link w:val="7"/>
    <w:qFormat/>
    <w:uiPriority w:val="0"/>
    <w:rPr>
      <w:rFonts w:ascii="Arial" w:hAnsi="Arial" w:eastAsia="宋体" w:cs="Times New Roman"/>
      <w:b/>
      <w:color w:val="000000"/>
      <w:sz w:val="24"/>
      <w:szCs w:val="24"/>
    </w:rPr>
  </w:style>
  <w:style w:type="character" w:customStyle="1" w:styleId="63">
    <w:name w:val="标题 4 Char"/>
    <w:link w:val="9"/>
    <w:qFormat/>
    <w:uiPriority w:val="0"/>
    <w:rPr>
      <w:rFonts w:ascii="Arial" w:hAnsi="Arial" w:eastAsia="宋体" w:cs="Times New Roman"/>
      <w:color w:val="000000"/>
      <w:szCs w:val="21"/>
    </w:rPr>
  </w:style>
  <w:style w:type="character" w:customStyle="1" w:styleId="64">
    <w:name w:val="标题 5 Char"/>
    <w:link w:val="11"/>
    <w:qFormat/>
    <w:uiPriority w:val="0"/>
    <w:rPr>
      <w:rFonts w:ascii="Arial" w:hAnsi="Arial" w:eastAsia="宋体" w:cs="Times New Roman"/>
      <w:color w:val="000000"/>
      <w:szCs w:val="21"/>
    </w:rPr>
  </w:style>
  <w:style w:type="character" w:customStyle="1" w:styleId="65">
    <w:name w:val="标题 6 Char"/>
    <w:link w:val="12"/>
    <w:qFormat/>
    <w:uiPriority w:val="0"/>
    <w:rPr>
      <w:rFonts w:ascii="Arial" w:hAnsi="Arial" w:eastAsia="黑体" w:cs="Times New Roman"/>
      <w:b/>
      <w:bCs/>
      <w:sz w:val="24"/>
      <w:szCs w:val="24"/>
    </w:rPr>
  </w:style>
  <w:style w:type="character" w:customStyle="1" w:styleId="66">
    <w:name w:val="标题 7 Char"/>
    <w:link w:val="13"/>
    <w:qFormat/>
    <w:uiPriority w:val="0"/>
    <w:rPr>
      <w:rFonts w:ascii="Times New Roman" w:hAnsi="Times New Roman" w:eastAsia="宋体" w:cs="Times New Roman"/>
      <w:b/>
      <w:sz w:val="24"/>
      <w:szCs w:val="20"/>
    </w:rPr>
  </w:style>
  <w:style w:type="character" w:customStyle="1" w:styleId="67">
    <w:name w:val="标题 8 Char"/>
    <w:link w:val="14"/>
    <w:qFormat/>
    <w:uiPriority w:val="0"/>
    <w:rPr>
      <w:rFonts w:ascii="Arial" w:hAnsi="Arial" w:eastAsia="黑体" w:cs="Times New Roman"/>
      <w:sz w:val="24"/>
      <w:szCs w:val="20"/>
    </w:rPr>
  </w:style>
  <w:style w:type="character" w:customStyle="1" w:styleId="68">
    <w:name w:val="标题 9 Char"/>
    <w:link w:val="15"/>
    <w:qFormat/>
    <w:uiPriority w:val="0"/>
    <w:rPr>
      <w:rFonts w:ascii="Arial" w:hAnsi="Arial" w:eastAsia="黑体" w:cs="Times New Roman"/>
      <w:szCs w:val="20"/>
    </w:rPr>
  </w:style>
  <w:style w:type="character" w:customStyle="1" w:styleId="69">
    <w:name w:val="标题 字符"/>
    <w:qFormat/>
    <w:uiPriority w:val="10"/>
    <w:rPr>
      <w:rFonts w:ascii="等线 Light" w:hAnsi="等线 Light" w:eastAsia="等线 Light" w:cs="Times New Roman"/>
      <w:b/>
      <w:bCs/>
      <w:sz w:val="32"/>
      <w:szCs w:val="32"/>
    </w:rPr>
  </w:style>
  <w:style w:type="character" w:customStyle="1" w:styleId="70">
    <w:name w:val="标题 Char"/>
    <w:link w:val="4"/>
    <w:qFormat/>
    <w:uiPriority w:val="0"/>
    <w:rPr>
      <w:rFonts w:ascii="Arial" w:hAnsi="Arial" w:eastAsia="宋体" w:cs="Times New Roman"/>
      <w:b/>
      <w:sz w:val="44"/>
      <w:szCs w:val="20"/>
    </w:rPr>
  </w:style>
  <w:style w:type="character" w:customStyle="1" w:styleId="71">
    <w:name w:val="正文文本 字符"/>
    <w:semiHidden/>
    <w:qFormat/>
    <w:uiPriority w:val="99"/>
    <w:rPr>
      <w:rFonts w:ascii="Calibri" w:hAnsi="Calibri" w:eastAsia="宋体" w:cs="Times New Roman"/>
    </w:rPr>
  </w:style>
  <w:style w:type="character" w:customStyle="1" w:styleId="72">
    <w:name w:val="正文文本 Char"/>
    <w:link w:val="6"/>
    <w:qFormat/>
    <w:uiPriority w:val="0"/>
    <w:rPr>
      <w:rFonts w:ascii="Times New Roman" w:hAnsi="Times New Roman" w:eastAsia="宋体" w:cs="Times New Roman"/>
      <w:szCs w:val="20"/>
    </w:rPr>
  </w:style>
  <w:style w:type="character" w:customStyle="1" w:styleId="73">
    <w:name w:val="正文首行缩进 字符"/>
    <w:basedOn w:val="71"/>
    <w:semiHidden/>
    <w:qFormat/>
    <w:uiPriority w:val="99"/>
    <w:rPr>
      <w:rFonts w:ascii="Calibri" w:hAnsi="Calibri" w:eastAsia="宋体" w:cs="Times New Roman"/>
    </w:rPr>
  </w:style>
  <w:style w:type="character" w:customStyle="1" w:styleId="74">
    <w:name w:val="正文首行缩进 Char"/>
    <w:link w:val="5"/>
    <w:qFormat/>
    <w:uiPriority w:val="0"/>
  </w:style>
  <w:style w:type="character" w:customStyle="1" w:styleId="75">
    <w:name w:val="日期 字符"/>
    <w:semiHidden/>
    <w:qFormat/>
    <w:uiPriority w:val="99"/>
    <w:rPr>
      <w:rFonts w:ascii="Calibri" w:hAnsi="Calibri" w:eastAsia="宋体" w:cs="Times New Roman"/>
    </w:rPr>
  </w:style>
  <w:style w:type="character" w:customStyle="1" w:styleId="76">
    <w:name w:val="日期 Char"/>
    <w:link w:val="22"/>
    <w:qFormat/>
    <w:uiPriority w:val="0"/>
    <w:rPr>
      <w:rFonts w:ascii="Times New Roman" w:hAnsi="Times New Roman" w:eastAsia="宋体" w:cs="Times New Roman"/>
      <w:szCs w:val="20"/>
    </w:rPr>
  </w:style>
  <w:style w:type="character" w:customStyle="1" w:styleId="77">
    <w:name w:val="正文文本缩进 字符"/>
    <w:semiHidden/>
    <w:qFormat/>
    <w:uiPriority w:val="99"/>
    <w:rPr>
      <w:rFonts w:ascii="Calibri" w:hAnsi="Calibri" w:eastAsia="宋体" w:cs="Times New Roman"/>
    </w:rPr>
  </w:style>
  <w:style w:type="character" w:customStyle="1" w:styleId="78">
    <w:name w:val="正文文本缩进 Char"/>
    <w:link w:val="18"/>
    <w:qFormat/>
    <w:uiPriority w:val="0"/>
    <w:rPr>
      <w:rFonts w:ascii="Times New Roman" w:hAnsi="Times New Roman" w:eastAsia="宋体" w:cs="Times New Roman"/>
      <w:sz w:val="28"/>
      <w:szCs w:val="20"/>
    </w:rPr>
  </w:style>
  <w:style w:type="character" w:customStyle="1" w:styleId="79">
    <w:name w:val="文档结构图 字符"/>
    <w:semiHidden/>
    <w:qFormat/>
    <w:uiPriority w:val="99"/>
    <w:rPr>
      <w:rFonts w:ascii="Microsoft YaHei UI" w:hAnsi="Calibri" w:eastAsia="Microsoft YaHei UI" w:cs="Times New Roman"/>
      <w:sz w:val="18"/>
      <w:szCs w:val="18"/>
    </w:rPr>
  </w:style>
  <w:style w:type="character" w:customStyle="1" w:styleId="80">
    <w:name w:val="文档结构图 Char"/>
    <w:link w:val="16"/>
    <w:qFormat/>
    <w:uiPriority w:val="0"/>
    <w:rPr>
      <w:rFonts w:ascii="Times New Roman" w:hAnsi="Times New Roman" w:eastAsia="宋体" w:cs="Times New Roman"/>
      <w:szCs w:val="20"/>
      <w:shd w:val="clear" w:color="auto" w:fill="000080"/>
    </w:rPr>
  </w:style>
  <w:style w:type="character" w:customStyle="1" w:styleId="81">
    <w:name w:val="纯文本 字符"/>
    <w:semiHidden/>
    <w:qFormat/>
    <w:uiPriority w:val="99"/>
    <w:rPr>
      <w:rFonts w:ascii="等线" w:hAnsi="Courier New" w:cs="Courier New"/>
    </w:rPr>
  </w:style>
  <w:style w:type="character" w:customStyle="1" w:styleId="82">
    <w:name w:val="纯文本 Char"/>
    <w:link w:val="21"/>
    <w:qFormat/>
    <w:uiPriority w:val="0"/>
    <w:rPr>
      <w:rFonts w:ascii="宋体" w:hAnsi="Courier New" w:eastAsia="宋体" w:cs="Times New Roman"/>
      <w:szCs w:val="20"/>
    </w:rPr>
  </w:style>
  <w:style w:type="character" w:customStyle="1" w:styleId="83">
    <w:name w:val="正文文本缩进 2 字符"/>
    <w:semiHidden/>
    <w:qFormat/>
    <w:uiPriority w:val="99"/>
    <w:rPr>
      <w:rFonts w:ascii="Calibri" w:hAnsi="Calibri" w:eastAsia="宋体" w:cs="Times New Roman"/>
    </w:rPr>
  </w:style>
  <w:style w:type="character" w:customStyle="1" w:styleId="84">
    <w:name w:val="正文文本缩进 2 Char"/>
    <w:link w:val="23"/>
    <w:qFormat/>
    <w:uiPriority w:val="0"/>
    <w:rPr>
      <w:rFonts w:ascii="Times New Roman" w:hAnsi="Times New Roman" w:eastAsia="宋体" w:cs="Times New Roman"/>
      <w:color w:val="000000"/>
      <w:sz w:val="24"/>
      <w:szCs w:val="20"/>
    </w:rPr>
  </w:style>
  <w:style w:type="character" w:customStyle="1" w:styleId="85">
    <w:name w:val="正文文本缩进 3 字符"/>
    <w:semiHidden/>
    <w:qFormat/>
    <w:uiPriority w:val="99"/>
    <w:rPr>
      <w:rFonts w:ascii="Calibri" w:hAnsi="Calibri" w:eastAsia="宋体" w:cs="Times New Roman"/>
      <w:sz w:val="16"/>
      <w:szCs w:val="16"/>
    </w:rPr>
  </w:style>
  <w:style w:type="character" w:customStyle="1" w:styleId="86">
    <w:name w:val="正文文本缩进 3 Char"/>
    <w:link w:val="30"/>
    <w:qFormat/>
    <w:uiPriority w:val="0"/>
    <w:rPr>
      <w:rFonts w:ascii="Times New Roman" w:hAnsi="Times New Roman" w:eastAsia="宋体" w:cs="Times New Roman"/>
      <w:color w:val="000000"/>
      <w:sz w:val="24"/>
      <w:szCs w:val="20"/>
    </w:rPr>
  </w:style>
  <w:style w:type="paragraph" w:customStyle="1" w:styleId="87">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8">
    <w:name w:val="_Style 69"/>
    <w:qFormat/>
    <w:uiPriority w:val="0"/>
    <w:rPr>
      <w:rFonts w:ascii="等线" w:hAnsi="等线" w:eastAsia="等线" w:cs="Times New Roman"/>
      <w:lang w:val="en-US" w:eastAsia="zh-CN" w:bidi="ar-SA"/>
    </w:rPr>
  </w:style>
  <w:style w:type="character" w:customStyle="1" w:styleId="89">
    <w:name w:val="正文文本 2 字符"/>
    <w:semiHidden/>
    <w:qFormat/>
    <w:uiPriority w:val="99"/>
    <w:rPr>
      <w:rFonts w:ascii="Calibri" w:hAnsi="Calibri" w:eastAsia="宋体" w:cs="Times New Roman"/>
    </w:rPr>
  </w:style>
  <w:style w:type="character" w:customStyle="1" w:styleId="90">
    <w:name w:val="正文文本 2 Char"/>
    <w:link w:val="32"/>
    <w:qFormat/>
    <w:uiPriority w:val="0"/>
    <w:rPr>
      <w:rFonts w:ascii="宋体" w:hAnsi="宋体" w:eastAsia="宋体" w:cs="Times New Roman"/>
      <w:szCs w:val="24"/>
      <w:u w:val="single"/>
    </w:rPr>
  </w:style>
  <w:style w:type="paragraph" w:customStyle="1" w:styleId="91">
    <w:name w:val="表头"/>
    <w:basedOn w:val="1"/>
    <w:qFormat/>
    <w:uiPriority w:val="0"/>
    <w:pPr>
      <w:spacing w:line="360" w:lineRule="auto"/>
      <w:jc w:val="center"/>
    </w:pPr>
    <w:rPr>
      <w:rFonts w:ascii="黑体" w:hAnsi="Times New Roman" w:eastAsia="黑体"/>
      <w:kern w:val="0"/>
      <w:sz w:val="24"/>
      <w:szCs w:val="20"/>
    </w:rPr>
  </w:style>
  <w:style w:type="character" w:customStyle="1" w:styleId="92">
    <w:name w:val="尾注文本 字符"/>
    <w:semiHidden/>
    <w:qFormat/>
    <w:uiPriority w:val="99"/>
    <w:rPr>
      <w:rFonts w:ascii="Calibri" w:hAnsi="Calibri" w:eastAsia="宋体" w:cs="Times New Roman"/>
    </w:rPr>
  </w:style>
  <w:style w:type="character" w:customStyle="1" w:styleId="93">
    <w:name w:val="尾注文本 Char"/>
    <w:link w:val="24"/>
    <w:qFormat/>
    <w:uiPriority w:val="0"/>
    <w:rPr>
      <w:rFonts w:ascii="Times New Roman" w:hAnsi="Times New Roman" w:eastAsia="宋体" w:cs="Times New Roman"/>
      <w:szCs w:val="20"/>
    </w:rPr>
  </w:style>
  <w:style w:type="paragraph" w:customStyle="1" w:styleId="94">
    <w:name w:val="Char"/>
    <w:basedOn w:val="1"/>
    <w:qFormat/>
    <w:uiPriority w:val="0"/>
    <w:rPr>
      <w:rFonts w:ascii="Tahoma" w:hAnsi="Tahoma"/>
      <w:sz w:val="24"/>
      <w:szCs w:val="20"/>
    </w:rPr>
  </w:style>
  <w:style w:type="paragraph" w:customStyle="1" w:styleId="95">
    <w:name w:val="Char1"/>
    <w:basedOn w:val="1"/>
    <w:qFormat/>
    <w:uiPriority w:val="0"/>
    <w:pPr>
      <w:numPr>
        <w:ilvl w:val="0"/>
        <w:numId w:val="1"/>
      </w:numPr>
    </w:pPr>
    <w:rPr>
      <w:rFonts w:ascii="Times New Roman" w:hAnsi="Times New Roman"/>
      <w:sz w:val="24"/>
      <w:szCs w:val="24"/>
    </w:rPr>
  </w:style>
  <w:style w:type="paragraph" w:customStyle="1" w:styleId="96">
    <w:name w:val="公文抬头"/>
    <w:basedOn w:val="10"/>
    <w:qFormat/>
    <w:uiPriority w:val="0"/>
    <w:pPr>
      <w:ind w:firstLine="0"/>
    </w:pPr>
    <w:rPr>
      <w:rFonts w:ascii="仿宋_GB2312" w:eastAsia="仿宋_GB2312"/>
      <w:sz w:val="30"/>
      <w:szCs w:val="24"/>
    </w:rPr>
  </w:style>
  <w:style w:type="paragraph" w:customStyle="1" w:styleId="97">
    <w:name w:val="Char Char Char1 Char"/>
    <w:basedOn w:val="16"/>
    <w:qFormat/>
    <w:uiPriority w:val="0"/>
    <w:rPr>
      <w:rFonts w:ascii="Tahoma" w:hAnsi="Tahoma"/>
      <w:sz w:val="24"/>
      <w:szCs w:val="24"/>
    </w:rPr>
  </w:style>
  <w:style w:type="paragraph" w:customStyle="1" w:styleId="9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9">
    <w:name w:val="公文标题"/>
    <w:basedOn w:val="8"/>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00">
    <w:name w:val="发文落款"/>
    <w:basedOn w:val="98"/>
    <w:qFormat/>
    <w:uiPriority w:val="0"/>
    <w:pPr>
      <w:ind w:left="4094" w:right="607" w:firstLine="0"/>
      <w:jc w:val="center"/>
    </w:pPr>
  </w:style>
  <w:style w:type="paragraph" w:customStyle="1" w:styleId="101">
    <w:name w:val="Char Char Char Char"/>
    <w:basedOn w:val="1"/>
    <w:qFormat/>
    <w:uiPriority w:val="0"/>
    <w:rPr>
      <w:rFonts w:ascii="Times New Roman" w:hAnsi="Times New Roman"/>
      <w:sz w:val="30"/>
      <w:szCs w:val="24"/>
    </w:rPr>
  </w:style>
  <w:style w:type="character" w:customStyle="1" w:styleId="102">
    <w:name w:val="批注框文本 字符"/>
    <w:semiHidden/>
    <w:qFormat/>
    <w:uiPriority w:val="99"/>
    <w:rPr>
      <w:rFonts w:ascii="Calibri" w:hAnsi="Calibri" w:eastAsia="宋体" w:cs="Times New Roman"/>
      <w:sz w:val="18"/>
      <w:szCs w:val="18"/>
    </w:rPr>
  </w:style>
  <w:style w:type="character" w:customStyle="1" w:styleId="103">
    <w:name w:val="批注框文本 Char"/>
    <w:link w:val="25"/>
    <w:qFormat/>
    <w:uiPriority w:val="0"/>
    <w:rPr>
      <w:rFonts w:ascii="Times New Roman" w:hAnsi="Times New Roman" w:eastAsia="宋体" w:cs="Times New Roman"/>
      <w:sz w:val="18"/>
      <w:szCs w:val="18"/>
    </w:rPr>
  </w:style>
  <w:style w:type="paragraph" w:customStyle="1" w:styleId="104">
    <w:name w:val="TOC 标题1"/>
    <w:basedOn w:val="3"/>
    <w:next w:val="1"/>
    <w:semiHidden/>
    <w:unhideWhenUsed/>
    <w:qFormat/>
    <w:uiPriority w:val="39"/>
    <w:pPr>
      <w:widowControl/>
      <w:spacing w:before="480" w:after="0" w:line="276" w:lineRule="auto"/>
      <w:outlineLvl w:val="9"/>
    </w:pPr>
    <w:rPr>
      <w:rFonts w:ascii="Cambria" w:hAnsi="Cambria"/>
      <w:color w:val="365F91"/>
      <w:kern w:val="0"/>
    </w:rPr>
  </w:style>
  <w:style w:type="character" w:customStyle="1" w:styleId="105">
    <w:name w:val="批注文字 字符"/>
    <w:semiHidden/>
    <w:qFormat/>
    <w:uiPriority w:val="99"/>
    <w:rPr>
      <w:rFonts w:ascii="Calibri" w:hAnsi="Calibri" w:eastAsia="宋体" w:cs="Times New Roman"/>
    </w:rPr>
  </w:style>
  <w:style w:type="character" w:customStyle="1" w:styleId="106">
    <w:name w:val="批注文字 Char"/>
    <w:link w:val="17"/>
    <w:qFormat/>
    <w:uiPriority w:val="0"/>
    <w:rPr>
      <w:rFonts w:ascii="宋体" w:hAnsi="宋体" w:eastAsia="宋体" w:cs="Times New Roman"/>
      <w:sz w:val="24"/>
      <w:szCs w:val="24"/>
    </w:rPr>
  </w:style>
  <w:style w:type="character" w:customStyle="1" w:styleId="107">
    <w:name w:val="脚注文本 字符"/>
    <w:semiHidden/>
    <w:qFormat/>
    <w:uiPriority w:val="99"/>
    <w:rPr>
      <w:rFonts w:ascii="Calibri" w:hAnsi="Calibri" w:eastAsia="宋体" w:cs="Times New Roman"/>
      <w:sz w:val="18"/>
      <w:szCs w:val="18"/>
    </w:rPr>
  </w:style>
  <w:style w:type="character" w:customStyle="1" w:styleId="108">
    <w:name w:val="脚注文本 Char"/>
    <w:link w:val="29"/>
    <w:qFormat/>
    <w:uiPriority w:val="0"/>
    <w:rPr>
      <w:rFonts w:ascii="宋体" w:hAnsi="宋体" w:eastAsia="宋体" w:cs="Times New Roman"/>
      <w:sz w:val="18"/>
      <w:szCs w:val="18"/>
    </w:rPr>
  </w:style>
  <w:style w:type="character" w:customStyle="1" w:styleId="109">
    <w:name w:val="批注主题 字符"/>
    <w:semiHidden/>
    <w:qFormat/>
    <w:uiPriority w:val="99"/>
    <w:rPr>
      <w:rFonts w:ascii="Calibri" w:hAnsi="Calibri" w:eastAsia="宋体" w:cs="Times New Roman"/>
      <w:b/>
      <w:bCs/>
    </w:rPr>
  </w:style>
  <w:style w:type="character" w:customStyle="1" w:styleId="110">
    <w:name w:val="批注主题 Char"/>
    <w:link w:val="36"/>
    <w:qFormat/>
    <w:uiPriority w:val="0"/>
    <w:rPr>
      <w:rFonts w:ascii="宋体" w:hAnsi="宋体" w:eastAsia="宋体" w:cs="Times New Roman"/>
      <w:b/>
      <w:bCs/>
      <w:sz w:val="24"/>
      <w:szCs w:val="24"/>
    </w:rPr>
  </w:style>
  <w:style w:type="paragraph" w:styleId="111">
    <w:name w:val="List Paragraph"/>
    <w:basedOn w:val="1"/>
    <w:qFormat/>
    <w:uiPriority w:val="34"/>
    <w:pPr>
      <w:ind w:firstLine="420" w:firstLineChars="200"/>
    </w:pPr>
    <w:rPr>
      <w:rFonts w:ascii="Times New Roman" w:hAnsi="Times New Roman"/>
      <w:szCs w:val="20"/>
    </w:rPr>
  </w:style>
  <w:style w:type="paragraph" w:customStyle="1" w:styleId="112">
    <w:name w:val="修订1"/>
    <w:hidden/>
    <w:semiHidden/>
    <w:qFormat/>
    <w:uiPriority w:val="99"/>
    <w:rPr>
      <w:rFonts w:ascii="Times New Roman" w:hAnsi="Times New Roman" w:eastAsia="宋体" w:cs="Times New Roman"/>
      <w:kern w:val="2"/>
      <w:sz w:val="21"/>
      <w:lang w:val="en-US" w:eastAsia="zh-CN" w:bidi="ar-SA"/>
    </w:rPr>
  </w:style>
  <w:style w:type="paragraph" w:customStyle="1" w:styleId="113">
    <w:name w:val="修订2"/>
    <w:hidden/>
    <w:unhideWhenUsed/>
    <w:qFormat/>
    <w:uiPriority w:val="99"/>
    <w:rPr>
      <w:rFonts w:ascii="Calibri" w:hAnsi="Calibri" w:eastAsia="宋体" w:cs="Times New Roman"/>
      <w:kern w:val="2"/>
      <w:sz w:val="21"/>
      <w:szCs w:val="22"/>
      <w:lang w:val="en-US" w:eastAsia="zh-CN" w:bidi="ar-SA"/>
    </w:rPr>
  </w:style>
  <w:style w:type="paragraph" w:customStyle="1" w:styleId="114">
    <w:name w:val="Revision"/>
    <w:hidden/>
    <w:unhideWhenUsed/>
    <w:qFormat/>
    <w:uiPriority w:val="99"/>
    <w:rPr>
      <w:rFonts w:ascii="Calibri" w:hAnsi="Calibri" w:eastAsia="宋体" w:cs="Times New Roman"/>
      <w:kern w:val="2"/>
      <w:sz w:val="21"/>
      <w:szCs w:val="22"/>
      <w:lang w:val="en-US" w:eastAsia="zh-CN" w:bidi="ar-SA"/>
    </w:rPr>
  </w:style>
  <w:style w:type="character" w:customStyle="1" w:styleId="115">
    <w:name w:val="页眉 Char"/>
    <w:qFormat/>
    <w:uiPriority w:val="99"/>
    <w:rPr>
      <w:kern w:val="2"/>
      <w:sz w:val="18"/>
      <w:szCs w:val="18"/>
      <w:lang w:val="zh-CN" w:eastAsia="zh-CN"/>
    </w:rPr>
  </w:style>
  <w:style w:type="character" w:customStyle="1" w:styleId="116">
    <w:name w:val="标准正文 Char"/>
    <w:link w:val="117"/>
    <w:qFormat/>
    <w:uiPriority w:val="0"/>
    <w:rPr>
      <w:szCs w:val="24"/>
    </w:rPr>
  </w:style>
  <w:style w:type="paragraph" w:customStyle="1" w:styleId="117">
    <w:name w:val="标准正文"/>
    <w:basedOn w:val="1"/>
    <w:link w:val="116"/>
    <w:qFormat/>
    <w:uiPriority w:val="0"/>
    <w:pPr>
      <w:tabs>
        <w:tab w:val="left" w:pos="720"/>
      </w:tabs>
      <w:spacing w:line="360" w:lineRule="auto"/>
      <w:ind w:firstLine="200" w:firstLineChars="200"/>
    </w:pPr>
    <w:rPr>
      <w:rFonts w:ascii="等线" w:hAnsi="等线" w:eastAsia="等线"/>
      <w:kern w:val="0"/>
      <w:sz w:val="20"/>
      <w:szCs w:val="24"/>
    </w:rPr>
  </w:style>
  <w:style w:type="paragraph" w:customStyle="1" w:styleId="118">
    <w:name w:val="PlainText"/>
    <w:basedOn w:val="1"/>
    <w:qFormat/>
    <w:uiPriority w:val="0"/>
    <w:pPr>
      <w:textAlignment w:val="baseline"/>
    </w:pPr>
    <w:rPr>
      <w:rFonts w:ascii="宋体" w:hAnsi="Courier New" w:cs="Calibri"/>
      <w:color w:val="000000"/>
      <w:kern w:val="0"/>
      <w:sz w:val="20"/>
      <w:szCs w:val="20"/>
    </w:rPr>
  </w:style>
  <w:style w:type="paragraph" w:customStyle="1" w:styleId="119">
    <w:name w:val="正文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20">
    <w:name w:val="NormalCharacter"/>
    <w:qFormat/>
    <w:uiPriority w:val="0"/>
    <w:rPr>
      <w:rFonts w:ascii="Calibri" w:hAnsi="Calibri" w:eastAsia="宋体" w:cs="Times New Roman"/>
      <w:kern w:val="2"/>
      <w:sz w:val="21"/>
      <w:szCs w:val="22"/>
      <w:lang w:val="en-US" w:eastAsia="zh-CN" w:bidi="ar-SA"/>
    </w:rPr>
  </w:style>
  <w:style w:type="paragraph" w:customStyle="1" w:styleId="121">
    <w:name w:val="章节二"/>
    <w:basedOn w:val="1"/>
    <w:next w:val="1"/>
    <w:qFormat/>
    <w:uiPriority w:val="0"/>
    <w:pPr>
      <w:topLinePunct/>
      <w:adjustRightInd w:val="0"/>
      <w:snapToGrid w:val="0"/>
      <w:spacing w:beforeLines="50"/>
      <w:jc w:val="center"/>
      <w:outlineLvl w:val="1"/>
    </w:pPr>
    <w:rPr>
      <w:rFonts w:ascii="Times New Roman" w:hAnsi="Times New Roman" w:eastAsia="黑体"/>
      <w:b/>
      <w:spacing w:val="4"/>
      <w:kern w:val="0"/>
      <w:sz w:val="30"/>
      <w:szCs w:val="30"/>
    </w:rPr>
  </w:style>
  <w:style w:type="paragraph" w:customStyle="1" w:styleId="122">
    <w:name w:val="文一"/>
    <w:basedOn w:val="1"/>
    <w:next w:val="1"/>
    <w:qFormat/>
    <w:uiPriority w:val="0"/>
    <w:pPr>
      <w:topLinePunct/>
      <w:adjustRightInd w:val="0"/>
      <w:snapToGrid w:val="0"/>
      <w:spacing w:line="360" w:lineRule="auto"/>
      <w:ind w:firstLine="200" w:firstLineChars="200"/>
    </w:pPr>
    <w:rPr>
      <w:spacing w:val="4"/>
      <w:kern w:val="0"/>
      <w:sz w:val="24"/>
      <w:szCs w:val="24"/>
    </w:rPr>
  </w:style>
  <w:style w:type="paragraph" w:customStyle="1" w:styleId="123">
    <w:name w:val="封二"/>
    <w:basedOn w:val="122"/>
    <w:next w:val="122"/>
    <w:qFormat/>
    <w:uiPriority w:val="0"/>
    <w:pPr>
      <w:ind w:firstLine="0" w:firstLineChars="0"/>
      <w:jc w:val="center"/>
    </w:pPr>
    <w:rPr>
      <w:rFonts w:eastAsia="黑体"/>
      <w:b/>
      <w:sz w:val="36"/>
      <w:szCs w:val="36"/>
    </w:rPr>
  </w:style>
  <w:style w:type="paragraph" w:customStyle="1" w:styleId="124">
    <w:name w:val="封一"/>
    <w:basedOn w:val="122"/>
    <w:next w:val="122"/>
    <w:qFormat/>
    <w:uiPriority w:val="0"/>
    <w:pPr>
      <w:ind w:firstLine="0" w:firstLineChars="0"/>
      <w:jc w:val="center"/>
    </w:pPr>
    <w:rPr>
      <w:rFonts w:eastAsia="黑体"/>
      <w:b/>
      <w:sz w:val="84"/>
      <w:szCs w:val="84"/>
    </w:rPr>
  </w:style>
  <w:style w:type="paragraph" w:customStyle="1" w:styleId="125">
    <w:name w:val="封四"/>
    <w:basedOn w:val="122"/>
    <w:next w:val="122"/>
    <w:qFormat/>
    <w:uiPriority w:val="0"/>
    <w:pPr>
      <w:jc w:val="left"/>
    </w:pPr>
    <w:rPr>
      <w:sz w:val="30"/>
      <w:szCs w:val="30"/>
    </w:rPr>
  </w:style>
  <w:style w:type="paragraph" w:customStyle="1" w:styleId="126">
    <w:name w:val="正题"/>
    <w:basedOn w:val="122"/>
    <w:next w:val="122"/>
    <w:qFormat/>
    <w:uiPriority w:val="0"/>
    <w:pPr>
      <w:ind w:firstLine="0" w:firstLineChars="0"/>
      <w:jc w:val="center"/>
    </w:pPr>
    <w:rPr>
      <w:rFonts w:eastAsia="黑体"/>
      <w:b/>
      <w:sz w:val="36"/>
      <w:szCs w:val="36"/>
    </w:rPr>
  </w:style>
  <w:style w:type="paragraph" w:customStyle="1" w:styleId="127">
    <w:name w:val="文二"/>
    <w:basedOn w:val="1"/>
    <w:qFormat/>
    <w:uiPriority w:val="99"/>
    <w:pPr>
      <w:jc w:val="left"/>
    </w:pPr>
    <w:rPr>
      <w:rFonts w:ascii="宋体" w:hAnsi="宋体"/>
      <w:szCs w:val="21"/>
    </w:rPr>
  </w:style>
  <w:style w:type="paragraph" w:customStyle="1" w:styleId="128">
    <w:name w:val="章节三"/>
    <w:basedOn w:val="1"/>
    <w:next w:val="1"/>
    <w:qFormat/>
    <w:uiPriority w:val="0"/>
    <w:pPr>
      <w:topLinePunct/>
      <w:adjustRightInd w:val="0"/>
      <w:snapToGrid w:val="0"/>
      <w:spacing w:beforeLines="50" w:afterLines="50"/>
      <w:jc w:val="left"/>
      <w:outlineLvl w:val="2"/>
    </w:pPr>
    <w:rPr>
      <w:rFonts w:ascii="黑体" w:hAnsi="宋体" w:eastAsia="黑体"/>
      <w:b/>
      <w:snapToGrid w:val="0"/>
      <w:spacing w:val="4"/>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62821</Words>
  <Characters>65494</Characters>
  <Lines>582</Lines>
  <Paragraphs>164</Paragraphs>
  <TotalTime>169</TotalTime>
  <ScaleCrop>false</ScaleCrop>
  <LinksUpToDate>false</LinksUpToDate>
  <CharactersWithSpaces>68712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2019-10-12T15:40:00Z</dcterms:created>
  <dc:creator>管理员</dc:creator>
  <cp:lastModifiedBy>123</cp:lastModifiedBy>
  <cp:lastPrinted>2025-09-08T02:44:00Z</cp:lastPrinted>
  <dcterms:modified xsi:type="dcterms:W3CDTF">2025-09-09T03:29:01Z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9F5589D841B749BA851B070CCFCB0811_13</vt:lpwstr>
  </property>
  <property fmtid="{D5CDD505-2E9C-101B-9397-08002B2CF9AE}" pid="4" name="KSOTemplateDocerSaveRecord">
    <vt:lpwstr>eyJoZGlkIjoiYjQ1M2JkZjI5ZWYzOWYyYzQxMDIwZTA2ODkxZGJjZTkiLCJ1c2VySWQiOiIxNjAxMjI1NDI5In0=</vt:lpwstr>
  </property>
</Properties>
</file>