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D6E6E8">
      <w:pPr>
        <w:pStyle w:val="2"/>
        <w:spacing w:after="240" w:line="380" w:lineRule="atLeast"/>
        <w:rPr>
          <w:rFonts w:ascii="宋体" w:hAnsi="宋体"/>
          <w:b/>
          <w:bCs w:val="0"/>
          <w:color w:val="auto"/>
        </w:rPr>
      </w:pPr>
      <w:bookmarkStart w:id="0" w:name="_Toc509407133"/>
      <w:bookmarkStart w:id="1" w:name="_Toc503235805"/>
      <w:bookmarkStart w:id="2" w:name="_Toc234832942"/>
      <w:bookmarkStart w:id="33" w:name="_GoBack"/>
      <w:r>
        <w:rPr>
          <w:rStyle w:val="13"/>
          <w:rFonts w:ascii="宋体" w:hAnsi="宋体"/>
          <w:b/>
          <w:bCs/>
          <w:color w:val="auto"/>
        </w:rPr>
        <w:t>第三章  评标</w:t>
      </w:r>
      <w:r>
        <w:rPr>
          <w:rStyle w:val="13"/>
          <w:rFonts w:hint="eastAsia" w:ascii="宋体" w:hAnsi="宋体"/>
          <w:b/>
          <w:bCs/>
          <w:color w:val="auto"/>
          <w:lang w:eastAsia="zh-CN"/>
        </w:rPr>
        <w:t>（</w:t>
      </w:r>
      <w:r>
        <w:rPr>
          <w:rStyle w:val="13"/>
          <w:rFonts w:hint="eastAsia" w:ascii="宋体" w:hAnsi="宋体"/>
          <w:b/>
          <w:bCs/>
          <w:color w:val="auto"/>
          <w:lang w:val="en-US" w:eastAsia="zh-CN"/>
        </w:rPr>
        <w:t>定标</w:t>
      </w:r>
      <w:r>
        <w:rPr>
          <w:rStyle w:val="13"/>
          <w:rFonts w:hint="eastAsia" w:ascii="宋体" w:hAnsi="宋体"/>
          <w:b/>
          <w:bCs/>
          <w:color w:val="auto"/>
          <w:lang w:eastAsia="zh-CN"/>
        </w:rPr>
        <w:t>）</w:t>
      </w:r>
      <w:r>
        <w:rPr>
          <w:rStyle w:val="13"/>
          <w:rFonts w:ascii="宋体" w:hAnsi="宋体"/>
          <w:b/>
          <w:bCs/>
          <w:color w:val="auto"/>
        </w:rPr>
        <w:t>办法（综合评估法）</w:t>
      </w:r>
      <w:bookmarkEnd w:id="0"/>
      <w:bookmarkEnd w:id="1"/>
    </w:p>
    <w:bookmarkEnd w:id="33"/>
    <w:p w14:paraId="5CBD3252">
      <w:pPr>
        <w:pStyle w:val="4"/>
        <w:spacing w:after="0"/>
        <w:jc w:val="left"/>
        <w:rPr>
          <w:rFonts w:eastAsia="宋体"/>
          <w:i w:val="0"/>
          <w:iCs w:val="0"/>
          <w:color w:val="auto"/>
          <w:szCs w:val="24"/>
        </w:rPr>
      </w:pPr>
      <w:bookmarkStart w:id="3" w:name="_Toc509407134"/>
      <w:bookmarkStart w:id="4" w:name="_Toc503235806"/>
      <w:r>
        <w:rPr>
          <w:rStyle w:val="13"/>
          <w:bCs/>
          <w:i w:val="0"/>
          <w:iCs w:val="0"/>
          <w:color w:val="auto"/>
          <w:sz w:val="24"/>
          <w:szCs w:val="24"/>
        </w:rPr>
        <w:t>评标办法前附表</w:t>
      </w:r>
      <w:bookmarkEnd w:id="3"/>
      <w:bookmarkEnd w:id="4"/>
    </w:p>
    <w:tbl>
      <w:tblPr>
        <w:tblStyle w:val="10"/>
        <w:tblW w:w="8891"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1866AC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2269" w:type="dxa"/>
            <w:gridSpan w:val="2"/>
            <w:tcBorders>
              <w:top w:val="single" w:color="auto" w:sz="4" w:space="0"/>
              <w:bottom w:val="single" w:color="auto" w:sz="4" w:space="0"/>
              <w:right w:val="single" w:color="auto" w:sz="4" w:space="0"/>
            </w:tcBorders>
            <w:noWrap w:val="0"/>
            <w:vAlign w:val="center"/>
          </w:tcPr>
          <w:p w14:paraId="70AAAB00">
            <w:pPr>
              <w:adjustRightInd w:val="0"/>
              <w:snapToGrid w:val="0"/>
              <w:jc w:val="center"/>
              <w:rPr>
                <w:rFonts w:ascii="宋体" w:hAnsi="宋体" w:cs="宋体"/>
                <w:b/>
                <w:color w:val="auto"/>
              </w:rPr>
            </w:pPr>
            <w:r>
              <w:rPr>
                <w:rFonts w:hint="eastAsia" w:ascii="宋体" w:hAnsi="宋体" w:cs="宋体"/>
                <w:b/>
                <w:color w:val="auto"/>
              </w:rPr>
              <w:t>条款号</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4B634A5C">
            <w:pPr>
              <w:adjustRightInd w:val="0"/>
              <w:snapToGrid w:val="0"/>
              <w:jc w:val="center"/>
              <w:rPr>
                <w:rFonts w:ascii="宋体" w:hAnsi="宋体" w:cs="宋体"/>
                <w:b/>
                <w:color w:val="auto"/>
                <w:spacing w:val="4"/>
              </w:rPr>
            </w:pPr>
            <w:r>
              <w:rPr>
                <w:rFonts w:hint="eastAsia" w:ascii="宋体" w:hAnsi="宋体" w:cs="宋体"/>
                <w:b/>
                <w:color w:val="auto"/>
                <w:spacing w:val="4"/>
              </w:rPr>
              <w:t>评审因素与评审标准</w:t>
            </w:r>
          </w:p>
        </w:tc>
      </w:tr>
      <w:tr w14:paraId="5745BE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2724FC39">
            <w:pPr>
              <w:adjustRightInd w:val="0"/>
              <w:snapToGrid w:val="0"/>
              <w:jc w:val="center"/>
              <w:rPr>
                <w:rFonts w:ascii="宋体" w:hAnsi="宋体" w:cs="宋体"/>
                <w:color w:val="auto"/>
              </w:rPr>
            </w:pPr>
            <w:r>
              <w:rPr>
                <w:rFonts w:hint="eastAsia" w:ascii="宋体" w:hAnsi="宋体" w:cs="宋体"/>
                <w:color w:val="auto"/>
              </w:rPr>
              <w:t>1</w:t>
            </w:r>
          </w:p>
        </w:tc>
        <w:tc>
          <w:tcPr>
            <w:tcW w:w="1280" w:type="dxa"/>
            <w:tcBorders>
              <w:top w:val="single" w:color="auto" w:sz="4" w:space="0"/>
              <w:bottom w:val="single" w:color="auto" w:sz="4" w:space="0"/>
              <w:right w:val="single" w:color="auto" w:sz="4" w:space="0"/>
            </w:tcBorders>
            <w:noWrap w:val="0"/>
            <w:vAlign w:val="center"/>
          </w:tcPr>
          <w:p w14:paraId="0F7155AB">
            <w:pPr>
              <w:adjustRightInd w:val="0"/>
              <w:snapToGrid w:val="0"/>
              <w:jc w:val="center"/>
              <w:rPr>
                <w:rFonts w:ascii="宋体" w:hAnsi="宋体" w:cs="宋体"/>
                <w:color w:val="auto"/>
              </w:rPr>
            </w:pPr>
            <w:r>
              <w:rPr>
                <w:rFonts w:hint="eastAsia" w:ascii="宋体" w:hAnsi="宋体" w:cs="宋体"/>
                <w:color w:val="auto"/>
              </w:rPr>
              <w:t>评标方法</w:t>
            </w:r>
          </w:p>
        </w:tc>
        <w:tc>
          <w:tcPr>
            <w:tcW w:w="6622" w:type="dxa"/>
            <w:tcBorders>
              <w:top w:val="single" w:color="auto" w:sz="4" w:space="0"/>
              <w:left w:val="single" w:color="auto" w:sz="4" w:space="0"/>
              <w:right w:val="single" w:color="auto" w:sz="4" w:space="0"/>
            </w:tcBorders>
            <w:noWrap w:val="0"/>
            <w:vAlign w:val="center"/>
          </w:tcPr>
          <w:p w14:paraId="5297FB64">
            <w:pPr>
              <w:adjustRightInd w:val="0"/>
              <w:snapToGrid w:val="0"/>
              <w:ind w:firstLine="287" w:firstLineChars="137"/>
              <w:rPr>
                <w:rFonts w:ascii="宋体" w:hAnsi="宋体" w:cs="宋体"/>
                <w:color w:val="auto"/>
              </w:rPr>
            </w:pPr>
            <w:r>
              <w:rPr>
                <w:rFonts w:hint="eastAsia" w:ascii="宋体" w:hAnsi="宋体" w:cs="宋体"/>
                <w:color w:val="auto"/>
              </w:rPr>
              <w:t>综合评分相等时，评标委员会依次按照以下优先顺序推荐</w:t>
            </w:r>
            <w:r>
              <w:rPr>
                <w:rFonts w:hint="eastAsia" w:ascii="宋体" w:hAnsi="宋体" w:cs="宋体"/>
                <w:color w:val="auto"/>
                <w:lang w:val="en-US" w:eastAsia="zh-CN"/>
              </w:rPr>
              <w:t>合格</w:t>
            </w:r>
            <w:r>
              <w:rPr>
                <w:rFonts w:hint="eastAsia" w:ascii="宋体" w:hAnsi="宋体" w:cs="宋体"/>
                <w:color w:val="auto"/>
              </w:rPr>
              <w:t>中标候选人：</w:t>
            </w:r>
          </w:p>
          <w:p w14:paraId="3B90AE2B">
            <w:pPr>
              <w:adjustRightInd w:val="0"/>
              <w:snapToGrid w:val="0"/>
              <w:ind w:firstLine="287" w:firstLineChars="137"/>
              <w:rPr>
                <w:rFonts w:ascii="宋体" w:hAnsi="宋体" w:cs="宋体"/>
                <w:color w:val="auto"/>
              </w:rPr>
            </w:pPr>
            <w:r>
              <w:rPr>
                <w:rFonts w:hint="eastAsia" w:ascii="宋体" w:hAnsi="宋体" w:cs="宋体"/>
                <w:color w:val="auto"/>
              </w:rPr>
              <w:t>（1）评标价低的投标人优先；</w:t>
            </w:r>
          </w:p>
          <w:p w14:paraId="0107FE88">
            <w:pPr>
              <w:adjustRightInd w:val="0"/>
              <w:snapToGrid w:val="0"/>
              <w:ind w:firstLine="287" w:firstLineChars="137"/>
              <w:rPr>
                <w:rFonts w:ascii="宋体" w:hAnsi="宋体" w:cs="宋体"/>
                <w:color w:val="auto"/>
              </w:rPr>
            </w:pPr>
            <w:r>
              <w:rPr>
                <w:rFonts w:hint="eastAsia" w:ascii="宋体" w:hAnsi="宋体" w:cs="宋体"/>
                <w:color w:val="auto"/>
              </w:rPr>
              <w:t>（2）按招标文件规定被认定为广东省信用等级较高的投标人优先</w:t>
            </w:r>
            <w:r>
              <w:rPr>
                <w:rFonts w:hint="eastAsia" w:ascii="宋体" w:hAnsi="宋体" w:cs="宋体"/>
                <w:color w:val="auto"/>
                <w:lang w:val="zh-CN"/>
              </w:rPr>
              <w:t>（采用如下的优先顺序：承诺使用的AA级投标人、不承诺使用的AA级投标人、承诺使用的A级投标人、不承诺使用的A级投标人、B级投标人、未参评且被确定为B级投标人）</w:t>
            </w:r>
            <w:r>
              <w:rPr>
                <w:rFonts w:hint="eastAsia" w:ascii="宋体" w:hAnsi="宋体" w:cs="宋体"/>
                <w:color w:val="auto"/>
              </w:rPr>
              <w:t>；</w:t>
            </w:r>
          </w:p>
          <w:p w14:paraId="6AF80B53">
            <w:pPr>
              <w:adjustRightInd w:val="0"/>
              <w:snapToGrid w:val="0"/>
              <w:ind w:firstLine="287" w:firstLineChars="137"/>
              <w:rPr>
                <w:rFonts w:ascii="宋体" w:hAnsi="宋体" w:cs="宋体"/>
                <w:color w:val="auto"/>
              </w:rPr>
            </w:pPr>
            <w:r>
              <w:rPr>
                <w:rFonts w:hint="eastAsia" w:ascii="宋体" w:hAnsi="宋体" w:cs="宋体"/>
                <w:color w:val="auto"/>
              </w:rPr>
              <w:t>（3）商务和技术得分较高的投标人优先；</w:t>
            </w:r>
          </w:p>
          <w:p w14:paraId="3C56F6C1">
            <w:pPr>
              <w:adjustRightInd w:val="0"/>
              <w:snapToGrid w:val="0"/>
              <w:ind w:firstLine="287" w:firstLineChars="137"/>
              <w:rPr>
                <w:rFonts w:ascii="宋体" w:hAnsi="宋体" w:cs="宋体"/>
                <w:b/>
                <w:color w:val="auto"/>
              </w:rPr>
            </w:pPr>
            <w:r>
              <w:rPr>
                <w:rFonts w:hint="eastAsia" w:ascii="宋体" w:hAnsi="宋体" w:cs="宋体"/>
                <w:color w:val="auto"/>
              </w:rPr>
              <w:t>（4）由评标委员会投票确定。</w:t>
            </w:r>
          </w:p>
        </w:tc>
      </w:tr>
      <w:tr w14:paraId="70407C9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bottom w:val="single" w:color="auto" w:sz="4" w:space="0"/>
              <w:right w:val="single" w:color="auto" w:sz="4" w:space="0"/>
            </w:tcBorders>
            <w:noWrap w:val="0"/>
            <w:vAlign w:val="center"/>
          </w:tcPr>
          <w:p w14:paraId="4B461807">
            <w:pPr>
              <w:adjustRightInd w:val="0"/>
              <w:snapToGrid w:val="0"/>
              <w:jc w:val="center"/>
              <w:rPr>
                <w:rFonts w:ascii="宋体" w:hAnsi="宋体" w:cs="宋体"/>
                <w:color w:val="auto"/>
              </w:rPr>
            </w:pPr>
            <w:r>
              <w:rPr>
                <w:rFonts w:hint="eastAsia" w:ascii="宋体" w:hAnsi="宋体" w:cs="宋体"/>
                <w:color w:val="auto"/>
              </w:rPr>
              <w:t>2.1.1</w:t>
            </w:r>
          </w:p>
          <w:p w14:paraId="125A2541">
            <w:pPr>
              <w:adjustRightInd w:val="0"/>
              <w:snapToGrid w:val="0"/>
              <w:jc w:val="center"/>
              <w:rPr>
                <w:rFonts w:ascii="宋体" w:hAnsi="宋体" w:cs="宋体"/>
                <w:color w:val="auto"/>
              </w:rPr>
            </w:pPr>
            <w:r>
              <w:rPr>
                <w:rFonts w:hint="eastAsia" w:ascii="宋体" w:hAnsi="宋体" w:cs="宋体"/>
                <w:color w:val="auto"/>
              </w:rPr>
              <w:t>2.1.3</w:t>
            </w:r>
          </w:p>
        </w:tc>
        <w:tc>
          <w:tcPr>
            <w:tcW w:w="1280" w:type="dxa"/>
            <w:tcBorders>
              <w:top w:val="single" w:color="auto" w:sz="4" w:space="0"/>
              <w:bottom w:val="single" w:color="auto" w:sz="4" w:space="0"/>
              <w:right w:val="single" w:color="auto" w:sz="4" w:space="0"/>
            </w:tcBorders>
            <w:noWrap w:val="0"/>
            <w:vAlign w:val="center"/>
          </w:tcPr>
          <w:p w14:paraId="3EF6AA03">
            <w:pPr>
              <w:adjustRightInd w:val="0"/>
              <w:snapToGrid w:val="0"/>
              <w:jc w:val="center"/>
              <w:rPr>
                <w:rFonts w:ascii="宋体" w:hAnsi="宋体" w:cs="宋体"/>
                <w:color w:val="auto"/>
              </w:rPr>
            </w:pPr>
            <w:r>
              <w:rPr>
                <w:rFonts w:hint="eastAsia" w:ascii="宋体" w:hAnsi="宋体" w:cs="宋体"/>
                <w:color w:val="auto"/>
              </w:rPr>
              <w:t>形式评审与响应性评审标准</w:t>
            </w:r>
          </w:p>
        </w:tc>
        <w:tc>
          <w:tcPr>
            <w:tcW w:w="6622" w:type="dxa"/>
            <w:tcBorders>
              <w:top w:val="single" w:color="auto" w:sz="4" w:space="0"/>
              <w:left w:val="single" w:color="auto" w:sz="4" w:space="0"/>
              <w:bottom w:val="single" w:color="auto" w:sz="4" w:space="0"/>
              <w:right w:val="single" w:color="auto" w:sz="4" w:space="0"/>
            </w:tcBorders>
            <w:noWrap w:val="0"/>
            <w:vAlign w:val="center"/>
          </w:tcPr>
          <w:p w14:paraId="3175EA81">
            <w:pPr>
              <w:adjustRightInd w:val="0"/>
              <w:snapToGrid w:val="0"/>
              <w:ind w:firstLine="420" w:firstLineChars="200"/>
              <w:rPr>
                <w:rFonts w:ascii="宋体" w:hAnsi="宋体" w:cs="宋体"/>
                <w:b/>
                <w:color w:val="auto"/>
              </w:rPr>
            </w:pPr>
            <w:r>
              <w:rPr>
                <w:rFonts w:hint="eastAsia" w:ascii="宋体" w:hAnsi="宋体" w:cs="宋体"/>
                <w:b/>
                <w:color w:val="auto"/>
              </w:rPr>
              <w:t>第一个信封（商务及技术文件）评审标准：</w:t>
            </w:r>
          </w:p>
          <w:p w14:paraId="562EA526">
            <w:pPr>
              <w:adjustRightInd w:val="0"/>
              <w:snapToGrid w:val="0"/>
              <w:ind w:firstLine="420" w:firstLineChars="200"/>
              <w:rPr>
                <w:rFonts w:ascii="宋体" w:hAnsi="宋体" w:cs="宋体"/>
                <w:color w:val="auto"/>
              </w:rPr>
            </w:pPr>
            <w:r>
              <w:rPr>
                <w:rFonts w:hint="eastAsia" w:ascii="宋体" w:hAnsi="宋体" w:cs="宋体"/>
                <w:color w:val="auto"/>
              </w:rPr>
              <w:t>（1）投标文件按照招标文件规定的格式、内容填写，字迹清晰可辨：</w:t>
            </w:r>
          </w:p>
          <w:p w14:paraId="3B8ECE6D">
            <w:pPr>
              <w:adjustRightInd w:val="0"/>
              <w:snapToGrid w:val="0"/>
              <w:ind w:firstLine="420" w:firstLineChars="200"/>
              <w:rPr>
                <w:rFonts w:ascii="宋体" w:hAnsi="宋体" w:cs="宋体"/>
                <w:color w:val="auto"/>
              </w:rPr>
            </w:pPr>
            <w:r>
              <w:rPr>
                <w:rFonts w:hint="eastAsia" w:ascii="宋体" w:hAnsi="宋体" w:cs="宋体"/>
                <w:color w:val="auto"/>
              </w:rPr>
              <w:t>a.投标函按招标文件规定填报了项目名称、标段号（如有）、补遗书编号（如有）、监理服务期限、工程质量要求及安全目标；</w:t>
            </w:r>
          </w:p>
          <w:p w14:paraId="2DAB2F5B">
            <w:pPr>
              <w:adjustRightInd w:val="0"/>
              <w:snapToGrid w:val="0"/>
              <w:ind w:firstLine="420" w:firstLineChars="200"/>
              <w:rPr>
                <w:rFonts w:ascii="宋体" w:hAnsi="宋体" w:cs="宋体"/>
                <w:color w:val="auto"/>
              </w:rPr>
            </w:pPr>
            <w:r>
              <w:rPr>
                <w:rFonts w:hint="eastAsia" w:ascii="宋体" w:hAnsi="宋体" w:cs="宋体"/>
                <w:color w:val="auto"/>
              </w:rPr>
              <w:t>b.投标文件组成齐全完整，内容均按规定填写。</w:t>
            </w:r>
          </w:p>
          <w:p w14:paraId="19BD504F">
            <w:pPr>
              <w:adjustRightInd w:val="0"/>
              <w:snapToGrid w:val="0"/>
              <w:ind w:firstLine="420" w:firstLineChars="200"/>
              <w:rPr>
                <w:rFonts w:ascii="宋体" w:hAnsi="宋体" w:cs="宋体"/>
                <w:color w:val="auto"/>
              </w:rPr>
            </w:pPr>
            <w:r>
              <w:rPr>
                <w:rFonts w:hint="eastAsia" w:ascii="宋体" w:hAnsi="宋体" w:cs="宋体"/>
                <w:color w:val="auto"/>
              </w:rPr>
              <w:t>（2）投标文件上法定代表人或其委托代理人的签字、投标人的单位章盖章齐全，符合招标文件规定。</w:t>
            </w:r>
          </w:p>
          <w:p w14:paraId="75B72556">
            <w:pPr>
              <w:adjustRightInd w:val="0"/>
              <w:snapToGrid w:val="0"/>
              <w:ind w:firstLine="420" w:firstLineChars="200"/>
              <w:rPr>
                <w:rFonts w:ascii="宋体" w:hAnsi="宋体" w:cs="宋体"/>
                <w:color w:val="auto"/>
              </w:rPr>
            </w:pPr>
            <w:r>
              <w:rPr>
                <w:rFonts w:hint="eastAsia" w:ascii="宋体" w:hAnsi="宋体" w:cs="宋体"/>
                <w:color w:val="auto"/>
              </w:rPr>
              <w:t>（3）投标人按照招标文件的规定提供了投标保证金：</w:t>
            </w:r>
          </w:p>
          <w:p w14:paraId="1C93BA92">
            <w:pPr>
              <w:adjustRightInd w:val="0"/>
              <w:snapToGrid w:val="0"/>
              <w:ind w:firstLine="420" w:firstLineChars="200"/>
              <w:rPr>
                <w:rFonts w:ascii="宋体" w:hAnsi="宋体" w:cs="宋体"/>
                <w:color w:val="auto"/>
              </w:rPr>
            </w:pPr>
            <w:r>
              <w:rPr>
                <w:rFonts w:hint="eastAsia" w:ascii="宋体" w:hAnsi="宋体" w:cs="宋体"/>
                <w:color w:val="auto"/>
              </w:rPr>
              <w:t>a.投标保证金金额符合招标文件规定的金额，且投标保证金有效期不少于投标有效期；</w:t>
            </w:r>
          </w:p>
          <w:p w14:paraId="5323EDCE">
            <w:pPr>
              <w:adjustRightInd w:val="0"/>
              <w:snapToGrid w:val="0"/>
              <w:ind w:firstLine="420" w:firstLineChars="200"/>
              <w:rPr>
                <w:rFonts w:ascii="宋体" w:hAnsi="宋体" w:cs="宋体"/>
                <w:color w:val="auto"/>
              </w:rPr>
            </w:pPr>
            <w:r>
              <w:rPr>
                <w:rFonts w:hint="eastAsia" w:ascii="宋体" w:hAnsi="宋体" w:cs="宋体"/>
                <w:color w:val="auto"/>
              </w:rPr>
              <w:t>b.若投标保证金采用现金或支票形式提交，投标人应在招标文件规定的投标保证金递交截止时间之前，将投标保证金由投标人的基本账户转入招标人指定账户；</w:t>
            </w:r>
          </w:p>
          <w:p w14:paraId="7D9A208D">
            <w:pPr>
              <w:adjustRightInd w:val="0"/>
              <w:snapToGrid w:val="0"/>
              <w:ind w:firstLine="420" w:firstLineChars="200"/>
              <w:rPr>
                <w:rFonts w:hint="eastAsia" w:ascii="宋体" w:hAnsi="宋体" w:cs="宋体"/>
                <w:color w:val="auto"/>
              </w:rPr>
            </w:pPr>
            <w:r>
              <w:rPr>
                <w:rFonts w:hint="eastAsia" w:ascii="宋体" w:hAnsi="宋体" w:cs="宋体"/>
                <w:color w:val="auto"/>
              </w:rPr>
              <w:t>c.</w:t>
            </w:r>
            <w:r>
              <w:rPr>
                <w:rFonts w:hint="eastAsia" w:ascii="宋体" w:hAnsi="宋体" w:cs="宋体"/>
                <w:color w:val="auto"/>
                <w:u w:val="single"/>
              </w:rPr>
              <w:t>若投标保证金采用银行保函形式提交，银行保函的格式、开具保函的银行均满足招标文件要求</w:t>
            </w:r>
            <w:r>
              <w:rPr>
                <w:rFonts w:hint="eastAsia" w:ascii="宋体" w:hAnsi="宋体" w:cs="宋体"/>
                <w:color w:val="auto"/>
              </w:rPr>
              <w:t>。</w:t>
            </w:r>
          </w:p>
          <w:p w14:paraId="0A2506DC">
            <w:pPr>
              <w:adjustRightInd w:val="0"/>
              <w:snapToGrid w:val="0"/>
              <w:ind w:firstLine="420" w:firstLineChars="200"/>
              <w:rPr>
                <w:color w:val="auto"/>
              </w:rPr>
            </w:pPr>
            <w:r>
              <w:rPr>
                <w:rFonts w:hint="eastAsia"/>
                <w:color w:val="auto"/>
                <w:u w:val="single"/>
              </w:rPr>
              <w:t>d.若投标保证金采用其他形式提交，应满足须知前附表3.4.1项的规定。</w:t>
            </w:r>
          </w:p>
          <w:p w14:paraId="4119B13B">
            <w:pPr>
              <w:adjustRightInd w:val="0"/>
              <w:snapToGrid w:val="0"/>
              <w:ind w:firstLine="420" w:firstLineChars="200"/>
              <w:rPr>
                <w:rFonts w:ascii="宋体" w:hAnsi="宋体" w:cs="宋体"/>
                <w:color w:val="auto"/>
              </w:rPr>
            </w:pPr>
            <w:r>
              <w:rPr>
                <w:rFonts w:hint="eastAsia" w:ascii="宋体" w:hAnsi="宋体" w:cs="宋体"/>
                <w:color w:val="auto"/>
              </w:rPr>
              <w:t>（4）投标人法定代表人授权委托代理人签署投标文件的，须提交授权委托书，且授权人和被授权人均在授权委托书上签名，未使用印章、签名章或其他电子制版签名代替。</w:t>
            </w:r>
          </w:p>
          <w:p w14:paraId="5B1D33A6">
            <w:pPr>
              <w:adjustRightInd w:val="0"/>
              <w:snapToGrid w:val="0"/>
              <w:ind w:firstLine="420" w:firstLineChars="200"/>
              <w:rPr>
                <w:rFonts w:ascii="宋体" w:hAnsi="宋体" w:cs="宋体"/>
                <w:color w:val="auto"/>
              </w:rPr>
            </w:pPr>
            <w:r>
              <w:rPr>
                <w:rFonts w:hint="eastAsia" w:ascii="宋体" w:hAnsi="宋体" w:cs="宋体"/>
                <w:color w:val="auto"/>
              </w:rPr>
              <w:t>（5）投标人法定代表人亲自签署投标文件的，提供了法定代表人身份证明，且法定代表人在法定代表人身份证明上签名，未使用印章、签名章或其他电子制版签名代替。</w:t>
            </w:r>
          </w:p>
          <w:p w14:paraId="48D5215B">
            <w:pPr>
              <w:adjustRightInd w:val="0"/>
              <w:snapToGrid w:val="0"/>
              <w:ind w:firstLine="420" w:firstLineChars="200"/>
              <w:rPr>
                <w:rFonts w:ascii="宋体" w:hAnsi="宋体" w:cs="宋体"/>
                <w:color w:val="auto"/>
              </w:rPr>
            </w:pPr>
            <w:r>
              <w:rPr>
                <w:rFonts w:hint="eastAsia" w:ascii="宋体" w:hAnsi="宋体" w:cs="宋体"/>
                <w:color w:val="auto"/>
              </w:rPr>
              <w:t>（6）投标人未以联合体形式投标。</w:t>
            </w:r>
          </w:p>
          <w:p w14:paraId="007B5EE7">
            <w:pPr>
              <w:adjustRightInd w:val="0"/>
              <w:snapToGrid w:val="0"/>
              <w:ind w:firstLine="420" w:firstLineChars="200"/>
              <w:rPr>
                <w:rFonts w:ascii="宋体" w:hAnsi="宋体" w:cs="宋体"/>
                <w:color w:val="auto"/>
              </w:rPr>
            </w:pPr>
            <w:r>
              <w:rPr>
                <w:rFonts w:hint="eastAsia" w:ascii="宋体" w:hAnsi="宋体" w:cs="宋体"/>
                <w:color w:val="auto"/>
              </w:rPr>
              <w:t>（7）同一投标人未提交两个以上不同的投标文件，但招标文件要求提交备选投标的除外。</w:t>
            </w:r>
          </w:p>
          <w:p w14:paraId="1692B838">
            <w:pPr>
              <w:adjustRightInd w:val="0"/>
              <w:snapToGrid w:val="0"/>
              <w:ind w:firstLine="420" w:firstLineChars="200"/>
              <w:rPr>
                <w:rFonts w:ascii="宋体" w:hAnsi="宋体" w:cs="宋体"/>
                <w:color w:val="auto"/>
              </w:rPr>
            </w:pPr>
            <w:r>
              <w:rPr>
                <w:rFonts w:hint="eastAsia" w:ascii="宋体" w:hAnsi="宋体" w:cs="宋体"/>
                <w:color w:val="auto"/>
              </w:rPr>
              <w:t>（8）投标文件中未出现有关投标报价的内容。</w:t>
            </w:r>
          </w:p>
          <w:p w14:paraId="7D412094">
            <w:pPr>
              <w:adjustRightInd w:val="0"/>
              <w:snapToGrid w:val="0"/>
              <w:ind w:firstLine="420" w:firstLineChars="200"/>
              <w:rPr>
                <w:rFonts w:ascii="宋体" w:hAnsi="宋体" w:cs="宋体"/>
                <w:color w:val="auto"/>
              </w:rPr>
            </w:pPr>
            <w:r>
              <w:rPr>
                <w:rFonts w:hint="eastAsia" w:ascii="宋体" w:hAnsi="宋体" w:cs="宋体"/>
                <w:color w:val="auto"/>
              </w:rPr>
              <w:t>（9）投标文件载明的招标项目完成期限未超过招标文件规定的时限。</w:t>
            </w:r>
          </w:p>
          <w:p w14:paraId="4E0823F2">
            <w:pPr>
              <w:adjustRightInd w:val="0"/>
              <w:snapToGrid w:val="0"/>
              <w:ind w:firstLine="420" w:firstLineChars="200"/>
              <w:rPr>
                <w:rFonts w:ascii="宋体" w:hAnsi="宋体" w:cs="宋体"/>
                <w:color w:val="auto"/>
              </w:rPr>
            </w:pPr>
            <w:r>
              <w:rPr>
                <w:rFonts w:hint="eastAsia" w:ascii="宋体" w:hAnsi="宋体" w:cs="宋体"/>
                <w:color w:val="auto"/>
              </w:rPr>
              <w:t>（10）投标文件对招标文件的实质性要求和条件作出响应。</w:t>
            </w:r>
          </w:p>
          <w:p w14:paraId="38FDC084">
            <w:pPr>
              <w:adjustRightInd w:val="0"/>
              <w:snapToGrid w:val="0"/>
              <w:ind w:firstLine="420" w:firstLineChars="200"/>
              <w:rPr>
                <w:rFonts w:ascii="宋体" w:hAnsi="宋体" w:cs="宋体"/>
                <w:color w:val="auto"/>
              </w:rPr>
            </w:pPr>
            <w:r>
              <w:rPr>
                <w:rFonts w:hint="eastAsia" w:ascii="宋体" w:hAnsi="宋体" w:cs="宋体"/>
                <w:color w:val="auto"/>
              </w:rPr>
              <w:t>（11）权利义务符合招标文件规定：</w:t>
            </w:r>
          </w:p>
          <w:p w14:paraId="3700D624">
            <w:pPr>
              <w:adjustRightInd w:val="0"/>
              <w:snapToGrid w:val="0"/>
              <w:ind w:firstLine="420" w:firstLineChars="200"/>
              <w:rPr>
                <w:rFonts w:ascii="宋体" w:hAnsi="宋体" w:cs="宋体"/>
                <w:color w:val="auto"/>
              </w:rPr>
            </w:pPr>
            <w:r>
              <w:rPr>
                <w:rFonts w:hint="eastAsia" w:ascii="宋体" w:hAnsi="宋体" w:cs="宋体"/>
                <w:color w:val="auto"/>
              </w:rPr>
              <w:t>a.投标人应接受招标文件规定的风险划分原则，未提出新的风险划分办法；</w:t>
            </w:r>
          </w:p>
          <w:p w14:paraId="001533BB">
            <w:pPr>
              <w:adjustRightInd w:val="0"/>
              <w:snapToGrid w:val="0"/>
              <w:ind w:firstLine="420" w:firstLineChars="200"/>
              <w:rPr>
                <w:rFonts w:ascii="宋体" w:hAnsi="宋体" w:cs="宋体"/>
                <w:color w:val="auto"/>
              </w:rPr>
            </w:pPr>
            <w:r>
              <w:rPr>
                <w:rFonts w:hint="eastAsia" w:ascii="宋体" w:hAnsi="宋体" w:cs="宋体"/>
                <w:color w:val="auto"/>
              </w:rPr>
              <w:t>b.投标人未增加委托人的责任范围，或减少投标人义务；</w:t>
            </w:r>
          </w:p>
          <w:p w14:paraId="4B0B033E">
            <w:pPr>
              <w:adjustRightInd w:val="0"/>
              <w:snapToGrid w:val="0"/>
              <w:ind w:firstLine="420" w:firstLineChars="200"/>
              <w:rPr>
                <w:rFonts w:ascii="宋体" w:hAnsi="宋体" w:cs="宋体"/>
                <w:color w:val="auto"/>
              </w:rPr>
            </w:pPr>
            <w:r>
              <w:rPr>
                <w:rFonts w:hint="eastAsia" w:ascii="宋体" w:hAnsi="宋体" w:cs="宋体"/>
                <w:color w:val="auto"/>
              </w:rPr>
              <w:t>c.投标人未提出不同的支付办法；</w:t>
            </w:r>
          </w:p>
          <w:p w14:paraId="06DC22EB">
            <w:pPr>
              <w:adjustRightInd w:val="0"/>
              <w:snapToGrid w:val="0"/>
              <w:ind w:firstLine="420" w:firstLineChars="200"/>
              <w:rPr>
                <w:rFonts w:ascii="宋体" w:hAnsi="宋体" w:cs="宋体"/>
                <w:color w:val="auto"/>
              </w:rPr>
            </w:pPr>
            <w:r>
              <w:rPr>
                <w:rFonts w:hint="eastAsia" w:ascii="宋体" w:hAnsi="宋体" w:cs="宋体"/>
                <w:color w:val="auto"/>
              </w:rPr>
              <w:t>d.投标人对合同纠纷、事故处理办法未提出异议；</w:t>
            </w:r>
          </w:p>
          <w:p w14:paraId="4B3A68B2">
            <w:pPr>
              <w:adjustRightInd w:val="0"/>
              <w:snapToGrid w:val="0"/>
              <w:ind w:firstLine="420" w:firstLineChars="200"/>
              <w:rPr>
                <w:rFonts w:ascii="宋体" w:hAnsi="宋体" w:cs="宋体"/>
                <w:color w:val="auto"/>
              </w:rPr>
            </w:pPr>
            <w:r>
              <w:rPr>
                <w:rFonts w:hint="eastAsia" w:ascii="宋体" w:hAnsi="宋体" w:cs="宋体"/>
                <w:color w:val="auto"/>
              </w:rPr>
              <w:t>e.投标人在投标活动中无欺诈行为；</w:t>
            </w:r>
          </w:p>
          <w:p w14:paraId="43873FF2">
            <w:pPr>
              <w:adjustRightInd w:val="0"/>
              <w:snapToGrid w:val="0"/>
              <w:ind w:firstLine="420" w:firstLineChars="200"/>
              <w:rPr>
                <w:rFonts w:ascii="宋体" w:hAnsi="宋体" w:cs="宋体"/>
                <w:color w:val="auto"/>
              </w:rPr>
            </w:pPr>
            <w:r>
              <w:rPr>
                <w:rFonts w:hint="eastAsia" w:ascii="宋体" w:hAnsi="宋体" w:cs="宋体"/>
                <w:color w:val="auto"/>
              </w:rPr>
              <w:t>f.投标人未对合同条款有重要保留。</w:t>
            </w:r>
          </w:p>
          <w:p w14:paraId="59538385">
            <w:pPr>
              <w:adjustRightInd w:val="0"/>
              <w:snapToGrid w:val="0"/>
              <w:ind w:firstLine="420" w:firstLineChars="200"/>
              <w:rPr>
                <w:rFonts w:ascii="宋体" w:hAnsi="宋体" w:cs="宋体"/>
                <w:color w:val="auto"/>
              </w:rPr>
            </w:pPr>
            <w:r>
              <w:rPr>
                <w:rFonts w:hint="eastAsia" w:ascii="宋体" w:hAnsi="宋体" w:cs="宋体"/>
                <w:color w:val="auto"/>
              </w:rPr>
              <w:t>（12）</w:t>
            </w:r>
            <w:r>
              <w:rPr>
                <w:rFonts w:ascii="宋体" w:hAnsi="宋体"/>
                <w:color w:val="auto"/>
              </w:rPr>
              <w:t>投标文件</w:t>
            </w:r>
            <w:r>
              <w:rPr>
                <w:rFonts w:hint="eastAsia" w:ascii="宋体" w:hAnsi="宋体"/>
                <w:color w:val="auto"/>
              </w:rPr>
              <w:t>未</w:t>
            </w:r>
            <w:r>
              <w:rPr>
                <w:rFonts w:ascii="宋体" w:hAnsi="宋体"/>
                <w:color w:val="auto"/>
              </w:rPr>
              <w:t>附有招标人不能接受的条件。</w:t>
            </w:r>
          </w:p>
          <w:p w14:paraId="7A981969">
            <w:pPr>
              <w:adjustRightInd w:val="0"/>
              <w:snapToGrid w:val="0"/>
              <w:ind w:firstLine="420" w:firstLineChars="200"/>
              <w:rPr>
                <w:rFonts w:ascii="宋体" w:hAnsi="宋体" w:cs="宋体"/>
                <w:b/>
                <w:color w:val="auto"/>
              </w:rPr>
            </w:pPr>
            <w:r>
              <w:rPr>
                <w:rFonts w:hint="eastAsia" w:ascii="宋体" w:hAnsi="宋体" w:cs="宋体"/>
                <w:b/>
                <w:color w:val="auto"/>
              </w:rPr>
              <w:t>第二个信封（报价文件）评审标准：</w:t>
            </w:r>
          </w:p>
          <w:p w14:paraId="6EDA794A">
            <w:pPr>
              <w:adjustRightInd w:val="0"/>
              <w:snapToGrid w:val="0"/>
              <w:ind w:firstLine="420" w:firstLineChars="200"/>
              <w:rPr>
                <w:rFonts w:ascii="宋体" w:hAnsi="宋体" w:cs="宋体"/>
                <w:color w:val="auto"/>
              </w:rPr>
            </w:pPr>
            <w:r>
              <w:rPr>
                <w:rFonts w:hint="eastAsia" w:ascii="宋体" w:hAnsi="宋体" w:cs="宋体"/>
                <w:color w:val="auto"/>
              </w:rPr>
              <w:t>（1）报价文件按照招标文件规定的格式、内容填写，字迹清晰可辨，内容齐全完整：</w:t>
            </w:r>
          </w:p>
          <w:p w14:paraId="6170D89B">
            <w:pPr>
              <w:adjustRightInd w:val="0"/>
              <w:snapToGrid w:val="0"/>
              <w:ind w:firstLine="420" w:firstLineChars="200"/>
              <w:rPr>
                <w:rFonts w:ascii="宋体" w:hAnsi="宋体" w:cs="宋体"/>
                <w:color w:val="auto"/>
              </w:rPr>
            </w:pPr>
            <w:r>
              <w:rPr>
                <w:rFonts w:hint="eastAsia" w:ascii="宋体" w:hAnsi="宋体" w:cs="宋体"/>
                <w:color w:val="auto"/>
              </w:rPr>
              <w:t>a.投标函按招标文件规定填报了项目名称、标段号（如有）、补遗书编号（如有）、投标价（包括大写金额和小写金额）；</w:t>
            </w:r>
          </w:p>
          <w:p w14:paraId="2EC79EB9">
            <w:pPr>
              <w:adjustRightInd w:val="0"/>
              <w:snapToGrid w:val="0"/>
              <w:ind w:firstLine="420" w:firstLineChars="200"/>
              <w:rPr>
                <w:rFonts w:ascii="宋体" w:hAnsi="宋体" w:cs="宋体"/>
                <w:color w:val="auto"/>
              </w:rPr>
            </w:pPr>
            <w:r>
              <w:rPr>
                <w:rFonts w:hint="eastAsia" w:ascii="宋体" w:hAnsi="宋体" w:cs="宋体"/>
                <w:color w:val="auto"/>
              </w:rPr>
              <w:t>b.已标价报价清单说明文字与招标文件规定一致，未进行实质性修改和删减；</w:t>
            </w:r>
          </w:p>
          <w:p w14:paraId="7AC20FD7">
            <w:pPr>
              <w:adjustRightInd w:val="0"/>
              <w:snapToGrid w:val="0"/>
              <w:ind w:firstLine="420" w:firstLineChars="200"/>
              <w:rPr>
                <w:rFonts w:ascii="宋体" w:hAnsi="宋体" w:cs="宋体"/>
                <w:color w:val="auto"/>
              </w:rPr>
            </w:pPr>
            <w:r>
              <w:rPr>
                <w:rFonts w:hint="eastAsia" w:ascii="宋体" w:hAnsi="宋体" w:cs="宋体"/>
                <w:color w:val="auto"/>
              </w:rPr>
              <w:t>c.报价文件组成齐全完整，内容均按规定填写。</w:t>
            </w:r>
          </w:p>
          <w:p w14:paraId="2C098F61">
            <w:pPr>
              <w:adjustRightInd w:val="0"/>
              <w:snapToGrid w:val="0"/>
              <w:ind w:firstLine="420" w:firstLineChars="200"/>
              <w:rPr>
                <w:rFonts w:ascii="宋体" w:hAnsi="宋体" w:cs="宋体"/>
                <w:color w:val="auto"/>
              </w:rPr>
            </w:pPr>
            <w:r>
              <w:rPr>
                <w:rFonts w:hint="eastAsia" w:ascii="宋体" w:hAnsi="宋体" w:cs="宋体"/>
                <w:color w:val="auto"/>
              </w:rPr>
              <w:t>（2）报价文件上法定代表人或其委托代理人的签字、投标人的单位章盖章齐全，符合招标文件规定。</w:t>
            </w:r>
          </w:p>
          <w:p w14:paraId="590B1991">
            <w:pPr>
              <w:adjustRightInd w:val="0"/>
              <w:snapToGrid w:val="0"/>
              <w:ind w:firstLine="420" w:firstLineChars="200"/>
              <w:rPr>
                <w:rFonts w:ascii="宋体" w:hAnsi="宋体" w:cs="宋体"/>
                <w:color w:val="auto"/>
              </w:rPr>
            </w:pPr>
            <w:r>
              <w:rPr>
                <w:rFonts w:hint="eastAsia" w:ascii="宋体" w:hAnsi="宋体" w:cs="宋体"/>
                <w:color w:val="auto"/>
              </w:rPr>
              <w:t>（3）投标报价未超过招标文件设定的最高投标限价（如有）。</w:t>
            </w:r>
          </w:p>
          <w:p w14:paraId="57F6924A">
            <w:pPr>
              <w:adjustRightInd w:val="0"/>
              <w:snapToGrid w:val="0"/>
              <w:ind w:firstLine="420" w:firstLineChars="200"/>
              <w:rPr>
                <w:rFonts w:ascii="宋体" w:hAnsi="宋体" w:cs="宋体"/>
                <w:color w:val="auto"/>
              </w:rPr>
            </w:pPr>
            <w:r>
              <w:rPr>
                <w:rFonts w:hint="eastAsia" w:ascii="宋体" w:hAnsi="宋体" w:cs="宋体"/>
                <w:color w:val="auto"/>
              </w:rPr>
              <w:t>（4）投标报价的大写金额能够确定具体数值。</w:t>
            </w:r>
          </w:p>
          <w:p w14:paraId="3311D81D">
            <w:pPr>
              <w:adjustRightInd w:val="0"/>
              <w:snapToGrid w:val="0"/>
              <w:ind w:firstLine="420" w:firstLineChars="200"/>
              <w:rPr>
                <w:rFonts w:ascii="宋体" w:hAnsi="宋体" w:cs="宋体"/>
                <w:color w:val="auto"/>
              </w:rPr>
            </w:pPr>
            <w:r>
              <w:rPr>
                <w:rFonts w:hint="eastAsia" w:ascii="宋体" w:hAnsi="宋体" w:cs="宋体"/>
                <w:color w:val="auto"/>
              </w:rPr>
              <w:t>（5）同一投标人未提交两个以上不同的投标报价，但招标文件要求提交备选投标的除外。</w:t>
            </w:r>
          </w:p>
        </w:tc>
      </w:tr>
      <w:tr w14:paraId="17B16C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 w:hRule="atLeast"/>
        </w:trPr>
        <w:tc>
          <w:tcPr>
            <w:tcW w:w="989" w:type="dxa"/>
            <w:tcBorders>
              <w:top w:val="single" w:color="auto" w:sz="4" w:space="0"/>
              <w:bottom w:val="single" w:color="auto" w:sz="4" w:space="0"/>
              <w:right w:val="single" w:color="auto" w:sz="4" w:space="0"/>
            </w:tcBorders>
            <w:noWrap w:val="0"/>
            <w:vAlign w:val="center"/>
          </w:tcPr>
          <w:p w14:paraId="7A6200C3">
            <w:pPr>
              <w:adjustRightInd w:val="0"/>
              <w:snapToGrid w:val="0"/>
              <w:jc w:val="center"/>
              <w:rPr>
                <w:rFonts w:ascii="宋体" w:hAnsi="宋体" w:cs="宋体"/>
                <w:color w:val="auto"/>
              </w:rPr>
            </w:pPr>
            <w:r>
              <w:rPr>
                <w:rFonts w:hint="eastAsia" w:ascii="宋体" w:hAnsi="宋体" w:cs="宋体"/>
                <w:color w:val="auto"/>
              </w:rPr>
              <w:t>2.1.2</w:t>
            </w:r>
          </w:p>
        </w:tc>
        <w:tc>
          <w:tcPr>
            <w:tcW w:w="1280" w:type="dxa"/>
            <w:tcBorders>
              <w:top w:val="single" w:color="auto" w:sz="4" w:space="0"/>
              <w:bottom w:val="single" w:color="auto" w:sz="4" w:space="0"/>
              <w:right w:val="single" w:color="auto" w:sz="4" w:space="0"/>
            </w:tcBorders>
            <w:noWrap w:val="0"/>
            <w:vAlign w:val="center"/>
          </w:tcPr>
          <w:p w14:paraId="26861891">
            <w:pPr>
              <w:adjustRightInd w:val="0"/>
              <w:snapToGrid w:val="0"/>
              <w:jc w:val="center"/>
              <w:rPr>
                <w:rFonts w:ascii="宋体" w:hAnsi="宋体" w:cs="宋体"/>
                <w:color w:val="auto"/>
              </w:rPr>
            </w:pPr>
            <w:r>
              <w:rPr>
                <w:rFonts w:hint="eastAsia" w:ascii="宋体" w:hAnsi="宋体" w:cs="宋体"/>
                <w:color w:val="auto"/>
              </w:rPr>
              <w:t>资格评审标准</w:t>
            </w:r>
          </w:p>
        </w:tc>
        <w:tc>
          <w:tcPr>
            <w:tcW w:w="6622" w:type="dxa"/>
            <w:tcBorders>
              <w:top w:val="single" w:color="auto" w:sz="4" w:space="0"/>
              <w:left w:val="single" w:color="auto" w:sz="4" w:space="0"/>
              <w:right w:val="single" w:color="auto" w:sz="4" w:space="0"/>
            </w:tcBorders>
            <w:noWrap w:val="0"/>
            <w:vAlign w:val="center"/>
          </w:tcPr>
          <w:p w14:paraId="35BD2341">
            <w:pPr>
              <w:adjustRightInd w:val="0"/>
              <w:snapToGrid w:val="0"/>
              <w:ind w:firstLine="420" w:firstLineChars="200"/>
              <w:rPr>
                <w:rFonts w:ascii="宋体" w:hAnsi="宋体" w:cs="宋体"/>
                <w:color w:val="auto"/>
              </w:rPr>
            </w:pPr>
            <w:r>
              <w:rPr>
                <w:rFonts w:hint="eastAsia" w:ascii="宋体" w:hAnsi="宋体" w:cs="宋体"/>
                <w:color w:val="auto"/>
              </w:rPr>
              <w:t>（1）投标人具备有效的营业执照、监理资质证书和基本账户开户许可证（如企业所在地已取消企业银行账户许可而无法提供开户许可证的，则需附上开户银行盖章的“基本存款账户信息”或“人民银行账户管理系统查询的基本账户信息截图”）。</w:t>
            </w:r>
          </w:p>
          <w:p w14:paraId="1DC00D74">
            <w:pPr>
              <w:adjustRightInd w:val="0"/>
              <w:snapToGrid w:val="0"/>
              <w:ind w:firstLine="420" w:firstLineChars="200"/>
              <w:rPr>
                <w:rFonts w:ascii="宋体" w:hAnsi="宋体" w:cs="宋体"/>
                <w:color w:val="auto"/>
              </w:rPr>
            </w:pPr>
            <w:r>
              <w:rPr>
                <w:rFonts w:hint="eastAsia" w:ascii="宋体" w:hAnsi="宋体" w:cs="宋体"/>
                <w:color w:val="auto"/>
              </w:rPr>
              <w:t>（2）投标人的资质等级符合招标文件规定。</w:t>
            </w:r>
          </w:p>
          <w:p w14:paraId="076FBAFE">
            <w:pPr>
              <w:adjustRightInd w:val="0"/>
              <w:snapToGrid w:val="0"/>
              <w:ind w:firstLine="420" w:firstLineChars="200"/>
              <w:rPr>
                <w:rFonts w:ascii="宋体" w:hAnsi="宋体" w:cs="宋体"/>
                <w:color w:val="auto"/>
              </w:rPr>
            </w:pPr>
            <w:r>
              <w:rPr>
                <w:rFonts w:hint="eastAsia" w:ascii="宋体" w:hAnsi="宋体" w:cs="宋体"/>
                <w:color w:val="auto"/>
              </w:rPr>
              <w:t>（3）投标人的类似工程业绩符合招标文件规定。</w:t>
            </w:r>
          </w:p>
          <w:p w14:paraId="240C6283">
            <w:pPr>
              <w:adjustRightInd w:val="0"/>
              <w:snapToGrid w:val="0"/>
              <w:ind w:firstLine="420" w:firstLineChars="200"/>
              <w:rPr>
                <w:rFonts w:ascii="宋体" w:hAnsi="宋体" w:cs="宋体"/>
                <w:color w:val="auto"/>
              </w:rPr>
            </w:pPr>
            <w:r>
              <w:rPr>
                <w:rFonts w:hint="eastAsia" w:ascii="宋体" w:hAnsi="宋体" w:cs="宋体"/>
                <w:color w:val="auto"/>
              </w:rPr>
              <w:t>（4）投标人的信誉符合招标文件规定。</w:t>
            </w:r>
          </w:p>
          <w:p w14:paraId="622B5041">
            <w:pPr>
              <w:adjustRightInd w:val="0"/>
              <w:snapToGrid w:val="0"/>
              <w:ind w:firstLine="420" w:firstLineChars="200"/>
              <w:rPr>
                <w:rFonts w:ascii="宋体" w:hAnsi="宋体" w:cs="宋体"/>
                <w:color w:val="auto"/>
              </w:rPr>
            </w:pPr>
            <w:r>
              <w:rPr>
                <w:rFonts w:hint="eastAsia" w:ascii="宋体" w:hAnsi="宋体" w:cs="宋体"/>
                <w:color w:val="auto"/>
              </w:rPr>
              <w:t>（5）投标人的总监理工程师资格情况符合招标文件规定，并按规定在投标文件中签字确认。</w:t>
            </w:r>
          </w:p>
          <w:p w14:paraId="12F38EB7">
            <w:pPr>
              <w:adjustRightInd w:val="0"/>
              <w:snapToGrid w:val="0"/>
              <w:ind w:firstLine="420" w:firstLineChars="200"/>
              <w:rPr>
                <w:rFonts w:ascii="宋体" w:hAnsi="宋体" w:cs="宋体"/>
                <w:color w:val="auto"/>
              </w:rPr>
            </w:pPr>
            <w:r>
              <w:rPr>
                <w:rFonts w:hint="eastAsia" w:ascii="宋体" w:hAnsi="宋体" w:cs="宋体"/>
                <w:color w:val="auto"/>
              </w:rPr>
              <w:t>（6）投标人的其他要求符合招标文件规定。</w:t>
            </w:r>
            <w:r>
              <w:rPr>
                <w:rFonts w:hint="eastAsia" w:ascii="宋体" w:hAnsi="宋体" w:cs="宋体"/>
                <w:color w:val="auto"/>
                <w:vertAlign w:val="superscript"/>
              </w:rPr>
              <w:footnoteReference w:id="0"/>
            </w:r>
          </w:p>
          <w:p w14:paraId="2FBFC44C">
            <w:pPr>
              <w:adjustRightInd w:val="0"/>
              <w:snapToGrid w:val="0"/>
              <w:ind w:firstLine="420" w:firstLineChars="200"/>
              <w:rPr>
                <w:rFonts w:ascii="宋体" w:hAnsi="宋体" w:cs="宋体"/>
                <w:color w:val="auto"/>
              </w:rPr>
            </w:pPr>
            <w:r>
              <w:rPr>
                <w:rFonts w:hint="eastAsia" w:ascii="宋体" w:hAnsi="宋体" w:cs="宋体"/>
                <w:color w:val="auto"/>
              </w:rPr>
              <w:t>（7）投标人不存在第二章“投标人须知”第1.4.3项或第1.4.4项规定的任何一种情形。</w:t>
            </w:r>
          </w:p>
        </w:tc>
      </w:tr>
    </w:tbl>
    <w:p w14:paraId="29263143">
      <w:pPr>
        <w:rPr>
          <w:rFonts w:ascii="宋体" w:hAnsi="宋体"/>
          <w:color w:val="auto"/>
        </w:rPr>
      </w:pPr>
    </w:p>
    <w:p w14:paraId="53FFBF18">
      <w:pPr>
        <w:ind w:right="210" w:rightChars="100"/>
        <w:jc w:val="right"/>
        <w:rPr>
          <w:rFonts w:ascii="宋体" w:hAnsi="宋体"/>
          <w:b/>
          <w:bCs/>
          <w:color w:val="auto"/>
        </w:rPr>
      </w:pPr>
      <w:r>
        <w:rPr>
          <w:rFonts w:ascii="宋体" w:hAnsi="宋体"/>
          <w:b/>
          <w:bCs/>
          <w:color w:val="auto"/>
          <w:spacing w:val="4"/>
        </w:rPr>
        <w:br w:type="page"/>
      </w:r>
      <w:r>
        <w:rPr>
          <w:rFonts w:ascii="宋体" w:hAnsi="宋体"/>
          <w:color w:val="auto"/>
          <w:spacing w:val="4"/>
        </w:rPr>
        <w:t>续上表</w:t>
      </w:r>
    </w:p>
    <w:tbl>
      <w:tblPr>
        <w:tblStyle w:val="1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280"/>
        <w:gridCol w:w="6622"/>
      </w:tblGrid>
      <w:tr w14:paraId="275A22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7D958358">
            <w:pPr>
              <w:adjustRightInd w:val="0"/>
              <w:snapToGrid w:val="0"/>
              <w:spacing w:line="360" w:lineRule="auto"/>
              <w:jc w:val="center"/>
              <w:rPr>
                <w:rFonts w:ascii="宋体" w:hAnsi="宋体" w:cs="宋体"/>
                <w:b/>
                <w:color w:val="auto"/>
              </w:rPr>
            </w:pPr>
            <w:r>
              <w:rPr>
                <w:rFonts w:hint="eastAsia" w:ascii="宋体" w:hAnsi="宋体" w:cs="宋体"/>
                <w:b/>
                <w:color w:val="auto"/>
              </w:rPr>
              <w:t>条款号</w:t>
            </w:r>
          </w:p>
        </w:tc>
        <w:tc>
          <w:tcPr>
            <w:tcW w:w="1280" w:type="dxa"/>
            <w:tcBorders>
              <w:top w:val="single" w:color="auto" w:sz="4" w:space="0"/>
              <w:right w:val="single" w:color="auto" w:sz="4" w:space="0"/>
            </w:tcBorders>
            <w:noWrap w:val="0"/>
            <w:vAlign w:val="center"/>
          </w:tcPr>
          <w:p w14:paraId="63E35A84">
            <w:pPr>
              <w:adjustRightInd w:val="0"/>
              <w:snapToGrid w:val="0"/>
              <w:spacing w:line="360" w:lineRule="auto"/>
              <w:jc w:val="center"/>
              <w:rPr>
                <w:rFonts w:ascii="宋体" w:hAnsi="宋体" w:cs="宋体"/>
                <w:b/>
                <w:color w:val="auto"/>
              </w:rPr>
            </w:pPr>
            <w:r>
              <w:rPr>
                <w:rFonts w:hint="eastAsia" w:ascii="宋体" w:hAnsi="宋体" w:cs="宋体"/>
                <w:b/>
                <w:color w:val="auto"/>
              </w:rPr>
              <w:t>条款内容</w:t>
            </w:r>
          </w:p>
        </w:tc>
        <w:tc>
          <w:tcPr>
            <w:tcW w:w="6622" w:type="dxa"/>
            <w:tcBorders>
              <w:top w:val="single" w:color="auto" w:sz="4" w:space="0"/>
              <w:left w:val="single" w:color="auto" w:sz="4" w:space="0"/>
              <w:right w:val="single" w:color="auto" w:sz="4" w:space="0"/>
            </w:tcBorders>
            <w:noWrap w:val="0"/>
            <w:vAlign w:val="center"/>
          </w:tcPr>
          <w:p w14:paraId="3875E224">
            <w:pPr>
              <w:adjustRightInd w:val="0"/>
              <w:snapToGrid w:val="0"/>
              <w:spacing w:line="360" w:lineRule="auto"/>
              <w:jc w:val="center"/>
              <w:rPr>
                <w:rFonts w:ascii="宋体" w:hAnsi="宋体" w:cs="宋体"/>
                <w:b/>
                <w:color w:val="auto"/>
              </w:rPr>
            </w:pPr>
            <w:r>
              <w:rPr>
                <w:rFonts w:hint="eastAsia" w:ascii="宋体" w:hAnsi="宋体" w:cs="宋体"/>
                <w:b/>
                <w:color w:val="auto"/>
              </w:rPr>
              <w:t>编列内容</w:t>
            </w:r>
          </w:p>
        </w:tc>
      </w:tr>
      <w:tr w14:paraId="14B8D26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35480A9E">
            <w:pPr>
              <w:adjustRightInd w:val="0"/>
              <w:snapToGrid w:val="0"/>
              <w:spacing w:line="360" w:lineRule="auto"/>
              <w:jc w:val="center"/>
              <w:rPr>
                <w:rFonts w:ascii="宋体" w:hAnsi="宋体" w:cs="宋体"/>
                <w:color w:val="auto"/>
              </w:rPr>
            </w:pPr>
            <w:r>
              <w:rPr>
                <w:rFonts w:hint="eastAsia" w:ascii="宋体" w:hAnsi="宋体" w:cs="宋体"/>
                <w:color w:val="auto"/>
              </w:rPr>
              <w:t>2.2.1</w:t>
            </w:r>
          </w:p>
        </w:tc>
        <w:tc>
          <w:tcPr>
            <w:tcW w:w="1280" w:type="dxa"/>
            <w:tcBorders>
              <w:top w:val="single" w:color="auto" w:sz="4" w:space="0"/>
              <w:right w:val="single" w:color="auto" w:sz="4" w:space="0"/>
            </w:tcBorders>
            <w:noWrap w:val="0"/>
            <w:vAlign w:val="center"/>
          </w:tcPr>
          <w:p w14:paraId="141E0A84">
            <w:pPr>
              <w:adjustRightInd w:val="0"/>
              <w:snapToGrid w:val="0"/>
              <w:spacing w:line="360" w:lineRule="auto"/>
              <w:jc w:val="center"/>
              <w:rPr>
                <w:rFonts w:ascii="宋体" w:hAnsi="宋体" w:cs="宋体"/>
                <w:color w:val="auto"/>
              </w:rPr>
            </w:pPr>
            <w:r>
              <w:rPr>
                <w:rFonts w:hint="eastAsia" w:ascii="宋体" w:hAnsi="宋体" w:cs="宋体"/>
                <w:color w:val="auto"/>
              </w:rPr>
              <w:t>分值构成</w:t>
            </w:r>
          </w:p>
          <w:p w14:paraId="2BA139FC">
            <w:pPr>
              <w:adjustRightInd w:val="0"/>
              <w:snapToGrid w:val="0"/>
              <w:spacing w:line="360" w:lineRule="auto"/>
              <w:ind w:left="-105" w:leftChars="-50" w:right="-105" w:rightChars="-50"/>
              <w:jc w:val="center"/>
              <w:rPr>
                <w:rFonts w:ascii="宋体" w:hAnsi="宋体" w:cs="宋体"/>
                <w:color w:val="auto"/>
              </w:rPr>
            </w:pPr>
            <w:r>
              <w:rPr>
                <w:rFonts w:hint="eastAsia" w:ascii="宋体" w:hAnsi="宋体" w:cs="宋体"/>
                <w:color w:val="auto"/>
              </w:rPr>
              <w:t>（总分100分）</w:t>
            </w:r>
          </w:p>
        </w:tc>
        <w:tc>
          <w:tcPr>
            <w:tcW w:w="6622" w:type="dxa"/>
            <w:tcBorders>
              <w:top w:val="single" w:color="auto" w:sz="4" w:space="0"/>
              <w:left w:val="single" w:color="auto" w:sz="4" w:space="0"/>
              <w:right w:val="single" w:color="auto" w:sz="4" w:space="0"/>
            </w:tcBorders>
            <w:noWrap w:val="0"/>
            <w:vAlign w:val="center"/>
          </w:tcPr>
          <w:p w14:paraId="4CFEC97F">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第一个信封（商务及技术文件）评分分值构成：</w:t>
            </w:r>
          </w:p>
          <w:p w14:paraId="15A7A376">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监理大纲：</w:t>
            </w:r>
            <w:r>
              <w:rPr>
                <w:rFonts w:hint="eastAsia" w:ascii="宋体" w:hAnsi="宋体" w:cs="宋体"/>
                <w:color w:val="auto"/>
                <w:u w:val="single"/>
              </w:rPr>
              <w:t>40</w:t>
            </w:r>
            <w:r>
              <w:rPr>
                <w:rFonts w:hint="eastAsia" w:ascii="宋体" w:hAnsi="宋体" w:cs="宋体"/>
                <w:color w:val="auto"/>
              </w:rPr>
              <w:t>分</w:t>
            </w:r>
          </w:p>
          <w:p w14:paraId="4362FF0C">
            <w:pPr>
              <w:adjustRightInd w:val="0"/>
              <w:snapToGrid w:val="0"/>
              <w:spacing w:line="360" w:lineRule="auto"/>
              <w:ind w:firstLine="420" w:firstLineChars="200"/>
              <w:rPr>
                <w:rFonts w:hint="eastAsia" w:ascii="宋体" w:hAnsi="宋体" w:cs="宋体"/>
                <w:color w:val="auto"/>
              </w:rPr>
            </w:pPr>
            <w:r>
              <w:rPr>
                <w:rFonts w:hint="eastAsia" w:ascii="宋体" w:hAnsi="宋体" w:cs="宋体"/>
                <w:color w:val="auto"/>
              </w:rPr>
              <w:t>主要人员：</w:t>
            </w:r>
            <w:r>
              <w:rPr>
                <w:rFonts w:hint="eastAsia" w:ascii="宋体" w:hAnsi="宋体" w:cs="宋体"/>
                <w:color w:val="auto"/>
                <w:u w:val="single"/>
              </w:rPr>
              <w:t>25</w:t>
            </w:r>
            <w:r>
              <w:rPr>
                <w:rFonts w:hint="eastAsia" w:ascii="宋体" w:hAnsi="宋体" w:cs="宋体"/>
                <w:color w:val="auto"/>
              </w:rPr>
              <w:t>分</w:t>
            </w:r>
          </w:p>
          <w:p w14:paraId="4448F114">
            <w:pPr>
              <w:adjustRightInd w:val="0"/>
              <w:snapToGrid w:val="0"/>
              <w:spacing w:line="360" w:lineRule="auto"/>
              <w:ind w:firstLine="630" w:firstLineChars="300"/>
              <w:rPr>
                <w:rFonts w:ascii="宋体" w:hAnsi="宋体" w:cs="宋体"/>
                <w:color w:val="auto"/>
              </w:rPr>
            </w:pPr>
            <w:r>
              <w:rPr>
                <w:rFonts w:hint="eastAsia" w:ascii="宋体" w:hAnsi="宋体" w:cs="宋体"/>
                <w:color w:val="auto"/>
              </w:rPr>
              <w:t>总监理工程师：</w:t>
            </w:r>
            <w:r>
              <w:rPr>
                <w:rFonts w:hint="eastAsia" w:ascii="宋体" w:hAnsi="宋体" w:cs="宋体"/>
                <w:color w:val="auto"/>
                <w:u w:val="single"/>
              </w:rPr>
              <w:t>10</w:t>
            </w:r>
            <w:r>
              <w:rPr>
                <w:rFonts w:hint="eastAsia" w:ascii="宋体" w:hAnsi="宋体" w:cs="宋体"/>
                <w:color w:val="auto"/>
              </w:rPr>
              <w:t>分</w:t>
            </w:r>
          </w:p>
          <w:p w14:paraId="02163447">
            <w:pPr>
              <w:adjustRightInd w:val="0"/>
              <w:snapToGrid w:val="0"/>
              <w:spacing w:line="360" w:lineRule="auto"/>
              <w:ind w:firstLine="630" w:firstLineChars="300"/>
              <w:rPr>
                <w:rFonts w:hint="eastAsia" w:ascii="宋体" w:hAnsi="宋体" w:cs="宋体"/>
                <w:color w:val="auto"/>
              </w:rPr>
            </w:pPr>
            <w:r>
              <w:rPr>
                <w:rFonts w:hint="eastAsia" w:ascii="宋体" w:hAnsi="宋体" w:cs="宋体"/>
                <w:color w:val="auto"/>
              </w:rPr>
              <w:t>其他主要监理人员：</w:t>
            </w:r>
            <w:r>
              <w:rPr>
                <w:rFonts w:hint="eastAsia" w:ascii="宋体" w:hAnsi="宋体" w:cs="宋体"/>
                <w:color w:val="auto"/>
                <w:u w:val="single"/>
              </w:rPr>
              <w:t>15</w:t>
            </w:r>
            <w:r>
              <w:rPr>
                <w:rFonts w:hint="eastAsia" w:ascii="宋体" w:hAnsi="宋体" w:cs="宋体"/>
                <w:color w:val="auto"/>
              </w:rPr>
              <w:t>分</w:t>
            </w:r>
          </w:p>
          <w:p w14:paraId="1BFB3AA4">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其他因素：</w:t>
            </w:r>
            <w:r>
              <w:rPr>
                <w:rFonts w:hint="eastAsia" w:ascii="宋体" w:hAnsi="宋体" w:cs="宋体"/>
                <w:color w:val="auto"/>
                <w:u w:val="single"/>
              </w:rPr>
              <w:t>20</w:t>
            </w:r>
            <w:r>
              <w:rPr>
                <w:rFonts w:hint="eastAsia" w:ascii="宋体" w:hAnsi="宋体" w:cs="宋体"/>
                <w:color w:val="auto"/>
              </w:rPr>
              <w:t>分：</w:t>
            </w:r>
          </w:p>
          <w:p w14:paraId="6F6999AE">
            <w:pPr>
              <w:adjustRightInd w:val="0"/>
              <w:snapToGrid w:val="0"/>
              <w:spacing w:line="360" w:lineRule="auto"/>
              <w:ind w:firstLine="630" w:firstLineChars="300"/>
              <w:rPr>
                <w:rFonts w:ascii="宋体" w:hAnsi="宋体" w:cs="宋体"/>
                <w:color w:val="auto"/>
              </w:rPr>
            </w:pPr>
            <w:r>
              <w:rPr>
                <w:rFonts w:hint="eastAsia" w:ascii="宋体" w:hAnsi="宋体" w:cs="宋体"/>
                <w:color w:val="auto"/>
              </w:rPr>
              <w:t>业绩：</w:t>
            </w:r>
            <w:r>
              <w:rPr>
                <w:rFonts w:hint="eastAsia" w:ascii="宋体" w:hAnsi="宋体" w:cs="宋体"/>
                <w:color w:val="auto"/>
                <w:u w:val="single"/>
              </w:rPr>
              <w:t>8</w:t>
            </w:r>
            <w:r>
              <w:rPr>
                <w:rFonts w:hint="eastAsia" w:ascii="宋体" w:hAnsi="宋体" w:cs="宋体"/>
                <w:color w:val="auto"/>
              </w:rPr>
              <w:t>分</w:t>
            </w:r>
          </w:p>
          <w:p w14:paraId="33EEECAD">
            <w:pPr>
              <w:adjustRightInd w:val="0"/>
              <w:snapToGrid w:val="0"/>
              <w:spacing w:line="360" w:lineRule="auto"/>
              <w:ind w:firstLine="630" w:firstLineChars="300"/>
              <w:rPr>
                <w:rFonts w:ascii="宋体" w:hAnsi="宋体" w:cs="宋体"/>
                <w:color w:val="auto"/>
              </w:rPr>
            </w:pPr>
            <w:r>
              <w:rPr>
                <w:rFonts w:hint="eastAsia" w:ascii="宋体" w:hAnsi="宋体" w:cs="宋体"/>
                <w:color w:val="auto"/>
              </w:rPr>
              <w:t xml:space="preserve">履约信誉： </w:t>
            </w:r>
            <w:r>
              <w:rPr>
                <w:rFonts w:hint="eastAsia" w:ascii="宋体" w:hAnsi="宋体" w:cs="宋体"/>
                <w:color w:val="auto"/>
                <w:u w:val="single"/>
              </w:rPr>
              <w:t>10</w:t>
            </w:r>
            <w:r>
              <w:rPr>
                <w:rFonts w:hint="eastAsia" w:ascii="宋体" w:hAnsi="宋体" w:cs="宋体"/>
                <w:color w:val="auto"/>
              </w:rPr>
              <w:t>分</w:t>
            </w:r>
          </w:p>
          <w:p w14:paraId="62846AFD">
            <w:pPr>
              <w:pStyle w:val="6"/>
              <w:adjustRightInd w:val="0"/>
              <w:snapToGrid w:val="0"/>
              <w:spacing w:line="360" w:lineRule="auto"/>
              <w:ind w:firstLine="630" w:firstLineChars="300"/>
              <w:rPr>
                <w:rFonts w:hint="eastAsia" w:hAnsi="宋体" w:cs="宋体"/>
                <w:color w:val="auto"/>
                <w:szCs w:val="21"/>
              </w:rPr>
            </w:pPr>
            <w:r>
              <w:rPr>
                <w:rFonts w:hint="eastAsia" w:hAnsi="宋体" w:cs="宋体"/>
                <w:color w:val="auto"/>
                <w:szCs w:val="21"/>
              </w:rPr>
              <w:t>企业综合能力：</w:t>
            </w:r>
            <w:r>
              <w:rPr>
                <w:rFonts w:hint="eastAsia" w:hAnsi="宋体" w:cs="宋体"/>
                <w:color w:val="auto"/>
                <w:szCs w:val="21"/>
                <w:u w:val="single"/>
              </w:rPr>
              <w:t>2</w:t>
            </w:r>
            <w:r>
              <w:rPr>
                <w:rFonts w:hint="eastAsia" w:hAnsi="宋体" w:cs="宋体"/>
                <w:color w:val="auto"/>
                <w:szCs w:val="21"/>
              </w:rPr>
              <w:t>分</w:t>
            </w:r>
          </w:p>
          <w:p w14:paraId="704D0409">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第二个信封（报价文件）评分分值构成：</w:t>
            </w:r>
          </w:p>
          <w:p w14:paraId="76515522">
            <w:pPr>
              <w:adjustRightInd w:val="0"/>
              <w:snapToGrid w:val="0"/>
              <w:spacing w:line="360" w:lineRule="auto"/>
              <w:ind w:firstLine="420" w:firstLineChars="200"/>
              <w:rPr>
                <w:rFonts w:ascii="宋体" w:hAnsi="宋体" w:cs="宋体"/>
                <w:color w:val="auto"/>
              </w:rPr>
            </w:pPr>
            <w:r>
              <w:rPr>
                <w:rFonts w:hint="eastAsia" w:ascii="宋体" w:hAnsi="宋体" w:cs="宋体"/>
                <w:color w:val="auto"/>
              </w:rPr>
              <w:t>评标价：</w:t>
            </w:r>
            <w:r>
              <w:rPr>
                <w:rFonts w:hint="eastAsia" w:ascii="宋体" w:hAnsi="宋体" w:cs="宋体"/>
                <w:color w:val="auto"/>
                <w:u w:val="single"/>
              </w:rPr>
              <w:t>15</w:t>
            </w:r>
            <w:r>
              <w:rPr>
                <w:rFonts w:hint="eastAsia" w:ascii="宋体" w:hAnsi="宋体" w:cs="宋体"/>
                <w:color w:val="auto"/>
              </w:rPr>
              <w:t>分</w:t>
            </w:r>
          </w:p>
        </w:tc>
      </w:tr>
      <w:tr w14:paraId="613C0A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89" w:type="dxa"/>
            <w:tcBorders>
              <w:top w:val="single" w:color="auto" w:sz="4" w:space="0"/>
              <w:right w:val="single" w:color="auto" w:sz="4" w:space="0"/>
            </w:tcBorders>
            <w:noWrap w:val="0"/>
            <w:vAlign w:val="center"/>
          </w:tcPr>
          <w:p w14:paraId="24C0E711">
            <w:pPr>
              <w:adjustRightInd w:val="0"/>
              <w:snapToGrid w:val="0"/>
              <w:spacing w:line="360" w:lineRule="auto"/>
              <w:jc w:val="center"/>
              <w:rPr>
                <w:rFonts w:ascii="宋体" w:hAnsi="宋体" w:cs="宋体"/>
                <w:color w:val="auto"/>
              </w:rPr>
            </w:pPr>
            <w:r>
              <w:rPr>
                <w:rFonts w:hint="eastAsia" w:ascii="宋体" w:hAnsi="宋体" w:cs="宋体"/>
                <w:color w:val="auto"/>
              </w:rPr>
              <w:t>2.2.2</w:t>
            </w:r>
          </w:p>
        </w:tc>
        <w:tc>
          <w:tcPr>
            <w:tcW w:w="1280" w:type="dxa"/>
            <w:tcBorders>
              <w:top w:val="single" w:color="auto" w:sz="4" w:space="0"/>
              <w:right w:val="single" w:color="auto" w:sz="4" w:space="0"/>
            </w:tcBorders>
            <w:noWrap w:val="0"/>
            <w:vAlign w:val="center"/>
          </w:tcPr>
          <w:p w14:paraId="69432E1C">
            <w:pPr>
              <w:adjustRightInd w:val="0"/>
              <w:snapToGrid w:val="0"/>
              <w:spacing w:line="360" w:lineRule="auto"/>
              <w:jc w:val="center"/>
              <w:rPr>
                <w:rFonts w:ascii="宋体" w:hAnsi="宋体" w:cs="宋体"/>
                <w:color w:val="auto"/>
              </w:rPr>
            </w:pPr>
            <w:r>
              <w:rPr>
                <w:rFonts w:hint="eastAsia" w:ascii="宋体" w:hAnsi="宋体" w:cs="宋体"/>
                <w:color w:val="auto"/>
              </w:rPr>
              <w:t>评标基准价计算方法</w:t>
            </w:r>
          </w:p>
        </w:tc>
        <w:tc>
          <w:tcPr>
            <w:tcW w:w="6622" w:type="dxa"/>
            <w:tcBorders>
              <w:top w:val="single" w:color="auto" w:sz="4" w:space="0"/>
              <w:left w:val="single" w:color="auto" w:sz="4" w:space="0"/>
              <w:right w:val="single" w:color="auto" w:sz="4" w:space="0"/>
            </w:tcBorders>
            <w:noWrap w:val="0"/>
            <w:vAlign w:val="center"/>
          </w:tcPr>
          <w:p w14:paraId="3B4FB69C">
            <w:pPr>
              <w:adjustRightInd w:val="0"/>
              <w:snapToGrid w:val="0"/>
              <w:spacing w:line="336" w:lineRule="auto"/>
              <w:ind w:right="123" w:rightChars="59" w:firstLine="420" w:firstLineChars="200"/>
              <w:rPr>
                <w:rFonts w:hint="eastAsia" w:ascii="宋体" w:hAnsi="宋体"/>
                <w:color w:val="auto"/>
              </w:rPr>
            </w:pPr>
            <w:r>
              <w:rPr>
                <w:rFonts w:ascii="宋体" w:hAnsi="宋体"/>
                <w:color w:val="auto"/>
              </w:rPr>
              <w:t>评标基准价的计算：</w:t>
            </w:r>
          </w:p>
          <w:p w14:paraId="0515C547">
            <w:pPr>
              <w:adjustRightInd w:val="0"/>
              <w:snapToGrid w:val="0"/>
              <w:spacing w:line="336" w:lineRule="auto"/>
              <w:ind w:right="123" w:rightChars="59" w:firstLine="420" w:firstLineChars="200"/>
              <w:rPr>
                <w:rFonts w:ascii="宋体" w:hAnsi="宋体"/>
                <w:color w:val="auto"/>
              </w:rPr>
            </w:pPr>
            <w:r>
              <w:rPr>
                <w:rStyle w:val="14"/>
                <w:rFonts w:hint="eastAsia" w:ascii="宋体" w:hAnsi="宋体" w:eastAsia="宋体"/>
                <w:color w:val="auto"/>
                <w:sz w:val="21"/>
                <w:szCs w:val="21"/>
              </w:rPr>
              <w:t xml:space="preserve"> (1)评标价的确定：</w:t>
            </w:r>
          </w:p>
          <w:p w14:paraId="3A7EE5CC">
            <w:pPr>
              <w:spacing w:line="336" w:lineRule="auto"/>
              <w:ind w:firstLine="420" w:firstLineChars="200"/>
              <w:rPr>
                <w:rStyle w:val="14"/>
                <w:rFonts w:ascii="宋体" w:hAnsi="宋体" w:eastAsia="宋体"/>
                <w:color w:val="auto"/>
                <w:sz w:val="21"/>
                <w:szCs w:val="21"/>
              </w:rPr>
            </w:pPr>
            <w:r>
              <w:rPr>
                <w:rStyle w:val="14"/>
                <w:rFonts w:hint="eastAsia" w:ascii="宋体" w:hAnsi="宋体" w:eastAsia="宋体"/>
                <w:color w:val="auto"/>
                <w:sz w:val="21"/>
                <w:szCs w:val="21"/>
              </w:rPr>
              <w:t>评标价</w:t>
            </w:r>
            <w:r>
              <w:rPr>
                <w:rStyle w:val="14"/>
                <w:rFonts w:ascii="宋体" w:hAnsi="宋体" w:eastAsia="宋体"/>
                <w:color w:val="auto"/>
                <w:sz w:val="21"/>
                <w:szCs w:val="21"/>
              </w:rPr>
              <w:t>=</w:t>
            </w:r>
            <w:r>
              <w:rPr>
                <w:rStyle w:val="14"/>
                <w:rFonts w:hint="eastAsia" w:ascii="宋体" w:hAnsi="宋体" w:eastAsia="宋体"/>
                <w:color w:val="auto"/>
                <w:sz w:val="21"/>
                <w:szCs w:val="21"/>
              </w:rPr>
              <w:t>投标函文字报价。</w:t>
            </w:r>
          </w:p>
          <w:p w14:paraId="5DF9D318">
            <w:pPr>
              <w:adjustRightInd w:val="0"/>
              <w:snapToGrid w:val="0"/>
              <w:spacing w:line="336" w:lineRule="auto"/>
              <w:ind w:right="123" w:rightChars="59" w:firstLine="420" w:firstLineChars="200"/>
              <w:rPr>
                <w:rFonts w:hint="eastAsia" w:ascii="宋体" w:hAnsi="宋体"/>
                <w:snapToGrid w:val="0"/>
                <w:color w:val="auto"/>
              </w:rPr>
            </w:pPr>
            <w:r>
              <w:rPr>
                <w:rFonts w:ascii="宋体" w:hAnsi="宋体"/>
                <w:color w:val="auto"/>
              </w:rPr>
              <w:t>(</w:t>
            </w:r>
            <w:r>
              <w:rPr>
                <w:rFonts w:hint="eastAsia" w:ascii="宋体" w:hAnsi="宋体"/>
                <w:color w:val="auto"/>
              </w:rPr>
              <w:t>2</w:t>
            </w:r>
            <w:r>
              <w:rPr>
                <w:rFonts w:ascii="宋体" w:hAnsi="宋体"/>
                <w:color w:val="auto"/>
              </w:rPr>
              <w:t>)</w:t>
            </w:r>
            <w:r>
              <w:rPr>
                <w:rFonts w:hint="eastAsia" w:ascii="宋体" w:hAnsi="宋体"/>
                <w:color w:val="auto"/>
              </w:rPr>
              <w:t>有效评标价范围：</w:t>
            </w:r>
          </w:p>
          <w:p w14:paraId="1ACB1022">
            <w:pPr>
              <w:adjustRightInd w:val="0"/>
              <w:snapToGrid w:val="0"/>
              <w:spacing w:line="336" w:lineRule="auto"/>
              <w:ind w:right="123" w:rightChars="59" w:firstLine="420" w:firstLineChars="200"/>
              <w:rPr>
                <w:rFonts w:hint="eastAsia" w:ascii="宋体" w:hAnsi="宋体" w:cs="宋体"/>
                <w:color w:val="auto"/>
              </w:rPr>
            </w:pPr>
            <w:r>
              <w:rPr>
                <w:rFonts w:hint="eastAsia" w:ascii="宋体" w:hAnsi="宋体"/>
                <w:snapToGrid w:val="0"/>
                <w:color w:val="auto"/>
              </w:rPr>
              <w:t>有效评标价范围：</w:t>
            </w:r>
            <w:r>
              <w:rPr>
                <w:rFonts w:hint="eastAsia" w:ascii="宋体" w:hAnsi="宋体" w:cs="宋体"/>
                <w:color w:val="auto"/>
                <w:spacing w:val="-10"/>
              </w:rPr>
              <w:t>有效投标报价范围为</w:t>
            </w:r>
            <w:r>
              <w:rPr>
                <w:rFonts w:hint="eastAsia" w:ascii="宋体" w:hAnsi="宋体" w:cs="宋体"/>
                <w:color w:val="auto"/>
              </w:rPr>
              <w:t>[-20%至-50%]</w:t>
            </w:r>
            <w:r>
              <w:rPr>
                <w:rFonts w:hint="eastAsia" w:ascii="宋体" w:hAnsi="宋体" w:cs="宋体"/>
                <w:color w:val="auto"/>
                <w:spacing w:val="-10"/>
              </w:rPr>
              <w:t>（即投标人有效报价应在</w:t>
            </w:r>
            <w:r>
              <w:rPr>
                <w:rFonts w:hint="eastAsia" w:hAnsi="宋体" w:cs="宋体"/>
                <w:color w:val="auto"/>
                <w:u w:val="single"/>
              </w:rPr>
              <w:t>2687366</w:t>
            </w:r>
            <w:r>
              <w:rPr>
                <w:rFonts w:hint="eastAsia" w:ascii="宋体" w:hAnsi="宋体" w:cs="宋体"/>
                <w:color w:val="auto"/>
                <w:u w:val="single"/>
              </w:rPr>
              <w:t>元至</w:t>
            </w:r>
            <w:r>
              <w:rPr>
                <w:rFonts w:hint="eastAsia" w:hAnsi="宋体" w:cs="宋体"/>
                <w:color w:val="auto"/>
                <w:u w:val="single"/>
              </w:rPr>
              <w:t>4299785</w:t>
            </w:r>
            <w:r>
              <w:rPr>
                <w:rFonts w:hint="eastAsia" w:ascii="宋体" w:hAnsi="宋体" w:cs="宋体"/>
                <w:color w:val="auto"/>
                <w:spacing w:val="-10"/>
              </w:rPr>
              <w:t>元范围内）</w:t>
            </w:r>
            <w:r>
              <w:rPr>
                <w:rFonts w:hint="eastAsia" w:ascii="宋体" w:hAnsi="宋体" w:cs="宋体"/>
                <w:color w:val="auto"/>
              </w:rPr>
              <w:t>,不在该范围内的报价得0分，</w:t>
            </w:r>
          </w:p>
          <w:p w14:paraId="0E6472C4">
            <w:pPr>
              <w:adjustRightInd w:val="0"/>
              <w:snapToGrid w:val="0"/>
              <w:spacing w:line="336" w:lineRule="auto"/>
              <w:ind w:right="123" w:rightChars="59" w:firstLine="420" w:firstLineChars="200"/>
              <w:rPr>
                <w:rFonts w:hint="eastAsia" w:ascii="宋体" w:hAnsi="宋体"/>
                <w:color w:val="auto"/>
              </w:rPr>
            </w:pPr>
            <w:r>
              <w:rPr>
                <w:rFonts w:hint="eastAsia" w:ascii="宋体" w:hAnsi="宋体"/>
                <w:color w:val="auto"/>
              </w:rPr>
              <w:t xml:space="preserve">(3)评标基准价的确定： </w:t>
            </w:r>
          </w:p>
          <w:p w14:paraId="6A794DD9">
            <w:pPr>
              <w:adjustRightInd w:val="0"/>
              <w:snapToGrid w:val="0"/>
              <w:spacing w:line="336" w:lineRule="auto"/>
              <w:ind w:right="123" w:rightChars="59" w:firstLine="420" w:firstLineChars="200"/>
              <w:rPr>
                <w:rFonts w:ascii="宋体" w:hAnsi="宋体" w:cs="宋体"/>
                <w:b/>
                <w:color w:val="auto"/>
              </w:rPr>
            </w:pPr>
            <w:r>
              <w:rPr>
                <w:rFonts w:ascii="宋体" w:hAnsi="宋体"/>
                <w:color w:val="auto"/>
              </w:rPr>
              <w:t>将参与评标基准价计算的有效评标价的</w:t>
            </w:r>
            <w:r>
              <w:rPr>
                <w:rFonts w:hint="eastAsia" w:ascii="宋体" w:hAnsi="宋体"/>
                <w:color w:val="auto"/>
              </w:rPr>
              <w:t>最低</w:t>
            </w:r>
            <w:r>
              <w:rPr>
                <w:rFonts w:ascii="宋体" w:hAnsi="宋体"/>
                <w:color w:val="auto"/>
              </w:rPr>
              <w:t>值直接作为评标基准价</w:t>
            </w:r>
            <w:r>
              <w:rPr>
                <w:rFonts w:hint="eastAsia" w:ascii="宋体" w:hAnsi="宋体"/>
                <w:color w:val="auto"/>
              </w:rPr>
              <w:t>。</w:t>
            </w:r>
          </w:p>
        </w:tc>
      </w:tr>
      <w:tr w14:paraId="1EE9B1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89" w:type="dxa"/>
            <w:tcBorders>
              <w:top w:val="single" w:color="auto" w:sz="4" w:space="0"/>
              <w:right w:val="single" w:color="auto" w:sz="4" w:space="0"/>
            </w:tcBorders>
            <w:noWrap w:val="0"/>
            <w:vAlign w:val="center"/>
          </w:tcPr>
          <w:p w14:paraId="27457E06">
            <w:pPr>
              <w:adjustRightInd w:val="0"/>
              <w:snapToGrid w:val="0"/>
              <w:spacing w:line="360" w:lineRule="auto"/>
              <w:jc w:val="center"/>
              <w:rPr>
                <w:rFonts w:ascii="宋体" w:hAnsi="宋体" w:cs="宋体"/>
                <w:color w:val="auto"/>
              </w:rPr>
            </w:pPr>
            <w:r>
              <w:rPr>
                <w:rFonts w:hint="eastAsia" w:ascii="宋体" w:hAnsi="宋体" w:cs="宋体"/>
                <w:color w:val="auto"/>
              </w:rPr>
              <w:t>2.2.3</w:t>
            </w:r>
          </w:p>
        </w:tc>
        <w:tc>
          <w:tcPr>
            <w:tcW w:w="1280" w:type="dxa"/>
            <w:tcBorders>
              <w:top w:val="single" w:color="auto" w:sz="4" w:space="0"/>
              <w:right w:val="single" w:color="auto" w:sz="4" w:space="0"/>
            </w:tcBorders>
            <w:noWrap w:val="0"/>
            <w:vAlign w:val="center"/>
          </w:tcPr>
          <w:p w14:paraId="163A003E">
            <w:pPr>
              <w:adjustRightInd w:val="0"/>
              <w:snapToGrid w:val="0"/>
              <w:jc w:val="center"/>
              <w:rPr>
                <w:rFonts w:ascii="宋体" w:hAnsi="宋体" w:cs="宋体"/>
                <w:color w:val="auto"/>
              </w:rPr>
            </w:pPr>
            <w:r>
              <w:rPr>
                <w:rFonts w:hint="eastAsia" w:ascii="宋体" w:hAnsi="宋体" w:cs="宋体"/>
                <w:color w:val="auto"/>
              </w:rPr>
              <w:t>评标价的偏差率计算公式</w:t>
            </w:r>
          </w:p>
        </w:tc>
        <w:tc>
          <w:tcPr>
            <w:tcW w:w="6622" w:type="dxa"/>
            <w:tcBorders>
              <w:top w:val="single" w:color="auto" w:sz="4" w:space="0"/>
              <w:left w:val="single" w:color="auto" w:sz="4" w:space="0"/>
              <w:right w:val="single" w:color="auto" w:sz="4" w:space="0"/>
            </w:tcBorders>
            <w:noWrap w:val="0"/>
            <w:vAlign w:val="center"/>
          </w:tcPr>
          <w:p w14:paraId="2EA55621">
            <w:pPr>
              <w:adjustRightInd w:val="0"/>
              <w:snapToGrid w:val="0"/>
              <w:spacing w:line="360" w:lineRule="auto"/>
              <w:ind w:firstLine="420" w:firstLineChars="200"/>
              <w:rPr>
                <w:rFonts w:ascii="宋体" w:hAnsi="宋体" w:cs="宋体"/>
                <w:b/>
                <w:color w:val="auto"/>
              </w:rPr>
            </w:pPr>
            <w:r>
              <w:rPr>
                <w:rFonts w:hint="eastAsia" w:ascii="宋体" w:hAnsi="宋体" w:cs="宋体"/>
                <w:color w:val="auto"/>
              </w:rPr>
              <w:t>偏差率=100% ×（投标人评标价－评标基准价）/评标基准价</w:t>
            </w:r>
          </w:p>
        </w:tc>
      </w:tr>
    </w:tbl>
    <w:p w14:paraId="7E500A80">
      <w:pPr>
        <w:ind w:right="210" w:rightChars="100"/>
        <w:jc w:val="right"/>
        <w:rPr>
          <w:rFonts w:ascii="宋体" w:hAnsi="宋体"/>
          <w:color w:val="auto"/>
        </w:rPr>
      </w:pPr>
      <w:r>
        <w:rPr>
          <w:rFonts w:ascii="宋体" w:hAnsi="宋体"/>
          <w:color w:val="auto"/>
          <w:sz w:val="27"/>
          <w:szCs w:val="27"/>
        </w:rPr>
        <w:br w:type="page"/>
      </w:r>
      <w:r>
        <w:rPr>
          <w:rFonts w:ascii="宋体" w:hAnsi="宋体"/>
          <w:color w:val="auto"/>
          <w:spacing w:val="4"/>
        </w:rPr>
        <w:t>续上表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
        <w:gridCol w:w="1173"/>
        <w:gridCol w:w="919"/>
        <w:gridCol w:w="1204"/>
        <w:gridCol w:w="851"/>
        <w:gridCol w:w="3821"/>
      </w:tblGrid>
      <w:tr w14:paraId="482DE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5070" w:type="dxa"/>
            <w:gridSpan w:val="5"/>
            <w:tcBorders>
              <w:top w:val="single" w:color="auto" w:sz="4" w:space="0"/>
            </w:tcBorders>
            <w:noWrap w:val="0"/>
            <w:vAlign w:val="top"/>
          </w:tcPr>
          <w:p w14:paraId="580B3CDC">
            <w:pPr>
              <w:spacing w:line="380" w:lineRule="atLeast"/>
              <w:jc w:val="center"/>
              <w:rPr>
                <w:rFonts w:ascii="宋体" w:hAnsi="宋体" w:cs="宋体"/>
                <w:b/>
                <w:color w:val="auto"/>
              </w:rPr>
            </w:pPr>
            <w:r>
              <w:rPr>
                <w:rFonts w:hint="eastAsia" w:ascii="宋体" w:hAnsi="宋体" w:cs="宋体"/>
                <w:b/>
                <w:color w:val="auto"/>
              </w:rPr>
              <w:t>评分因素与权重分值</w:t>
            </w:r>
          </w:p>
        </w:tc>
        <w:tc>
          <w:tcPr>
            <w:tcW w:w="3821" w:type="dxa"/>
            <w:vMerge w:val="restart"/>
            <w:tcBorders>
              <w:top w:val="single" w:color="auto" w:sz="4" w:space="0"/>
            </w:tcBorders>
            <w:noWrap w:val="0"/>
            <w:vAlign w:val="center"/>
          </w:tcPr>
          <w:p w14:paraId="2E66AE29">
            <w:pPr>
              <w:spacing w:line="380" w:lineRule="atLeast"/>
              <w:jc w:val="center"/>
              <w:rPr>
                <w:rFonts w:ascii="宋体" w:hAnsi="宋体" w:cs="宋体"/>
                <w:b/>
                <w:color w:val="auto"/>
              </w:rPr>
            </w:pPr>
            <w:r>
              <w:rPr>
                <w:rFonts w:hint="eastAsia" w:ascii="宋体" w:hAnsi="宋体" w:cs="宋体"/>
                <w:b/>
                <w:color w:val="auto"/>
              </w:rPr>
              <w:t>评分标准</w:t>
            </w:r>
          </w:p>
        </w:tc>
      </w:tr>
      <w:tr w14:paraId="016F2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923" w:type="dxa"/>
            <w:noWrap w:val="0"/>
            <w:vAlign w:val="center"/>
          </w:tcPr>
          <w:p w14:paraId="5C5C1F65">
            <w:pPr>
              <w:spacing w:line="380" w:lineRule="atLeast"/>
              <w:jc w:val="center"/>
              <w:rPr>
                <w:rFonts w:ascii="宋体" w:hAnsi="宋体" w:cs="宋体"/>
                <w:b/>
                <w:color w:val="auto"/>
              </w:rPr>
            </w:pPr>
            <w:r>
              <w:rPr>
                <w:rFonts w:hint="eastAsia" w:ascii="宋体" w:hAnsi="宋体" w:cs="宋体"/>
                <w:b/>
                <w:color w:val="auto"/>
              </w:rPr>
              <w:t>条款号</w:t>
            </w:r>
          </w:p>
        </w:tc>
        <w:tc>
          <w:tcPr>
            <w:tcW w:w="1173" w:type="dxa"/>
            <w:noWrap w:val="0"/>
            <w:vAlign w:val="center"/>
          </w:tcPr>
          <w:p w14:paraId="4CD43114">
            <w:pPr>
              <w:spacing w:line="380" w:lineRule="atLeast"/>
              <w:jc w:val="center"/>
              <w:rPr>
                <w:rFonts w:ascii="宋体" w:hAnsi="宋体" w:cs="宋体"/>
                <w:b/>
                <w:color w:val="auto"/>
              </w:rPr>
            </w:pPr>
            <w:r>
              <w:rPr>
                <w:rFonts w:hint="eastAsia" w:ascii="宋体" w:hAnsi="宋体" w:cs="宋体"/>
                <w:b/>
                <w:color w:val="auto"/>
              </w:rPr>
              <w:t>评分因素</w:t>
            </w:r>
          </w:p>
        </w:tc>
        <w:tc>
          <w:tcPr>
            <w:tcW w:w="919" w:type="dxa"/>
            <w:noWrap w:val="0"/>
            <w:vAlign w:val="center"/>
          </w:tcPr>
          <w:p w14:paraId="71AF56D6">
            <w:pPr>
              <w:spacing w:line="380" w:lineRule="atLeast"/>
              <w:ind w:left="-105" w:leftChars="-50" w:right="-105" w:rightChars="-50"/>
              <w:jc w:val="center"/>
              <w:rPr>
                <w:rFonts w:ascii="宋体" w:hAnsi="宋体" w:cs="宋体"/>
                <w:b/>
                <w:color w:val="auto"/>
              </w:rPr>
            </w:pPr>
            <w:r>
              <w:rPr>
                <w:rFonts w:hint="eastAsia" w:ascii="宋体" w:hAnsi="宋体" w:cs="宋体"/>
                <w:b/>
                <w:color w:val="auto"/>
              </w:rPr>
              <w:t>评分因素权重分值</w:t>
            </w:r>
          </w:p>
        </w:tc>
        <w:tc>
          <w:tcPr>
            <w:tcW w:w="1204" w:type="dxa"/>
            <w:noWrap w:val="0"/>
            <w:vAlign w:val="center"/>
          </w:tcPr>
          <w:p w14:paraId="71151324">
            <w:pPr>
              <w:spacing w:line="380" w:lineRule="atLeast"/>
              <w:jc w:val="center"/>
              <w:rPr>
                <w:rFonts w:ascii="宋体" w:hAnsi="宋体" w:cs="宋体"/>
                <w:b/>
                <w:color w:val="auto"/>
              </w:rPr>
            </w:pPr>
            <w:r>
              <w:rPr>
                <w:rFonts w:hint="eastAsia" w:ascii="宋体" w:hAnsi="宋体" w:cs="宋体"/>
                <w:b/>
                <w:color w:val="auto"/>
              </w:rPr>
              <w:t>各评分因素细分项</w:t>
            </w:r>
          </w:p>
        </w:tc>
        <w:tc>
          <w:tcPr>
            <w:tcW w:w="851" w:type="dxa"/>
            <w:noWrap w:val="0"/>
            <w:vAlign w:val="center"/>
          </w:tcPr>
          <w:p w14:paraId="3FC0787D">
            <w:pPr>
              <w:spacing w:line="380" w:lineRule="atLeast"/>
              <w:jc w:val="center"/>
              <w:rPr>
                <w:rFonts w:ascii="宋体" w:hAnsi="宋体" w:cs="宋体"/>
                <w:b/>
                <w:color w:val="auto"/>
              </w:rPr>
            </w:pPr>
            <w:r>
              <w:rPr>
                <w:rFonts w:hint="eastAsia" w:ascii="宋体" w:hAnsi="宋体" w:cs="宋体"/>
                <w:b/>
                <w:color w:val="auto"/>
              </w:rPr>
              <w:t>分值</w:t>
            </w:r>
          </w:p>
        </w:tc>
        <w:tc>
          <w:tcPr>
            <w:tcW w:w="3821" w:type="dxa"/>
            <w:vMerge w:val="continue"/>
            <w:noWrap w:val="0"/>
            <w:vAlign w:val="top"/>
          </w:tcPr>
          <w:p w14:paraId="41679D37">
            <w:pPr>
              <w:spacing w:line="380" w:lineRule="atLeast"/>
              <w:jc w:val="center"/>
              <w:rPr>
                <w:rFonts w:ascii="宋体" w:hAnsi="宋体" w:cs="宋体"/>
                <w:b/>
                <w:color w:val="auto"/>
              </w:rPr>
            </w:pPr>
          </w:p>
        </w:tc>
      </w:tr>
      <w:tr w14:paraId="7F2E2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923" w:type="dxa"/>
            <w:vMerge w:val="restart"/>
            <w:noWrap w:val="0"/>
            <w:vAlign w:val="center"/>
          </w:tcPr>
          <w:p w14:paraId="4B7FB086">
            <w:pPr>
              <w:spacing w:line="380" w:lineRule="atLeast"/>
              <w:jc w:val="center"/>
              <w:rPr>
                <w:rFonts w:ascii="宋体" w:hAnsi="宋体" w:cs="宋体"/>
                <w:color w:val="auto"/>
              </w:rPr>
            </w:pPr>
            <w:r>
              <w:rPr>
                <w:rFonts w:hint="eastAsia" w:ascii="宋体" w:hAnsi="宋体" w:cs="宋体"/>
                <w:color w:val="auto"/>
              </w:rPr>
              <w:t>2.2.4</w:t>
            </w:r>
          </w:p>
          <w:p w14:paraId="539B9B8D">
            <w:pPr>
              <w:spacing w:line="380" w:lineRule="atLeast"/>
              <w:jc w:val="center"/>
              <w:rPr>
                <w:rFonts w:ascii="宋体" w:hAnsi="宋体" w:cs="宋体"/>
                <w:color w:val="auto"/>
              </w:rPr>
            </w:pPr>
            <w:r>
              <w:rPr>
                <w:rFonts w:hint="eastAsia" w:ascii="宋体" w:hAnsi="宋体" w:cs="宋体"/>
                <w:color w:val="auto"/>
              </w:rPr>
              <w:t>(1)</w:t>
            </w:r>
          </w:p>
        </w:tc>
        <w:tc>
          <w:tcPr>
            <w:tcW w:w="1173" w:type="dxa"/>
            <w:vMerge w:val="restart"/>
            <w:noWrap w:val="0"/>
            <w:vAlign w:val="center"/>
          </w:tcPr>
          <w:p w14:paraId="2F63D0CC">
            <w:pPr>
              <w:spacing w:line="380" w:lineRule="atLeast"/>
              <w:jc w:val="center"/>
              <w:rPr>
                <w:rFonts w:hint="eastAsia" w:ascii="宋体" w:hAnsi="宋体" w:cs="宋体"/>
                <w:color w:val="auto"/>
              </w:rPr>
            </w:pPr>
            <w:r>
              <w:rPr>
                <w:rFonts w:hint="eastAsia" w:ascii="宋体" w:hAnsi="宋体" w:cs="宋体"/>
                <w:color w:val="auto"/>
              </w:rPr>
              <w:t>监理大纲</w:t>
            </w:r>
          </w:p>
        </w:tc>
        <w:tc>
          <w:tcPr>
            <w:tcW w:w="919" w:type="dxa"/>
            <w:vMerge w:val="restart"/>
            <w:noWrap w:val="0"/>
            <w:vAlign w:val="center"/>
          </w:tcPr>
          <w:p w14:paraId="413E25B7">
            <w:pPr>
              <w:spacing w:line="380" w:lineRule="atLeast"/>
              <w:jc w:val="center"/>
              <w:rPr>
                <w:rFonts w:ascii="宋体" w:hAnsi="宋体" w:cs="宋体"/>
                <w:color w:val="auto"/>
                <w:u w:val="single"/>
              </w:rPr>
            </w:pPr>
            <w:r>
              <w:rPr>
                <w:rFonts w:hint="eastAsia" w:ascii="宋体" w:hAnsi="宋体" w:cs="宋体"/>
                <w:color w:val="auto"/>
                <w:u w:val="single"/>
              </w:rPr>
              <w:t>40</w:t>
            </w:r>
            <w:r>
              <w:rPr>
                <w:rFonts w:hint="eastAsia" w:ascii="宋体" w:hAnsi="宋体" w:cs="宋体"/>
                <w:color w:val="auto"/>
              </w:rPr>
              <w:t>分</w:t>
            </w:r>
          </w:p>
        </w:tc>
        <w:tc>
          <w:tcPr>
            <w:tcW w:w="1204" w:type="dxa"/>
            <w:noWrap w:val="0"/>
            <w:vAlign w:val="center"/>
          </w:tcPr>
          <w:p w14:paraId="591C07B1">
            <w:pPr>
              <w:pStyle w:val="15"/>
              <w:spacing w:line="240" w:lineRule="auto"/>
              <w:rPr>
                <w:rFonts w:hint="eastAsia" w:ascii="宋体" w:hAnsi="宋体" w:eastAsia="宋体" w:cs="宋体"/>
                <w:color w:val="auto"/>
              </w:rPr>
            </w:pPr>
            <w:r>
              <w:rPr>
                <w:rFonts w:hint="eastAsia" w:ascii="宋体" w:hAnsi="宋体" w:eastAsia="宋体" w:cs="宋体"/>
                <w:color w:val="auto"/>
              </w:rPr>
              <w:t>主要监理岗位的配置和职责</w:t>
            </w:r>
          </w:p>
        </w:tc>
        <w:tc>
          <w:tcPr>
            <w:tcW w:w="851" w:type="dxa"/>
            <w:noWrap w:val="0"/>
            <w:vAlign w:val="center"/>
          </w:tcPr>
          <w:p w14:paraId="373411F1">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7D520253">
            <w:pPr>
              <w:rPr>
                <w:rFonts w:hint="eastAsia" w:ascii="宋体" w:hAnsi="宋体" w:cs="宋体"/>
                <w:color w:val="auto"/>
              </w:rPr>
            </w:pPr>
            <w:r>
              <w:rPr>
                <w:rFonts w:hint="eastAsia" w:ascii="宋体" w:hAnsi="宋体" w:cs="宋体"/>
                <w:color w:val="auto"/>
              </w:rPr>
              <w:t>总监理工程师、监理工程师及其它监理人员配备完整，设置合理，人员岗位、职责明确，项目部有从业资格证书的专业人员齐全。优3分，良（3-2.7]分，一般（2.7-2.4]分。缺少该项不得分。</w:t>
            </w:r>
          </w:p>
        </w:tc>
      </w:tr>
      <w:tr w14:paraId="4BC21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noWrap w:val="0"/>
            <w:vAlign w:val="center"/>
          </w:tcPr>
          <w:p w14:paraId="53F6D518">
            <w:pPr>
              <w:spacing w:line="380" w:lineRule="atLeast"/>
              <w:jc w:val="center"/>
              <w:rPr>
                <w:rFonts w:ascii="宋体" w:hAnsi="宋体" w:cs="宋体"/>
                <w:color w:val="auto"/>
              </w:rPr>
            </w:pPr>
          </w:p>
        </w:tc>
        <w:tc>
          <w:tcPr>
            <w:tcW w:w="1173" w:type="dxa"/>
            <w:vMerge w:val="continue"/>
            <w:noWrap w:val="0"/>
            <w:vAlign w:val="center"/>
          </w:tcPr>
          <w:p w14:paraId="0F4AD3E0">
            <w:pPr>
              <w:spacing w:line="380" w:lineRule="atLeast"/>
              <w:jc w:val="center"/>
              <w:rPr>
                <w:rFonts w:ascii="宋体" w:hAnsi="宋体" w:cs="宋体"/>
                <w:color w:val="auto"/>
              </w:rPr>
            </w:pPr>
          </w:p>
        </w:tc>
        <w:tc>
          <w:tcPr>
            <w:tcW w:w="919" w:type="dxa"/>
            <w:vMerge w:val="continue"/>
            <w:noWrap w:val="0"/>
            <w:vAlign w:val="center"/>
          </w:tcPr>
          <w:p w14:paraId="6EB5B0CC">
            <w:pPr>
              <w:spacing w:line="380" w:lineRule="atLeast"/>
              <w:jc w:val="right"/>
              <w:rPr>
                <w:rFonts w:ascii="宋体" w:hAnsi="宋体" w:cs="宋体"/>
                <w:color w:val="auto"/>
                <w:u w:val="single"/>
              </w:rPr>
            </w:pPr>
          </w:p>
        </w:tc>
        <w:tc>
          <w:tcPr>
            <w:tcW w:w="1204" w:type="dxa"/>
            <w:noWrap w:val="0"/>
            <w:vAlign w:val="center"/>
          </w:tcPr>
          <w:p w14:paraId="468C5A27">
            <w:pPr>
              <w:jc w:val="center"/>
              <w:rPr>
                <w:rFonts w:hint="eastAsia" w:ascii="宋体" w:hAnsi="宋体" w:cs="宋体"/>
                <w:color w:val="auto"/>
              </w:rPr>
            </w:pPr>
            <w:r>
              <w:rPr>
                <w:rFonts w:hint="eastAsia" w:ascii="宋体" w:hAnsi="宋体" w:cs="宋体"/>
                <w:color w:val="auto"/>
              </w:rPr>
              <w:t>本工程监理工作重难点分析与对策</w:t>
            </w:r>
          </w:p>
        </w:tc>
        <w:tc>
          <w:tcPr>
            <w:tcW w:w="851" w:type="dxa"/>
            <w:noWrap w:val="0"/>
            <w:vAlign w:val="center"/>
          </w:tcPr>
          <w:p w14:paraId="49B0492E">
            <w:pPr>
              <w:jc w:val="center"/>
              <w:rPr>
                <w:rFonts w:hint="eastAsia" w:ascii="宋体" w:hAnsi="宋体" w:cs="宋体"/>
                <w:color w:val="auto"/>
              </w:rPr>
            </w:pPr>
            <w:r>
              <w:rPr>
                <w:rFonts w:hint="eastAsia" w:ascii="宋体" w:hAnsi="宋体" w:cs="宋体"/>
                <w:color w:val="auto"/>
              </w:rPr>
              <w:t>4分</w:t>
            </w:r>
          </w:p>
        </w:tc>
        <w:tc>
          <w:tcPr>
            <w:tcW w:w="3821" w:type="dxa"/>
            <w:noWrap w:val="0"/>
            <w:vAlign w:val="center"/>
          </w:tcPr>
          <w:p w14:paraId="07F98326">
            <w:pPr>
              <w:pStyle w:val="16"/>
              <w:spacing w:line="240" w:lineRule="auto"/>
              <w:rPr>
                <w:rFonts w:hint="eastAsia" w:hAnsi="宋体" w:eastAsia="宋体" w:cs="宋体"/>
                <w:color w:val="auto"/>
                <w:sz w:val="21"/>
                <w:szCs w:val="21"/>
              </w:rPr>
            </w:pPr>
            <w:r>
              <w:rPr>
                <w:rFonts w:hint="eastAsia" w:hAnsi="宋体" w:eastAsia="宋体" w:cs="宋体"/>
                <w:color w:val="auto"/>
                <w:sz w:val="21"/>
                <w:szCs w:val="21"/>
              </w:rPr>
              <w:t>对监理内容理解全面，对项目的重点、难点认识充分，措施得当，方案切实可行，安排周密。优4分，良（4-3.6]分，差（3.6-3.2]分。缺少该项不得分。</w:t>
            </w:r>
          </w:p>
        </w:tc>
      </w:tr>
      <w:tr w14:paraId="7C6C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noWrap w:val="0"/>
            <w:vAlign w:val="center"/>
          </w:tcPr>
          <w:p w14:paraId="2E53DF27">
            <w:pPr>
              <w:spacing w:line="380" w:lineRule="atLeast"/>
              <w:jc w:val="center"/>
              <w:rPr>
                <w:rFonts w:ascii="宋体" w:hAnsi="宋体" w:cs="宋体"/>
                <w:color w:val="auto"/>
              </w:rPr>
            </w:pPr>
          </w:p>
        </w:tc>
        <w:tc>
          <w:tcPr>
            <w:tcW w:w="1173" w:type="dxa"/>
            <w:vMerge w:val="continue"/>
            <w:noWrap w:val="0"/>
            <w:vAlign w:val="center"/>
          </w:tcPr>
          <w:p w14:paraId="112D7D6C">
            <w:pPr>
              <w:spacing w:line="380" w:lineRule="atLeast"/>
              <w:jc w:val="center"/>
              <w:rPr>
                <w:rFonts w:ascii="宋体" w:hAnsi="宋体" w:cs="宋体"/>
                <w:color w:val="auto"/>
              </w:rPr>
            </w:pPr>
          </w:p>
        </w:tc>
        <w:tc>
          <w:tcPr>
            <w:tcW w:w="919" w:type="dxa"/>
            <w:vMerge w:val="continue"/>
            <w:noWrap w:val="0"/>
            <w:vAlign w:val="center"/>
          </w:tcPr>
          <w:p w14:paraId="10FCBA70">
            <w:pPr>
              <w:spacing w:line="380" w:lineRule="atLeast"/>
              <w:jc w:val="right"/>
              <w:rPr>
                <w:rFonts w:ascii="宋体" w:hAnsi="宋体" w:cs="宋体"/>
                <w:color w:val="auto"/>
                <w:u w:val="single"/>
              </w:rPr>
            </w:pPr>
          </w:p>
        </w:tc>
        <w:tc>
          <w:tcPr>
            <w:tcW w:w="1204" w:type="dxa"/>
            <w:noWrap w:val="0"/>
            <w:vAlign w:val="center"/>
          </w:tcPr>
          <w:p w14:paraId="20A1208A">
            <w:pPr>
              <w:jc w:val="center"/>
              <w:rPr>
                <w:rFonts w:hint="eastAsia" w:ascii="宋体" w:hAnsi="宋体" w:cs="宋体"/>
                <w:color w:val="auto"/>
              </w:rPr>
            </w:pPr>
            <w:r>
              <w:rPr>
                <w:rFonts w:hint="eastAsia" w:ascii="宋体" w:hAnsi="宋体" w:cs="宋体"/>
                <w:color w:val="auto"/>
              </w:rPr>
              <w:t>质量控制措施</w:t>
            </w:r>
          </w:p>
        </w:tc>
        <w:tc>
          <w:tcPr>
            <w:tcW w:w="851" w:type="dxa"/>
            <w:noWrap w:val="0"/>
            <w:vAlign w:val="center"/>
          </w:tcPr>
          <w:p w14:paraId="4C504B6C">
            <w:pPr>
              <w:jc w:val="center"/>
              <w:rPr>
                <w:rFonts w:hint="eastAsia" w:ascii="宋体" w:hAnsi="宋体" w:cs="宋体"/>
                <w:color w:val="auto"/>
                <w:u w:val="single"/>
              </w:rPr>
            </w:pPr>
            <w:r>
              <w:rPr>
                <w:rFonts w:hint="eastAsia" w:ascii="宋体" w:hAnsi="宋体" w:cs="宋体"/>
                <w:color w:val="auto"/>
              </w:rPr>
              <w:t xml:space="preserve"> 3 分</w:t>
            </w:r>
          </w:p>
        </w:tc>
        <w:tc>
          <w:tcPr>
            <w:tcW w:w="3821" w:type="dxa"/>
            <w:noWrap w:val="0"/>
            <w:vAlign w:val="center"/>
          </w:tcPr>
          <w:p w14:paraId="3315C68E">
            <w:pPr>
              <w:topLinePunct/>
              <w:autoSpaceDE w:val="0"/>
              <w:autoSpaceDN w:val="0"/>
              <w:adjustRightInd w:val="0"/>
              <w:snapToGrid w:val="0"/>
              <w:rPr>
                <w:rFonts w:hint="eastAsia" w:ascii="宋体" w:hAnsi="宋体" w:cs="宋体"/>
                <w:color w:val="auto"/>
              </w:rPr>
            </w:pPr>
            <w:r>
              <w:rPr>
                <w:rFonts w:hint="eastAsia" w:ascii="宋体" w:hAnsi="宋体" w:cs="宋体"/>
                <w:color w:val="auto"/>
              </w:rPr>
              <w:t>有全面质量的控制措施，措施得当，有效，具有针对性。优3分，良（3-2.7]分，一般（2.7-2.4]分。缺少该项不得分。</w:t>
            </w:r>
          </w:p>
        </w:tc>
      </w:tr>
      <w:tr w14:paraId="754A3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noWrap w:val="0"/>
            <w:vAlign w:val="center"/>
          </w:tcPr>
          <w:p w14:paraId="6EAE5F21">
            <w:pPr>
              <w:spacing w:line="380" w:lineRule="atLeast"/>
              <w:jc w:val="center"/>
              <w:rPr>
                <w:rFonts w:ascii="宋体" w:hAnsi="宋体" w:cs="宋体"/>
                <w:color w:val="auto"/>
              </w:rPr>
            </w:pPr>
          </w:p>
        </w:tc>
        <w:tc>
          <w:tcPr>
            <w:tcW w:w="1173" w:type="dxa"/>
            <w:vMerge w:val="continue"/>
            <w:noWrap w:val="0"/>
            <w:vAlign w:val="center"/>
          </w:tcPr>
          <w:p w14:paraId="78251B65">
            <w:pPr>
              <w:spacing w:line="380" w:lineRule="atLeast"/>
              <w:jc w:val="center"/>
              <w:rPr>
                <w:rFonts w:ascii="宋体" w:hAnsi="宋体" w:cs="宋体"/>
                <w:color w:val="auto"/>
              </w:rPr>
            </w:pPr>
          </w:p>
        </w:tc>
        <w:tc>
          <w:tcPr>
            <w:tcW w:w="919" w:type="dxa"/>
            <w:vMerge w:val="continue"/>
            <w:noWrap w:val="0"/>
            <w:vAlign w:val="center"/>
          </w:tcPr>
          <w:p w14:paraId="3610E3C2">
            <w:pPr>
              <w:spacing w:line="380" w:lineRule="atLeast"/>
              <w:jc w:val="right"/>
              <w:rPr>
                <w:rFonts w:ascii="宋体" w:hAnsi="宋体" w:cs="宋体"/>
                <w:color w:val="auto"/>
                <w:u w:val="single"/>
              </w:rPr>
            </w:pPr>
          </w:p>
        </w:tc>
        <w:tc>
          <w:tcPr>
            <w:tcW w:w="1204" w:type="dxa"/>
            <w:noWrap w:val="0"/>
            <w:vAlign w:val="center"/>
          </w:tcPr>
          <w:p w14:paraId="5BA13EF4">
            <w:pPr>
              <w:jc w:val="center"/>
              <w:rPr>
                <w:rFonts w:hint="eastAsia" w:ascii="宋体" w:hAnsi="宋体" w:cs="宋体"/>
                <w:color w:val="auto"/>
              </w:rPr>
            </w:pPr>
            <w:r>
              <w:rPr>
                <w:rFonts w:hint="eastAsia" w:ascii="宋体" w:hAnsi="宋体" w:cs="宋体"/>
                <w:color w:val="auto"/>
              </w:rPr>
              <w:t>进度控制措施</w:t>
            </w:r>
          </w:p>
        </w:tc>
        <w:tc>
          <w:tcPr>
            <w:tcW w:w="851" w:type="dxa"/>
            <w:noWrap w:val="0"/>
            <w:vAlign w:val="center"/>
          </w:tcPr>
          <w:p w14:paraId="711A05DA">
            <w:pPr>
              <w:jc w:val="center"/>
              <w:rPr>
                <w:rFonts w:hint="eastAsia" w:ascii="宋体" w:hAnsi="宋体" w:cs="宋体"/>
                <w:color w:val="auto"/>
                <w:u w:val="single"/>
              </w:rPr>
            </w:pPr>
            <w:r>
              <w:rPr>
                <w:rFonts w:hint="eastAsia" w:ascii="宋体" w:hAnsi="宋体" w:cs="宋体"/>
                <w:color w:val="auto"/>
              </w:rPr>
              <w:t>3分</w:t>
            </w:r>
          </w:p>
        </w:tc>
        <w:tc>
          <w:tcPr>
            <w:tcW w:w="3821" w:type="dxa"/>
            <w:noWrap w:val="0"/>
            <w:vAlign w:val="center"/>
          </w:tcPr>
          <w:p w14:paraId="13BCAFC0">
            <w:pPr>
              <w:topLinePunct/>
              <w:autoSpaceDE w:val="0"/>
              <w:autoSpaceDN w:val="0"/>
              <w:adjustRightInd w:val="0"/>
              <w:snapToGrid w:val="0"/>
              <w:rPr>
                <w:rFonts w:hint="eastAsia" w:ascii="宋体" w:hAnsi="宋体" w:cs="宋体"/>
                <w:color w:val="auto"/>
              </w:rPr>
            </w:pPr>
            <w:r>
              <w:rPr>
                <w:rFonts w:hint="eastAsia" w:ascii="宋体" w:hAnsi="宋体" w:cs="宋体"/>
                <w:color w:val="auto"/>
              </w:rPr>
              <w:t>控制方案明确、科学、合理、可行。优3分，良（3-2.7]分，一般（2.7-2.4]分。缺少该项不得分。</w:t>
            </w:r>
          </w:p>
        </w:tc>
      </w:tr>
      <w:tr w14:paraId="18ED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10E7383A">
            <w:pPr>
              <w:spacing w:line="380" w:lineRule="atLeast"/>
              <w:jc w:val="center"/>
              <w:rPr>
                <w:rFonts w:ascii="宋体" w:hAnsi="宋体" w:cs="宋体"/>
                <w:color w:val="auto"/>
              </w:rPr>
            </w:pPr>
          </w:p>
        </w:tc>
        <w:tc>
          <w:tcPr>
            <w:tcW w:w="1173" w:type="dxa"/>
            <w:vMerge w:val="continue"/>
            <w:noWrap w:val="0"/>
            <w:vAlign w:val="center"/>
          </w:tcPr>
          <w:p w14:paraId="6C4B3E3C">
            <w:pPr>
              <w:spacing w:line="380" w:lineRule="atLeast"/>
              <w:jc w:val="center"/>
              <w:rPr>
                <w:rFonts w:ascii="宋体" w:hAnsi="宋体" w:cs="宋体"/>
                <w:color w:val="auto"/>
              </w:rPr>
            </w:pPr>
          </w:p>
        </w:tc>
        <w:tc>
          <w:tcPr>
            <w:tcW w:w="919" w:type="dxa"/>
            <w:vMerge w:val="continue"/>
            <w:noWrap w:val="0"/>
            <w:vAlign w:val="center"/>
          </w:tcPr>
          <w:p w14:paraId="5DAC0FAA">
            <w:pPr>
              <w:spacing w:line="380" w:lineRule="atLeast"/>
              <w:jc w:val="right"/>
              <w:rPr>
                <w:rFonts w:ascii="宋体" w:hAnsi="宋体" w:cs="宋体"/>
                <w:color w:val="auto"/>
                <w:u w:val="single"/>
              </w:rPr>
            </w:pPr>
          </w:p>
        </w:tc>
        <w:tc>
          <w:tcPr>
            <w:tcW w:w="1204" w:type="dxa"/>
            <w:noWrap w:val="0"/>
            <w:vAlign w:val="center"/>
          </w:tcPr>
          <w:p w14:paraId="40A422DE">
            <w:pPr>
              <w:jc w:val="center"/>
              <w:rPr>
                <w:rFonts w:hint="eastAsia" w:ascii="宋体" w:hAnsi="宋体" w:cs="宋体"/>
                <w:color w:val="auto"/>
              </w:rPr>
            </w:pPr>
            <w:r>
              <w:rPr>
                <w:rFonts w:hint="eastAsia" w:ascii="宋体" w:hAnsi="宋体" w:cs="宋体"/>
                <w:color w:val="auto"/>
              </w:rPr>
              <w:t>造价控制措施</w:t>
            </w:r>
          </w:p>
        </w:tc>
        <w:tc>
          <w:tcPr>
            <w:tcW w:w="851" w:type="dxa"/>
            <w:noWrap w:val="0"/>
            <w:vAlign w:val="center"/>
          </w:tcPr>
          <w:p w14:paraId="58A70336">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51F8ADA0">
            <w:pPr>
              <w:topLinePunct/>
              <w:autoSpaceDE w:val="0"/>
              <w:autoSpaceDN w:val="0"/>
              <w:adjustRightInd w:val="0"/>
              <w:snapToGrid w:val="0"/>
              <w:rPr>
                <w:rFonts w:hint="eastAsia" w:ascii="宋体" w:hAnsi="宋体" w:cs="宋体"/>
                <w:color w:val="auto"/>
              </w:rPr>
            </w:pPr>
            <w:r>
              <w:rPr>
                <w:rFonts w:hint="eastAsia" w:ascii="宋体" w:hAnsi="宋体" w:cs="宋体"/>
                <w:color w:val="auto"/>
              </w:rPr>
              <w:t>控制措施明确、科学、合理、可行。优3分，良（3-2.7]分，一般（2.7-2.4]分。缺少该项不得分。</w:t>
            </w:r>
          </w:p>
        </w:tc>
      </w:tr>
      <w:tr w14:paraId="3C461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1F1E8ABE">
            <w:pPr>
              <w:spacing w:line="380" w:lineRule="atLeast"/>
              <w:jc w:val="center"/>
              <w:rPr>
                <w:rFonts w:ascii="宋体" w:hAnsi="宋体" w:cs="宋体"/>
                <w:color w:val="auto"/>
              </w:rPr>
            </w:pPr>
          </w:p>
        </w:tc>
        <w:tc>
          <w:tcPr>
            <w:tcW w:w="1173" w:type="dxa"/>
            <w:vMerge w:val="continue"/>
            <w:noWrap w:val="0"/>
            <w:vAlign w:val="center"/>
          </w:tcPr>
          <w:p w14:paraId="3DBB69EF">
            <w:pPr>
              <w:spacing w:line="380" w:lineRule="atLeast"/>
              <w:jc w:val="center"/>
              <w:rPr>
                <w:rFonts w:ascii="宋体" w:hAnsi="宋体" w:cs="宋体"/>
                <w:color w:val="auto"/>
              </w:rPr>
            </w:pPr>
          </w:p>
        </w:tc>
        <w:tc>
          <w:tcPr>
            <w:tcW w:w="919" w:type="dxa"/>
            <w:vMerge w:val="continue"/>
            <w:noWrap w:val="0"/>
            <w:vAlign w:val="center"/>
          </w:tcPr>
          <w:p w14:paraId="5499D093">
            <w:pPr>
              <w:spacing w:line="380" w:lineRule="atLeast"/>
              <w:jc w:val="right"/>
              <w:rPr>
                <w:rFonts w:ascii="宋体" w:hAnsi="宋体" w:cs="宋体"/>
                <w:color w:val="auto"/>
                <w:u w:val="single"/>
              </w:rPr>
            </w:pPr>
          </w:p>
        </w:tc>
        <w:tc>
          <w:tcPr>
            <w:tcW w:w="1204" w:type="dxa"/>
            <w:noWrap w:val="0"/>
            <w:vAlign w:val="center"/>
          </w:tcPr>
          <w:p w14:paraId="6C44B3EC">
            <w:pPr>
              <w:jc w:val="center"/>
              <w:rPr>
                <w:rFonts w:hint="eastAsia" w:ascii="宋体" w:hAnsi="宋体" w:cs="宋体"/>
                <w:color w:val="auto"/>
              </w:rPr>
            </w:pPr>
            <w:r>
              <w:rPr>
                <w:rFonts w:hint="eastAsia" w:ascii="宋体" w:hAnsi="宋体" w:cs="宋体"/>
                <w:color w:val="auto"/>
              </w:rPr>
              <w:t>合同信息管理</w:t>
            </w:r>
          </w:p>
          <w:p w14:paraId="7BEF8F13">
            <w:pPr>
              <w:jc w:val="center"/>
              <w:rPr>
                <w:rFonts w:hint="eastAsia" w:ascii="宋体" w:hAnsi="宋体" w:cs="宋体"/>
                <w:color w:val="auto"/>
              </w:rPr>
            </w:pPr>
            <w:r>
              <w:rPr>
                <w:rFonts w:hint="eastAsia" w:ascii="宋体" w:hAnsi="宋体" w:cs="宋体"/>
                <w:color w:val="auto"/>
              </w:rPr>
              <w:t>措施</w:t>
            </w:r>
          </w:p>
        </w:tc>
        <w:tc>
          <w:tcPr>
            <w:tcW w:w="851" w:type="dxa"/>
            <w:noWrap w:val="0"/>
            <w:vAlign w:val="center"/>
          </w:tcPr>
          <w:p w14:paraId="2ED6F8F6">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0F8C2AC6">
            <w:pPr>
              <w:topLinePunct/>
              <w:autoSpaceDE w:val="0"/>
              <w:autoSpaceDN w:val="0"/>
              <w:adjustRightInd w:val="0"/>
              <w:snapToGrid w:val="0"/>
              <w:rPr>
                <w:rFonts w:hint="eastAsia" w:ascii="宋体" w:hAnsi="宋体" w:cs="宋体"/>
                <w:color w:val="auto"/>
              </w:rPr>
            </w:pPr>
            <w:r>
              <w:rPr>
                <w:rFonts w:hint="eastAsia" w:ascii="宋体" w:hAnsi="宋体" w:cs="宋体"/>
                <w:color w:val="auto"/>
              </w:rPr>
              <w:t>程序完整、方法科学、控制措施可行性强。优3分，良（3-2.7]分，一般（2.7-2.4]分。缺少该项不得分。</w:t>
            </w:r>
          </w:p>
        </w:tc>
      </w:tr>
      <w:tr w14:paraId="39BC0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2CF05FE9">
            <w:pPr>
              <w:spacing w:line="380" w:lineRule="atLeast"/>
              <w:jc w:val="center"/>
              <w:rPr>
                <w:rFonts w:ascii="宋体" w:hAnsi="宋体" w:cs="宋体"/>
                <w:color w:val="auto"/>
              </w:rPr>
            </w:pPr>
          </w:p>
        </w:tc>
        <w:tc>
          <w:tcPr>
            <w:tcW w:w="1173" w:type="dxa"/>
            <w:vMerge w:val="continue"/>
            <w:noWrap w:val="0"/>
            <w:vAlign w:val="center"/>
          </w:tcPr>
          <w:p w14:paraId="0782B3EA">
            <w:pPr>
              <w:spacing w:line="380" w:lineRule="atLeast"/>
              <w:jc w:val="center"/>
              <w:rPr>
                <w:rFonts w:ascii="宋体" w:hAnsi="宋体" w:cs="宋体"/>
                <w:color w:val="auto"/>
              </w:rPr>
            </w:pPr>
          </w:p>
        </w:tc>
        <w:tc>
          <w:tcPr>
            <w:tcW w:w="919" w:type="dxa"/>
            <w:vMerge w:val="continue"/>
            <w:noWrap w:val="0"/>
            <w:vAlign w:val="center"/>
          </w:tcPr>
          <w:p w14:paraId="15ED269F">
            <w:pPr>
              <w:spacing w:line="380" w:lineRule="atLeast"/>
              <w:jc w:val="right"/>
              <w:rPr>
                <w:rFonts w:ascii="宋体" w:hAnsi="宋体" w:cs="宋体"/>
                <w:color w:val="auto"/>
                <w:u w:val="single"/>
              </w:rPr>
            </w:pPr>
          </w:p>
        </w:tc>
        <w:tc>
          <w:tcPr>
            <w:tcW w:w="1204" w:type="dxa"/>
            <w:noWrap w:val="0"/>
            <w:vAlign w:val="center"/>
          </w:tcPr>
          <w:p w14:paraId="73CEA70F">
            <w:pPr>
              <w:jc w:val="center"/>
              <w:rPr>
                <w:rFonts w:hint="eastAsia" w:ascii="宋体" w:hAnsi="宋体" w:cs="宋体"/>
                <w:color w:val="auto"/>
              </w:rPr>
            </w:pPr>
            <w:r>
              <w:rPr>
                <w:rFonts w:hint="eastAsia" w:ascii="宋体" w:hAnsi="宋体" w:cs="宋体"/>
                <w:color w:val="auto"/>
              </w:rPr>
              <w:t>安全文明施工控制措施</w:t>
            </w:r>
          </w:p>
        </w:tc>
        <w:tc>
          <w:tcPr>
            <w:tcW w:w="851" w:type="dxa"/>
            <w:noWrap w:val="0"/>
            <w:vAlign w:val="center"/>
          </w:tcPr>
          <w:p w14:paraId="6727B3C8">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2B3E6ED5">
            <w:pPr>
              <w:topLinePunct/>
              <w:autoSpaceDE w:val="0"/>
              <w:autoSpaceDN w:val="0"/>
              <w:adjustRightInd w:val="0"/>
              <w:snapToGrid w:val="0"/>
              <w:rPr>
                <w:rFonts w:hint="eastAsia" w:ascii="宋体" w:hAnsi="宋体" w:cs="宋体"/>
                <w:color w:val="auto"/>
              </w:rPr>
            </w:pPr>
            <w:r>
              <w:rPr>
                <w:rFonts w:hint="eastAsia" w:ascii="宋体" w:hAnsi="宋体" w:cs="宋体"/>
                <w:color w:val="auto"/>
              </w:rPr>
              <w:t>控制措施明确、科学、合理、可行。优3分，良（3-2.7]分，一般（2.7-2.4]分。缺少该项不得分。</w:t>
            </w:r>
          </w:p>
        </w:tc>
      </w:tr>
      <w:tr w14:paraId="03A37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56CB2EE2">
            <w:pPr>
              <w:spacing w:line="380" w:lineRule="atLeast"/>
              <w:jc w:val="center"/>
              <w:rPr>
                <w:rFonts w:ascii="宋体" w:hAnsi="宋体" w:cs="宋体"/>
                <w:color w:val="auto"/>
              </w:rPr>
            </w:pPr>
          </w:p>
        </w:tc>
        <w:tc>
          <w:tcPr>
            <w:tcW w:w="1173" w:type="dxa"/>
            <w:vMerge w:val="continue"/>
            <w:noWrap w:val="0"/>
            <w:vAlign w:val="center"/>
          </w:tcPr>
          <w:p w14:paraId="7673C8E3">
            <w:pPr>
              <w:spacing w:line="380" w:lineRule="atLeast"/>
              <w:jc w:val="center"/>
              <w:rPr>
                <w:rFonts w:ascii="宋体" w:hAnsi="宋体" w:cs="宋体"/>
                <w:color w:val="auto"/>
              </w:rPr>
            </w:pPr>
          </w:p>
        </w:tc>
        <w:tc>
          <w:tcPr>
            <w:tcW w:w="919" w:type="dxa"/>
            <w:vMerge w:val="continue"/>
            <w:noWrap w:val="0"/>
            <w:vAlign w:val="center"/>
          </w:tcPr>
          <w:p w14:paraId="43F4CDA4">
            <w:pPr>
              <w:spacing w:line="380" w:lineRule="atLeast"/>
              <w:jc w:val="right"/>
              <w:rPr>
                <w:rFonts w:ascii="宋体" w:hAnsi="宋体" w:cs="宋体"/>
                <w:color w:val="auto"/>
                <w:u w:val="single"/>
              </w:rPr>
            </w:pPr>
          </w:p>
        </w:tc>
        <w:tc>
          <w:tcPr>
            <w:tcW w:w="1204" w:type="dxa"/>
            <w:noWrap w:val="0"/>
            <w:vAlign w:val="center"/>
          </w:tcPr>
          <w:p w14:paraId="684ED7B8">
            <w:pPr>
              <w:jc w:val="center"/>
              <w:rPr>
                <w:rFonts w:hint="eastAsia" w:ascii="宋体" w:hAnsi="宋体" w:cs="宋体"/>
                <w:color w:val="auto"/>
              </w:rPr>
            </w:pPr>
            <w:r>
              <w:rPr>
                <w:rFonts w:hint="eastAsia" w:ascii="宋体" w:hAnsi="宋体" w:cs="宋体"/>
                <w:color w:val="auto"/>
              </w:rPr>
              <w:t>施工环境监理</w:t>
            </w:r>
          </w:p>
        </w:tc>
        <w:tc>
          <w:tcPr>
            <w:tcW w:w="851" w:type="dxa"/>
            <w:noWrap w:val="0"/>
            <w:vAlign w:val="center"/>
          </w:tcPr>
          <w:p w14:paraId="7FC78702">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63BF5950">
            <w:pPr>
              <w:snapToGrid w:val="0"/>
              <w:jc w:val="left"/>
              <w:rPr>
                <w:rFonts w:hint="eastAsia" w:ascii="宋体" w:hAnsi="宋体" w:cs="宋体"/>
                <w:color w:val="auto"/>
              </w:rPr>
            </w:pPr>
            <w:r>
              <w:rPr>
                <w:rFonts w:hint="eastAsia" w:ascii="宋体" w:hAnsi="宋体" w:cs="宋体"/>
                <w:color w:val="auto"/>
              </w:rPr>
              <w:t>程序完整，方案明确、科学、合理，措施有针对性。优3分，良（3-2.7]分，一般（2.7-2.4]分。缺少该项不得分。</w:t>
            </w:r>
          </w:p>
        </w:tc>
      </w:tr>
      <w:tr w14:paraId="1D2D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4C7B459E">
            <w:pPr>
              <w:spacing w:line="380" w:lineRule="atLeast"/>
              <w:jc w:val="center"/>
              <w:rPr>
                <w:rFonts w:ascii="宋体" w:hAnsi="宋体" w:cs="宋体"/>
                <w:color w:val="auto"/>
              </w:rPr>
            </w:pPr>
          </w:p>
        </w:tc>
        <w:tc>
          <w:tcPr>
            <w:tcW w:w="1173" w:type="dxa"/>
            <w:vMerge w:val="continue"/>
            <w:noWrap w:val="0"/>
            <w:vAlign w:val="center"/>
          </w:tcPr>
          <w:p w14:paraId="4884958D">
            <w:pPr>
              <w:spacing w:line="380" w:lineRule="atLeast"/>
              <w:jc w:val="center"/>
              <w:rPr>
                <w:rFonts w:ascii="宋体" w:hAnsi="宋体" w:cs="宋体"/>
                <w:color w:val="auto"/>
              </w:rPr>
            </w:pPr>
          </w:p>
        </w:tc>
        <w:tc>
          <w:tcPr>
            <w:tcW w:w="919" w:type="dxa"/>
            <w:vMerge w:val="continue"/>
            <w:noWrap w:val="0"/>
            <w:vAlign w:val="center"/>
          </w:tcPr>
          <w:p w14:paraId="1F46DE9C">
            <w:pPr>
              <w:spacing w:line="380" w:lineRule="atLeast"/>
              <w:jc w:val="right"/>
              <w:rPr>
                <w:rFonts w:ascii="宋体" w:hAnsi="宋体" w:cs="宋体"/>
                <w:color w:val="auto"/>
                <w:u w:val="single"/>
              </w:rPr>
            </w:pPr>
          </w:p>
        </w:tc>
        <w:tc>
          <w:tcPr>
            <w:tcW w:w="1204" w:type="dxa"/>
            <w:noWrap w:val="0"/>
            <w:vAlign w:val="center"/>
          </w:tcPr>
          <w:p w14:paraId="57B6DD93">
            <w:pPr>
              <w:jc w:val="center"/>
              <w:rPr>
                <w:rFonts w:hint="eastAsia" w:ascii="宋体" w:hAnsi="宋体" w:cs="宋体"/>
                <w:color w:val="auto"/>
              </w:rPr>
            </w:pPr>
            <w:r>
              <w:rPr>
                <w:rFonts w:hint="eastAsia" w:ascii="宋体" w:hAnsi="宋体" w:cs="宋体"/>
                <w:color w:val="auto"/>
              </w:rPr>
              <w:t>疏浚土处理监督管理</w:t>
            </w:r>
          </w:p>
        </w:tc>
        <w:tc>
          <w:tcPr>
            <w:tcW w:w="851" w:type="dxa"/>
            <w:noWrap w:val="0"/>
            <w:vAlign w:val="center"/>
          </w:tcPr>
          <w:p w14:paraId="43828889">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31CE96F9">
            <w:pPr>
              <w:snapToGrid w:val="0"/>
              <w:jc w:val="left"/>
              <w:rPr>
                <w:rFonts w:hint="eastAsia" w:ascii="宋体" w:hAnsi="宋体" w:cs="宋体"/>
                <w:color w:val="auto"/>
              </w:rPr>
            </w:pPr>
            <w:r>
              <w:rPr>
                <w:rFonts w:hint="eastAsia" w:ascii="宋体" w:hAnsi="宋体" w:cs="宋体"/>
                <w:color w:val="auto"/>
              </w:rPr>
              <w:t>疏浚土处理管理措施的合理性、有效性，船舶运输轨迹、艘次、抛泥记录等监督措施是否合理可行，施工全过程跟船旁站监理人员安排是否合理，优3分，良（3-2.7]分，一般（2.7-2.4]分。缺少该项不得分。</w:t>
            </w:r>
          </w:p>
        </w:tc>
      </w:tr>
      <w:tr w14:paraId="2C405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2F8DC64C">
            <w:pPr>
              <w:spacing w:line="380" w:lineRule="atLeast"/>
              <w:jc w:val="center"/>
              <w:rPr>
                <w:rFonts w:ascii="宋体" w:hAnsi="宋体" w:cs="宋体"/>
                <w:color w:val="auto"/>
              </w:rPr>
            </w:pPr>
          </w:p>
        </w:tc>
        <w:tc>
          <w:tcPr>
            <w:tcW w:w="1173" w:type="dxa"/>
            <w:vMerge w:val="continue"/>
            <w:noWrap w:val="0"/>
            <w:vAlign w:val="center"/>
          </w:tcPr>
          <w:p w14:paraId="40D49298">
            <w:pPr>
              <w:spacing w:line="380" w:lineRule="atLeast"/>
              <w:jc w:val="center"/>
              <w:rPr>
                <w:rFonts w:ascii="宋体" w:hAnsi="宋体" w:cs="宋体"/>
                <w:color w:val="auto"/>
              </w:rPr>
            </w:pPr>
          </w:p>
        </w:tc>
        <w:tc>
          <w:tcPr>
            <w:tcW w:w="919" w:type="dxa"/>
            <w:vMerge w:val="continue"/>
            <w:noWrap w:val="0"/>
            <w:vAlign w:val="center"/>
          </w:tcPr>
          <w:p w14:paraId="0B37900A">
            <w:pPr>
              <w:spacing w:line="380" w:lineRule="atLeast"/>
              <w:jc w:val="right"/>
              <w:rPr>
                <w:rFonts w:ascii="宋体" w:hAnsi="宋体" w:cs="宋体"/>
                <w:color w:val="auto"/>
                <w:u w:val="single"/>
              </w:rPr>
            </w:pPr>
          </w:p>
        </w:tc>
        <w:tc>
          <w:tcPr>
            <w:tcW w:w="1204" w:type="dxa"/>
            <w:noWrap w:val="0"/>
            <w:vAlign w:val="center"/>
          </w:tcPr>
          <w:p w14:paraId="18BFDC1A">
            <w:pPr>
              <w:jc w:val="center"/>
              <w:rPr>
                <w:rFonts w:hint="eastAsia" w:ascii="宋体" w:hAnsi="宋体" w:cs="宋体"/>
                <w:color w:val="auto"/>
              </w:rPr>
            </w:pPr>
            <w:r>
              <w:rPr>
                <w:rFonts w:hint="eastAsia" w:ascii="宋体" w:hAnsi="宋体" w:cs="宋体"/>
                <w:color w:val="auto"/>
              </w:rPr>
              <w:t>合同管理</w:t>
            </w:r>
          </w:p>
        </w:tc>
        <w:tc>
          <w:tcPr>
            <w:tcW w:w="851" w:type="dxa"/>
            <w:noWrap w:val="0"/>
            <w:vAlign w:val="center"/>
          </w:tcPr>
          <w:p w14:paraId="112258C5">
            <w:pPr>
              <w:jc w:val="center"/>
              <w:rPr>
                <w:rFonts w:hint="eastAsia" w:ascii="宋体" w:hAnsi="宋体" w:cs="宋体"/>
                <w:color w:val="auto"/>
              </w:rPr>
            </w:pPr>
            <w:r>
              <w:rPr>
                <w:rFonts w:hint="eastAsia" w:ascii="宋体" w:hAnsi="宋体" w:cs="宋体"/>
                <w:color w:val="auto"/>
              </w:rPr>
              <w:t>3分</w:t>
            </w:r>
          </w:p>
        </w:tc>
        <w:tc>
          <w:tcPr>
            <w:tcW w:w="3821" w:type="dxa"/>
            <w:noWrap w:val="0"/>
            <w:vAlign w:val="center"/>
          </w:tcPr>
          <w:p w14:paraId="477E69A9">
            <w:pPr>
              <w:snapToGrid w:val="0"/>
              <w:jc w:val="left"/>
              <w:rPr>
                <w:rFonts w:hint="eastAsia" w:ascii="宋体" w:hAnsi="宋体" w:cs="宋体"/>
                <w:color w:val="auto"/>
              </w:rPr>
            </w:pPr>
            <w:r>
              <w:rPr>
                <w:rFonts w:hint="eastAsia" w:ascii="宋体" w:hAnsi="宋体" w:cs="宋体"/>
                <w:color w:val="auto"/>
              </w:rPr>
              <w:t>管理方法合理有效、措施有针对性。优3分，良（3-2.7]分，一般（2.7-2.4]分。缺少该项不得分。</w:t>
            </w:r>
          </w:p>
        </w:tc>
      </w:tr>
      <w:tr w14:paraId="3212F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7E8D3AC9">
            <w:pPr>
              <w:pStyle w:val="5"/>
              <w:rPr>
                <w:color w:val="auto"/>
              </w:rPr>
            </w:pPr>
          </w:p>
        </w:tc>
        <w:tc>
          <w:tcPr>
            <w:tcW w:w="1173" w:type="dxa"/>
            <w:vMerge w:val="continue"/>
            <w:noWrap w:val="0"/>
            <w:vAlign w:val="center"/>
          </w:tcPr>
          <w:p w14:paraId="383D1E39">
            <w:pPr>
              <w:spacing w:line="380" w:lineRule="atLeast"/>
              <w:jc w:val="center"/>
              <w:rPr>
                <w:rFonts w:ascii="宋体" w:hAnsi="宋体" w:cs="宋体"/>
                <w:color w:val="auto"/>
              </w:rPr>
            </w:pPr>
          </w:p>
        </w:tc>
        <w:tc>
          <w:tcPr>
            <w:tcW w:w="919" w:type="dxa"/>
            <w:vMerge w:val="continue"/>
            <w:noWrap w:val="0"/>
            <w:vAlign w:val="center"/>
          </w:tcPr>
          <w:p w14:paraId="45A01E4D">
            <w:pPr>
              <w:spacing w:line="380" w:lineRule="atLeast"/>
              <w:jc w:val="right"/>
              <w:rPr>
                <w:rFonts w:ascii="宋体" w:hAnsi="宋体" w:cs="宋体"/>
                <w:color w:val="auto"/>
                <w:u w:val="single"/>
              </w:rPr>
            </w:pPr>
          </w:p>
        </w:tc>
        <w:tc>
          <w:tcPr>
            <w:tcW w:w="1204" w:type="dxa"/>
            <w:noWrap w:val="0"/>
            <w:vAlign w:val="center"/>
          </w:tcPr>
          <w:p w14:paraId="4C841E11">
            <w:pPr>
              <w:jc w:val="center"/>
              <w:rPr>
                <w:rFonts w:hint="eastAsia" w:ascii="宋体" w:hAnsi="宋体" w:cs="宋体"/>
                <w:color w:val="auto"/>
              </w:rPr>
            </w:pPr>
            <w:r>
              <w:rPr>
                <w:rFonts w:hint="eastAsia" w:ascii="宋体" w:hAnsi="宋体" w:cs="宋体"/>
                <w:color w:val="auto"/>
              </w:rPr>
              <w:t>信息管理</w:t>
            </w:r>
          </w:p>
        </w:tc>
        <w:tc>
          <w:tcPr>
            <w:tcW w:w="851" w:type="dxa"/>
            <w:noWrap w:val="0"/>
            <w:vAlign w:val="center"/>
          </w:tcPr>
          <w:p w14:paraId="44B72E13">
            <w:pPr>
              <w:jc w:val="center"/>
              <w:rPr>
                <w:rFonts w:hint="eastAsia" w:ascii="宋体" w:hAnsi="宋体" w:cs="宋体"/>
                <w:color w:val="auto"/>
              </w:rPr>
            </w:pPr>
            <w:r>
              <w:rPr>
                <w:rFonts w:hint="eastAsia" w:ascii="宋体" w:hAnsi="宋体" w:cs="宋体"/>
                <w:color w:val="auto"/>
              </w:rPr>
              <w:t>2分</w:t>
            </w:r>
          </w:p>
        </w:tc>
        <w:tc>
          <w:tcPr>
            <w:tcW w:w="3821" w:type="dxa"/>
            <w:noWrap w:val="0"/>
            <w:vAlign w:val="center"/>
          </w:tcPr>
          <w:p w14:paraId="7135D9A3">
            <w:pPr>
              <w:snapToGrid w:val="0"/>
              <w:jc w:val="left"/>
              <w:rPr>
                <w:rFonts w:hint="eastAsia" w:ascii="宋体" w:hAnsi="宋体" w:cs="宋体"/>
                <w:color w:val="auto"/>
              </w:rPr>
            </w:pPr>
            <w:r>
              <w:rPr>
                <w:rFonts w:hint="eastAsia" w:ascii="宋体" w:hAnsi="宋体" w:cs="宋体"/>
                <w:color w:val="auto"/>
              </w:rPr>
              <w:t>方法科学、信息传递及反馈路径简洁，控制措施可行性强。优2分，良（2-1.8]分，一般（1.8-1.6]分。缺少该项不得分。</w:t>
            </w:r>
          </w:p>
        </w:tc>
      </w:tr>
      <w:tr w14:paraId="01301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50CEA893">
            <w:pPr>
              <w:spacing w:line="380" w:lineRule="atLeast"/>
              <w:jc w:val="center"/>
              <w:rPr>
                <w:rFonts w:ascii="宋体" w:hAnsi="宋体" w:cs="宋体"/>
                <w:color w:val="auto"/>
              </w:rPr>
            </w:pPr>
          </w:p>
        </w:tc>
        <w:tc>
          <w:tcPr>
            <w:tcW w:w="1173" w:type="dxa"/>
            <w:vMerge w:val="continue"/>
            <w:noWrap w:val="0"/>
            <w:vAlign w:val="center"/>
          </w:tcPr>
          <w:p w14:paraId="029EE2CB">
            <w:pPr>
              <w:spacing w:line="380" w:lineRule="atLeast"/>
              <w:jc w:val="center"/>
              <w:rPr>
                <w:rFonts w:ascii="宋体" w:hAnsi="宋体" w:cs="宋体"/>
                <w:color w:val="auto"/>
              </w:rPr>
            </w:pPr>
          </w:p>
        </w:tc>
        <w:tc>
          <w:tcPr>
            <w:tcW w:w="919" w:type="dxa"/>
            <w:vMerge w:val="continue"/>
            <w:noWrap w:val="0"/>
            <w:vAlign w:val="center"/>
          </w:tcPr>
          <w:p w14:paraId="669AF617">
            <w:pPr>
              <w:spacing w:line="380" w:lineRule="atLeast"/>
              <w:jc w:val="right"/>
              <w:rPr>
                <w:rFonts w:ascii="宋体" w:hAnsi="宋体" w:cs="宋体"/>
                <w:color w:val="auto"/>
                <w:u w:val="single"/>
              </w:rPr>
            </w:pPr>
          </w:p>
        </w:tc>
        <w:tc>
          <w:tcPr>
            <w:tcW w:w="1204" w:type="dxa"/>
            <w:noWrap w:val="0"/>
            <w:vAlign w:val="center"/>
          </w:tcPr>
          <w:p w14:paraId="1FD04516">
            <w:pPr>
              <w:jc w:val="center"/>
              <w:rPr>
                <w:rFonts w:hint="eastAsia" w:ascii="宋体" w:hAnsi="宋体" w:cs="宋体"/>
                <w:color w:val="auto"/>
              </w:rPr>
            </w:pPr>
            <w:r>
              <w:rPr>
                <w:rFonts w:hint="eastAsia" w:ascii="宋体" w:hAnsi="宋体" w:cs="宋体"/>
                <w:color w:val="auto"/>
              </w:rPr>
              <w:t>组织协调</w:t>
            </w:r>
          </w:p>
        </w:tc>
        <w:tc>
          <w:tcPr>
            <w:tcW w:w="851" w:type="dxa"/>
            <w:noWrap w:val="0"/>
            <w:vAlign w:val="center"/>
          </w:tcPr>
          <w:p w14:paraId="7791ABA2">
            <w:pPr>
              <w:jc w:val="center"/>
              <w:rPr>
                <w:rFonts w:hint="eastAsia" w:ascii="宋体" w:hAnsi="宋体" w:cs="宋体"/>
                <w:color w:val="auto"/>
              </w:rPr>
            </w:pPr>
            <w:r>
              <w:rPr>
                <w:rFonts w:hint="eastAsia" w:ascii="宋体" w:hAnsi="宋体" w:cs="宋体"/>
                <w:color w:val="auto"/>
              </w:rPr>
              <w:t>2分</w:t>
            </w:r>
          </w:p>
        </w:tc>
        <w:tc>
          <w:tcPr>
            <w:tcW w:w="3821" w:type="dxa"/>
            <w:noWrap w:val="0"/>
            <w:vAlign w:val="center"/>
          </w:tcPr>
          <w:p w14:paraId="7FC80FFB">
            <w:pPr>
              <w:snapToGrid w:val="0"/>
              <w:jc w:val="left"/>
              <w:rPr>
                <w:rFonts w:hint="eastAsia" w:ascii="宋体" w:hAnsi="宋体" w:cs="宋体"/>
                <w:color w:val="auto"/>
              </w:rPr>
            </w:pPr>
            <w:r>
              <w:rPr>
                <w:rFonts w:hint="eastAsia" w:ascii="宋体" w:hAnsi="宋体" w:cs="宋体"/>
                <w:color w:val="auto"/>
              </w:rPr>
              <w:t>组织协调的方法科学，措施有力。优2分，良（2-1.8]分，一般（1.8-1.6]分。缺少该项不得分。</w:t>
            </w:r>
          </w:p>
        </w:tc>
      </w:tr>
      <w:tr w14:paraId="2FEF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1F478F28">
            <w:pPr>
              <w:spacing w:line="380" w:lineRule="atLeast"/>
              <w:jc w:val="center"/>
              <w:rPr>
                <w:rFonts w:ascii="宋体" w:hAnsi="宋体" w:cs="宋体"/>
                <w:color w:val="auto"/>
              </w:rPr>
            </w:pPr>
          </w:p>
        </w:tc>
        <w:tc>
          <w:tcPr>
            <w:tcW w:w="1173" w:type="dxa"/>
            <w:vMerge w:val="continue"/>
            <w:noWrap w:val="0"/>
            <w:vAlign w:val="center"/>
          </w:tcPr>
          <w:p w14:paraId="73BCAE34">
            <w:pPr>
              <w:spacing w:line="380" w:lineRule="atLeast"/>
              <w:jc w:val="center"/>
              <w:rPr>
                <w:rFonts w:ascii="宋体" w:hAnsi="宋体" w:cs="宋体"/>
                <w:color w:val="auto"/>
              </w:rPr>
            </w:pPr>
          </w:p>
        </w:tc>
        <w:tc>
          <w:tcPr>
            <w:tcW w:w="919" w:type="dxa"/>
            <w:vMerge w:val="continue"/>
            <w:noWrap w:val="0"/>
            <w:vAlign w:val="center"/>
          </w:tcPr>
          <w:p w14:paraId="4414A998">
            <w:pPr>
              <w:spacing w:line="380" w:lineRule="atLeast"/>
              <w:jc w:val="right"/>
              <w:rPr>
                <w:rFonts w:ascii="宋体" w:hAnsi="宋体" w:cs="宋体"/>
                <w:color w:val="auto"/>
                <w:u w:val="single"/>
              </w:rPr>
            </w:pPr>
          </w:p>
        </w:tc>
        <w:tc>
          <w:tcPr>
            <w:tcW w:w="1204" w:type="dxa"/>
            <w:noWrap w:val="0"/>
            <w:vAlign w:val="center"/>
          </w:tcPr>
          <w:p w14:paraId="5CDE601E">
            <w:pPr>
              <w:jc w:val="center"/>
              <w:rPr>
                <w:rFonts w:hint="eastAsia" w:ascii="宋体" w:hAnsi="宋体" w:cs="宋体"/>
                <w:color w:val="auto"/>
              </w:rPr>
            </w:pPr>
            <w:r>
              <w:rPr>
                <w:rFonts w:hint="eastAsia" w:ascii="宋体" w:hAnsi="宋体" w:cs="宋体"/>
                <w:color w:val="auto"/>
              </w:rPr>
              <w:t>交工期</w:t>
            </w:r>
          </w:p>
        </w:tc>
        <w:tc>
          <w:tcPr>
            <w:tcW w:w="851" w:type="dxa"/>
            <w:noWrap w:val="0"/>
            <w:vAlign w:val="center"/>
          </w:tcPr>
          <w:p w14:paraId="5BE277C2">
            <w:pPr>
              <w:jc w:val="center"/>
              <w:rPr>
                <w:rFonts w:hint="eastAsia" w:ascii="宋体" w:hAnsi="宋体" w:cs="宋体"/>
                <w:color w:val="auto"/>
              </w:rPr>
            </w:pPr>
            <w:r>
              <w:rPr>
                <w:rFonts w:hint="eastAsia" w:ascii="宋体" w:hAnsi="宋体" w:cs="宋体"/>
                <w:color w:val="auto"/>
              </w:rPr>
              <w:t>2分</w:t>
            </w:r>
          </w:p>
        </w:tc>
        <w:tc>
          <w:tcPr>
            <w:tcW w:w="3821" w:type="dxa"/>
            <w:noWrap w:val="0"/>
            <w:vAlign w:val="center"/>
          </w:tcPr>
          <w:p w14:paraId="655AFBCD">
            <w:pPr>
              <w:snapToGrid w:val="0"/>
              <w:jc w:val="left"/>
              <w:rPr>
                <w:rFonts w:hint="eastAsia" w:ascii="宋体" w:hAnsi="宋体" w:cs="宋体"/>
                <w:color w:val="auto"/>
              </w:rPr>
            </w:pPr>
            <w:r>
              <w:rPr>
                <w:rFonts w:hint="eastAsia" w:ascii="宋体" w:hAnsi="宋体" w:cs="宋体"/>
                <w:color w:val="auto"/>
              </w:rPr>
              <w:t>控制措施有针对性，能保证按期交工。优2分，良（2-1.8]分，一般（1.8-1.6]分。缺少该项不得分。</w:t>
            </w:r>
          </w:p>
        </w:tc>
      </w:tr>
      <w:tr w14:paraId="4EDB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15652424">
            <w:pPr>
              <w:spacing w:line="380" w:lineRule="atLeast"/>
              <w:jc w:val="center"/>
              <w:rPr>
                <w:rFonts w:ascii="宋体" w:hAnsi="宋体" w:cs="宋体"/>
                <w:color w:val="auto"/>
              </w:rPr>
            </w:pPr>
          </w:p>
        </w:tc>
        <w:tc>
          <w:tcPr>
            <w:tcW w:w="1173" w:type="dxa"/>
            <w:vMerge w:val="continue"/>
            <w:noWrap w:val="0"/>
            <w:vAlign w:val="center"/>
          </w:tcPr>
          <w:p w14:paraId="2045332E">
            <w:pPr>
              <w:spacing w:line="380" w:lineRule="atLeast"/>
              <w:jc w:val="center"/>
              <w:rPr>
                <w:rFonts w:ascii="宋体" w:hAnsi="宋体" w:cs="宋体"/>
                <w:color w:val="auto"/>
              </w:rPr>
            </w:pPr>
          </w:p>
        </w:tc>
        <w:tc>
          <w:tcPr>
            <w:tcW w:w="919" w:type="dxa"/>
            <w:vMerge w:val="continue"/>
            <w:noWrap w:val="0"/>
            <w:vAlign w:val="center"/>
          </w:tcPr>
          <w:p w14:paraId="43BEEF06">
            <w:pPr>
              <w:spacing w:line="380" w:lineRule="atLeast"/>
              <w:jc w:val="right"/>
              <w:rPr>
                <w:rFonts w:ascii="宋体" w:hAnsi="宋体" w:cs="宋体"/>
                <w:color w:val="auto"/>
                <w:u w:val="single"/>
              </w:rPr>
            </w:pPr>
          </w:p>
        </w:tc>
        <w:tc>
          <w:tcPr>
            <w:tcW w:w="1204" w:type="dxa"/>
            <w:noWrap w:val="0"/>
            <w:vAlign w:val="center"/>
          </w:tcPr>
          <w:p w14:paraId="25F42636">
            <w:pPr>
              <w:jc w:val="center"/>
              <w:rPr>
                <w:rFonts w:hint="eastAsia" w:ascii="宋体" w:hAnsi="宋体" w:cs="宋体"/>
                <w:color w:val="auto"/>
              </w:rPr>
            </w:pPr>
            <w:r>
              <w:rPr>
                <w:rFonts w:hint="eastAsia" w:ascii="宋体" w:hAnsi="宋体" w:cs="宋体"/>
                <w:color w:val="auto"/>
              </w:rPr>
              <w:t>办公检测设备</w:t>
            </w:r>
          </w:p>
        </w:tc>
        <w:tc>
          <w:tcPr>
            <w:tcW w:w="851" w:type="dxa"/>
            <w:noWrap w:val="0"/>
            <w:vAlign w:val="center"/>
          </w:tcPr>
          <w:p w14:paraId="6CA8F1C5">
            <w:pPr>
              <w:jc w:val="center"/>
              <w:rPr>
                <w:rFonts w:hint="eastAsia" w:ascii="宋体" w:hAnsi="宋体" w:cs="宋体"/>
                <w:color w:val="auto"/>
              </w:rPr>
            </w:pPr>
            <w:r>
              <w:rPr>
                <w:rFonts w:hint="eastAsia" w:ascii="宋体" w:hAnsi="宋体" w:cs="宋体"/>
                <w:color w:val="auto"/>
              </w:rPr>
              <w:t>1分</w:t>
            </w:r>
          </w:p>
        </w:tc>
        <w:tc>
          <w:tcPr>
            <w:tcW w:w="3821" w:type="dxa"/>
            <w:noWrap w:val="0"/>
            <w:vAlign w:val="center"/>
          </w:tcPr>
          <w:p w14:paraId="15E770F1">
            <w:pPr>
              <w:snapToGrid w:val="0"/>
              <w:jc w:val="left"/>
              <w:rPr>
                <w:rFonts w:hint="eastAsia" w:ascii="宋体" w:hAnsi="宋体" w:cs="宋体"/>
                <w:color w:val="auto"/>
              </w:rPr>
            </w:pPr>
            <w:r>
              <w:rPr>
                <w:rFonts w:hint="eastAsia" w:ascii="宋体" w:hAnsi="宋体" w:cs="宋体"/>
                <w:color w:val="auto"/>
              </w:rPr>
              <w:t>办公检测设备、工具以及用于计算机辅助管理、交通联络等方面的办公设备的数量、完好率满足工作需要。优1分，其他（1-0.8]分。</w:t>
            </w:r>
          </w:p>
        </w:tc>
      </w:tr>
      <w:tr w14:paraId="7881D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923" w:type="dxa"/>
            <w:vMerge w:val="continue"/>
            <w:noWrap w:val="0"/>
            <w:vAlign w:val="center"/>
          </w:tcPr>
          <w:p w14:paraId="2EF7C296">
            <w:pPr>
              <w:spacing w:line="380" w:lineRule="atLeast"/>
              <w:jc w:val="center"/>
              <w:rPr>
                <w:rFonts w:ascii="宋体" w:hAnsi="宋体" w:cs="宋体"/>
                <w:color w:val="auto"/>
              </w:rPr>
            </w:pPr>
          </w:p>
        </w:tc>
        <w:tc>
          <w:tcPr>
            <w:tcW w:w="1173" w:type="dxa"/>
            <w:vMerge w:val="continue"/>
            <w:noWrap w:val="0"/>
            <w:vAlign w:val="center"/>
          </w:tcPr>
          <w:p w14:paraId="2DCDB828">
            <w:pPr>
              <w:spacing w:line="380" w:lineRule="atLeast"/>
              <w:jc w:val="center"/>
              <w:rPr>
                <w:rFonts w:ascii="宋体" w:hAnsi="宋体" w:cs="宋体"/>
                <w:color w:val="auto"/>
              </w:rPr>
            </w:pPr>
          </w:p>
        </w:tc>
        <w:tc>
          <w:tcPr>
            <w:tcW w:w="919" w:type="dxa"/>
            <w:vMerge w:val="continue"/>
            <w:noWrap w:val="0"/>
            <w:vAlign w:val="center"/>
          </w:tcPr>
          <w:p w14:paraId="0D491ECD">
            <w:pPr>
              <w:spacing w:line="380" w:lineRule="atLeast"/>
              <w:jc w:val="right"/>
              <w:rPr>
                <w:rFonts w:ascii="宋体" w:hAnsi="宋体" w:cs="宋体"/>
                <w:color w:val="auto"/>
                <w:u w:val="single"/>
              </w:rPr>
            </w:pPr>
          </w:p>
        </w:tc>
        <w:tc>
          <w:tcPr>
            <w:tcW w:w="1204" w:type="dxa"/>
            <w:noWrap w:val="0"/>
            <w:vAlign w:val="center"/>
          </w:tcPr>
          <w:p w14:paraId="799291EC">
            <w:pPr>
              <w:jc w:val="center"/>
              <w:rPr>
                <w:rFonts w:hint="eastAsia" w:ascii="宋体" w:hAnsi="宋体" w:cs="宋体"/>
                <w:color w:val="auto"/>
              </w:rPr>
            </w:pPr>
            <w:r>
              <w:rPr>
                <w:rFonts w:hint="eastAsia" w:ascii="宋体" w:hAnsi="宋体" w:cs="宋体"/>
                <w:color w:val="auto"/>
              </w:rPr>
              <w:t>对本工程的建议</w:t>
            </w:r>
          </w:p>
        </w:tc>
        <w:tc>
          <w:tcPr>
            <w:tcW w:w="851" w:type="dxa"/>
            <w:noWrap w:val="0"/>
            <w:vAlign w:val="center"/>
          </w:tcPr>
          <w:p w14:paraId="62690105">
            <w:pPr>
              <w:jc w:val="center"/>
              <w:rPr>
                <w:rFonts w:hint="eastAsia" w:ascii="宋体" w:hAnsi="宋体" w:cs="宋体"/>
                <w:color w:val="auto"/>
                <w:u w:val="single"/>
              </w:rPr>
            </w:pPr>
            <w:r>
              <w:rPr>
                <w:rFonts w:hint="eastAsia" w:ascii="宋体" w:hAnsi="宋体" w:cs="宋体"/>
                <w:color w:val="auto"/>
              </w:rPr>
              <w:t>2分</w:t>
            </w:r>
          </w:p>
        </w:tc>
        <w:tc>
          <w:tcPr>
            <w:tcW w:w="3821" w:type="dxa"/>
            <w:noWrap w:val="0"/>
            <w:vAlign w:val="center"/>
          </w:tcPr>
          <w:p w14:paraId="6509E30B">
            <w:pPr>
              <w:pStyle w:val="16"/>
              <w:spacing w:line="240" w:lineRule="auto"/>
              <w:rPr>
                <w:rFonts w:hint="eastAsia" w:hAnsi="宋体" w:eastAsia="宋体" w:cs="宋体"/>
                <w:color w:val="auto"/>
                <w:sz w:val="21"/>
                <w:szCs w:val="21"/>
              </w:rPr>
            </w:pPr>
            <w:r>
              <w:rPr>
                <w:rFonts w:hint="eastAsia" w:hAnsi="宋体" w:eastAsia="宋体" w:cs="宋体"/>
                <w:color w:val="auto"/>
                <w:kern w:val="2"/>
                <w:sz w:val="21"/>
                <w:szCs w:val="21"/>
              </w:rPr>
              <w:t>具有科学、合理、可行及具体措施的合理化建议。优2分，良（2-1.8]分，一般（1.8-1.6]分。缺少该项不得分。</w:t>
            </w:r>
          </w:p>
        </w:tc>
      </w:tr>
      <w:tr w14:paraId="405FD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923" w:type="dxa"/>
            <w:vMerge w:val="restart"/>
            <w:noWrap w:val="0"/>
            <w:vAlign w:val="center"/>
          </w:tcPr>
          <w:p w14:paraId="0A700FC8">
            <w:pPr>
              <w:spacing w:line="360" w:lineRule="atLeast"/>
              <w:ind w:left="-92" w:leftChars="-44" w:right="-88" w:rightChars="-42"/>
              <w:jc w:val="center"/>
              <w:rPr>
                <w:rFonts w:ascii="宋体" w:hAnsi="宋体" w:cs="宋体"/>
                <w:color w:val="auto"/>
              </w:rPr>
            </w:pPr>
            <w:r>
              <w:rPr>
                <w:rFonts w:hint="eastAsia" w:ascii="宋体" w:hAnsi="宋体" w:cs="宋体"/>
                <w:color w:val="auto"/>
              </w:rPr>
              <w:t>2.2.4</w:t>
            </w:r>
          </w:p>
          <w:p w14:paraId="60046D5F">
            <w:pPr>
              <w:spacing w:line="360" w:lineRule="atLeast"/>
              <w:ind w:left="-92" w:leftChars="-44" w:right="-88" w:rightChars="-42"/>
              <w:jc w:val="center"/>
              <w:rPr>
                <w:rFonts w:ascii="宋体" w:hAnsi="宋体" w:cs="宋体"/>
                <w:color w:val="auto"/>
              </w:rPr>
            </w:pPr>
            <w:r>
              <w:rPr>
                <w:rFonts w:hint="eastAsia" w:ascii="宋体" w:hAnsi="宋体" w:cs="宋体"/>
                <w:color w:val="auto"/>
              </w:rPr>
              <w:t>(2)</w:t>
            </w:r>
          </w:p>
        </w:tc>
        <w:tc>
          <w:tcPr>
            <w:tcW w:w="1173" w:type="dxa"/>
            <w:vMerge w:val="restart"/>
            <w:noWrap w:val="0"/>
            <w:vAlign w:val="center"/>
          </w:tcPr>
          <w:p w14:paraId="0817C5B9">
            <w:pPr>
              <w:spacing w:line="360" w:lineRule="atLeast"/>
              <w:jc w:val="center"/>
              <w:rPr>
                <w:rFonts w:ascii="宋体" w:hAnsi="宋体" w:cs="宋体"/>
                <w:color w:val="auto"/>
              </w:rPr>
            </w:pPr>
            <w:r>
              <w:rPr>
                <w:rFonts w:hint="eastAsia" w:ascii="宋体" w:hAnsi="宋体" w:cs="宋体"/>
                <w:color w:val="auto"/>
              </w:rPr>
              <w:t>主要人员</w:t>
            </w:r>
          </w:p>
        </w:tc>
        <w:tc>
          <w:tcPr>
            <w:tcW w:w="919" w:type="dxa"/>
            <w:vMerge w:val="restart"/>
            <w:noWrap w:val="0"/>
            <w:vAlign w:val="center"/>
          </w:tcPr>
          <w:p w14:paraId="0D72E32F">
            <w:pPr>
              <w:spacing w:line="380" w:lineRule="atLeast"/>
              <w:jc w:val="center"/>
              <w:rPr>
                <w:rFonts w:ascii="宋体" w:hAnsi="宋体" w:cs="宋体"/>
                <w:color w:val="auto"/>
              </w:rPr>
            </w:pPr>
            <w:r>
              <w:rPr>
                <w:rFonts w:hint="eastAsia" w:ascii="宋体" w:hAnsi="宋体" w:cs="宋体"/>
                <w:color w:val="auto"/>
                <w:u w:val="single"/>
              </w:rPr>
              <w:t>25</w:t>
            </w:r>
            <w:r>
              <w:rPr>
                <w:rFonts w:hint="eastAsia" w:ascii="宋体" w:hAnsi="宋体" w:cs="宋体"/>
                <w:color w:val="auto"/>
              </w:rPr>
              <w:t>分</w:t>
            </w:r>
          </w:p>
        </w:tc>
        <w:tc>
          <w:tcPr>
            <w:tcW w:w="1204" w:type="dxa"/>
            <w:noWrap w:val="0"/>
            <w:vAlign w:val="center"/>
          </w:tcPr>
          <w:p w14:paraId="02C99438">
            <w:pPr>
              <w:jc w:val="center"/>
              <w:rPr>
                <w:rFonts w:hint="eastAsia" w:ascii="宋体" w:hAnsi="宋体" w:cs="宋体"/>
                <w:color w:val="auto"/>
              </w:rPr>
            </w:pPr>
            <w:r>
              <w:rPr>
                <w:rFonts w:hint="eastAsia" w:ascii="宋体" w:hAnsi="宋体" w:cs="宋体"/>
                <w:color w:val="auto"/>
              </w:rPr>
              <w:t>总监理工程师</w:t>
            </w:r>
          </w:p>
          <w:p w14:paraId="1E151655">
            <w:pPr>
              <w:jc w:val="center"/>
              <w:rPr>
                <w:rFonts w:hint="eastAsia" w:ascii="宋体" w:hAnsi="宋体" w:cs="宋体"/>
                <w:color w:val="auto"/>
              </w:rPr>
            </w:pPr>
          </w:p>
        </w:tc>
        <w:tc>
          <w:tcPr>
            <w:tcW w:w="851" w:type="dxa"/>
            <w:noWrap w:val="0"/>
            <w:vAlign w:val="center"/>
          </w:tcPr>
          <w:p w14:paraId="31BDB4C5">
            <w:pPr>
              <w:jc w:val="center"/>
              <w:rPr>
                <w:rFonts w:hint="eastAsia" w:ascii="宋体" w:hAnsi="宋体" w:cs="宋体"/>
                <w:color w:val="auto"/>
                <w:u w:val="single"/>
              </w:rPr>
            </w:pPr>
            <w:r>
              <w:rPr>
                <w:rFonts w:hint="eastAsia" w:ascii="宋体" w:hAnsi="宋体" w:cs="宋体"/>
                <w:color w:val="auto"/>
                <w:u w:val="single"/>
              </w:rPr>
              <w:t>10</w:t>
            </w:r>
            <w:r>
              <w:rPr>
                <w:rFonts w:hint="eastAsia" w:ascii="宋体" w:hAnsi="宋体" w:cs="宋体"/>
                <w:color w:val="auto"/>
              </w:rPr>
              <w:t>分</w:t>
            </w:r>
          </w:p>
          <w:p w14:paraId="2A2EB65B">
            <w:pPr>
              <w:jc w:val="center"/>
              <w:rPr>
                <w:rFonts w:hint="eastAsia" w:ascii="宋体" w:hAnsi="宋体" w:cs="宋体"/>
                <w:color w:val="auto"/>
                <w:u w:val="single"/>
              </w:rPr>
            </w:pPr>
          </w:p>
        </w:tc>
        <w:tc>
          <w:tcPr>
            <w:tcW w:w="3821" w:type="dxa"/>
            <w:noWrap w:val="0"/>
            <w:vAlign w:val="center"/>
          </w:tcPr>
          <w:p w14:paraId="292CE431">
            <w:pPr>
              <w:pStyle w:val="17"/>
              <w:spacing w:line="281" w:lineRule="auto"/>
              <w:jc w:val="left"/>
              <w:rPr>
                <w:rFonts w:hint="eastAsia"/>
                <w:color w:val="auto"/>
                <w:spacing w:val="7"/>
                <w:sz w:val="21"/>
                <w:szCs w:val="21"/>
                <w:lang w:eastAsia="zh-CN"/>
              </w:rPr>
            </w:pPr>
            <w:r>
              <w:rPr>
                <w:rFonts w:hint="eastAsia"/>
                <w:color w:val="auto"/>
                <w:spacing w:val="7"/>
                <w:sz w:val="21"/>
                <w:szCs w:val="21"/>
                <w:lang w:eastAsia="zh-CN"/>
              </w:rPr>
              <w:t>1.2020年1月1日至今完成过质量合格的不少于</w:t>
            </w:r>
            <w:r>
              <w:rPr>
                <w:rFonts w:hint="default"/>
                <w:color w:val="auto"/>
                <w:sz w:val="21"/>
                <w:szCs w:val="21"/>
                <w:lang w:val="en-US" w:eastAsia="zh-CN"/>
              </w:rPr>
              <w:t>4万吨级或投资额不少于10000万元</w:t>
            </w:r>
            <w:r>
              <w:rPr>
                <w:rFonts w:hint="eastAsia"/>
                <w:color w:val="auto"/>
                <w:sz w:val="21"/>
                <w:szCs w:val="21"/>
                <w:lang w:eastAsia="zh-CN"/>
              </w:rPr>
              <w:t>码头工程业绩监理项目</w:t>
            </w:r>
            <w:r>
              <w:rPr>
                <w:rFonts w:hint="eastAsia"/>
                <w:color w:val="auto"/>
                <w:spacing w:val="7"/>
                <w:sz w:val="21"/>
                <w:szCs w:val="21"/>
                <w:lang w:eastAsia="zh-CN"/>
              </w:rPr>
              <w:t>得2.5分，最多得5分。</w:t>
            </w:r>
          </w:p>
          <w:p w14:paraId="7B59DEA4">
            <w:pPr>
              <w:pStyle w:val="17"/>
              <w:spacing w:line="281" w:lineRule="auto"/>
              <w:jc w:val="left"/>
              <w:rPr>
                <w:rFonts w:hint="eastAsia"/>
                <w:color w:val="auto"/>
                <w:spacing w:val="7"/>
                <w:sz w:val="21"/>
                <w:szCs w:val="21"/>
                <w:lang w:eastAsia="zh-CN"/>
              </w:rPr>
            </w:pPr>
            <w:r>
              <w:rPr>
                <w:rFonts w:hint="eastAsia"/>
                <w:color w:val="auto"/>
                <w:spacing w:val="7"/>
                <w:sz w:val="21"/>
                <w:szCs w:val="21"/>
                <w:lang w:eastAsia="zh-CN"/>
              </w:rPr>
              <w:t>2.具有水运工程系列高级或以上工程师职称，得5分。</w:t>
            </w:r>
          </w:p>
          <w:p w14:paraId="5AFB70A3">
            <w:pPr>
              <w:pStyle w:val="17"/>
              <w:spacing w:line="281" w:lineRule="auto"/>
              <w:jc w:val="left"/>
              <w:rPr>
                <w:rFonts w:hint="eastAsia"/>
                <w:color w:val="auto"/>
                <w:spacing w:val="7"/>
                <w:sz w:val="21"/>
                <w:szCs w:val="21"/>
                <w:lang w:eastAsia="zh-CN"/>
              </w:rPr>
            </w:pPr>
            <w:r>
              <w:rPr>
                <w:rFonts w:hint="eastAsia"/>
                <w:color w:val="auto"/>
                <w:spacing w:val="7"/>
                <w:sz w:val="21"/>
                <w:szCs w:val="21"/>
                <w:lang w:eastAsia="zh-CN"/>
              </w:rPr>
              <w:t>注：1、须同时提供中标通知书或免招标的相关证明、施工监理合同协议书、交工验收证明文件或无交工验收一次性竣工验收证明文件。</w:t>
            </w:r>
          </w:p>
          <w:p w14:paraId="1F483BB6">
            <w:pPr>
              <w:pStyle w:val="17"/>
              <w:spacing w:line="281" w:lineRule="auto"/>
              <w:jc w:val="left"/>
              <w:rPr>
                <w:rFonts w:hint="eastAsia"/>
                <w:color w:val="auto"/>
                <w:spacing w:val="7"/>
                <w:sz w:val="21"/>
                <w:szCs w:val="21"/>
                <w:lang w:eastAsia="zh-CN"/>
              </w:rPr>
            </w:pPr>
            <w:r>
              <w:rPr>
                <w:rFonts w:hint="eastAsia"/>
                <w:color w:val="auto"/>
                <w:spacing w:val="7"/>
                <w:sz w:val="21"/>
                <w:szCs w:val="21"/>
                <w:lang w:eastAsia="zh-CN"/>
              </w:rPr>
              <w:t>3、“完成过”指工程完工并交工验收（时间以载明的交工验收或无交工验收一次性竣工验收时间为准），经评定合格，本文提到的交工验收是指交工验收或一次性竣工验收。</w:t>
            </w:r>
          </w:p>
        </w:tc>
      </w:tr>
      <w:tr w14:paraId="2F74B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7" w:hRule="atLeast"/>
        </w:trPr>
        <w:tc>
          <w:tcPr>
            <w:tcW w:w="923" w:type="dxa"/>
            <w:vMerge w:val="continue"/>
            <w:noWrap w:val="0"/>
            <w:vAlign w:val="center"/>
          </w:tcPr>
          <w:p w14:paraId="5993BC0D">
            <w:pPr>
              <w:spacing w:line="360" w:lineRule="atLeast"/>
              <w:ind w:left="-92" w:leftChars="-44" w:right="-88" w:rightChars="-42"/>
              <w:jc w:val="center"/>
              <w:rPr>
                <w:rFonts w:hint="eastAsia" w:ascii="宋体" w:hAnsi="宋体" w:cs="宋体"/>
                <w:color w:val="auto"/>
              </w:rPr>
            </w:pPr>
          </w:p>
        </w:tc>
        <w:tc>
          <w:tcPr>
            <w:tcW w:w="1173" w:type="dxa"/>
            <w:vMerge w:val="continue"/>
            <w:noWrap w:val="0"/>
            <w:vAlign w:val="center"/>
          </w:tcPr>
          <w:p w14:paraId="41139E29">
            <w:pPr>
              <w:spacing w:line="360" w:lineRule="atLeast"/>
              <w:jc w:val="center"/>
              <w:rPr>
                <w:rFonts w:hint="eastAsia" w:ascii="宋体" w:hAnsi="宋体" w:cs="宋体"/>
                <w:color w:val="auto"/>
              </w:rPr>
            </w:pPr>
          </w:p>
        </w:tc>
        <w:tc>
          <w:tcPr>
            <w:tcW w:w="919" w:type="dxa"/>
            <w:vMerge w:val="continue"/>
            <w:noWrap w:val="0"/>
            <w:vAlign w:val="center"/>
          </w:tcPr>
          <w:p w14:paraId="257ED0C4">
            <w:pPr>
              <w:spacing w:line="380" w:lineRule="atLeast"/>
              <w:jc w:val="center"/>
              <w:rPr>
                <w:rFonts w:ascii="宋体" w:hAnsi="宋体" w:cs="宋体"/>
                <w:color w:val="auto"/>
                <w:u w:val="single"/>
              </w:rPr>
            </w:pPr>
          </w:p>
        </w:tc>
        <w:tc>
          <w:tcPr>
            <w:tcW w:w="1204" w:type="dxa"/>
            <w:noWrap w:val="0"/>
            <w:vAlign w:val="center"/>
          </w:tcPr>
          <w:p w14:paraId="49331ADC">
            <w:pPr>
              <w:jc w:val="center"/>
              <w:rPr>
                <w:rFonts w:hint="eastAsia" w:ascii="宋体" w:hAnsi="宋体" w:cs="宋体"/>
                <w:color w:val="auto"/>
              </w:rPr>
            </w:pPr>
            <w:r>
              <w:rPr>
                <w:rFonts w:hint="eastAsia" w:ascii="宋体" w:hAnsi="宋体" w:cs="宋体"/>
                <w:color w:val="auto"/>
              </w:rPr>
              <w:t>其他主要监理人员</w:t>
            </w:r>
          </w:p>
        </w:tc>
        <w:tc>
          <w:tcPr>
            <w:tcW w:w="851" w:type="dxa"/>
            <w:noWrap w:val="0"/>
            <w:vAlign w:val="center"/>
          </w:tcPr>
          <w:p w14:paraId="5B580182">
            <w:pPr>
              <w:jc w:val="center"/>
              <w:rPr>
                <w:rFonts w:hint="eastAsia" w:ascii="宋体" w:hAnsi="宋体" w:cs="宋体"/>
                <w:color w:val="auto"/>
                <w:u w:val="single"/>
              </w:rPr>
            </w:pPr>
            <w:r>
              <w:rPr>
                <w:rFonts w:hint="eastAsia" w:ascii="宋体" w:hAnsi="宋体" w:cs="宋体"/>
                <w:color w:val="auto"/>
                <w:u w:val="single"/>
              </w:rPr>
              <w:t>15分</w:t>
            </w:r>
          </w:p>
        </w:tc>
        <w:tc>
          <w:tcPr>
            <w:tcW w:w="3821" w:type="dxa"/>
            <w:noWrap w:val="0"/>
            <w:vAlign w:val="center"/>
          </w:tcPr>
          <w:p w14:paraId="32819E53">
            <w:pPr>
              <w:pStyle w:val="17"/>
              <w:spacing w:line="281" w:lineRule="auto"/>
              <w:jc w:val="left"/>
              <w:rPr>
                <w:rFonts w:hint="eastAsia"/>
                <w:color w:val="auto"/>
                <w:spacing w:val="7"/>
                <w:sz w:val="21"/>
                <w:szCs w:val="21"/>
                <w:lang w:eastAsia="zh-CN"/>
              </w:rPr>
            </w:pPr>
            <w:r>
              <w:rPr>
                <w:rFonts w:hint="eastAsia"/>
                <w:color w:val="auto"/>
                <w:spacing w:val="7"/>
                <w:sz w:val="21"/>
                <w:szCs w:val="21"/>
                <w:lang w:eastAsia="zh-CN"/>
              </w:rPr>
              <w:t>1.专业监理工程师中具有工程类专业高级或以上职称，每人得3分，最高得9分。</w:t>
            </w:r>
          </w:p>
          <w:p w14:paraId="06984371">
            <w:pPr>
              <w:pStyle w:val="17"/>
              <w:spacing w:line="281" w:lineRule="auto"/>
              <w:jc w:val="left"/>
              <w:rPr>
                <w:rFonts w:hint="eastAsia"/>
                <w:color w:val="auto"/>
                <w:spacing w:val="7"/>
                <w:sz w:val="21"/>
                <w:szCs w:val="21"/>
                <w:lang w:eastAsia="zh-CN"/>
              </w:rPr>
            </w:pPr>
            <w:r>
              <w:rPr>
                <w:rFonts w:hint="eastAsia"/>
                <w:color w:val="auto"/>
                <w:spacing w:val="7"/>
              </w:rPr>
              <w:t>2</w:t>
            </w:r>
            <w:r>
              <w:rPr>
                <w:rFonts w:hint="eastAsia" w:ascii="宋体" w:hAnsi="宋体" w:cs="宋体"/>
                <w:color w:val="auto"/>
                <w:u w:val="single"/>
              </w:rPr>
              <w:t>造价工程师</w:t>
            </w:r>
            <w:r>
              <w:rPr>
                <w:rFonts w:hint="eastAsia"/>
                <w:color w:val="auto"/>
                <w:spacing w:val="7"/>
              </w:rPr>
              <w:t xml:space="preserve">具有造价系列高级或以上工程师职称得3分。本项最多得3分。 </w:t>
            </w:r>
            <w:r>
              <w:rPr>
                <w:rFonts w:hint="eastAsia"/>
                <w:color w:val="auto"/>
                <w:spacing w:val="7"/>
                <w:sz w:val="21"/>
                <w:szCs w:val="21"/>
                <w:lang w:eastAsia="zh-CN"/>
              </w:rPr>
              <w:t>3.档案及竣工资料负责人同时具有档案管理相关专业中级或以上职称、市级或以上档案管理部门颁发的档案专业人员岗位职务培训证书得3分。本项最多得3分。</w:t>
            </w:r>
          </w:p>
        </w:tc>
      </w:tr>
      <w:tr w14:paraId="77E80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noWrap w:val="0"/>
            <w:vAlign w:val="center"/>
          </w:tcPr>
          <w:p w14:paraId="79E400D5">
            <w:pPr>
              <w:spacing w:line="380" w:lineRule="atLeast"/>
              <w:jc w:val="center"/>
              <w:rPr>
                <w:rFonts w:ascii="宋体" w:hAnsi="宋体" w:cs="宋体"/>
                <w:color w:val="auto"/>
              </w:rPr>
            </w:pPr>
            <w:r>
              <w:rPr>
                <w:rFonts w:hint="eastAsia" w:ascii="宋体" w:hAnsi="宋体" w:cs="宋体"/>
                <w:color w:val="auto"/>
              </w:rPr>
              <w:t>2.2.4</w:t>
            </w:r>
          </w:p>
          <w:p w14:paraId="6D563C96">
            <w:pPr>
              <w:spacing w:line="380" w:lineRule="atLeast"/>
              <w:jc w:val="center"/>
              <w:rPr>
                <w:rFonts w:ascii="宋体" w:hAnsi="宋体" w:cs="宋体"/>
                <w:color w:val="auto"/>
              </w:rPr>
            </w:pPr>
            <w:r>
              <w:rPr>
                <w:rFonts w:hint="eastAsia" w:ascii="宋体" w:hAnsi="宋体" w:cs="宋体"/>
                <w:color w:val="auto"/>
              </w:rPr>
              <w:t>(3)</w:t>
            </w:r>
          </w:p>
        </w:tc>
        <w:tc>
          <w:tcPr>
            <w:tcW w:w="1173" w:type="dxa"/>
            <w:noWrap w:val="0"/>
            <w:vAlign w:val="center"/>
          </w:tcPr>
          <w:p w14:paraId="4152FA23">
            <w:pPr>
              <w:spacing w:line="380" w:lineRule="atLeast"/>
              <w:jc w:val="center"/>
              <w:rPr>
                <w:rFonts w:ascii="宋体" w:hAnsi="宋体" w:cs="宋体"/>
                <w:color w:val="auto"/>
              </w:rPr>
            </w:pPr>
            <w:r>
              <w:rPr>
                <w:rFonts w:hint="eastAsia" w:ascii="宋体" w:hAnsi="宋体" w:cs="宋体"/>
                <w:color w:val="auto"/>
              </w:rPr>
              <w:t>评标价</w:t>
            </w:r>
          </w:p>
        </w:tc>
        <w:tc>
          <w:tcPr>
            <w:tcW w:w="919" w:type="dxa"/>
            <w:noWrap w:val="0"/>
            <w:vAlign w:val="center"/>
          </w:tcPr>
          <w:p w14:paraId="266E337D">
            <w:pPr>
              <w:spacing w:line="380" w:lineRule="atLeast"/>
              <w:jc w:val="center"/>
              <w:rPr>
                <w:rFonts w:ascii="宋体" w:hAnsi="宋体" w:cs="宋体"/>
                <w:color w:val="auto"/>
              </w:rPr>
            </w:pPr>
            <w:r>
              <w:rPr>
                <w:rFonts w:hint="eastAsia" w:ascii="宋体" w:hAnsi="宋体" w:cs="宋体"/>
                <w:color w:val="auto"/>
                <w:u w:val="single"/>
              </w:rPr>
              <w:t>15</w:t>
            </w:r>
            <w:r>
              <w:rPr>
                <w:rFonts w:hint="eastAsia" w:ascii="宋体" w:hAnsi="宋体" w:cs="宋体"/>
                <w:color w:val="auto"/>
              </w:rPr>
              <w:t>分</w:t>
            </w:r>
          </w:p>
        </w:tc>
        <w:tc>
          <w:tcPr>
            <w:tcW w:w="5876" w:type="dxa"/>
            <w:gridSpan w:val="3"/>
            <w:noWrap w:val="0"/>
            <w:vAlign w:val="top"/>
          </w:tcPr>
          <w:p w14:paraId="1B538C19">
            <w:pPr>
              <w:rPr>
                <w:rFonts w:hint="eastAsia" w:ascii="宋体" w:hAnsi="宋体" w:cs="宋体"/>
                <w:color w:val="auto"/>
                <w:spacing w:val="-10"/>
              </w:rPr>
            </w:pPr>
            <w:r>
              <w:rPr>
                <w:rFonts w:hint="eastAsia" w:ascii="宋体" w:hAnsi="宋体" w:cs="宋体"/>
                <w:color w:val="auto"/>
                <w:spacing w:val="-10"/>
              </w:rPr>
              <w:t>有效投标报价范围为</w:t>
            </w:r>
            <w:r>
              <w:rPr>
                <w:rFonts w:hint="eastAsia" w:ascii="宋体" w:hAnsi="宋体" w:cs="宋体"/>
                <w:color w:val="auto"/>
              </w:rPr>
              <w:t>[-20%至-50%]</w:t>
            </w:r>
            <w:r>
              <w:rPr>
                <w:rFonts w:hint="eastAsia" w:ascii="宋体" w:hAnsi="宋体" w:cs="宋体"/>
                <w:color w:val="auto"/>
                <w:spacing w:val="-10"/>
              </w:rPr>
              <w:t>（即投标人有效报价应在</w:t>
            </w:r>
            <w:r>
              <w:rPr>
                <w:rFonts w:hint="eastAsia" w:ascii="宋体" w:hAnsi="宋体" w:cs="宋体"/>
                <w:color w:val="auto"/>
                <w:spacing w:val="-10"/>
                <w:u w:val="single"/>
              </w:rPr>
              <w:t xml:space="preserve">   </w:t>
            </w:r>
            <w:r>
              <w:rPr>
                <w:rFonts w:hint="eastAsia" w:hAnsi="宋体" w:cs="宋体"/>
                <w:color w:val="auto"/>
                <w:u w:val="single"/>
              </w:rPr>
              <w:t>2687366</w:t>
            </w:r>
            <w:r>
              <w:rPr>
                <w:rFonts w:hint="eastAsia" w:ascii="宋体" w:hAnsi="宋体" w:cs="宋体"/>
                <w:color w:val="auto"/>
                <w:u w:val="single"/>
              </w:rPr>
              <w:t>元至</w:t>
            </w:r>
            <w:r>
              <w:rPr>
                <w:rFonts w:hint="eastAsia" w:hAnsi="宋体" w:cs="宋体"/>
                <w:color w:val="auto"/>
                <w:u w:val="single"/>
              </w:rPr>
              <w:t>4299785</w:t>
            </w:r>
            <w:r>
              <w:rPr>
                <w:rFonts w:hint="eastAsia" w:ascii="宋体" w:hAnsi="宋体" w:cs="宋体"/>
                <w:color w:val="auto"/>
                <w:spacing w:val="-10"/>
              </w:rPr>
              <w:t>元范围内）</w:t>
            </w:r>
            <w:r>
              <w:rPr>
                <w:rFonts w:hint="eastAsia" w:ascii="宋体" w:hAnsi="宋体" w:cs="宋体"/>
                <w:color w:val="auto"/>
              </w:rPr>
              <w:t>,不在该范围内的报价得0分，</w:t>
            </w:r>
            <w:r>
              <w:rPr>
                <w:rFonts w:hint="eastAsia" w:ascii="宋体" w:hAnsi="宋体" w:cs="宋体"/>
                <w:color w:val="auto"/>
                <w:spacing w:val="-10"/>
              </w:rPr>
              <w:t>当有效投标报价等于评标参考价时得15分。</w:t>
            </w:r>
          </w:p>
          <w:p w14:paraId="592F7CC8">
            <w:pPr>
              <w:rPr>
                <w:rFonts w:hint="eastAsia" w:ascii="宋体" w:hAnsi="宋体" w:cs="宋体"/>
                <w:color w:val="auto"/>
              </w:rPr>
            </w:pPr>
            <w:r>
              <w:rPr>
                <w:rFonts w:hint="eastAsia" w:ascii="宋体" w:hAnsi="宋体" w:cs="宋体"/>
                <w:color w:val="auto"/>
              </w:rPr>
              <w:t>评标价得分计算公式：</w:t>
            </w:r>
          </w:p>
          <w:p w14:paraId="06881BF3">
            <w:pPr>
              <w:rPr>
                <w:rFonts w:hint="eastAsia" w:ascii="宋体" w:hAnsi="宋体" w:cs="宋体"/>
                <w:color w:val="auto"/>
              </w:rPr>
            </w:pPr>
            <w:r>
              <w:rPr>
                <w:rFonts w:hint="eastAsia" w:ascii="宋体" w:hAnsi="宋体" w:cs="宋体"/>
                <w:color w:val="auto"/>
              </w:rPr>
              <w:t>如果投标人的评标价&gt;评标基准价，则评标价得分＝F－偏差率×100×D1；D1取0.5；</w:t>
            </w:r>
          </w:p>
          <w:p w14:paraId="25A434EF">
            <w:pPr>
              <w:rPr>
                <w:rFonts w:hint="eastAsia" w:ascii="宋体" w:hAnsi="宋体" w:cs="宋体"/>
                <w:color w:val="auto"/>
              </w:rPr>
            </w:pPr>
            <w:r>
              <w:rPr>
                <w:rFonts w:hint="eastAsia" w:ascii="宋体" w:hAnsi="宋体" w:cs="宋体"/>
                <w:color w:val="auto"/>
              </w:rPr>
              <w:t>其中：F为评标价分值。</w:t>
            </w:r>
          </w:p>
          <w:p w14:paraId="035D37DC">
            <w:pPr>
              <w:rPr>
                <w:rFonts w:hint="eastAsia" w:ascii="宋体" w:hAnsi="宋体" w:cs="宋体"/>
                <w:color w:val="auto"/>
              </w:rPr>
            </w:pPr>
            <w:r>
              <w:rPr>
                <w:rFonts w:hint="eastAsia" w:ascii="宋体" w:hAnsi="宋体" w:cs="宋体"/>
                <w:color w:val="auto"/>
              </w:rPr>
              <w:t>注：评标价得分计算保留小数点后四位，小数点后第五位“四舍五入”。</w:t>
            </w:r>
          </w:p>
        </w:tc>
      </w:tr>
      <w:tr w14:paraId="6897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restart"/>
            <w:noWrap w:val="0"/>
            <w:vAlign w:val="center"/>
          </w:tcPr>
          <w:p w14:paraId="324FBD38">
            <w:pPr>
              <w:spacing w:line="380" w:lineRule="atLeast"/>
              <w:jc w:val="center"/>
              <w:rPr>
                <w:rFonts w:ascii="宋体" w:hAnsi="宋体" w:cs="宋体"/>
                <w:color w:val="auto"/>
              </w:rPr>
            </w:pPr>
            <w:r>
              <w:rPr>
                <w:rFonts w:hint="eastAsia" w:ascii="宋体" w:hAnsi="宋体" w:cs="宋体"/>
                <w:color w:val="auto"/>
              </w:rPr>
              <w:t>2.2.4</w:t>
            </w:r>
          </w:p>
          <w:p w14:paraId="2A597D25">
            <w:pPr>
              <w:spacing w:line="380" w:lineRule="atLeast"/>
              <w:jc w:val="center"/>
              <w:rPr>
                <w:rFonts w:ascii="宋体" w:hAnsi="宋体" w:cs="宋体"/>
                <w:color w:val="auto"/>
              </w:rPr>
            </w:pPr>
            <w:r>
              <w:rPr>
                <w:rFonts w:hint="eastAsia" w:ascii="宋体" w:hAnsi="宋体" w:cs="宋体"/>
                <w:color w:val="auto"/>
              </w:rPr>
              <w:t>(4)</w:t>
            </w:r>
          </w:p>
        </w:tc>
        <w:tc>
          <w:tcPr>
            <w:tcW w:w="1173" w:type="dxa"/>
            <w:vMerge w:val="restart"/>
            <w:noWrap w:val="0"/>
            <w:vAlign w:val="center"/>
          </w:tcPr>
          <w:p w14:paraId="300D3DC0">
            <w:pPr>
              <w:spacing w:line="380" w:lineRule="atLeast"/>
              <w:jc w:val="center"/>
              <w:rPr>
                <w:rFonts w:ascii="宋体" w:hAnsi="宋体" w:cs="宋体"/>
                <w:color w:val="auto"/>
              </w:rPr>
            </w:pPr>
            <w:r>
              <w:rPr>
                <w:rFonts w:hint="eastAsia" w:ascii="宋体" w:hAnsi="宋体" w:cs="宋体"/>
                <w:color w:val="auto"/>
              </w:rPr>
              <w:t>其他因素</w:t>
            </w:r>
          </w:p>
        </w:tc>
        <w:tc>
          <w:tcPr>
            <w:tcW w:w="919" w:type="dxa"/>
            <w:vMerge w:val="restart"/>
            <w:noWrap w:val="0"/>
            <w:vAlign w:val="center"/>
          </w:tcPr>
          <w:p w14:paraId="36BA9CAE">
            <w:pPr>
              <w:spacing w:line="380" w:lineRule="atLeast"/>
              <w:jc w:val="center"/>
              <w:rPr>
                <w:rFonts w:ascii="宋体" w:hAnsi="宋体" w:cs="宋体"/>
                <w:color w:val="auto"/>
              </w:rPr>
            </w:pPr>
            <w:r>
              <w:rPr>
                <w:rFonts w:hint="eastAsia" w:ascii="宋体" w:hAnsi="宋体" w:cs="宋体"/>
                <w:color w:val="auto"/>
                <w:u w:val="single"/>
              </w:rPr>
              <w:t>20</w:t>
            </w:r>
            <w:r>
              <w:rPr>
                <w:rFonts w:hint="eastAsia" w:ascii="宋体" w:hAnsi="宋体" w:cs="宋体"/>
                <w:color w:val="auto"/>
              </w:rPr>
              <w:t>分</w:t>
            </w:r>
          </w:p>
        </w:tc>
        <w:tc>
          <w:tcPr>
            <w:tcW w:w="1204" w:type="dxa"/>
            <w:noWrap w:val="0"/>
            <w:vAlign w:val="center"/>
          </w:tcPr>
          <w:p w14:paraId="18336C55">
            <w:pPr>
              <w:jc w:val="center"/>
              <w:rPr>
                <w:rFonts w:hint="eastAsia" w:ascii="宋体" w:hAnsi="宋体" w:cs="宋体"/>
                <w:color w:val="auto"/>
              </w:rPr>
            </w:pPr>
            <w:r>
              <w:rPr>
                <w:rFonts w:hint="eastAsia" w:ascii="宋体" w:hAnsi="宋体" w:cs="宋体"/>
                <w:color w:val="auto"/>
              </w:rPr>
              <w:t>业绩</w:t>
            </w:r>
          </w:p>
        </w:tc>
        <w:tc>
          <w:tcPr>
            <w:tcW w:w="851" w:type="dxa"/>
            <w:noWrap w:val="0"/>
            <w:vAlign w:val="center"/>
          </w:tcPr>
          <w:p w14:paraId="2C238724">
            <w:pPr>
              <w:jc w:val="center"/>
              <w:rPr>
                <w:rFonts w:hint="eastAsia" w:ascii="宋体" w:hAnsi="宋体" w:cs="宋体"/>
                <w:color w:val="auto"/>
              </w:rPr>
            </w:pPr>
            <w:r>
              <w:rPr>
                <w:rFonts w:hint="eastAsia" w:ascii="宋体" w:hAnsi="宋体" w:cs="宋体"/>
                <w:color w:val="auto"/>
                <w:u w:val="single"/>
              </w:rPr>
              <w:t>8</w:t>
            </w:r>
            <w:r>
              <w:rPr>
                <w:rFonts w:hint="eastAsia" w:ascii="宋体" w:hAnsi="宋体" w:cs="宋体"/>
                <w:color w:val="auto"/>
              </w:rPr>
              <w:t>分</w:t>
            </w:r>
          </w:p>
        </w:tc>
        <w:tc>
          <w:tcPr>
            <w:tcW w:w="3821" w:type="dxa"/>
            <w:noWrap w:val="0"/>
            <w:vAlign w:val="top"/>
          </w:tcPr>
          <w:p w14:paraId="0910E637">
            <w:pPr>
              <w:rPr>
                <w:rFonts w:hint="eastAsia" w:ascii="宋体" w:hAnsi="宋体" w:cs="宋体"/>
                <w:color w:val="auto"/>
              </w:rPr>
            </w:pPr>
            <w:r>
              <w:rPr>
                <w:rFonts w:hint="eastAsia" w:ascii="宋体" w:hAnsi="宋体" w:cs="宋体"/>
                <w:color w:val="auto"/>
              </w:rPr>
              <w:t>2020年1月1日至今完成过质量合格的不少于4万吨级或投资额不少于10000万元码头工程业绩监理项目，每具有一项业绩得2分，最多得8分。</w:t>
            </w:r>
          </w:p>
          <w:p w14:paraId="598D61A6">
            <w:pPr>
              <w:rPr>
                <w:rFonts w:hint="eastAsia" w:ascii="宋体" w:hAnsi="宋体" w:cs="宋体"/>
                <w:color w:val="auto"/>
              </w:rPr>
            </w:pPr>
            <w:r>
              <w:rPr>
                <w:rFonts w:hint="eastAsia" w:ascii="宋体" w:hAnsi="宋体" w:cs="宋体"/>
                <w:color w:val="auto"/>
              </w:rPr>
              <w:t>注：1、须同时提供中标通知书或免招标的相关证明、施工监理合同协议书、交工验收证明文件或无交工验收一次性竣工验收证明文件。</w:t>
            </w:r>
          </w:p>
          <w:p w14:paraId="2B810BD3">
            <w:pPr>
              <w:rPr>
                <w:rFonts w:hint="eastAsia" w:ascii="宋体" w:hAnsi="宋体" w:cs="宋体"/>
                <w:color w:val="auto"/>
              </w:rPr>
            </w:pPr>
            <w:r>
              <w:rPr>
                <w:rFonts w:hint="eastAsia" w:ascii="宋体" w:hAnsi="宋体" w:cs="宋体"/>
                <w:color w:val="auto"/>
              </w:rPr>
              <w:t>2、同一工程项目同时满足2项或多项业绩要求条件的，可分别计；</w:t>
            </w:r>
          </w:p>
          <w:p w14:paraId="3C0C8526">
            <w:pPr>
              <w:rPr>
                <w:rFonts w:hint="eastAsia" w:ascii="宋体" w:hAnsi="宋体" w:cs="宋体"/>
                <w:color w:val="auto"/>
              </w:rPr>
            </w:pPr>
            <w:r>
              <w:rPr>
                <w:rFonts w:hint="eastAsia" w:ascii="宋体" w:hAnsi="宋体" w:cs="宋体"/>
                <w:color w:val="auto"/>
              </w:rPr>
              <w:t>3、“完成过”指工程完工并交工验收（时间以载明的交工验收或无交工验收一次性竣工验收时间为准），经评定合格，本文提到的交工验收是指交工验收或一次性竣工验收。</w:t>
            </w:r>
          </w:p>
          <w:p w14:paraId="6F05DCB7">
            <w:pPr>
              <w:rPr>
                <w:rFonts w:hint="eastAsia" w:ascii="宋体" w:hAnsi="宋体" w:cs="宋体"/>
                <w:color w:val="auto"/>
              </w:rPr>
            </w:pPr>
            <w:r>
              <w:rPr>
                <w:rFonts w:hint="eastAsia" w:ascii="宋体" w:hAnsi="宋体" w:cs="宋体"/>
                <w:color w:val="auto"/>
              </w:rPr>
              <w:t xml:space="preserve">4、本表要求业绩指由投标人承接并完成的业绩,投标人上级单位（如总公司、集团公司等）的监理业绩和投标人具备独立法人资格的下属机构的监理业绩均不予认定。若投标人提供的业绩证明为联合体业绩，则应提交合同中的联合体协议书，无法界定其完成的工作量和专业，此业绩不予认定。 </w:t>
            </w:r>
          </w:p>
        </w:tc>
      </w:tr>
      <w:tr w14:paraId="1604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 w:type="dxa"/>
            <w:vMerge w:val="continue"/>
            <w:noWrap w:val="0"/>
            <w:vAlign w:val="center"/>
          </w:tcPr>
          <w:p w14:paraId="15EA3A93">
            <w:pPr>
              <w:spacing w:line="380" w:lineRule="atLeast"/>
              <w:jc w:val="center"/>
              <w:rPr>
                <w:rFonts w:hint="eastAsia" w:ascii="宋体" w:hAnsi="宋体" w:cs="宋体"/>
                <w:color w:val="auto"/>
              </w:rPr>
            </w:pPr>
          </w:p>
        </w:tc>
        <w:tc>
          <w:tcPr>
            <w:tcW w:w="1173" w:type="dxa"/>
            <w:vMerge w:val="continue"/>
            <w:noWrap w:val="0"/>
            <w:vAlign w:val="center"/>
          </w:tcPr>
          <w:p w14:paraId="601C0913">
            <w:pPr>
              <w:spacing w:line="380" w:lineRule="atLeast"/>
              <w:jc w:val="center"/>
              <w:rPr>
                <w:rFonts w:ascii="宋体" w:hAnsi="宋体" w:cs="宋体"/>
                <w:color w:val="auto"/>
              </w:rPr>
            </w:pPr>
          </w:p>
        </w:tc>
        <w:tc>
          <w:tcPr>
            <w:tcW w:w="919" w:type="dxa"/>
            <w:vMerge w:val="continue"/>
            <w:noWrap w:val="0"/>
            <w:vAlign w:val="center"/>
          </w:tcPr>
          <w:p w14:paraId="19B051CC">
            <w:pPr>
              <w:spacing w:line="380" w:lineRule="atLeast"/>
              <w:jc w:val="center"/>
              <w:rPr>
                <w:rFonts w:ascii="宋体" w:hAnsi="宋体" w:cs="宋体"/>
                <w:color w:val="auto"/>
                <w:u w:val="single"/>
              </w:rPr>
            </w:pPr>
          </w:p>
        </w:tc>
        <w:tc>
          <w:tcPr>
            <w:tcW w:w="1204" w:type="dxa"/>
            <w:noWrap w:val="0"/>
            <w:vAlign w:val="center"/>
          </w:tcPr>
          <w:p w14:paraId="060A6FF3">
            <w:pPr>
              <w:jc w:val="center"/>
              <w:rPr>
                <w:rFonts w:hint="eastAsia" w:ascii="宋体" w:hAnsi="宋体" w:cs="宋体"/>
                <w:color w:val="auto"/>
              </w:rPr>
            </w:pPr>
            <w:r>
              <w:rPr>
                <w:rFonts w:hint="eastAsia" w:ascii="宋体" w:hAnsi="宋体" w:cs="宋体"/>
                <w:color w:val="auto"/>
              </w:rPr>
              <w:t>履约信誉</w:t>
            </w:r>
          </w:p>
        </w:tc>
        <w:tc>
          <w:tcPr>
            <w:tcW w:w="851" w:type="dxa"/>
            <w:noWrap w:val="0"/>
            <w:vAlign w:val="center"/>
          </w:tcPr>
          <w:p w14:paraId="08270D53">
            <w:pPr>
              <w:jc w:val="center"/>
              <w:rPr>
                <w:rFonts w:hint="eastAsia" w:ascii="宋体" w:hAnsi="宋体" w:cs="宋体"/>
                <w:color w:val="auto"/>
              </w:rPr>
            </w:pPr>
            <w:r>
              <w:rPr>
                <w:rFonts w:hint="eastAsia" w:ascii="宋体" w:hAnsi="宋体" w:cs="宋体"/>
                <w:color w:val="auto"/>
                <w:u w:val="single"/>
              </w:rPr>
              <w:t>10</w:t>
            </w:r>
            <w:r>
              <w:rPr>
                <w:rFonts w:hint="eastAsia" w:ascii="宋体" w:hAnsi="宋体" w:cs="宋体"/>
                <w:color w:val="auto"/>
              </w:rPr>
              <w:t>分</w:t>
            </w:r>
          </w:p>
        </w:tc>
        <w:tc>
          <w:tcPr>
            <w:tcW w:w="3821" w:type="dxa"/>
            <w:noWrap w:val="0"/>
            <w:vAlign w:val="top"/>
          </w:tcPr>
          <w:p w14:paraId="46DF6046">
            <w:pPr>
              <w:rPr>
                <w:rFonts w:hint="eastAsia" w:ascii="宋体" w:hAnsi="宋体" w:cs="宋体"/>
                <w:color w:val="auto"/>
              </w:rPr>
            </w:pPr>
            <w:r>
              <w:rPr>
                <w:rFonts w:hint="eastAsia" w:ascii="宋体" w:hAnsi="宋体" w:cs="宋体"/>
                <w:color w:val="auto"/>
              </w:rPr>
              <w:t>1. 信用等级分值（5分）</w:t>
            </w:r>
          </w:p>
          <w:p w14:paraId="048EEAC3">
            <w:pPr>
              <w:rPr>
                <w:rFonts w:hint="eastAsia" w:ascii="宋体" w:hAnsi="宋体" w:cs="宋体"/>
                <w:color w:val="auto"/>
              </w:rPr>
            </w:pPr>
            <w:r>
              <w:rPr>
                <w:rFonts w:hint="eastAsia" w:ascii="宋体" w:hAnsi="宋体" w:cs="宋体"/>
                <w:color w:val="auto"/>
              </w:rPr>
              <w:t>AA、A、B、C级单位的信用等级得分分别为</w:t>
            </w:r>
            <w:r>
              <w:rPr>
                <w:rFonts w:hint="eastAsia" w:ascii="宋体" w:hAnsi="宋体" w:cs="宋体"/>
                <w:color w:val="auto"/>
                <w:u w:val="single"/>
              </w:rPr>
              <w:t>5.00、4.75、4.45、3.65</w:t>
            </w:r>
            <w:r>
              <w:rPr>
                <w:rFonts w:hint="eastAsia" w:ascii="宋体" w:hAnsi="宋体" w:cs="宋体"/>
                <w:color w:val="auto"/>
              </w:rPr>
              <w:t>分。</w:t>
            </w:r>
          </w:p>
          <w:p w14:paraId="21762A80">
            <w:pPr>
              <w:rPr>
                <w:rFonts w:hint="eastAsia" w:ascii="宋体" w:hAnsi="宋体" w:cs="宋体"/>
                <w:color w:val="auto"/>
              </w:rPr>
            </w:pPr>
            <w:r>
              <w:rPr>
                <w:rFonts w:hint="eastAsia" w:ascii="宋体" w:hAnsi="宋体" w:cs="宋体"/>
                <w:color w:val="auto"/>
              </w:rPr>
              <w:t>注：信用等级的确定原则遵循投标人须知前附表10.2款的规定。</w:t>
            </w:r>
          </w:p>
          <w:p w14:paraId="2B52788E">
            <w:pPr>
              <w:rPr>
                <w:rFonts w:hint="eastAsia" w:ascii="宋体" w:hAnsi="宋体" w:cs="宋体"/>
                <w:color w:val="auto"/>
              </w:rPr>
            </w:pPr>
            <w:r>
              <w:rPr>
                <w:rFonts w:hint="eastAsia" w:ascii="宋体" w:hAnsi="宋体" w:cs="宋体"/>
                <w:color w:val="auto"/>
              </w:rPr>
              <w:t>2. 履约情况（5分）</w:t>
            </w:r>
          </w:p>
          <w:p w14:paraId="60E35C38">
            <w:pPr>
              <w:pStyle w:val="6"/>
              <w:adjustRightInd w:val="0"/>
              <w:snapToGrid w:val="0"/>
              <w:ind w:left="105" w:leftChars="50" w:right="105" w:rightChars="50" w:firstLine="8" w:firstLineChars="4"/>
              <w:rPr>
                <w:rFonts w:hint="eastAsia" w:hAnsi="宋体" w:cs="宋体"/>
                <w:color w:val="auto"/>
                <w:szCs w:val="21"/>
              </w:rPr>
            </w:pPr>
            <w:r>
              <w:rPr>
                <w:rFonts w:hint="eastAsia" w:hAnsi="宋体" w:cs="宋体"/>
                <w:color w:val="auto"/>
                <w:szCs w:val="21"/>
              </w:rPr>
              <w:t>若没出现下述情形得满分；</w:t>
            </w:r>
          </w:p>
          <w:p w14:paraId="705C98FA">
            <w:pPr>
              <w:pStyle w:val="6"/>
              <w:adjustRightInd w:val="0"/>
              <w:snapToGrid w:val="0"/>
              <w:ind w:left="105" w:leftChars="50" w:right="105" w:rightChars="50" w:firstLine="8" w:firstLineChars="4"/>
              <w:rPr>
                <w:rFonts w:hint="eastAsia" w:hAnsi="宋体" w:cs="宋体"/>
                <w:color w:val="auto"/>
                <w:szCs w:val="21"/>
              </w:rPr>
            </w:pPr>
            <w:r>
              <w:rPr>
                <w:rFonts w:hint="eastAsia" w:hAnsi="宋体" w:cs="宋体"/>
                <w:color w:val="auto"/>
                <w:szCs w:val="21"/>
              </w:rPr>
              <w:t>投标文件递交截止日前1年内，投标人因水运工程（含附属设施）质量、安全、履约或招标投标问题等原因被：</w:t>
            </w:r>
          </w:p>
          <w:p w14:paraId="39F30625">
            <w:pPr>
              <w:pStyle w:val="6"/>
              <w:adjustRightInd w:val="0"/>
              <w:snapToGrid w:val="0"/>
              <w:ind w:firstLine="8" w:firstLineChars="4"/>
              <w:rPr>
                <w:rFonts w:hint="eastAsia" w:hAnsi="宋体" w:cs="宋体"/>
                <w:color w:val="auto"/>
                <w:szCs w:val="21"/>
              </w:rPr>
            </w:pPr>
            <w:r>
              <w:rPr>
                <w:rFonts w:hint="eastAsia" w:hAnsi="宋体" w:cs="宋体"/>
                <w:color w:val="auto"/>
                <w:szCs w:val="21"/>
              </w:rPr>
              <w:t>（1）交通运输部行政处罚的，扣</w:t>
            </w:r>
            <w:r>
              <w:rPr>
                <w:rFonts w:hint="eastAsia" w:hAnsi="宋体" w:cs="宋体"/>
                <w:color w:val="auto"/>
                <w:szCs w:val="21"/>
                <w:u w:val="single"/>
              </w:rPr>
              <w:t>5</w:t>
            </w:r>
            <w:r>
              <w:rPr>
                <w:rFonts w:hint="eastAsia" w:hAnsi="宋体" w:cs="宋体"/>
                <w:color w:val="auto"/>
                <w:szCs w:val="21"/>
              </w:rPr>
              <w:t>分/次。</w:t>
            </w:r>
          </w:p>
          <w:p w14:paraId="5042858E">
            <w:pPr>
              <w:pStyle w:val="6"/>
              <w:adjustRightInd w:val="0"/>
              <w:snapToGrid w:val="0"/>
              <w:ind w:firstLine="8" w:firstLineChars="4"/>
              <w:rPr>
                <w:rFonts w:hint="eastAsia" w:hAnsi="宋体" w:cs="宋体"/>
                <w:color w:val="auto"/>
                <w:szCs w:val="21"/>
              </w:rPr>
            </w:pPr>
            <w:r>
              <w:rPr>
                <w:rFonts w:hint="eastAsia" w:hAnsi="宋体" w:cs="宋体"/>
                <w:color w:val="auto"/>
                <w:szCs w:val="21"/>
              </w:rPr>
              <w:t>（2）广东省交通运输厅行政处罚的，扣</w:t>
            </w:r>
            <w:r>
              <w:rPr>
                <w:rFonts w:hint="eastAsia" w:hAnsi="宋体" w:cs="宋体"/>
                <w:color w:val="auto"/>
                <w:szCs w:val="21"/>
                <w:u w:val="single"/>
              </w:rPr>
              <w:t>3</w:t>
            </w:r>
            <w:r>
              <w:rPr>
                <w:rFonts w:hint="eastAsia" w:hAnsi="宋体" w:cs="宋体"/>
                <w:color w:val="auto"/>
                <w:szCs w:val="21"/>
              </w:rPr>
              <w:t>分/次。</w:t>
            </w:r>
          </w:p>
          <w:p w14:paraId="24410708">
            <w:pPr>
              <w:pStyle w:val="6"/>
              <w:adjustRightInd w:val="0"/>
              <w:snapToGrid w:val="0"/>
              <w:ind w:firstLine="8" w:firstLineChars="4"/>
              <w:rPr>
                <w:rFonts w:hint="eastAsia" w:hAnsi="宋体" w:cs="宋体"/>
                <w:color w:val="auto"/>
                <w:szCs w:val="21"/>
              </w:rPr>
            </w:pPr>
            <w:r>
              <w:rPr>
                <w:rFonts w:hint="eastAsia" w:hAnsi="宋体" w:cs="宋体"/>
                <w:color w:val="auto"/>
                <w:szCs w:val="21"/>
                <w:u w:val="single"/>
              </w:rPr>
              <w:t>（3）项目所在地地级以上市交通运输局行政处罚的，扣1.5分/次。</w:t>
            </w:r>
          </w:p>
          <w:p w14:paraId="5B36EEB1">
            <w:pPr>
              <w:pStyle w:val="6"/>
              <w:adjustRightInd w:val="0"/>
              <w:snapToGrid w:val="0"/>
              <w:ind w:firstLine="8" w:firstLineChars="4"/>
              <w:rPr>
                <w:rFonts w:hint="eastAsia" w:hAnsi="宋体" w:cs="宋体"/>
                <w:color w:val="auto"/>
                <w:szCs w:val="21"/>
              </w:rPr>
            </w:pPr>
            <w:r>
              <w:rPr>
                <w:rFonts w:hint="eastAsia" w:hAnsi="宋体" w:cs="宋体"/>
                <w:color w:val="auto"/>
                <w:szCs w:val="21"/>
              </w:rPr>
              <w:t>（4）广东省交通运输厅正式约谈的，扣</w:t>
            </w:r>
            <w:r>
              <w:rPr>
                <w:rFonts w:hint="eastAsia" w:hAnsi="宋体" w:cs="宋体"/>
                <w:color w:val="auto"/>
                <w:szCs w:val="21"/>
                <w:u w:val="single"/>
              </w:rPr>
              <w:t>0.1</w:t>
            </w:r>
            <w:r>
              <w:rPr>
                <w:rFonts w:hint="eastAsia" w:hAnsi="宋体" w:cs="宋体"/>
                <w:color w:val="auto"/>
                <w:szCs w:val="21"/>
              </w:rPr>
              <w:t>分/次。</w:t>
            </w:r>
          </w:p>
          <w:p w14:paraId="4501CA6C">
            <w:pPr>
              <w:pStyle w:val="6"/>
              <w:adjustRightInd w:val="0"/>
              <w:snapToGrid w:val="0"/>
              <w:ind w:left="105" w:leftChars="50" w:right="105" w:rightChars="50" w:firstLine="8" w:firstLineChars="4"/>
              <w:rPr>
                <w:rFonts w:hint="eastAsia" w:hAnsi="宋体" w:cs="宋体"/>
                <w:color w:val="auto"/>
                <w:szCs w:val="21"/>
              </w:rPr>
            </w:pPr>
            <w:r>
              <w:rPr>
                <w:rFonts w:hint="eastAsia" w:hAnsi="宋体" w:cs="宋体"/>
                <w:color w:val="auto"/>
                <w:szCs w:val="21"/>
              </w:rPr>
              <w:t>注：同一事项同时被多个部门行政处罚或正式约谈只按最高的扣分计算1次</w:t>
            </w:r>
            <w:r>
              <w:rPr>
                <w:rStyle w:val="12"/>
                <w:rFonts w:hint="eastAsia" w:hAnsi="宋体" w:cs="宋体"/>
                <w:color w:val="auto"/>
                <w:szCs w:val="21"/>
              </w:rPr>
              <w:footnoteReference w:id="1"/>
            </w:r>
            <w:r>
              <w:rPr>
                <w:rFonts w:hint="eastAsia" w:hAnsi="宋体" w:cs="宋体"/>
                <w:color w:val="auto"/>
                <w:szCs w:val="21"/>
              </w:rPr>
              <w:t>。如果扣完本项分值，可以从总分中扣。</w:t>
            </w:r>
          </w:p>
        </w:tc>
      </w:tr>
      <w:tr w14:paraId="76837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923" w:type="dxa"/>
            <w:vMerge w:val="continue"/>
            <w:noWrap w:val="0"/>
            <w:vAlign w:val="center"/>
          </w:tcPr>
          <w:p w14:paraId="54F78BCD">
            <w:pPr>
              <w:spacing w:line="380" w:lineRule="atLeast"/>
              <w:jc w:val="center"/>
              <w:rPr>
                <w:rFonts w:hint="eastAsia" w:ascii="宋体" w:hAnsi="宋体" w:cs="宋体"/>
                <w:color w:val="auto"/>
              </w:rPr>
            </w:pPr>
          </w:p>
        </w:tc>
        <w:tc>
          <w:tcPr>
            <w:tcW w:w="1173" w:type="dxa"/>
            <w:vMerge w:val="continue"/>
            <w:noWrap w:val="0"/>
            <w:vAlign w:val="center"/>
          </w:tcPr>
          <w:p w14:paraId="2E25BFFB">
            <w:pPr>
              <w:spacing w:line="380" w:lineRule="atLeast"/>
              <w:jc w:val="center"/>
              <w:rPr>
                <w:rFonts w:ascii="宋体" w:hAnsi="宋体" w:cs="宋体"/>
                <w:color w:val="auto"/>
              </w:rPr>
            </w:pPr>
          </w:p>
        </w:tc>
        <w:tc>
          <w:tcPr>
            <w:tcW w:w="919" w:type="dxa"/>
            <w:vMerge w:val="continue"/>
            <w:noWrap w:val="0"/>
            <w:vAlign w:val="center"/>
          </w:tcPr>
          <w:p w14:paraId="54436CE3">
            <w:pPr>
              <w:spacing w:line="380" w:lineRule="atLeast"/>
              <w:jc w:val="center"/>
              <w:rPr>
                <w:rFonts w:ascii="宋体" w:hAnsi="宋体" w:cs="宋体"/>
                <w:color w:val="auto"/>
                <w:u w:val="single"/>
              </w:rPr>
            </w:pPr>
          </w:p>
        </w:tc>
        <w:tc>
          <w:tcPr>
            <w:tcW w:w="1204" w:type="dxa"/>
            <w:noWrap w:val="0"/>
            <w:vAlign w:val="center"/>
          </w:tcPr>
          <w:p w14:paraId="5D9300DE">
            <w:pPr>
              <w:jc w:val="center"/>
              <w:rPr>
                <w:rFonts w:hint="eastAsia" w:ascii="宋体" w:hAnsi="宋体" w:cs="宋体"/>
                <w:color w:val="auto"/>
              </w:rPr>
            </w:pPr>
            <w:r>
              <w:rPr>
                <w:rFonts w:hint="eastAsia" w:ascii="宋体" w:hAnsi="宋体" w:cs="宋体"/>
                <w:color w:val="auto"/>
                <w:u w:val="single"/>
              </w:rPr>
              <w:t>企业综合能力</w:t>
            </w:r>
          </w:p>
        </w:tc>
        <w:tc>
          <w:tcPr>
            <w:tcW w:w="851" w:type="dxa"/>
            <w:noWrap w:val="0"/>
            <w:vAlign w:val="center"/>
          </w:tcPr>
          <w:p w14:paraId="29DF8EA2">
            <w:pPr>
              <w:jc w:val="center"/>
              <w:rPr>
                <w:rFonts w:hint="eastAsia" w:ascii="宋体" w:hAnsi="宋体" w:cs="宋体"/>
                <w:color w:val="auto"/>
                <w:u w:val="single"/>
              </w:rPr>
            </w:pPr>
            <w:r>
              <w:rPr>
                <w:rFonts w:hint="eastAsia" w:ascii="宋体" w:hAnsi="宋体" w:cs="宋体"/>
                <w:color w:val="auto"/>
                <w:u w:val="single"/>
              </w:rPr>
              <w:t>2</w:t>
            </w:r>
            <w:r>
              <w:rPr>
                <w:rFonts w:hint="eastAsia" w:ascii="宋体" w:hAnsi="宋体" w:cs="宋体"/>
                <w:color w:val="auto"/>
              </w:rPr>
              <w:t>分</w:t>
            </w:r>
          </w:p>
        </w:tc>
        <w:tc>
          <w:tcPr>
            <w:tcW w:w="3821" w:type="dxa"/>
            <w:noWrap w:val="0"/>
            <w:vAlign w:val="top"/>
          </w:tcPr>
          <w:p w14:paraId="572E4C06">
            <w:pPr>
              <w:jc w:val="left"/>
              <w:rPr>
                <w:rFonts w:hint="eastAsia" w:ascii="宋体" w:hAnsi="宋体" w:cs="宋体"/>
                <w:szCs w:val="21"/>
              </w:rPr>
            </w:pPr>
            <w:r>
              <w:rPr>
                <w:rFonts w:hint="eastAsia" w:ascii="宋体" w:hAnsi="宋体" w:cs="宋体"/>
                <w:szCs w:val="21"/>
              </w:rPr>
              <w:t>投标人自 2020年 1 月 1 日至投标截止日，入选交通运输部水运工程建设领域守信典型企业目录：</w:t>
            </w:r>
          </w:p>
          <w:p w14:paraId="4A4C0422">
            <w:pPr>
              <w:jc w:val="left"/>
              <w:rPr>
                <w:rFonts w:hint="eastAsia" w:ascii="宋体" w:hAnsi="宋体" w:cs="宋体"/>
                <w:szCs w:val="21"/>
              </w:rPr>
            </w:pPr>
            <w:r>
              <w:rPr>
                <w:rFonts w:hint="eastAsia" w:ascii="宋体" w:hAnsi="宋体" w:cs="宋体"/>
                <w:szCs w:val="21"/>
              </w:rPr>
              <w:t>（1）入选两次及以上，得 2分；</w:t>
            </w:r>
          </w:p>
          <w:p w14:paraId="2CC01383">
            <w:pPr>
              <w:jc w:val="left"/>
              <w:rPr>
                <w:rFonts w:hint="eastAsia" w:ascii="宋体" w:hAnsi="宋体" w:cs="宋体"/>
                <w:szCs w:val="21"/>
              </w:rPr>
            </w:pPr>
            <w:r>
              <w:rPr>
                <w:rFonts w:hint="eastAsia" w:ascii="宋体" w:hAnsi="宋体" w:cs="宋体"/>
                <w:szCs w:val="21"/>
              </w:rPr>
              <w:t>（2）入选一次，得1分；</w:t>
            </w:r>
          </w:p>
          <w:p w14:paraId="5C1C065C">
            <w:pPr>
              <w:jc w:val="left"/>
              <w:rPr>
                <w:rFonts w:hint="eastAsia" w:ascii="宋体" w:hAnsi="宋体" w:cs="宋体"/>
                <w:szCs w:val="21"/>
              </w:rPr>
            </w:pPr>
            <w:r>
              <w:rPr>
                <w:rFonts w:hint="eastAsia" w:ascii="宋体" w:hAnsi="宋体" w:cs="宋体"/>
                <w:szCs w:val="21"/>
              </w:rPr>
              <w:t>（3）未入选，得0分</w:t>
            </w:r>
          </w:p>
          <w:p w14:paraId="0B808A05">
            <w:pPr>
              <w:jc w:val="left"/>
              <w:rPr>
                <w:rFonts w:hint="eastAsia" w:ascii="宋体" w:hAnsi="宋体" w:cs="宋体"/>
                <w:szCs w:val="21"/>
              </w:rPr>
            </w:pPr>
            <w:r>
              <w:rPr>
                <w:rFonts w:hint="eastAsia" w:ascii="宋体" w:hAnsi="宋体" w:cs="宋体"/>
                <w:szCs w:val="21"/>
              </w:rPr>
              <w:t>本项最高得2分。</w:t>
            </w:r>
          </w:p>
          <w:p w14:paraId="7B6BAEEB">
            <w:pPr>
              <w:pStyle w:val="6"/>
              <w:numPr>
                <w:ilvl w:val="0"/>
                <w:numId w:val="0"/>
              </w:numPr>
              <w:rPr>
                <w:rFonts w:hint="eastAsia" w:ascii="宋体" w:hAnsi="宋体" w:cs="宋体"/>
                <w:color w:val="auto"/>
              </w:rPr>
            </w:pPr>
            <w:r>
              <w:rPr>
                <w:rFonts w:hint="eastAsia" w:ascii="宋体" w:hAnsi="宋体" w:cs="宋体"/>
                <w:szCs w:val="21"/>
              </w:rPr>
              <w:t>注：投标人须提供交通运输部官方网站发布的公示截图。</w:t>
            </w:r>
          </w:p>
        </w:tc>
      </w:tr>
    </w:tbl>
    <w:p w14:paraId="68069647">
      <w:pPr>
        <w:rPr>
          <w:rFonts w:ascii="宋体" w:hAnsi="宋体"/>
          <w:vanish/>
          <w:color w:val="auto"/>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3"/>
        <w:gridCol w:w="7658"/>
      </w:tblGrid>
      <w:tr w14:paraId="79F7C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91" w:type="dxa"/>
            <w:gridSpan w:val="2"/>
            <w:noWrap w:val="0"/>
            <w:vAlign w:val="top"/>
          </w:tcPr>
          <w:p w14:paraId="6B53D0A4">
            <w:pPr>
              <w:widowControl/>
              <w:spacing w:line="360" w:lineRule="auto"/>
              <w:jc w:val="left"/>
              <w:rPr>
                <w:rFonts w:ascii="宋体" w:hAnsi="宋体" w:cs="宋体"/>
                <w:b/>
                <w:bCs/>
                <w:color w:val="auto"/>
              </w:rPr>
            </w:pPr>
            <w:r>
              <w:rPr>
                <w:rFonts w:hint="eastAsia" w:ascii="宋体" w:hAnsi="宋体" w:cs="宋体"/>
                <w:b/>
                <w:bCs/>
                <w:color w:val="auto"/>
              </w:rPr>
              <w:t>需要补充的其他内容</w:t>
            </w:r>
          </w:p>
        </w:tc>
      </w:tr>
      <w:tr w14:paraId="3C8D3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233" w:type="dxa"/>
            <w:noWrap w:val="0"/>
            <w:vAlign w:val="center"/>
          </w:tcPr>
          <w:p w14:paraId="06E321E3">
            <w:pPr>
              <w:widowControl/>
              <w:spacing w:line="360" w:lineRule="auto"/>
              <w:jc w:val="center"/>
              <w:rPr>
                <w:rFonts w:ascii="宋体" w:hAnsi="宋体" w:cs="宋体"/>
                <w:color w:val="auto"/>
              </w:rPr>
            </w:pPr>
            <w:r>
              <w:rPr>
                <w:rFonts w:hint="eastAsia" w:ascii="宋体" w:hAnsi="宋体" w:cs="宋体"/>
                <w:color w:val="auto"/>
              </w:rPr>
              <w:t>条款号</w:t>
            </w:r>
          </w:p>
        </w:tc>
        <w:tc>
          <w:tcPr>
            <w:tcW w:w="7658" w:type="dxa"/>
            <w:noWrap w:val="0"/>
            <w:vAlign w:val="center"/>
          </w:tcPr>
          <w:p w14:paraId="542C55BD">
            <w:pPr>
              <w:widowControl/>
              <w:spacing w:line="360" w:lineRule="auto"/>
              <w:jc w:val="center"/>
              <w:rPr>
                <w:rFonts w:ascii="宋体" w:hAnsi="宋体" w:cs="宋体"/>
                <w:color w:val="auto"/>
              </w:rPr>
            </w:pPr>
            <w:r>
              <w:rPr>
                <w:rFonts w:hint="eastAsia" w:ascii="宋体" w:hAnsi="宋体" w:cs="宋体"/>
                <w:color w:val="auto"/>
              </w:rPr>
              <w:t>补充或修改的内容</w:t>
            </w:r>
          </w:p>
        </w:tc>
      </w:tr>
      <w:tr w14:paraId="7FCB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26770B14">
            <w:pPr>
              <w:spacing w:line="360" w:lineRule="auto"/>
              <w:jc w:val="center"/>
              <w:rPr>
                <w:rFonts w:ascii="宋体" w:hAnsi="宋体" w:cs="宋体"/>
                <w:color w:val="auto"/>
              </w:rPr>
            </w:pPr>
            <w:r>
              <w:rPr>
                <w:rFonts w:hint="eastAsia" w:ascii="宋体" w:hAnsi="宋体" w:cs="宋体"/>
                <w:color w:val="auto"/>
              </w:rPr>
              <w:t>3.2.2</w:t>
            </w:r>
          </w:p>
        </w:tc>
        <w:tc>
          <w:tcPr>
            <w:tcW w:w="7658" w:type="dxa"/>
            <w:noWrap w:val="0"/>
            <w:vAlign w:val="center"/>
          </w:tcPr>
          <w:p w14:paraId="722E18BF">
            <w:pPr>
              <w:spacing w:line="360" w:lineRule="auto"/>
              <w:rPr>
                <w:rFonts w:hint="eastAsia" w:ascii="宋体" w:hAnsi="宋体" w:cs="宋体"/>
                <w:color w:val="auto"/>
              </w:rPr>
            </w:pPr>
            <w:r>
              <w:rPr>
                <w:rFonts w:hint="eastAsia" w:ascii="宋体" w:hAnsi="宋体" w:cs="宋体"/>
                <w:color w:val="auto"/>
              </w:rPr>
              <w:t>将评标办法原文第3.2.2项修改如下：</w:t>
            </w:r>
          </w:p>
          <w:p w14:paraId="55EE5A24">
            <w:pPr>
              <w:spacing w:line="360" w:lineRule="auto"/>
              <w:rPr>
                <w:rFonts w:hint="eastAsia" w:ascii="宋体" w:hAnsi="宋体" w:cs="宋体"/>
                <w:color w:val="auto"/>
              </w:rPr>
            </w:pPr>
            <w:r>
              <w:rPr>
                <w:rFonts w:hint="eastAsia" w:ascii="宋体" w:hAnsi="宋体" w:cs="宋体"/>
                <w:color w:val="auto"/>
              </w:rPr>
              <w:t>投标人的商务和技术得分分值计算保留小数点后三位，小数点后第四位“四舍五入”。</w:t>
            </w:r>
          </w:p>
        </w:tc>
      </w:tr>
      <w:tr w14:paraId="61D45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0C3C08D7">
            <w:pPr>
              <w:spacing w:line="360" w:lineRule="auto"/>
              <w:jc w:val="center"/>
              <w:rPr>
                <w:rFonts w:hint="eastAsia" w:ascii="宋体" w:hAnsi="宋体" w:cs="宋体"/>
                <w:color w:val="auto"/>
              </w:rPr>
            </w:pPr>
            <w:r>
              <w:rPr>
                <w:rFonts w:hint="eastAsia" w:ascii="宋体" w:hAnsi="宋体" w:cs="宋体"/>
                <w:color w:val="auto"/>
              </w:rPr>
              <w:t>3.2.3</w:t>
            </w:r>
          </w:p>
        </w:tc>
        <w:tc>
          <w:tcPr>
            <w:tcW w:w="7658" w:type="dxa"/>
            <w:noWrap w:val="0"/>
            <w:vAlign w:val="center"/>
          </w:tcPr>
          <w:p w14:paraId="2F5F0228">
            <w:pPr>
              <w:spacing w:line="360" w:lineRule="auto"/>
              <w:rPr>
                <w:rFonts w:hint="eastAsia" w:ascii="宋体" w:hAnsi="宋体" w:cs="宋体"/>
                <w:color w:val="auto"/>
              </w:rPr>
            </w:pPr>
            <w:r>
              <w:rPr>
                <w:rFonts w:hint="eastAsia" w:ascii="宋体" w:hAnsi="宋体" w:cs="宋体"/>
                <w:color w:val="auto"/>
              </w:rPr>
              <w:t>将评标办法范本原文第3.2.3项细化如下：</w:t>
            </w:r>
          </w:p>
          <w:p w14:paraId="68103F9E">
            <w:pPr>
              <w:spacing w:line="360" w:lineRule="auto"/>
              <w:ind w:firstLine="420" w:firstLineChars="200"/>
              <w:rPr>
                <w:rFonts w:hint="eastAsia" w:ascii="宋体" w:hAnsi="宋体" w:cs="宋体"/>
                <w:color w:val="auto"/>
              </w:rPr>
            </w:pPr>
            <w:r>
              <w:rPr>
                <w:rFonts w:hint="eastAsia" w:ascii="宋体" w:hAnsi="宋体" w:cs="宋体"/>
                <w:color w:val="auto"/>
              </w:rPr>
              <w:t>投标人的商务和技术得分=A+B+D。</w:t>
            </w:r>
          </w:p>
          <w:p w14:paraId="49BAA164">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投标文件评分因素</w:t>
            </w:r>
            <w:r>
              <w:rPr>
                <w:rFonts w:hint="eastAsia" w:ascii="宋体" w:hAnsi="宋体" w:cs="宋体"/>
                <w:color w:val="auto"/>
                <w:u w:val="single"/>
              </w:rPr>
              <w:t>（监理大纲）</w:t>
            </w:r>
            <w:r>
              <w:rPr>
                <w:rFonts w:hint="eastAsia" w:ascii="宋体" w:hAnsi="宋体" w:cs="宋体"/>
                <w:color w:val="auto"/>
              </w:rPr>
              <w:t>细分项得分均不应低于其权重分的60%，评分低于权重分值60%的，评标委员会成员应当在评标报告中作出说明。</w:t>
            </w:r>
          </w:p>
          <w:p w14:paraId="18D25C82">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评标委员会人数不少于9人单数时，计算投标人技术得分时:首先在评委技术评分中，采用取消同一评委对同一标段各投标人评分总分的差值最大的评委评分分值（当2名或以上技术评委评分总分差值最大时，应取消其中1名评委评分，具体办法如下），再对各评分因素细分项中取消一个最高、一个最低分后计算算术平均值的和为投标人的最终技术得分，平均值计算保留小数点后三位，小数点后 第四位“ 四舍五入 ”。</w:t>
            </w:r>
          </w:p>
          <w:p w14:paraId="716A5C8A">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取消其中1名评委评分的办法一（依次按照以下流程）：（1）对比上述出现技术评分总分差值最大的评委的次分差（次分差＝某一评委技术评分总分的最高分－该评委技术评分总分的次低分），取消次分差最大的评委评分；（2）如次分差仍相同，则按随机抽取的方式选定取消1名评委评分。</w:t>
            </w:r>
          </w:p>
          <w:p w14:paraId="0A507F2D">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注 ：如同一评委对5名投标人技术评分总分分别为： 40分（最高分）、40分、39分、38分、38分（次低分）、37分、37分（最低分），则其最大差值为3 分，次分差为：40分-38分=2分。</w:t>
            </w:r>
          </w:p>
          <w:p w14:paraId="2F65FFAD">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取消其中1名评委评分的办法二：按随机抽取的方式选定取消1名评委评分。</w:t>
            </w:r>
          </w:p>
          <w:p w14:paraId="0C63BA68">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评标委员会人数为7人时，计算投标人技术得分时:各评分因素细分项中取消 一个最高、一个最低分后计算算术平均值的和为投标人的最终技术得分，平均值 计算保留小数点后三位，小数点后第四位“ 四舍五入 ”。</w:t>
            </w:r>
          </w:p>
          <w:p w14:paraId="022B5742">
            <w:pPr>
              <w:autoSpaceDE w:val="0"/>
              <w:autoSpaceDN w:val="0"/>
              <w:adjustRightInd w:val="0"/>
              <w:spacing w:line="360" w:lineRule="auto"/>
              <w:ind w:firstLine="420"/>
              <w:rPr>
                <w:rFonts w:hint="eastAsia" w:ascii="宋体" w:hAnsi="宋体" w:cs="宋体"/>
                <w:color w:val="auto"/>
              </w:rPr>
            </w:pPr>
            <w:r>
              <w:rPr>
                <w:rFonts w:hint="eastAsia" w:ascii="宋体" w:hAnsi="宋体" w:cs="宋体"/>
                <w:color w:val="auto"/>
              </w:rPr>
              <w:t>以上评标委员会人数以实际参与评审的评标委员会人数数量为准。</w:t>
            </w:r>
          </w:p>
        </w:tc>
      </w:tr>
      <w:tr w14:paraId="4717A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3" w:type="dxa"/>
            <w:noWrap w:val="0"/>
            <w:vAlign w:val="center"/>
          </w:tcPr>
          <w:p w14:paraId="3855D80C">
            <w:pPr>
              <w:widowControl/>
              <w:spacing w:before="240" w:after="240" w:line="360" w:lineRule="auto"/>
              <w:jc w:val="center"/>
              <w:rPr>
                <w:rFonts w:ascii="宋体" w:hAnsi="宋体" w:cs="宋体"/>
                <w:color w:val="auto"/>
              </w:rPr>
            </w:pPr>
            <w:r>
              <w:rPr>
                <w:rFonts w:hint="eastAsia" w:ascii="宋体" w:hAnsi="宋体" w:cs="宋体"/>
                <w:color w:val="auto"/>
              </w:rPr>
              <w:t>3.9</w:t>
            </w:r>
          </w:p>
        </w:tc>
        <w:tc>
          <w:tcPr>
            <w:tcW w:w="7658" w:type="dxa"/>
            <w:noWrap w:val="0"/>
            <w:vAlign w:val="top"/>
          </w:tcPr>
          <w:p w14:paraId="6F296FA1">
            <w:pPr>
              <w:spacing w:line="360" w:lineRule="auto"/>
              <w:ind w:firstLine="378" w:firstLineChars="180"/>
              <w:rPr>
                <w:rFonts w:ascii="宋体" w:hAnsi="宋体" w:cs="宋体"/>
                <w:color w:val="auto"/>
              </w:rPr>
            </w:pPr>
            <w:r>
              <w:rPr>
                <w:rFonts w:hint="eastAsia" w:ascii="宋体" w:hAnsi="宋体" w:cs="宋体"/>
                <w:color w:val="auto"/>
              </w:rPr>
              <w:t>增加3.9.3、3.9.4、3.9.5、3.9.</w:t>
            </w:r>
            <w:r>
              <w:rPr>
                <w:rFonts w:ascii="宋体" w:hAnsi="宋体" w:cs="宋体"/>
                <w:color w:val="auto"/>
              </w:rPr>
              <w:t>6</w:t>
            </w:r>
            <w:r>
              <w:rPr>
                <w:rFonts w:hint="eastAsia" w:ascii="宋体" w:hAnsi="宋体" w:cs="宋体"/>
                <w:color w:val="auto"/>
              </w:rPr>
              <w:t>条款后增加：</w:t>
            </w:r>
          </w:p>
          <w:p w14:paraId="2E2417F3">
            <w:pPr>
              <w:spacing w:line="360" w:lineRule="auto"/>
              <w:ind w:firstLine="378" w:firstLineChars="180"/>
              <w:rPr>
                <w:rFonts w:ascii="宋体" w:hAnsi="宋体" w:cs="宋体"/>
                <w:color w:val="auto"/>
              </w:rPr>
            </w:pPr>
            <w:r>
              <w:rPr>
                <w:rFonts w:hint="eastAsia" w:ascii="宋体" w:hAnsi="宋体" w:cs="宋体"/>
                <w:color w:val="auto"/>
              </w:rPr>
              <w:t>3.9.</w:t>
            </w:r>
            <w:r>
              <w:rPr>
                <w:rFonts w:hint="eastAsia" w:ascii="宋体" w:hAnsi="宋体" w:cs="宋体"/>
                <w:color w:val="auto"/>
                <w:lang w:val="en-US" w:eastAsia="zh-CN"/>
              </w:rPr>
              <w:t>3</w:t>
            </w:r>
            <w:r>
              <w:rPr>
                <w:rFonts w:hint="eastAsia" w:ascii="宋体" w:hAnsi="宋体" w:cs="宋体"/>
                <w:color w:val="auto"/>
              </w:rPr>
              <w:t>通过第一个信封商务和技术文件评审的投标人少于3个的，评标委员会可以否决全部投标；未否决全部投标的，评标委员会应当在评标报告中阐明理由，招标人应当按照招标文件规定的程序进行第二个信封报价开标，但评标委员会在进行报价评审时仍有权否决全部投标；评标委员会未在报价文件评审时否决全部投标的，应当在评标报告中阐明理由并推荐</w:t>
            </w:r>
            <w:r>
              <w:rPr>
                <w:rFonts w:hint="eastAsia" w:ascii="宋体" w:hAnsi="宋体" w:cs="宋体"/>
                <w:color w:val="auto"/>
                <w:lang w:val="en-US" w:eastAsia="zh-CN"/>
              </w:rPr>
              <w:t>合格</w:t>
            </w:r>
            <w:r>
              <w:rPr>
                <w:rFonts w:hint="eastAsia" w:ascii="宋体" w:hAnsi="宋体" w:cs="宋体"/>
                <w:color w:val="auto"/>
              </w:rPr>
              <w:t>中标候选人。</w:t>
            </w:r>
          </w:p>
          <w:p w14:paraId="6AF1EFD7">
            <w:pPr>
              <w:spacing w:line="360" w:lineRule="auto"/>
              <w:ind w:firstLine="378" w:firstLineChars="180"/>
              <w:rPr>
                <w:rFonts w:ascii="宋体" w:hAnsi="宋体" w:cs="宋体"/>
                <w:color w:val="auto"/>
              </w:rPr>
            </w:pPr>
            <w:r>
              <w:rPr>
                <w:rFonts w:hint="eastAsia" w:ascii="宋体" w:hAnsi="宋体" w:cs="宋体"/>
                <w:color w:val="auto"/>
              </w:rPr>
              <w:t>3.9.</w:t>
            </w:r>
            <w:r>
              <w:rPr>
                <w:rFonts w:hint="eastAsia" w:ascii="宋体" w:hAnsi="宋体" w:cs="宋体"/>
                <w:color w:val="auto"/>
                <w:lang w:val="en-US" w:eastAsia="zh-CN"/>
              </w:rPr>
              <w:t>4</w:t>
            </w:r>
            <w:r>
              <w:rPr>
                <w:rFonts w:hint="eastAsia" w:ascii="宋体" w:hAnsi="宋体" w:cs="宋体"/>
                <w:color w:val="auto"/>
              </w:rPr>
              <w:t>通过第一个信封商务和技术文件评审的投标人在3个及以上的，招标人应当按照招标文件规定的程序进行第二个信封报价文件开标；在对报价文件进行评审后，有效投标不足3个的，评标委员会可以否决全部投标。未否决全部投标的，评标委员会应当在评标报告中阐明理由并推荐</w:t>
            </w:r>
            <w:r>
              <w:rPr>
                <w:rFonts w:hint="eastAsia" w:ascii="宋体" w:hAnsi="宋体" w:cs="宋体"/>
                <w:color w:val="auto"/>
                <w:lang w:val="en-US" w:eastAsia="zh-CN"/>
              </w:rPr>
              <w:t>合格</w:t>
            </w:r>
            <w:r>
              <w:rPr>
                <w:rFonts w:hint="eastAsia" w:ascii="宋体" w:hAnsi="宋体" w:cs="宋体"/>
                <w:color w:val="auto"/>
              </w:rPr>
              <w:t>中标候选人。</w:t>
            </w:r>
          </w:p>
          <w:p w14:paraId="2D6022AC">
            <w:pPr>
              <w:spacing w:line="360" w:lineRule="auto"/>
              <w:ind w:firstLine="378" w:firstLineChars="180"/>
              <w:rPr>
                <w:rFonts w:ascii="宋体" w:hAnsi="宋体" w:cs="宋体"/>
                <w:color w:val="auto"/>
              </w:rPr>
            </w:pPr>
            <w:r>
              <w:rPr>
                <w:rFonts w:hint="eastAsia" w:ascii="宋体" w:hAnsi="宋体" w:cs="宋体"/>
                <w:color w:val="auto"/>
              </w:rPr>
              <w:t>3.9.</w:t>
            </w:r>
            <w:r>
              <w:rPr>
                <w:rFonts w:hint="eastAsia" w:ascii="宋体" w:hAnsi="宋体" w:cs="宋体"/>
                <w:color w:val="auto"/>
                <w:lang w:val="en-US" w:eastAsia="zh-CN"/>
              </w:rPr>
              <w:t>5</w:t>
            </w:r>
            <w:r>
              <w:rPr>
                <w:rFonts w:hint="eastAsia" w:ascii="宋体" w:hAnsi="宋体" w:cs="宋体"/>
                <w:color w:val="auto"/>
              </w:rPr>
              <w:t>如果发生无法确定推荐</w:t>
            </w:r>
            <w:r>
              <w:rPr>
                <w:rFonts w:hint="eastAsia" w:ascii="宋体" w:hAnsi="宋体" w:cs="宋体"/>
                <w:color w:val="auto"/>
                <w:lang w:val="en-US" w:eastAsia="zh-CN"/>
              </w:rPr>
              <w:t>合格</w:t>
            </w:r>
            <w:r>
              <w:rPr>
                <w:rFonts w:hint="eastAsia" w:ascii="宋体" w:hAnsi="宋体" w:cs="宋体"/>
                <w:color w:val="auto"/>
              </w:rPr>
              <w:t>中标候选人的其它意外情况，评标委员会可建议招标人重新招标。</w:t>
            </w:r>
          </w:p>
          <w:p w14:paraId="2931F7D4">
            <w:pPr>
              <w:spacing w:line="360" w:lineRule="auto"/>
              <w:ind w:right="123" w:rightChars="59" w:firstLine="440" w:firstLineChars="200"/>
              <w:rPr>
                <w:rFonts w:ascii="宋体" w:hAnsi="宋体"/>
                <w:color w:val="auto"/>
                <w:sz w:val="22"/>
                <w:szCs w:val="22"/>
              </w:rPr>
            </w:pPr>
            <w:r>
              <w:rPr>
                <w:rFonts w:hint="eastAsia" w:ascii="宋体" w:hAnsi="宋体"/>
                <w:color w:val="auto"/>
                <w:sz w:val="22"/>
                <w:szCs w:val="22"/>
              </w:rPr>
              <w:t>3.9.</w:t>
            </w:r>
            <w:r>
              <w:rPr>
                <w:rFonts w:hint="eastAsia" w:ascii="宋体" w:hAnsi="宋体"/>
                <w:color w:val="auto"/>
                <w:sz w:val="22"/>
                <w:szCs w:val="22"/>
                <w:lang w:val="en-US" w:eastAsia="zh-CN"/>
              </w:rPr>
              <w:t>6</w:t>
            </w:r>
            <w:r>
              <w:rPr>
                <w:rFonts w:hint="eastAsia" w:ascii="宋体" w:hAnsi="宋体"/>
                <w:color w:val="auto"/>
                <w:sz w:val="22"/>
                <w:szCs w:val="22"/>
              </w:rPr>
              <w:t>本招标文件规定的否决投标条款包含在以下条款：</w:t>
            </w:r>
          </w:p>
          <w:p w14:paraId="05F3A2ED">
            <w:pPr>
              <w:spacing w:line="360" w:lineRule="auto"/>
              <w:ind w:right="123" w:rightChars="59" w:firstLine="440" w:firstLineChars="200"/>
              <w:rPr>
                <w:rFonts w:ascii="宋体" w:hAnsi="宋体"/>
                <w:color w:val="auto"/>
                <w:sz w:val="22"/>
                <w:szCs w:val="22"/>
              </w:rPr>
            </w:pPr>
            <w:r>
              <w:rPr>
                <w:rFonts w:hint="eastAsia" w:ascii="宋体" w:hAnsi="宋体"/>
                <w:color w:val="auto"/>
                <w:sz w:val="22"/>
                <w:szCs w:val="22"/>
              </w:rPr>
              <w:t>（1）招标公告第3点 投标人资格要求；</w:t>
            </w:r>
          </w:p>
          <w:p w14:paraId="15DEE935">
            <w:pPr>
              <w:spacing w:line="360" w:lineRule="auto"/>
              <w:ind w:right="123" w:rightChars="59" w:firstLine="440" w:firstLineChars="200"/>
              <w:rPr>
                <w:rFonts w:ascii="宋体" w:hAnsi="宋体"/>
                <w:color w:val="auto"/>
                <w:sz w:val="22"/>
                <w:szCs w:val="22"/>
              </w:rPr>
            </w:pPr>
            <w:r>
              <w:rPr>
                <w:rFonts w:hint="eastAsia" w:ascii="宋体" w:hAnsi="宋体"/>
                <w:color w:val="auto"/>
                <w:sz w:val="22"/>
                <w:szCs w:val="22"/>
              </w:rPr>
              <w:t>（2）</w:t>
            </w:r>
            <w:r>
              <w:rPr>
                <w:rFonts w:hint="eastAsia" w:ascii="宋体" w:hAnsi="宋体" w:cs="宋体"/>
                <w:color w:val="auto"/>
                <w:u w:val="single"/>
              </w:rPr>
              <w:t>投标人须知1.4项、1.11项、1.12项、3.6项</w:t>
            </w:r>
            <w:r>
              <w:rPr>
                <w:rFonts w:hint="eastAsia" w:ascii="宋体" w:hAnsi="宋体"/>
                <w:color w:val="auto"/>
                <w:sz w:val="22"/>
                <w:szCs w:val="22"/>
                <w:u w:val="single"/>
              </w:rPr>
              <w:t>；</w:t>
            </w:r>
          </w:p>
          <w:p w14:paraId="1D9ABF98">
            <w:pPr>
              <w:spacing w:line="360" w:lineRule="auto"/>
              <w:ind w:firstLine="396" w:firstLineChars="180"/>
              <w:rPr>
                <w:rFonts w:ascii="宋体" w:hAnsi="宋体" w:cs="宋体"/>
                <w:color w:val="auto"/>
              </w:rPr>
            </w:pPr>
            <w:r>
              <w:rPr>
                <w:rFonts w:hint="eastAsia" w:ascii="宋体" w:hAnsi="宋体"/>
                <w:color w:val="auto"/>
                <w:sz w:val="22"/>
                <w:szCs w:val="22"/>
              </w:rPr>
              <w:t>（3）本评标办法的否决条款。</w:t>
            </w:r>
          </w:p>
        </w:tc>
      </w:tr>
    </w:tbl>
    <w:p w14:paraId="1B8BB6CA">
      <w:pPr>
        <w:widowControl/>
        <w:spacing w:before="240" w:after="240"/>
        <w:jc w:val="left"/>
        <w:rPr>
          <w:rFonts w:ascii="宋体" w:hAnsi="宋体"/>
          <w:color w:val="auto"/>
          <w:sz w:val="27"/>
          <w:szCs w:val="27"/>
        </w:rPr>
      </w:pPr>
    </w:p>
    <w:p w14:paraId="4FA65384">
      <w:pPr>
        <w:pStyle w:val="4"/>
        <w:spacing w:after="0"/>
        <w:jc w:val="left"/>
        <w:rPr>
          <w:rFonts w:hint="eastAsia" w:ascii="宋体" w:hAnsi="宋体" w:eastAsia="宋体" w:cs="宋体"/>
          <w:color w:val="auto"/>
          <w:lang w:val="en-US" w:eastAsia="zh-CN"/>
        </w:rPr>
      </w:pPr>
      <w:r>
        <w:rPr>
          <w:rFonts w:ascii="宋体" w:hAnsi="宋体"/>
          <w:color w:val="auto"/>
          <w:sz w:val="27"/>
          <w:szCs w:val="27"/>
        </w:rPr>
        <w:br w:type="page"/>
      </w:r>
      <w:r>
        <w:rPr>
          <w:rStyle w:val="13"/>
          <w:rFonts w:ascii="Times New Roman" w:hAnsi="Times New Roman" w:cs="Times New Roman"/>
          <w:bCs/>
          <w:i w:val="0"/>
          <w:iCs w:val="0"/>
          <w:sz w:val="24"/>
          <w:szCs w:val="24"/>
        </w:rPr>
        <w:t>定标办法前附表</w:t>
      </w:r>
    </w:p>
    <w:p w14:paraId="10D07895">
      <w:pPr>
        <w:rPr>
          <w:rFonts w:hint="eastAsia"/>
          <w:sz w:val="24"/>
          <w:szCs w:val="24"/>
          <w:lang w:val="en-US" w:eastAsia="zh-CN"/>
        </w:rPr>
      </w:pPr>
    </w:p>
    <w:p w14:paraId="3B89E2A3">
      <w:pPr>
        <w:rPr>
          <w:rFonts w:hint="default"/>
          <w:sz w:val="24"/>
          <w:szCs w:val="24"/>
          <w:lang w:val="en-US" w:eastAsia="zh-CN"/>
        </w:rPr>
      </w:pPr>
      <w:r>
        <w:rPr>
          <w:rFonts w:hint="eastAsia"/>
          <w:sz w:val="24"/>
          <w:szCs w:val="24"/>
          <w:lang w:val="en-US" w:eastAsia="zh-CN"/>
        </w:rPr>
        <w:t>附表1：</w:t>
      </w:r>
    </w:p>
    <w:p w14:paraId="18682A1A">
      <w:pPr>
        <w:shd w:val="clear" w:color="auto" w:fill="auto"/>
        <w:ind w:left="0" w:leftChars="0" w:right="0" w:rightChars="0" w:firstLine="0" w:firstLineChars="0"/>
        <w:jc w:val="center"/>
        <w:rPr>
          <w:rFonts w:hint="eastAsia"/>
          <w:b/>
          <w:color w:val="auto"/>
          <w:sz w:val="32"/>
          <w:szCs w:val="32"/>
          <w:highlight w:val="none"/>
          <w:lang w:val="zh-TW" w:eastAsia="zh-CN"/>
        </w:rPr>
      </w:pPr>
      <w:r>
        <w:rPr>
          <w:rFonts w:hint="eastAsia"/>
          <w:b/>
          <w:color w:val="auto"/>
          <w:sz w:val="32"/>
          <w:szCs w:val="32"/>
          <w:highlight w:val="none"/>
          <w:lang w:val="zh-TW" w:eastAsia="zh-CN"/>
        </w:rPr>
        <w:t>定标因素表（定标阶段用表）</w:t>
      </w:r>
    </w:p>
    <w:tbl>
      <w:tblPr>
        <w:tblStyle w:val="10"/>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
        <w:gridCol w:w="1123"/>
        <w:gridCol w:w="6719"/>
      </w:tblGrid>
      <w:tr w14:paraId="7F6F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blHeader/>
          <w:jc w:val="center"/>
        </w:trPr>
        <w:tc>
          <w:tcPr>
            <w:tcW w:w="501" w:type="pct"/>
            <w:tcBorders>
              <w:top w:val="single" w:color="auto" w:sz="4" w:space="0"/>
              <w:left w:val="single" w:color="auto" w:sz="4" w:space="0"/>
              <w:bottom w:val="single" w:color="auto" w:sz="4" w:space="0"/>
              <w:right w:val="single" w:color="auto" w:sz="4" w:space="0"/>
            </w:tcBorders>
            <w:noWrap w:val="0"/>
            <w:vAlign w:val="center"/>
          </w:tcPr>
          <w:p w14:paraId="61BAC4C3">
            <w:pPr>
              <w:keepNext w:val="0"/>
              <w:keepLines w:val="0"/>
              <w:suppressLineNumbers w:val="0"/>
              <w:shd w:val="clear" w:color="auto" w:fill="auto"/>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序号</w:t>
            </w:r>
          </w:p>
        </w:tc>
        <w:tc>
          <w:tcPr>
            <w:tcW w:w="644" w:type="pct"/>
            <w:tcBorders>
              <w:top w:val="single" w:color="auto" w:sz="4" w:space="0"/>
              <w:left w:val="single" w:color="auto" w:sz="4" w:space="0"/>
              <w:bottom w:val="single" w:color="auto" w:sz="4" w:space="0"/>
              <w:right w:val="single" w:color="auto" w:sz="4" w:space="0"/>
            </w:tcBorders>
            <w:noWrap w:val="0"/>
            <w:vAlign w:val="center"/>
          </w:tcPr>
          <w:p w14:paraId="731315E8">
            <w:pPr>
              <w:keepNext w:val="0"/>
              <w:keepLines w:val="0"/>
              <w:suppressLineNumbers w:val="0"/>
              <w:shd w:val="clear" w:color="auto" w:fill="auto"/>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评价项目</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7C281C7B">
            <w:pPr>
              <w:keepNext w:val="0"/>
              <w:keepLines w:val="0"/>
              <w:suppressLineNumbers w:val="0"/>
              <w:shd w:val="clear" w:color="auto" w:fill="auto"/>
              <w:spacing w:before="0" w:beforeAutospacing="0" w:after="0" w:afterAutospacing="0"/>
              <w:ind w:left="0" w:right="0"/>
              <w:jc w:val="center"/>
              <w:rPr>
                <w:rFonts w:hint="eastAsia" w:ascii="宋体" w:hAnsi="宋体" w:cs="宋体"/>
                <w:b/>
                <w:bCs/>
                <w:color w:val="auto"/>
                <w:szCs w:val="21"/>
                <w:highlight w:val="none"/>
              </w:rPr>
            </w:pPr>
            <w:r>
              <w:rPr>
                <w:rFonts w:hint="eastAsia" w:ascii="宋体" w:hAnsi="宋体" w:cs="宋体"/>
                <w:b/>
                <w:bCs/>
                <w:color w:val="auto"/>
                <w:szCs w:val="21"/>
                <w:highlight w:val="none"/>
              </w:rPr>
              <w:t>定标评价的内容</w:t>
            </w:r>
          </w:p>
        </w:tc>
      </w:tr>
      <w:tr w14:paraId="78D8B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501" w:type="pct"/>
            <w:vMerge w:val="restart"/>
            <w:tcBorders>
              <w:top w:val="single" w:color="auto" w:sz="4" w:space="0"/>
              <w:left w:val="single" w:color="auto" w:sz="4" w:space="0"/>
              <w:right w:val="single" w:color="auto" w:sz="4" w:space="0"/>
            </w:tcBorders>
            <w:noWrap w:val="0"/>
            <w:vAlign w:val="center"/>
          </w:tcPr>
          <w:p w14:paraId="4BEA6C6C">
            <w:pPr>
              <w:keepNext w:val="0"/>
              <w:keepLines w:val="0"/>
              <w:suppressLineNumbers w:val="0"/>
              <w:shd w:val="clear" w:color="auto" w:fill="auto"/>
              <w:spacing w:before="0" w:beforeAutospacing="0" w:after="0" w:afterAutospacing="0"/>
              <w:ind w:left="0" w:right="0"/>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1</w:t>
            </w:r>
          </w:p>
        </w:tc>
        <w:tc>
          <w:tcPr>
            <w:tcW w:w="644" w:type="pct"/>
            <w:vMerge w:val="restart"/>
            <w:tcBorders>
              <w:top w:val="single" w:color="auto" w:sz="4" w:space="0"/>
              <w:left w:val="single" w:color="auto" w:sz="4" w:space="0"/>
              <w:right w:val="single" w:color="auto" w:sz="4" w:space="0"/>
            </w:tcBorders>
            <w:noWrap w:val="0"/>
            <w:vAlign w:val="center"/>
          </w:tcPr>
          <w:p w14:paraId="770C2A3D">
            <w:pPr>
              <w:keepNext w:val="0"/>
              <w:keepLines w:val="0"/>
              <w:suppressLineNumbers w:val="0"/>
              <w:shd w:val="clear" w:color="auto" w:fill="auto"/>
              <w:spacing w:before="0" w:beforeAutospacing="0" w:after="0" w:afterAutospacing="0"/>
              <w:ind w:left="0" w:right="0"/>
              <w:jc w:val="center"/>
              <w:rPr>
                <w:rFonts w:hint="eastAsia" w:ascii="宋体" w:hAnsi="宋体" w:cs="宋体"/>
                <w:color w:val="auto"/>
                <w:szCs w:val="21"/>
                <w:highlight w:val="none"/>
                <w:lang w:eastAsia="zh-CN"/>
              </w:rPr>
            </w:pPr>
            <w:r>
              <w:rPr>
                <w:rFonts w:hint="eastAsia" w:ascii="宋体" w:hAnsi="宋体" w:cs="宋体"/>
                <w:color w:val="auto"/>
                <w:szCs w:val="21"/>
                <w:highlight w:val="none"/>
                <w:lang w:eastAsia="zh-CN"/>
              </w:rPr>
              <w:t>方案因素</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74BA14CC">
            <w:pPr>
              <w:keepNext w:val="0"/>
              <w:keepLines w:val="0"/>
              <w:widowControl/>
              <w:suppressLineNumbers w:val="0"/>
              <w:shd w:val="clear" w:color="auto" w:fill="auto"/>
              <w:spacing w:before="0" w:beforeAutospacing="0" w:after="0" w:afterAutospacing="0"/>
              <w:ind w:left="0" w:right="0"/>
              <w:jc w:val="left"/>
              <w:rPr>
                <w:rFonts w:hint="eastAsia" w:ascii="宋体" w:hAnsi="宋体"/>
                <w:color w:val="auto"/>
                <w:kern w:val="0"/>
                <w:szCs w:val="21"/>
                <w:highlight w:val="none"/>
                <w:lang w:bidi="ar"/>
              </w:rPr>
            </w:pPr>
            <w:r>
              <w:rPr>
                <w:rFonts w:hint="eastAsia" w:ascii="宋体" w:hAnsi="宋体"/>
                <w:color w:val="auto"/>
                <w:kern w:val="0"/>
                <w:szCs w:val="21"/>
                <w:highlight w:val="none"/>
                <w:lang w:bidi="ar"/>
              </w:rPr>
              <w:t>对各阶段监理方案、对本项目重点及难点分析及解决措施等监理大纲内容的合理性、可行性进行评审。</w:t>
            </w:r>
          </w:p>
        </w:tc>
      </w:tr>
      <w:tr w14:paraId="1DDE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0" w:hRule="atLeast"/>
          <w:jc w:val="center"/>
        </w:trPr>
        <w:tc>
          <w:tcPr>
            <w:tcW w:w="501" w:type="pct"/>
            <w:tcBorders>
              <w:left w:val="single" w:color="auto" w:sz="4" w:space="0"/>
              <w:right w:val="single" w:color="auto" w:sz="4" w:space="0"/>
            </w:tcBorders>
            <w:noWrap w:val="0"/>
            <w:vAlign w:val="center"/>
          </w:tcPr>
          <w:p w14:paraId="3C2CE019">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2</w:t>
            </w:r>
          </w:p>
        </w:tc>
        <w:tc>
          <w:tcPr>
            <w:tcW w:w="644" w:type="pct"/>
            <w:tcBorders>
              <w:left w:val="single" w:color="auto" w:sz="4" w:space="0"/>
              <w:right w:val="single" w:color="auto" w:sz="4" w:space="0"/>
            </w:tcBorders>
            <w:noWrap w:val="0"/>
            <w:vAlign w:val="center"/>
          </w:tcPr>
          <w:p w14:paraId="4126E0FD">
            <w:pPr>
              <w:keepNext w:val="0"/>
              <w:keepLines w:val="0"/>
              <w:suppressLineNumbers w:val="0"/>
              <w:shd w:val="clear" w:color="auto" w:fill="auto"/>
              <w:spacing w:before="0" w:beforeAutospacing="0" w:after="0" w:afterAutospacing="0"/>
              <w:ind w:left="0" w:right="0"/>
              <w:jc w:val="center"/>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val="en-US" w:eastAsia="zh-CN"/>
              </w:rPr>
              <w:t>团队因素</w:t>
            </w:r>
          </w:p>
        </w:tc>
        <w:tc>
          <w:tcPr>
            <w:tcW w:w="3853" w:type="pct"/>
            <w:tcBorders>
              <w:top w:val="single" w:color="auto" w:sz="4" w:space="0"/>
              <w:left w:val="single" w:color="auto" w:sz="4" w:space="0"/>
              <w:bottom w:val="single" w:color="auto" w:sz="4" w:space="0"/>
              <w:right w:val="single" w:color="auto" w:sz="4" w:space="0"/>
            </w:tcBorders>
            <w:noWrap w:val="0"/>
            <w:vAlign w:val="center"/>
          </w:tcPr>
          <w:p w14:paraId="51FD542C">
            <w:pPr>
              <w:keepNext w:val="0"/>
              <w:keepLines w:val="0"/>
              <w:suppressLineNumbers w:val="0"/>
              <w:shd w:val="clear" w:color="auto" w:fill="auto"/>
              <w:spacing w:before="0" w:beforeAutospacing="0" w:after="0" w:afterAutospacing="0"/>
              <w:ind w:left="0" w:right="0"/>
              <w:jc w:val="left"/>
              <w:rPr>
                <w:rFonts w:hint="eastAsia" w:ascii="宋体" w:hAnsi="宋体" w:eastAsia="宋体" w:cs="宋体"/>
                <w:color w:val="auto"/>
                <w:kern w:val="2"/>
                <w:sz w:val="21"/>
                <w:szCs w:val="21"/>
                <w:highlight w:val="none"/>
                <w:lang w:val="en-US" w:eastAsia="zh-CN" w:bidi="ar-SA"/>
              </w:rPr>
            </w:pPr>
            <w:r>
              <w:rPr>
                <w:rFonts w:hint="eastAsia" w:ascii="宋体" w:hAnsi="宋体"/>
                <w:color w:val="auto"/>
                <w:kern w:val="0"/>
                <w:szCs w:val="21"/>
                <w:highlight w:val="none"/>
                <w:lang w:val="en-US" w:eastAsia="zh-CN" w:bidi="ar"/>
              </w:rPr>
              <w:t>合格中标候选人</w:t>
            </w:r>
            <w:r>
              <w:rPr>
                <w:rFonts w:hint="eastAsia" w:ascii="宋体" w:hAnsi="宋体" w:eastAsia="宋体" w:cs="宋体"/>
                <w:color w:val="auto"/>
                <w:kern w:val="2"/>
                <w:sz w:val="21"/>
                <w:szCs w:val="21"/>
                <w:highlight w:val="none"/>
                <w:lang w:val="en-US" w:eastAsia="zh-CN" w:bidi="ar-SA"/>
              </w:rPr>
              <w:t>在满足第二章投标人须知前附表附录5资格审查条件（其他主要监理人员最低要求）的基础上对拟投入本项目的监理人员中（总监理工程师除外）具有职称人员的职称级别情况，专业资格情况以及数量情况进行综合评价。</w:t>
            </w:r>
          </w:p>
        </w:tc>
      </w:tr>
    </w:tbl>
    <w:p w14:paraId="4C13A749">
      <w:pPr>
        <w:rPr>
          <w:rFonts w:hint="default"/>
          <w:sz w:val="28"/>
          <w:szCs w:val="28"/>
          <w:lang w:val="en-US" w:eastAsia="zh-CN"/>
        </w:rPr>
      </w:pPr>
      <w:r>
        <w:rPr>
          <w:rFonts w:hint="eastAsia" w:ascii="宋体" w:hAnsi="宋体" w:eastAsia="宋体" w:cs="宋体"/>
          <w:color w:val="auto"/>
        </w:rPr>
        <w:br w:type="page"/>
      </w:r>
      <w:r>
        <w:rPr>
          <w:rFonts w:hint="eastAsia"/>
          <w:sz w:val="24"/>
          <w:szCs w:val="24"/>
          <w:lang w:val="en-US" w:eastAsia="zh-CN"/>
        </w:rPr>
        <w:t>附表2：</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116"/>
        <w:gridCol w:w="1598"/>
        <w:gridCol w:w="3814"/>
      </w:tblGrid>
      <w:tr w14:paraId="586E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3"/>
            <w:tcBorders>
              <w:top w:val="nil"/>
              <w:left w:val="nil"/>
              <w:bottom w:val="nil"/>
              <w:right w:val="nil"/>
            </w:tcBorders>
            <w:noWrap/>
            <w:vAlign w:val="center"/>
          </w:tcPr>
          <w:p w14:paraId="1F0F9B55">
            <w:pPr>
              <w:keepNext w:val="0"/>
              <w:keepLines w:val="0"/>
              <w:widowControl/>
              <w:suppressLineNumbers w:val="0"/>
              <w:jc w:val="center"/>
              <w:textAlignment w:val="auto"/>
              <w:rPr>
                <w:rFonts w:ascii="方正小标宋简体" w:hAnsi="方正小标宋简体" w:eastAsia="方正小标宋简体" w:cs="方正小标宋简体"/>
                <w:b/>
                <w:bCs/>
                <w:i w:val="0"/>
                <w:iCs w:val="0"/>
                <w:color w:val="000000"/>
                <w:sz w:val="48"/>
                <w:szCs w:val="48"/>
                <w:u w:val="none"/>
              </w:rPr>
            </w:pPr>
            <w:r>
              <w:rPr>
                <w:rFonts w:hint="eastAsia" w:ascii="Times New Roman" w:hAnsi="Times New Roman" w:eastAsia="宋体" w:cs="Times New Roman"/>
                <w:b/>
                <w:bCs w:val="0"/>
                <w:i w:val="0"/>
                <w:iCs w:val="0"/>
                <w:color w:val="auto"/>
                <w:kern w:val="2"/>
                <w:sz w:val="32"/>
                <w:szCs w:val="32"/>
                <w:highlight w:val="none"/>
                <w:u w:val="none"/>
                <w:lang w:val="zh-TW" w:eastAsia="zh-CN" w:bidi="ar"/>
              </w:rPr>
              <w:t xml:space="preserve"> 定标票数评审表（每个定标委员一张）</w:t>
            </w:r>
          </w:p>
        </w:tc>
      </w:tr>
      <w:tr w14:paraId="2A4E5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827" w:type="pct"/>
            <w:tcBorders>
              <w:top w:val="single" w:color="000000" w:sz="4" w:space="0"/>
              <w:left w:val="single" w:color="000000" w:sz="4" w:space="0"/>
              <w:bottom w:val="single" w:color="000000" w:sz="4" w:space="0"/>
              <w:right w:val="single" w:color="000000" w:sz="4" w:space="0"/>
            </w:tcBorders>
            <w:noWrap w:val="0"/>
            <w:vAlign w:val="center"/>
          </w:tcPr>
          <w:p w14:paraId="439FA28D">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合格中标候选人名称</w:t>
            </w:r>
          </w:p>
        </w:tc>
        <w:tc>
          <w:tcPr>
            <w:tcW w:w="937" w:type="pct"/>
            <w:tcBorders>
              <w:top w:val="single" w:color="000000" w:sz="4" w:space="0"/>
              <w:left w:val="single" w:color="000000" w:sz="4" w:space="0"/>
              <w:bottom w:val="single" w:color="000000" w:sz="4" w:space="0"/>
              <w:right w:val="single" w:color="000000" w:sz="4" w:space="0"/>
            </w:tcBorders>
            <w:noWrap/>
            <w:vAlign w:val="center"/>
          </w:tcPr>
          <w:p w14:paraId="434A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投票票数</w:t>
            </w:r>
          </w:p>
        </w:tc>
        <w:tc>
          <w:tcPr>
            <w:tcW w:w="2234" w:type="pct"/>
            <w:tcBorders>
              <w:top w:val="single" w:color="000000" w:sz="4" w:space="0"/>
              <w:left w:val="single" w:color="000000" w:sz="4" w:space="0"/>
              <w:bottom w:val="single" w:color="000000" w:sz="4" w:space="0"/>
              <w:right w:val="single" w:color="000000" w:sz="4" w:space="0"/>
            </w:tcBorders>
            <w:noWrap/>
            <w:vAlign w:val="center"/>
          </w:tcPr>
          <w:p w14:paraId="3334F2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投票理由</w:t>
            </w:r>
          </w:p>
        </w:tc>
      </w:tr>
      <w:tr w14:paraId="000F4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27" w:type="pct"/>
            <w:tcBorders>
              <w:top w:val="single" w:color="000000" w:sz="4" w:space="0"/>
              <w:left w:val="single" w:color="000000" w:sz="4" w:space="0"/>
              <w:bottom w:val="single" w:color="000000" w:sz="4" w:space="0"/>
              <w:right w:val="single" w:color="000000" w:sz="4" w:space="0"/>
            </w:tcBorders>
            <w:noWrap w:val="0"/>
            <w:vAlign w:val="center"/>
          </w:tcPr>
          <w:p w14:paraId="36D3E9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7" w:type="pct"/>
            <w:tcBorders>
              <w:top w:val="single" w:color="000000" w:sz="4" w:space="0"/>
              <w:left w:val="single" w:color="000000" w:sz="4" w:space="0"/>
              <w:bottom w:val="single" w:color="000000" w:sz="4" w:space="0"/>
              <w:right w:val="single" w:color="000000" w:sz="4" w:space="0"/>
            </w:tcBorders>
            <w:noWrap/>
            <w:vAlign w:val="center"/>
          </w:tcPr>
          <w:p w14:paraId="4E65609D">
            <w:pPr>
              <w:jc w:val="center"/>
              <w:rPr>
                <w:rFonts w:hint="eastAsia" w:ascii="宋体" w:hAnsi="宋体" w:eastAsia="宋体" w:cs="宋体"/>
                <w:i w:val="0"/>
                <w:iCs w:val="0"/>
                <w:color w:val="000000"/>
                <w:sz w:val="21"/>
                <w:szCs w:val="21"/>
                <w:u w:val="none"/>
              </w:rPr>
            </w:pPr>
          </w:p>
        </w:tc>
        <w:tc>
          <w:tcPr>
            <w:tcW w:w="2234" w:type="pct"/>
            <w:tcBorders>
              <w:top w:val="single" w:color="000000" w:sz="4" w:space="0"/>
              <w:left w:val="single" w:color="000000" w:sz="4" w:space="0"/>
              <w:bottom w:val="single" w:color="000000" w:sz="4" w:space="0"/>
              <w:right w:val="single" w:color="000000" w:sz="4" w:space="0"/>
            </w:tcBorders>
            <w:noWrap/>
            <w:vAlign w:val="center"/>
          </w:tcPr>
          <w:p w14:paraId="30825B10">
            <w:pPr>
              <w:jc w:val="center"/>
              <w:rPr>
                <w:rFonts w:hint="eastAsia" w:ascii="宋体" w:hAnsi="宋体" w:eastAsia="宋体" w:cs="宋体"/>
                <w:i w:val="0"/>
                <w:iCs w:val="0"/>
                <w:color w:val="000000"/>
                <w:sz w:val="21"/>
                <w:szCs w:val="21"/>
                <w:u w:val="none"/>
              </w:rPr>
            </w:pPr>
          </w:p>
        </w:tc>
      </w:tr>
      <w:tr w14:paraId="2275AA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27" w:type="pct"/>
            <w:tcBorders>
              <w:top w:val="single" w:color="000000" w:sz="4" w:space="0"/>
              <w:left w:val="single" w:color="000000" w:sz="4" w:space="0"/>
              <w:bottom w:val="single" w:color="000000" w:sz="4" w:space="0"/>
              <w:right w:val="single" w:color="000000" w:sz="4" w:space="0"/>
            </w:tcBorders>
            <w:noWrap w:val="0"/>
            <w:vAlign w:val="center"/>
          </w:tcPr>
          <w:p w14:paraId="0ECD8F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7" w:type="pct"/>
            <w:tcBorders>
              <w:top w:val="single" w:color="000000" w:sz="4" w:space="0"/>
              <w:left w:val="single" w:color="000000" w:sz="4" w:space="0"/>
              <w:bottom w:val="single" w:color="000000" w:sz="4" w:space="0"/>
              <w:right w:val="single" w:color="000000" w:sz="4" w:space="0"/>
            </w:tcBorders>
            <w:noWrap/>
            <w:vAlign w:val="bottom"/>
          </w:tcPr>
          <w:p w14:paraId="6C53AADA">
            <w:pPr>
              <w:rPr>
                <w:rFonts w:hint="eastAsia" w:ascii="宋体" w:hAnsi="宋体" w:eastAsia="宋体" w:cs="宋体"/>
                <w:i w:val="0"/>
                <w:iCs w:val="0"/>
                <w:color w:val="000000"/>
                <w:sz w:val="21"/>
                <w:szCs w:val="21"/>
                <w:u w:val="none"/>
              </w:rPr>
            </w:pPr>
          </w:p>
        </w:tc>
        <w:tc>
          <w:tcPr>
            <w:tcW w:w="2234" w:type="pct"/>
            <w:tcBorders>
              <w:top w:val="single" w:color="000000" w:sz="4" w:space="0"/>
              <w:left w:val="single" w:color="000000" w:sz="4" w:space="0"/>
              <w:bottom w:val="single" w:color="000000" w:sz="4" w:space="0"/>
              <w:right w:val="single" w:color="000000" w:sz="4" w:space="0"/>
            </w:tcBorders>
            <w:noWrap/>
            <w:vAlign w:val="bottom"/>
          </w:tcPr>
          <w:p w14:paraId="232F4CF1">
            <w:pPr>
              <w:rPr>
                <w:rFonts w:hint="eastAsia" w:ascii="宋体" w:hAnsi="宋体" w:eastAsia="宋体" w:cs="宋体"/>
                <w:i w:val="0"/>
                <w:iCs w:val="0"/>
                <w:color w:val="000000"/>
                <w:sz w:val="21"/>
                <w:szCs w:val="21"/>
                <w:u w:val="none"/>
              </w:rPr>
            </w:pPr>
          </w:p>
        </w:tc>
      </w:tr>
      <w:tr w14:paraId="34739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827" w:type="pct"/>
            <w:tcBorders>
              <w:top w:val="single" w:color="000000" w:sz="4" w:space="0"/>
              <w:left w:val="single" w:color="000000" w:sz="4" w:space="0"/>
              <w:bottom w:val="single" w:color="000000" w:sz="4" w:space="0"/>
              <w:right w:val="single" w:color="000000" w:sz="4" w:space="0"/>
            </w:tcBorders>
            <w:noWrap w:val="0"/>
            <w:vAlign w:val="center"/>
          </w:tcPr>
          <w:p w14:paraId="0504F8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937" w:type="pct"/>
            <w:tcBorders>
              <w:top w:val="single" w:color="000000" w:sz="4" w:space="0"/>
              <w:left w:val="single" w:color="000000" w:sz="4" w:space="0"/>
              <w:bottom w:val="single" w:color="000000" w:sz="4" w:space="0"/>
              <w:right w:val="single" w:color="000000" w:sz="4" w:space="0"/>
            </w:tcBorders>
            <w:noWrap/>
            <w:vAlign w:val="bottom"/>
          </w:tcPr>
          <w:p w14:paraId="6AD9A50E">
            <w:pPr>
              <w:rPr>
                <w:rFonts w:hint="eastAsia" w:ascii="宋体" w:hAnsi="宋体" w:eastAsia="宋体" w:cs="宋体"/>
                <w:i w:val="0"/>
                <w:iCs w:val="0"/>
                <w:color w:val="000000"/>
                <w:sz w:val="21"/>
                <w:szCs w:val="21"/>
                <w:u w:val="none"/>
              </w:rPr>
            </w:pPr>
          </w:p>
        </w:tc>
        <w:tc>
          <w:tcPr>
            <w:tcW w:w="2234" w:type="pct"/>
            <w:tcBorders>
              <w:top w:val="single" w:color="000000" w:sz="4" w:space="0"/>
              <w:left w:val="single" w:color="000000" w:sz="4" w:space="0"/>
              <w:bottom w:val="single" w:color="000000" w:sz="4" w:space="0"/>
              <w:right w:val="single" w:color="000000" w:sz="4" w:space="0"/>
            </w:tcBorders>
            <w:noWrap/>
            <w:vAlign w:val="bottom"/>
          </w:tcPr>
          <w:p w14:paraId="200E7DA3">
            <w:pPr>
              <w:rPr>
                <w:rFonts w:hint="eastAsia" w:ascii="宋体" w:hAnsi="宋体" w:eastAsia="宋体" w:cs="宋体"/>
                <w:i w:val="0"/>
                <w:iCs w:val="0"/>
                <w:color w:val="000000"/>
                <w:sz w:val="21"/>
                <w:szCs w:val="21"/>
                <w:u w:val="none"/>
              </w:rPr>
            </w:pPr>
          </w:p>
        </w:tc>
      </w:tr>
    </w:tbl>
    <w:p w14:paraId="136CE4F2">
      <w:pPr>
        <w:spacing w:line="360" w:lineRule="auto"/>
        <w:rPr>
          <w:rFonts w:ascii="宋体" w:hAnsi="宋体"/>
          <w:color w:val="auto"/>
          <w:szCs w:val="21"/>
          <w:highlight w:val="none"/>
        </w:rPr>
      </w:pPr>
      <w:r>
        <w:rPr>
          <w:rFonts w:hint="eastAsia" w:ascii="宋体" w:hAnsi="宋体"/>
          <w:color w:val="auto"/>
          <w:szCs w:val="21"/>
          <w:highlight w:val="none"/>
        </w:rPr>
        <w:t>正式投票规则：</w:t>
      </w:r>
    </w:p>
    <w:p w14:paraId="76C6FCF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（1）以上表格用于正式投票，投票时须注明</w:t>
      </w:r>
      <w:r>
        <w:rPr>
          <w:rFonts w:hint="eastAsia" w:ascii="宋体" w:hAnsi="宋体"/>
          <w:color w:val="auto"/>
          <w:szCs w:val="21"/>
          <w:highlight w:val="none"/>
          <w:lang w:val="en-US" w:eastAsia="zh-CN"/>
        </w:rPr>
        <w:t>合格</w:t>
      </w:r>
      <w:r>
        <w:rPr>
          <w:rFonts w:hint="eastAsia" w:ascii="宋体" w:hAnsi="宋体"/>
          <w:color w:val="auto"/>
          <w:szCs w:val="21"/>
          <w:highlight w:val="none"/>
        </w:rPr>
        <w:t>中标候选人</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投票票数及投票</w:t>
      </w:r>
      <w:r>
        <w:rPr>
          <w:rFonts w:hint="eastAsia" w:ascii="宋体" w:hAnsi="宋体"/>
          <w:color w:val="auto"/>
          <w:szCs w:val="21"/>
          <w:highlight w:val="none"/>
        </w:rPr>
        <w:t>理由。</w:t>
      </w:r>
    </w:p>
    <w:p w14:paraId="7B7D2F1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（2）由定标委员会成员进行投票，各定标委员会成员以择优排序的原则对所有进入定标程序的</w:t>
      </w:r>
      <w:r>
        <w:rPr>
          <w:rFonts w:hint="eastAsia" w:ascii="宋体" w:hAnsi="宋体"/>
          <w:color w:val="auto"/>
          <w:szCs w:val="21"/>
          <w:highlight w:val="none"/>
          <w:lang w:val="en-US" w:eastAsia="zh-CN"/>
        </w:rPr>
        <w:t>合格中标</w:t>
      </w:r>
      <w:r>
        <w:rPr>
          <w:rFonts w:hint="eastAsia" w:ascii="宋体" w:hAnsi="宋体"/>
          <w:color w:val="auto"/>
          <w:szCs w:val="21"/>
          <w:highlight w:val="none"/>
        </w:rPr>
        <w:t xml:space="preserve">候选人进行逐个投票，最优的 </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票，其次 </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票，依此类推</w:t>
      </w:r>
      <w:r>
        <w:rPr>
          <w:rFonts w:hint="eastAsia" w:ascii="宋体" w:hAnsi="宋体"/>
          <w:color w:val="auto"/>
          <w:szCs w:val="21"/>
          <w:highlight w:val="none"/>
          <w:lang w:eastAsia="zh-CN"/>
        </w:rPr>
        <w:t>。</w:t>
      </w:r>
    </w:p>
    <w:p w14:paraId="7FD05C5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w:t>
      </w:r>
      <w:r>
        <w:rPr>
          <w:rFonts w:hint="eastAsia" w:ascii="宋体" w:hAnsi="宋体" w:cs="Arial"/>
          <w:color w:val="auto"/>
          <w:szCs w:val="21"/>
          <w:highlight w:val="none"/>
        </w:rPr>
        <w:t>投票结束后，</w:t>
      </w:r>
      <w:r>
        <w:rPr>
          <w:rFonts w:hint="eastAsia" w:ascii="宋体" w:hAnsi="宋体"/>
          <w:color w:val="auto"/>
          <w:szCs w:val="21"/>
          <w:highlight w:val="none"/>
        </w:rPr>
        <w:t>点票人员</w:t>
      </w:r>
      <w:r>
        <w:rPr>
          <w:rFonts w:hint="eastAsia" w:ascii="宋体" w:hAnsi="宋体" w:cs="Arial"/>
          <w:color w:val="auto"/>
          <w:szCs w:val="21"/>
          <w:highlight w:val="none"/>
        </w:rPr>
        <w:t>对投票人数、票数和每票应选中标候选人总数加以核对和统计，作废的选票不得统计，并向</w:t>
      </w:r>
      <w:r>
        <w:rPr>
          <w:rFonts w:hint="eastAsia" w:ascii="宋体" w:hAnsi="宋体"/>
          <w:color w:val="auto"/>
          <w:szCs w:val="21"/>
          <w:highlight w:val="none"/>
        </w:rPr>
        <w:t>定标委员会</w:t>
      </w:r>
      <w:r>
        <w:rPr>
          <w:rFonts w:hint="eastAsia" w:ascii="宋体" w:hAnsi="宋体" w:cs="Arial"/>
          <w:color w:val="auto"/>
          <w:szCs w:val="21"/>
          <w:highlight w:val="none"/>
        </w:rPr>
        <w:t>报告。</w:t>
      </w:r>
    </w:p>
    <w:p w14:paraId="3FD8A826">
      <w:pPr>
        <w:spacing w:line="360" w:lineRule="auto"/>
        <w:ind w:firstLine="480"/>
        <w:rPr>
          <w:rFonts w:ascii="宋体" w:hAnsi="宋体"/>
          <w:color w:val="auto"/>
          <w:szCs w:val="21"/>
          <w:highlight w:val="none"/>
        </w:rPr>
      </w:pPr>
      <w:r>
        <w:rPr>
          <w:rFonts w:hint="eastAsia" w:ascii="宋体" w:hAnsi="宋体"/>
          <w:color w:val="auto"/>
          <w:szCs w:val="21"/>
          <w:highlight w:val="none"/>
        </w:rPr>
        <w:t>（4）定标委员会成员应当独立投票，自投票开始至最终排名统计结果公布期间，任何人不得非法干预、影响投票过程，不得透露、协商、改变投票结果，不得使用通信联络工具。</w:t>
      </w:r>
    </w:p>
    <w:p w14:paraId="4E6E0BDB">
      <w:pPr>
        <w:spacing w:line="360" w:lineRule="auto"/>
        <w:rPr>
          <w:rFonts w:ascii="宋体" w:hAnsi="宋体"/>
          <w:color w:val="auto"/>
          <w:szCs w:val="21"/>
          <w:highlight w:val="none"/>
        </w:rPr>
      </w:pPr>
    </w:p>
    <w:p w14:paraId="2C2DB1D8">
      <w:pPr>
        <w:spacing w:line="360" w:lineRule="auto"/>
        <w:rPr>
          <w:rFonts w:hint="eastAsia" w:ascii="宋体" w:hAnsi="宋体"/>
          <w:color w:val="auto"/>
          <w:szCs w:val="21"/>
          <w:highlight w:val="none"/>
        </w:rPr>
      </w:pPr>
      <w:r>
        <w:rPr>
          <w:rFonts w:hint="eastAsia" w:ascii="宋体" w:hAnsi="宋体"/>
          <w:color w:val="auto"/>
          <w:szCs w:val="21"/>
          <w:highlight w:val="none"/>
        </w:rPr>
        <w:t>定标委员会成员签名：                                 日期：     年    月    日</w:t>
      </w:r>
    </w:p>
    <w:p w14:paraId="0054BCC0">
      <w:pPr>
        <w:spacing w:line="360" w:lineRule="auto"/>
        <w:rPr>
          <w:rFonts w:hint="eastAsia" w:ascii="宋体" w:hAnsi="宋体"/>
          <w:color w:val="auto"/>
          <w:szCs w:val="21"/>
          <w:highlight w:val="none"/>
        </w:rPr>
      </w:pPr>
      <w:r>
        <w:rPr>
          <w:rFonts w:hint="eastAsia" w:ascii="宋体" w:hAnsi="宋体"/>
          <w:color w:val="auto"/>
          <w:szCs w:val="21"/>
          <w:highlight w:val="none"/>
        </w:rPr>
        <w:br w:type="page"/>
      </w:r>
      <w:r>
        <w:rPr>
          <w:rFonts w:hint="eastAsia"/>
          <w:sz w:val="24"/>
          <w:szCs w:val="24"/>
          <w:lang w:val="en-US" w:eastAsia="zh-CN"/>
        </w:rPr>
        <w:t>附表3：</w:t>
      </w: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620"/>
        <w:gridCol w:w="653"/>
        <w:gridCol w:w="653"/>
        <w:gridCol w:w="653"/>
        <w:gridCol w:w="653"/>
        <w:gridCol w:w="662"/>
        <w:gridCol w:w="1641"/>
        <w:gridCol w:w="993"/>
      </w:tblGrid>
      <w:tr w14:paraId="4E89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42CBBD6D">
            <w:pPr>
              <w:keepNext w:val="0"/>
              <w:keepLines w:val="0"/>
              <w:widowControl/>
              <w:suppressLineNumbers w:val="0"/>
              <w:jc w:val="center"/>
              <w:textAlignment w:val="auto"/>
              <w:rPr>
                <w:rFonts w:ascii="方正小标宋简体" w:hAnsi="方正小标宋简体" w:eastAsia="方正小标宋简体" w:cs="方正小标宋简体"/>
                <w:b/>
                <w:bCs/>
                <w:i w:val="0"/>
                <w:iCs w:val="0"/>
                <w:color w:val="000000"/>
                <w:sz w:val="48"/>
                <w:szCs w:val="48"/>
                <w:u w:val="none"/>
              </w:rPr>
            </w:pPr>
            <w:r>
              <w:rPr>
                <w:rFonts w:hint="eastAsia" w:ascii="Times New Roman" w:hAnsi="Times New Roman" w:eastAsia="宋体" w:cs="Times New Roman"/>
                <w:b/>
                <w:bCs w:val="0"/>
                <w:i w:val="0"/>
                <w:iCs w:val="0"/>
                <w:color w:val="auto"/>
                <w:kern w:val="2"/>
                <w:sz w:val="32"/>
                <w:szCs w:val="32"/>
                <w:highlight w:val="none"/>
                <w:u w:val="none"/>
                <w:lang w:val="zh-TW" w:eastAsia="zh-CN" w:bidi="ar"/>
              </w:rPr>
              <w:t>定标票数汇总表</w:t>
            </w:r>
          </w:p>
        </w:tc>
      </w:tr>
      <w:tr w14:paraId="556BE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36" w:type="pct"/>
            <w:vMerge w:val="restart"/>
            <w:tcBorders>
              <w:top w:val="single" w:color="000000" w:sz="4" w:space="0"/>
              <w:left w:val="single" w:color="000000" w:sz="4" w:space="0"/>
              <w:bottom w:val="single" w:color="000000" w:sz="4" w:space="0"/>
              <w:right w:val="single" w:color="000000" w:sz="4" w:space="0"/>
            </w:tcBorders>
            <w:noWrap w:val="0"/>
            <w:vAlign w:val="center"/>
          </w:tcPr>
          <w:p w14:paraId="67463E2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合格中标候选人名称</w:t>
            </w:r>
          </w:p>
        </w:tc>
        <w:tc>
          <w:tcPr>
            <w:tcW w:w="1920" w:type="pct"/>
            <w:gridSpan w:val="5"/>
            <w:tcBorders>
              <w:top w:val="single" w:color="000000" w:sz="4" w:space="0"/>
              <w:left w:val="single" w:color="000000" w:sz="4" w:space="0"/>
              <w:bottom w:val="single" w:color="000000" w:sz="4" w:space="0"/>
              <w:right w:val="single" w:color="000000" w:sz="4" w:space="0"/>
            </w:tcBorders>
            <w:noWrap/>
            <w:vAlign w:val="center"/>
          </w:tcPr>
          <w:p w14:paraId="0AD755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定标委员姓名及票数</w:t>
            </w:r>
          </w:p>
        </w:tc>
        <w:tc>
          <w:tcPr>
            <w:tcW w:w="962" w:type="pct"/>
            <w:vMerge w:val="restart"/>
            <w:tcBorders>
              <w:top w:val="single" w:color="000000" w:sz="4" w:space="0"/>
              <w:left w:val="single" w:color="000000" w:sz="4" w:space="0"/>
              <w:bottom w:val="single" w:color="000000" w:sz="4" w:space="0"/>
              <w:right w:val="single" w:color="000000" w:sz="4" w:space="0"/>
            </w:tcBorders>
            <w:noWrap/>
            <w:vAlign w:val="center"/>
          </w:tcPr>
          <w:p w14:paraId="549EE4F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累计票数</w:t>
            </w:r>
          </w:p>
        </w:tc>
        <w:tc>
          <w:tcPr>
            <w:tcW w:w="580" w:type="pct"/>
            <w:vMerge w:val="restart"/>
            <w:tcBorders>
              <w:top w:val="single" w:color="000000" w:sz="4" w:space="0"/>
              <w:left w:val="single" w:color="000000" w:sz="4" w:space="0"/>
              <w:bottom w:val="single" w:color="000000" w:sz="4" w:space="0"/>
              <w:right w:val="single" w:color="000000" w:sz="4" w:space="0"/>
            </w:tcBorders>
            <w:noWrap/>
            <w:vAlign w:val="center"/>
          </w:tcPr>
          <w:p w14:paraId="091E1AB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bidi="ar"/>
              </w:rPr>
            </w:pPr>
            <w:r>
              <w:rPr>
                <w:rFonts w:hint="eastAsia" w:ascii="宋体" w:hAnsi="宋体" w:eastAsia="宋体" w:cs="宋体"/>
                <w:i w:val="0"/>
                <w:iCs w:val="0"/>
                <w:color w:val="000000"/>
                <w:kern w:val="0"/>
                <w:sz w:val="21"/>
                <w:szCs w:val="21"/>
                <w:u w:val="none"/>
                <w:lang w:val="en-US" w:eastAsia="zh-CN" w:bidi="ar"/>
              </w:rPr>
              <w:t>排序</w:t>
            </w:r>
          </w:p>
        </w:tc>
      </w:tr>
      <w:tr w14:paraId="44D91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536" w:type="pct"/>
            <w:vMerge w:val="continue"/>
            <w:tcBorders>
              <w:top w:val="single" w:color="000000" w:sz="4" w:space="0"/>
              <w:left w:val="single" w:color="000000" w:sz="4" w:space="0"/>
              <w:bottom w:val="single" w:color="000000" w:sz="4" w:space="0"/>
              <w:right w:val="single" w:color="000000" w:sz="4" w:space="0"/>
            </w:tcBorders>
            <w:noWrap w:val="0"/>
            <w:vAlign w:val="center"/>
          </w:tcPr>
          <w:p w14:paraId="65C3C671">
            <w:pPr>
              <w:jc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6D2E93DD">
            <w:pPr>
              <w:jc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0F812B9E">
            <w:pPr>
              <w:jc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040CE588">
            <w:pPr>
              <w:jc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6516B1DD">
            <w:pPr>
              <w:jc w:val="center"/>
              <w:rPr>
                <w:rFonts w:hint="eastAsia" w:ascii="宋体" w:hAnsi="宋体" w:eastAsia="宋体" w:cs="宋体"/>
                <w:i w:val="0"/>
                <w:iCs w:val="0"/>
                <w:color w:val="000000"/>
                <w:sz w:val="28"/>
                <w:szCs w:val="28"/>
                <w:u w:val="none"/>
              </w:rPr>
            </w:pP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7B99A867">
            <w:pPr>
              <w:jc w:val="center"/>
              <w:rPr>
                <w:rFonts w:hint="eastAsia" w:ascii="宋体" w:hAnsi="宋体" w:eastAsia="宋体" w:cs="宋体"/>
                <w:i w:val="0"/>
                <w:iCs w:val="0"/>
                <w:color w:val="000000"/>
                <w:sz w:val="28"/>
                <w:szCs w:val="28"/>
                <w:u w:val="none"/>
              </w:rPr>
            </w:pPr>
          </w:p>
        </w:tc>
        <w:tc>
          <w:tcPr>
            <w:tcW w:w="962" w:type="pct"/>
            <w:vMerge w:val="continue"/>
            <w:tcBorders>
              <w:top w:val="single" w:color="000000" w:sz="4" w:space="0"/>
              <w:left w:val="single" w:color="000000" w:sz="4" w:space="0"/>
              <w:bottom w:val="single" w:color="000000" w:sz="4" w:space="0"/>
              <w:right w:val="single" w:color="000000" w:sz="4" w:space="0"/>
            </w:tcBorders>
            <w:noWrap/>
            <w:vAlign w:val="center"/>
          </w:tcPr>
          <w:p w14:paraId="44FBC8D1">
            <w:pPr>
              <w:jc w:val="center"/>
              <w:rPr>
                <w:rFonts w:hint="eastAsia" w:ascii="宋体" w:hAnsi="宋体" w:eastAsia="宋体" w:cs="宋体"/>
                <w:i w:val="0"/>
                <w:iCs w:val="0"/>
                <w:color w:val="000000"/>
                <w:sz w:val="28"/>
                <w:szCs w:val="28"/>
                <w:u w:val="none"/>
              </w:rPr>
            </w:pPr>
          </w:p>
        </w:tc>
        <w:tc>
          <w:tcPr>
            <w:tcW w:w="580" w:type="pct"/>
            <w:vMerge w:val="continue"/>
            <w:tcBorders>
              <w:top w:val="single" w:color="000000" w:sz="4" w:space="0"/>
              <w:left w:val="single" w:color="000000" w:sz="4" w:space="0"/>
              <w:bottom w:val="single" w:color="000000" w:sz="4" w:space="0"/>
              <w:right w:val="single" w:color="000000" w:sz="4" w:space="0"/>
            </w:tcBorders>
            <w:noWrap/>
            <w:vAlign w:val="center"/>
          </w:tcPr>
          <w:p w14:paraId="01F5DFCE">
            <w:pPr>
              <w:jc w:val="center"/>
              <w:rPr>
                <w:rFonts w:hint="eastAsia" w:ascii="宋体" w:hAnsi="宋体" w:eastAsia="宋体" w:cs="宋体"/>
                <w:i w:val="0"/>
                <w:iCs w:val="0"/>
                <w:color w:val="000000"/>
                <w:sz w:val="28"/>
                <w:szCs w:val="28"/>
                <w:u w:val="none"/>
              </w:rPr>
            </w:pPr>
          </w:p>
        </w:tc>
      </w:tr>
      <w:tr w14:paraId="1FDC05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6" w:type="pct"/>
            <w:tcBorders>
              <w:top w:val="single" w:color="000000" w:sz="4" w:space="0"/>
              <w:left w:val="single" w:color="000000" w:sz="4" w:space="0"/>
              <w:bottom w:val="single" w:color="000000" w:sz="4" w:space="0"/>
              <w:right w:val="single" w:color="000000" w:sz="4" w:space="0"/>
            </w:tcBorders>
            <w:noWrap w:val="0"/>
            <w:vAlign w:val="center"/>
          </w:tcPr>
          <w:p w14:paraId="5530AB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0DE5BC29">
            <w:pPr>
              <w:jc w:val="cente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4AFDBF27">
            <w:pPr>
              <w:jc w:val="cente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5890F947">
            <w:pPr>
              <w:jc w:val="cente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center"/>
          </w:tcPr>
          <w:p w14:paraId="6A6B2256">
            <w:pPr>
              <w:jc w:val="center"/>
              <w:rPr>
                <w:rFonts w:hint="eastAsia" w:ascii="宋体" w:hAnsi="宋体" w:eastAsia="宋体" w:cs="宋体"/>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noWrap/>
            <w:vAlign w:val="center"/>
          </w:tcPr>
          <w:p w14:paraId="43F3ABE7">
            <w:pPr>
              <w:jc w:val="center"/>
              <w:rPr>
                <w:rFonts w:hint="eastAsia" w:ascii="宋体" w:hAnsi="宋体" w:eastAsia="宋体" w:cs="宋体"/>
                <w:i w:val="0"/>
                <w:iCs w:val="0"/>
                <w:color w:val="000000"/>
                <w:sz w:val="24"/>
                <w:szCs w:val="24"/>
                <w:u w:val="none"/>
              </w:rPr>
            </w:pPr>
          </w:p>
        </w:tc>
        <w:tc>
          <w:tcPr>
            <w:tcW w:w="962" w:type="pct"/>
            <w:tcBorders>
              <w:top w:val="single" w:color="000000" w:sz="4" w:space="0"/>
              <w:left w:val="single" w:color="000000" w:sz="4" w:space="0"/>
              <w:bottom w:val="single" w:color="000000" w:sz="4" w:space="0"/>
              <w:right w:val="single" w:color="000000" w:sz="4" w:space="0"/>
            </w:tcBorders>
            <w:noWrap/>
            <w:vAlign w:val="center"/>
          </w:tcPr>
          <w:p w14:paraId="517CE457">
            <w:pPr>
              <w:jc w:val="center"/>
              <w:rPr>
                <w:rFonts w:hint="eastAsia" w:ascii="宋体" w:hAnsi="宋体" w:eastAsia="宋体" w:cs="宋体"/>
                <w:i w:val="0"/>
                <w:iCs w:val="0"/>
                <w:color w:val="000000"/>
                <w:sz w:val="24"/>
                <w:szCs w:val="24"/>
                <w:u w:val="none"/>
              </w:rPr>
            </w:pPr>
          </w:p>
        </w:tc>
        <w:tc>
          <w:tcPr>
            <w:tcW w:w="580" w:type="pct"/>
            <w:tcBorders>
              <w:top w:val="single" w:color="000000" w:sz="4" w:space="0"/>
              <w:left w:val="single" w:color="000000" w:sz="4" w:space="0"/>
              <w:bottom w:val="single" w:color="000000" w:sz="4" w:space="0"/>
              <w:right w:val="single" w:color="000000" w:sz="4" w:space="0"/>
            </w:tcBorders>
            <w:noWrap/>
            <w:vAlign w:val="center"/>
          </w:tcPr>
          <w:p w14:paraId="34F382A3">
            <w:pPr>
              <w:jc w:val="center"/>
              <w:rPr>
                <w:rFonts w:hint="eastAsia" w:ascii="宋体" w:hAnsi="宋体" w:eastAsia="宋体" w:cs="宋体"/>
                <w:i w:val="0"/>
                <w:iCs w:val="0"/>
                <w:color w:val="000000"/>
                <w:sz w:val="24"/>
                <w:szCs w:val="24"/>
                <w:u w:val="none"/>
              </w:rPr>
            </w:pPr>
          </w:p>
        </w:tc>
      </w:tr>
      <w:tr w14:paraId="1298BF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6" w:type="pct"/>
            <w:tcBorders>
              <w:top w:val="single" w:color="000000" w:sz="4" w:space="0"/>
              <w:left w:val="single" w:color="000000" w:sz="4" w:space="0"/>
              <w:bottom w:val="single" w:color="000000" w:sz="4" w:space="0"/>
              <w:right w:val="single" w:color="000000" w:sz="4" w:space="0"/>
            </w:tcBorders>
            <w:noWrap w:val="0"/>
            <w:vAlign w:val="center"/>
          </w:tcPr>
          <w:p w14:paraId="7875C0E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4B1D74E1">
            <w:pP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65B61241">
            <w:pP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63B88C08">
            <w:pP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08840C7A">
            <w:pPr>
              <w:rPr>
                <w:rFonts w:hint="eastAsia" w:ascii="宋体" w:hAnsi="宋体" w:eastAsia="宋体" w:cs="宋体"/>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noWrap/>
            <w:vAlign w:val="bottom"/>
          </w:tcPr>
          <w:p w14:paraId="3FC61FA5">
            <w:pPr>
              <w:rPr>
                <w:rFonts w:hint="eastAsia" w:ascii="宋体" w:hAnsi="宋体" w:eastAsia="宋体" w:cs="宋体"/>
                <w:i w:val="0"/>
                <w:iCs w:val="0"/>
                <w:color w:val="000000"/>
                <w:sz w:val="24"/>
                <w:szCs w:val="24"/>
                <w:u w:val="none"/>
              </w:rPr>
            </w:pPr>
          </w:p>
        </w:tc>
        <w:tc>
          <w:tcPr>
            <w:tcW w:w="962" w:type="pct"/>
            <w:tcBorders>
              <w:top w:val="single" w:color="000000" w:sz="4" w:space="0"/>
              <w:left w:val="single" w:color="000000" w:sz="4" w:space="0"/>
              <w:bottom w:val="single" w:color="000000" w:sz="4" w:space="0"/>
              <w:right w:val="single" w:color="000000" w:sz="4" w:space="0"/>
            </w:tcBorders>
            <w:noWrap/>
            <w:vAlign w:val="bottom"/>
          </w:tcPr>
          <w:p w14:paraId="07429F81">
            <w:pPr>
              <w:rPr>
                <w:rFonts w:hint="eastAsia" w:ascii="宋体" w:hAnsi="宋体" w:eastAsia="宋体" w:cs="宋体"/>
                <w:i w:val="0"/>
                <w:iCs w:val="0"/>
                <w:color w:val="000000"/>
                <w:sz w:val="24"/>
                <w:szCs w:val="24"/>
                <w:u w:val="none"/>
              </w:rPr>
            </w:pPr>
          </w:p>
        </w:tc>
        <w:tc>
          <w:tcPr>
            <w:tcW w:w="580" w:type="pct"/>
            <w:tcBorders>
              <w:top w:val="single" w:color="000000" w:sz="4" w:space="0"/>
              <w:left w:val="single" w:color="000000" w:sz="4" w:space="0"/>
              <w:bottom w:val="single" w:color="000000" w:sz="4" w:space="0"/>
              <w:right w:val="single" w:color="000000" w:sz="4" w:space="0"/>
            </w:tcBorders>
            <w:noWrap/>
            <w:vAlign w:val="bottom"/>
          </w:tcPr>
          <w:p w14:paraId="0E839F75">
            <w:pPr>
              <w:rPr>
                <w:rFonts w:hint="eastAsia" w:ascii="宋体" w:hAnsi="宋体" w:eastAsia="宋体" w:cs="宋体"/>
                <w:i w:val="0"/>
                <w:iCs w:val="0"/>
                <w:color w:val="000000"/>
                <w:sz w:val="24"/>
                <w:szCs w:val="24"/>
                <w:u w:val="none"/>
              </w:rPr>
            </w:pPr>
          </w:p>
        </w:tc>
      </w:tr>
      <w:tr w14:paraId="73820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536" w:type="pct"/>
            <w:tcBorders>
              <w:top w:val="single" w:color="000000" w:sz="4" w:space="0"/>
              <w:left w:val="single" w:color="000000" w:sz="4" w:space="0"/>
              <w:bottom w:val="single" w:color="000000" w:sz="4" w:space="0"/>
              <w:right w:val="single" w:color="000000" w:sz="4" w:space="0"/>
            </w:tcBorders>
            <w:noWrap w:val="0"/>
            <w:vAlign w:val="center"/>
          </w:tcPr>
          <w:p w14:paraId="2494A31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22B796E1">
            <w:pP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7A5661A6">
            <w:pP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7E0E59F1">
            <w:pPr>
              <w:rPr>
                <w:rFonts w:hint="eastAsia" w:ascii="宋体" w:hAnsi="宋体" w:eastAsia="宋体" w:cs="宋体"/>
                <w:i w:val="0"/>
                <w:iCs w:val="0"/>
                <w:color w:val="000000"/>
                <w:sz w:val="24"/>
                <w:szCs w:val="24"/>
                <w:u w:val="none"/>
              </w:rPr>
            </w:pPr>
          </w:p>
        </w:tc>
        <w:tc>
          <w:tcPr>
            <w:tcW w:w="383" w:type="pct"/>
            <w:tcBorders>
              <w:top w:val="single" w:color="000000" w:sz="4" w:space="0"/>
              <w:left w:val="single" w:color="000000" w:sz="4" w:space="0"/>
              <w:bottom w:val="single" w:color="000000" w:sz="4" w:space="0"/>
              <w:right w:val="single" w:color="000000" w:sz="4" w:space="0"/>
            </w:tcBorders>
            <w:noWrap/>
            <w:vAlign w:val="bottom"/>
          </w:tcPr>
          <w:p w14:paraId="7A078938">
            <w:pPr>
              <w:rPr>
                <w:rFonts w:hint="eastAsia" w:ascii="宋体" w:hAnsi="宋体" w:eastAsia="宋体" w:cs="宋体"/>
                <w:i w:val="0"/>
                <w:iCs w:val="0"/>
                <w:color w:val="000000"/>
                <w:sz w:val="24"/>
                <w:szCs w:val="24"/>
                <w:u w:val="none"/>
              </w:rPr>
            </w:pPr>
          </w:p>
        </w:tc>
        <w:tc>
          <w:tcPr>
            <w:tcW w:w="385" w:type="pct"/>
            <w:tcBorders>
              <w:top w:val="single" w:color="000000" w:sz="4" w:space="0"/>
              <w:left w:val="single" w:color="000000" w:sz="4" w:space="0"/>
              <w:bottom w:val="single" w:color="000000" w:sz="4" w:space="0"/>
              <w:right w:val="single" w:color="000000" w:sz="4" w:space="0"/>
            </w:tcBorders>
            <w:noWrap/>
            <w:vAlign w:val="bottom"/>
          </w:tcPr>
          <w:p w14:paraId="592758A5">
            <w:pPr>
              <w:rPr>
                <w:rFonts w:hint="eastAsia" w:ascii="宋体" w:hAnsi="宋体" w:eastAsia="宋体" w:cs="宋体"/>
                <w:i w:val="0"/>
                <w:iCs w:val="0"/>
                <w:color w:val="000000"/>
                <w:sz w:val="24"/>
                <w:szCs w:val="24"/>
                <w:u w:val="none"/>
              </w:rPr>
            </w:pPr>
          </w:p>
        </w:tc>
        <w:tc>
          <w:tcPr>
            <w:tcW w:w="962" w:type="pct"/>
            <w:tcBorders>
              <w:top w:val="single" w:color="000000" w:sz="4" w:space="0"/>
              <w:left w:val="single" w:color="000000" w:sz="4" w:space="0"/>
              <w:bottom w:val="single" w:color="000000" w:sz="4" w:space="0"/>
              <w:right w:val="single" w:color="000000" w:sz="4" w:space="0"/>
            </w:tcBorders>
            <w:noWrap/>
            <w:vAlign w:val="bottom"/>
          </w:tcPr>
          <w:p w14:paraId="7B59609B">
            <w:pPr>
              <w:rPr>
                <w:rFonts w:hint="eastAsia" w:ascii="宋体" w:hAnsi="宋体" w:eastAsia="宋体" w:cs="宋体"/>
                <w:i w:val="0"/>
                <w:iCs w:val="0"/>
                <w:color w:val="000000"/>
                <w:sz w:val="24"/>
                <w:szCs w:val="24"/>
                <w:u w:val="none"/>
              </w:rPr>
            </w:pPr>
          </w:p>
        </w:tc>
        <w:tc>
          <w:tcPr>
            <w:tcW w:w="580" w:type="pct"/>
            <w:tcBorders>
              <w:top w:val="single" w:color="000000" w:sz="4" w:space="0"/>
              <w:left w:val="single" w:color="000000" w:sz="4" w:space="0"/>
              <w:bottom w:val="single" w:color="000000" w:sz="4" w:space="0"/>
              <w:right w:val="single" w:color="000000" w:sz="4" w:space="0"/>
            </w:tcBorders>
            <w:noWrap/>
            <w:vAlign w:val="bottom"/>
          </w:tcPr>
          <w:p w14:paraId="51D39E14">
            <w:pPr>
              <w:rPr>
                <w:rFonts w:hint="eastAsia" w:ascii="宋体" w:hAnsi="宋体" w:eastAsia="宋体" w:cs="宋体"/>
                <w:i w:val="0"/>
                <w:iCs w:val="0"/>
                <w:color w:val="000000"/>
                <w:sz w:val="24"/>
                <w:szCs w:val="24"/>
                <w:u w:val="none"/>
              </w:rPr>
            </w:pPr>
          </w:p>
        </w:tc>
      </w:tr>
    </w:tbl>
    <w:p w14:paraId="0DEDDED4">
      <w:pPr>
        <w:spacing w:line="360" w:lineRule="auto"/>
        <w:rPr>
          <w:rFonts w:hint="eastAsia" w:ascii="宋体" w:hAnsi="宋体"/>
          <w:color w:val="auto"/>
          <w:szCs w:val="21"/>
          <w:highlight w:val="none"/>
        </w:rPr>
      </w:pPr>
    </w:p>
    <w:p w14:paraId="4B3C980E">
      <w:pPr>
        <w:jc w:val="left"/>
        <w:rPr>
          <w:rFonts w:hint="eastAsia" w:ascii="宋体" w:hAnsi="宋体"/>
          <w:color w:val="auto"/>
          <w:szCs w:val="21"/>
          <w:highlight w:val="none"/>
        </w:rPr>
      </w:pPr>
      <w:r>
        <w:rPr>
          <w:rFonts w:hint="eastAsia" w:ascii="宋体" w:hAnsi="宋体"/>
          <w:color w:val="auto"/>
          <w:szCs w:val="21"/>
          <w:highlight w:val="none"/>
        </w:rPr>
        <w:t>定标委员会全体成员签名：</w:t>
      </w:r>
    </w:p>
    <w:p w14:paraId="4F8E9901">
      <w:pPr>
        <w:jc w:val="left"/>
        <w:rPr>
          <w:rFonts w:hint="eastAsia" w:ascii="宋体" w:hAnsi="宋体"/>
          <w:color w:val="auto"/>
          <w:szCs w:val="21"/>
          <w:highlight w:val="none"/>
        </w:rPr>
      </w:pPr>
    </w:p>
    <w:p w14:paraId="2B361458">
      <w:pPr>
        <w:jc w:val="left"/>
        <w:rPr>
          <w:rFonts w:hint="eastAsia" w:ascii="宋体" w:hAnsi="宋体"/>
          <w:color w:val="auto"/>
          <w:szCs w:val="21"/>
          <w:highlight w:val="none"/>
        </w:rPr>
      </w:pPr>
    </w:p>
    <w:p w14:paraId="20EA5F81">
      <w:pPr>
        <w:jc w:val="left"/>
        <w:rPr>
          <w:rFonts w:hint="eastAsia" w:ascii="宋体" w:hAnsi="宋体"/>
          <w:color w:val="auto"/>
          <w:szCs w:val="21"/>
          <w:highlight w:val="none"/>
        </w:rPr>
      </w:pPr>
    </w:p>
    <w:p w14:paraId="74C8F414">
      <w:pPr>
        <w:jc w:val="right"/>
        <w:rPr>
          <w:rFonts w:ascii="宋体" w:hAnsi="宋体"/>
          <w:color w:val="auto"/>
          <w:szCs w:val="21"/>
          <w:highlight w:val="none"/>
        </w:rPr>
      </w:pPr>
      <w:r>
        <w:rPr>
          <w:rFonts w:hint="eastAsia" w:ascii="宋体" w:hAnsi="宋体"/>
          <w:color w:val="auto"/>
          <w:szCs w:val="21"/>
          <w:highlight w:val="none"/>
        </w:rPr>
        <w:t>日    期：       年    月    日</w:t>
      </w:r>
    </w:p>
    <w:p w14:paraId="46B71E9C">
      <w:pPr>
        <w:jc w:val="left"/>
        <w:rPr>
          <w:rFonts w:hint="eastAsia"/>
          <w:sz w:val="28"/>
          <w:szCs w:val="28"/>
          <w:lang w:val="en-US" w:eastAsia="zh-CN"/>
        </w:rPr>
      </w:pPr>
      <w:r>
        <w:rPr>
          <w:rFonts w:hint="eastAsia" w:ascii="宋体" w:hAnsi="宋体" w:eastAsia="宋体" w:cs="宋体"/>
          <w:color w:val="auto"/>
        </w:rPr>
        <w:br w:type="page"/>
      </w:r>
      <w:r>
        <w:rPr>
          <w:rFonts w:hint="eastAsia"/>
          <w:sz w:val="24"/>
          <w:szCs w:val="24"/>
          <w:lang w:val="en-US" w:eastAsia="zh-CN"/>
        </w:rPr>
        <w:t>附表4：</w:t>
      </w:r>
    </w:p>
    <w:p w14:paraId="18310001">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附加票定标选票表</w:t>
      </w:r>
    </w:p>
    <w:p w14:paraId="76D0BF9E">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（定标阶段-票数相同时定标委员会个人用表）</w:t>
      </w:r>
    </w:p>
    <w:tbl>
      <w:tblPr>
        <w:tblStyle w:val="10"/>
        <w:tblW w:w="8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0"/>
        <w:gridCol w:w="1955"/>
        <w:gridCol w:w="1956"/>
        <w:gridCol w:w="1956"/>
      </w:tblGrid>
      <w:tr w14:paraId="420F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510" w:type="dxa"/>
            <w:tcBorders>
              <w:top w:val="single" w:color="auto" w:sz="4" w:space="0"/>
              <w:left w:val="single" w:color="auto" w:sz="4" w:space="0"/>
              <w:bottom w:val="single" w:color="auto" w:sz="4" w:space="0"/>
              <w:right w:val="single" w:color="auto" w:sz="4" w:space="0"/>
            </w:tcBorders>
            <w:noWrap w:val="0"/>
            <w:vAlign w:val="center"/>
          </w:tcPr>
          <w:p w14:paraId="3A3833AB">
            <w:pPr>
              <w:jc w:val="center"/>
              <w:rPr>
                <w:rFonts w:ascii="宋体" w:hAnsi="宋体"/>
                <w:color w:val="auto"/>
                <w:szCs w:val="21"/>
                <w:highlight w:val="none"/>
              </w:rPr>
            </w:pPr>
            <w:r>
              <w:rPr>
                <w:rFonts w:hint="eastAsia" w:ascii="宋体" w:hAnsi="宋体"/>
                <w:color w:val="auto"/>
                <w:szCs w:val="21"/>
                <w:highlight w:val="none"/>
                <w:lang w:val="en-US" w:eastAsia="zh-CN"/>
              </w:rPr>
              <w:t>合格</w:t>
            </w:r>
            <w:r>
              <w:rPr>
                <w:rFonts w:hint="eastAsia" w:ascii="宋体" w:hAnsi="宋体"/>
                <w:color w:val="auto"/>
                <w:szCs w:val="21"/>
                <w:highlight w:val="none"/>
              </w:rPr>
              <w:t>中标候选人名称</w:t>
            </w:r>
          </w:p>
        </w:tc>
        <w:tc>
          <w:tcPr>
            <w:tcW w:w="1955" w:type="dxa"/>
            <w:tcBorders>
              <w:top w:val="single" w:color="auto" w:sz="4" w:space="0"/>
              <w:left w:val="single" w:color="auto" w:sz="4" w:space="0"/>
              <w:bottom w:val="single" w:color="auto" w:sz="4" w:space="0"/>
              <w:right w:val="single" w:color="auto" w:sz="4" w:space="0"/>
            </w:tcBorders>
            <w:noWrap w:val="0"/>
            <w:vAlign w:val="center"/>
          </w:tcPr>
          <w:p w14:paraId="0F2145C5">
            <w:pPr>
              <w:spacing w:line="600" w:lineRule="exact"/>
              <w:jc w:val="center"/>
              <w:rPr>
                <w:rFonts w:ascii="宋体" w:hAnsi="宋体" w:cs="宋体"/>
                <w:color w:val="auto"/>
                <w:kern w:val="0"/>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14:paraId="66BC0248">
            <w:pPr>
              <w:spacing w:line="600" w:lineRule="exact"/>
              <w:jc w:val="center"/>
              <w:rPr>
                <w:rFonts w:ascii="宋体" w:hAnsi="宋体" w:cs="宋体"/>
                <w:color w:val="auto"/>
                <w:kern w:val="0"/>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14:paraId="0E7F0EEE">
            <w:pPr>
              <w:spacing w:line="600" w:lineRule="exact"/>
              <w:jc w:val="center"/>
              <w:rPr>
                <w:rFonts w:ascii="宋体" w:hAnsi="宋体" w:cs="宋体"/>
                <w:color w:val="auto"/>
                <w:kern w:val="0"/>
                <w:highlight w:val="none"/>
              </w:rPr>
            </w:pPr>
          </w:p>
        </w:tc>
      </w:tr>
      <w:tr w14:paraId="08B9A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jc w:val="center"/>
        </w:trPr>
        <w:tc>
          <w:tcPr>
            <w:tcW w:w="2510" w:type="dxa"/>
            <w:tcBorders>
              <w:top w:val="single" w:color="auto" w:sz="4" w:space="0"/>
              <w:left w:val="single" w:color="auto" w:sz="4" w:space="0"/>
              <w:bottom w:val="single" w:color="auto" w:sz="4" w:space="0"/>
              <w:right w:val="single" w:color="auto" w:sz="4" w:space="0"/>
            </w:tcBorders>
            <w:noWrap w:val="0"/>
            <w:vAlign w:val="center"/>
          </w:tcPr>
          <w:p w14:paraId="1BE504F2">
            <w:pPr>
              <w:jc w:val="center"/>
              <w:rPr>
                <w:rFonts w:ascii="宋体" w:hAnsi="宋体"/>
                <w:color w:val="auto"/>
                <w:szCs w:val="21"/>
                <w:highlight w:val="none"/>
              </w:rPr>
            </w:pPr>
            <w:r>
              <w:rPr>
                <w:rFonts w:hint="eastAsia" w:ascii="宋体" w:hAnsi="宋体"/>
                <w:color w:val="auto"/>
                <w:szCs w:val="21"/>
                <w:highlight w:val="none"/>
              </w:rPr>
              <w:t>票决意见</w:t>
            </w:r>
          </w:p>
        </w:tc>
        <w:tc>
          <w:tcPr>
            <w:tcW w:w="1955" w:type="dxa"/>
            <w:tcBorders>
              <w:top w:val="single" w:color="auto" w:sz="4" w:space="0"/>
              <w:left w:val="single" w:color="auto" w:sz="4" w:space="0"/>
              <w:bottom w:val="single" w:color="auto" w:sz="4" w:space="0"/>
              <w:right w:val="single" w:color="auto" w:sz="4" w:space="0"/>
            </w:tcBorders>
            <w:noWrap w:val="0"/>
            <w:vAlign w:val="center"/>
          </w:tcPr>
          <w:p w14:paraId="3E9FD85D">
            <w:pPr>
              <w:spacing w:line="600" w:lineRule="exact"/>
              <w:jc w:val="center"/>
              <w:rPr>
                <w:rFonts w:ascii="宋体" w:hAnsi="宋体" w:cs="宋体"/>
                <w:color w:val="auto"/>
                <w:kern w:val="0"/>
                <w:szCs w:val="24"/>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14:paraId="7F559989">
            <w:pPr>
              <w:spacing w:line="600" w:lineRule="exact"/>
              <w:jc w:val="center"/>
              <w:rPr>
                <w:rFonts w:ascii="宋体" w:hAnsi="宋体" w:cs="宋体"/>
                <w:color w:val="auto"/>
                <w:kern w:val="0"/>
                <w:highlight w:val="none"/>
              </w:rPr>
            </w:pPr>
          </w:p>
        </w:tc>
        <w:tc>
          <w:tcPr>
            <w:tcW w:w="1956" w:type="dxa"/>
            <w:tcBorders>
              <w:top w:val="single" w:color="auto" w:sz="4" w:space="0"/>
              <w:left w:val="single" w:color="auto" w:sz="4" w:space="0"/>
              <w:bottom w:val="single" w:color="auto" w:sz="4" w:space="0"/>
              <w:right w:val="single" w:color="auto" w:sz="4" w:space="0"/>
            </w:tcBorders>
            <w:noWrap w:val="0"/>
            <w:vAlign w:val="center"/>
          </w:tcPr>
          <w:p w14:paraId="59D4C31F">
            <w:pPr>
              <w:spacing w:line="600" w:lineRule="exact"/>
              <w:jc w:val="center"/>
              <w:rPr>
                <w:rFonts w:ascii="宋体" w:hAnsi="宋体" w:cs="宋体"/>
                <w:color w:val="auto"/>
                <w:kern w:val="0"/>
                <w:highlight w:val="none"/>
              </w:rPr>
            </w:pPr>
          </w:p>
        </w:tc>
      </w:tr>
    </w:tbl>
    <w:p w14:paraId="42A76819">
      <w:pPr>
        <w:rPr>
          <w:rFonts w:ascii="宋体" w:hAnsi="宋体" w:cs="宋体"/>
          <w:color w:val="auto"/>
          <w:szCs w:val="21"/>
          <w:highlight w:val="none"/>
        </w:rPr>
      </w:pPr>
    </w:p>
    <w:p w14:paraId="0D701930">
      <w:pPr>
        <w:spacing w:line="400" w:lineRule="exact"/>
        <w:rPr>
          <w:rFonts w:ascii="宋体" w:hAnsi="宋体" w:cs="宋体"/>
          <w:color w:val="auto"/>
          <w:szCs w:val="21"/>
          <w:highlight w:val="none"/>
        </w:rPr>
      </w:pPr>
      <w:r>
        <w:rPr>
          <w:rFonts w:hint="eastAsia" w:ascii="宋体" w:hAnsi="宋体" w:cs="宋体"/>
          <w:color w:val="auto"/>
          <w:szCs w:val="21"/>
          <w:highlight w:val="none"/>
        </w:rPr>
        <w:t>定标委员会成员签名：</w:t>
      </w:r>
    </w:p>
    <w:p w14:paraId="3FE56D9A">
      <w:pPr>
        <w:spacing w:line="400" w:lineRule="exact"/>
        <w:rPr>
          <w:rFonts w:hint="eastAsia" w:ascii="宋体" w:hAnsi="宋体" w:cs="宋体"/>
          <w:color w:val="auto"/>
          <w:szCs w:val="21"/>
          <w:highlight w:val="none"/>
        </w:rPr>
      </w:pPr>
    </w:p>
    <w:p w14:paraId="2FC4A208">
      <w:pPr>
        <w:spacing w:line="400" w:lineRule="exact"/>
        <w:rPr>
          <w:rFonts w:ascii="宋体" w:hAnsi="宋体" w:cs="宋体"/>
          <w:color w:val="auto"/>
          <w:szCs w:val="21"/>
          <w:highlight w:val="none"/>
        </w:rPr>
      </w:pPr>
    </w:p>
    <w:p w14:paraId="19B6BEFB">
      <w:pPr>
        <w:spacing w:line="360" w:lineRule="auto"/>
        <w:ind w:right="-2"/>
        <w:jc w:val="right"/>
        <w:rPr>
          <w:rFonts w:ascii="宋体" w:hAnsi="宋体" w:cs="宋体"/>
          <w:color w:val="auto"/>
          <w:szCs w:val="21"/>
          <w:highlight w:val="none"/>
        </w:rPr>
      </w:pPr>
      <w:r>
        <w:rPr>
          <w:rFonts w:hint="eastAsia" w:ascii="宋体" w:hAnsi="宋体" w:cs="宋体"/>
          <w:color w:val="auto"/>
          <w:szCs w:val="21"/>
          <w:highlight w:val="none"/>
        </w:rPr>
        <w:t>日期：     年   月   日</w:t>
      </w:r>
    </w:p>
    <w:p w14:paraId="6AD59A38">
      <w:pPr>
        <w:rPr>
          <w:rFonts w:eastAsia="Times New Roman"/>
          <w:color w:val="auto"/>
          <w:szCs w:val="20"/>
          <w:highlight w:val="none"/>
        </w:rPr>
      </w:pPr>
    </w:p>
    <w:p w14:paraId="21E85724">
      <w:pPr>
        <w:spacing w:line="360" w:lineRule="auto"/>
        <w:rPr>
          <w:rFonts w:ascii="宋体" w:hAnsi="宋体" w:cs="宋体"/>
          <w:bCs/>
          <w:color w:val="auto"/>
          <w:szCs w:val="21"/>
          <w:highlight w:val="none"/>
        </w:rPr>
      </w:pPr>
      <w:r>
        <w:rPr>
          <w:rFonts w:hint="eastAsia" w:ascii="宋体" w:hAnsi="宋体" w:cs="宋体"/>
          <w:bCs/>
          <w:color w:val="auto"/>
          <w:szCs w:val="21"/>
          <w:highlight w:val="none"/>
        </w:rPr>
        <w:t>注：1、本表用于投票出现票数相同的情况。</w:t>
      </w:r>
    </w:p>
    <w:p w14:paraId="2AA01C5E">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2、由定标委员会成员进行附加投票，票决意见分别为“投票”或“不投票”，各定标委员会成员只有1票表决权（即只能对其中一名</w:t>
      </w:r>
      <w:r>
        <w:rPr>
          <w:rFonts w:hint="eastAsia" w:ascii="宋体" w:hAnsi="宋体" w:cs="宋体"/>
          <w:bCs/>
          <w:color w:val="auto"/>
          <w:szCs w:val="21"/>
          <w:highlight w:val="none"/>
          <w:lang w:val="en-US" w:eastAsia="zh-CN"/>
        </w:rPr>
        <w:t>合格</w:t>
      </w:r>
      <w:r>
        <w:rPr>
          <w:rFonts w:hint="eastAsia" w:ascii="宋体" w:hAnsi="宋体" w:cs="宋体"/>
          <w:bCs/>
          <w:color w:val="auto"/>
          <w:szCs w:val="21"/>
          <w:highlight w:val="none"/>
        </w:rPr>
        <w:t>中标候选人“投票”），票决意见为“投票”的，用“○”表示；票决意见为“不投票”，用“×”表示。</w:t>
      </w:r>
    </w:p>
    <w:p w14:paraId="7324BEE6">
      <w:pPr>
        <w:jc w:val="left"/>
        <w:rPr>
          <w:rFonts w:hint="eastAsia"/>
          <w:sz w:val="28"/>
          <w:szCs w:val="28"/>
          <w:lang w:val="en-US" w:eastAsia="zh-CN"/>
        </w:rPr>
      </w:pPr>
      <w:r>
        <w:rPr>
          <w:rFonts w:hint="eastAsia" w:ascii="宋体" w:hAnsi="宋体" w:cs="宋体"/>
          <w:bCs/>
          <w:color w:val="auto"/>
          <w:szCs w:val="21"/>
          <w:highlight w:val="none"/>
        </w:rPr>
        <w:br w:type="page"/>
      </w:r>
      <w:r>
        <w:rPr>
          <w:rFonts w:hint="eastAsia"/>
          <w:sz w:val="24"/>
          <w:szCs w:val="24"/>
          <w:lang w:val="en-US" w:eastAsia="zh-CN"/>
        </w:rPr>
        <w:t>附表5：</w:t>
      </w:r>
    </w:p>
    <w:p w14:paraId="5D914E95">
      <w:pPr>
        <w:adjustRightInd w:val="0"/>
        <w:snapToGrid w:val="0"/>
        <w:spacing w:line="276" w:lineRule="auto"/>
        <w:ind w:firstLine="720" w:firstLineChars="20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附加票定标选票表汇总表</w:t>
      </w:r>
    </w:p>
    <w:p w14:paraId="7EAD1367">
      <w:pPr>
        <w:adjustRightInd w:val="0"/>
        <w:snapToGrid w:val="0"/>
        <w:spacing w:line="276" w:lineRule="auto"/>
        <w:ind w:firstLine="720" w:firstLineChars="200"/>
        <w:jc w:val="center"/>
        <w:rPr>
          <w:rFonts w:hint="eastAsia" w:ascii="宋体" w:hAnsi="宋体" w:cs="宋体"/>
          <w:b/>
          <w:bCs/>
          <w:color w:val="auto"/>
          <w:kern w:val="0"/>
          <w:sz w:val="36"/>
          <w:szCs w:val="36"/>
          <w:highlight w:val="none"/>
        </w:rPr>
      </w:pPr>
      <w:r>
        <w:rPr>
          <w:rFonts w:hint="eastAsia" w:ascii="宋体" w:hAnsi="宋体" w:cs="宋体"/>
          <w:b/>
          <w:color w:val="auto"/>
          <w:sz w:val="36"/>
          <w:szCs w:val="36"/>
          <w:highlight w:val="none"/>
        </w:rPr>
        <w:t>（定标阶段-票数相同时定标委员会汇总用表）</w:t>
      </w:r>
    </w:p>
    <w:p w14:paraId="6F30E08A">
      <w:pPr>
        <w:jc w:val="left"/>
        <w:rPr>
          <w:rFonts w:hint="eastAsia" w:ascii="宋体" w:hAnsi="宋体"/>
          <w:color w:val="auto"/>
          <w:szCs w:val="21"/>
          <w:highlight w:val="none"/>
        </w:rPr>
      </w:pPr>
    </w:p>
    <w:tbl>
      <w:tblPr>
        <w:tblStyle w:val="10"/>
        <w:tblW w:w="47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5078"/>
        <w:gridCol w:w="1752"/>
      </w:tblGrid>
      <w:tr w14:paraId="47641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7" w:type="pct"/>
            <w:tcBorders>
              <w:top w:val="single" w:color="auto" w:sz="4" w:space="0"/>
              <w:left w:val="single" w:color="auto" w:sz="4" w:space="0"/>
              <w:bottom w:val="single" w:color="auto" w:sz="4" w:space="0"/>
              <w:right w:val="single" w:color="auto" w:sz="4" w:space="0"/>
            </w:tcBorders>
            <w:noWrap w:val="0"/>
            <w:vAlign w:val="center"/>
          </w:tcPr>
          <w:p w14:paraId="2331BA53">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3102" w:type="pct"/>
            <w:tcBorders>
              <w:top w:val="single" w:color="auto" w:sz="4" w:space="0"/>
              <w:left w:val="single" w:color="auto" w:sz="4" w:space="0"/>
              <w:bottom w:val="single" w:color="auto" w:sz="4" w:space="0"/>
              <w:right w:val="single" w:color="auto" w:sz="4" w:space="0"/>
            </w:tcBorders>
            <w:noWrap w:val="0"/>
            <w:vAlign w:val="center"/>
          </w:tcPr>
          <w:p w14:paraId="391A0D04">
            <w:pPr>
              <w:jc w:val="center"/>
              <w:rPr>
                <w:rFonts w:ascii="宋体" w:hAnsi="宋体" w:cs="宋体"/>
                <w:color w:val="auto"/>
                <w:szCs w:val="21"/>
                <w:highlight w:val="none"/>
              </w:rPr>
            </w:pPr>
            <w:r>
              <w:rPr>
                <w:rFonts w:hint="eastAsia" w:ascii="宋体" w:hAnsi="宋体"/>
                <w:color w:val="auto"/>
                <w:szCs w:val="21"/>
                <w:highlight w:val="none"/>
                <w:lang w:val="en-US" w:eastAsia="zh-CN"/>
              </w:rPr>
              <w:t>合格</w:t>
            </w:r>
            <w:r>
              <w:rPr>
                <w:rFonts w:hint="eastAsia" w:ascii="宋体" w:hAnsi="宋体"/>
                <w:color w:val="auto"/>
                <w:szCs w:val="21"/>
                <w:highlight w:val="none"/>
              </w:rPr>
              <w:t>中标候选人</w:t>
            </w:r>
            <w:r>
              <w:rPr>
                <w:rFonts w:hint="eastAsia" w:ascii="宋体" w:hAnsi="宋体" w:cs="宋体"/>
                <w:color w:val="auto"/>
                <w:szCs w:val="21"/>
                <w:highlight w:val="none"/>
              </w:rPr>
              <w:t>名称</w:t>
            </w:r>
          </w:p>
        </w:tc>
        <w:tc>
          <w:tcPr>
            <w:tcW w:w="1070" w:type="pct"/>
            <w:tcBorders>
              <w:top w:val="single" w:color="auto" w:sz="4" w:space="0"/>
              <w:left w:val="single" w:color="auto" w:sz="4" w:space="0"/>
              <w:bottom w:val="single" w:color="auto" w:sz="4" w:space="0"/>
              <w:right w:val="single" w:color="auto" w:sz="4" w:space="0"/>
            </w:tcBorders>
            <w:noWrap w:val="0"/>
            <w:vAlign w:val="center"/>
          </w:tcPr>
          <w:p w14:paraId="05C2F79E">
            <w:pPr>
              <w:jc w:val="center"/>
              <w:rPr>
                <w:rFonts w:ascii="宋体" w:hAnsi="宋体" w:cs="宋体"/>
                <w:color w:val="auto"/>
                <w:szCs w:val="21"/>
                <w:highlight w:val="none"/>
              </w:rPr>
            </w:pPr>
            <w:r>
              <w:rPr>
                <w:rFonts w:hint="eastAsia" w:ascii="宋体" w:hAnsi="宋体" w:cs="宋体"/>
                <w:color w:val="auto"/>
                <w:szCs w:val="21"/>
                <w:highlight w:val="none"/>
              </w:rPr>
              <w:t>得票数</w:t>
            </w:r>
          </w:p>
        </w:tc>
      </w:tr>
      <w:tr w14:paraId="2BE8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7" w:type="pct"/>
            <w:tcBorders>
              <w:top w:val="single" w:color="auto" w:sz="4" w:space="0"/>
              <w:left w:val="single" w:color="auto" w:sz="4" w:space="0"/>
              <w:bottom w:val="single" w:color="auto" w:sz="4" w:space="0"/>
              <w:right w:val="single" w:color="auto" w:sz="4" w:space="0"/>
            </w:tcBorders>
            <w:noWrap w:val="0"/>
            <w:vAlign w:val="center"/>
          </w:tcPr>
          <w:p w14:paraId="02B3FB1B">
            <w:pPr>
              <w:jc w:val="center"/>
              <w:rPr>
                <w:rFonts w:ascii="宋体" w:hAnsi="宋体" w:cs="宋体"/>
                <w:color w:val="auto"/>
                <w:sz w:val="24"/>
                <w:highlight w:val="none"/>
              </w:rPr>
            </w:pPr>
            <w:r>
              <w:rPr>
                <w:rFonts w:hint="eastAsia" w:ascii="宋体" w:hAnsi="宋体" w:cs="宋体"/>
                <w:color w:val="auto"/>
                <w:sz w:val="24"/>
                <w:highlight w:val="none"/>
              </w:rPr>
              <w:t>1</w:t>
            </w:r>
          </w:p>
        </w:tc>
        <w:tc>
          <w:tcPr>
            <w:tcW w:w="3102" w:type="pct"/>
            <w:tcBorders>
              <w:top w:val="single" w:color="auto" w:sz="4" w:space="0"/>
              <w:left w:val="single" w:color="auto" w:sz="4" w:space="0"/>
              <w:bottom w:val="single" w:color="auto" w:sz="4" w:space="0"/>
              <w:right w:val="single" w:color="auto" w:sz="4" w:space="0"/>
            </w:tcBorders>
            <w:noWrap w:val="0"/>
            <w:vAlign w:val="center"/>
          </w:tcPr>
          <w:p w14:paraId="7BEAF2B0">
            <w:pPr>
              <w:jc w:val="center"/>
              <w:rPr>
                <w:rFonts w:ascii="宋体" w:hAnsi="宋体" w:cs="宋体"/>
                <w:color w:val="auto"/>
                <w:sz w:val="24"/>
                <w:highlight w:val="none"/>
              </w:rPr>
            </w:pPr>
          </w:p>
        </w:tc>
        <w:tc>
          <w:tcPr>
            <w:tcW w:w="1070" w:type="pct"/>
            <w:tcBorders>
              <w:top w:val="single" w:color="auto" w:sz="4" w:space="0"/>
              <w:left w:val="single" w:color="auto" w:sz="4" w:space="0"/>
              <w:bottom w:val="single" w:color="auto" w:sz="4" w:space="0"/>
              <w:right w:val="single" w:color="auto" w:sz="4" w:space="0"/>
            </w:tcBorders>
            <w:noWrap w:val="0"/>
            <w:vAlign w:val="center"/>
          </w:tcPr>
          <w:p w14:paraId="0B7B1F57">
            <w:pPr>
              <w:jc w:val="center"/>
              <w:rPr>
                <w:rFonts w:ascii="宋体" w:hAnsi="宋体" w:cs="宋体"/>
                <w:color w:val="auto"/>
                <w:sz w:val="24"/>
                <w:highlight w:val="none"/>
              </w:rPr>
            </w:pPr>
          </w:p>
        </w:tc>
      </w:tr>
      <w:tr w14:paraId="51A0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7" w:type="pct"/>
            <w:tcBorders>
              <w:top w:val="single" w:color="auto" w:sz="4" w:space="0"/>
              <w:left w:val="single" w:color="auto" w:sz="4" w:space="0"/>
              <w:bottom w:val="single" w:color="auto" w:sz="4" w:space="0"/>
              <w:right w:val="single" w:color="auto" w:sz="4" w:space="0"/>
            </w:tcBorders>
            <w:noWrap w:val="0"/>
            <w:vAlign w:val="center"/>
          </w:tcPr>
          <w:p w14:paraId="616BFED4">
            <w:pPr>
              <w:jc w:val="center"/>
              <w:rPr>
                <w:rFonts w:ascii="宋体" w:hAnsi="宋体" w:cs="宋体"/>
                <w:color w:val="auto"/>
                <w:sz w:val="24"/>
                <w:highlight w:val="none"/>
              </w:rPr>
            </w:pPr>
            <w:r>
              <w:rPr>
                <w:rFonts w:hint="eastAsia" w:ascii="宋体" w:hAnsi="宋体" w:cs="宋体"/>
                <w:color w:val="auto"/>
                <w:sz w:val="24"/>
                <w:highlight w:val="none"/>
              </w:rPr>
              <w:t>2</w:t>
            </w:r>
          </w:p>
        </w:tc>
        <w:tc>
          <w:tcPr>
            <w:tcW w:w="3102" w:type="pct"/>
            <w:tcBorders>
              <w:top w:val="single" w:color="auto" w:sz="4" w:space="0"/>
              <w:left w:val="single" w:color="auto" w:sz="4" w:space="0"/>
              <w:bottom w:val="single" w:color="auto" w:sz="4" w:space="0"/>
              <w:right w:val="single" w:color="auto" w:sz="4" w:space="0"/>
            </w:tcBorders>
            <w:noWrap w:val="0"/>
            <w:vAlign w:val="center"/>
          </w:tcPr>
          <w:p w14:paraId="16A97972">
            <w:pPr>
              <w:jc w:val="center"/>
              <w:rPr>
                <w:rFonts w:ascii="宋体" w:hAnsi="宋体" w:cs="宋体"/>
                <w:color w:val="auto"/>
                <w:sz w:val="24"/>
                <w:highlight w:val="none"/>
              </w:rPr>
            </w:pPr>
          </w:p>
        </w:tc>
        <w:tc>
          <w:tcPr>
            <w:tcW w:w="1070" w:type="pct"/>
            <w:tcBorders>
              <w:top w:val="single" w:color="auto" w:sz="4" w:space="0"/>
              <w:left w:val="single" w:color="auto" w:sz="4" w:space="0"/>
              <w:bottom w:val="single" w:color="auto" w:sz="4" w:space="0"/>
              <w:right w:val="single" w:color="auto" w:sz="4" w:space="0"/>
            </w:tcBorders>
            <w:noWrap w:val="0"/>
            <w:vAlign w:val="center"/>
          </w:tcPr>
          <w:p w14:paraId="021B564D">
            <w:pPr>
              <w:jc w:val="center"/>
              <w:rPr>
                <w:rFonts w:ascii="宋体" w:hAnsi="宋体" w:cs="宋体"/>
                <w:color w:val="auto"/>
                <w:sz w:val="24"/>
                <w:highlight w:val="none"/>
              </w:rPr>
            </w:pPr>
          </w:p>
        </w:tc>
      </w:tr>
      <w:tr w14:paraId="352BB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827" w:type="pct"/>
            <w:tcBorders>
              <w:top w:val="single" w:color="auto" w:sz="4" w:space="0"/>
              <w:left w:val="single" w:color="auto" w:sz="4" w:space="0"/>
              <w:bottom w:val="single" w:color="auto" w:sz="4" w:space="0"/>
              <w:right w:val="single" w:color="auto" w:sz="4" w:space="0"/>
            </w:tcBorders>
            <w:noWrap w:val="0"/>
            <w:vAlign w:val="center"/>
          </w:tcPr>
          <w:p w14:paraId="44CE9E94">
            <w:pPr>
              <w:jc w:val="center"/>
              <w:rPr>
                <w:rFonts w:ascii="宋体" w:hAnsi="宋体" w:cs="宋体"/>
                <w:color w:val="auto"/>
                <w:sz w:val="24"/>
                <w:highlight w:val="none"/>
              </w:rPr>
            </w:pPr>
            <w:r>
              <w:rPr>
                <w:rFonts w:hint="eastAsia" w:ascii="宋体" w:hAnsi="宋体" w:cs="宋体"/>
                <w:color w:val="auto"/>
                <w:sz w:val="24"/>
                <w:highlight w:val="none"/>
              </w:rPr>
              <w:t>3</w:t>
            </w:r>
          </w:p>
        </w:tc>
        <w:tc>
          <w:tcPr>
            <w:tcW w:w="3102" w:type="pct"/>
            <w:tcBorders>
              <w:top w:val="single" w:color="auto" w:sz="4" w:space="0"/>
              <w:left w:val="single" w:color="auto" w:sz="4" w:space="0"/>
              <w:bottom w:val="single" w:color="auto" w:sz="4" w:space="0"/>
              <w:right w:val="single" w:color="auto" w:sz="4" w:space="0"/>
            </w:tcBorders>
            <w:noWrap w:val="0"/>
            <w:vAlign w:val="center"/>
          </w:tcPr>
          <w:p w14:paraId="2F47DFC5">
            <w:pPr>
              <w:jc w:val="center"/>
              <w:rPr>
                <w:rFonts w:ascii="宋体" w:hAnsi="宋体" w:cs="宋体"/>
                <w:color w:val="auto"/>
                <w:sz w:val="24"/>
                <w:highlight w:val="none"/>
              </w:rPr>
            </w:pPr>
          </w:p>
        </w:tc>
        <w:tc>
          <w:tcPr>
            <w:tcW w:w="1070" w:type="pct"/>
            <w:tcBorders>
              <w:top w:val="single" w:color="auto" w:sz="4" w:space="0"/>
              <w:left w:val="single" w:color="auto" w:sz="4" w:space="0"/>
              <w:bottom w:val="single" w:color="auto" w:sz="4" w:space="0"/>
              <w:right w:val="single" w:color="auto" w:sz="4" w:space="0"/>
            </w:tcBorders>
            <w:noWrap w:val="0"/>
            <w:vAlign w:val="center"/>
          </w:tcPr>
          <w:p w14:paraId="3722181A">
            <w:pPr>
              <w:jc w:val="center"/>
              <w:rPr>
                <w:rFonts w:ascii="宋体" w:hAnsi="宋体" w:cs="宋体"/>
                <w:color w:val="auto"/>
                <w:sz w:val="24"/>
                <w:highlight w:val="none"/>
              </w:rPr>
            </w:pPr>
          </w:p>
        </w:tc>
      </w:tr>
    </w:tbl>
    <w:p w14:paraId="48181C41">
      <w:pPr>
        <w:spacing w:line="400" w:lineRule="exact"/>
        <w:rPr>
          <w:rFonts w:ascii="宋体" w:hAnsi="宋体" w:cs="宋体"/>
          <w:color w:val="auto"/>
          <w:sz w:val="24"/>
          <w:szCs w:val="24"/>
          <w:highlight w:val="none"/>
        </w:rPr>
      </w:pPr>
      <w:r>
        <w:rPr>
          <w:rFonts w:hint="eastAsia" w:ascii="宋体" w:hAnsi="宋体"/>
          <w:color w:val="auto"/>
          <w:szCs w:val="21"/>
          <w:highlight w:val="none"/>
        </w:rPr>
        <w:t>定标委员会全体成员签名：</w:t>
      </w:r>
    </w:p>
    <w:p w14:paraId="7828ECC6">
      <w:pPr>
        <w:spacing w:line="400" w:lineRule="exact"/>
        <w:rPr>
          <w:rFonts w:ascii="宋体" w:hAnsi="宋体" w:cs="宋体"/>
          <w:color w:val="auto"/>
          <w:sz w:val="24"/>
          <w:szCs w:val="24"/>
          <w:highlight w:val="none"/>
        </w:rPr>
      </w:pPr>
    </w:p>
    <w:p w14:paraId="35630BC5">
      <w:pPr>
        <w:spacing w:line="400" w:lineRule="exact"/>
        <w:rPr>
          <w:rFonts w:ascii="宋体" w:hAnsi="宋体" w:cs="宋体"/>
          <w:color w:val="auto"/>
          <w:sz w:val="24"/>
          <w:szCs w:val="24"/>
          <w:highlight w:val="none"/>
        </w:rPr>
      </w:pPr>
    </w:p>
    <w:p w14:paraId="1EB83815">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日期：     年   月   日</w:t>
      </w:r>
    </w:p>
    <w:p w14:paraId="5FFD0E0D">
      <w:pPr>
        <w:jc w:val="left"/>
        <w:rPr>
          <w:rFonts w:hint="eastAsia"/>
          <w:sz w:val="28"/>
          <w:szCs w:val="28"/>
          <w:lang w:val="en-US" w:eastAsia="zh-CN"/>
        </w:rPr>
      </w:pPr>
      <w:r>
        <w:rPr>
          <w:rFonts w:hint="eastAsia" w:ascii="宋体" w:hAnsi="宋体" w:cs="宋体"/>
          <w:color w:val="auto"/>
          <w:szCs w:val="21"/>
          <w:highlight w:val="none"/>
        </w:rPr>
        <w:br w:type="page"/>
      </w:r>
      <w:r>
        <w:rPr>
          <w:rFonts w:hint="eastAsia"/>
          <w:sz w:val="24"/>
          <w:szCs w:val="24"/>
          <w:lang w:val="en-US" w:eastAsia="zh-CN"/>
        </w:rPr>
        <w:t>附表6：</w:t>
      </w:r>
    </w:p>
    <w:p w14:paraId="36887DBD">
      <w:pPr>
        <w:jc w:val="center"/>
        <w:rPr>
          <w:rFonts w:ascii="宋体" w:hAnsi="宋体"/>
          <w:b/>
          <w:color w:val="auto"/>
          <w:sz w:val="36"/>
          <w:szCs w:val="36"/>
          <w:highlight w:val="none"/>
        </w:rPr>
      </w:pPr>
      <w:r>
        <w:rPr>
          <w:rFonts w:hint="eastAsia" w:ascii="宋体" w:hAnsi="宋体"/>
          <w:b/>
          <w:color w:val="auto"/>
          <w:sz w:val="36"/>
          <w:szCs w:val="36"/>
          <w:highlight w:val="none"/>
        </w:rPr>
        <w:t>定标情况汇总表（定标阶段）</w:t>
      </w:r>
    </w:p>
    <w:p w14:paraId="1B7B2B57">
      <w:pPr>
        <w:jc w:val="left"/>
        <w:rPr>
          <w:rFonts w:hint="eastAsia" w:ascii="宋体" w:hAnsi="宋体"/>
          <w:color w:val="auto"/>
          <w:szCs w:val="21"/>
          <w:highlight w:val="none"/>
        </w:rPr>
      </w:pPr>
    </w:p>
    <w:tbl>
      <w:tblPr>
        <w:tblStyle w:val="10"/>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3353"/>
        <w:gridCol w:w="930"/>
        <w:gridCol w:w="1774"/>
        <w:gridCol w:w="1775"/>
      </w:tblGrid>
      <w:tr w14:paraId="0F50B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779342AC">
            <w:pPr>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965" w:type="pct"/>
            <w:tcBorders>
              <w:top w:val="single" w:color="auto" w:sz="4" w:space="0"/>
              <w:left w:val="nil"/>
              <w:bottom w:val="single" w:color="auto" w:sz="4" w:space="0"/>
              <w:right w:val="single" w:color="auto" w:sz="4" w:space="0"/>
            </w:tcBorders>
            <w:noWrap w:val="0"/>
            <w:vAlign w:val="center"/>
          </w:tcPr>
          <w:p w14:paraId="0BF50812">
            <w:pPr>
              <w:jc w:val="center"/>
              <w:rPr>
                <w:rFonts w:ascii="宋体" w:hAnsi="宋体" w:cs="宋体"/>
                <w:color w:val="auto"/>
                <w:szCs w:val="24"/>
                <w:highlight w:val="none"/>
              </w:rPr>
            </w:pPr>
            <w:r>
              <w:rPr>
                <w:rFonts w:hint="eastAsia" w:ascii="宋体" w:hAnsi="宋体"/>
                <w:color w:val="auto"/>
                <w:szCs w:val="21"/>
                <w:highlight w:val="none"/>
                <w:lang w:val="en-US" w:eastAsia="zh-CN"/>
              </w:rPr>
              <w:t>合格</w:t>
            </w:r>
            <w:r>
              <w:rPr>
                <w:rFonts w:hint="eastAsia" w:ascii="宋体" w:hAnsi="宋体"/>
                <w:color w:val="auto"/>
                <w:szCs w:val="21"/>
                <w:highlight w:val="none"/>
              </w:rPr>
              <w:t>中标候选人</w:t>
            </w:r>
            <w:r>
              <w:rPr>
                <w:rFonts w:hint="eastAsia" w:ascii="宋体" w:hAnsi="宋体" w:cs="宋体"/>
                <w:color w:val="auto"/>
                <w:szCs w:val="24"/>
                <w:highlight w:val="none"/>
              </w:rPr>
              <w:t>名称</w:t>
            </w:r>
          </w:p>
        </w:tc>
        <w:tc>
          <w:tcPr>
            <w:tcW w:w="545" w:type="pct"/>
            <w:tcBorders>
              <w:top w:val="single" w:color="auto" w:sz="4" w:space="0"/>
              <w:left w:val="nil"/>
              <w:bottom w:val="single" w:color="auto" w:sz="4" w:space="0"/>
              <w:right w:val="single" w:color="auto" w:sz="4" w:space="0"/>
            </w:tcBorders>
            <w:noWrap w:val="0"/>
            <w:vAlign w:val="center"/>
          </w:tcPr>
          <w:p w14:paraId="349090CC">
            <w:pPr>
              <w:jc w:val="center"/>
              <w:rPr>
                <w:rFonts w:ascii="宋体" w:hAnsi="宋体" w:cs="宋体"/>
                <w:color w:val="auto"/>
                <w:szCs w:val="24"/>
                <w:highlight w:val="none"/>
              </w:rPr>
            </w:pPr>
            <w:r>
              <w:rPr>
                <w:rFonts w:hint="eastAsia" w:ascii="宋体" w:hAnsi="宋体" w:cs="宋体"/>
                <w:color w:val="auto"/>
                <w:szCs w:val="24"/>
                <w:highlight w:val="none"/>
              </w:rPr>
              <w:t>第一轮得票数</w:t>
            </w:r>
          </w:p>
        </w:tc>
        <w:tc>
          <w:tcPr>
            <w:tcW w:w="1040" w:type="pct"/>
            <w:tcBorders>
              <w:top w:val="single" w:color="auto" w:sz="4" w:space="0"/>
              <w:left w:val="nil"/>
              <w:bottom w:val="single" w:color="auto" w:sz="4" w:space="0"/>
              <w:right w:val="single" w:color="auto" w:sz="4" w:space="0"/>
            </w:tcBorders>
            <w:noWrap w:val="0"/>
            <w:vAlign w:val="top"/>
          </w:tcPr>
          <w:p w14:paraId="2A911C8F">
            <w:pPr>
              <w:jc w:val="center"/>
              <w:rPr>
                <w:rFonts w:hint="eastAsia" w:ascii="宋体" w:hAnsi="宋体" w:cs="宋体"/>
                <w:color w:val="auto"/>
                <w:szCs w:val="24"/>
                <w:highlight w:val="none"/>
              </w:rPr>
            </w:pPr>
            <w:r>
              <w:rPr>
                <w:rFonts w:hint="eastAsia" w:ascii="宋体" w:hAnsi="宋体" w:cs="宋体"/>
                <w:color w:val="auto"/>
                <w:szCs w:val="24"/>
                <w:highlight w:val="none"/>
              </w:rPr>
              <w:t>附加投票</w:t>
            </w:r>
          </w:p>
          <w:p w14:paraId="147F5D85">
            <w:pPr>
              <w:jc w:val="center"/>
              <w:rPr>
                <w:rFonts w:hint="eastAsia" w:ascii="宋体" w:hAnsi="宋体" w:cs="宋体"/>
                <w:color w:val="auto"/>
                <w:szCs w:val="24"/>
                <w:highlight w:val="none"/>
              </w:rPr>
            </w:pPr>
            <w:r>
              <w:rPr>
                <w:rFonts w:hint="eastAsia" w:ascii="宋体" w:hAnsi="宋体" w:cs="宋体"/>
                <w:color w:val="auto"/>
                <w:szCs w:val="24"/>
                <w:highlight w:val="none"/>
              </w:rPr>
              <w:t>（如有）</w:t>
            </w:r>
          </w:p>
        </w:tc>
        <w:tc>
          <w:tcPr>
            <w:tcW w:w="1040" w:type="pct"/>
            <w:tcBorders>
              <w:top w:val="single" w:color="auto" w:sz="4" w:space="0"/>
              <w:left w:val="single" w:color="auto" w:sz="4" w:space="0"/>
              <w:bottom w:val="single" w:color="auto" w:sz="4" w:space="0"/>
              <w:right w:val="single" w:color="auto" w:sz="4" w:space="0"/>
            </w:tcBorders>
            <w:noWrap w:val="0"/>
            <w:vAlign w:val="center"/>
          </w:tcPr>
          <w:p w14:paraId="1451B211">
            <w:pPr>
              <w:jc w:val="center"/>
              <w:rPr>
                <w:rFonts w:ascii="宋体" w:hAnsi="宋体" w:cs="宋体"/>
                <w:color w:val="auto"/>
                <w:szCs w:val="24"/>
                <w:highlight w:val="none"/>
              </w:rPr>
            </w:pPr>
            <w:r>
              <w:rPr>
                <w:rFonts w:hint="eastAsia" w:ascii="宋体" w:hAnsi="宋体" w:cs="宋体"/>
                <w:color w:val="auto"/>
                <w:szCs w:val="24"/>
                <w:highlight w:val="none"/>
              </w:rPr>
              <w:t>是否被推荐为中标人</w:t>
            </w:r>
          </w:p>
        </w:tc>
      </w:tr>
      <w:tr w14:paraId="52BC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7A32202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965" w:type="pct"/>
            <w:tcBorders>
              <w:top w:val="single" w:color="auto" w:sz="4" w:space="0"/>
              <w:left w:val="nil"/>
              <w:bottom w:val="single" w:color="auto" w:sz="4" w:space="0"/>
              <w:right w:val="single" w:color="auto" w:sz="4" w:space="0"/>
            </w:tcBorders>
            <w:noWrap w:val="0"/>
            <w:vAlign w:val="center"/>
          </w:tcPr>
          <w:p w14:paraId="32FC8A04">
            <w:pPr>
              <w:jc w:val="center"/>
              <w:rPr>
                <w:rFonts w:ascii="宋体" w:hAnsi="宋体" w:cs="宋体"/>
                <w:color w:val="auto"/>
                <w:sz w:val="24"/>
                <w:szCs w:val="24"/>
                <w:highlight w:val="none"/>
              </w:rPr>
            </w:pPr>
          </w:p>
        </w:tc>
        <w:tc>
          <w:tcPr>
            <w:tcW w:w="545" w:type="pct"/>
            <w:tcBorders>
              <w:top w:val="single" w:color="auto" w:sz="4" w:space="0"/>
              <w:left w:val="nil"/>
              <w:bottom w:val="single" w:color="auto" w:sz="4" w:space="0"/>
              <w:right w:val="single" w:color="auto" w:sz="4" w:space="0"/>
            </w:tcBorders>
            <w:noWrap w:val="0"/>
            <w:vAlign w:val="center"/>
          </w:tcPr>
          <w:p w14:paraId="524CD02E">
            <w:pPr>
              <w:jc w:val="center"/>
              <w:rPr>
                <w:rFonts w:ascii="宋体" w:hAnsi="宋体" w:cs="宋体"/>
                <w:color w:val="auto"/>
                <w:sz w:val="24"/>
                <w:szCs w:val="24"/>
                <w:highlight w:val="none"/>
              </w:rPr>
            </w:pPr>
          </w:p>
        </w:tc>
        <w:tc>
          <w:tcPr>
            <w:tcW w:w="1040" w:type="pct"/>
            <w:tcBorders>
              <w:top w:val="single" w:color="auto" w:sz="4" w:space="0"/>
              <w:left w:val="nil"/>
              <w:bottom w:val="single" w:color="auto" w:sz="4" w:space="0"/>
              <w:right w:val="single" w:color="auto" w:sz="4" w:space="0"/>
            </w:tcBorders>
            <w:noWrap w:val="0"/>
            <w:vAlign w:val="top"/>
          </w:tcPr>
          <w:p w14:paraId="6B8427F4">
            <w:pPr>
              <w:jc w:val="center"/>
              <w:rPr>
                <w:rFonts w:ascii="宋体" w:hAnsi="宋体" w:cs="宋体"/>
                <w:color w:val="auto"/>
                <w:sz w:val="24"/>
                <w:szCs w:val="24"/>
                <w:highlight w:val="none"/>
              </w:rPr>
            </w:pPr>
          </w:p>
        </w:tc>
        <w:tc>
          <w:tcPr>
            <w:tcW w:w="1040" w:type="pct"/>
            <w:tcBorders>
              <w:top w:val="single" w:color="auto" w:sz="4" w:space="0"/>
              <w:left w:val="single" w:color="auto" w:sz="4" w:space="0"/>
              <w:bottom w:val="single" w:color="auto" w:sz="4" w:space="0"/>
              <w:right w:val="single" w:color="auto" w:sz="4" w:space="0"/>
            </w:tcBorders>
            <w:noWrap w:val="0"/>
            <w:vAlign w:val="center"/>
          </w:tcPr>
          <w:p w14:paraId="575E1B1E">
            <w:pPr>
              <w:jc w:val="center"/>
              <w:rPr>
                <w:rFonts w:ascii="宋体" w:hAnsi="宋体" w:cs="宋体"/>
                <w:color w:val="auto"/>
                <w:sz w:val="24"/>
                <w:szCs w:val="24"/>
                <w:highlight w:val="none"/>
              </w:rPr>
            </w:pPr>
          </w:p>
        </w:tc>
      </w:tr>
      <w:tr w14:paraId="7007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4F9DE397">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965" w:type="pct"/>
            <w:tcBorders>
              <w:top w:val="single" w:color="auto" w:sz="4" w:space="0"/>
              <w:left w:val="nil"/>
              <w:bottom w:val="single" w:color="auto" w:sz="4" w:space="0"/>
              <w:right w:val="single" w:color="auto" w:sz="4" w:space="0"/>
            </w:tcBorders>
            <w:noWrap w:val="0"/>
            <w:vAlign w:val="center"/>
          </w:tcPr>
          <w:p w14:paraId="4F5E7E5C">
            <w:pPr>
              <w:jc w:val="center"/>
              <w:rPr>
                <w:rFonts w:ascii="宋体" w:hAnsi="宋体" w:cs="宋体"/>
                <w:color w:val="auto"/>
                <w:sz w:val="24"/>
                <w:szCs w:val="24"/>
                <w:highlight w:val="none"/>
              </w:rPr>
            </w:pPr>
          </w:p>
        </w:tc>
        <w:tc>
          <w:tcPr>
            <w:tcW w:w="545" w:type="pct"/>
            <w:tcBorders>
              <w:top w:val="single" w:color="auto" w:sz="4" w:space="0"/>
              <w:left w:val="nil"/>
              <w:bottom w:val="single" w:color="auto" w:sz="4" w:space="0"/>
              <w:right w:val="single" w:color="auto" w:sz="4" w:space="0"/>
            </w:tcBorders>
            <w:noWrap w:val="0"/>
            <w:vAlign w:val="center"/>
          </w:tcPr>
          <w:p w14:paraId="69141FF4">
            <w:pPr>
              <w:jc w:val="center"/>
              <w:rPr>
                <w:rFonts w:ascii="宋体" w:hAnsi="宋体" w:cs="宋体"/>
                <w:color w:val="auto"/>
                <w:sz w:val="24"/>
                <w:szCs w:val="24"/>
                <w:highlight w:val="none"/>
              </w:rPr>
            </w:pPr>
          </w:p>
        </w:tc>
        <w:tc>
          <w:tcPr>
            <w:tcW w:w="1040" w:type="pct"/>
            <w:tcBorders>
              <w:top w:val="single" w:color="auto" w:sz="4" w:space="0"/>
              <w:left w:val="nil"/>
              <w:bottom w:val="single" w:color="auto" w:sz="4" w:space="0"/>
              <w:right w:val="single" w:color="auto" w:sz="4" w:space="0"/>
            </w:tcBorders>
            <w:noWrap w:val="0"/>
            <w:vAlign w:val="top"/>
          </w:tcPr>
          <w:p w14:paraId="4E4E1F7F">
            <w:pPr>
              <w:jc w:val="center"/>
              <w:rPr>
                <w:rFonts w:ascii="宋体" w:hAnsi="宋体" w:cs="宋体"/>
                <w:color w:val="auto"/>
                <w:sz w:val="24"/>
                <w:szCs w:val="24"/>
                <w:highlight w:val="none"/>
              </w:rPr>
            </w:pPr>
          </w:p>
        </w:tc>
        <w:tc>
          <w:tcPr>
            <w:tcW w:w="1040" w:type="pct"/>
            <w:tcBorders>
              <w:top w:val="single" w:color="auto" w:sz="4" w:space="0"/>
              <w:left w:val="single" w:color="auto" w:sz="4" w:space="0"/>
              <w:bottom w:val="single" w:color="auto" w:sz="4" w:space="0"/>
              <w:right w:val="single" w:color="auto" w:sz="4" w:space="0"/>
            </w:tcBorders>
            <w:noWrap w:val="0"/>
            <w:vAlign w:val="center"/>
          </w:tcPr>
          <w:p w14:paraId="70F09169">
            <w:pPr>
              <w:jc w:val="center"/>
              <w:rPr>
                <w:rFonts w:ascii="宋体" w:hAnsi="宋体" w:cs="宋体"/>
                <w:color w:val="auto"/>
                <w:sz w:val="24"/>
                <w:szCs w:val="24"/>
                <w:highlight w:val="none"/>
              </w:rPr>
            </w:pPr>
          </w:p>
        </w:tc>
      </w:tr>
      <w:tr w14:paraId="3FE6E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408" w:type="pct"/>
            <w:tcBorders>
              <w:top w:val="single" w:color="auto" w:sz="4" w:space="0"/>
              <w:left w:val="single" w:color="auto" w:sz="4" w:space="0"/>
              <w:bottom w:val="single" w:color="auto" w:sz="4" w:space="0"/>
              <w:right w:val="single" w:color="auto" w:sz="4" w:space="0"/>
            </w:tcBorders>
            <w:noWrap w:val="0"/>
            <w:vAlign w:val="center"/>
          </w:tcPr>
          <w:p w14:paraId="1DAFE63A">
            <w:pPr>
              <w:jc w:val="center"/>
              <w:rPr>
                <w:rFonts w:ascii="宋体" w:hAnsi="宋体" w:cs="宋体"/>
                <w:color w:val="auto"/>
                <w:szCs w:val="21"/>
                <w:highlight w:val="none"/>
              </w:rPr>
            </w:pPr>
            <w:r>
              <w:rPr>
                <w:rFonts w:hint="eastAsia" w:ascii="宋体" w:hAnsi="宋体" w:cs="宋体"/>
                <w:color w:val="auto"/>
                <w:szCs w:val="21"/>
                <w:highlight w:val="none"/>
              </w:rPr>
              <w:t>3</w:t>
            </w:r>
          </w:p>
        </w:tc>
        <w:tc>
          <w:tcPr>
            <w:tcW w:w="1965" w:type="pct"/>
            <w:tcBorders>
              <w:top w:val="single" w:color="auto" w:sz="4" w:space="0"/>
              <w:left w:val="nil"/>
              <w:bottom w:val="single" w:color="auto" w:sz="4" w:space="0"/>
              <w:right w:val="single" w:color="auto" w:sz="4" w:space="0"/>
            </w:tcBorders>
            <w:noWrap w:val="0"/>
            <w:vAlign w:val="center"/>
          </w:tcPr>
          <w:p w14:paraId="4B3A2CA1">
            <w:pPr>
              <w:jc w:val="center"/>
              <w:rPr>
                <w:rFonts w:ascii="宋体" w:hAnsi="宋体" w:cs="宋体"/>
                <w:color w:val="auto"/>
                <w:sz w:val="24"/>
                <w:szCs w:val="24"/>
                <w:highlight w:val="none"/>
              </w:rPr>
            </w:pPr>
          </w:p>
        </w:tc>
        <w:tc>
          <w:tcPr>
            <w:tcW w:w="545" w:type="pct"/>
            <w:tcBorders>
              <w:top w:val="single" w:color="auto" w:sz="4" w:space="0"/>
              <w:left w:val="nil"/>
              <w:bottom w:val="single" w:color="auto" w:sz="4" w:space="0"/>
              <w:right w:val="single" w:color="auto" w:sz="4" w:space="0"/>
            </w:tcBorders>
            <w:noWrap w:val="0"/>
            <w:vAlign w:val="center"/>
          </w:tcPr>
          <w:p w14:paraId="38753CDC">
            <w:pPr>
              <w:jc w:val="center"/>
              <w:rPr>
                <w:rFonts w:ascii="宋体" w:hAnsi="宋体" w:cs="宋体"/>
                <w:color w:val="auto"/>
                <w:sz w:val="24"/>
                <w:szCs w:val="24"/>
                <w:highlight w:val="none"/>
              </w:rPr>
            </w:pPr>
          </w:p>
        </w:tc>
        <w:tc>
          <w:tcPr>
            <w:tcW w:w="1040" w:type="pct"/>
            <w:tcBorders>
              <w:top w:val="single" w:color="auto" w:sz="4" w:space="0"/>
              <w:left w:val="nil"/>
              <w:bottom w:val="single" w:color="auto" w:sz="4" w:space="0"/>
              <w:right w:val="single" w:color="auto" w:sz="4" w:space="0"/>
            </w:tcBorders>
            <w:noWrap w:val="0"/>
            <w:vAlign w:val="top"/>
          </w:tcPr>
          <w:p w14:paraId="66A2CFB6">
            <w:pPr>
              <w:jc w:val="center"/>
              <w:rPr>
                <w:rFonts w:ascii="宋体" w:hAnsi="宋体" w:cs="宋体"/>
                <w:color w:val="auto"/>
                <w:sz w:val="24"/>
                <w:szCs w:val="24"/>
                <w:highlight w:val="none"/>
              </w:rPr>
            </w:pPr>
          </w:p>
        </w:tc>
        <w:tc>
          <w:tcPr>
            <w:tcW w:w="1040" w:type="pct"/>
            <w:tcBorders>
              <w:top w:val="single" w:color="auto" w:sz="4" w:space="0"/>
              <w:left w:val="single" w:color="auto" w:sz="4" w:space="0"/>
              <w:bottom w:val="single" w:color="auto" w:sz="4" w:space="0"/>
              <w:right w:val="single" w:color="auto" w:sz="4" w:space="0"/>
            </w:tcBorders>
            <w:noWrap w:val="0"/>
            <w:vAlign w:val="center"/>
          </w:tcPr>
          <w:p w14:paraId="01CBBF6A">
            <w:pPr>
              <w:jc w:val="center"/>
              <w:rPr>
                <w:rFonts w:ascii="宋体" w:hAnsi="宋体" w:cs="宋体"/>
                <w:color w:val="auto"/>
                <w:sz w:val="24"/>
                <w:szCs w:val="24"/>
                <w:highlight w:val="none"/>
              </w:rPr>
            </w:pPr>
          </w:p>
        </w:tc>
      </w:tr>
    </w:tbl>
    <w:p w14:paraId="40ED2C73">
      <w:pPr>
        <w:rPr>
          <w:rFonts w:ascii="宋体" w:hAnsi="宋体" w:cs="宋体"/>
          <w:color w:val="auto"/>
          <w:szCs w:val="21"/>
          <w:highlight w:val="none"/>
        </w:rPr>
      </w:pPr>
    </w:p>
    <w:p w14:paraId="4B01C404">
      <w:pPr>
        <w:spacing w:line="400" w:lineRule="exact"/>
        <w:rPr>
          <w:rFonts w:ascii="宋体" w:hAnsi="宋体" w:cs="宋体"/>
          <w:color w:val="auto"/>
          <w:sz w:val="24"/>
          <w:szCs w:val="24"/>
          <w:highlight w:val="none"/>
        </w:rPr>
      </w:pPr>
      <w:r>
        <w:rPr>
          <w:rFonts w:hint="eastAsia" w:ascii="宋体" w:hAnsi="宋体"/>
          <w:color w:val="auto"/>
          <w:szCs w:val="21"/>
          <w:highlight w:val="none"/>
        </w:rPr>
        <w:t>定标委员会全体成员签名：</w:t>
      </w:r>
    </w:p>
    <w:p w14:paraId="4DCB9A77">
      <w:pPr>
        <w:spacing w:line="400" w:lineRule="exact"/>
        <w:rPr>
          <w:rFonts w:ascii="宋体" w:hAnsi="宋体" w:cs="宋体"/>
          <w:color w:val="auto"/>
          <w:sz w:val="24"/>
          <w:szCs w:val="24"/>
          <w:highlight w:val="none"/>
        </w:rPr>
      </w:pPr>
    </w:p>
    <w:p w14:paraId="6537289A">
      <w:pPr>
        <w:spacing w:line="400" w:lineRule="exact"/>
        <w:rPr>
          <w:rFonts w:ascii="宋体" w:hAnsi="宋体" w:cs="宋体"/>
          <w:color w:val="auto"/>
          <w:sz w:val="24"/>
          <w:szCs w:val="24"/>
          <w:highlight w:val="none"/>
        </w:rPr>
      </w:pPr>
    </w:p>
    <w:p w14:paraId="4D743CFB">
      <w:pPr>
        <w:spacing w:line="360" w:lineRule="auto"/>
        <w:ind w:right="-2"/>
        <w:jc w:val="right"/>
        <w:rPr>
          <w:rFonts w:ascii="宋体" w:hAnsi="宋体" w:cs="宋体"/>
          <w:color w:val="auto"/>
          <w:sz w:val="24"/>
          <w:szCs w:val="24"/>
          <w:highlight w:val="none"/>
        </w:rPr>
      </w:pPr>
      <w:r>
        <w:rPr>
          <w:rFonts w:hint="eastAsia" w:ascii="宋体" w:hAnsi="宋体" w:cs="宋体"/>
          <w:color w:val="auto"/>
          <w:szCs w:val="21"/>
          <w:highlight w:val="none"/>
        </w:rPr>
        <w:t>日期：     年   月   日</w:t>
      </w:r>
    </w:p>
    <w:p w14:paraId="1A3A5934">
      <w:pPr>
        <w:rPr>
          <w:rFonts w:ascii="宋体" w:hAnsi="宋体" w:cs="宋体"/>
          <w:color w:val="auto"/>
          <w:sz w:val="22"/>
          <w:highlight w:val="none"/>
        </w:rPr>
      </w:pPr>
    </w:p>
    <w:p w14:paraId="787947A1">
      <w:pPr>
        <w:spacing w:line="360" w:lineRule="auto"/>
        <w:jc w:val="center"/>
        <w:rPr>
          <w:rFonts w:ascii="宋体" w:hAnsi="宋体" w:cs="宋体"/>
          <w:color w:val="auto"/>
          <w:sz w:val="24"/>
          <w:szCs w:val="24"/>
          <w:highlight w:val="none"/>
        </w:rPr>
        <w:sectPr>
          <w:pgSz w:w="11906" w:h="16838"/>
          <w:pgMar w:top="1440" w:right="1797" w:bottom="1440" w:left="1797" w:header="851" w:footer="992" w:gutter="0"/>
          <w:cols w:space="720" w:num="1"/>
          <w:docGrid w:type="linesAndChars" w:linePitch="312" w:charSpace="0"/>
        </w:sectPr>
      </w:pPr>
      <w:r>
        <w:rPr>
          <w:rFonts w:hint="eastAsia" w:ascii="宋体" w:hAnsi="宋体" w:cs="宋体"/>
          <w:color w:val="auto"/>
          <w:szCs w:val="21"/>
          <w:highlight w:val="none"/>
        </w:rPr>
        <w:t>注：定标委员会成员须根据每轮的投票结果，得票数最多的合格的中标候选人为中标人。</w:t>
      </w:r>
    </w:p>
    <w:p w14:paraId="0C274012">
      <w:pPr>
        <w:widowControl/>
        <w:spacing w:before="240" w:after="240"/>
        <w:jc w:val="left"/>
        <w:rPr>
          <w:rFonts w:ascii="宋体" w:hAnsi="宋体"/>
          <w:color w:val="auto"/>
          <w:sz w:val="27"/>
          <w:szCs w:val="27"/>
        </w:rPr>
      </w:pPr>
    </w:p>
    <w:p w14:paraId="532D2C79">
      <w:pPr>
        <w:pStyle w:val="4"/>
        <w:spacing w:after="0" w:line="360" w:lineRule="auto"/>
        <w:jc w:val="left"/>
        <w:rPr>
          <w:rFonts w:eastAsia="宋体"/>
          <w:b/>
          <w:bCs w:val="0"/>
          <w:i w:val="0"/>
          <w:iCs w:val="0"/>
          <w:color w:val="auto"/>
        </w:rPr>
      </w:pPr>
      <w:bookmarkStart w:id="5" w:name="_Toc503517985"/>
      <w:r>
        <w:rPr>
          <w:rFonts w:eastAsia="宋体"/>
          <w:b/>
          <w:bCs w:val="0"/>
          <w:i w:val="0"/>
          <w:iCs w:val="0"/>
          <w:color w:val="auto"/>
        </w:rPr>
        <w:t>1. 评标</w:t>
      </w:r>
      <w:r>
        <w:rPr>
          <w:rFonts w:hint="eastAsia" w:eastAsia="宋体"/>
          <w:b/>
          <w:bCs w:val="0"/>
          <w:i w:val="0"/>
          <w:iCs w:val="0"/>
          <w:color w:val="auto"/>
          <w:lang w:eastAsia="zh-CN"/>
        </w:rPr>
        <w:t>（</w:t>
      </w:r>
      <w:r>
        <w:rPr>
          <w:rFonts w:hint="eastAsia" w:eastAsia="宋体"/>
          <w:b/>
          <w:bCs w:val="0"/>
          <w:i w:val="0"/>
          <w:iCs w:val="0"/>
          <w:color w:val="auto"/>
          <w:lang w:val="en-US" w:eastAsia="zh-CN"/>
        </w:rPr>
        <w:t>定标</w:t>
      </w:r>
      <w:r>
        <w:rPr>
          <w:rFonts w:hint="eastAsia" w:eastAsia="宋体"/>
          <w:b/>
          <w:bCs w:val="0"/>
          <w:i w:val="0"/>
          <w:iCs w:val="0"/>
          <w:color w:val="auto"/>
          <w:lang w:eastAsia="zh-CN"/>
        </w:rPr>
        <w:t>）</w:t>
      </w:r>
      <w:r>
        <w:rPr>
          <w:rFonts w:eastAsia="宋体"/>
          <w:b/>
          <w:bCs w:val="0"/>
          <w:i w:val="0"/>
          <w:iCs w:val="0"/>
          <w:color w:val="auto"/>
        </w:rPr>
        <w:t>方法</w:t>
      </w:r>
      <w:bookmarkEnd w:id="5"/>
    </w:p>
    <w:p w14:paraId="0B2A5D0D">
      <w:pPr>
        <w:spacing w:line="360" w:lineRule="auto"/>
        <w:ind w:firstLine="480" w:firstLineChars="200"/>
        <w:rPr>
          <w:rFonts w:hint="default" w:ascii="宋体" w:hAnsi="宋体" w:eastAsia="宋体" w:cs="Times New Roman"/>
          <w:color w:val="auto"/>
          <w:sz w:val="24"/>
        </w:rPr>
      </w:pPr>
      <w:r>
        <w:rPr>
          <w:rFonts w:hint="default" w:ascii="宋体" w:hAnsi="宋体" w:eastAsia="宋体" w:cs="Times New Roman"/>
          <w:color w:val="auto"/>
          <w:sz w:val="24"/>
          <w:szCs w:val="21"/>
          <w:highlight w:val="none"/>
          <w:u w:val="none"/>
        </w:rPr>
        <w:t>本次招标采用评定分离，</w:t>
      </w:r>
      <w:r>
        <w:rPr>
          <w:rFonts w:hint="default" w:ascii="宋体" w:hAnsi="宋体" w:eastAsia="宋体" w:cs="Times New Roman"/>
          <w:color w:val="auto"/>
          <w:sz w:val="24"/>
          <w:u w:val="none"/>
        </w:rPr>
        <w:t>评标采用双信封的综合评估法，采取电子评标</w:t>
      </w:r>
      <w:r>
        <w:rPr>
          <w:rFonts w:hint="default" w:ascii="宋体" w:hAnsi="宋体" w:eastAsia="宋体" w:cs="Times New Roman"/>
          <w:color w:val="auto"/>
          <w:sz w:val="24"/>
          <w:u w:val="none"/>
          <w:lang w:eastAsia="zh-CN"/>
        </w:rPr>
        <w:t>，</w:t>
      </w:r>
      <w:r>
        <w:rPr>
          <w:rFonts w:hint="default" w:ascii="宋体" w:hAnsi="宋体" w:eastAsia="宋体" w:cs="Times New Roman"/>
          <w:color w:val="auto"/>
          <w:sz w:val="24"/>
          <w:szCs w:val="21"/>
          <w:highlight w:val="none"/>
          <w:u w:val="none"/>
        </w:rPr>
        <w:t>定标采用</w:t>
      </w:r>
      <w:r>
        <w:rPr>
          <w:rFonts w:hint="default" w:ascii="宋体" w:hAnsi="宋体" w:eastAsia="宋体" w:cs="Times New Roman"/>
          <w:color w:val="auto"/>
          <w:sz w:val="24"/>
          <w:szCs w:val="21"/>
          <w:highlight w:val="none"/>
          <w:u w:val="none"/>
          <w:lang w:val="en-US" w:eastAsia="zh-CN"/>
        </w:rPr>
        <w:t>票决定标法</w:t>
      </w:r>
      <w:r>
        <w:rPr>
          <w:rFonts w:hint="default" w:ascii="宋体" w:hAnsi="宋体" w:eastAsia="宋体" w:cs="Times New Roman"/>
          <w:color w:val="auto"/>
          <w:sz w:val="24"/>
          <w:szCs w:val="21"/>
          <w:highlight w:val="none"/>
          <w:u w:val="none"/>
        </w:rPr>
        <w:t>确定</w:t>
      </w:r>
      <w:r>
        <w:rPr>
          <w:rFonts w:hint="eastAsia" w:ascii="宋体" w:hAnsi="宋体" w:eastAsia="宋体" w:cs="Times New Roman"/>
          <w:color w:val="auto"/>
          <w:sz w:val="24"/>
          <w:szCs w:val="21"/>
          <w:highlight w:val="none"/>
          <w:u w:val="none"/>
          <w:lang w:val="en-US" w:eastAsia="zh-CN"/>
        </w:rPr>
        <w:t>中标候选人排序</w:t>
      </w:r>
      <w:r>
        <w:rPr>
          <w:rFonts w:hint="default" w:ascii="宋体" w:hAnsi="宋体" w:eastAsia="宋体" w:cs="Times New Roman"/>
          <w:color w:val="auto"/>
          <w:sz w:val="24"/>
          <w:u w:val="none"/>
        </w:rPr>
        <w:t>。</w:t>
      </w:r>
      <w:r>
        <w:rPr>
          <w:rFonts w:hint="default" w:ascii="宋体" w:hAnsi="宋体" w:eastAsia="宋体" w:cs="Times New Roman"/>
          <w:color w:val="auto"/>
          <w:sz w:val="24"/>
        </w:rPr>
        <w:t>评标委员会按招标文件规定的评标标准和方法对投标文件进行评审比较，并按《投标人须知前附表》规定的方法推荐合格中标候选人进入定标环节【按投标人统一社会信用代码后4位（除校验码外）大小排位，如统一社会信用代码后4位出现字母情况的，字母以“0”进行代替大小排位；如出现后4位（除校验码外）大小一致的，则随机排位】。</w:t>
      </w:r>
    </w:p>
    <w:p w14:paraId="6D4F4A6C">
      <w:pPr>
        <w:spacing w:line="360" w:lineRule="auto"/>
        <w:rPr>
          <w:rFonts w:ascii="宋体" w:hAnsi="宋体"/>
          <w:color w:val="auto"/>
          <w:sz w:val="24"/>
        </w:rPr>
      </w:pPr>
      <w:r>
        <w:rPr>
          <w:rFonts w:ascii="宋体" w:hAnsi="宋体"/>
          <w:color w:val="auto"/>
          <w:sz w:val="24"/>
        </w:rPr>
        <w:t>1.1</w:t>
      </w:r>
      <w:r>
        <w:rPr>
          <w:rFonts w:hint="eastAsia" w:ascii="宋体" w:hAnsi="宋体"/>
          <w:color w:val="auto"/>
          <w:sz w:val="24"/>
        </w:rPr>
        <w:t>评标方法</w:t>
      </w:r>
    </w:p>
    <w:p w14:paraId="6D371BEF">
      <w:pPr>
        <w:spacing w:line="360" w:lineRule="auto"/>
        <w:ind w:firstLine="480" w:firstLineChars="200"/>
        <w:rPr>
          <w:rFonts w:ascii="宋体" w:hAnsi="宋体"/>
          <w:color w:val="auto"/>
          <w:sz w:val="24"/>
        </w:rPr>
      </w:pPr>
      <w:r>
        <w:rPr>
          <w:rFonts w:hint="eastAsia" w:ascii="宋体" w:hAnsi="宋体"/>
          <w:color w:val="auto"/>
          <w:sz w:val="24"/>
        </w:rPr>
        <w:t>本次评标采用双信封的综合评估法。评标委员会对满足招标文件实质性要求的投标文件，按照本章第</w:t>
      </w:r>
      <w:r>
        <w:rPr>
          <w:rFonts w:ascii="宋体" w:hAnsi="宋体"/>
          <w:color w:val="auto"/>
          <w:sz w:val="24"/>
        </w:rPr>
        <w:t>2.2款</w:t>
      </w:r>
      <w:r>
        <w:rPr>
          <w:rFonts w:hint="eastAsia" w:ascii="宋体" w:hAnsi="宋体"/>
          <w:color w:val="auto"/>
          <w:sz w:val="24"/>
        </w:rPr>
        <w:t>规定的评分标准进行打分，并按得分由高到低顺序推荐</w:t>
      </w:r>
      <w:r>
        <w:rPr>
          <w:rFonts w:hint="eastAsia" w:ascii="宋体" w:hAnsi="宋体"/>
          <w:color w:val="auto"/>
          <w:sz w:val="24"/>
          <w:lang w:val="en-US" w:eastAsia="zh-CN"/>
        </w:rPr>
        <w:t>合格</w:t>
      </w:r>
      <w:r>
        <w:rPr>
          <w:rFonts w:hint="eastAsia" w:ascii="宋体" w:hAnsi="宋体"/>
          <w:color w:val="auto"/>
          <w:sz w:val="24"/>
        </w:rPr>
        <w:t>中标候选人，但投标报价低于其成本的除外。综合评分相等时，评标委员会应按照评标办法前附表规定的优先次序推荐</w:t>
      </w:r>
      <w:r>
        <w:rPr>
          <w:rFonts w:hint="eastAsia" w:ascii="宋体" w:hAnsi="宋体"/>
          <w:color w:val="auto"/>
          <w:sz w:val="24"/>
          <w:lang w:val="en-US" w:eastAsia="zh-CN"/>
        </w:rPr>
        <w:t>合格</w:t>
      </w:r>
      <w:r>
        <w:rPr>
          <w:rFonts w:hint="eastAsia" w:ascii="宋体" w:hAnsi="宋体"/>
          <w:color w:val="auto"/>
          <w:sz w:val="24"/>
        </w:rPr>
        <w:t>中标候选人。</w:t>
      </w:r>
    </w:p>
    <w:p w14:paraId="7B64D350">
      <w:pPr>
        <w:spacing w:line="360" w:lineRule="auto"/>
        <w:rPr>
          <w:rFonts w:ascii="宋体" w:hAnsi="宋体"/>
          <w:color w:val="auto"/>
          <w:sz w:val="24"/>
        </w:rPr>
      </w:pPr>
      <w:r>
        <w:rPr>
          <w:rFonts w:ascii="宋体" w:hAnsi="宋体"/>
          <w:color w:val="auto"/>
          <w:sz w:val="24"/>
        </w:rPr>
        <w:t>1.2</w:t>
      </w:r>
      <w:r>
        <w:rPr>
          <w:rFonts w:hint="eastAsia" w:ascii="宋体" w:hAnsi="宋体"/>
          <w:color w:val="auto"/>
          <w:sz w:val="24"/>
        </w:rPr>
        <w:t>评标组织</w:t>
      </w:r>
    </w:p>
    <w:p w14:paraId="02CAE72E">
      <w:pPr>
        <w:spacing w:line="360" w:lineRule="auto"/>
        <w:ind w:firstLine="480" w:firstLineChars="200"/>
        <w:rPr>
          <w:rFonts w:ascii="宋体" w:hAnsi="宋体"/>
          <w:color w:val="auto"/>
          <w:sz w:val="24"/>
        </w:rPr>
      </w:pPr>
      <w:r>
        <w:rPr>
          <w:rFonts w:ascii="宋体" w:hAnsi="宋体"/>
          <w:color w:val="auto"/>
          <w:sz w:val="24"/>
        </w:rPr>
        <w:t>1.2.1</w:t>
      </w:r>
      <w:r>
        <w:rPr>
          <w:rFonts w:hint="eastAsia" w:ascii="宋体" w:hAnsi="宋体"/>
          <w:color w:val="auto"/>
          <w:sz w:val="24"/>
        </w:rPr>
        <w:t>协助工作组</w:t>
      </w:r>
    </w:p>
    <w:p w14:paraId="20D3A89A">
      <w:pPr>
        <w:spacing w:line="360" w:lineRule="auto"/>
        <w:ind w:firstLine="480" w:firstLineChars="200"/>
        <w:rPr>
          <w:rFonts w:ascii="宋体" w:hAnsi="宋体"/>
          <w:color w:val="auto"/>
          <w:sz w:val="24"/>
        </w:rPr>
      </w:pPr>
      <w:r>
        <w:rPr>
          <w:rFonts w:hint="eastAsia" w:ascii="宋体" w:hAnsi="宋体"/>
          <w:color w:val="auto"/>
          <w:sz w:val="24"/>
        </w:rPr>
        <w:t>招标人可在评标工作开始前成立协助工作组，选派熟悉招标工作、政治素质高的人员组成，协助评标委员会工作。协助工作组人员的具体数量由招标人视评标工作量确定。</w:t>
      </w:r>
    </w:p>
    <w:p w14:paraId="313930C0">
      <w:pPr>
        <w:spacing w:line="360" w:lineRule="auto"/>
        <w:ind w:firstLine="480" w:firstLineChars="200"/>
        <w:rPr>
          <w:rFonts w:ascii="宋体" w:hAnsi="宋体"/>
          <w:color w:val="auto"/>
          <w:sz w:val="24"/>
        </w:rPr>
      </w:pPr>
      <w:r>
        <w:rPr>
          <w:rFonts w:hint="eastAsia" w:ascii="宋体" w:hAnsi="宋体"/>
          <w:color w:val="auto"/>
          <w:sz w:val="24"/>
        </w:rPr>
        <w:t>招标人可以协助评标委员会开展下列工作并提供相关信息：</w:t>
      </w:r>
    </w:p>
    <w:p w14:paraId="4921660F">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1）根据招</w:t>
      </w:r>
      <w:r>
        <w:rPr>
          <w:rFonts w:hint="eastAsia" w:ascii="宋体" w:hAnsi="宋体"/>
          <w:color w:val="auto"/>
          <w:sz w:val="24"/>
        </w:rPr>
        <w:t>标文件，编制评标使用的相应表格；</w:t>
      </w:r>
    </w:p>
    <w:p w14:paraId="40AB22C3">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对投标报价进行算术性校核；</w:t>
      </w:r>
    </w:p>
    <w:p w14:paraId="78F74F82">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3）以</w:t>
      </w:r>
      <w:r>
        <w:rPr>
          <w:rFonts w:hint="eastAsia" w:ascii="宋体" w:hAnsi="宋体"/>
          <w:color w:val="auto"/>
          <w:sz w:val="24"/>
        </w:rPr>
        <w:t>评标标准和方法为依据，列出投标文件相对于招标文件的所有偏差，并进行归类汇总；</w:t>
      </w:r>
    </w:p>
    <w:p w14:paraId="4DA1BA7B">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4）查</w:t>
      </w:r>
      <w:r>
        <w:rPr>
          <w:rFonts w:hint="eastAsia" w:ascii="宋体" w:hAnsi="宋体"/>
          <w:color w:val="auto"/>
          <w:sz w:val="24"/>
        </w:rPr>
        <w:t>询水运建设市场信用信息管理系统，对投标人的资质、业绩、主要人员资历和目前在岗情况、企业信用等级进行核实（如有）。</w:t>
      </w:r>
    </w:p>
    <w:p w14:paraId="7D87FC4C">
      <w:pPr>
        <w:spacing w:line="360" w:lineRule="auto"/>
        <w:ind w:firstLine="480" w:firstLineChars="200"/>
        <w:rPr>
          <w:rFonts w:ascii="宋体" w:hAnsi="宋体"/>
          <w:color w:val="auto"/>
          <w:sz w:val="24"/>
        </w:rPr>
      </w:pPr>
      <w:r>
        <w:rPr>
          <w:rFonts w:hint="eastAsia" w:ascii="宋体" w:hAnsi="宋体"/>
          <w:color w:val="auto"/>
          <w:sz w:val="24"/>
        </w:rPr>
        <w:t>招标人不得对投标文件作出任何评价，不得故意遗漏或者片面摘录，不得在评标委员会对所有偏差定性之前透露存有偏差的投标人名称。</w:t>
      </w:r>
    </w:p>
    <w:p w14:paraId="538CC7F8">
      <w:pPr>
        <w:spacing w:line="360" w:lineRule="auto"/>
        <w:ind w:firstLine="480" w:firstLineChars="200"/>
        <w:rPr>
          <w:rFonts w:ascii="宋体" w:hAnsi="宋体"/>
          <w:color w:val="auto"/>
          <w:sz w:val="24"/>
        </w:rPr>
      </w:pPr>
      <w:r>
        <w:rPr>
          <w:rFonts w:ascii="宋体" w:hAnsi="宋体"/>
          <w:color w:val="auto"/>
          <w:sz w:val="24"/>
        </w:rPr>
        <w:t>1.2.2</w:t>
      </w:r>
      <w:r>
        <w:rPr>
          <w:rFonts w:hint="eastAsia" w:ascii="宋体" w:hAnsi="宋体"/>
          <w:color w:val="auto"/>
          <w:sz w:val="24"/>
        </w:rPr>
        <w:t>评标委员会</w:t>
      </w:r>
    </w:p>
    <w:p w14:paraId="2168DB96">
      <w:pPr>
        <w:spacing w:line="360" w:lineRule="auto"/>
        <w:ind w:firstLine="480" w:firstLineChars="200"/>
        <w:rPr>
          <w:rFonts w:ascii="宋体" w:hAnsi="宋体"/>
          <w:color w:val="auto"/>
          <w:sz w:val="24"/>
        </w:rPr>
      </w:pPr>
      <w:r>
        <w:rPr>
          <w:rFonts w:hint="eastAsia" w:ascii="宋体" w:hAnsi="宋体"/>
          <w:color w:val="auto"/>
          <w:sz w:val="24"/>
        </w:rPr>
        <w:t>评标委员会由招标人按国家、广东省等的有关规定依法组建。评标委员人数参见本招标文件“投标人须知前附表第</w:t>
      </w:r>
      <w:r>
        <w:rPr>
          <w:rFonts w:ascii="宋体" w:hAnsi="宋体"/>
          <w:color w:val="auto"/>
          <w:sz w:val="24"/>
        </w:rPr>
        <w:t>6.1.1款。</w:t>
      </w:r>
      <w:r>
        <w:rPr>
          <w:rFonts w:hint="eastAsia" w:ascii="宋体" w:hAnsi="宋体"/>
          <w:color w:val="auto"/>
          <w:sz w:val="24"/>
        </w:rPr>
        <w:t>评标委员会的主要工作内容包括：</w:t>
      </w:r>
    </w:p>
    <w:p w14:paraId="1BD27F42">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w:t>
      </w:r>
      <w:r>
        <w:rPr>
          <w:rFonts w:hint="eastAsia" w:ascii="宋体" w:hAnsi="宋体"/>
          <w:color w:val="auto"/>
          <w:sz w:val="24"/>
        </w:rPr>
        <w:t>评标委员会开始评标工作之前，首先听取招标人、协助工作组关于工程情况和辅助工作的说明，并认真研读招标文件，获取评标所需的重要信息和数据；</w:t>
      </w:r>
    </w:p>
    <w:p w14:paraId="1ECD6780">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对协助工作组提供的评标工作用表和评标内容进行核查。</w:t>
      </w:r>
    </w:p>
    <w:p w14:paraId="6EF32859">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3）按照以下1.3款程序</w:t>
      </w:r>
      <w:r>
        <w:rPr>
          <w:rFonts w:hint="eastAsia" w:ascii="宋体" w:hAnsi="宋体"/>
          <w:color w:val="auto"/>
          <w:sz w:val="24"/>
        </w:rPr>
        <w:t>进行各项评审工作。</w:t>
      </w:r>
    </w:p>
    <w:p w14:paraId="2D2F6427">
      <w:pPr>
        <w:spacing w:line="360" w:lineRule="auto"/>
        <w:rPr>
          <w:rFonts w:ascii="宋体" w:hAnsi="宋体"/>
          <w:color w:val="auto"/>
          <w:sz w:val="24"/>
        </w:rPr>
      </w:pPr>
      <w:r>
        <w:rPr>
          <w:rFonts w:ascii="宋体" w:hAnsi="宋体"/>
          <w:color w:val="auto"/>
          <w:sz w:val="24"/>
        </w:rPr>
        <w:t>1.3</w:t>
      </w:r>
      <w:r>
        <w:rPr>
          <w:rFonts w:hint="eastAsia" w:ascii="宋体" w:hAnsi="宋体"/>
          <w:color w:val="auto"/>
          <w:sz w:val="24"/>
        </w:rPr>
        <w:t>评审工作程序</w:t>
      </w:r>
    </w:p>
    <w:p w14:paraId="1C114CC2">
      <w:pPr>
        <w:spacing w:line="360" w:lineRule="auto"/>
        <w:ind w:firstLine="480" w:firstLineChars="200"/>
        <w:rPr>
          <w:rFonts w:ascii="宋体" w:hAnsi="宋体"/>
          <w:color w:val="auto"/>
          <w:sz w:val="24"/>
        </w:rPr>
      </w:pPr>
      <w:r>
        <w:rPr>
          <w:rFonts w:hint="eastAsia" w:ascii="宋体" w:hAnsi="宋体"/>
          <w:color w:val="auto"/>
          <w:sz w:val="24"/>
        </w:rPr>
        <w:t>（一）第一信封（商务及技术文件）：</w:t>
      </w:r>
    </w:p>
    <w:p w14:paraId="6EA659E0">
      <w:pPr>
        <w:spacing w:line="360" w:lineRule="auto"/>
        <w:ind w:firstLine="480" w:firstLineChars="200"/>
        <w:rPr>
          <w:rFonts w:ascii="宋体" w:hAnsi="宋体"/>
          <w:color w:val="auto"/>
          <w:sz w:val="24"/>
        </w:rPr>
      </w:pPr>
      <w:r>
        <w:rPr>
          <w:rFonts w:ascii="宋体" w:hAnsi="宋体"/>
          <w:color w:val="auto"/>
          <w:sz w:val="24"/>
        </w:rPr>
        <w:t>l、初步</w:t>
      </w:r>
      <w:r>
        <w:rPr>
          <w:rFonts w:hint="eastAsia" w:ascii="宋体" w:hAnsi="宋体"/>
          <w:color w:val="auto"/>
          <w:sz w:val="24"/>
        </w:rPr>
        <w:t>评审：包括形式评审与响应性评审、资格评审；</w:t>
      </w:r>
    </w:p>
    <w:p w14:paraId="1A8866CA">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详细评审（评审打分）：评标委员会首先对通过初步评审的投标文件第一个信封（商务及技术文件）进行详细评审，对投标人的监理实施方案、主要人员、其他因素等分别评审打分。</w:t>
      </w:r>
    </w:p>
    <w:p w14:paraId="69909AAB">
      <w:pPr>
        <w:spacing w:line="360" w:lineRule="auto"/>
        <w:ind w:firstLine="480" w:firstLineChars="200"/>
        <w:rPr>
          <w:rFonts w:ascii="宋体" w:hAnsi="宋体"/>
          <w:color w:val="auto"/>
          <w:sz w:val="24"/>
        </w:rPr>
      </w:pPr>
      <w:r>
        <w:rPr>
          <w:rFonts w:hint="eastAsia" w:ascii="宋体" w:hAnsi="宋体"/>
          <w:color w:val="auto"/>
          <w:sz w:val="24"/>
        </w:rPr>
        <w:t>（二）第二信封（报价文件）：</w:t>
      </w:r>
    </w:p>
    <w:p w14:paraId="68AF7A4F">
      <w:pPr>
        <w:spacing w:line="360" w:lineRule="auto"/>
        <w:ind w:firstLine="480" w:firstLineChars="200"/>
        <w:rPr>
          <w:rFonts w:ascii="宋体" w:hAnsi="宋体"/>
          <w:color w:val="auto"/>
          <w:sz w:val="24"/>
        </w:rPr>
      </w:pPr>
      <w:r>
        <w:rPr>
          <w:rFonts w:ascii="宋体" w:hAnsi="宋体"/>
          <w:color w:val="auto"/>
          <w:sz w:val="24"/>
        </w:rPr>
        <w:t xml:space="preserve"> 1、初步</w:t>
      </w:r>
      <w:r>
        <w:rPr>
          <w:rFonts w:hint="eastAsia" w:ascii="宋体" w:hAnsi="宋体"/>
          <w:color w:val="auto"/>
          <w:sz w:val="24"/>
        </w:rPr>
        <w:t>评审：</w:t>
      </w:r>
    </w:p>
    <w:p w14:paraId="0D67F4CA">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1）只有投</w:t>
      </w:r>
      <w:r>
        <w:rPr>
          <w:rFonts w:hint="eastAsia" w:ascii="宋体" w:hAnsi="宋体"/>
          <w:color w:val="auto"/>
          <w:sz w:val="24"/>
        </w:rPr>
        <w:t>标文件第一个信封通过详细评审的投标人才能继续参加第二信封报价文件的形式评审与响应性评审；</w:t>
      </w:r>
    </w:p>
    <w:p w14:paraId="555FDD76">
      <w:pPr>
        <w:spacing w:line="360" w:lineRule="auto"/>
        <w:ind w:firstLine="480" w:firstLineChars="200"/>
        <w:rPr>
          <w:rFonts w:ascii="宋体" w:hAnsi="宋体"/>
          <w:color w:val="auto"/>
          <w:sz w:val="24"/>
        </w:rPr>
      </w:pPr>
      <w:r>
        <w:rPr>
          <w:rFonts w:hint="eastAsia" w:ascii="宋体" w:hAnsi="宋体"/>
          <w:color w:val="auto"/>
          <w:sz w:val="24"/>
        </w:rPr>
        <w:t>（</w:t>
      </w:r>
      <w:r>
        <w:rPr>
          <w:rFonts w:ascii="宋体" w:hAnsi="宋体"/>
          <w:color w:val="auto"/>
          <w:sz w:val="24"/>
        </w:rPr>
        <w:t>2）</w:t>
      </w:r>
      <w:r>
        <w:rPr>
          <w:rFonts w:hint="eastAsia" w:ascii="宋体" w:hAnsi="宋体"/>
          <w:color w:val="auto"/>
          <w:sz w:val="24"/>
        </w:rPr>
        <w:t>报价算术性修正；</w:t>
      </w:r>
    </w:p>
    <w:p w14:paraId="098D2D3B">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详细评审：计算评标基准价、评标价得分及综合得分；</w:t>
      </w:r>
    </w:p>
    <w:p w14:paraId="59BE8F29">
      <w:pPr>
        <w:spacing w:line="360" w:lineRule="auto"/>
        <w:ind w:firstLine="480" w:firstLineChars="200"/>
        <w:rPr>
          <w:rFonts w:ascii="宋体" w:hAnsi="宋体"/>
          <w:color w:val="auto"/>
          <w:sz w:val="24"/>
        </w:rPr>
      </w:pPr>
      <w:r>
        <w:rPr>
          <w:rFonts w:hint="eastAsia" w:ascii="宋体" w:hAnsi="宋体"/>
          <w:color w:val="auto"/>
          <w:sz w:val="24"/>
        </w:rPr>
        <w:t>（三）投标文件相关信息的核查。</w:t>
      </w:r>
    </w:p>
    <w:p w14:paraId="29205632">
      <w:pPr>
        <w:spacing w:line="360" w:lineRule="auto"/>
        <w:ind w:firstLine="480" w:firstLineChars="200"/>
        <w:rPr>
          <w:rFonts w:ascii="宋体" w:hAnsi="宋体"/>
          <w:color w:val="auto"/>
          <w:sz w:val="24"/>
        </w:rPr>
      </w:pPr>
      <w:r>
        <w:rPr>
          <w:rFonts w:hint="eastAsia" w:ascii="宋体" w:hAnsi="宋体"/>
          <w:color w:val="auto"/>
          <w:sz w:val="24"/>
        </w:rPr>
        <w:t>（四）</w:t>
      </w:r>
      <w:r>
        <w:rPr>
          <w:rFonts w:ascii="宋体" w:hAnsi="宋体"/>
          <w:color w:val="auto"/>
          <w:sz w:val="24"/>
        </w:rPr>
        <w:t>投</w:t>
      </w:r>
      <w:r>
        <w:rPr>
          <w:rFonts w:hint="eastAsia" w:ascii="宋体" w:hAnsi="宋体"/>
          <w:color w:val="auto"/>
          <w:sz w:val="24"/>
        </w:rPr>
        <w:t>标文件的澄清和说明</w:t>
      </w:r>
      <w:r>
        <w:rPr>
          <w:rFonts w:ascii="宋体" w:hAnsi="宋体"/>
          <w:color w:val="auto"/>
          <w:sz w:val="24"/>
        </w:rPr>
        <w:t>(如有)</w:t>
      </w:r>
    </w:p>
    <w:p w14:paraId="07CAD7DA">
      <w:pPr>
        <w:spacing w:line="360" w:lineRule="auto"/>
        <w:ind w:firstLine="480" w:firstLineChars="200"/>
        <w:rPr>
          <w:rFonts w:ascii="宋体" w:hAnsi="宋体"/>
          <w:color w:val="auto"/>
          <w:sz w:val="24"/>
        </w:rPr>
      </w:pPr>
      <w:r>
        <w:rPr>
          <w:rFonts w:hint="eastAsia" w:ascii="宋体" w:hAnsi="宋体"/>
          <w:color w:val="auto"/>
          <w:sz w:val="24"/>
        </w:rPr>
        <w:t>（五）按评标办法规定推荐中标候选人，编写评标报告。</w:t>
      </w:r>
    </w:p>
    <w:p w14:paraId="2B3561A7">
      <w:pPr>
        <w:pStyle w:val="4"/>
        <w:spacing w:after="0" w:line="360" w:lineRule="auto"/>
        <w:jc w:val="left"/>
        <w:rPr>
          <w:rFonts w:eastAsia="宋体"/>
          <w:b/>
          <w:bCs w:val="0"/>
          <w:i w:val="0"/>
          <w:iCs w:val="0"/>
          <w:color w:val="auto"/>
        </w:rPr>
      </w:pPr>
      <w:bookmarkStart w:id="6" w:name="_Toc503517986"/>
      <w:bookmarkStart w:id="7" w:name="_Toc503235808"/>
      <w:r>
        <w:rPr>
          <w:rFonts w:eastAsia="宋体"/>
          <w:b/>
          <w:bCs w:val="0"/>
          <w:i w:val="0"/>
          <w:iCs w:val="0"/>
          <w:color w:val="auto"/>
        </w:rPr>
        <w:t>2. 评审标准</w:t>
      </w:r>
      <w:bookmarkEnd w:id="6"/>
      <w:bookmarkEnd w:id="7"/>
    </w:p>
    <w:p w14:paraId="34BD93EA">
      <w:pPr>
        <w:spacing w:line="360" w:lineRule="auto"/>
        <w:rPr>
          <w:rFonts w:ascii="宋体" w:hAnsi="宋体"/>
          <w:color w:val="auto"/>
          <w:sz w:val="24"/>
        </w:rPr>
      </w:pPr>
      <w:bookmarkStart w:id="8" w:name="_Toc503517987"/>
      <w:bookmarkStart w:id="9" w:name="_Toc503235809"/>
      <w:r>
        <w:rPr>
          <w:rFonts w:ascii="宋体" w:hAnsi="宋体"/>
          <w:color w:val="auto"/>
          <w:sz w:val="24"/>
        </w:rPr>
        <w:t>2.1 初步评审标准</w:t>
      </w:r>
      <w:bookmarkEnd w:id="8"/>
      <w:bookmarkEnd w:id="9"/>
    </w:p>
    <w:p w14:paraId="2A841A79">
      <w:pPr>
        <w:spacing w:line="360" w:lineRule="auto"/>
        <w:ind w:firstLine="480" w:firstLineChars="200"/>
        <w:rPr>
          <w:rFonts w:ascii="宋体" w:hAnsi="宋体"/>
          <w:color w:val="auto"/>
          <w:sz w:val="24"/>
        </w:rPr>
      </w:pPr>
      <w:r>
        <w:rPr>
          <w:rFonts w:ascii="宋体" w:hAnsi="宋体"/>
          <w:color w:val="auto"/>
          <w:sz w:val="24"/>
        </w:rPr>
        <w:t>2.1.1 形式评审标准：见评标办法前附表。</w:t>
      </w:r>
    </w:p>
    <w:p w14:paraId="2792B7A2">
      <w:pPr>
        <w:spacing w:line="360" w:lineRule="auto"/>
        <w:ind w:firstLine="480" w:firstLineChars="200"/>
        <w:rPr>
          <w:rFonts w:ascii="宋体" w:hAnsi="宋体"/>
          <w:color w:val="auto"/>
          <w:sz w:val="24"/>
        </w:rPr>
      </w:pPr>
      <w:r>
        <w:rPr>
          <w:rFonts w:ascii="宋体" w:hAnsi="宋体"/>
          <w:color w:val="auto"/>
          <w:sz w:val="24"/>
        </w:rPr>
        <w:t>2.1.2 资格评审标准：见评标办法前附表。</w:t>
      </w:r>
    </w:p>
    <w:p w14:paraId="6755EC7A">
      <w:pPr>
        <w:spacing w:line="360" w:lineRule="auto"/>
        <w:ind w:firstLine="480" w:firstLineChars="200"/>
        <w:rPr>
          <w:rFonts w:ascii="宋体" w:hAnsi="宋体"/>
          <w:color w:val="auto"/>
          <w:sz w:val="24"/>
        </w:rPr>
      </w:pPr>
      <w:r>
        <w:rPr>
          <w:rFonts w:ascii="宋体" w:hAnsi="宋体"/>
          <w:color w:val="auto"/>
          <w:sz w:val="24"/>
        </w:rPr>
        <w:t>2.1.3 响应性评审标准：见评标办法前附表。</w:t>
      </w:r>
    </w:p>
    <w:p w14:paraId="1D0BB6E6">
      <w:pPr>
        <w:spacing w:line="360" w:lineRule="auto"/>
        <w:rPr>
          <w:rFonts w:ascii="宋体" w:hAnsi="宋体"/>
          <w:color w:val="auto"/>
          <w:sz w:val="24"/>
        </w:rPr>
      </w:pPr>
      <w:bookmarkStart w:id="10" w:name="_Toc503235810"/>
      <w:bookmarkStart w:id="11" w:name="_Toc503517988"/>
      <w:r>
        <w:rPr>
          <w:rFonts w:ascii="宋体" w:hAnsi="宋体"/>
          <w:color w:val="auto"/>
          <w:sz w:val="24"/>
        </w:rPr>
        <w:t>2.2 分值构成与评分标准</w:t>
      </w:r>
      <w:bookmarkEnd w:id="10"/>
      <w:bookmarkEnd w:id="11"/>
    </w:p>
    <w:p w14:paraId="07ADBFA8">
      <w:pPr>
        <w:tabs>
          <w:tab w:val="left" w:pos="360"/>
        </w:tabs>
        <w:spacing w:line="360" w:lineRule="auto"/>
        <w:ind w:firstLine="480" w:firstLineChars="200"/>
        <w:rPr>
          <w:rFonts w:ascii="宋体" w:hAnsi="宋体"/>
          <w:color w:val="auto"/>
          <w:sz w:val="24"/>
        </w:rPr>
      </w:pPr>
      <w:r>
        <w:rPr>
          <w:rFonts w:ascii="宋体" w:hAnsi="宋体"/>
          <w:color w:val="auto"/>
          <w:sz w:val="24"/>
        </w:rPr>
        <w:t>2.2.1 分值构成</w:t>
      </w:r>
    </w:p>
    <w:p w14:paraId="1C59937B">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监理大纲</w:t>
      </w:r>
      <w:r>
        <w:rPr>
          <w:rFonts w:ascii="宋体" w:hAnsi="宋体"/>
          <w:color w:val="auto"/>
          <w:sz w:val="24"/>
        </w:rPr>
        <w:t>：见评标办法前附表；</w:t>
      </w:r>
    </w:p>
    <w:p w14:paraId="4A8938E9">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主要人员</w:t>
      </w:r>
      <w:r>
        <w:rPr>
          <w:rFonts w:ascii="宋体" w:hAnsi="宋体"/>
          <w:color w:val="auto"/>
          <w:sz w:val="24"/>
        </w:rPr>
        <w:t>：见评标办法前附表；</w:t>
      </w:r>
    </w:p>
    <w:p w14:paraId="4749138A">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评标价</w:t>
      </w:r>
      <w:r>
        <w:rPr>
          <w:rFonts w:ascii="宋体" w:hAnsi="宋体"/>
          <w:color w:val="auto"/>
          <w:sz w:val="24"/>
        </w:rPr>
        <w:t>：见评标办法前附表；</w:t>
      </w:r>
    </w:p>
    <w:p w14:paraId="68BFB25B">
      <w:pPr>
        <w:spacing w:line="360" w:lineRule="auto"/>
        <w:ind w:firstLine="480" w:firstLineChars="200"/>
        <w:rPr>
          <w:rFonts w:ascii="宋体" w:hAnsi="宋体"/>
          <w:color w:val="auto"/>
          <w:sz w:val="24"/>
        </w:rPr>
      </w:pPr>
      <w:r>
        <w:rPr>
          <w:rFonts w:ascii="宋体" w:hAnsi="宋体"/>
          <w:color w:val="auto"/>
          <w:sz w:val="24"/>
        </w:rPr>
        <w:t>（4）其他评分因素：见评标办法前附表。</w:t>
      </w:r>
    </w:p>
    <w:p w14:paraId="109D94A9">
      <w:pPr>
        <w:spacing w:line="360" w:lineRule="auto"/>
        <w:ind w:firstLine="480" w:firstLineChars="200"/>
        <w:rPr>
          <w:rFonts w:ascii="宋体" w:hAnsi="宋体"/>
          <w:color w:val="auto"/>
          <w:sz w:val="24"/>
        </w:rPr>
      </w:pPr>
      <w:r>
        <w:rPr>
          <w:rFonts w:ascii="宋体" w:hAnsi="宋体"/>
          <w:color w:val="auto"/>
          <w:sz w:val="24"/>
        </w:rPr>
        <w:t>2.2.2 评标基准价计算</w:t>
      </w:r>
    </w:p>
    <w:p w14:paraId="4EB8F93E">
      <w:pPr>
        <w:spacing w:line="360" w:lineRule="auto"/>
        <w:ind w:firstLine="480" w:firstLineChars="200"/>
        <w:rPr>
          <w:rFonts w:ascii="宋体" w:hAnsi="宋体"/>
          <w:color w:val="auto"/>
          <w:sz w:val="24"/>
        </w:rPr>
      </w:pPr>
      <w:r>
        <w:rPr>
          <w:rFonts w:ascii="宋体" w:hAnsi="宋体"/>
          <w:color w:val="auto"/>
          <w:sz w:val="24"/>
        </w:rPr>
        <w:t>评标基准价计算方法：见评标办法前附表。</w:t>
      </w:r>
    </w:p>
    <w:p w14:paraId="34273A4A">
      <w:pPr>
        <w:spacing w:line="360" w:lineRule="auto"/>
        <w:ind w:firstLine="480" w:firstLineChars="200"/>
        <w:rPr>
          <w:rFonts w:ascii="宋体" w:hAnsi="宋体"/>
          <w:color w:val="auto"/>
          <w:sz w:val="24"/>
        </w:rPr>
      </w:pPr>
      <w:r>
        <w:rPr>
          <w:rFonts w:ascii="宋体" w:hAnsi="宋体"/>
          <w:color w:val="auto"/>
          <w:sz w:val="24"/>
        </w:rPr>
        <w:t xml:space="preserve">2.2.3 </w:t>
      </w:r>
      <w:r>
        <w:rPr>
          <w:rFonts w:hint="eastAsia" w:ascii="宋体" w:hAnsi="宋体"/>
          <w:color w:val="auto"/>
          <w:sz w:val="24"/>
        </w:rPr>
        <w:t>评标价</w:t>
      </w:r>
      <w:r>
        <w:rPr>
          <w:rFonts w:ascii="宋体" w:hAnsi="宋体"/>
          <w:color w:val="auto"/>
          <w:sz w:val="24"/>
        </w:rPr>
        <w:t>的偏差率计算</w:t>
      </w:r>
    </w:p>
    <w:p w14:paraId="04CD5C8C">
      <w:pPr>
        <w:spacing w:line="360" w:lineRule="auto"/>
        <w:ind w:firstLine="480" w:firstLineChars="200"/>
        <w:rPr>
          <w:rFonts w:ascii="宋体" w:hAnsi="宋体"/>
          <w:color w:val="auto"/>
          <w:sz w:val="24"/>
        </w:rPr>
      </w:pPr>
      <w:r>
        <w:rPr>
          <w:rFonts w:hint="eastAsia" w:ascii="宋体" w:hAnsi="宋体"/>
          <w:color w:val="auto"/>
          <w:sz w:val="24"/>
        </w:rPr>
        <w:t>评标价</w:t>
      </w:r>
      <w:r>
        <w:rPr>
          <w:rFonts w:ascii="宋体" w:hAnsi="宋体"/>
          <w:color w:val="auto"/>
          <w:sz w:val="24"/>
        </w:rPr>
        <w:t>的偏差率计算公式：见评标办法前附表。</w:t>
      </w:r>
    </w:p>
    <w:p w14:paraId="1EBE5D65">
      <w:pPr>
        <w:spacing w:line="360" w:lineRule="auto"/>
        <w:ind w:firstLine="480" w:firstLineChars="200"/>
        <w:rPr>
          <w:rFonts w:ascii="宋体" w:hAnsi="宋体"/>
          <w:color w:val="auto"/>
          <w:sz w:val="24"/>
        </w:rPr>
      </w:pPr>
      <w:r>
        <w:rPr>
          <w:rFonts w:ascii="宋体" w:hAnsi="宋体"/>
          <w:color w:val="auto"/>
          <w:sz w:val="24"/>
        </w:rPr>
        <w:t>2.2.4 评分标准</w:t>
      </w:r>
    </w:p>
    <w:p w14:paraId="0FE4F541">
      <w:pPr>
        <w:spacing w:line="360" w:lineRule="auto"/>
        <w:ind w:firstLine="480" w:firstLineChars="200"/>
        <w:rPr>
          <w:rFonts w:ascii="宋体" w:hAnsi="宋体"/>
          <w:color w:val="auto"/>
          <w:sz w:val="24"/>
        </w:rPr>
      </w:pPr>
      <w:r>
        <w:rPr>
          <w:rFonts w:ascii="宋体" w:hAnsi="宋体"/>
          <w:color w:val="auto"/>
          <w:sz w:val="24"/>
        </w:rPr>
        <w:t>（1）</w:t>
      </w:r>
      <w:r>
        <w:rPr>
          <w:rFonts w:hint="eastAsia" w:ascii="宋体" w:hAnsi="宋体"/>
          <w:color w:val="auto"/>
          <w:sz w:val="24"/>
        </w:rPr>
        <w:t>监理大纲</w:t>
      </w:r>
      <w:r>
        <w:rPr>
          <w:rFonts w:ascii="宋体" w:hAnsi="宋体"/>
          <w:color w:val="auto"/>
          <w:sz w:val="24"/>
        </w:rPr>
        <w:t>评分标准：见评标办法前附表；</w:t>
      </w:r>
    </w:p>
    <w:p w14:paraId="2DB37CEA">
      <w:pPr>
        <w:spacing w:line="360" w:lineRule="auto"/>
        <w:ind w:firstLine="480" w:firstLineChars="200"/>
        <w:rPr>
          <w:rFonts w:ascii="宋体" w:hAnsi="宋体"/>
          <w:color w:val="auto"/>
          <w:sz w:val="24"/>
        </w:rPr>
      </w:pPr>
      <w:r>
        <w:rPr>
          <w:rFonts w:ascii="宋体" w:hAnsi="宋体"/>
          <w:color w:val="auto"/>
          <w:sz w:val="24"/>
        </w:rPr>
        <w:t>（2）</w:t>
      </w:r>
      <w:r>
        <w:rPr>
          <w:rFonts w:hint="eastAsia" w:ascii="宋体" w:hAnsi="宋体"/>
          <w:color w:val="auto"/>
          <w:sz w:val="24"/>
        </w:rPr>
        <w:t>主要人员</w:t>
      </w:r>
      <w:r>
        <w:rPr>
          <w:rFonts w:ascii="宋体" w:hAnsi="宋体"/>
          <w:color w:val="auto"/>
          <w:sz w:val="24"/>
        </w:rPr>
        <w:t>评分标准：见评标办法前附表；</w:t>
      </w:r>
    </w:p>
    <w:p w14:paraId="560002CC">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评标价</w:t>
      </w:r>
      <w:r>
        <w:rPr>
          <w:rFonts w:ascii="宋体" w:hAnsi="宋体"/>
          <w:color w:val="auto"/>
          <w:sz w:val="24"/>
        </w:rPr>
        <w:t>评分标准：见评标办法前附表；</w:t>
      </w:r>
    </w:p>
    <w:p w14:paraId="0761C643">
      <w:pPr>
        <w:spacing w:line="360" w:lineRule="auto"/>
        <w:ind w:firstLine="480" w:firstLineChars="200"/>
        <w:rPr>
          <w:rFonts w:ascii="宋体" w:hAnsi="宋体"/>
          <w:color w:val="auto"/>
          <w:sz w:val="24"/>
        </w:rPr>
      </w:pPr>
      <w:r>
        <w:rPr>
          <w:rFonts w:ascii="宋体" w:hAnsi="宋体"/>
          <w:color w:val="auto"/>
          <w:sz w:val="24"/>
        </w:rPr>
        <w:t>（4）其他因素评分标准：见评标办法前附表。</w:t>
      </w:r>
    </w:p>
    <w:p w14:paraId="2007995F">
      <w:pPr>
        <w:pStyle w:val="4"/>
        <w:spacing w:after="0" w:line="360" w:lineRule="auto"/>
        <w:jc w:val="left"/>
        <w:rPr>
          <w:rFonts w:eastAsia="宋体"/>
          <w:b/>
          <w:bCs w:val="0"/>
          <w:i w:val="0"/>
          <w:iCs w:val="0"/>
          <w:color w:val="auto"/>
        </w:rPr>
      </w:pPr>
      <w:bookmarkStart w:id="12" w:name="_Toc503517989"/>
      <w:bookmarkStart w:id="13" w:name="_Toc503235811"/>
      <w:r>
        <w:rPr>
          <w:rFonts w:eastAsia="宋体"/>
          <w:b/>
          <w:bCs w:val="0"/>
          <w:i w:val="0"/>
          <w:iCs w:val="0"/>
          <w:color w:val="auto"/>
        </w:rPr>
        <w:t>3. 评标程序</w:t>
      </w:r>
      <w:bookmarkEnd w:id="12"/>
      <w:bookmarkEnd w:id="13"/>
    </w:p>
    <w:p w14:paraId="1EBF0239">
      <w:pPr>
        <w:spacing w:line="360" w:lineRule="auto"/>
        <w:rPr>
          <w:rFonts w:ascii="宋体" w:hAnsi="宋体"/>
          <w:color w:val="auto"/>
          <w:sz w:val="24"/>
        </w:rPr>
      </w:pPr>
      <w:bookmarkStart w:id="14" w:name="_Toc503235812"/>
      <w:bookmarkStart w:id="15" w:name="_Toc503517990"/>
      <w:r>
        <w:rPr>
          <w:rFonts w:ascii="宋体" w:hAnsi="宋体"/>
          <w:color w:val="auto"/>
          <w:sz w:val="24"/>
        </w:rPr>
        <w:t>3.1</w:t>
      </w:r>
      <w:r>
        <w:rPr>
          <w:rFonts w:hint="eastAsia" w:ascii="宋体" w:hAnsi="宋体"/>
          <w:color w:val="auto"/>
          <w:sz w:val="24"/>
        </w:rPr>
        <w:t xml:space="preserve"> 第一个信封</w:t>
      </w:r>
      <w:r>
        <w:rPr>
          <w:rFonts w:ascii="宋体" w:hAnsi="宋体"/>
          <w:color w:val="auto"/>
          <w:sz w:val="24"/>
        </w:rPr>
        <w:t>初步评审</w:t>
      </w:r>
      <w:bookmarkEnd w:id="14"/>
      <w:bookmarkEnd w:id="15"/>
    </w:p>
    <w:p w14:paraId="55F17B2D">
      <w:pPr>
        <w:spacing w:line="360" w:lineRule="auto"/>
        <w:ind w:firstLine="480" w:firstLineChars="200"/>
        <w:rPr>
          <w:rFonts w:ascii="宋体" w:hAnsi="宋体"/>
          <w:color w:val="auto"/>
          <w:sz w:val="24"/>
        </w:rPr>
      </w:pPr>
      <w:r>
        <w:rPr>
          <w:rFonts w:ascii="宋体" w:hAnsi="宋体"/>
          <w:color w:val="auto"/>
          <w:sz w:val="24"/>
        </w:rPr>
        <w:t>3.1.1 评标委员会可以要求投标人提交第二章“投标人须知”第3.5.1项至第3.5.</w:t>
      </w:r>
      <w:r>
        <w:rPr>
          <w:rFonts w:hint="eastAsia" w:ascii="宋体" w:hAnsi="宋体"/>
          <w:color w:val="auto"/>
          <w:sz w:val="24"/>
        </w:rPr>
        <w:t>5</w:t>
      </w:r>
      <w:r>
        <w:rPr>
          <w:rFonts w:ascii="宋体" w:hAnsi="宋体"/>
          <w:color w:val="auto"/>
          <w:sz w:val="24"/>
        </w:rPr>
        <w:t>项规定的有关证明和证件的原件，以便核验。评标委员会依据本章第2.1款规定的标准对投标文件</w:t>
      </w:r>
      <w:r>
        <w:rPr>
          <w:rFonts w:hint="eastAsia" w:ascii="宋体" w:hAnsi="宋体"/>
          <w:color w:val="auto"/>
          <w:sz w:val="24"/>
        </w:rPr>
        <w:t>第一个信封（商务及技术文件）</w:t>
      </w:r>
      <w:r>
        <w:rPr>
          <w:rFonts w:ascii="宋体" w:hAnsi="宋体"/>
          <w:color w:val="auto"/>
          <w:sz w:val="24"/>
        </w:rPr>
        <w:t>进行初步评审。有一项不符合评审标准的，</w:t>
      </w:r>
      <w:r>
        <w:rPr>
          <w:rFonts w:hint="eastAsia" w:ascii="宋体" w:hAnsi="宋体"/>
          <w:color w:val="auto"/>
          <w:sz w:val="24"/>
        </w:rPr>
        <w:t>评标委员会应否决其投标</w:t>
      </w:r>
      <w:r>
        <w:rPr>
          <w:rFonts w:ascii="宋体" w:hAnsi="宋体"/>
          <w:color w:val="auto"/>
          <w:sz w:val="24"/>
        </w:rPr>
        <w:t>。</w:t>
      </w:r>
    </w:p>
    <w:p w14:paraId="049B533F">
      <w:pPr>
        <w:spacing w:line="360" w:lineRule="auto"/>
        <w:rPr>
          <w:rFonts w:ascii="宋体" w:hAnsi="宋体"/>
          <w:color w:val="auto"/>
          <w:sz w:val="24"/>
        </w:rPr>
      </w:pPr>
      <w:bookmarkStart w:id="16" w:name="_Toc503235813"/>
      <w:bookmarkStart w:id="17" w:name="_Toc503517991"/>
      <w:r>
        <w:rPr>
          <w:rFonts w:ascii="宋体" w:hAnsi="宋体"/>
          <w:color w:val="auto"/>
          <w:sz w:val="24"/>
        </w:rPr>
        <w:t>3.</w:t>
      </w:r>
      <w:r>
        <w:rPr>
          <w:rFonts w:hint="eastAsia" w:ascii="宋体" w:hAnsi="宋体"/>
          <w:color w:val="auto"/>
          <w:sz w:val="24"/>
        </w:rPr>
        <w:t>2 第一个信封</w:t>
      </w:r>
      <w:r>
        <w:rPr>
          <w:rFonts w:ascii="宋体" w:hAnsi="宋体"/>
          <w:color w:val="auto"/>
          <w:sz w:val="24"/>
        </w:rPr>
        <w:t>详细评审</w:t>
      </w:r>
      <w:bookmarkEnd w:id="16"/>
      <w:bookmarkEnd w:id="17"/>
    </w:p>
    <w:p w14:paraId="26ABB58C">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2</w:t>
      </w:r>
      <w:r>
        <w:rPr>
          <w:rFonts w:ascii="宋体" w:hAnsi="宋体"/>
          <w:color w:val="auto"/>
          <w:sz w:val="24"/>
        </w:rPr>
        <w:t>.1 评标委员会按本章第2.2款规定的量化因素和分值进行打分，并计算出</w:t>
      </w:r>
      <w:r>
        <w:rPr>
          <w:rFonts w:hint="eastAsia" w:ascii="宋体" w:hAnsi="宋体"/>
          <w:color w:val="auto"/>
          <w:sz w:val="24"/>
        </w:rPr>
        <w:t>各投标人的商务和技术</w:t>
      </w:r>
      <w:r>
        <w:rPr>
          <w:rFonts w:ascii="宋体" w:hAnsi="宋体"/>
          <w:color w:val="auto"/>
          <w:sz w:val="24"/>
        </w:rPr>
        <w:t>得分。</w:t>
      </w:r>
    </w:p>
    <w:p w14:paraId="0F3003A9">
      <w:pPr>
        <w:spacing w:line="360" w:lineRule="auto"/>
        <w:ind w:firstLine="480" w:firstLineChars="200"/>
        <w:rPr>
          <w:rFonts w:ascii="宋体" w:hAnsi="宋体"/>
          <w:color w:val="auto"/>
          <w:sz w:val="24"/>
        </w:rPr>
      </w:pPr>
      <w:r>
        <w:rPr>
          <w:rFonts w:ascii="宋体" w:hAnsi="宋体"/>
          <w:color w:val="auto"/>
          <w:sz w:val="24"/>
        </w:rPr>
        <w:t>（1）按本章第2.2.4项（1）目规定的评审因素和分值对</w:t>
      </w:r>
      <w:r>
        <w:rPr>
          <w:rFonts w:hint="eastAsia" w:ascii="宋体" w:hAnsi="宋体"/>
          <w:color w:val="auto"/>
          <w:sz w:val="24"/>
        </w:rPr>
        <w:t>监理大纲</w:t>
      </w:r>
      <w:r>
        <w:rPr>
          <w:rFonts w:ascii="宋体" w:hAnsi="宋体"/>
          <w:color w:val="auto"/>
          <w:sz w:val="24"/>
        </w:rPr>
        <w:t>部分计算出得分A；</w:t>
      </w:r>
    </w:p>
    <w:p w14:paraId="25136D58">
      <w:pPr>
        <w:spacing w:line="360" w:lineRule="auto"/>
        <w:ind w:firstLine="480" w:firstLineChars="200"/>
        <w:rPr>
          <w:rFonts w:ascii="宋体" w:hAnsi="宋体"/>
          <w:color w:val="auto"/>
          <w:sz w:val="24"/>
        </w:rPr>
      </w:pPr>
      <w:r>
        <w:rPr>
          <w:rFonts w:ascii="宋体" w:hAnsi="宋体"/>
          <w:color w:val="auto"/>
          <w:sz w:val="24"/>
        </w:rPr>
        <w:t>（2）按本章第2.2.4项（2）目规定的评审因素和分值对</w:t>
      </w:r>
      <w:r>
        <w:rPr>
          <w:rFonts w:hint="eastAsia" w:ascii="宋体" w:hAnsi="宋体"/>
          <w:color w:val="auto"/>
          <w:sz w:val="24"/>
        </w:rPr>
        <w:t>主要人员部分</w:t>
      </w:r>
      <w:r>
        <w:rPr>
          <w:rFonts w:ascii="宋体" w:hAnsi="宋体"/>
          <w:color w:val="auto"/>
          <w:sz w:val="24"/>
        </w:rPr>
        <w:t>计算出得分B；</w:t>
      </w:r>
    </w:p>
    <w:p w14:paraId="321742B0">
      <w:pPr>
        <w:spacing w:line="360" w:lineRule="auto"/>
        <w:ind w:firstLine="480" w:firstLineChars="200"/>
        <w:rPr>
          <w:rFonts w:ascii="宋体" w:hAnsi="宋体"/>
          <w:color w:val="auto"/>
          <w:sz w:val="24"/>
        </w:rPr>
      </w:pPr>
      <w:r>
        <w:rPr>
          <w:rFonts w:ascii="宋体" w:hAnsi="宋体"/>
          <w:color w:val="auto"/>
          <w:sz w:val="24"/>
        </w:rPr>
        <w:t>（3）按本章第2.2.4项（4）目规定的评审因素和分值对其他部分计算出得分D。</w:t>
      </w:r>
    </w:p>
    <w:p w14:paraId="15CBB3C0">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2</w:t>
      </w:r>
      <w:r>
        <w:rPr>
          <w:rFonts w:ascii="宋体" w:hAnsi="宋体"/>
          <w:color w:val="auto"/>
          <w:sz w:val="24"/>
        </w:rPr>
        <w:t xml:space="preserve">.2 </w:t>
      </w:r>
      <w:r>
        <w:rPr>
          <w:rFonts w:hint="eastAsia" w:ascii="宋体" w:hAnsi="宋体"/>
          <w:color w:val="auto"/>
          <w:sz w:val="24"/>
        </w:rPr>
        <w:t>投标人的商务和技术得分</w:t>
      </w:r>
      <w:r>
        <w:rPr>
          <w:rFonts w:ascii="宋体" w:hAnsi="宋体"/>
          <w:color w:val="auto"/>
          <w:sz w:val="24"/>
        </w:rPr>
        <w:t>分值计算保留小数点后两位，小数点后第三位“四舍五入”。</w:t>
      </w:r>
    </w:p>
    <w:p w14:paraId="7CDC0ED4">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2</w:t>
      </w:r>
      <w:r>
        <w:rPr>
          <w:rFonts w:ascii="宋体" w:hAnsi="宋体"/>
          <w:color w:val="auto"/>
          <w:sz w:val="24"/>
        </w:rPr>
        <w:t>.3 投标人</w:t>
      </w:r>
      <w:r>
        <w:rPr>
          <w:rFonts w:hint="eastAsia" w:ascii="宋体" w:hAnsi="宋体"/>
          <w:color w:val="auto"/>
          <w:sz w:val="24"/>
        </w:rPr>
        <w:t>的商务和技术</w:t>
      </w:r>
      <w:r>
        <w:rPr>
          <w:rFonts w:ascii="宋体" w:hAnsi="宋体"/>
          <w:color w:val="auto"/>
          <w:sz w:val="24"/>
        </w:rPr>
        <w:t>得分=A+B+D。</w:t>
      </w:r>
      <w:r>
        <w:rPr>
          <w:rFonts w:hint="eastAsia" w:ascii="宋体" w:hAnsi="宋体"/>
          <w:color w:val="auto"/>
          <w:sz w:val="24"/>
        </w:rPr>
        <w:t xml:space="preserve"> </w:t>
      </w:r>
    </w:p>
    <w:p w14:paraId="0F7E42F8">
      <w:pPr>
        <w:spacing w:line="360" w:lineRule="auto"/>
        <w:rPr>
          <w:rFonts w:ascii="宋体" w:hAnsi="宋体"/>
          <w:color w:val="auto"/>
          <w:sz w:val="24"/>
        </w:rPr>
      </w:pPr>
      <w:bookmarkStart w:id="18" w:name="_Toc503235814"/>
      <w:bookmarkStart w:id="19" w:name="_Toc503517992"/>
      <w:r>
        <w:rPr>
          <w:rFonts w:ascii="宋体" w:hAnsi="宋体"/>
          <w:color w:val="auto"/>
          <w:sz w:val="24"/>
        </w:rPr>
        <w:t>3.</w:t>
      </w:r>
      <w:r>
        <w:rPr>
          <w:rFonts w:hint="eastAsia" w:ascii="宋体" w:hAnsi="宋体"/>
          <w:color w:val="auto"/>
          <w:sz w:val="24"/>
        </w:rPr>
        <w:t>3 第二个信封开标</w:t>
      </w:r>
      <w:bookmarkEnd w:id="18"/>
      <w:bookmarkEnd w:id="19"/>
    </w:p>
    <w:p w14:paraId="201AEB66">
      <w:pPr>
        <w:spacing w:line="360" w:lineRule="auto"/>
        <w:ind w:firstLine="480" w:firstLineChars="200"/>
        <w:rPr>
          <w:rFonts w:ascii="宋体" w:hAnsi="宋体"/>
          <w:color w:val="auto"/>
          <w:sz w:val="24"/>
        </w:rPr>
      </w:pPr>
      <w:r>
        <w:rPr>
          <w:rFonts w:ascii="宋体" w:hAnsi="宋体"/>
          <w:color w:val="auto"/>
          <w:sz w:val="24"/>
        </w:rPr>
        <w:t>第一</w:t>
      </w:r>
      <w:r>
        <w:rPr>
          <w:rFonts w:hint="eastAsia" w:ascii="宋体" w:hAnsi="宋体"/>
          <w:color w:val="auto"/>
          <w:sz w:val="24"/>
        </w:rPr>
        <w:t>个</w:t>
      </w:r>
      <w:r>
        <w:rPr>
          <w:rFonts w:ascii="宋体" w:hAnsi="宋体"/>
          <w:color w:val="auto"/>
          <w:sz w:val="24"/>
        </w:rPr>
        <w:t>信封（商务及技术文件）评审结束后，招标人将按照</w:t>
      </w:r>
      <w:r>
        <w:rPr>
          <w:rFonts w:hint="eastAsia" w:ascii="宋体" w:hAnsi="宋体"/>
          <w:color w:val="auto"/>
          <w:sz w:val="24"/>
        </w:rPr>
        <w:t>第二章</w:t>
      </w:r>
      <w:r>
        <w:rPr>
          <w:rFonts w:ascii="宋体" w:hAnsi="宋体"/>
          <w:color w:val="auto"/>
          <w:sz w:val="24"/>
        </w:rPr>
        <w:t>“</w:t>
      </w:r>
      <w:r>
        <w:rPr>
          <w:rFonts w:hint="eastAsia" w:ascii="宋体" w:hAnsi="宋体"/>
          <w:color w:val="auto"/>
          <w:sz w:val="24"/>
        </w:rPr>
        <w:t>投标</w:t>
      </w:r>
      <w:r>
        <w:rPr>
          <w:rFonts w:ascii="宋体" w:hAnsi="宋体"/>
          <w:color w:val="auto"/>
          <w:sz w:val="24"/>
        </w:rPr>
        <w:t>人须知”</w:t>
      </w:r>
      <w:r>
        <w:rPr>
          <w:rFonts w:hint="eastAsia" w:ascii="宋体" w:hAnsi="宋体"/>
          <w:color w:val="auto"/>
          <w:sz w:val="24"/>
        </w:rPr>
        <w:t>第5.1款</w:t>
      </w:r>
      <w:r>
        <w:rPr>
          <w:rFonts w:ascii="宋体" w:hAnsi="宋体"/>
          <w:color w:val="auto"/>
          <w:sz w:val="24"/>
        </w:rPr>
        <w:t>规定的时间和地点</w:t>
      </w:r>
      <w:r>
        <w:rPr>
          <w:rFonts w:hint="eastAsia" w:ascii="宋体" w:hAnsi="宋体"/>
          <w:color w:val="auto"/>
          <w:sz w:val="24"/>
        </w:rPr>
        <w:t>对</w:t>
      </w:r>
      <w:r>
        <w:rPr>
          <w:rFonts w:ascii="宋体" w:hAnsi="宋体"/>
          <w:color w:val="auto"/>
          <w:sz w:val="24"/>
        </w:rPr>
        <w:t>通过投标文件第一</w:t>
      </w:r>
      <w:r>
        <w:rPr>
          <w:rFonts w:hint="eastAsia" w:ascii="宋体" w:hAnsi="宋体"/>
          <w:color w:val="auto"/>
          <w:sz w:val="24"/>
        </w:rPr>
        <w:t>个</w:t>
      </w:r>
      <w:r>
        <w:rPr>
          <w:rFonts w:ascii="宋体" w:hAnsi="宋体"/>
          <w:color w:val="auto"/>
          <w:sz w:val="24"/>
        </w:rPr>
        <w:t>信封（商务及技术文件）评审的投标</w:t>
      </w:r>
      <w:r>
        <w:rPr>
          <w:rFonts w:hint="eastAsia" w:ascii="宋体" w:hAnsi="宋体"/>
          <w:color w:val="auto"/>
          <w:sz w:val="24"/>
        </w:rPr>
        <w:t>文件</w:t>
      </w:r>
      <w:r>
        <w:rPr>
          <w:rFonts w:ascii="宋体" w:hAnsi="宋体"/>
          <w:color w:val="auto"/>
          <w:sz w:val="24"/>
        </w:rPr>
        <w:t>第二</w:t>
      </w:r>
      <w:r>
        <w:rPr>
          <w:rFonts w:hint="eastAsia" w:ascii="宋体" w:hAnsi="宋体"/>
          <w:color w:val="auto"/>
          <w:sz w:val="24"/>
        </w:rPr>
        <w:t>个</w:t>
      </w:r>
      <w:r>
        <w:rPr>
          <w:rFonts w:ascii="宋体" w:hAnsi="宋体"/>
          <w:color w:val="auto"/>
          <w:sz w:val="24"/>
        </w:rPr>
        <w:t>信封（报价</w:t>
      </w:r>
      <w:r>
        <w:rPr>
          <w:rFonts w:hint="eastAsia" w:ascii="宋体" w:hAnsi="宋体"/>
          <w:color w:val="auto"/>
          <w:sz w:val="24"/>
        </w:rPr>
        <w:t>文件</w:t>
      </w:r>
      <w:r>
        <w:rPr>
          <w:rFonts w:ascii="宋体" w:hAnsi="宋体"/>
          <w:color w:val="auto"/>
          <w:sz w:val="24"/>
        </w:rPr>
        <w:t>）进行开标。</w:t>
      </w:r>
    </w:p>
    <w:p w14:paraId="44CDFEE2">
      <w:pPr>
        <w:spacing w:line="360" w:lineRule="auto"/>
        <w:rPr>
          <w:rFonts w:ascii="宋体" w:hAnsi="宋体"/>
          <w:color w:val="auto"/>
          <w:sz w:val="24"/>
        </w:rPr>
      </w:pPr>
      <w:bookmarkStart w:id="20" w:name="_Toc503235815"/>
      <w:bookmarkStart w:id="21" w:name="_Toc503517993"/>
      <w:r>
        <w:rPr>
          <w:rFonts w:ascii="宋体" w:hAnsi="宋体"/>
          <w:color w:val="auto"/>
          <w:sz w:val="24"/>
        </w:rPr>
        <w:t>3.</w:t>
      </w:r>
      <w:r>
        <w:rPr>
          <w:rFonts w:hint="eastAsia" w:ascii="宋体" w:hAnsi="宋体"/>
          <w:color w:val="auto"/>
          <w:sz w:val="24"/>
        </w:rPr>
        <w:t>4 第二个信封</w:t>
      </w:r>
      <w:r>
        <w:rPr>
          <w:rFonts w:ascii="宋体" w:hAnsi="宋体"/>
          <w:color w:val="auto"/>
          <w:sz w:val="24"/>
        </w:rPr>
        <w:t>初步评审</w:t>
      </w:r>
      <w:bookmarkEnd w:id="20"/>
      <w:bookmarkEnd w:id="21"/>
    </w:p>
    <w:p w14:paraId="0F6B4485">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4</w:t>
      </w:r>
      <w:r>
        <w:rPr>
          <w:rFonts w:ascii="宋体" w:hAnsi="宋体"/>
          <w:color w:val="auto"/>
          <w:sz w:val="24"/>
        </w:rPr>
        <w:t>.1 评标委员会依据本章第2.1.1项、第2.1.3项规定的评审标准对投标文件</w:t>
      </w:r>
      <w:r>
        <w:rPr>
          <w:rFonts w:hint="eastAsia" w:ascii="宋体" w:hAnsi="宋体"/>
          <w:color w:val="auto"/>
          <w:sz w:val="24"/>
        </w:rPr>
        <w:t>第二个信封（报价文件）</w:t>
      </w:r>
      <w:r>
        <w:rPr>
          <w:rFonts w:ascii="宋体" w:hAnsi="宋体"/>
          <w:color w:val="auto"/>
          <w:sz w:val="24"/>
        </w:rPr>
        <w:t>进行初步评审。有一项不符合评审标准的，</w:t>
      </w:r>
      <w:r>
        <w:rPr>
          <w:rFonts w:hint="eastAsia" w:ascii="宋体" w:hAnsi="宋体"/>
          <w:color w:val="auto"/>
          <w:sz w:val="24"/>
        </w:rPr>
        <w:t>评标委员会应否决其投标</w:t>
      </w:r>
      <w:r>
        <w:rPr>
          <w:rFonts w:ascii="宋体" w:hAnsi="宋体"/>
          <w:color w:val="auto"/>
          <w:sz w:val="24"/>
        </w:rPr>
        <w:t>。</w:t>
      </w:r>
    </w:p>
    <w:p w14:paraId="6CF5D741">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4</w:t>
      </w:r>
      <w:r>
        <w:rPr>
          <w:rFonts w:ascii="宋体" w:hAnsi="宋体"/>
          <w:color w:val="auto"/>
          <w:sz w:val="24"/>
        </w:rPr>
        <w:t>.</w:t>
      </w:r>
      <w:r>
        <w:rPr>
          <w:rFonts w:hint="eastAsia" w:ascii="宋体" w:hAnsi="宋体"/>
          <w:color w:val="auto"/>
          <w:sz w:val="24"/>
        </w:rPr>
        <w:t>2</w:t>
      </w:r>
      <w:r>
        <w:rPr>
          <w:rFonts w:ascii="宋体" w:hAnsi="宋体"/>
          <w:color w:val="auto"/>
          <w:sz w:val="24"/>
        </w:rPr>
        <w:t xml:space="preserve"> 投标报价有算术错误的，评标委员会按以下原则对投标报价进行修正，修正的价格经投标人书面确认后具有约束力。投标人不接受修正价格的，</w:t>
      </w:r>
      <w:r>
        <w:rPr>
          <w:rFonts w:hint="eastAsia" w:ascii="宋体" w:hAnsi="宋体"/>
          <w:color w:val="auto"/>
          <w:sz w:val="24"/>
        </w:rPr>
        <w:t>评标委员会应否决其投标。</w:t>
      </w:r>
    </w:p>
    <w:p w14:paraId="6243FE81">
      <w:pPr>
        <w:spacing w:line="360" w:lineRule="auto"/>
        <w:ind w:firstLine="480" w:firstLineChars="200"/>
        <w:rPr>
          <w:rFonts w:ascii="宋体" w:hAnsi="宋体"/>
          <w:color w:val="auto"/>
          <w:sz w:val="24"/>
        </w:rPr>
      </w:pPr>
      <w:r>
        <w:rPr>
          <w:rFonts w:ascii="宋体" w:hAnsi="宋体"/>
          <w:color w:val="auto"/>
          <w:sz w:val="24"/>
        </w:rPr>
        <w:t>（1）投标文件中的大写金额与小写金额不一致的，以大写金额为准；</w:t>
      </w:r>
    </w:p>
    <w:p w14:paraId="6D46F9FB">
      <w:pPr>
        <w:spacing w:line="360" w:lineRule="auto"/>
        <w:ind w:firstLine="480" w:firstLineChars="200"/>
        <w:rPr>
          <w:rFonts w:ascii="宋体" w:hAnsi="宋体"/>
          <w:color w:val="auto"/>
          <w:sz w:val="24"/>
        </w:rPr>
      </w:pPr>
      <w:r>
        <w:rPr>
          <w:rFonts w:ascii="宋体" w:hAnsi="宋体"/>
          <w:color w:val="auto"/>
          <w:sz w:val="24"/>
        </w:rPr>
        <w:t>（2）总价金额与依据单价计算出的结果不一致的，以单价金额为准修正总价，但单价金额小数点有明显错误的除外</w:t>
      </w:r>
      <w:r>
        <w:rPr>
          <w:rFonts w:hint="eastAsia" w:ascii="宋体" w:hAnsi="宋体"/>
          <w:color w:val="auto"/>
          <w:sz w:val="24"/>
        </w:rPr>
        <w:t>；</w:t>
      </w:r>
    </w:p>
    <w:p w14:paraId="2D9E5043">
      <w:pPr>
        <w:spacing w:line="360" w:lineRule="auto"/>
        <w:ind w:firstLine="480" w:firstLineChars="200"/>
        <w:rPr>
          <w:rFonts w:ascii="宋体" w:hAnsi="宋体"/>
          <w:color w:val="auto"/>
          <w:sz w:val="24"/>
        </w:rPr>
      </w:pPr>
      <w:r>
        <w:rPr>
          <w:rFonts w:hint="eastAsia" w:ascii="宋体" w:hAnsi="宋体"/>
          <w:color w:val="auto"/>
          <w:sz w:val="24"/>
        </w:rPr>
        <w:t>（3）当单价与数量相乘不等于合价时，以单价计算为准，如果单价有明显的小数点位置差错，应以标出的合价为准，同时对单价予以修正；</w:t>
      </w:r>
    </w:p>
    <w:p w14:paraId="6B396576">
      <w:pPr>
        <w:spacing w:line="360" w:lineRule="auto"/>
        <w:ind w:firstLine="480" w:firstLineChars="200"/>
        <w:rPr>
          <w:rFonts w:ascii="宋体" w:hAnsi="宋体"/>
          <w:color w:val="auto"/>
          <w:sz w:val="24"/>
        </w:rPr>
      </w:pPr>
      <w:r>
        <w:rPr>
          <w:rFonts w:hint="eastAsia" w:ascii="宋体" w:hAnsi="宋体"/>
          <w:color w:val="auto"/>
          <w:sz w:val="24"/>
        </w:rPr>
        <w:t>（4）当各子目的合价累计不等于总价时，应以各子目合价累计数为准，修正总价。</w:t>
      </w:r>
    </w:p>
    <w:p w14:paraId="6C188637">
      <w:pPr>
        <w:spacing w:line="360" w:lineRule="auto"/>
        <w:ind w:firstLine="480" w:firstLineChars="200"/>
        <w:rPr>
          <w:rFonts w:ascii="宋体" w:hAnsi="宋体"/>
          <w:color w:val="auto"/>
          <w:sz w:val="24"/>
        </w:rPr>
      </w:pPr>
      <w:r>
        <w:rPr>
          <w:rFonts w:hint="eastAsia" w:ascii="宋体" w:hAnsi="宋体"/>
          <w:color w:val="auto"/>
          <w:sz w:val="24"/>
        </w:rPr>
        <w:t>3.4.</w:t>
      </w:r>
      <w:r>
        <w:rPr>
          <w:rFonts w:ascii="宋体" w:hAnsi="宋体"/>
          <w:color w:val="auto"/>
          <w:sz w:val="24"/>
        </w:rPr>
        <w:t>3</w:t>
      </w:r>
      <w:r>
        <w:rPr>
          <w:rFonts w:hint="eastAsia" w:ascii="宋体" w:hAnsi="宋体"/>
          <w:color w:val="auto"/>
          <w:sz w:val="24"/>
        </w:rPr>
        <w:t xml:space="preserve"> 修正后的最终投标报价若超过最高投标限价（如有），评标委员会应否决其投标。</w:t>
      </w:r>
    </w:p>
    <w:p w14:paraId="7D981953">
      <w:pPr>
        <w:spacing w:line="360" w:lineRule="auto"/>
        <w:ind w:firstLine="480" w:firstLineChars="200"/>
        <w:rPr>
          <w:rFonts w:ascii="宋体" w:hAnsi="宋体"/>
          <w:color w:val="auto"/>
          <w:sz w:val="24"/>
        </w:rPr>
      </w:pPr>
      <w:r>
        <w:rPr>
          <w:rFonts w:hint="eastAsia" w:ascii="宋体" w:hAnsi="宋体"/>
          <w:color w:val="auto"/>
          <w:sz w:val="24"/>
        </w:rPr>
        <w:t>3.4.</w:t>
      </w:r>
      <w:r>
        <w:rPr>
          <w:rFonts w:ascii="宋体" w:hAnsi="宋体"/>
          <w:color w:val="auto"/>
          <w:sz w:val="24"/>
        </w:rPr>
        <w:t>4</w:t>
      </w:r>
      <w:r>
        <w:rPr>
          <w:rFonts w:hint="eastAsia" w:ascii="宋体" w:hAnsi="宋体"/>
          <w:color w:val="auto"/>
          <w:sz w:val="24"/>
        </w:rPr>
        <w:t xml:space="preserve"> 修正后的最终投标报价仅作为签订合同的一个依据，不参与评标价得分的计算。</w:t>
      </w:r>
    </w:p>
    <w:p w14:paraId="0A92A452">
      <w:pPr>
        <w:spacing w:line="360" w:lineRule="auto"/>
        <w:rPr>
          <w:rFonts w:ascii="宋体" w:hAnsi="宋体"/>
          <w:color w:val="auto"/>
          <w:sz w:val="24"/>
        </w:rPr>
      </w:pPr>
      <w:bookmarkStart w:id="22" w:name="_Toc503235816"/>
      <w:bookmarkStart w:id="23" w:name="_Toc503517994"/>
      <w:r>
        <w:rPr>
          <w:rFonts w:ascii="宋体" w:hAnsi="宋体"/>
          <w:color w:val="auto"/>
          <w:sz w:val="24"/>
        </w:rPr>
        <w:t>3.</w:t>
      </w:r>
      <w:r>
        <w:rPr>
          <w:rFonts w:hint="eastAsia" w:ascii="宋体" w:hAnsi="宋体"/>
          <w:color w:val="auto"/>
          <w:sz w:val="24"/>
        </w:rPr>
        <w:t>5 第二个信封</w:t>
      </w:r>
      <w:r>
        <w:rPr>
          <w:rFonts w:ascii="宋体" w:hAnsi="宋体"/>
          <w:color w:val="auto"/>
          <w:sz w:val="24"/>
        </w:rPr>
        <w:t>详细评审</w:t>
      </w:r>
      <w:bookmarkEnd w:id="22"/>
      <w:bookmarkEnd w:id="23"/>
    </w:p>
    <w:p w14:paraId="466BE4B2">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5</w:t>
      </w:r>
      <w:r>
        <w:rPr>
          <w:rFonts w:ascii="宋体" w:hAnsi="宋体"/>
          <w:color w:val="auto"/>
          <w:sz w:val="24"/>
        </w:rPr>
        <w:t>.1 评标委员会按本章第2.2.4项（3）目规定的评审因素和分值对</w:t>
      </w:r>
      <w:r>
        <w:rPr>
          <w:rFonts w:hint="eastAsia" w:ascii="宋体" w:hAnsi="宋体"/>
          <w:color w:val="auto"/>
          <w:sz w:val="24"/>
        </w:rPr>
        <w:t>评标价</w:t>
      </w:r>
      <w:r>
        <w:rPr>
          <w:rFonts w:ascii="宋体" w:hAnsi="宋体"/>
          <w:color w:val="auto"/>
          <w:sz w:val="24"/>
        </w:rPr>
        <w:t>计算出得分C</w:t>
      </w:r>
      <w:r>
        <w:rPr>
          <w:rFonts w:hint="eastAsia" w:ascii="宋体" w:hAnsi="宋体"/>
          <w:color w:val="auto"/>
          <w:sz w:val="24"/>
        </w:rPr>
        <w:t>。评标价得</w:t>
      </w:r>
      <w:r>
        <w:rPr>
          <w:rFonts w:ascii="宋体" w:hAnsi="宋体"/>
          <w:color w:val="auto"/>
          <w:sz w:val="24"/>
        </w:rPr>
        <w:t>分分值计算保留小数点后两位，小数点后第三位“四舍五入”。</w:t>
      </w:r>
    </w:p>
    <w:p w14:paraId="708FF2DA">
      <w:pPr>
        <w:spacing w:line="360" w:lineRule="auto"/>
        <w:ind w:firstLine="480" w:firstLineChars="200"/>
        <w:rPr>
          <w:rFonts w:ascii="宋体" w:hAnsi="宋体"/>
          <w:color w:val="auto"/>
          <w:sz w:val="24"/>
        </w:rPr>
      </w:pPr>
      <w:r>
        <w:rPr>
          <w:rFonts w:hint="eastAsia" w:ascii="宋体" w:hAnsi="宋体"/>
          <w:color w:val="auto"/>
          <w:sz w:val="24"/>
        </w:rPr>
        <w:t xml:space="preserve">3.5.2 </w:t>
      </w:r>
      <w:r>
        <w:rPr>
          <w:rFonts w:ascii="宋体" w:hAnsi="宋体"/>
          <w:color w:val="auto"/>
          <w:sz w:val="24"/>
        </w:rPr>
        <w:t>投标人综合得分=</w:t>
      </w:r>
      <w:r>
        <w:rPr>
          <w:rFonts w:hint="eastAsia" w:ascii="宋体" w:hAnsi="宋体"/>
          <w:color w:val="auto"/>
          <w:sz w:val="24"/>
        </w:rPr>
        <w:t>投标人的商务和技术得分</w:t>
      </w:r>
      <w:r>
        <w:rPr>
          <w:rFonts w:ascii="宋体" w:hAnsi="宋体"/>
          <w:color w:val="auto"/>
          <w:sz w:val="24"/>
        </w:rPr>
        <w:t>+C。</w:t>
      </w:r>
    </w:p>
    <w:p w14:paraId="3718B982">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5</w:t>
      </w:r>
      <w:r>
        <w:rPr>
          <w:rFonts w:ascii="宋体" w:hAnsi="宋体"/>
          <w:color w:val="auto"/>
          <w:sz w:val="24"/>
        </w:rPr>
        <w:t>.</w:t>
      </w:r>
      <w:r>
        <w:rPr>
          <w:rFonts w:hint="eastAsia" w:ascii="宋体" w:hAnsi="宋体"/>
          <w:color w:val="auto"/>
          <w:sz w:val="24"/>
        </w:rPr>
        <w:t>3</w:t>
      </w:r>
      <w:r>
        <w:rPr>
          <w:rFonts w:ascii="宋体" w:hAnsi="宋体"/>
          <w:color w:val="auto"/>
          <w:sz w:val="24"/>
        </w:rPr>
        <w:t xml:space="preserve"> 评标委员会发现投标人的报价明显低于其他投标报价，使得其投标报价可能低于其个别成本的，应要求该投标人作出书面说明并提供相应的证明材料。投标人不能合理说明或不能提供相应证明材料的，评标委员会应认定该投标人以低于成本报价竞标，并否决其投标。</w:t>
      </w:r>
    </w:p>
    <w:p w14:paraId="3803EF37">
      <w:pPr>
        <w:spacing w:line="360" w:lineRule="auto"/>
        <w:rPr>
          <w:rFonts w:ascii="宋体" w:hAnsi="宋体"/>
          <w:color w:val="auto"/>
          <w:sz w:val="24"/>
        </w:rPr>
      </w:pPr>
      <w:bookmarkStart w:id="24" w:name="_Toc503517995"/>
      <w:bookmarkStart w:id="25" w:name="_Toc503235817"/>
      <w:r>
        <w:rPr>
          <w:rFonts w:ascii="宋体" w:hAnsi="宋体"/>
          <w:color w:val="auto"/>
          <w:sz w:val="24"/>
        </w:rPr>
        <w:t>3.</w:t>
      </w:r>
      <w:r>
        <w:rPr>
          <w:rFonts w:hint="eastAsia" w:ascii="宋体" w:hAnsi="宋体"/>
          <w:color w:val="auto"/>
          <w:sz w:val="24"/>
        </w:rPr>
        <w:t>6 投标文件相关信息的核查</w:t>
      </w:r>
      <w:bookmarkEnd w:id="24"/>
      <w:bookmarkEnd w:id="25"/>
    </w:p>
    <w:p w14:paraId="4DF7DED9">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6</w:t>
      </w:r>
      <w:r>
        <w:rPr>
          <w:rFonts w:ascii="宋体" w:hAnsi="宋体"/>
          <w:color w:val="auto"/>
          <w:sz w:val="24"/>
        </w:rPr>
        <w:t>.1</w:t>
      </w:r>
      <w:r>
        <w:rPr>
          <w:rFonts w:hint="eastAsia" w:ascii="宋体" w:hAnsi="宋体"/>
          <w:color w:val="auto"/>
          <w:sz w:val="24"/>
        </w:rPr>
        <w:t xml:space="preserve"> </w:t>
      </w:r>
      <w:r>
        <w:rPr>
          <w:rStyle w:val="12"/>
          <w:rFonts w:hint="eastAsia" w:ascii="宋体" w:hAnsi="宋体" w:cs="宋体"/>
          <w:color w:val="auto"/>
          <w:sz w:val="24"/>
        </w:rPr>
        <w:footnoteReference w:id="2"/>
      </w:r>
      <w:r>
        <w:rPr>
          <w:rFonts w:hint="eastAsia" w:ascii="宋体" w:hAnsi="宋体"/>
          <w:color w:val="auto"/>
          <w:sz w:val="24"/>
        </w:rPr>
        <w:t>在评标过程中，评标</w:t>
      </w:r>
      <w:r>
        <w:rPr>
          <w:rFonts w:ascii="宋体" w:hAnsi="宋体"/>
          <w:color w:val="auto"/>
          <w:sz w:val="24"/>
        </w:rPr>
        <w:t>委员会应查询</w:t>
      </w:r>
      <w:r>
        <w:rPr>
          <w:rFonts w:hint="eastAsia" w:ascii="宋体" w:hAnsi="宋体"/>
          <w:color w:val="auto"/>
          <w:sz w:val="24"/>
        </w:rPr>
        <w:t>交通运输主管部门“水运</w:t>
      </w:r>
      <w:r>
        <w:rPr>
          <w:rFonts w:ascii="宋体" w:hAnsi="宋体"/>
          <w:color w:val="auto"/>
          <w:sz w:val="24"/>
        </w:rPr>
        <w:t>建设市场信用信息管理系统</w:t>
      </w:r>
      <w:r>
        <w:rPr>
          <w:rFonts w:hint="eastAsia" w:ascii="宋体" w:hAnsi="宋体"/>
          <w:color w:val="auto"/>
          <w:sz w:val="24"/>
        </w:rPr>
        <w:t>”</w:t>
      </w:r>
      <w:r>
        <w:rPr>
          <w:rFonts w:ascii="宋体" w:hAnsi="宋体"/>
          <w:color w:val="auto"/>
          <w:sz w:val="24"/>
        </w:rPr>
        <w:t>，对</w:t>
      </w:r>
      <w:r>
        <w:rPr>
          <w:rFonts w:hint="eastAsia" w:ascii="宋体" w:hAnsi="宋体"/>
          <w:color w:val="auto"/>
          <w:sz w:val="24"/>
        </w:rPr>
        <w:t>投标</w:t>
      </w:r>
      <w:r>
        <w:rPr>
          <w:rFonts w:ascii="宋体" w:hAnsi="宋体"/>
          <w:color w:val="auto"/>
          <w:sz w:val="24"/>
        </w:rPr>
        <w:t>人的资质、业绩、主要人员资历和目前在岗情况、信用等级等信息进行核实。若</w:t>
      </w:r>
      <w:r>
        <w:rPr>
          <w:rFonts w:hint="eastAsia" w:ascii="宋体" w:hAnsi="宋体"/>
          <w:color w:val="auto"/>
          <w:sz w:val="24"/>
        </w:rPr>
        <w:t>投标</w:t>
      </w:r>
      <w:r>
        <w:rPr>
          <w:rFonts w:ascii="宋体" w:hAnsi="宋体"/>
          <w:color w:val="auto"/>
          <w:sz w:val="24"/>
        </w:rPr>
        <w:t>文件载明的信息与</w:t>
      </w:r>
      <w:r>
        <w:rPr>
          <w:rFonts w:hint="eastAsia" w:ascii="宋体" w:hAnsi="宋体"/>
          <w:color w:val="auto"/>
          <w:sz w:val="24"/>
        </w:rPr>
        <w:t>交通运输主管部门“水运</w:t>
      </w:r>
      <w:r>
        <w:rPr>
          <w:rFonts w:ascii="宋体" w:hAnsi="宋体"/>
          <w:color w:val="auto"/>
          <w:sz w:val="24"/>
        </w:rPr>
        <w:t>建设市场信用信息管理系统</w:t>
      </w:r>
      <w:r>
        <w:rPr>
          <w:rFonts w:hint="eastAsia" w:ascii="宋体" w:hAnsi="宋体"/>
          <w:color w:val="auto"/>
          <w:sz w:val="24"/>
        </w:rPr>
        <w:t>”</w:t>
      </w:r>
      <w:r>
        <w:rPr>
          <w:rFonts w:ascii="宋体" w:hAnsi="宋体"/>
          <w:color w:val="auto"/>
          <w:sz w:val="24"/>
        </w:rPr>
        <w:t>发布的信息不符，使得</w:t>
      </w:r>
      <w:r>
        <w:rPr>
          <w:rFonts w:hint="eastAsia" w:ascii="宋体" w:hAnsi="宋体"/>
          <w:color w:val="auto"/>
          <w:sz w:val="24"/>
        </w:rPr>
        <w:t>投标</w:t>
      </w:r>
      <w:r>
        <w:rPr>
          <w:rFonts w:ascii="宋体" w:hAnsi="宋体"/>
          <w:color w:val="auto"/>
          <w:sz w:val="24"/>
        </w:rPr>
        <w:t>人的资格条件不符合</w:t>
      </w:r>
      <w:r>
        <w:rPr>
          <w:rFonts w:hint="eastAsia" w:ascii="宋体" w:hAnsi="宋体"/>
          <w:color w:val="auto"/>
          <w:sz w:val="24"/>
        </w:rPr>
        <w:t>招标文件</w:t>
      </w:r>
      <w:r>
        <w:rPr>
          <w:rFonts w:ascii="宋体" w:hAnsi="宋体"/>
          <w:color w:val="auto"/>
          <w:sz w:val="24"/>
        </w:rPr>
        <w:t>规定的，评标委员会应否决其投标。</w:t>
      </w:r>
    </w:p>
    <w:p w14:paraId="7A9B24D5">
      <w:pPr>
        <w:spacing w:line="360" w:lineRule="auto"/>
        <w:ind w:firstLine="480" w:firstLineChars="200"/>
        <w:rPr>
          <w:rFonts w:ascii="宋体" w:hAnsi="宋体"/>
          <w:color w:val="auto"/>
          <w:sz w:val="24"/>
        </w:rPr>
      </w:pPr>
      <w:r>
        <w:rPr>
          <w:rFonts w:hint="eastAsia" w:ascii="宋体" w:hAnsi="宋体"/>
          <w:color w:val="auto"/>
          <w:sz w:val="24"/>
        </w:rPr>
        <w:t xml:space="preserve">3.6.2 </w:t>
      </w:r>
      <w:r>
        <w:rPr>
          <w:rFonts w:ascii="宋体" w:hAnsi="宋体"/>
          <w:color w:val="auto"/>
          <w:sz w:val="24"/>
        </w:rPr>
        <w:t>评标委员会应对在评标过程中发现的投标人与投标人之间、投标人与招标人之间存在的串通投标的情形进行评审和认定。</w:t>
      </w:r>
      <w:r>
        <w:rPr>
          <w:rFonts w:hint="eastAsia" w:ascii="宋体" w:hAnsi="宋体"/>
          <w:color w:val="auto"/>
          <w:sz w:val="24"/>
        </w:rPr>
        <w:t>投标人存在</w:t>
      </w:r>
      <w:r>
        <w:rPr>
          <w:rFonts w:ascii="宋体" w:hAnsi="宋体"/>
          <w:color w:val="auto"/>
          <w:sz w:val="24"/>
        </w:rPr>
        <w:t>串通投标</w:t>
      </w:r>
      <w:r>
        <w:rPr>
          <w:rFonts w:hint="eastAsia" w:ascii="宋体" w:hAnsi="宋体"/>
          <w:color w:val="auto"/>
          <w:sz w:val="24"/>
        </w:rPr>
        <w:t>、</w:t>
      </w:r>
      <w:r>
        <w:rPr>
          <w:rFonts w:ascii="宋体" w:hAnsi="宋体"/>
          <w:color w:val="auto"/>
          <w:sz w:val="24"/>
        </w:rPr>
        <w:t>弄虚作假</w:t>
      </w:r>
      <w:r>
        <w:rPr>
          <w:rFonts w:hint="eastAsia" w:ascii="宋体" w:hAnsi="宋体"/>
          <w:color w:val="auto"/>
          <w:sz w:val="24"/>
        </w:rPr>
        <w:t>、行贿等</w:t>
      </w:r>
      <w:r>
        <w:rPr>
          <w:rFonts w:ascii="宋体" w:hAnsi="宋体"/>
          <w:color w:val="auto"/>
          <w:sz w:val="24"/>
        </w:rPr>
        <w:t>违法行为的</w:t>
      </w:r>
      <w:r>
        <w:rPr>
          <w:rFonts w:hint="eastAsia" w:ascii="宋体" w:hAnsi="宋体"/>
          <w:color w:val="auto"/>
          <w:sz w:val="24"/>
        </w:rPr>
        <w:t>，评标委员会应否决其投标。</w:t>
      </w:r>
    </w:p>
    <w:p w14:paraId="21B9AB08">
      <w:pPr>
        <w:spacing w:line="360" w:lineRule="auto"/>
        <w:ind w:firstLine="480" w:firstLineChars="200"/>
        <w:rPr>
          <w:rFonts w:ascii="宋体" w:hAnsi="宋体"/>
          <w:color w:val="auto"/>
          <w:sz w:val="24"/>
        </w:rPr>
      </w:pPr>
      <w:r>
        <w:rPr>
          <w:rFonts w:hint="eastAsia" w:ascii="宋体" w:hAnsi="宋体"/>
          <w:color w:val="auto"/>
          <w:sz w:val="24"/>
        </w:rPr>
        <w:t>（1）</w:t>
      </w:r>
      <w:r>
        <w:rPr>
          <w:rFonts w:ascii="宋体" w:hAnsi="宋体"/>
          <w:color w:val="auto"/>
          <w:sz w:val="24"/>
        </w:rPr>
        <w:t>有下列情形之一的，属于投标人相互串通投标：</w:t>
      </w:r>
    </w:p>
    <w:p w14:paraId="5860CBB3">
      <w:pPr>
        <w:spacing w:line="360" w:lineRule="auto"/>
        <w:ind w:firstLine="480" w:firstLineChars="200"/>
        <w:rPr>
          <w:rFonts w:ascii="宋体" w:hAnsi="宋体"/>
          <w:color w:val="auto"/>
          <w:sz w:val="24"/>
        </w:rPr>
      </w:pPr>
      <w:r>
        <w:rPr>
          <w:rFonts w:ascii="宋体" w:hAnsi="宋体"/>
          <w:color w:val="auto"/>
          <w:sz w:val="24"/>
        </w:rPr>
        <w:t>a.投标人之间协商投标报价等投标文件的实质性内容；</w:t>
      </w:r>
    </w:p>
    <w:p w14:paraId="082CFBD7">
      <w:pPr>
        <w:spacing w:line="360" w:lineRule="auto"/>
        <w:ind w:firstLine="480" w:firstLineChars="200"/>
        <w:rPr>
          <w:rFonts w:ascii="宋体" w:hAnsi="宋体"/>
          <w:color w:val="auto"/>
          <w:sz w:val="24"/>
        </w:rPr>
      </w:pPr>
      <w:r>
        <w:rPr>
          <w:rFonts w:ascii="宋体" w:hAnsi="宋体"/>
          <w:color w:val="auto"/>
          <w:sz w:val="24"/>
        </w:rPr>
        <w:t>b.投标人之间约定中标人；</w:t>
      </w:r>
    </w:p>
    <w:p w14:paraId="12F1BB0E">
      <w:pPr>
        <w:spacing w:line="360" w:lineRule="auto"/>
        <w:ind w:firstLine="480" w:firstLineChars="200"/>
        <w:rPr>
          <w:rFonts w:ascii="宋体" w:hAnsi="宋体"/>
          <w:color w:val="auto"/>
          <w:sz w:val="24"/>
        </w:rPr>
      </w:pPr>
      <w:r>
        <w:rPr>
          <w:rFonts w:ascii="宋体" w:hAnsi="宋体"/>
          <w:color w:val="auto"/>
          <w:sz w:val="24"/>
        </w:rPr>
        <w:t>c.投标人之间约定部分投标人放弃投标或中标；</w:t>
      </w:r>
    </w:p>
    <w:p w14:paraId="54FFC41E">
      <w:pPr>
        <w:spacing w:line="360" w:lineRule="auto"/>
        <w:ind w:firstLine="480" w:firstLineChars="200"/>
        <w:rPr>
          <w:rFonts w:ascii="宋体" w:hAnsi="宋体"/>
          <w:color w:val="auto"/>
          <w:sz w:val="24"/>
        </w:rPr>
      </w:pPr>
      <w:r>
        <w:rPr>
          <w:rFonts w:ascii="宋体" w:hAnsi="宋体"/>
          <w:color w:val="auto"/>
          <w:sz w:val="24"/>
        </w:rPr>
        <w:t>d.属于同一集团、协会、商会等组织成员的投标人按照该组织要求协同投标；</w:t>
      </w:r>
    </w:p>
    <w:p w14:paraId="6E490723">
      <w:pPr>
        <w:spacing w:line="360" w:lineRule="auto"/>
        <w:ind w:firstLine="480" w:firstLineChars="200"/>
        <w:rPr>
          <w:rFonts w:ascii="宋体" w:hAnsi="宋体"/>
          <w:color w:val="auto"/>
          <w:sz w:val="24"/>
        </w:rPr>
      </w:pPr>
      <w:r>
        <w:rPr>
          <w:rFonts w:ascii="宋体" w:hAnsi="宋体"/>
          <w:color w:val="auto"/>
          <w:sz w:val="24"/>
        </w:rPr>
        <w:t>e.投标人之间为谋取中标或排斥特定投标人而采取的其他联合行动。</w:t>
      </w:r>
    </w:p>
    <w:p w14:paraId="264E8434">
      <w:pPr>
        <w:spacing w:line="360" w:lineRule="auto"/>
        <w:ind w:firstLine="480" w:firstLineChars="200"/>
        <w:rPr>
          <w:rFonts w:ascii="宋体" w:hAnsi="宋体"/>
          <w:color w:val="auto"/>
          <w:sz w:val="24"/>
        </w:rPr>
      </w:pPr>
      <w:r>
        <w:rPr>
          <w:rFonts w:hint="eastAsia" w:ascii="宋体" w:hAnsi="宋体"/>
          <w:color w:val="auto"/>
          <w:sz w:val="24"/>
        </w:rPr>
        <w:t>（2）</w:t>
      </w:r>
      <w:r>
        <w:rPr>
          <w:rFonts w:ascii="宋体" w:hAnsi="宋体"/>
          <w:color w:val="auto"/>
          <w:sz w:val="24"/>
        </w:rPr>
        <w:t>有下列情形之一的，视为投标人相互串通投标：</w:t>
      </w:r>
    </w:p>
    <w:p w14:paraId="00177941">
      <w:pPr>
        <w:spacing w:line="360" w:lineRule="auto"/>
        <w:ind w:firstLine="480" w:firstLineChars="200"/>
        <w:rPr>
          <w:rFonts w:ascii="宋体" w:hAnsi="宋体"/>
          <w:color w:val="auto"/>
          <w:sz w:val="24"/>
        </w:rPr>
      </w:pPr>
      <w:r>
        <w:rPr>
          <w:rFonts w:ascii="宋体" w:hAnsi="宋体"/>
          <w:color w:val="auto"/>
          <w:sz w:val="24"/>
        </w:rPr>
        <w:t>a.不同投标人的投标文件由同一单位或个人编制；</w:t>
      </w:r>
    </w:p>
    <w:p w14:paraId="6A11F3DF">
      <w:pPr>
        <w:spacing w:line="360" w:lineRule="auto"/>
        <w:ind w:firstLine="480" w:firstLineChars="200"/>
        <w:rPr>
          <w:rFonts w:ascii="宋体" w:hAnsi="宋体"/>
          <w:color w:val="auto"/>
          <w:sz w:val="24"/>
        </w:rPr>
      </w:pPr>
      <w:r>
        <w:rPr>
          <w:rFonts w:ascii="宋体" w:hAnsi="宋体"/>
          <w:color w:val="auto"/>
          <w:sz w:val="24"/>
        </w:rPr>
        <w:t>b.不同投标人委托同一单位或个人办理投标事宜；</w:t>
      </w:r>
    </w:p>
    <w:p w14:paraId="3773B923">
      <w:pPr>
        <w:spacing w:line="360" w:lineRule="auto"/>
        <w:ind w:firstLine="480" w:firstLineChars="200"/>
        <w:rPr>
          <w:rFonts w:ascii="宋体" w:hAnsi="宋体"/>
          <w:color w:val="auto"/>
          <w:sz w:val="24"/>
        </w:rPr>
      </w:pPr>
      <w:r>
        <w:rPr>
          <w:rFonts w:ascii="宋体" w:hAnsi="宋体"/>
          <w:color w:val="auto"/>
          <w:sz w:val="24"/>
        </w:rPr>
        <w:t>c.不同投标人的投标文件载明的项目管理成员为同一人；</w:t>
      </w:r>
    </w:p>
    <w:p w14:paraId="6C2D08C8">
      <w:pPr>
        <w:spacing w:line="360" w:lineRule="auto"/>
        <w:ind w:firstLine="480" w:firstLineChars="200"/>
        <w:rPr>
          <w:rFonts w:ascii="宋体" w:hAnsi="宋体"/>
          <w:color w:val="auto"/>
          <w:sz w:val="24"/>
        </w:rPr>
      </w:pPr>
      <w:r>
        <w:rPr>
          <w:rFonts w:ascii="宋体" w:hAnsi="宋体"/>
          <w:color w:val="auto"/>
          <w:sz w:val="24"/>
        </w:rPr>
        <w:t>d.不同投标人的投标文件异常一致或投标报价呈规律性差异；</w:t>
      </w:r>
    </w:p>
    <w:p w14:paraId="75A030A1">
      <w:pPr>
        <w:spacing w:line="360" w:lineRule="auto"/>
        <w:ind w:firstLine="480" w:firstLineChars="200"/>
        <w:rPr>
          <w:rFonts w:ascii="宋体" w:hAnsi="宋体"/>
          <w:color w:val="auto"/>
          <w:sz w:val="24"/>
        </w:rPr>
      </w:pPr>
      <w:r>
        <w:rPr>
          <w:rFonts w:ascii="宋体" w:hAnsi="宋体"/>
          <w:color w:val="auto"/>
          <w:sz w:val="24"/>
        </w:rPr>
        <w:t>e.不同投标人的投标文件相互混装；</w:t>
      </w:r>
    </w:p>
    <w:p w14:paraId="08E1523A">
      <w:pPr>
        <w:spacing w:line="360" w:lineRule="auto"/>
        <w:ind w:firstLine="480" w:firstLineChars="200"/>
        <w:rPr>
          <w:rFonts w:ascii="宋体" w:hAnsi="宋体"/>
          <w:color w:val="auto"/>
          <w:sz w:val="24"/>
        </w:rPr>
      </w:pPr>
      <w:r>
        <w:rPr>
          <w:rFonts w:ascii="宋体" w:hAnsi="宋体"/>
          <w:color w:val="auto"/>
          <w:sz w:val="24"/>
        </w:rPr>
        <w:t>f.不同投标人的投标保证金从同一单位或个人的账户转出。</w:t>
      </w:r>
    </w:p>
    <w:p w14:paraId="7D497097">
      <w:pPr>
        <w:spacing w:line="360" w:lineRule="auto"/>
        <w:ind w:firstLine="480" w:firstLineChars="200"/>
        <w:rPr>
          <w:rFonts w:hint="eastAsia" w:ascii="宋体" w:hAnsi="宋体"/>
          <w:color w:val="auto"/>
          <w:sz w:val="24"/>
        </w:rPr>
      </w:pPr>
      <w:r>
        <w:rPr>
          <w:rFonts w:ascii="宋体" w:hAnsi="宋体"/>
          <w:color w:val="auto"/>
          <w:sz w:val="24"/>
        </w:rPr>
        <w:t>g.</w:t>
      </w:r>
      <w:r>
        <w:rPr>
          <w:rFonts w:hint="eastAsia" w:ascii="宋体" w:hAnsi="宋体"/>
          <w:color w:val="auto"/>
          <w:sz w:val="24"/>
        </w:rPr>
        <w:t>广东省实施《中华人民共和国招标投标法》办法第十六条规定的情形。</w:t>
      </w:r>
    </w:p>
    <w:p w14:paraId="6C6D5BF7">
      <w:pPr>
        <w:spacing w:line="360" w:lineRule="auto"/>
        <w:ind w:firstLine="480" w:firstLineChars="200"/>
        <w:rPr>
          <w:rFonts w:ascii="宋体" w:hAnsi="宋体"/>
          <w:color w:val="auto"/>
          <w:sz w:val="24"/>
        </w:rPr>
      </w:pPr>
      <w:r>
        <w:rPr>
          <w:rFonts w:hint="eastAsia" w:ascii="宋体" w:hAnsi="宋体"/>
          <w:color w:val="auto"/>
          <w:sz w:val="24"/>
        </w:rPr>
        <w:t>（3）</w:t>
      </w:r>
      <w:r>
        <w:rPr>
          <w:rFonts w:ascii="宋体" w:hAnsi="宋体"/>
          <w:color w:val="auto"/>
          <w:sz w:val="24"/>
        </w:rPr>
        <w:t>有下列情形之一的，属于招标人与投标人串通投标：</w:t>
      </w:r>
    </w:p>
    <w:p w14:paraId="0EDA217E">
      <w:pPr>
        <w:spacing w:line="360" w:lineRule="auto"/>
        <w:ind w:firstLine="480" w:firstLineChars="200"/>
        <w:rPr>
          <w:rFonts w:ascii="宋体" w:hAnsi="宋体"/>
          <w:color w:val="auto"/>
          <w:sz w:val="24"/>
        </w:rPr>
      </w:pPr>
      <w:r>
        <w:rPr>
          <w:rFonts w:ascii="宋体" w:hAnsi="宋体"/>
          <w:color w:val="auto"/>
          <w:sz w:val="24"/>
        </w:rPr>
        <w:t>a.招标人在开标前开启投标文件并将有关信息泄露给其他投标人;</w:t>
      </w:r>
    </w:p>
    <w:p w14:paraId="1D49B800">
      <w:pPr>
        <w:spacing w:line="360" w:lineRule="auto"/>
        <w:ind w:firstLine="480" w:firstLineChars="200"/>
        <w:rPr>
          <w:rFonts w:ascii="宋体" w:hAnsi="宋体"/>
          <w:color w:val="auto"/>
          <w:sz w:val="24"/>
        </w:rPr>
      </w:pPr>
      <w:r>
        <w:rPr>
          <w:rFonts w:ascii="宋体" w:hAnsi="宋体"/>
          <w:color w:val="auto"/>
          <w:sz w:val="24"/>
        </w:rPr>
        <w:t>b.招标人直接或间接向投标人泄露标底、评标委员会成员等信息；</w:t>
      </w:r>
    </w:p>
    <w:p w14:paraId="13185CD6">
      <w:pPr>
        <w:spacing w:line="360" w:lineRule="auto"/>
        <w:ind w:firstLine="480" w:firstLineChars="200"/>
        <w:rPr>
          <w:rFonts w:ascii="宋体" w:hAnsi="宋体"/>
          <w:color w:val="auto"/>
          <w:sz w:val="24"/>
        </w:rPr>
      </w:pPr>
      <w:r>
        <w:rPr>
          <w:rFonts w:ascii="宋体" w:hAnsi="宋体"/>
          <w:color w:val="auto"/>
          <w:sz w:val="24"/>
        </w:rPr>
        <w:t>c.招标人明示或暗示投标人压低或抬高投标报价；</w:t>
      </w:r>
    </w:p>
    <w:p w14:paraId="43C86D66">
      <w:pPr>
        <w:spacing w:line="360" w:lineRule="auto"/>
        <w:ind w:firstLine="480" w:firstLineChars="200"/>
        <w:rPr>
          <w:rFonts w:ascii="宋体" w:hAnsi="宋体"/>
          <w:color w:val="auto"/>
          <w:sz w:val="24"/>
        </w:rPr>
      </w:pPr>
      <w:r>
        <w:rPr>
          <w:rFonts w:ascii="宋体" w:hAnsi="宋体"/>
          <w:color w:val="auto"/>
          <w:sz w:val="24"/>
        </w:rPr>
        <w:t>d.招标人授意投标人撤换、修改投标文件；</w:t>
      </w:r>
    </w:p>
    <w:p w14:paraId="51330E42">
      <w:pPr>
        <w:spacing w:line="360" w:lineRule="auto"/>
        <w:ind w:firstLine="480" w:firstLineChars="200"/>
        <w:rPr>
          <w:rFonts w:ascii="宋体" w:hAnsi="宋体"/>
          <w:color w:val="auto"/>
          <w:sz w:val="24"/>
        </w:rPr>
      </w:pPr>
      <w:r>
        <w:rPr>
          <w:rFonts w:ascii="宋体" w:hAnsi="宋体"/>
          <w:color w:val="auto"/>
          <w:sz w:val="24"/>
        </w:rPr>
        <w:t>e.招标人明示或暗示投标人为特定投标人中标提供方便；</w:t>
      </w:r>
    </w:p>
    <w:p w14:paraId="6F1848F1">
      <w:pPr>
        <w:spacing w:line="360" w:lineRule="auto"/>
        <w:ind w:firstLine="480" w:firstLineChars="200"/>
        <w:rPr>
          <w:rFonts w:ascii="宋体" w:hAnsi="宋体"/>
          <w:color w:val="auto"/>
          <w:sz w:val="24"/>
        </w:rPr>
      </w:pPr>
      <w:r>
        <w:rPr>
          <w:rFonts w:ascii="宋体" w:hAnsi="宋体"/>
          <w:color w:val="auto"/>
          <w:sz w:val="24"/>
        </w:rPr>
        <w:t>f.招标人与投标人为谋求特定投标人中标而采取的其他串通行为。</w:t>
      </w:r>
    </w:p>
    <w:p w14:paraId="58CB1D11">
      <w:pPr>
        <w:spacing w:line="360" w:lineRule="auto"/>
        <w:ind w:firstLine="480" w:firstLineChars="200"/>
        <w:rPr>
          <w:rFonts w:ascii="宋体" w:hAnsi="宋体"/>
          <w:color w:val="auto"/>
          <w:sz w:val="24"/>
        </w:rPr>
      </w:pPr>
      <w:r>
        <w:rPr>
          <w:rFonts w:hint="eastAsia" w:ascii="宋体" w:hAnsi="宋体"/>
          <w:color w:val="auto"/>
          <w:sz w:val="24"/>
        </w:rPr>
        <w:t>（4）</w:t>
      </w:r>
      <w:r>
        <w:rPr>
          <w:rFonts w:ascii="宋体" w:hAnsi="宋体"/>
          <w:color w:val="auto"/>
          <w:sz w:val="24"/>
        </w:rPr>
        <w:t>投标人有下列情形之一的，属于弄虚作假的行为：</w:t>
      </w:r>
    </w:p>
    <w:p w14:paraId="7119C5DA">
      <w:pPr>
        <w:spacing w:line="360" w:lineRule="auto"/>
        <w:ind w:firstLine="480" w:firstLineChars="200"/>
        <w:rPr>
          <w:rFonts w:ascii="宋体" w:hAnsi="宋体"/>
          <w:color w:val="auto"/>
          <w:sz w:val="24"/>
        </w:rPr>
      </w:pPr>
      <w:r>
        <w:rPr>
          <w:rFonts w:ascii="宋体" w:hAnsi="宋体"/>
          <w:color w:val="auto"/>
          <w:sz w:val="24"/>
        </w:rPr>
        <w:t>a.使用通过受让或租借等方式获取的资格、资质证书投标</w:t>
      </w:r>
      <w:r>
        <w:rPr>
          <w:rFonts w:hint="eastAsia" w:ascii="宋体" w:hAnsi="宋体"/>
          <w:color w:val="auto"/>
          <w:sz w:val="24"/>
        </w:rPr>
        <w:t>；</w:t>
      </w:r>
    </w:p>
    <w:p w14:paraId="528D0803">
      <w:pPr>
        <w:spacing w:line="360" w:lineRule="auto"/>
        <w:ind w:firstLine="480" w:firstLineChars="200"/>
        <w:rPr>
          <w:rFonts w:ascii="宋体" w:hAnsi="宋体"/>
          <w:color w:val="auto"/>
          <w:sz w:val="24"/>
        </w:rPr>
      </w:pPr>
      <w:r>
        <w:rPr>
          <w:rFonts w:ascii="宋体" w:hAnsi="宋体"/>
          <w:color w:val="auto"/>
          <w:sz w:val="24"/>
        </w:rPr>
        <w:t>b.使用伪造、变造的许可证件；</w:t>
      </w:r>
    </w:p>
    <w:p w14:paraId="5C942E40">
      <w:pPr>
        <w:spacing w:line="360" w:lineRule="auto"/>
        <w:ind w:firstLine="480" w:firstLineChars="200"/>
        <w:rPr>
          <w:rFonts w:ascii="宋体" w:hAnsi="宋体"/>
          <w:color w:val="auto"/>
          <w:sz w:val="24"/>
        </w:rPr>
      </w:pPr>
      <w:r>
        <w:rPr>
          <w:rFonts w:ascii="宋体" w:hAnsi="宋体"/>
          <w:color w:val="auto"/>
          <w:sz w:val="24"/>
        </w:rPr>
        <w:t>c.提供虚假的业绩；</w:t>
      </w:r>
    </w:p>
    <w:p w14:paraId="3D8E0AA0">
      <w:pPr>
        <w:spacing w:line="360" w:lineRule="auto"/>
        <w:ind w:firstLine="480" w:firstLineChars="200"/>
        <w:rPr>
          <w:rFonts w:ascii="宋体" w:hAnsi="宋体"/>
          <w:color w:val="auto"/>
          <w:sz w:val="24"/>
        </w:rPr>
      </w:pPr>
      <w:r>
        <w:rPr>
          <w:rFonts w:ascii="宋体" w:hAnsi="宋体"/>
          <w:color w:val="auto"/>
          <w:sz w:val="24"/>
        </w:rPr>
        <w:t>d.提供虚假的项目负责人或主要技术人员简历、劳动关系证明；</w:t>
      </w:r>
    </w:p>
    <w:p w14:paraId="639C9F4B">
      <w:pPr>
        <w:spacing w:line="360" w:lineRule="auto"/>
        <w:ind w:firstLine="480" w:firstLineChars="200"/>
        <w:rPr>
          <w:rFonts w:ascii="宋体" w:hAnsi="宋体"/>
          <w:color w:val="auto"/>
          <w:sz w:val="24"/>
        </w:rPr>
      </w:pPr>
      <w:r>
        <w:rPr>
          <w:rFonts w:ascii="宋体" w:hAnsi="宋体"/>
          <w:color w:val="auto"/>
          <w:sz w:val="24"/>
        </w:rPr>
        <w:t>e.提供虚假的信用状况；</w:t>
      </w:r>
    </w:p>
    <w:p w14:paraId="46450178">
      <w:pPr>
        <w:spacing w:line="360" w:lineRule="auto"/>
        <w:ind w:firstLine="480" w:firstLineChars="200"/>
        <w:rPr>
          <w:rFonts w:ascii="宋体" w:hAnsi="宋体"/>
          <w:color w:val="auto"/>
          <w:sz w:val="24"/>
        </w:rPr>
      </w:pPr>
      <w:r>
        <w:rPr>
          <w:rFonts w:ascii="宋体" w:hAnsi="宋体"/>
          <w:color w:val="auto"/>
          <w:sz w:val="24"/>
        </w:rPr>
        <w:t>f.其他弄虚作假的行为。</w:t>
      </w:r>
    </w:p>
    <w:p w14:paraId="40E2E0A5">
      <w:pPr>
        <w:spacing w:line="360" w:lineRule="auto"/>
        <w:ind w:firstLine="480" w:firstLineChars="200"/>
        <w:rPr>
          <w:rFonts w:hint="eastAsia" w:ascii="宋体" w:hAnsi="宋体"/>
          <w:color w:val="auto"/>
          <w:sz w:val="24"/>
        </w:rPr>
      </w:pPr>
      <w:r>
        <w:rPr>
          <w:rFonts w:hint="eastAsia" w:ascii="宋体" w:hAnsi="宋体"/>
          <w:color w:val="auto"/>
          <w:sz w:val="24"/>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p w14:paraId="4438259A">
      <w:pPr>
        <w:spacing w:line="360" w:lineRule="auto"/>
        <w:rPr>
          <w:rFonts w:ascii="宋体" w:hAnsi="宋体"/>
          <w:color w:val="auto"/>
          <w:sz w:val="24"/>
        </w:rPr>
      </w:pPr>
      <w:bookmarkStart w:id="26" w:name="_Toc503517996"/>
      <w:bookmarkStart w:id="27" w:name="_Toc503235818"/>
      <w:r>
        <w:rPr>
          <w:rFonts w:ascii="宋体" w:hAnsi="宋体"/>
          <w:color w:val="auto"/>
          <w:sz w:val="24"/>
        </w:rPr>
        <w:t>3.</w:t>
      </w:r>
      <w:r>
        <w:rPr>
          <w:rFonts w:hint="eastAsia" w:ascii="宋体" w:hAnsi="宋体"/>
          <w:color w:val="auto"/>
          <w:sz w:val="24"/>
        </w:rPr>
        <w:t>7</w:t>
      </w:r>
      <w:r>
        <w:rPr>
          <w:rFonts w:ascii="宋体" w:hAnsi="宋体"/>
          <w:color w:val="auto"/>
          <w:sz w:val="24"/>
        </w:rPr>
        <w:t xml:space="preserve"> 投标文件的澄清和</w:t>
      </w:r>
      <w:r>
        <w:rPr>
          <w:rFonts w:hint="eastAsia" w:ascii="宋体" w:hAnsi="宋体"/>
          <w:color w:val="auto"/>
          <w:sz w:val="24"/>
        </w:rPr>
        <w:t>说明</w:t>
      </w:r>
      <w:bookmarkEnd w:id="26"/>
      <w:bookmarkEnd w:id="27"/>
    </w:p>
    <w:p w14:paraId="6E41617A">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.1</w:t>
      </w:r>
      <w:r>
        <w:rPr>
          <w:rFonts w:hint="eastAsia" w:ascii="宋体" w:hAnsi="宋体"/>
          <w:color w:val="auto"/>
          <w:sz w:val="24"/>
        </w:rPr>
        <w:t xml:space="preserve"> </w:t>
      </w:r>
      <w:r>
        <w:rPr>
          <w:rFonts w:ascii="宋体" w:hAnsi="宋体"/>
          <w:color w:val="auto"/>
          <w:sz w:val="24"/>
        </w:rPr>
        <w:t>在评标过程中，评标委员会可以书面形式要求投标人对投标文件中</w:t>
      </w:r>
      <w:r>
        <w:rPr>
          <w:rFonts w:hint="eastAsia" w:ascii="宋体" w:hAnsi="宋体"/>
          <w:color w:val="auto"/>
          <w:sz w:val="24"/>
        </w:rPr>
        <w:t>含义</w:t>
      </w:r>
      <w:r>
        <w:rPr>
          <w:rFonts w:ascii="宋体" w:hAnsi="宋体"/>
          <w:color w:val="auto"/>
          <w:sz w:val="24"/>
        </w:rPr>
        <w:t>不明确的内容</w:t>
      </w:r>
      <w:r>
        <w:rPr>
          <w:rFonts w:hint="eastAsia" w:ascii="宋体" w:hAnsi="宋体"/>
          <w:color w:val="auto"/>
          <w:sz w:val="24"/>
        </w:rPr>
        <w:t>、明显文字或计算错误</w:t>
      </w:r>
      <w:r>
        <w:rPr>
          <w:rFonts w:ascii="宋体" w:hAnsi="宋体"/>
          <w:color w:val="auto"/>
          <w:sz w:val="24"/>
        </w:rPr>
        <w:t>进行书面澄清或说明。评标委员会不接受投标人主动提出的澄清、说明。</w:t>
      </w:r>
      <w:r>
        <w:rPr>
          <w:rFonts w:hint="eastAsia" w:ascii="宋体" w:hAnsi="宋体"/>
          <w:color w:val="auto"/>
          <w:sz w:val="24"/>
        </w:rPr>
        <w:t>投标人不按评标委员会要求澄清或说明的，评标委员会应否决其投标。</w:t>
      </w:r>
    </w:p>
    <w:p w14:paraId="6DA26434">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.2</w:t>
      </w:r>
      <w:r>
        <w:rPr>
          <w:rFonts w:hint="eastAsia" w:ascii="宋体" w:hAnsi="宋体"/>
          <w:color w:val="auto"/>
          <w:sz w:val="24"/>
        </w:rPr>
        <w:t xml:space="preserve"> </w:t>
      </w:r>
      <w:r>
        <w:rPr>
          <w:rFonts w:ascii="宋体" w:hAnsi="宋体"/>
          <w:color w:val="auto"/>
          <w:sz w:val="24"/>
        </w:rPr>
        <w:t>澄清</w:t>
      </w:r>
      <w:r>
        <w:rPr>
          <w:rFonts w:hint="eastAsia" w:ascii="宋体" w:hAnsi="宋体"/>
          <w:color w:val="auto"/>
          <w:sz w:val="24"/>
        </w:rPr>
        <w:t>和</w:t>
      </w:r>
      <w:r>
        <w:rPr>
          <w:rFonts w:ascii="宋体" w:hAnsi="宋体"/>
          <w:color w:val="auto"/>
          <w:sz w:val="24"/>
        </w:rPr>
        <w:t>说明不得</w:t>
      </w:r>
      <w:r>
        <w:rPr>
          <w:rFonts w:hint="eastAsia" w:ascii="宋体" w:hAnsi="宋体"/>
          <w:color w:val="auto"/>
          <w:sz w:val="24"/>
        </w:rPr>
        <w:t>超出投标文件的范围或</w:t>
      </w:r>
      <w:r>
        <w:rPr>
          <w:rFonts w:ascii="宋体" w:hAnsi="宋体"/>
          <w:color w:val="auto"/>
          <w:sz w:val="24"/>
        </w:rPr>
        <w:t>改变投标文件的实质性内容（算术性错误的修正除外）。投标人的书面澄清、说明属于投标文件的组成部分。</w:t>
      </w:r>
    </w:p>
    <w:p w14:paraId="11A2BE86">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7</w:t>
      </w:r>
      <w:r>
        <w:rPr>
          <w:rFonts w:ascii="宋体" w:hAnsi="宋体"/>
          <w:color w:val="auto"/>
          <w:sz w:val="24"/>
        </w:rPr>
        <w:t>.3</w:t>
      </w:r>
      <w:r>
        <w:rPr>
          <w:rFonts w:hint="eastAsia" w:ascii="宋体" w:hAnsi="宋体"/>
          <w:color w:val="auto"/>
          <w:sz w:val="24"/>
        </w:rPr>
        <w:t xml:space="preserve"> </w:t>
      </w:r>
      <w:r>
        <w:rPr>
          <w:rFonts w:ascii="宋体" w:hAnsi="宋体"/>
          <w:color w:val="auto"/>
          <w:sz w:val="24"/>
        </w:rPr>
        <w:t>评标委员会</w:t>
      </w:r>
      <w:r>
        <w:rPr>
          <w:rFonts w:hint="eastAsia" w:ascii="宋体" w:hAnsi="宋体"/>
          <w:color w:val="auto"/>
          <w:sz w:val="24"/>
        </w:rPr>
        <w:t>不得暗示或诱导投标人作出澄清、说明，</w:t>
      </w:r>
      <w:r>
        <w:rPr>
          <w:rFonts w:ascii="宋体" w:hAnsi="宋体"/>
          <w:color w:val="auto"/>
          <w:sz w:val="24"/>
        </w:rPr>
        <w:t>对投标人提交的澄清、说明有疑问的，可以要求投标人进一步澄清</w:t>
      </w:r>
      <w:r>
        <w:rPr>
          <w:rFonts w:hint="eastAsia" w:ascii="宋体" w:hAnsi="宋体"/>
          <w:color w:val="auto"/>
          <w:sz w:val="24"/>
        </w:rPr>
        <w:t>或</w:t>
      </w:r>
      <w:r>
        <w:rPr>
          <w:rFonts w:ascii="宋体" w:hAnsi="宋体"/>
          <w:color w:val="auto"/>
          <w:sz w:val="24"/>
        </w:rPr>
        <w:t>说明，直至满足评标委员会的要求。</w:t>
      </w:r>
    </w:p>
    <w:p w14:paraId="456578EE">
      <w:pPr>
        <w:spacing w:line="360" w:lineRule="auto"/>
        <w:ind w:firstLine="480" w:firstLineChars="200"/>
        <w:rPr>
          <w:rFonts w:ascii="宋体" w:hAnsi="宋体"/>
          <w:color w:val="auto"/>
          <w:sz w:val="24"/>
        </w:rPr>
      </w:pPr>
      <w:r>
        <w:rPr>
          <w:rFonts w:hint="eastAsia" w:ascii="宋体" w:hAnsi="宋体"/>
          <w:color w:val="auto"/>
          <w:sz w:val="24"/>
        </w:rPr>
        <w:t>3.7.4 凡超出招标文件规定的或给委托人带来未曾要求的利益的变化、偏差或其他因素在评标时不予考虑。</w:t>
      </w:r>
    </w:p>
    <w:p w14:paraId="09FB171D">
      <w:pPr>
        <w:spacing w:line="360" w:lineRule="auto"/>
        <w:rPr>
          <w:rFonts w:ascii="宋体" w:hAnsi="宋体"/>
          <w:color w:val="auto"/>
          <w:sz w:val="24"/>
        </w:rPr>
      </w:pPr>
      <w:bookmarkStart w:id="28" w:name="_Toc503235819"/>
      <w:bookmarkStart w:id="29" w:name="_Toc503517997"/>
      <w:bookmarkStart w:id="30" w:name="_Toc501257170"/>
      <w:r>
        <w:rPr>
          <w:rFonts w:hint="eastAsia" w:ascii="宋体" w:hAnsi="宋体"/>
          <w:color w:val="auto"/>
          <w:sz w:val="24"/>
        </w:rPr>
        <w:t>3.8 不得否决投标的情形</w:t>
      </w:r>
      <w:bookmarkEnd w:id="28"/>
      <w:bookmarkEnd w:id="29"/>
      <w:bookmarkEnd w:id="30"/>
    </w:p>
    <w:p w14:paraId="19E33178">
      <w:pPr>
        <w:spacing w:line="360" w:lineRule="auto"/>
        <w:ind w:firstLine="480" w:firstLineChars="200"/>
        <w:rPr>
          <w:rFonts w:ascii="宋体" w:hAnsi="宋体"/>
          <w:color w:val="auto"/>
          <w:sz w:val="24"/>
        </w:rPr>
      </w:pPr>
      <w:r>
        <w:rPr>
          <w:rFonts w:hint="eastAsia" w:ascii="宋体" w:hAnsi="宋体"/>
          <w:color w:val="auto"/>
          <w:sz w:val="24"/>
        </w:rPr>
        <w:t>投标文件存在第二章“投标人须知”第1.12.3项所列情形的，均视为细微偏差，评标委员会不得否决投标人的投标，</w:t>
      </w:r>
      <w:r>
        <w:rPr>
          <w:rFonts w:ascii="宋体" w:hAnsi="宋体"/>
          <w:color w:val="auto"/>
          <w:sz w:val="24"/>
        </w:rPr>
        <w:t>应按照</w:t>
      </w:r>
      <w:r>
        <w:rPr>
          <w:rFonts w:hint="eastAsia" w:ascii="宋体" w:hAnsi="宋体"/>
          <w:color w:val="auto"/>
          <w:sz w:val="24"/>
        </w:rPr>
        <w:t>第二章“投标人须知”第1.12.4项规定的原则处理。</w:t>
      </w:r>
    </w:p>
    <w:p w14:paraId="4DDADA1D">
      <w:pPr>
        <w:spacing w:line="360" w:lineRule="auto"/>
        <w:rPr>
          <w:rFonts w:ascii="宋体" w:hAnsi="宋体"/>
          <w:color w:val="auto"/>
          <w:sz w:val="24"/>
        </w:rPr>
      </w:pPr>
      <w:bookmarkStart w:id="31" w:name="_Toc503517998"/>
      <w:bookmarkStart w:id="32" w:name="_Toc503235820"/>
      <w:r>
        <w:rPr>
          <w:rFonts w:ascii="宋体" w:hAnsi="宋体"/>
          <w:color w:val="auto"/>
          <w:sz w:val="24"/>
        </w:rPr>
        <w:t>3.</w:t>
      </w:r>
      <w:r>
        <w:rPr>
          <w:rFonts w:hint="eastAsia" w:ascii="宋体" w:hAnsi="宋体"/>
          <w:color w:val="auto"/>
          <w:sz w:val="24"/>
        </w:rPr>
        <w:t>9</w:t>
      </w:r>
      <w:r>
        <w:rPr>
          <w:rFonts w:ascii="宋体" w:hAnsi="宋体"/>
          <w:color w:val="auto"/>
          <w:sz w:val="24"/>
        </w:rPr>
        <w:t xml:space="preserve"> 评标结果</w:t>
      </w:r>
      <w:bookmarkEnd w:id="31"/>
      <w:bookmarkEnd w:id="32"/>
    </w:p>
    <w:p w14:paraId="1C077C29">
      <w:pPr>
        <w:spacing w:line="360" w:lineRule="auto"/>
        <w:ind w:firstLine="480" w:firstLineChars="200"/>
        <w:rPr>
          <w:rFonts w:ascii="宋体" w:hAnsi="宋体"/>
          <w:color w:val="auto"/>
          <w:sz w:val="24"/>
        </w:rPr>
      </w:pPr>
      <w:r>
        <w:rPr>
          <w:rFonts w:ascii="宋体" w:hAnsi="宋体"/>
          <w:color w:val="auto"/>
          <w:sz w:val="24"/>
        </w:rPr>
        <w:t>3.</w:t>
      </w: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w:t>
      </w:r>
      <w:r>
        <w:rPr>
          <w:rFonts w:ascii="宋体" w:hAnsi="宋体"/>
          <w:color w:val="auto"/>
          <w:sz w:val="24"/>
        </w:rPr>
        <w:t>除第二章</w:t>
      </w:r>
      <w:r>
        <w:rPr>
          <w:rFonts w:hint="eastAsia" w:ascii="宋体" w:hAnsi="宋体"/>
          <w:color w:val="auto"/>
          <w:sz w:val="24"/>
        </w:rPr>
        <w:t>“</w:t>
      </w:r>
      <w:r>
        <w:rPr>
          <w:rFonts w:ascii="宋体" w:hAnsi="宋体"/>
          <w:color w:val="auto"/>
          <w:sz w:val="24"/>
        </w:rPr>
        <w:t>投标人须知</w:t>
      </w:r>
      <w:r>
        <w:rPr>
          <w:rFonts w:hint="eastAsia" w:ascii="宋体" w:hAnsi="宋体"/>
          <w:color w:val="auto"/>
          <w:sz w:val="24"/>
        </w:rPr>
        <w:t>”</w:t>
      </w:r>
      <w:r>
        <w:rPr>
          <w:rFonts w:ascii="宋体" w:hAnsi="宋体"/>
          <w:color w:val="auto"/>
          <w:sz w:val="24"/>
        </w:rPr>
        <w:t>前附表授权直接确定中标人外，</w:t>
      </w:r>
      <w:r>
        <w:rPr>
          <w:rFonts w:hint="eastAsia" w:ascii="宋体" w:hAnsi="宋体"/>
          <w:color w:val="auto"/>
          <w:sz w:val="24"/>
        </w:rPr>
        <w:t>评标委员会将《投标人须知前附表》规定的方法推荐合格中标候选人，进入定标阶段。</w:t>
      </w:r>
    </w:p>
    <w:p w14:paraId="022227D1">
      <w:pPr>
        <w:spacing w:line="360" w:lineRule="auto"/>
        <w:ind w:firstLine="480" w:firstLineChars="200"/>
        <w:rPr>
          <w:rFonts w:hint="eastAsia" w:ascii="宋体" w:hAnsi="宋体"/>
          <w:color w:val="auto"/>
          <w:sz w:val="24"/>
        </w:rPr>
      </w:pPr>
      <w:r>
        <w:rPr>
          <w:rFonts w:ascii="宋体" w:hAnsi="宋体"/>
          <w:color w:val="auto"/>
          <w:sz w:val="24"/>
        </w:rPr>
        <w:t>3.</w:t>
      </w:r>
      <w:r>
        <w:rPr>
          <w:rFonts w:hint="eastAsia" w:ascii="宋体" w:hAnsi="宋体"/>
          <w:color w:val="auto"/>
          <w:sz w:val="24"/>
        </w:rPr>
        <w:t>9</w:t>
      </w:r>
      <w:r>
        <w:rPr>
          <w:rFonts w:ascii="宋体" w:hAnsi="宋体"/>
          <w:color w:val="auto"/>
          <w:sz w:val="24"/>
        </w:rPr>
        <w:t>.2 评标委员会完成评标后，应向招标人提交书面评标报告。</w:t>
      </w:r>
    </w:p>
    <w:p w14:paraId="32F4FA93">
      <w:pPr>
        <w:rPr>
          <w:rFonts w:hint="default" w:ascii="宋体" w:hAnsi="宋体" w:eastAsia="宋体" w:cs="Times New Roman"/>
          <w:color w:val="auto"/>
          <w:sz w:val="24"/>
          <w:lang w:val="en-US" w:eastAsia="zh-CN"/>
        </w:rPr>
      </w:pPr>
      <w:r>
        <w:rPr>
          <w:rFonts w:hint="default" w:ascii="宋体" w:hAnsi="宋体" w:eastAsia="宋体" w:cs="Times New Roman"/>
          <w:color w:val="auto"/>
          <w:sz w:val="24"/>
          <w:lang w:val="en-US" w:eastAsia="zh-CN"/>
        </w:rPr>
        <w:t>3.</w:t>
      </w:r>
      <w:r>
        <w:rPr>
          <w:rFonts w:hint="eastAsia" w:ascii="宋体" w:hAnsi="宋体" w:eastAsia="宋体" w:cs="Times New Roman"/>
          <w:color w:val="auto"/>
          <w:sz w:val="24"/>
          <w:lang w:val="en-US" w:eastAsia="zh-CN"/>
        </w:rPr>
        <w:t>10</w:t>
      </w:r>
      <w:r>
        <w:rPr>
          <w:rFonts w:hint="default" w:ascii="宋体" w:hAnsi="宋体" w:eastAsia="宋体" w:cs="Times New Roman"/>
          <w:color w:val="auto"/>
          <w:sz w:val="24"/>
          <w:lang w:val="en-US" w:eastAsia="zh-CN"/>
        </w:rPr>
        <w:t>定标</w:t>
      </w:r>
    </w:p>
    <w:p w14:paraId="50BFEFEC">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.1 定标委员会应当按照充分竞争、优质优价的原则，采用定标方案规定的定标方法，在评标委员会推荐的</w:t>
      </w:r>
      <w:r>
        <w:rPr>
          <w:rFonts w:hint="eastAsia" w:ascii="宋体"/>
          <w:b/>
          <w:bCs/>
          <w:color w:val="auto"/>
          <w:sz w:val="24"/>
          <w:szCs w:val="24"/>
          <w:highlight w:val="none"/>
          <w:lang w:val="en-US" w:eastAsia="zh-CN"/>
        </w:rPr>
        <w:t>合格中标</w:t>
      </w:r>
      <w:r>
        <w:rPr>
          <w:rFonts w:hint="eastAsia" w:ascii="宋体"/>
          <w:b/>
          <w:bCs/>
          <w:color w:val="auto"/>
          <w:sz w:val="24"/>
          <w:szCs w:val="24"/>
          <w:highlight w:val="none"/>
        </w:rPr>
        <w:t>候选人中择优确定中标候选人。</w:t>
      </w:r>
    </w:p>
    <w:p w14:paraId="4C8C5B40">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val="en-US" w:eastAsia="zh-CN"/>
        </w:rPr>
        <w:t>3.10.2评标结束后</w:t>
      </w:r>
      <w:r>
        <w:rPr>
          <w:rFonts w:hint="eastAsia" w:ascii="宋体"/>
          <w:b/>
          <w:bCs/>
          <w:color w:val="auto"/>
          <w:sz w:val="24"/>
          <w:szCs w:val="24"/>
          <w:highlight w:val="none"/>
        </w:rPr>
        <w:t>，招标人按以下规定组建定标委员会，在评标委员会推荐的合格中标候选人中确定中标候选人：</w:t>
      </w:r>
    </w:p>
    <w:p w14:paraId="61ABA871">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定标由招标人依法组建的定标委员会负责，成员数量为5人或以上单数，定标委员会成员不得参与定标前期准备工作。</w:t>
      </w:r>
    </w:p>
    <w:p w14:paraId="1953501D">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3.</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val="en-US" w:eastAsia="zh-CN"/>
        </w:rPr>
        <w:t>3</w:t>
      </w:r>
      <w:r>
        <w:rPr>
          <w:rFonts w:hint="eastAsia" w:ascii="宋体"/>
          <w:b/>
          <w:bCs/>
          <w:color w:val="auto"/>
          <w:sz w:val="24"/>
          <w:szCs w:val="24"/>
          <w:highlight w:val="none"/>
        </w:rPr>
        <w:t xml:space="preserve"> 定标时间和地点：</w:t>
      </w:r>
    </w:p>
    <w:p w14:paraId="7E7F1297">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招标人收到评标报告后，10个工作日内在广州交易集团有限公司（广州公共资源交易中心）举行定标会议，招标人按规定程序完成定标工作。</w:t>
      </w:r>
    </w:p>
    <w:p w14:paraId="0186CED9">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eastAsia="zh-CN"/>
        </w:rPr>
        <w:t>4</w:t>
      </w:r>
      <w:r>
        <w:rPr>
          <w:rFonts w:hint="eastAsia" w:ascii="宋体"/>
          <w:b/>
          <w:bCs/>
          <w:color w:val="auto"/>
          <w:sz w:val="24"/>
          <w:szCs w:val="24"/>
          <w:highlight w:val="none"/>
          <w:lang w:val="en-US" w:eastAsia="zh-CN"/>
        </w:rPr>
        <w:t xml:space="preserve"> </w:t>
      </w:r>
      <w:r>
        <w:rPr>
          <w:rFonts w:hint="eastAsia" w:ascii="宋体"/>
          <w:b/>
          <w:bCs/>
          <w:color w:val="auto"/>
          <w:sz w:val="24"/>
          <w:szCs w:val="24"/>
          <w:highlight w:val="none"/>
        </w:rPr>
        <w:t>定标方法</w:t>
      </w:r>
    </w:p>
    <w:p w14:paraId="626BB486">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本项目采用的定标方法为票决定标法。由招标人组建的定标委员会以直接投票的方式确定中标候选人排序。定标委员会成员根据定标因素对各合格中标候选人进行评审比较后，进行票决排名。票决采取公开投票计分法，即各定标委员会的每一个成员都以择优排序的原则对所有进入定标程序的合格中标候选人进行逐个投票，最优的 3 票，其次 2 票，依此类推，按总票高低排序，推荐总票最多的为中标人 。票数相同且影响排名的，定标委员会对得票数相同的合格中标候选人单独进行再次投票，直至确定中标候选人排序。</w:t>
      </w:r>
    </w:p>
    <w:p w14:paraId="0F8431D9">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eastAsia="zh-CN"/>
        </w:rPr>
        <w:t>5</w:t>
      </w:r>
      <w:r>
        <w:rPr>
          <w:rFonts w:hint="eastAsia" w:ascii="宋体"/>
          <w:b/>
          <w:bCs/>
          <w:color w:val="auto"/>
          <w:sz w:val="24"/>
          <w:szCs w:val="24"/>
          <w:highlight w:val="none"/>
        </w:rPr>
        <w:t xml:space="preserve"> 定标择优因素</w:t>
      </w:r>
    </w:p>
    <w:p w14:paraId="54DF0DDE">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在定标过程中，以择优原则为主，择优的因素综合考虑</w:t>
      </w:r>
      <w:r>
        <w:rPr>
          <w:rFonts w:hint="eastAsia" w:ascii="宋体"/>
          <w:b/>
          <w:bCs/>
          <w:color w:val="auto"/>
          <w:sz w:val="24"/>
          <w:szCs w:val="24"/>
          <w:highlight w:val="none"/>
          <w:lang w:val="en-US" w:eastAsia="zh-CN"/>
        </w:rPr>
        <w:t>为</w:t>
      </w:r>
      <w:r>
        <w:rPr>
          <w:rFonts w:hint="eastAsia" w:ascii="宋体"/>
          <w:b/>
          <w:bCs/>
          <w:color w:val="auto"/>
          <w:sz w:val="24"/>
          <w:szCs w:val="24"/>
          <w:highlight w:val="none"/>
        </w:rPr>
        <w:t>方案因素</w:t>
      </w:r>
      <w:r>
        <w:rPr>
          <w:rFonts w:hint="eastAsia" w:ascii="宋体"/>
          <w:b/>
          <w:bCs/>
          <w:color w:val="auto"/>
          <w:sz w:val="24"/>
          <w:szCs w:val="24"/>
          <w:highlight w:val="none"/>
          <w:lang w:eastAsia="zh-CN"/>
        </w:rPr>
        <w:t>、</w:t>
      </w:r>
      <w:r>
        <w:rPr>
          <w:rFonts w:hint="eastAsia" w:ascii="宋体"/>
          <w:b/>
          <w:bCs/>
          <w:color w:val="auto"/>
          <w:sz w:val="24"/>
          <w:szCs w:val="24"/>
          <w:highlight w:val="none"/>
        </w:rPr>
        <w:t>团队因素。</w:t>
      </w:r>
      <w:r>
        <w:rPr>
          <w:rFonts w:hint="eastAsia" w:ascii="宋体"/>
          <w:b/>
          <w:bCs/>
          <w:color w:val="auto"/>
          <w:sz w:val="24"/>
          <w:szCs w:val="24"/>
          <w:highlight w:val="none"/>
          <w:lang w:eastAsia="zh-CN"/>
        </w:rPr>
        <w:t>（</w:t>
      </w:r>
      <w:r>
        <w:rPr>
          <w:rFonts w:hint="eastAsia" w:ascii="宋体"/>
          <w:b/>
          <w:bCs/>
          <w:color w:val="auto"/>
          <w:sz w:val="24"/>
          <w:szCs w:val="24"/>
          <w:highlight w:val="none"/>
          <w:lang w:val="en-US" w:eastAsia="zh-CN"/>
        </w:rPr>
        <w:t>具体详见附表1定标因素表</w:t>
      </w:r>
      <w:r>
        <w:rPr>
          <w:rFonts w:hint="eastAsia" w:ascii="宋体"/>
          <w:b/>
          <w:bCs/>
          <w:color w:val="auto"/>
          <w:sz w:val="24"/>
          <w:szCs w:val="24"/>
          <w:highlight w:val="none"/>
          <w:lang w:eastAsia="zh-CN"/>
        </w:rPr>
        <w:t>）</w:t>
      </w:r>
    </w:p>
    <w:p w14:paraId="2BE978E8">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eastAsia="zh-CN"/>
        </w:rPr>
        <w:t>5</w:t>
      </w:r>
      <w:r>
        <w:rPr>
          <w:rFonts w:hint="eastAsia" w:ascii="宋体"/>
          <w:b/>
          <w:bCs/>
          <w:color w:val="auto"/>
          <w:sz w:val="24"/>
          <w:szCs w:val="24"/>
          <w:highlight w:val="none"/>
        </w:rPr>
        <w:t xml:space="preserve">定标工作流程 </w:t>
      </w:r>
    </w:p>
    <w:p w14:paraId="1D55CD4D">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eastAsia="zh-CN"/>
        </w:rPr>
        <w:t>5</w:t>
      </w:r>
      <w:r>
        <w:rPr>
          <w:rFonts w:hint="eastAsia" w:ascii="宋体"/>
          <w:b/>
          <w:bCs/>
          <w:color w:val="auto"/>
          <w:sz w:val="24"/>
          <w:szCs w:val="24"/>
          <w:highlight w:val="none"/>
        </w:rPr>
        <w:t>.1 资料提供。</w:t>
      </w:r>
    </w:p>
    <w:p w14:paraId="61E28ADB">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 xml:space="preserve">定标活动前招标代理机构提供如下资料供定标委员会参考： </w:t>
      </w:r>
    </w:p>
    <w:p w14:paraId="72B7A423">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 xml:space="preserve">（一）招标文件及其补充通知和补充资料（如有）。 </w:t>
      </w:r>
    </w:p>
    <w:p w14:paraId="3ADB7948">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（二）推荐</w:t>
      </w:r>
      <w:r>
        <w:rPr>
          <w:rFonts w:hint="eastAsia" w:ascii="宋体"/>
          <w:b/>
          <w:bCs/>
          <w:color w:val="auto"/>
          <w:sz w:val="24"/>
          <w:szCs w:val="24"/>
          <w:highlight w:val="none"/>
          <w:lang w:val="en-US" w:eastAsia="zh-CN"/>
        </w:rPr>
        <w:t>合格中标</w:t>
      </w:r>
      <w:r>
        <w:rPr>
          <w:rFonts w:hint="eastAsia" w:ascii="宋体"/>
          <w:b/>
          <w:bCs/>
          <w:color w:val="auto"/>
          <w:sz w:val="24"/>
          <w:szCs w:val="24"/>
          <w:highlight w:val="none"/>
        </w:rPr>
        <w:t xml:space="preserve">候选人名单。 </w:t>
      </w:r>
    </w:p>
    <w:p w14:paraId="15990E03">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（三）</w:t>
      </w:r>
      <w:r>
        <w:rPr>
          <w:rFonts w:hint="eastAsia" w:ascii="宋体"/>
          <w:b/>
          <w:bCs/>
          <w:color w:val="auto"/>
          <w:sz w:val="24"/>
          <w:szCs w:val="24"/>
          <w:highlight w:val="none"/>
          <w:lang w:val="en-US" w:eastAsia="zh-CN"/>
        </w:rPr>
        <w:t>合格中标</w:t>
      </w:r>
      <w:r>
        <w:rPr>
          <w:rFonts w:hint="eastAsia" w:ascii="宋体"/>
          <w:b/>
          <w:bCs/>
          <w:color w:val="auto"/>
          <w:sz w:val="24"/>
          <w:szCs w:val="24"/>
          <w:highlight w:val="none"/>
        </w:rPr>
        <w:t xml:space="preserve">候选人的定标因素资料。 </w:t>
      </w:r>
    </w:p>
    <w:p w14:paraId="2D5A012D">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（四）</w:t>
      </w:r>
      <w:r>
        <w:rPr>
          <w:rFonts w:hint="eastAsia" w:ascii="宋体"/>
          <w:b/>
          <w:bCs/>
          <w:color w:val="auto"/>
          <w:sz w:val="24"/>
          <w:szCs w:val="24"/>
          <w:highlight w:val="none"/>
          <w:lang w:val="en-US" w:eastAsia="zh-CN"/>
        </w:rPr>
        <w:t>评标报告</w:t>
      </w:r>
      <w:r>
        <w:rPr>
          <w:rFonts w:hint="eastAsia" w:ascii="宋体"/>
          <w:b/>
          <w:bCs/>
          <w:color w:val="auto"/>
          <w:sz w:val="24"/>
          <w:szCs w:val="24"/>
          <w:highlight w:val="none"/>
        </w:rPr>
        <w:t xml:space="preserve">。 </w:t>
      </w:r>
    </w:p>
    <w:p w14:paraId="49FEA197">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eastAsia="zh-CN"/>
        </w:rPr>
        <w:t>5</w:t>
      </w:r>
      <w:r>
        <w:rPr>
          <w:rFonts w:hint="eastAsia" w:ascii="宋体"/>
          <w:b/>
          <w:bCs/>
          <w:color w:val="auto"/>
          <w:sz w:val="24"/>
          <w:szCs w:val="24"/>
          <w:highlight w:val="none"/>
        </w:rPr>
        <w:t xml:space="preserve">.2 进入现场。 </w:t>
      </w:r>
    </w:p>
    <w:p w14:paraId="3B2478E2">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 xml:space="preserve">收好通讯工具（不得带入定标室），定标委员会成员及招标代理工作人员进入定标室（原则上非评标室的独立封闭房间，并有摄像记录功能），开展定标工作。 </w:t>
      </w:r>
    </w:p>
    <w:p w14:paraId="165BFF2A">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lang w:val="en-US" w:eastAsia="zh-CN"/>
        </w:rPr>
        <w:t>3</w:t>
      </w:r>
      <w:r>
        <w:rPr>
          <w:rFonts w:hint="eastAsia" w:ascii="宋体"/>
          <w:b/>
          <w:bCs/>
          <w:color w:val="auto"/>
          <w:sz w:val="24"/>
          <w:szCs w:val="24"/>
          <w:highlight w:val="none"/>
        </w:rPr>
        <w:t>.</w:t>
      </w:r>
      <w:r>
        <w:rPr>
          <w:rFonts w:hint="eastAsia" w:ascii="宋体"/>
          <w:b/>
          <w:bCs/>
          <w:color w:val="auto"/>
          <w:sz w:val="24"/>
          <w:szCs w:val="24"/>
          <w:highlight w:val="none"/>
          <w:lang w:val="en-US" w:eastAsia="zh-CN"/>
        </w:rPr>
        <w:t>10</w:t>
      </w:r>
      <w:r>
        <w:rPr>
          <w:rFonts w:hint="eastAsia" w:ascii="宋体"/>
          <w:b/>
          <w:bCs/>
          <w:color w:val="auto"/>
          <w:sz w:val="24"/>
          <w:szCs w:val="24"/>
          <w:highlight w:val="none"/>
        </w:rPr>
        <w:t>.</w:t>
      </w:r>
      <w:r>
        <w:rPr>
          <w:rFonts w:hint="eastAsia" w:ascii="宋体"/>
          <w:b/>
          <w:bCs/>
          <w:color w:val="auto"/>
          <w:sz w:val="24"/>
          <w:szCs w:val="24"/>
          <w:highlight w:val="none"/>
          <w:lang w:eastAsia="zh-CN"/>
        </w:rPr>
        <w:t>6</w:t>
      </w:r>
      <w:r>
        <w:rPr>
          <w:rFonts w:hint="eastAsia" w:ascii="宋体"/>
          <w:b/>
          <w:bCs/>
          <w:color w:val="auto"/>
          <w:sz w:val="24"/>
          <w:szCs w:val="24"/>
          <w:highlight w:val="none"/>
        </w:rPr>
        <w:t xml:space="preserve">定标细则 </w:t>
      </w:r>
    </w:p>
    <w:p w14:paraId="22D6555B">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 xml:space="preserve">定标委员会及工作人员 </w:t>
      </w:r>
    </w:p>
    <w:p w14:paraId="081F9E99">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（一）招标人组建定标委员会。</w:t>
      </w:r>
    </w:p>
    <w:p w14:paraId="5E5A9243">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（二）定标委员会成员为 5 人</w:t>
      </w:r>
      <w:r>
        <w:rPr>
          <w:rFonts w:hint="eastAsia" w:ascii="宋体"/>
          <w:b/>
          <w:bCs/>
          <w:color w:val="auto"/>
          <w:sz w:val="24"/>
          <w:szCs w:val="24"/>
          <w:highlight w:val="none"/>
          <w:lang w:val="en-US" w:eastAsia="zh-CN"/>
        </w:rPr>
        <w:t>或以上单数</w:t>
      </w:r>
      <w:r>
        <w:rPr>
          <w:rFonts w:hint="eastAsia" w:ascii="宋体"/>
          <w:b/>
          <w:bCs/>
          <w:color w:val="auto"/>
          <w:sz w:val="24"/>
          <w:szCs w:val="24"/>
          <w:highlight w:val="none"/>
        </w:rPr>
        <w:t xml:space="preserve">。 </w:t>
      </w:r>
    </w:p>
    <w:p w14:paraId="545026A3">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w:t>
      </w:r>
      <w:r>
        <w:rPr>
          <w:rFonts w:hint="eastAsia" w:ascii="宋体"/>
          <w:b/>
          <w:bCs/>
          <w:color w:val="auto"/>
          <w:sz w:val="24"/>
          <w:szCs w:val="24"/>
          <w:highlight w:val="none"/>
          <w:lang w:val="en-US" w:eastAsia="zh-CN"/>
        </w:rPr>
        <w:t>三</w:t>
      </w:r>
      <w:r>
        <w:rPr>
          <w:rFonts w:hint="eastAsia" w:ascii="宋体"/>
          <w:b/>
          <w:bCs/>
          <w:color w:val="auto"/>
          <w:sz w:val="24"/>
          <w:szCs w:val="24"/>
          <w:highlight w:val="none"/>
        </w:rPr>
        <w:t>）招标代理机构介绍参加定标会议的定标委员会成员和工作人员，并介绍工程招标概况，</w:t>
      </w:r>
      <w:r>
        <w:rPr>
          <w:rFonts w:hint="eastAsia" w:ascii="宋体"/>
          <w:b/>
          <w:bCs/>
          <w:color w:val="auto"/>
          <w:sz w:val="24"/>
          <w:szCs w:val="24"/>
          <w:highlight w:val="none"/>
          <w:lang w:val="en-US" w:eastAsia="zh-CN"/>
        </w:rPr>
        <w:t>依法</w:t>
      </w:r>
      <w:r>
        <w:rPr>
          <w:rFonts w:hint="eastAsia" w:ascii="宋体"/>
          <w:b/>
          <w:bCs/>
          <w:color w:val="auto"/>
          <w:sz w:val="24"/>
          <w:szCs w:val="24"/>
          <w:highlight w:val="none"/>
        </w:rPr>
        <w:t>组织定标委员会推选定标委员会组长。</w:t>
      </w:r>
    </w:p>
    <w:p w14:paraId="772595A3">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w:t>
      </w:r>
      <w:r>
        <w:rPr>
          <w:rFonts w:hint="eastAsia" w:ascii="宋体"/>
          <w:b/>
          <w:bCs/>
          <w:color w:val="auto"/>
          <w:sz w:val="24"/>
          <w:szCs w:val="24"/>
          <w:highlight w:val="none"/>
          <w:lang w:eastAsia="zh-CN"/>
        </w:rPr>
        <w:t>四</w:t>
      </w:r>
      <w:r>
        <w:rPr>
          <w:rFonts w:hint="eastAsia" w:ascii="宋体"/>
          <w:b/>
          <w:bCs/>
          <w:color w:val="auto"/>
          <w:sz w:val="24"/>
          <w:szCs w:val="24"/>
          <w:highlight w:val="none"/>
        </w:rPr>
        <w:t>）定标委员会组长组织定标委员会成员学习招标文件及定标办法，由定标委员会组长主持定标工作.招标代理机构协助将“</w:t>
      </w:r>
      <w:r>
        <w:rPr>
          <w:rFonts w:hint="eastAsia" w:ascii="宋体"/>
          <w:b/>
          <w:bCs/>
          <w:color w:val="auto"/>
          <w:sz w:val="24"/>
          <w:szCs w:val="24"/>
          <w:highlight w:val="none"/>
          <w:lang w:val="en-US" w:eastAsia="zh-CN"/>
        </w:rPr>
        <w:t>合格中标</w:t>
      </w:r>
      <w:r>
        <w:rPr>
          <w:rFonts w:hint="eastAsia" w:ascii="宋体"/>
          <w:b/>
          <w:bCs/>
          <w:color w:val="auto"/>
          <w:sz w:val="24"/>
          <w:szCs w:val="24"/>
          <w:highlight w:val="none"/>
        </w:rPr>
        <w:t>候选人名单”和对应的评标报告等资料移交定标委员会。</w:t>
      </w:r>
    </w:p>
    <w:p w14:paraId="4800FD8B">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（六）定标委员会成员依照招标文件规定的“</w:t>
      </w:r>
      <w:r>
        <w:rPr>
          <w:rFonts w:hint="eastAsia" w:ascii="宋体"/>
          <w:b/>
          <w:bCs/>
          <w:color w:val="auto"/>
          <w:sz w:val="24"/>
          <w:szCs w:val="24"/>
          <w:highlight w:val="none"/>
          <w:lang w:val="en-US" w:eastAsia="zh-CN"/>
        </w:rPr>
        <w:t>定标择优因素</w:t>
      </w:r>
      <w:r>
        <w:rPr>
          <w:rFonts w:hint="eastAsia" w:ascii="宋体"/>
          <w:b/>
          <w:bCs/>
          <w:color w:val="auto"/>
          <w:sz w:val="24"/>
          <w:szCs w:val="24"/>
          <w:highlight w:val="none"/>
        </w:rPr>
        <w:t>”要求，对“评标委员会推荐的</w:t>
      </w:r>
      <w:r>
        <w:rPr>
          <w:rFonts w:hint="eastAsia" w:ascii="宋体"/>
          <w:b/>
          <w:bCs/>
          <w:color w:val="auto"/>
          <w:sz w:val="24"/>
          <w:szCs w:val="24"/>
          <w:highlight w:val="none"/>
          <w:lang w:val="en-US" w:eastAsia="zh-CN"/>
        </w:rPr>
        <w:t>合格中标</w:t>
      </w:r>
      <w:r>
        <w:rPr>
          <w:rFonts w:hint="eastAsia" w:ascii="宋体"/>
          <w:b/>
          <w:bCs/>
          <w:color w:val="auto"/>
          <w:sz w:val="24"/>
          <w:szCs w:val="24"/>
          <w:highlight w:val="none"/>
        </w:rPr>
        <w:t>候选人”中的定标资料进行阅读、分析、对比并独立填写《票决定标法投票表》。</w:t>
      </w:r>
    </w:p>
    <w:p w14:paraId="5CA3ACD5">
      <w:pPr>
        <w:pStyle w:val="18"/>
        <w:spacing w:line="520" w:lineRule="exact"/>
        <w:ind w:firstLine="482" w:firstLineChars="200"/>
        <w:rPr>
          <w:rFonts w:hint="eastAsia" w:ascii="宋体"/>
          <w:b/>
          <w:bCs/>
          <w:color w:val="auto"/>
          <w:sz w:val="24"/>
          <w:szCs w:val="24"/>
          <w:highlight w:val="none"/>
        </w:rPr>
      </w:pPr>
      <w:r>
        <w:rPr>
          <w:rFonts w:hint="eastAsia" w:ascii="宋体"/>
          <w:b/>
          <w:bCs/>
          <w:color w:val="auto"/>
          <w:sz w:val="24"/>
          <w:szCs w:val="24"/>
          <w:highlight w:val="none"/>
        </w:rPr>
        <w:t>（七）定标委员会组长在所有定标委员会成员完成《定标票数评审表》填写后进行定标票决汇总</w:t>
      </w:r>
      <w:r>
        <w:rPr>
          <w:rFonts w:hint="eastAsia" w:ascii="宋体"/>
          <w:b/>
          <w:bCs/>
          <w:color w:val="auto"/>
          <w:sz w:val="24"/>
          <w:szCs w:val="24"/>
          <w:highlight w:val="none"/>
          <w:lang w:eastAsia="zh-CN"/>
        </w:rPr>
        <w:t>。</w:t>
      </w:r>
    </w:p>
    <w:p w14:paraId="7C2EF488">
      <w:pPr>
        <w:pStyle w:val="18"/>
        <w:spacing w:line="520" w:lineRule="exact"/>
        <w:ind w:firstLine="482" w:firstLineChars="200"/>
        <w:rPr>
          <w:rFonts w:hint="eastAsia" w:ascii="宋体"/>
          <w:b/>
          <w:bCs/>
          <w:color w:val="auto"/>
          <w:sz w:val="24"/>
          <w:szCs w:val="24"/>
          <w:highlight w:val="none"/>
          <w:lang w:eastAsia="zh-CN"/>
        </w:rPr>
      </w:pPr>
      <w:r>
        <w:rPr>
          <w:rFonts w:hint="eastAsia" w:ascii="宋体"/>
          <w:b/>
          <w:bCs/>
          <w:color w:val="auto"/>
          <w:sz w:val="24"/>
          <w:szCs w:val="24"/>
          <w:highlight w:val="none"/>
        </w:rPr>
        <w:t>（八）定标委员会对所有进入定标程序的定标候选人进行得票排名（由高到底），</w:t>
      </w:r>
      <w:r>
        <w:rPr>
          <w:rFonts w:hint="eastAsia" w:ascii="宋体"/>
          <w:b/>
          <w:bCs/>
          <w:color w:val="auto"/>
          <w:sz w:val="24"/>
          <w:szCs w:val="24"/>
          <w:highlight w:val="none"/>
          <w:lang w:val="en-US" w:eastAsia="zh-CN"/>
        </w:rPr>
        <w:t>确定</w:t>
      </w:r>
      <w:r>
        <w:rPr>
          <w:rFonts w:hint="eastAsia" w:ascii="宋体"/>
          <w:b/>
          <w:bCs/>
          <w:color w:val="auto"/>
          <w:sz w:val="24"/>
          <w:szCs w:val="24"/>
          <w:highlight w:val="none"/>
        </w:rPr>
        <w:t>中标候选人</w:t>
      </w:r>
      <w:r>
        <w:rPr>
          <w:rFonts w:hint="eastAsia" w:ascii="宋体"/>
          <w:b/>
          <w:bCs/>
          <w:color w:val="auto"/>
          <w:sz w:val="24"/>
          <w:szCs w:val="24"/>
          <w:highlight w:val="none"/>
          <w:lang w:val="en-US" w:eastAsia="zh-CN"/>
        </w:rPr>
        <w:t>排序</w:t>
      </w:r>
      <w:r>
        <w:rPr>
          <w:rFonts w:hint="eastAsia" w:ascii="宋体"/>
          <w:b/>
          <w:bCs/>
          <w:color w:val="auto"/>
          <w:sz w:val="24"/>
          <w:szCs w:val="24"/>
          <w:highlight w:val="none"/>
        </w:rPr>
        <w:t xml:space="preserve">。中标候选人不超过 3 </w:t>
      </w:r>
      <w:r>
        <w:rPr>
          <w:rFonts w:hint="eastAsia" w:ascii="宋体"/>
          <w:b/>
          <w:bCs/>
          <w:color w:val="auto"/>
          <w:sz w:val="24"/>
          <w:szCs w:val="24"/>
          <w:highlight w:val="none"/>
          <w:lang w:val="en-US" w:eastAsia="zh-CN"/>
        </w:rPr>
        <w:t>名</w:t>
      </w:r>
      <w:r>
        <w:rPr>
          <w:rFonts w:hint="eastAsia" w:ascii="宋体"/>
          <w:b/>
          <w:bCs/>
          <w:color w:val="auto"/>
          <w:sz w:val="24"/>
          <w:szCs w:val="24"/>
          <w:highlight w:val="none"/>
          <w:lang w:eastAsia="zh-CN"/>
        </w:rPr>
        <w:t>。</w:t>
      </w:r>
    </w:p>
    <w:p w14:paraId="25A0C029">
      <w:pPr>
        <w:rPr>
          <w:rFonts w:hint="eastAsia" w:ascii="宋体" w:hAnsi="宋体" w:eastAsia="宋体" w:cs="Times New Roman"/>
          <w:b w:val="0"/>
          <w:bCs w:val="0"/>
          <w:color w:val="auto"/>
          <w:sz w:val="24"/>
          <w:szCs w:val="21"/>
          <w:highlight w:val="none"/>
          <w:lang w:val="en-US" w:eastAsia="zh-CN"/>
        </w:rPr>
      </w:pPr>
      <w:r>
        <w:rPr>
          <w:rFonts w:hint="eastAsia" w:ascii="宋体" w:hAnsi="宋体" w:eastAsia="宋体" w:cs="Times New Roman"/>
          <w:b w:val="0"/>
          <w:bCs w:val="0"/>
          <w:color w:val="auto"/>
          <w:sz w:val="24"/>
          <w:szCs w:val="21"/>
          <w:highlight w:val="none"/>
          <w:lang w:val="en-US" w:eastAsia="zh-CN"/>
        </w:rPr>
        <w:t>3.11定标结果</w:t>
      </w:r>
    </w:p>
    <w:p w14:paraId="405B6A94">
      <w:pPr>
        <w:pStyle w:val="18"/>
        <w:spacing w:line="520" w:lineRule="exact"/>
        <w:ind w:firstLine="482" w:firstLineChars="200"/>
        <w:rPr>
          <w:rFonts w:hint="eastAsia"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3.11.1招标人应在定标委员会确定中标候选人后 3 日内在在投标人须知前附表规定的媒介将评标报告、定标报告及中标候选人情况进行公示，公示期不少于 3 日，如在公示期间有接到异议的，经核实若存在与本招标文件废标条件相符的，可废除中标人中标资格。</w:t>
      </w:r>
    </w:p>
    <w:p w14:paraId="44076A89">
      <w:pPr>
        <w:pStyle w:val="18"/>
        <w:spacing w:line="520" w:lineRule="exact"/>
        <w:ind w:firstLine="482" w:firstLineChars="200"/>
        <w:rPr>
          <w:rFonts w:hint="eastAsia"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 xml:space="preserve">3.11.2招标人根据定标委员会评定结果及公示情况，确定排名第一的中标候选人为中标人。排名第一的中标候选人有下列情形之一，招标人可以按照中标候选人名单排序依次确定其他中标候选人为中标人，也可以重新招标： </w:t>
      </w:r>
    </w:p>
    <w:p w14:paraId="09177FE7">
      <w:pPr>
        <w:pStyle w:val="18"/>
        <w:spacing w:line="520" w:lineRule="exact"/>
        <w:ind w:firstLine="482" w:firstLineChars="200"/>
        <w:rPr>
          <w:rFonts w:hint="eastAsia"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 xml:space="preserve">（1）中标人放弃中标资格或者拒不签订合同的； </w:t>
      </w:r>
    </w:p>
    <w:p w14:paraId="1A02357C">
      <w:pPr>
        <w:pStyle w:val="18"/>
        <w:spacing w:line="520" w:lineRule="exact"/>
        <w:ind w:firstLine="482" w:firstLineChars="200"/>
        <w:rPr>
          <w:rFonts w:hint="eastAsia"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 xml:space="preserve">（2）中标人不按照招标文件要求提交履约担保的； </w:t>
      </w:r>
    </w:p>
    <w:p w14:paraId="38FEDE00">
      <w:pPr>
        <w:pStyle w:val="18"/>
        <w:spacing w:line="520" w:lineRule="exact"/>
        <w:ind w:firstLine="482" w:firstLineChars="200"/>
        <w:rPr>
          <w:rFonts w:hint="eastAsia"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 xml:space="preserve">（3）中标人因不可抗力不能履行合同的； </w:t>
      </w:r>
    </w:p>
    <w:p w14:paraId="4BE705C8">
      <w:pPr>
        <w:pStyle w:val="18"/>
        <w:spacing w:line="520" w:lineRule="exact"/>
        <w:ind w:firstLine="482" w:firstLineChars="200"/>
        <w:rPr>
          <w:rFonts w:hint="eastAsia" w:ascii="宋体" w:hAnsi="Times New Roman" w:eastAsia="宋体" w:cs="Times New Roman"/>
          <w:b/>
          <w:bCs/>
          <w:color w:val="auto"/>
          <w:sz w:val="24"/>
          <w:szCs w:val="24"/>
          <w:highlight w:val="none"/>
          <w:lang w:val="en-US" w:eastAsia="zh-CN"/>
        </w:rPr>
      </w:pPr>
      <w:r>
        <w:rPr>
          <w:rFonts w:hint="eastAsia" w:ascii="宋体" w:hAnsi="Times New Roman" w:eastAsia="宋体" w:cs="Times New Roman"/>
          <w:b/>
          <w:bCs/>
          <w:color w:val="auto"/>
          <w:sz w:val="24"/>
          <w:szCs w:val="24"/>
          <w:highlight w:val="none"/>
          <w:lang w:val="en-US" w:eastAsia="zh-CN"/>
        </w:rPr>
        <w:t xml:space="preserve">（4）被查实存在影响中标结果违法行为的。 </w:t>
      </w:r>
    </w:p>
    <w:p w14:paraId="35584A5A">
      <w:r>
        <w:rPr>
          <w:rFonts w:ascii="宋体" w:hAnsi="宋体"/>
          <w:b/>
          <w:color w:val="auto"/>
        </w:rPr>
        <w:br w:type="page"/>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宋三简体">
    <w:altName w:val="宋体"/>
    <w:panose1 w:val="00000000000000000000"/>
    <w:charset w:val="86"/>
    <w:family w:val="auto"/>
    <w:pitch w:val="default"/>
    <w:sig w:usb0="00000000" w:usb1="00000000" w:usb2="00000010" w:usb3="00000000" w:csb0="00040000" w:csb1="00000000"/>
  </w:font>
  <w:font w:name="MingLiU_HKSCS">
    <w:altName w:val="PMingLiU-ExtB"/>
    <w:panose1 w:val="020205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14:paraId="3BDAC282">
      <w:pPr>
        <w:pStyle w:val="9"/>
        <w:spacing w:line="240" w:lineRule="auto"/>
        <w:ind w:left="180" w:hanging="180" w:hangingChars="100"/>
        <w:jc w:val="both"/>
        <w:rPr>
          <w:rFonts w:ascii="宋体" w:hAnsi="宋体" w:cs="宋体"/>
          <w:szCs w:val="18"/>
        </w:rPr>
      </w:pPr>
      <w:r>
        <w:rPr>
          <w:rStyle w:val="12"/>
          <w:rFonts w:hint="eastAsia" w:ascii="宋体" w:hAnsi="宋体" w:cs="宋体"/>
          <w:szCs w:val="18"/>
          <w:vertAlign w:val="baseline"/>
        </w:rPr>
        <w:footnoteRef/>
      </w:r>
      <w:r>
        <w:rPr>
          <w:rFonts w:hint="eastAsia" w:ascii="宋体" w:hAnsi="宋体" w:cs="宋体"/>
          <w:szCs w:val="18"/>
        </w:rPr>
        <w:t xml:space="preserve"> 如投标人资格要求中要求提交附录5，还可对其他主要监理人员进行资格评审。</w:t>
      </w:r>
    </w:p>
  </w:footnote>
  <w:footnote w:id="1">
    <w:p w14:paraId="5462E0F4">
      <w:pPr>
        <w:pStyle w:val="9"/>
        <w:spacing w:line="240" w:lineRule="auto"/>
        <w:ind w:firstLine="0"/>
        <w:rPr>
          <w:rFonts w:ascii="宋体" w:hAnsi="宋体"/>
        </w:rPr>
      </w:pPr>
      <w:r>
        <w:rPr>
          <w:rStyle w:val="12"/>
          <w:rFonts w:ascii="宋体" w:hAnsi="宋体"/>
          <w:vertAlign w:val="baseline"/>
        </w:rPr>
        <w:footnoteRef/>
      </w:r>
      <w:r>
        <w:rPr>
          <w:rFonts w:ascii="宋体" w:hAnsi="宋体"/>
        </w:rPr>
        <w:t xml:space="preserve"> </w:t>
      </w:r>
      <w:r>
        <w:rPr>
          <w:rFonts w:hint="eastAsia" w:ascii="宋体" w:hAnsi="宋体"/>
        </w:rPr>
        <w:t>本条内容所指的行政处罚和正式约谈是指本范本施行之日起发生的行政处罚和正式约谈。其中：正式约谈是指从业单位的企业法人因建设项目质量、安全、履约或招标投标等问题，被上述单位约谈的情形。行政处罚要以上述单位正式发文为依据，以正式发文时间为准；正式约谈要以上述单位的书面通知和约谈会议纪要为依据，时间以约谈会议纪要发文时间为准。</w:t>
      </w:r>
    </w:p>
  </w:footnote>
  <w:footnote w:id="2">
    <w:p w14:paraId="3D4D8910">
      <w:pPr>
        <w:pStyle w:val="9"/>
        <w:spacing w:line="240" w:lineRule="auto"/>
        <w:ind w:firstLine="0"/>
        <w:rPr>
          <w:rStyle w:val="12"/>
          <w:rFonts w:ascii="宋体" w:hAnsi="宋体"/>
          <w:vertAlign w:val="baseline"/>
        </w:rPr>
      </w:pPr>
      <w:r>
        <w:rPr>
          <w:rStyle w:val="12"/>
          <w:rFonts w:ascii="宋体" w:hAnsi="宋体"/>
          <w:vertAlign w:val="baseline"/>
        </w:rPr>
        <w:footnoteRef/>
      </w:r>
      <w:r>
        <w:rPr>
          <w:rStyle w:val="12"/>
          <w:rFonts w:ascii="宋体" w:hAnsi="宋体"/>
          <w:vertAlign w:val="baseline"/>
        </w:rPr>
        <w:t xml:space="preserve"> </w:t>
      </w:r>
      <w:r>
        <w:rPr>
          <w:rStyle w:val="12"/>
          <w:rFonts w:hint="eastAsia" w:ascii="宋体" w:hAnsi="宋体"/>
          <w:vertAlign w:val="baseline"/>
        </w:rPr>
        <w:t>适用于采用交通运输部“全国</w:t>
      </w:r>
      <w:r>
        <w:rPr>
          <w:rFonts w:hint="eastAsia" w:ascii="宋体" w:hAnsi="宋体"/>
        </w:rPr>
        <w:t>水运</w:t>
      </w:r>
      <w:r>
        <w:rPr>
          <w:rStyle w:val="12"/>
          <w:rFonts w:hint="eastAsia" w:ascii="宋体" w:hAnsi="宋体"/>
          <w:vertAlign w:val="baseline"/>
        </w:rPr>
        <w:t>建设市场信用信息管理系统”截图作为证明材料的情形。</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347D2"/>
    <w:rsid w:val="18C347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99"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3"/>
    <w:next w:val="1"/>
    <w:qFormat/>
    <w:uiPriority w:val="0"/>
    <w:pPr>
      <w:keepNext/>
      <w:keepLines/>
      <w:spacing w:line="578" w:lineRule="auto"/>
      <w:jc w:val="center"/>
      <w:outlineLvl w:val="0"/>
    </w:pPr>
    <w:rPr>
      <w:rFonts w:eastAsia="宋体"/>
      <w:b w:val="0"/>
      <w:bCs/>
      <w:kern w:val="44"/>
      <w:sz w:val="44"/>
      <w:szCs w:val="44"/>
    </w:rPr>
  </w:style>
  <w:style w:type="paragraph" w:styleId="4">
    <w:name w:val="heading 2"/>
    <w:basedOn w:val="1"/>
    <w:next w:val="1"/>
    <w:qFormat/>
    <w:uiPriority w:val="0"/>
    <w:pPr>
      <w:keepNext/>
      <w:keepLines/>
      <w:spacing w:before="260" w:after="260" w:line="480" w:lineRule="exact"/>
      <w:jc w:val="center"/>
      <w:outlineLvl w:val="1"/>
    </w:pPr>
    <w:rPr>
      <w:rFonts w:ascii="宋体" w:hAnsi="宋体" w:eastAsia="黑体"/>
      <w:bCs/>
      <w:i/>
      <w:iCs/>
      <w:sz w:val="24"/>
      <w:szCs w:val="20"/>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styleId="3">
    <w:name w:val="Title"/>
    <w:basedOn w:val="1"/>
    <w:qFormat/>
    <w:uiPriority w:val="0"/>
    <w:pPr>
      <w:adjustRightInd w:val="0"/>
      <w:spacing w:before="240" w:after="60" w:line="420" w:lineRule="atLeast"/>
      <w:jc w:val="center"/>
      <w:textAlignment w:val="baseline"/>
      <w:outlineLvl w:val="0"/>
    </w:pPr>
    <w:rPr>
      <w:rFonts w:ascii="Arial" w:hAnsi="Arial" w:eastAsia="宋体"/>
      <w:b/>
      <w:kern w:val="0"/>
      <w:sz w:val="32"/>
      <w:szCs w:val="20"/>
    </w:rPr>
  </w:style>
  <w:style w:type="paragraph" w:styleId="5">
    <w:name w:val="Body Text"/>
    <w:basedOn w:val="1"/>
    <w:next w:val="1"/>
    <w:qFormat/>
    <w:uiPriority w:val="0"/>
    <w:pPr>
      <w:spacing w:after="120"/>
    </w:pPr>
    <w:rPr>
      <w:rFonts w:ascii="Times New Roman" w:hAnsi="Times New Roman" w:eastAsia="宋体"/>
    </w:rPr>
  </w:style>
  <w:style w:type="paragraph" w:styleId="6">
    <w:name w:val="Plain Text"/>
    <w:basedOn w:val="1"/>
    <w:next w:val="1"/>
    <w:qFormat/>
    <w:uiPriority w:val="99"/>
    <w:rPr>
      <w:rFonts w:ascii="宋体" w:hAnsi="Courier New" w:eastAsia="宋体"/>
      <w:szCs w:val="20"/>
    </w:rPr>
  </w:style>
  <w:style w:type="paragraph" w:styleId="7">
    <w:name w:val="footer"/>
    <w:basedOn w:val="1"/>
    <w:qFormat/>
    <w:uiPriority w:val="99"/>
    <w:pPr>
      <w:tabs>
        <w:tab w:val="center" w:pos="4153"/>
        <w:tab w:val="right" w:pos="8306"/>
      </w:tabs>
      <w:snapToGrid w:val="0"/>
      <w:jc w:val="left"/>
    </w:pPr>
    <w:rPr>
      <w:rFonts w:ascii="Times New Roman" w:hAnsi="Times New Roman" w:eastAsia="宋体"/>
      <w:sz w:val="18"/>
      <w:szCs w:val="18"/>
    </w:rPr>
  </w:style>
  <w:style w:type="paragraph" w:styleId="8">
    <w:name w:val="header"/>
    <w:basedOn w:val="1"/>
    <w:qFormat/>
    <w:uiPriority w:val="99"/>
    <w:pPr>
      <w:tabs>
        <w:tab w:val="center" w:pos="4153"/>
        <w:tab w:val="right" w:pos="8306"/>
      </w:tabs>
      <w:snapToGrid w:val="0"/>
      <w:jc w:val="center"/>
    </w:pPr>
    <w:rPr>
      <w:rFonts w:ascii="Times New Roman" w:hAnsi="Times New Roman" w:eastAsia="宋体"/>
      <w:sz w:val="18"/>
      <w:szCs w:val="18"/>
    </w:rPr>
  </w:style>
  <w:style w:type="paragraph" w:styleId="9">
    <w:name w:val="footnote text"/>
    <w:basedOn w:val="1"/>
    <w:next w:val="1"/>
    <w:qFormat/>
    <w:uiPriority w:val="99"/>
    <w:pPr>
      <w:adjustRightInd w:val="0"/>
      <w:snapToGrid w:val="0"/>
      <w:spacing w:line="420" w:lineRule="atLeast"/>
      <w:ind w:firstLine="454"/>
      <w:jc w:val="left"/>
      <w:textAlignment w:val="baseline"/>
    </w:pPr>
    <w:rPr>
      <w:rFonts w:ascii="Times New Roman" w:hAnsi="Times New Roman" w:eastAsia="宋体"/>
      <w:kern w:val="0"/>
      <w:sz w:val="18"/>
      <w:szCs w:val="20"/>
    </w:rPr>
  </w:style>
  <w:style w:type="character" w:styleId="12">
    <w:name w:val="footnote reference"/>
    <w:qFormat/>
    <w:uiPriority w:val="99"/>
    <w:rPr>
      <w:vertAlign w:val="superscript"/>
    </w:rPr>
  </w:style>
  <w:style w:type="character" w:customStyle="1" w:styleId="13">
    <w:name w:val="标题 1 Char1"/>
    <w:qFormat/>
    <w:uiPriority w:val="0"/>
    <w:rPr>
      <w:rFonts w:eastAsia="宋体"/>
      <w:b/>
      <w:bCs/>
      <w:kern w:val="44"/>
      <w:sz w:val="32"/>
      <w:szCs w:val="44"/>
    </w:rPr>
  </w:style>
  <w:style w:type="character" w:customStyle="1" w:styleId="14">
    <w:name w:val="正文文本 (2) + 间距 0 pt5"/>
    <w:qFormat/>
    <w:uiPriority w:val="99"/>
    <w:rPr>
      <w:rFonts w:ascii="MingLiU" w:eastAsia="MingLiU" w:cs="MingLiU"/>
      <w:spacing w:val="0"/>
      <w:sz w:val="22"/>
      <w:szCs w:val="22"/>
      <w:u w:val="none"/>
    </w:rPr>
  </w:style>
  <w:style w:type="paragraph" w:customStyle="1" w:styleId="15">
    <w:name w:val="表格正文-DDDDD"/>
    <w:basedOn w:val="1"/>
    <w:qFormat/>
    <w:uiPriority w:val="0"/>
    <w:pPr>
      <w:spacing w:line="300" w:lineRule="exact"/>
      <w:jc w:val="center"/>
    </w:pPr>
    <w:rPr>
      <w:rFonts w:ascii="方正宋三简体" w:eastAsia="方正宋三简体"/>
      <w:szCs w:val="21"/>
    </w:rPr>
  </w:style>
  <w:style w:type="paragraph" w:customStyle="1" w:styleId="16">
    <w:name w:val="正文3"/>
    <w:qFormat/>
    <w:uiPriority w:val="0"/>
    <w:pPr>
      <w:widowControl w:val="0"/>
      <w:adjustRightInd w:val="0"/>
      <w:spacing w:line="312" w:lineRule="atLeast"/>
      <w:jc w:val="both"/>
    </w:pPr>
    <w:rPr>
      <w:rFonts w:ascii="宋体" w:hAnsi="MingLiU_HKSCS" w:eastAsia="MingLiU_HKSCS" w:cs="Times New Roman"/>
      <w:sz w:val="34"/>
      <w:lang w:val="en-US" w:eastAsia="zh-CN" w:bidi="ar-SA"/>
    </w:rPr>
  </w:style>
  <w:style w:type="paragraph" w:customStyle="1" w:styleId="17">
    <w:name w:val="Table Text"/>
    <w:basedOn w:val="1"/>
    <w:semiHidden/>
    <w:qFormat/>
    <w:uiPriority w:val="0"/>
    <w:rPr>
      <w:rFonts w:ascii="宋体" w:hAnsi="宋体" w:eastAsia="宋体" w:cs="宋体"/>
      <w:sz w:val="20"/>
      <w:szCs w:val="20"/>
      <w:lang w:val="en-US" w:eastAsia="en-US" w:bidi="ar-SA"/>
    </w:rPr>
  </w:style>
  <w:style w:type="paragraph" w:customStyle="1" w:styleId="18">
    <w:name w:val="正文4"/>
    <w:basedOn w:val="1"/>
    <w:qFormat/>
    <w:uiPriority w:val="0"/>
    <w:pPr>
      <w:ind w:firstLine="630"/>
    </w:pPr>
    <w:rPr>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2025-09-08T11:39:00Z</dcterms:created>
  <dc:creator>吴嘉鹏</dc:creator>
  <cp:lastModifiedBy>吴嘉鹏</cp:lastModifiedBy>
  <dcterms:modified xsi:type="dcterms:W3CDTF">2025-09-08T11:41:51Z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3FD9D077826B46EEAE02C37C46C6503D_11</vt:lpwstr>
  </property>
  <property fmtid="{D5CDD505-2E9C-101B-9397-08002B2CF9AE}" pid="4" name="KSOTemplateDocerSaveRecord">
    <vt:lpwstr>eyJoZGlkIjoiMzEwNTM5NzYwMDRjMzkwZTVkZjY2ODkwMGIxNGU0OTUiLCJ1c2VySWQiOiI3NDc2MDgyMzUifQ==</vt:lpwstr>
  </property>
</Properties>
</file>