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2CE0">
      <w:pPr>
        <w:jc w:val="center"/>
        <w:rPr>
          <w:rFonts w:ascii="宋体" w:hAnsi="宋体" w:cs="宋体"/>
          <w:b/>
          <w:bCs/>
          <w:color w:val="auto"/>
          <w:sz w:val="52"/>
          <w:szCs w:val="52"/>
          <w:highlight w:val="none"/>
        </w:rPr>
      </w:pPr>
    </w:p>
    <w:p w14:paraId="2E0B718A">
      <w:pPr>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广州市白云区棠涌村城中村改造项目首开区安置地块及安置区配套道路项目</w:t>
      </w:r>
    </w:p>
    <w:p w14:paraId="0911FF47">
      <w:pPr>
        <w:jc w:val="center"/>
        <w:rPr>
          <w:rFonts w:eastAsia="黑体"/>
          <w:color w:val="auto"/>
          <w:sz w:val="32"/>
          <w:szCs w:val="32"/>
          <w:highlight w:val="none"/>
        </w:rPr>
      </w:pPr>
      <w:r>
        <w:rPr>
          <w:rFonts w:hint="eastAsia" w:ascii="宋体" w:hAnsi="宋体" w:cs="宋体"/>
          <w:b/>
          <w:bCs/>
          <w:color w:val="auto"/>
          <w:sz w:val="52"/>
          <w:szCs w:val="52"/>
          <w:highlight w:val="none"/>
          <w:lang w:eastAsia="zh-CN"/>
        </w:rPr>
        <w:t>建设管理服务</w:t>
      </w:r>
    </w:p>
    <w:p w14:paraId="52D266E2">
      <w:pPr>
        <w:rPr>
          <w:color w:val="auto"/>
          <w:sz w:val="28"/>
          <w:highlight w:val="none"/>
        </w:rPr>
      </w:pPr>
    </w:p>
    <w:p w14:paraId="1FFE2111">
      <w:pPr>
        <w:rPr>
          <w:color w:val="auto"/>
          <w:sz w:val="28"/>
          <w:highlight w:val="none"/>
        </w:rPr>
      </w:pPr>
    </w:p>
    <w:p w14:paraId="3ACF1FAD">
      <w:pPr>
        <w:jc w:val="center"/>
        <w:rPr>
          <w:rFonts w:ascii="宋体" w:hAnsi="宋体"/>
          <w:b/>
          <w:color w:val="auto"/>
          <w:sz w:val="84"/>
          <w:szCs w:val="84"/>
          <w:highlight w:val="none"/>
        </w:rPr>
      </w:pPr>
      <w:r>
        <w:rPr>
          <w:rFonts w:ascii="宋体" w:hAnsi="宋体"/>
          <w:b/>
          <w:color w:val="auto"/>
          <w:sz w:val="84"/>
          <w:szCs w:val="84"/>
          <w:highlight w:val="none"/>
        </w:rPr>
        <w:t>招</w:t>
      </w:r>
      <w:r>
        <w:rPr>
          <w:rFonts w:hint="eastAsia" w:ascii="宋体" w:hAnsi="宋体"/>
          <w:b/>
          <w:color w:val="auto"/>
          <w:sz w:val="84"/>
          <w:szCs w:val="84"/>
          <w:highlight w:val="none"/>
        </w:rPr>
        <w:t xml:space="preserve"> </w:t>
      </w:r>
      <w:r>
        <w:rPr>
          <w:rFonts w:ascii="宋体" w:hAnsi="宋体"/>
          <w:b/>
          <w:color w:val="auto"/>
          <w:sz w:val="84"/>
          <w:szCs w:val="84"/>
          <w:highlight w:val="none"/>
        </w:rPr>
        <w:t>标</w:t>
      </w:r>
      <w:r>
        <w:rPr>
          <w:rFonts w:hint="eastAsia" w:ascii="宋体" w:hAnsi="宋体"/>
          <w:b/>
          <w:color w:val="auto"/>
          <w:sz w:val="84"/>
          <w:szCs w:val="84"/>
          <w:highlight w:val="none"/>
        </w:rPr>
        <w:t xml:space="preserve"> 公 告</w:t>
      </w:r>
    </w:p>
    <w:p w14:paraId="7574224A">
      <w:pPr>
        <w:rPr>
          <w:color w:val="auto"/>
          <w:highlight w:val="none"/>
        </w:rPr>
      </w:pPr>
    </w:p>
    <w:p w14:paraId="3E165456">
      <w:pPr>
        <w:rPr>
          <w:color w:val="auto"/>
          <w:highlight w:val="none"/>
        </w:rPr>
      </w:pPr>
    </w:p>
    <w:p w14:paraId="050F474F">
      <w:pPr>
        <w:rPr>
          <w:color w:val="auto"/>
          <w:highlight w:val="none"/>
        </w:rPr>
      </w:pPr>
    </w:p>
    <w:p w14:paraId="668C6296">
      <w:pPr>
        <w:rPr>
          <w:color w:val="auto"/>
          <w:highlight w:val="none"/>
        </w:rPr>
      </w:pPr>
    </w:p>
    <w:p w14:paraId="5FFAD468">
      <w:pPr>
        <w:rPr>
          <w:color w:val="auto"/>
          <w:highlight w:val="none"/>
        </w:rPr>
      </w:pPr>
    </w:p>
    <w:p w14:paraId="74FD3A05">
      <w:pPr>
        <w:rPr>
          <w:color w:val="auto"/>
          <w:highlight w:val="none"/>
        </w:rPr>
      </w:pPr>
    </w:p>
    <w:p w14:paraId="7776079C">
      <w:pPr>
        <w:rPr>
          <w:color w:val="auto"/>
          <w:highlight w:val="none"/>
        </w:rPr>
      </w:pPr>
    </w:p>
    <w:p w14:paraId="45EBC961">
      <w:pPr>
        <w:rPr>
          <w:color w:val="auto"/>
          <w:highlight w:val="none"/>
        </w:rPr>
      </w:pPr>
    </w:p>
    <w:p w14:paraId="414DBA8B">
      <w:pPr>
        <w:pStyle w:val="4"/>
        <w:rPr>
          <w:color w:val="auto"/>
          <w:highlight w:val="none"/>
        </w:rPr>
      </w:pPr>
    </w:p>
    <w:p w14:paraId="739754C4">
      <w:pPr>
        <w:pStyle w:val="4"/>
        <w:rPr>
          <w:color w:val="auto"/>
          <w:highlight w:val="none"/>
        </w:rPr>
      </w:pPr>
    </w:p>
    <w:p w14:paraId="09AFED8B">
      <w:pPr>
        <w:pStyle w:val="4"/>
        <w:rPr>
          <w:color w:val="auto"/>
          <w:highlight w:val="none"/>
        </w:rPr>
      </w:pPr>
    </w:p>
    <w:p w14:paraId="292F416C">
      <w:pPr>
        <w:ind w:firstLine="1417" w:firstLineChars="504"/>
        <w:rPr>
          <w:rFonts w:ascii="宋体" w:hAnsi="宋体" w:cs="宋体"/>
          <w:b/>
          <w:color w:val="auto"/>
          <w:sz w:val="28"/>
          <w:szCs w:val="28"/>
          <w:highlight w:val="none"/>
          <w:u w:val="single"/>
          <w:lang w:val="zh-CN"/>
        </w:rPr>
      </w:pPr>
      <w:bookmarkStart w:id="0" w:name="_Hlk51161991"/>
      <w:r>
        <w:rPr>
          <w:rFonts w:hint="eastAsia" w:ascii="宋体" w:hAnsi="宋体" w:cs="宋体"/>
          <w:b/>
          <w:color w:val="auto"/>
          <w:sz w:val="28"/>
          <w:szCs w:val="28"/>
          <w:highlight w:val="none"/>
        </w:rPr>
        <w:t>招   标   人：</w:t>
      </w:r>
      <w:r>
        <w:rPr>
          <w:rFonts w:hint="eastAsia" w:ascii="宋体" w:hAnsi="宋体" w:cs="宋体"/>
          <w:b/>
          <w:color w:val="auto"/>
          <w:sz w:val="28"/>
          <w:szCs w:val="28"/>
          <w:highlight w:val="none"/>
          <w:u w:val="single"/>
          <w:lang w:val="zh-CN"/>
        </w:rPr>
        <w:t>广州白云棠涌置地有限公司</w:t>
      </w:r>
    </w:p>
    <w:p w14:paraId="6AE15C10">
      <w:pPr>
        <w:ind w:firstLine="1417" w:firstLineChars="504"/>
        <w:rPr>
          <w:rFonts w:ascii="宋体" w:hAnsi="宋体" w:cs="宋体"/>
          <w:b/>
          <w:color w:val="auto"/>
          <w:sz w:val="28"/>
          <w:szCs w:val="28"/>
          <w:highlight w:val="none"/>
        </w:rPr>
      </w:pPr>
      <w:r>
        <w:rPr>
          <w:rFonts w:hint="eastAsia" w:ascii="宋体" w:hAnsi="宋体" w:cs="宋体"/>
          <w:b/>
          <w:color w:val="auto"/>
          <w:sz w:val="28"/>
          <w:szCs w:val="28"/>
          <w:highlight w:val="none"/>
          <w:lang w:val="zh-CN"/>
        </w:rPr>
        <w:t>招标代理机构：</w:t>
      </w:r>
      <w:r>
        <w:rPr>
          <w:rFonts w:hint="eastAsia" w:ascii="宋体" w:hAnsi="宋体" w:cs="宋体"/>
          <w:b/>
          <w:color w:val="auto"/>
          <w:sz w:val="28"/>
          <w:szCs w:val="28"/>
          <w:highlight w:val="none"/>
          <w:u w:val="single"/>
          <w:lang w:val="zh-CN"/>
        </w:rPr>
        <w:t>广州市白云工程咨询管理有限公司</w:t>
      </w:r>
      <w:bookmarkStart w:id="34" w:name="_GoBack"/>
      <w:bookmarkEnd w:id="34"/>
    </w:p>
    <w:p w14:paraId="230856DC">
      <w:pPr>
        <w:ind w:firstLine="1405" w:firstLineChars="500"/>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日 </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期：</w:t>
      </w:r>
      <w:r>
        <w:rPr>
          <w:rFonts w:hint="eastAsia" w:ascii="宋体" w:hAnsi="宋体" w:cs="宋体"/>
          <w:b/>
          <w:color w:val="auto"/>
          <w:sz w:val="28"/>
          <w:szCs w:val="28"/>
          <w:highlight w:val="none"/>
          <w:u w:val="single"/>
        </w:rPr>
        <w:t>202</w:t>
      </w:r>
      <w:r>
        <w:rPr>
          <w:rFonts w:ascii="宋体" w:hAnsi="宋体" w:cs="宋体"/>
          <w:b/>
          <w:color w:val="auto"/>
          <w:sz w:val="28"/>
          <w:szCs w:val="28"/>
          <w:highlight w:val="none"/>
          <w:u w:val="single"/>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lang w:val="en-US" w:eastAsia="zh-CN"/>
        </w:rPr>
        <w:t xml:space="preserve"> 9 </w:t>
      </w:r>
      <w:r>
        <w:rPr>
          <w:rFonts w:hint="eastAsia" w:ascii="宋体" w:hAnsi="宋体" w:cs="宋体"/>
          <w:b/>
          <w:color w:val="auto"/>
          <w:sz w:val="28"/>
          <w:szCs w:val="28"/>
          <w:highlight w:val="none"/>
        </w:rPr>
        <w:t>月</w:t>
      </w:r>
    </w:p>
    <w:p w14:paraId="3FA95FCD">
      <w:pPr>
        <w:pStyle w:val="4"/>
        <w:rPr>
          <w:color w:val="auto"/>
          <w:highlight w:val="none"/>
        </w:rPr>
        <w:sectPr>
          <w:footerReference r:id="rId3" w:type="default"/>
          <w:pgSz w:w="11906" w:h="16838"/>
          <w:pgMar w:top="1440" w:right="1418" w:bottom="1440" w:left="1418" w:header="851" w:footer="992" w:gutter="0"/>
          <w:pgNumType w:start="0"/>
          <w:cols w:space="720" w:num="1"/>
          <w:titlePg/>
          <w:docGrid w:type="lines" w:linePitch="312" w:charSpace="0"/>
        </w:sectPr>
      </w:pPr>
    </w:p>
    <w:p w14:paraId="13894B1D">
      <w:pPr>
        <w:pStyle w:val="4"/>
        <w:rPr>
          <w:color w:val="auto"/>
          <w:highlight w:val="none"/>
        </w:rPr>
      </w:pPr>
    </w:p>
    <w:bookmarkEnd w:id="0"/>
    <w:p w14:paraId="45EB5C7A">
      <w:pPr>
        <w:pStyle w:val="3"/>
        <w:spacing w:line="360" w:lineRule="auto"/>
        <w:ind w:left="-178" w:leftChars="-85" w:right="-153" w:rightChars="-73"/>
        <w:jc w:val="center"/>
        <w:rPr>
          <w:rFonts w:ascii="宋体" w:hAnsi="宋体" w:cs="宋体"/>
          <w:b/>
          <w:bCs/>
          <w:color w:val="auto"/>
          <w:sz w:val="32"/>
          <w:szCs w:val="32"/>
          <w:highlight w:val="none"/>
          <w:u w:val="single"/>
        </w:rPr>
      </w:pPr>
    </w:p>
    <w:p w14:paraId="54EB7F21">
      <w:pPr>
        <w:pStyle w:val="3"/>
        <w:spacing w:line="360" w:lineRule="auto"/>
        <w:ind w:left="-178" w:leftChars="-85" w:right="-153" w:rightChars="-73"/>
        <w:jc w:val="center"/>
        <w:rPr>
          <w:rFonts w:ascii="宋体" w:hAnsi="宋体" w:cs="宋体"/>
          <w:b/>
          <w:bCs/>
          <w:color w:val="auto"/>
          <w:sz w:val="36"/>
          <w:szCs w:val="36"/>
          <w:highlight w:val="none"/>
        </w:rPr>
        <w:sectPr>
          <w:footerReference r:id="rId5" w:type="first"/>
          <w:footerReference r:id="rId4" w:type="default"/>
          <w:pgSz w:w="11906" w:h="16838"/>
          <w:pgMar w:top="1440" w:right="1418" w:bottom="1440" w:left="1418" w:header="851" w:footer="992" w:gutter="0"/>
          <w:pgNumType w:start="0"/>
          <w:cols w:space="720" w:num="1"/>
          <w:titlePg/>
          <w:docGrid w:type="lines" w:linePitch="312" w:charSpace="0"/>
        </w:sectPr>
      </w:pPr>
    </w:p>
    <w:p w14:paraId="3572AAD0">
      <w:pPr>
        <w:spacing w:line="276" w:lineRule="auto"/>
        <w:jc w:val="center"/>
        <w:rPr>
          <w:rFonts w:ascii="宋体" w:hAnsi="宋体"/>
          <w:b/>
          <w:color w:val="auto"/>
          <w:sz w:val="28"/>
          <w:highlight w:val="none"/>
        </w:rPr>
      </w:pPr>
      <w:r>
        <w:rPr>
          <w:rFonts w:hint="eastAsia" w:ascii="宋体" w:hAnsi="宋体"/>
          <w:b/>
          <w:color w:val="auto"/>
          <w:sz w:val="36"/>
          <w:szCs w:val="32"/>
          <w:highlight w:val="none"/>
          <w:lang w:eastAsia="zh-CN"/>
        </w:rPr>
        <w:t>广州市白云区棠涌村城中村改造项目首开区安置地块及安置区配套道路项目建设管理服务</w:t>
      </w:r>
      <w:r>
        <w:rPr>
          <w:rFonts w:ascii="宋体" w:hAnsi="宋体"/>
          <w:b/>
          <w:color w:val="auto"/>
          <w:sz w:val="36"/>
          <w:szCs w:val="32"/>
          <w:highlight w:val="none"/>
        </w:rPr>
        <w:br w:type="textWrapping"/>
      </w:r>
      <w:r>
        <w:rPr>
          <w:rFonts w:hint="eastAsia" w:ascii="宋体" w:hAnsi="宋体"/>
          <w:b/>
          <w:color w:val="auto"/>
          <w:sz w:val="36"/>
          <w:szCs w:val="32"/>
          <w:highlight w:val="none"/>
        </w:rPr>
        <w:t>招标公告</w:t>
      </w:r>
    </w:p>
    <w:p w14:paraId="589084E6">
      <w:pPr>
        <w:spacing w:before="156" w:beforeLines="50" w:after="156" w:afterLines="50"/>
        <w:jc w:val="left"/>
        <w:textAlignment w:val="center"/>
        <w:outlineLvl w:val="1"/>
        <w:rPr>
          <w:rFonts w:ascii="宋体" w:hAnsi="宋体"/>
          <w:b/>
          <w:bCs/>
          <w:color w:val="auto"/>
          <w:kern w:val="0"/>
          <w:sz w:val="36"/>
          <w:szCs w:val="32"/>
          <w:highlight w:val="none"/>
        </w:rPr>
      </w:pPr>
      <w:bookmarkStart w:id="1" w:name="_Toc529196504"/>
      <w:bookmarkStart w:id="2" w:name="_Toc535938695"/>
      <w:bookmarkStart w:id="3" w:name="_Toc511557025"/>
      <w:r>
        <w:rPr>
          <w:rFonts w:ascii="宋体" w:hAnsi="宋体"/>
          <w:b/>
          <w:bCs/>
          <w:color w:val="auto"/>
          <w:kern w:val="0"/>
          <w:sz w:val="36"/>
          <w:szCs w:val="32"/>
          <w:highlight w:val="none"/>
        </w:rPr>
        <w:t xml:space="preserve">1. </w:t>
      </w:r>
      <w:r>
        <w:rPr>
          <w:rFonts w:hint="eastAsia" w:ascii="宋体" w:hAnsi="宋体"/>
          <w:b/>
          <w:bCs/>
          <w:color w:val="auto"/>
          <w:kern w:val="0"/>
          <w:sz w:val="36"/>
          <w:szCs w:val="32"/>
          <w:highlight w:val="none"/>
        </w:rPr>
        <w:t>招标条件</w:t>
      </w:r>
      <w:bookmarkEnd w:id="1"/>
      <w:bookmarkEnd w:id="2"/>
      <w:bookmarkEnd w:id="3"/>
    </w:p>
    <w:p w14:paraId="281EAE74">
      <w:pPr>
        <w:pStyle w:val="3"/>
        <w:spacing w:line="440" w:lineRule="exact"/>
        <w:ind w:firstLine="480" w:firstLineChars="200"/>
        <w:rPr>
          <w:rFonts w:ascii="宋体" w:hAnsi="宋体" w:cs="宋体"/>
          <w:color w:val="auto"/>
          <w:szCs w:val="21"/>
          <w:highlight w:val="none"/>
        </w:rPr>
      </w:pPr>
      <w:bookmarkStart w:id="4" w:name="_Toc511557026"/>
      <w:bookmarkStart w:id="5" w:name="_Toc529196505"/>
      <w:bookmarkStart w:id="6" w:name="_Toc535938696"/>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广州市白云区棠涌村城中村改造项目首开区安置地块及安置区配套道路项目</w:t>
      </w:r>
      <w:r>
        <w:rPr>
          <w:rFonts w:hint="eastAsia" w:ascii="宋体" w:hAnsi="宋体" w:cs="宋体"/>
          <w:color w:val="auto"/>
          <w:sz w:val="24"/>
          <w:highlight w:val="none"/>
        </w:rPr>
        <w:t>已由</w:t>
      </w:r>
      <w:r>
        <w:rPr>
          <w:rFonts w:hint="eastAsia" w:ascii="宋体" w:hAnsi="宋体" w:cs="宋体"/>
          <w:color w:val="auto"/>
          <w:sz w:val="24"/>
          <w:highlight w:val="none"/>
          <w:u w:val="single"/>
          <w:lang w:eastAsia="zh-CN"/>
        </w:rPr>
        <w:t>穗白发改投批〔2025]4</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lang w:eastAsia="zh-CN"/>
        </w:rPr>
        <w:t>号</w:t>
      </w:r>
      <w:r>
        <w:rPr>
          <w:rFonts w:hint="eastAsia" w:ascii="宋体" w:hAnsi="宋体" w:cs="宋体"/>
          <w:color w:val="auto"/>
          <w:sz w:val="24"/>
          <w:highlight w:val="none"/>
        </w:rPr>
        <w:t>批准实施，项目业主为：</w:t>
      </w:r>
      <w:r>
        <w:rPr>
          <w:rFonts w:hint="eastAsia" w:ascii="宋体" w:hAnsi="宋体" w:cs="宋体"/>
          <w:color w:val="auto"/>
          <w:sz w:val="24"/>
          <w:highlight w:val="none"/>
          <w:u w:val="single"/>
          <w:lang w:eastAsia="zh-CN"/>
        </w:rPr>
        <w:t>广州白云棠涌置地有限公司</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财政资金和企业自筹资金</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广州白云棠涌置地有限公司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建设管理服务</w:t>
      </w:r>
      <w:r>
        <w:rPr>
          <w:rFonts w:hint="eastAsia" w:ascii="宋体" w:hAnsi="宋体" w:cs="宋体"/>
          <w:color w:val="auto"/>
          <w:sz w:val="24"/>
          <w:highlight w:val="none"/>
        </w:rPr>
        <w:t>进行公开招标。</w:t>
      </w:r>
    </w:p>
    <w:p w14:paraId="674E766E">
      <w:pPr>
        <w:spacing w:before="156" w:beforeLines="50" w:after="156"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2. </w:t>
      </w:r>
      <w:r>
        <w:rPr>
          <w:rFonts w:hint="eastAsia" w:ascii="宋体" w:hAnsi="宋体"/>
          <w:b/>
          <w:bCs/>
          <w:color w:val="auto"/>
          <w:kern w:val="0"/>
          <w:sz w:val="36"/>
          <w:szCs w:val="32"/>
          <w:highlight w:val="none"/>
        </w:rPr>
        <w:t>项目概况与招标范围</w:t>
      </w:r>
      <w:bookmarkEnd w:id="4"/>
      <w:bookmarkEnd w:id="5"/>
      <w:bookmarkEnd w:id="6"/>
    </w:p>
    <w:p w14:paraId="4F8F4DB2">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2.1招标项目概况</w:t>
      </w:r>
    </w:p>
    <w:p w14:paraId="26F08E5C">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2.1.1招标项目名称：</w:t>
      </w:r>
      <w:r>
        <w:rPr>
          <w:rFonts w:hint="eastAsia" w:ascii="宋体" w:hAnsi="宋体"/>
          <w:color w:val="auto"/>
          <w:sz w:val="24"/>
          <w:szCs w:val="24"/>
          <w:highlight w:val="none"/>
          <w:u w:val="single"/>
          <w:lang w:eastAsia="zh-CN"/>
        </w:rPr>
        <w:t>广州市白云区棠涌村城中村改造项目首开区安置地块及安置区配套道路项目建设管理服务</w:t>
      </w:r>
      <w:r>
        <w:rPr>
          <w:rFonts w:hint="eastAsia" w:ascii="宋体" w:hAnsi="宋体"/>
          <w:color w:val="auto"/>
          <w:sz w:val="24"/>
          <w:szCs w:val="24"/>
          <w:highlight w:val="none"/>
        </w:rPr>
        <w:t>。</w:t>
      </w:r>
    </w:p>
    <w:p w14:paraId="1B334FA2">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2.1.2工程建设地点：</w:t>
      </w:r>
      <w:r>
        <w:rPr>
          <w:rFonts w:hint="eastAsia" w:ascii="宋体" w:hAnsi="宋体" w:cs="仿宋_GB2312"/>
          <w:bCs/>
          <w:kern w:val="0"/>
          <w:sz w:val="24"/>
          <w:szCs w:val="24"/>
          <w:highlight w:val="none"/>
          <w:u w:val="single"/>
          <w:lang w:val="en-US" w:eastAsia="zh-CN"/>
        </w:rPr>
        <w:t>广州市白云区中南部，纵六路以东、棠安路以西，汇桥北路以北。</w:t>
      </w:r>
    </w:p>
    <w:p w14:paraId="79DEB0CA">
      <w:pPr>
        <w:adjustRightInd/>
        <w:snapToGrid/>
        <w:spacing w:line="360" w:lineRule="auto"/>
        <w:ind w:firstLine="566" w:firstLineChars="236"/>
        <w:rPr>
          <w:rFonts w:hint="eastAsia" w:ascii="宋体" w:cs="宋体"/>
          <w:color w:val="auto"/>
          <w:sz w:val="24"/>
          <w:szCs w:val="24"/>
          <w:highlight w:val="none"/>
          <w:u w:val="single"/>
        </w:rPr>
      </w:pPr>
      <w:r>
        <w:rPr>
          <w:rFonts w:hint="eastAsia" w:ascii="宋体" w:hAnsi="宋体"/>
          <w:color w:val="auto"/>
          <w:sz w:val="24"/>
          <w:szCs w:val="24"/>
          <w:highlight w:val="none"/>
        </w:rPr>
        <w:t>2.1.3工程建设规模：</w:t>
      </w:r>
    </w:p>
    <w:p w14:paraId="742E3BE9">
      <w:pPr>
        <w:tabs>
          <w:tab w:val="left" w:pos="7513"/>
        </w:tabs>
        <w:adjustRightInd w:val="0"/>
        <w:snapToGrid w:val="0"/>
        <w:spacing w:line="360" w:lineRule="auto"/>
        <w:ind w:firstLine="480" w:firstLineChars="200"/>
        <w:rPr>
          <w:rFonts w:hint="eastAsia" w:ascii="宋体" w:cs="宋体"/>
          <w:color w:val="auto"/>
          <w:sz w:val="24"/>
          <w:szCs w:val="24"/>
          <w:highlight w:val="none"/>
          <w:u w:val="single"/>
          <w:lang w:eastAsia="zh-CN"/>
        </w:rPr>
      </w:pPr>
      <w:r>
        <w:rPr>
          <w:rFonts w:hint="eastAsia" w:ascii="宋体" w:cs="宋体"/>
          <w:color w:val="auto"/>
          <w:sz w:val="24"/>
          <w:szCs w:val="24"/>
          <w:highlight w:val="none"/>
          <w:u w:val="single"/>
        </w:rPr>
        <w:t>项目建设内容为对地块（AB2801021地块）用地红线范围内的安置房、公共服务配套设施等房屋建筑工程及附属配套（配建）工程。安置房总用地面积约20468平方米，总建筑面积约151166平方米，其中计容建筑面积约108480平方米，不计容建筑面积约42686平方米。（最终建设规模及指标以控规批复方案为准）</w:t>
      </w:r>
    </w:p>
    <w:p w14:paraId="6CFEAB3E">
      <w:pPr>
        <w:tabs>
          <w:tab w:val="left" w:pos="7513"/>
        </w:tabs>
        <w:adjustRightInd w:val="0"/>
        <w:snapToGrid w:val="0"/>
        <w:spacing w:line="360" w:lineRule="auto"/>
        <w:ind w:firstLine="480" w:firstLineChars="200"/>
        <w:rPr>
          <w:rFonts w:hint="eastAsia" w:ascii="宋体" w:cs="宋体"/>
          <w:color w:val="auto"/>
          <w:sz w:val="24"/>
          <w:szCs w:val="24"/>
          <w:highlight w:val="none"/>
          <w:u w:val="single"/>
          <w:lang w:eastAsia="zh-CN"/>
        </w:rPr>
      </w:pPr>
      <w:r>
        <w:rPr>
          <w:rFonts w:hint="eastAsia" w:ascii="宋体" w:cs="宋体"/>
          <w:color w:val="auto"/>
          <w:sz w:val="24"/>
          <w:szCs w:val="24"/>
          <w:highlight w:val="none"/>
          <w:u w:val="single"/>
          <w:lang w:eastAsia="zh-CN"/>
        </w:rPr>
        <w:t>广州市白云区棠涌村城中村改造项目首开区安置地块及安置区配套道路项目可研批复总投资197205.71万元，其中本项目总投资约</w:t>
      </w:r>
      <w:r>
        <w:rPr>
          <w:rFonts w:hint="eastAsia" w:ascii="宋体" w:cs="宋体"/>
          <w:color w:val="auto"/>
          <w:sz w:val="24"/>
          <w:szCs w:val="24"/>
          <w:highlight w:val="none"/>
          <w:u w:val="single"/>
          <w:lang w:val="en-US" w:eastAsia="zh-CN"/>
        </w:rPr>
        <w:t>125242.39</w:t>
      </w:r>
      <w:r>
        <w:rPr>
          <w:rFonts w:hint="eastAsia" w:ascii="宋体" w:cs="宋体"/>
          <w:color w:val="auto"/>
          <w:sz w:val="24"/>
          <w:szCs w:val="24"/>
          <w:highlight w:val="none"/>
          <w:u w:val="single"/>
          <w:lang w:eastAsia="zh-CN"/>
        </w:rPr>
        <w:t>万元。</w:t>
      </w:r>
    </w:p>
    <w:p w14:paraId="1E7B6D8B">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2.2招标范围：</w:t>
      </w:r>
    </w:p>
    <w:p w14:paraId="0F833EDE">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2.2.1标段划分：</w:t>
      </w:r>
      <w:r>
        <w:rPr>
          <w:rFonts w:hint="eastAsia" w:ascii="宋体" w:hAnsi="宋体"/>
          <w:color w:val="auto"/>
          <w:sz w:val="24"/>
          <w:szCs w:val="24"/>
          <w:highlight w:val="none"/>
          <w:u w:val="single"/>
        </w:rPr>
        <w:t>本项目设1个标段。</w:t>
      </w:r>
    </w:p>
    <w:p w14:paraId="06533AF7">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2.2.2招标内容：</w:t>
      </w:r>
      <w:r>
        <w:rPr>
          <w:rFonts w:hint="eastAsia" w:ascii="宋体" w:hAnsi="宋体"/>
          <w:color w:val="auto"/>
          <w:sz w:val="24"/>
          <w:szCs w:val="24"/>
          <w:highlight w:val="none"/>
          <w:u w:val="single"/>
        </w:rPr>
        <w:t>包括但不限于以下内容：</w:t>
      </w:r>
      <w:r>
        <w:rPr>
          <w:rFonts w:hint="eastAsia" w:ascii="宋体" w:hAnsi="宋体"/>
          <w:color w:val="auto"/>
          <w:sz w:val="24"/>
          <w:highlight w:val="none"/>
          <w:u w:val="single"/>
        </w:rPr>
        <w:t>项目勘察、设计、监理、施工、招标、采购、验收、移交、保修等项目实施过程管理及建设管理服务过程中各种手续的报审工作。从初步设计文件开始至项目竣工验收、竣工结算、移交和保修期结束之日止的建设全过程建设管理服务统筹管理，包括在项目决策阶段，组织设计优化和招标工作；在项目实施阶段，进行设计管理、招标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其他内容详见委托人要求和服务合同）</w:t>
      </w:r>
      <w:r>
        <w:rPr>
          <w:rFonts w:hint="eastAsia" w:ascii="宋体" w:hAnsi="宋体"/>
          <w:color w:val="auto"/>
          <w:sz w:val="24"/>
          <w:szCs w:val="24"/>
          <w:highlight w:val="none"/>
          <w:u w:val="single"/>
        </w:rPr>
        <w:t>。</w:t>
      </w:r>
    </w:p>
    <w:p w14:paraId="078C2265">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2.2.3项目建设管理服务期限：</w:t>
      </w:r>
      <w:r>
        <w:rPr>
          <w:rFonts w:hint="eastAsia" w:ascii="宋体" w:hAnsi="宋体" w:cs="宋体"/>
          <w:color w:val="auto"/>
          <w:sz w:val="24"/>
          <w:highlight w:val="none"/>
          <w:u w:val="single"/>
        </w:rPr>
        <w:t>自合同签订之日起至项目通过工程竣工验收及保修期结束止。</w:t>
      </w:r>
    </w:p>
    <w:p w14:paraId="31885A60">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2.2.4项目建设管理服务最高投标限价：</w:t>
      </w:r>
      <w:r>
        <w:rPr>
          <w:rFonts w:hint="eastAsia" w:ascii="宋体" w:hAnsi="宋体"/>
          <w:color w:val="auto"/>
          <w:sz w:val="24"/>
          <w:szCs w:val="24"/>
          <w:highlight w:val="none"/>
          <w:u w:val="single"/>
          <w:lang w:val="en-US" w:eastAsia="zh-CN"/>
        </w:rPr>
        <w:t>593.92</w:t>
      </w:r>
      <w:r>
        <w:rPr>
          <w:rFonts w:hint="eastAsia" w:ascii="宋体" w:hAnsi="宋体"/>
          <w:color w:val="auto"/>
          <w:sz w:val="24"/>
          <w:szCs w:val="24"/>
          <w:highlight w:val="none"/>
          <w:u w:val="single"/>
        </w:rPr>
        <w:t>万元</w:t>
      </w:r>
      <w:r>
        <w:rPr>
          <w:rFonts w:hint="eastAsia" w:ascii="宋体" w:hAnsi="宋体"/>
          <w:color w:val="auto"/>
          <w:sz w:val="24"/>
          <w:szCs w:val="24"/>
          <w:highlight w:val="none"/>
        </w:rPr>
        <w:t>。</w:t>
      </w:r>
    </w:p>
    <w:p w14:paraId="2BCC1071">
      <w:pPr>
        <w:jc w:val="left"/>
        <w:textAlignment w:val="center"/>
        <w:outlineLvl w:val="1"/>
        <w:rPr>
          <w:rFonts w:ascii="宋体" w:hAnsi="宋体"/>
          <w:b/>
          <w:bCs/>
          <w:color w:val="auto"/>
          <w:kern w:val="0"/>
          <w:sz w:val="36"/>
          <w:szCs w:val="32"/>
          <w:highlight w:val="none"/>
        </w:rPr>
      </w:pPr>
      <w:bookmarkStart w:id="7" w:name="_Toc511557027"/>
      <w:bookmarkStart w:id="8" w:name="_Toc529196506"/>
      <w:bookmarkStart w:id="9" w:name="_Toc535938697"/>
      <w:r>
        <w:rPr>
          <w:rFonts w:ascii="宋体" w:hAnsi="宋体"/>
          <w:b/>
          <w:bCs/>
          <w:color w:val="auto"/>
          <w:kern w:val="0"/>
          <w:sz w:val="36"/>
          <w:szCs w:val="32"/>
          <w:highlight w:val="none"/>
        </w:rPr>
        <w:t xml:space="preserve">3. </w:t>
      </w:r>
      <w:r>
        <w:rPr>
          <w:rFonts w:hint="eastAsia" w:ascii="宋体" w:hAnsi="宋体"/>
          <w:b/>
          <w:bCs/>
          <w:color w:val="auto"/>
          <w:kern w:val="0"/>
          <w:sz w:val="36"/>
          <w:szCs w:val="32"/>
          <w:highlight w:val="none"/>
        </w:rPr>
        <w:t>投标人资格要求</w:t>
      </w:r>
      <w:bookmarkEnd w:id="7"/>
      <w:bookmarkEnd w:id="8"/>
      <w:bookmarkEnd w:id="9"/>
    </w:p>
    <w:p w14:paraId="1120A69A">
      <w:pPr>
        <w:adjustRightInd w:val="0"/>
        <w:snapToGrid w:val="0"/>
        <w:spacing w:line="360" w:lineRule="auto"/>
        <w:ind w:firstLine="480" w:firstLineChars="200"/>
        <w:rPr>
          <w:rFonts w:ascii="宋体" w:hAnsi="宋体" w:cs="宋体"/>
          <w:color w:val="auto"/>
          <w:sz w:val="24"/>
          <w:szCs w:val="24"/>
          <w:highlight w:val="none"/>
        </w:rPr>
      </w:pPr>
      <w:bookmarkStart w:id="10" w:name="_Toc4310"/>
      <w:bookmarkStart w:id="11" w:name="_Toc6636"/>
      <w:r>
        <w:rPr>
          <w:rFonts w:hint="eastAsia" w:ascii="宋体" w:hAnsi="宋体" w:cs="宋体"/>
          <w:color w:val="auto"/>
          <w:sz w:val="24"/>
          <w:szCs w:val="24"/>
          <w:highlight w:val="none"/>
        </w:rPr>
        <w:t xml:space="preserve">3.1本次招标要求投标人须具备以下资质： </w:t>
      </w:r>
    </w:p>
    <w:p w14:paraId="0FF697F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3.1.1投标人参加投标的意思表达清楚，投标人代表被授权有效。</w:t>
      </w:r>
    </w:p>
    <w:p w14:paraId="46C5B0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投标人须是在中华人民共和国注册的独立法人，持有工商行政（市场监督）管理部门核发的法人营业执照或各级登记管理机关颁发的事业单位法人证书，按国家法律经营。</w:t>
      </w:r>
    </w:p>
    <w:p w14:paraId="11AC74B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根据《广东省住房和城乡建设厅关于印发香港工程建设咨询企业和专业人士在粤港澳大湾区内地城市开业执业试点管理暂行办法的通知》（粤建规范〔2020〕1号）的规定，香港企业参加投标的，须在广东省住房和城乡建设主管部门备案且备案业务满足招标资格要求的。</w:t>
      </w:r>
    </w:p>
    <w:p w14:paraId="7468D958">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
          <w:bCs/>
          <w:color w:val="auto"/>
          <w:sz w:val="24"/>
          <w:szCs w:val="24"/>
          <w:highlight w:val="none"/>
        </w:rPr>
        <w:t>拟担任本项目</w:t>
      </w:r>
      <w:r>
        <w:rPr>
          <w:rFonts w:hint="eastAsia" w:ascii="宋体" w:hAnsi="宋体" w:cs="宋体"/>
          <w:b/>
          <w:bCs/>
          <w:color w:val="auto"/>
          <w:sz w:val="24"/>
          <w:szCs w:val="24"/>
          <w:highlight w:val="none"/>
          <w:lang w:val="en-US" w:eastAsia="zh-CN"/>
        </w:rPr>
        <w:t>的</w:t>
      </w:r>
      <w:r>
        <w:rPr>
          <w:rFonts w:hint="eastAsia" w:ascii="宋体" w:hAnsi="宋体" w:cs="宋体"/>
          <w:b/>
          <w:bCs/>
          <w:color w:val="auto"/>
          <w:sz w:val="24"/>
          <w:szCs w:val="24"/>
          <w:highlight w:val="none"/>
        </w:rPr>
        <w:t>项目负责人需符合以下任意一种要求：</w:t>
      </w:r>
    </w:p>
    <w:p w14:paraId="2EF6A1F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具有工程类相关专业中级或以上职称、注册监理工程师、一级注册建造师、一级注册建筑师、一级注册结构工程师、咨询工程师（投资）、一级注册造价工程师的任意一种证书。</w:t>
      </w:r>
    </w:p>
    <w:p w14:paraId="6B8C671A">
      <w:pPr>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需提供身份证、相关证书证明资料、由社保机构出具的近一个月（即2025年0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月）在投标人单位缴纳的社保证明。</w:t>
      </w:r>
      <w:r>
        <w:rPr>
          <w:rFonts w:hint="eastAsia" w:ascii="宋体" w:hAnsi="宋体"/>
          <w:color w:val="auto"/>
          <w:sz w:val="24"/>
          <w:szCs w:val="24"/>
          <w:highlight w:val="none"/>
        </w:rPr>
        <w:t>如为咨询工程师（投资）的，需提供在本单位进行执业登记的登记证书。</w:t>
      </w:r>
      <w:r>
        <w:rPr>
          <w:rFonts w:hint="eastAsia" w:ascii="宋体" w:hAnsi="宋体" w:cs="宋体"/>
          <w:color w:val="auto"/>
          <w:sz w:val="24"/>
          <w:szCs w:val="24"/>
          <w:highlight w:val="none"/>
        </w:rPr>
        <w:t>原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14:paraId="29B114A9">
      <w:pPr>
        <w:ind w:firstLine="480" w:firstLineChars="200"/>
        <w:rPr>
          <w:rFonts w:ascii="宋体"/>
          <w:b/>
          <w:bCs/>
          <w:color w:val="auto"/>
          <w:kern w:val="0"/>
          <w:sz w:val="20"/>
          <w:szCs w:val="20"/>
          <w:highlight w:val="none"/>
        </w:rPr>
      </w:pPr>
      <w:r>
        <w:rPr>
          <w:rFonts w:hint="eastAsia" w:ascii="宋体" w:hAnsi="宋体" w:cs="宋体"/>
          <w:color w:val="auto"/>
          <w:kern w:val="0"/>
          <w:sz w:val="24"/>
          <w:szCs w:val="24"/>
          <w:highlight w:val="none"/>
        </w:rPr>
        <w:t>3.3</w:t>
      </w:r>
      <w:r>
        <w:rPr>
          <w:rFonts w:hint="eastAsia"/>
          <w:b/>
          <w:bCs/>
          <w:color w:val="auto"/>
          <w:kern w:val="0"/>
          <w:sz w:val="24"/>
          <w:szCs w:val="24"/>
          <w:highlight w:val="none"/>
        </w:rPr>
        <w:t>其他要求：</w:t>
      </w:r>
    </w:p>
    <w:p w14:paraId="479F9886">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（1）</w:t>
      </w:r>
      <w:r>
        <w:rPr>
          <w:rFonts w:hint="eastAsia" w:ascii="宋体" w:hAnsi="宋体" w:cs="楷体"/>
          <w:color w:val="auto"/>
          <w:kern w:val="0"/>
          <w:sz w:val="24"/>
          <w:highlight w:val="none"/>
        </w:rPr>
        <w:t>本次招标不接受联合体投标。</w:t>
      </w:r>
    </w:p>
    <w:p w14:paraId="10CEEA65">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szCs w:val="24"/>
          <w:highlight w:val="none"/>
        </w:rPr>
        <w:t>投标人在广州交易集团有限公司（广州公共资源交易中心）企业库已办理企业信息登记</w:t>
      </w:r>
      <w:r>
        <w:rPr>
          <w:rFonts w:hint="eastAsia" w:ascii="宋体" w:hAnsi="宋体" w:cs="楷体"/>
          <w:color w:val="auto"/>
          <w:kern w:val="0"/>
          <w:sz w:val="24"/>
          <w:highlight w:val="none"/>
        </w:rPr>
        <w:t>。</w:t>
      </w:r>
    </w:p>
    <w:p w14:paraId="0A81D578">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（3）</w:t>
      </w:r>
      <w:r>
        <w:rPr>
          <w:rFonts w:hint="eastAsia" w:ascii="宋体" w:hAnsi="宋体" w:cs="楷体"/>
          <w:color w:val="auto"/>
          <w:kern w:val="0"/>
          <w:sz w:val="24"/>
          <w:highlight w:val="none"/>
        </w:rPr>
        <w:t>投标人已按照招标文件要求的格式签署盖章的《投标人声明》（格式见招标公告附件1）。</w:t>
      </w:r>
    </w:p>
    <w:p w14:paraId="0B3625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未出现以下情形：与其它投标人的单位负责人为同一人或者存在控股、管理关系的。如不同投标申请人出现单位负责人为同一人或者存在控股、管理关系的情形，则相关投标均无效。（按投标人提供的《投标人声明》进行评审）</w:t>
      </w:r>
    </w:p>
    <w:p w14:paraId="033FAF51">
      <w:pPr>
        <w:pStyle w:val="3"/>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（5）投标人未被列入拖欠农民工工资失信联合惩戒对象名单和失信被执行人。（注：本项投标人无需提供资料，按</w:t>
      </w:r>
      <w:r>
        <w:rPr>
          <w:rFonts w:hint="eastAsia" w:ascii="宋体" w:hAnsi="宋体" w:cs="宋体"/>
          <w:color w:val="auto"/>
          <w:sz w:val="24"/>
          <w:highlight w:val="none"/>
          <w:u w:val="single"/>
          <w:lang w:val="en-US" w:eastAsia="zh-CN"/>
        </w:rPr>
        <w:t>投标截止时间</w:t>
      </w:r>
      <w:r>
        <w:rPr>
          <w:rFonts w:hint="eastAsia" w:ascii="宋体" w:hAnsi="宋体" w:cs="宋体"/>
          <w:color w:val="auto"/>
          <w:sz w:val="24"/>
          <w:highlight w:val="none"/>
          <w:u w:val="single"/>
        </w:rPr>
        <w:t>广州公共资源交易系统比对的结果进行评审）。</w:t>
      </w:r>
    </w:p>
    <w:p w14:paraId="3655DE24">
      <w:pPr>
        <w:spacing w:line="360" w:lineRule="auto"/>
        <w:ind w:firstLine="480" w:firstLineChars="200"/>
        <w:rPr>
          <w:rFonts w:ascii="宋体" w:hAnsi="宋体" w:cs="楷体"/>
          <w:color w:val="auto"/>
          <w:kern w:val="0"/>
          <w:sz w:val="24"/>
          <w:highlight w:val="none"/>
        </w:rPr>
      </w:pPr>
      <w:r>
        <w:rPr>
          <w:rFonts w:hint="eastAsia" w:ascii="宋体" w:hAnsi="宋体" w:cs="楷体"/>
          <w:color w:val="auto"/>
          <w:kern w:val="0"/>
          <w:sz w:val="24"/>
          <w:highlight w:val="none"/>
        </w:rPr>
        <w:t>注：未在招标公告第3条单列的投标人资格要求条件，不作为资审不合格的依据。</w:t>
      </w:r>
    </w:p>
    <w:p w14:paraId="1839510D">
      <w:pPr>
        <w:spacing w:line="360" w:lineRule="auto"/>
        <w:ind w:firstLine="480" w:firstLineChars="200"/>
        <w:rPr>
          <w:rFonts w:ascii="宋体" w:hAnsi="宋体" w:cs="楷体"/>
          <w:color w:val="auto"/>
          <w:kern w:val="0"/>
          <w:sz w:val="24"/>
          <w:highlight w:val="none"/>
        </w:rPr>
      </w:pPr>
    </w:p>
    <w:bookmarkEnd w:id="10"/>
    <w:bookmarkEnd w:id="11"/>
    <w:p w14:paraId="3E619E50">
      <w:pPr>
        <w:spacing w:after="156" w:afterLines="50"/>
        <w:jc w:val="left"/>
        <w:textAlignment w:val="center"/>
        <w:outlineLvl w:val="1"/>
        <w:rPr>
          <w:rFonts w:ascii="宋体" w:hAnsi="宋体"/>
          <w:b/>
          <w:bCs/>
          <w:color w:val="auto"/>
          <w:kern w:val="0"/>
          <w:sz w:val="36"/>
          <w:szCs w:val="32"/>
          <w:highlight w:val="none"/>
        </w:rPr>
      </w:pPr>
      <w:bookmarkStart w:id="12" w:name="_Toc535938698"/>
      <w:bookmarkStart w:id="13" w:name="_Toc529196507"/>
      <w:bookmarkStart w:id="14" w:name="_Toc511557028"/>
      <w:r>
        <w:rPr>
          <w:rFonts w:ascii="宋体" w:hAnsi="宋体"/>
          <w:b/>
          <w:bCs/>
          <w:color w:val="auto"/>
          <w:kern w:val="0"/>
          <w:sz w:val="36"/>
          <w:szCs w:val="32"/>
          <w:highlight w:val="none"/>
        </w:rPr>
        <w:t xml:space="preserve">4. </w:t>
      </w:r>
      <w:bookmarkEnd w:id="12"/>
      <w:r>
        <w:rPr>
          <w:rFonts w:hint="eastAsia" w:ascii="宋体" w:hAnsi="宋体"/>
          <w:b/>
          <w:bCs/>
          <w:color w:val="auto"/>
          <w:kern w:val="0"/>
          <w:sz w:val="36"/>
          <w:szCs w:val="32"/>
          <w:highlight w:val="none"/>
        </w:rPr>
        <w:t>招标文件的获取</w:t>
      </w:r>
    </w:p>
    <w:p w14:paraId="13B83AE5">
      <w:pPr>
        <w:wordWrap w:val="0"/>
        <w:spacing w:line="360" w:lineRule="auto"/>
        <w:ind w:firstLine="480" w:firstLineChars="200"/>
        <w:rPr>
          <w:rFonts w:ascii="宋体" w:hAnsi="宋体"/>
          <w:color w:val="auto"/>
          <w:sz w:val="24"/>
          <w:szCs w:val="24"/>
          <w:highlight w:val="none"/>
        </w:rPr>
      </w:pPr>
      <w:bookmarkStart w:id="15" w:name="_Toc535938699"/>
      <w:r>
        <w:rPr>
          <w:rFonts w:hint="eastAsia" w:ascii="宋体" w:hAnsi="宋体"/>
          <w:color w:val="auto"/>
          <w:sz w:val="24"/>
          <w:szCs w:val="24"/>
          <w:highlight w:val="none"/>
        </w:rPr>
        <w:t>4.1 凡有意参加投标者，请于</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分(北京时间，下同)，登录广州交易集团有限公司（广州交易集团有限公司（广州公共资源交易中心））网站（http://www.gzggzy.cn）（电子招标投标交易平台）下载电子招标文件</w:t>
      </w:r>
      <w:r>
        <w:rPr>
          <w:rFonts w:hint="eastAsia" w:ascii="宋体" w:hAnsi="宋体"/>
          <w:color w:val="auto"/>
          <w:sz w:val="24"/>
          <w:szCs w:val="24"/>
          <w:highlight w:val="none"/>
          <w:u w:val="single"/>
        </w:rPr>
        <w:t>及相关资料</w:t>
      </w:r>
      <w:r>
        <w:rPr>
          <w:rFonts w:hint="eastAsia" w:ascii="宋体" w:hAnsi="宋体"/>
          <w:color w:val="auto"/>
          <w:sz w:val="24"/>
          <w:szCs w:val="24"/>
          <w:highlight w:val="none"/>
        </w:rPr>
        <w:t>。</w:t>
      </w:r>
    </w:p>
    <w:p w14:paraId="5A38FD17">
      <w:pPr>
        <w:wordWrap w:val="0"/>
        <w:spacing w:line="360" w:lineRule="auto"/>
        <w:ind w:firstLine="480" w:firstLineChars="200"/>
        <w:rPr>
          <w:rFonts w:ascii="宋体" w:hAnsi="宋体"/>
          <w:color w:val="auto"/>
          <w:sz w:val="24"/>
          <w:szCs w:val="24"/>
          <w:highlight w:val="none"/>
          <w:u w:val="single"/>
        </w:rPr>
      </w:pPr>
      <w:r>
        <w:rPr>
          <w:rFonts w:hint="eastAsia" w:ascii="宋体" w:cs="宋体"/>
          <w:color w:val="auto"/>
          <w:sz w:val="24"/>
          <w:szCs w:val="24"/>
          <w:highlight w:val="none"/>
        </w:rPr>
        <w:t xml:space="preserve">4.2 </w:t>
      </w:r>
      <w:r>
        <w:rPr>
          <w:rFonts w:hint="eastAsia" w:ascii="宋体" w:hAnsi="宋体"/>
          <w:color w:val="auto"/>
          <w:sz w:val="24"/>
          <w:szCs w:val="24"/>
          <w:highlight w:val="none"/>
          <w:u w:val="single"/>
        </w:rPr>
        <w:t>本项目采用资格后审方式。</w:t>
      </w:r>
    </w:p>
    <w:p w14:paraId="71EB0EB3">
      <w:pPr>
        <w:spacing w:after="156"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5. </w:t>
      </w:r>
      <w:r>
        <w:rPr>
          <w:rFonts w:hint="eastAsia" w:ascii="宋体" w:hAnsi="宋体"/>
          <w:b/>
          <w:bCs/>
          <w:color w:val="auto"/>
          <w:kern w:val="0"/>
          <w:sz w:val="36"/>
          <w:szCs w:val="32"/>
          <w:highlight w:val="none"/>
        </w:rPr>
        <w:t>发布招标公告、递交投标文件时间、开标时间</w:t>
      </w:r>
      <w:bookmarkEnd w:id="15"/>
    </w:p>
    <w:p w14:paraId="10609C7A">
      <w:pPr>
        <w:wordWrap w:val="0"/>
        <w:spacing w:line="360" w:lineRule="auto"/>
        <w:ind w:firstLine="480" w:firstLineChars="200"/>
        <w:rPr>
          <w:rFonts w:ascii="宋体" w:cs="宋体"/>
          <w:color w:val="auto"/>
          <w:sz w:val="24"/>
          <w:szCs w:val="24"/>
          <w:highlight w:val="none"/>
        </w:rPr>
      </w:pPr>
      <w:r>
        <w:rPr>
          <w:rFonts w:hint="eastAsia" w:ascii="宋体" w:hAnsi="宋体"/>
          <w:color w:val="auto"/>
          <w:sz w:val="24"/>
          <w:szCs w:val="24"/>
          <w:highlight w:val="none"/>
        </w:rPr>
        <w:t>5.1</w:t>
      </w:r>
      <w:r>
        <w:rPr>
          <w:rFonts w:hint="eastAsia" w:ascii="宋体" w:cs="宋体"/>
          <w:color w:val="auto"/>
          <w:sz w:val="24"/>
          <w:szCs w:val="24"/>
          <w:highlight w:val="none"/>
        </w:rPr>
        <w:t>发布招标公告时间（含本日）：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cs="宋体"/>
          <w:color w:val="auto"/>
          <w:sz w:val="24"/>
          <w:szCs w:val="24"/>
          <w:highlight w:val="none"/>
        </w:rPr>
        <w:t>。</w:t>
      </w:r>
    </w:p>
    <w:p w14:paraId="02892F83">
      <w:pPr>
        <w:snapToGrid w:val="0"/>
        <w:spacing w:line="360" w:lineRule="auto"/>
        <w:ind w:firstLine="480" w:firstLineChars="200"/>
        <w:rPr>
          <w:rFonts w:ascii="宋体" w:hAnsi="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u w:val="single"/>
        </w:rPr>
        <w:t>本公告发布之日起开始发布招标文件，发布招标公告的时间为招标公告发出之日起至递交投标文件截止时间止,并从招标公告发布之日起开始计算备标时间。</w:t>
      </w:r>
      <w:r>
        <w:rPr>
          <w:rFonts w:hint="eastAsia" w:ascii="宋体" w:hAnsi="宋体"/>
          <w:color w:val="auto"/>
          <w:sz w:val="24"/>
          <w:szCs w:val="24"/>
          <w:highlight w:val="none"/>
        </w:rPr>
        <w:t xml:space="preserve"> </w:t>
      </w:r>
    </w:p>
    <w:p w14:paraId="2BF9870F">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5.2投标文件递交的截止时间（投标截止时间，下同）为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分，投标人应在截止时间前通过广州交易集团有限公司（广州公共资源交易中心）数字交易平台（http://www.gzggzy.cn）递交电子投标文件。</w:t>
      </w:r>
      <w:r>
        <w:rPr>
          <w:rFonts w:hint="eastAsia" w:ascii="宋体" w:hAnsi="宋体"/>
          <w:color w:val="auto"/>
          <w:sz w:val="24"/>
          <w:szCs w:val="24"/>
          <w:highlight w:val="none"/>
          <w:u w:val="single"/>
        </w:rPr>
        <w:t>投标人应在递交投标文件截止时间前，登录广州交易集团有限公司（广州公共资源交易中心）网站交易平台网站办理网上投标登记手续。按照交易平台关于全流程电子化项目的相关指南进行操作。详见：广州交易集团有限公司（广州公共资源交易中心）网站首页-服务指南。</w:t>
      </w:r>
    </w:p>
    <w:p w14:paraId="0F6FFC83">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5.3递交备用投标文件电子光盘的规定：时间为：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分；地点：广州交易集团有限公司（广州公共资源交易中心）第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开标室。（电子光盘需按规定封装。投标人将数据刻录到光盘之后，投标前自行检查文件是否可以读取。）</w:t>
      </w:r>
    </w:p>
    <w:p w14:paraId="7A6C725D">
      <w:pPr>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5.4逾期送达的投标文件，电子招标投标交易平台将予以拒收。</w:t>
      </w:r>
      <w:r>
        <w:rPr>
          <w:rFonts w:hint="eastAsia" w:ascii="宋体" w:hAnsi="宋体"/>
          <w:color w:val="auto"/>
          <w:sz w:val="24"/>
          <w:szCs w:val="24"/>
          <w:highlight w:val="none"/>
          <w:u w:val="single"/>
        </w:rPr>
        <w:t>逾期未上传成功的电子投标文件，招标人拒绝接收。逾期或未在指定地点递交投标文件光盘的,招标人拒绝接收其投标文件光盘。</w:t>
      </w:r>
    </w:p>
    <w:p w14:paraId="0B7FF6CD">
      <w:pPr>
        <w:snapToGrid w:val="0"/>
        <w:spacing w:line="360" w:lineRule="auto"/>
        <w:ind w:firstLine="480" w:firstLineChars="200"/>
        <w:rPr>
          <w:rFonts w:hAnsi="宋体"/>
          <w:color w:val="auto"/>
          <w:sz w:val="24"/>
          <w:szCs w:val="24"/>
          <w:highlight w:val="none"/>
          <w:u w:val="single"/>
        </w:rPr>
      </w:pPr>
      <w:r>
        <w:rPr>
          <w:rFonts w:hint="eastAsia" w:ascii="宋体" w:hAnsi="宋体"/>
          <w:color w:val="auto"/>
          <w:sz w:val="24"/>
          <w:szCs w:val="24"/>
          <w:highlight w:val="none"/>
        </w:rPr>
        <w:t>5.5</w:t>
      </w:r>
      <w:r>
        <w:rPr>
          <w:rFonts w:hint="eastAsia" w:hAnsi="宋体"/>
          <w:color w:val="auto"/>
          <w:sz w:val="24"/>
          <w:szCs w:val="24"/>
          <w:highlight w:val="none"/>
          <w:u w:val="single"/>
        </w:rPr>
        <w:t>开标时间：</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年  月  日   时   分。地点：广州交易集团有限公司（广州公共资源交易中心）第   开标室。</w:t>
      </w:r>
    </w:p>
    <w:p w14:paraId="697BC5DB">
      <w:pPr>
        <w:pStyle w:val="4"/>
        <w:rPr>
          <w:color w:val="auto"/>
          <w:highlight w:val="none"/>
        </w:rPr>
      </w:pPr>
    </w:p>
    <w:p w14:paraId="54C95A17">
      <w:pPr>
        <w:spacing w:after="156" w:afterLines="50"/>
        <w:jc w:val="left"/>
        <w:textAlignment w:val="center"/>
        <w:outlineLvl w:val="1"/>
        <w:rPr>
          <w:rFonts w:ascii="宋体" w:hAnsi="宋体"/>
          <w:b/>
          <w:bCs/>
          <w:color w:val="auto"/>
          <w:kern w:val="0"/>
          <w:sz w:val="36"/>
          <w:szCs w:val="32"/>
          <w:highlight w:val="none"/>
        </w:rPr>
      </w:pPr>
      <w:bookmarkStart w:id="16" w:name="_Toc535938700"/>
      <w:r>
        <w:rPr>
          <w:rFonts w:ascii="宋体" w:hAnsi="宋体"/>
          <w:b/>
          <w:bCs/>
          <w:color w:val="auto"/>
          <w:kern w:val="0"/>
          <w:sz w:val="36"/>
          <w:szCs w:val="32"/>
          <w:highlight w:val="none"/>
        </w:rPr>
        <w:t>6.</w:t>
      </w:r>
      <w:bookmarkEnd w:id="16"/>
      <w:bookmarkStart w:id="17" w:name="_Toc535938701"/>
      <w:r>
        <w:rPr>
          <w:rFonts w:hint="eastAsia" w:ascii="宋体" w:hAnsi="宋体"/>
          <w:b/>
          <w:bCs/>
          <w:color w:val="auto"/>
          <w:kern w:val="0"/>
          <w:sz w:val="36"/>
          <w:szCs w:val="32"/>
          <w:highlight w:val="none"/>
        </w:rPr>
        <w:t>发布公告的媒介</w:t>
      </w:r>
      <w:bookmarkEnd w:id="17"/>
    </w:p>
    <w:p w14:paraId="54BE92E9">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本次招标公告同时在</w:t>
      </w:r>
      <w:r>
        <w:rPr>
          <w:rFonts w:hint="eastAsia" w:ascii="宋体" w:hAnsi="宋体"/>
          <w:color w:val="auto"/>
          <w:sz w:val="24"/>
          <w:szCs w:val="24"/>
          <w:highlight w:val="none"/>
          <w:u w:val="single"/>
        </w:rPr>
        <w:t>广州交易集团有限公司（广州公共资源交易中心）网（网址：http://www.gzggzy.cn）、中国招标投标公共服务平台（网址：http://www.cebpubservice.com/）、广东省招标投标监管网(网址：</w:t>
      </w:r>
      <w:r>
        <w:rPr>
          <w:rFonts w:ascii="宋体" w:hAnsi="宋体"/>
          <w:color w:val="auto"/>
          <w:sz w:val="24"/>
          <w:szCs w:val="24"/>
          <w:highlight w:val="none"/>
          <w:u w:val="single"/>
        </w:rPr>
        <w:t>http://zbtb.gd.gov.cn/login</w:t>
      </w:r>
      <w:r>
        <w:rPr>
          <w:rFonts w:hint="eastAsia" w:ascii="宋体" w:hAnsi="宋体"/>
          <w:color w:val="auto"/>
          <w:sz w:val="24"/>
          <w:szCs w:val="24"/>
          <w:highlight w:val="none"/>
          <w:u w:val="single"/>
        </w:rPr>
        <w:t>)</w:t>
      </w:r>
      <w:r>
        <w:rPr>
          <w:rFonts w:hint="eastAsia" w:ascii="宋体" w:hAnsi="宋体"/>
          <w:color w:val="auto"/>
          <w:sz w:val="24"/>
          <w:szCs w:val="24"/>
          <w:highlight w:val="none"/>
        </w:rPr>
        <w:t>发布，本公告的修改、补充，在广州交易集团有限公司（广州公共资源交易中心）网发布。本公告在各媒体发布的文本如有不同之处，以在广州交易集团有限公司（广州公共资源交易中心）网发布的文本为准。</w:t>
      </w:r>
    </w:p>
    <w:bookmarkEnd w:id="13"/>
    <w:bookmarkEnd w:id="14"/>
    <w:p w14:paraId="5D5E1B6A">
      <w:pPr>
        <w:numPr>
          <w:ilvl w:val="0"/>
          <w:numId w:val="1"/>
        </w:numPr>
        <w:spacing w:after="156" w:afterLines="50"/>
        <w:jc w:val="left"/>
        <w:textAlignment w:val="center"/>
        <w:outlineLvl w:val="1"/>
        <w:rPr>
          <w:rFonts w:ascii="宋体" w:hAnsi="宋体"/>
          <w:b/>
          <w:bCs/>
          <w:color w:val="auto"/>
          <w:kern w:val="0"/>
          <w:sz w:val="36"/>
          <w:szCs w:val="32"/>
          <w:highlight w:val="none"/>
        </w:rPr>
      </w:pPr>
      <w:bookmarkStart w:id="18" w:name="_Toc535938702"/>
      <w:bookmarkStart w:id="19" w:name="_Toc529196510"/>
      <w:bookmarkStart w:id="20" w:name="_Toc511557031"/>
      <w:bookmarkStart w:id="21" w:name="_Toc516170523"/>
      <w:bookmarkStart w:id="22" w:name="_Toc152042290"/>
      <w:bookmarkStart w:id="23" w:name="_Toc152045514"/>
      <w:bookmarkStart w:id="24" w:name="_Toc361508564"/>
      <w:bookmarkStart w:id="25" w:name="_Toc2312"/>
      <w:bookmarkStart w:id="26" w:name="_Toc369531499"/>
      <w:bookmarkStart w:id="27" w:name="_Toc144974482"/>
      <w:bookmarkStart w:id="28" w:name="_Toc300834931"/>
      <w:bookmarkStart w:id="29" w:name="_Toc247527537"/>
      <w:bookmarkStart w:id="30" w:name="_Toc247513936"/>
      <w:bookmarkStart w:id="31" w:name="_Toc384308189"/>
      <w:bookmarkStart w:id="32" w:name="_Toc352691457"/>
      <w:r>
        <w:rPr>
          <w:rFonts w:hint="eastAsia" w:ascii="宋体" w:hAnsi="宋体"/>
          <w:b/>
          <w:bCs/>
          <w:color w:val="auto"/>
          <w:kern w:val="0"/>
          <w:sz w:val="36"/>
          <w:szCs w:val="32"/>
          <w:highlight w:val="none"/>
        </w:rPr>
        <w:t>其他</w:t>
      </w:r>
    </w:p>
    <w:p w14:paraId="27101A55">
      <w:pPr>
        <w:pStyle w:val="4"/>
        <w:spacing w:line="360" w:lineRule="auto"/>
        <w:ind w:firstLine="480" w:firstLineChars="200"/>
        <w:rPr>
          <w:color w:val="auto"/>
          <w:sz w:val="24"/>
          <w:szCs w:val="24"/>
          <w:highlight w:val="none"/>
        </w:rPr>
      </w:pPr>
      <w:r>
        <w:rPr>
          <w:rFonts w:hint="eastAsia"/>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9348B62">
      <w:pPr>
        <w:pStyle w:val="4"/>
        <w:spacing w:line="360" w:lineRule="auto"/>
        <w:ind w:firstLine="480" w:firstLineChars="200"/>
        <w:rPr>
          <w:color w:val="auto"/>
          <w:sz w:val="24"/>
          <w:szCs w:val="24"/>
          <w:highlight w:val="none"/>
        </w:rPr>
      </w:pPr>
      <w:r>
        <w:rPr>
          <w:rFonts w:hint="eastAsia"/>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081F2C40">
      <w:pPr>
        <w:pStyle w:val="4"/>
        <w:spacing w:line="360" w:lineRule="auto"/>
        <w:ind w:firstLine="480" w:firstLineChars="200"/>
        <w:rPr>
          <w:color w:val="auto"/>
          <w:highlight w:val="none"/>
        </w:rPr>
      </w:pPr>
      <w:r>
        <w:rPr>
          <w:rFonts w:hint="eastAsia" w:hAnsi="宋体" w:cs="宋体"/>
          <w:color w:val="auto"/>
          <w:sz w:val="24"/>
          <w:szCs w:val="24"/>
          <w:highlight w:val="none"/>
        </w:rPr>
        <w:t>投标人准备和参加投标活动发生的费用自理，中标人支付广州交易集团有限公司（广州公共资源交易中心）交易服务费。</w:t>
      </w:r>
    </w:p>
    <w:p w14:paraId="17562F0C">
      <w:pPr>
        <w:pStyle w:val="4"/>
        <w:spacing w:line="360" w:lineRule="auto"/>
        <w:ind w:firstLine="480" w:firstLineChars="200"/>
        <w:rPr>
          <w:color w:val="auto"/>
          <w:sz w:val="24"/>
          <w:szCs w:val="24"/>
          <w:highlight w:val="none"/>
        </w:rPr>
      </w:pPr>
    </w:p>
    <w:p w14:paraId="2F9A303E">
      <w:pPr>
        <w:spacing w:after="156" w:afterLines="50"/>
        <w:jc w:val="left"/>
        <w:textAlignment w:val="center"/>
        <w:outlineLvl w:val="1"/>
        <w:rPr>
          <w:rFonts w:ascii="宋体" w:hAnsi="宋体"/>
          <w:b/>
          <w:bCs/>
          <w:color w:val="auto"/>
          <w:kern w:val="0"/>
          <w:sz w:val="36"/>
          <w:szCs w:val="32"/>
          <w:highlight w:val="none"/>
        </w:rPr>
      </w:pPr>
      <w:r>
        <w:rPr>
          <w:rFonts w:hint="eastAsia" w:ascii="宋体" w:hAnsi="宋体"/>
          <w:b/>
          <w:bCs/>
          <w:color w:val="auto"/>
          <w:kern w:val="0"/>
          <w:sz w:val="36"/>
          <w:szCs w:val="32"/>
          <w:highlight w:val="none"/>
        </w:rPr>
        <w:t>8.联系方式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624A9A23">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广州白云棠涌置地有限公司</w:t>
      </w:r>
    </w:p>
    <w:p w14:paraId="552F9F10">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lang w:eastAsia="zh-CN"/>
        </w:rPr>
        <w:t>广州市白云区齐富路88号C栋1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楼</w:t>
      </w:r>
    </w:p>
    <w:p w14:paraId="0A281E2D">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黄工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19927525591</w:t>
      </w:r>
    </w:p>
    <w:p w14:paraId="400EBADF">
      <w:pPr>
        <w:pStyle w:val="4"/>
        <w:ind w:firstLine="420" w:firstLineChars="200"/>
        <w:rPr>
          <w:color w:val="auto"/>
          <w:highlight w:val="none"/>
        </w:rPr>
      </w:pPr>
    </w:p>
    <w:p w14:paraId="2CF2B63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25F061CB">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rPr>
        <w:t>广州市白云区齐富路8</w:t>
      </w:r>
      <w:r>
        <w:rPr>
          <w:rFonts w:ascii="宋体" w:hAnsi="宋体" w:cs="宋体"/>
          <w:color w:val="auto"/>
          <w:sz w:val="24"/>
          <w:highlight w:val="none"/>
          <w:u w:val="single"/>
        </w:rPr>
        <w:t>8</w:t>
      </w:r>
      <w:r>
        <w:rPr>
          <w:rFonts w:hint="eastAsia" w:ascii="宋体" w:hAnsi="宋体" w:cs="宋体"/>
          <w:color w:val="auto"/>
          <w:sz w:val="24"/>
          <w:highlight w:val="none"/>
          <w:u w:val="single"/>
        </w:rPr>
        <w:t>号</w:t>
      </w:r>
      <w:r>
        <w:rPr>
          <w:rFonts w:ascii="宋体" w:hAnsi="宋体" w:cs="宋体"/>
          <w:color w:val="auto"/>
          <w:sz w:val="24"/>
          <w:highlight w:val="none"/>
          <w:u w:val="single"/>
        </w:rPr>
        <w:t>C</w:t>
      </w:r>
      <w:r>
        <w:rPr>
          <w:rFonts w:hint="eastAsia" w:ascii="宋体" w:hAnsi="宋体" w:cs="宋体"/>
          <w:color w:val="auto"/>
          <w:sz w:val="24"/>
          <w:highlight w:val="none"/>
          <w:u w:val="single"/>
        </w:rPr>
        <w:t>座5-6楼</w:t>
      </w:r>
    </w:p>
    <w:p w14:paraId="6A341391">
      <w:pPr>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szCs w:val="24"/>
          <w:highlight w:val="none"/>
          <w:u w:val="single"/>
          <w:lang w:val="en-US" w:eastAsia="zh-CN"/>
        </w:rPr>
        <w:t>蔡工、肖工</w:t>
      </w:r>
      <w:r>
        <w:rPr>
          <w:rFonts w:hint="eastAsia" w:ascii="宋体" w:hAnsi="宋体" w:cs="宋体"/>
          <w:color w:val="auto"/>
          <w:sz w:val="24"/>
          <w:highlight w:val="none"/>
        </w:rPr>
        <w:t xml:space="preserve">    联系电话：</w:t>
      </w:r>
      <w:r>
        <w:rPr>
          <w:rFonts w:ascii="宋体" w:hAnsi="宋体"/>
          <w:color w:val="auto"/>
          <w:sz w:val="24"/>
          <w:highlight w:val="none"/>
          <w:u w:val="single"/>
        </w:rPr>
        <w:t>020-35622940</w:t>
      </w:r>
    </w:p>
    <w:p w14:paraId="19CDEA00">
      <w:pPr>
        <w:snapToGrid w:val="0"/>
        <w:spacing w:line="360" w:lineRule="auto"/>
        <w:ind w:firstLine="480" w:firstLineChars="200"/>
        <w:rPr>
          <w:rFonts w:ascii="宋体" w:hAnsi="宋体" w:cs="宋体"/>
          <w:color w:val="auto"/>
          <w:sz w:val="24"/>
          <w:highlight w:val="none"/>
        </w:rPr>
      </w:pPr>
    </w:p>
    <w:p w14:paraId="70838571">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广州白云棠涌置地有限公司</w:t>
      </w:r>
    </w:p>
    <w:p w14:paraId="7C9176CA">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lang w:eastAsia="zh-CN"/>
        </w:rPr>
        <w:t>广州市白云区齐富路88号C栋1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楼</w:t>
      </w:r>
    </w:p>
    <w:p w14:paraId="2ABD71DE">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黄工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19927525591</w:t>
      </w:r>
    </w:p>
    <w:p w14:paraId="7611E78A">
      <w:pPr>
        <w:snapToGrid w:val="0"/>
        <w:spacing w:line="360" w:lineRule="auto"/>
        <w:ind w:firstLine="480" w:firstLineChars="200"/>
        <w:rPr>
          <w:rFonts w:ascii="宋体" w:hAnsi="宋体" w:cs="宋体"/>
          <w:color w:val="auto"/>
          <w:sz w:val="24"/>
          <w:highlight w:val="none"/>
        </w:rPr>
      </w:pPr>
    </w:p>
    <w:p w14:paraId="57BA10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6C7E822">
      <w:pPr>
        <w:pStyle w:val="4"/>
        <w:rPr>
          <w:color w:val="auto"/>
          <w:highlight w:val="none"/>
        </w:rPr>
      </w:pPr>
    </w:p>
    <w:p w14:paraId="31A38614">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lang w:eastAsia="zh-CN"/>
        </w:rPr>
        <w:t>广州白云棠涌置地有限公司</w:t>
      </w:r>
    </w:p>
    <w:p w14:paraId="265946EC">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广州市白云区齐富路88号C栋1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楼</w:t>
      </w:r>
    </w:p>
    <w:p w14:paraId="1153D767">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黄工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19927525591</w:t>
      </w:r>
    </w:p>
    <w:p w14:paraId="5070743F">
      <w:pPr>
        <w:pStyle w:val="4"/>
        <w:rPr>
          <w:rFonts w:hAnsi="宋体" w:cs="宋体"/>
          <w:color w:val="auto"/>
          <w:kern w:val="0"/>
          <w:highlight w:val="none"/>
        </w:rPr>
      </w:pPr>
    </w:p>
    <w:p w14:paraId="74FB8990">
      <w:pPr>
        <w:pageBreakBefore/>
        <w:widowControl/>
        <w:adjustRightInd w:val="0"/>
        <w:snapToGrid w:val="0"/>
        <w:spacing w:line="360" w:lineRule="auto"/>
        <w:outlineLvl w:val="1"/>
        <w:rPr>
          <w:rFonts w:ascii="宋体" w:hAnsi="宋体" w:cs="宋体"/>
          <w:b/>
          <w:color w:val="auto"/>
          <w:kern w:val="0"/>
          <w:sz w:val="28"/>
          <w:szCs w:val="28"/>
          <w:highlight w:val="none"/>
        </w:rPr>
      </w:pPr>
      <w:bookmarkStart w:id="33" w:name="_Toc535938704"/>
      <w:r>
        <w:rPr>
          <w:rFonts w:hint="eastAsia" w:ascii="宋体" w:hAnsi="宋体" w:cs="宋体"/>
          <w:b/>
          <w:color w:val="auto"/>
          <w:kern w:val="0"/>
          <w:sz w:val="28"/>
          <w:szCs w:val="28"/>
          <w:highlight w:val="none"/>
        </w:rPr>
        <w:t>附件一</w:t>
      </w:r>
      <w:r>
        <w:rPr>
          <w:rFonts w:ascii="宋体" w:hAnsi="宋体" w:cs="宋体"/>
          <w:b/>
          <w:color w:val="auto"/>
          <w:kern w:val="0"/>
          <w:sz w:val="28"/>
          <w:szCs w:val="28"/>
          <w:highlight w:val="none"/>
        </w:rPr>
        <w:t>：</w:t>
      </w:r>
      <w:r>
        <w:rPr>
          <w:rFonts w:hint="eastAsia" w:ascii="宋体" w:hAnsi="宋体" w:cs="宋体"/>
          <w:b/>
          <w:color w:val="auto"/>
          <w:kern w:val="0"/>
          <w:sz w:val="28"/>
          <w:szCs w:val="28"/>
          <w:highlight w:val="none"/>
        </w:rPr>
        <w:t>投标人声明</w:t>
      </w:r>
    </w:p>
    <w:p w14:paraId="7F1E4989">
      <w:pPr>
        <w:widowControl/>
        <w:snapToGrid w:val="0"/>
        <w:jc w:val="center"/>
        <w:rPr>
          <w:rFonts w:ascii="宋体" w:hAnsi="宋体" w:cs="宋体"/>
          <w:b/>
          <w:bCs/>
          <w:color w:val="auto"/>
          <w:kern w:val="0"/>
          <w:sz w:val="32"/>
          <w:szCs w:val="28"/>
          <w:highlight w:val="none"/>
        </w:rPr>
      </w:pPr>
      <w:r>
        <w:rPr>
          <w:rFonts w:hint="eastAsia" w:ascii="宋体" w:hAnsi="宋体" w:cs="宋体"/>
          <w:b/>
          <w:bCs/>
          <w:color w:val="auto"/>
          <w:kern w:val="0"/>
          <w:sz w:val="32"/>
          <w:szCs w:val="28"/>
          <w:highlight w:val="none"/>
        </w:rPr>
        <w:t>投标人声明</w:t>
      </w:r>
    </w:p>
    <w:p w14:paraId="4F382AFA">
      <w:pPr>
        <w:pStyle w:val="4"/>
        <w:rPr>
          <w:color w:val="auto"/>
          <w:highlight w:val="none"/>
        </w:rPr>
      </w:pPr>
    </w:p>
    <w:p w14:paraId="02B7A296">
      <w:pPr>
        <w:adjustRightInd w:val="0"/>
        <w:snapToGrid w:val="0"/>
        <w:spacing w:line="312" w:lineRule="auto"/>
        <w:jc w:val="left"/>
        <w:rPr>
          <w:rFonts w:ascii="宋体" w:hAnsi="宋体"/>
          <w:color w:val="auto"/>
          <w:sz w:val="22"/>
          <w:szCs w:val="24"/>
          <w:highlight w:val="none"/>
        </w:rPr>
      </w:pPr>
      <w:r>
        <w:rPr>
          <w:rFonts w:hint="eastAsia" w:ascii="宋体" w:hAnsi="宋体"/>
          <w:color w:val="auto"/>
          <w:sz w:val="22"/>
          <w:szCs w:val="24"/>
          <w:highlight w:val="none"/>
          <w:lang w:eastAsia="zh-CN"/>
        </w:rPr>
        <w:t>广州白云棠涌置地有限公司</w:t>
      </w:r>
      <w:r>
        <w:rPr>
          <w:rFonts w:hint="eastAsia" w:ascii="宋体" w:hAnsi="宋体"/>
          <w:color w:val="auto"/>
          <w:sz w:val="22"/>
          <w:szCs w:val="24"/>
          <w:highlight w:val="none"/>
        </w:rPr>
        <w:t>：</w:t>
      </w:r>
    </w:p>
    <w:p w14:paraId="0237A4BB">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本公司就参加</w:t>
      </w:r>
      <w:r>
        <w:rPr>
          <w:rFonts w:hint="eastAsia" w:ascii="宋体" w:hAnsi="宋体"/>
          <w:color w:val="auto"/>
          <w:sz w:val="22"/>
          <w:szCs w:val="24"/>
          <w:highlight w:val="none"/>
          <w:u w:val="single"/>
        </w:rPr>
        <w:t xml:space="preserve">              </w:t>
      </w:r>
      <w:r>
        <w:rPr>
          <w:rFonts w:hint="eastAsia" w:ascii="宋体" w:hAnsi="宋体"/>
          <w:color w:val="auto"/>
          <w:sz w:val="22"/>
          <w:szCs w:val="24"/>
          <w:highlight w:val="none"/>
        </w:rPr>
        <w:t>投标工作，作出郑重声明：</w:t>
      </w:r>
    </w:p>
    <w:p w14:paraId="787DB741">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一、本公司保证投标登记材料及其后提供的一切材料都是真实的。</w:t>
      </w:r>
      <w:r>
        <w:rPr>
          <w:rFonts w:hint="eastAsia" w:ascii="宋体" w:hAnsi="宋体"/>
          <w:b/>
          <w:bCs/>
          <w:color w:val="auto"/>
          <w:sz w:val="22"/>
          <w:szCs w:val="24"/>
          <w:highlight w:val="none"/>
        </w:rPr>
        <w:t>如我司成为本项目中标候选人，我司同意并授权招标人将我司投标文件商务部分的人员、业绩、奖项等资料进行公开。</w:t>
      </w:r>
    </w:p>
    <w:p w14:paraId="6A00D9F8">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二、本公司承诺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D8FC232">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14:paraId="114BB91D">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三、本公司不存在招标文件第二章投标人须知第1.4.3项所规定的任何一种情形。</w:t>
      </w:r>
    </w:p>
    <w:p w14:paraId="7A4C334C">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四、本公司及其有隶属关系的机构，没有参加本项目招标文件的编写工作；本公司与本次招标的招标代理机构没有隶属关系或其他利害关系；</w:t>
      </w:r>
      <w:r>
        <w:rPr>
          <w:rFonts w:hint="eastAsia" w:ascii="宋体" w:hAnsi="宋体"/>
          <w:b/>
          <w:color w:val="auto"/>
          <w:sz w:val="22"/>
          <w:szCs w:val="24"/>
          <w:highlight w:val="none"/>
        </w:rPr>
        <w:t>本公司与本工程的承包单位以及建筑材料、建筑构配件和设备供应单位没有隶属关系或其他利害关系。</w:t>
      </w:r>
    </w:p>
    <w:p w14:paraId="77F2861B">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五、本公司承诺，中标后严格执行安全生产相关管理规定。</w:t>
      </w:r>
    </w:p>
    <w:p w14:paraId="73BF1321">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六、本公司承诺，如我司中标，我司将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14:paraId="283B4E35">
      <w:pPr>
        <w:adjustRightInd w:val="0"/>
        <w:snapToGrid w:val="0"/>
        <w:spacing w:line="312" w:lineRule="auto"/>
        <w:ind w:firstLine="629"/>
        <w:rPr>
          <w:rFonts w:ascii="宋体" w:hAnsi="宋体"/>
          <w:b/>
          <w:color w:val="auto"/>
          <w:kern w:val="0"/>
          <w:sz w:val="22"/>
          <w:szCs w:val="24"/>
          <w:highlight w:val="none"/>
        </w:rPr>
      </w:pPr>
      <w:r>
        <w:rPr>
          <w:rFonts w:hint="eastAsia" w:ascii="宋体" w:hAnsi="宋体"/>
          <w:b/>
          <w:color w:val="auto"/>
          <w:kern w:val="0"/>
          <w:sz w:val="22"/>
          <w:szCs w:val="24"/>
          <w:highlight w:val="none"/>
        </w:rPr>
        <w:t>七、与本公司单位负责人为同一人或者与本公司存在控股、管理关系的其他单位包括：</w:t>
      </w:r>
      <w:r>
        <w:rPr>
          <w:rFonts w:hint="eastAsia" w:ascii="宋体" w:hAnsi="宋体"/>
          <w:b/>
          <w:color w:val="auto"/>
          <w:kern w:val="0"/>
          <w:sz w:val="22"/>
          <w:szCs w:val="24"/>
          <w:highlight w:val="none"/>
          <w:u w:val="single"/>
        </w:rPr>
        <w:t xml:space="preserve">                       </w:t>
      </w:r>
      <w:r>
        <w:rPr>
          <w:rFonts w:hint="eastAsia" w:ascii="宋体" w:hAnsi="宋体"/>
          <w:b/>
          <w:color w:val="auto"/>
          <w:kern w:val="0"/>
          <w:sz w:val="22"/>
          <w:szCs w:val="24"/>
          <w:highlight w:val="none"/>
        </w:rPr>
        <w:t>。（注：本条由投标人如实填写，如有，应列出全部满足招标公告资质要求的相关单位的名称；如无，则填写“无”。）</w:t>
      </w:r>
    </w:p>
    <w:p w14:paraId="62339CC0">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特此声明。</w:t>
      </w:r>
    </w:p>
    <w:p w14:paraId="32505D08">
      <w:pPr>
        <w:pStyle w:val="4"/>
        <w:adjustRightInd w:val="0"/>
        <w:snapToGrid w:val="0"/>
        <w:spacing w:line="312" w:lineRule="auto"/>
        <w:jc w:val="left"/>
        <w:rPr>
          <w:rFonts w:hAnsi="宋体"/>
          <w:color w:val="auto"/>
          <w:sz w:val="22"/>
          <w:szCs w:val="24"/>
          <w:highlight w:val="none"/>
        </w:rPr>
      </w:pPr>
    </w:p>
    <w:p w14:paraId="7853989B">
      <w:pPr>
        <w:pStyle w:val="4"/>
        <w:rPr>
          <w:color w:val="auto"/>
          <w:sz w:val="20"/>
          <w:highlight w:val="none"/>
        </w:rPr>
      </w:pPr>
    </w:p>
    <w:p w14:paraId="1F26F82B">
      <w:pPr>
        <w:adjustRightInd w:val="0"/>
        <w:snapToGrid w:val="0"/>
        <w:spacing w:line="312" w:lineRule="auto"/>
        <w:ind w:firstLine="4006" w:firstLineChars="1821"/>
        <w:rPr>
          <w:rFonts w:ascii="宋体" w:hAnsi="宋体" w:cs="宋体"/>
          <w:color w:val="auto"/>
          <w:sz w:val="22"/>
          <w:szCs w:val="24"/>
          <w:highlight w:val="none"/>
        </w:rPr>
      </w:pPr>
      <w:r>
        <w:rPr>
          <w:rFonts w:hint="eastAsia" w:ascii="宋体" w:hAnsi="宋体" w:cs="宋体"/>
          <w:color w:val="auto"/>
          <w:sz w:val="22"/>
          <w:szCs w:val="24"/>
          <w:highlight w:val="none"/>
        </w:rPr>
        <w:t>声明企业：</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(企业公章)</w:t>
      </w:r>
    </w:p>
    <w:p w14:paraId="3D23C168">
      <w:pPr>
        <w:adjustRightInd w:val="0"/>
        <w:snapToGrid w:val="0"/>
        <w:spacing w:line="312" w:lineRule="auto"/>
        <w:ind w:firstLine="4006" w:firstLineChars="1821"/>
        <w:rPr>
          <w:rFonts w:ascii="宋体" w:hAnsi="宋体" w:cs="宋体"/>
          <w:color w:val="auto"/>
          <w:sz w:val="22"/>
          <w:szCs w:val="24"/>
          <w:highlight w:val="none"/>
        </w:rPr>
      </w:pPr>
      <w:r>
        <w:rPr>
          <w:rFonts w:hint="eastAsia" w:ascii="宋体" w:hAnsi="宋体" w:cs="宋体"/>
          <w:color w:val="auto"/>
          <w:sz w:val="22"/>
          <w:szCs w:val="24"/>
          <w:highlight w:val="none"/>
        </w:rPr>
        <w:t>项目负责人（签名</w:t>
      </w:r>
      <w:r>
        <w:rPr>
          <w:rFonts w:hint="eastAsia" w:ascii="宋体" w:hAnsi="宋体"/>
          <w:color w:val="auto"/>
          <w:spacing w:val="18"/>
          <w:sz w:val="22"/>
          <w:szCs w:val="24"/>
          <w:highlight w:val="none"/>
        </w:rPr>
        <w:t>或盖章</w:t>
      </w:r>
      <w:r>
        <w:rPr>
          <w:rFonts w:hint="eastAsia" w:ascii="宋体" w:hAnsi="宋体" w:cs="宋体"/>
          <w:color w:val="auto"/>
          <w:sz w:val="22"/>
          <w:szCs w:val="24"/>
          <w:highlight w:val="none"/>
        </w:rPr>
        <w:t>）：</w:t>
      </w:r>
    </w:p>
    <w:p w14:paraId="279F1B2C">
      <w:pPr>
        <w:adjustRightInd w:val="0"/>
        <w:snapToGrid w:val="0"/>
        <w:spacing w:line="312" w:lineRule="auto"/>
        <w:ind w:firstLine="4006" w:firstLineChars="1821"/>
        <w:rPr>
          <w:rFonts w:ascii="宋体" w:hAnsi="宋体" w:cs="宋体"/>
          <w:color w:val="auto"/>
          <w:sz w:val="22"/>
          <w:szCs w:val="24"/>
          <w:highlight w:val="none"/>
        </w:rPr>
      </w:pPr>
      <w:r>
        <w:rPr>
          <w:rFonts w:hint="eastAsia" w:ascii="宋体" w:hAnsi="宋体" w:cs="宋体"/>
          <w:color w:val="auto"/>
          <w:sz w:val="22"/>
          <w:szCs w:val="24"/>
          <w:highlight w:val="none"/>
        </w:rPr>
        <w:t>年   月   日</w:t>
      </w:r>
      <w:bookmarkEnd w:id="33"/>
    </w:p>
    <w:sectPr>
      <w:footerReference r:id="rId6" w:type="default"/>
      <w:pgSz w:w="11906" w:h="16838"/>
      <w:pgMar w:top="1440" w:right="1134" w:bottom="1440"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66C6">
    <w:pPr>
      <w:pStyle w:val="6"/>
      <w:jc w:val="center"/>
    </w:pPr>
    <w:r>
      <w:fldChar w:fldCharType="begin"/>
    </w:r>
    <w:r>
      <w:instrText xml:space="preserve">PAGE   \* MERGEFORMAT</w:instrText>
    </w:r>
    <w:r>
      <w:fldChar w:fldCharType="separate"/>
    </w:r>
    <w:r>
      <w:rPr>
        <w:lang w:val="zh-CN"/>
      </w:rPr>
      <w:t>5</w:t>
    </w:r>
    <w:r>
      <w:fldChar w:fldCharType="end"/>
    </w:r>
  </w:p>
  <w:p w14:paraId="39E4E8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127F">
    <w:pPr>
      <w:pStyle w:val="6"/>
      <w:jc w:val="center"/>
    </w:pPr>
  </w:p>
  <w:p w14:paraId="41666D2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B95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59FA">
    <w:pPr>
      <w:pStyle w:val="6"/>
      <w:jc w:val="center"/>
    </w:pPr>
    <w:r>
      <w:fldChar w:fldCharType="begin"/>
    </w:r>
    <w:r>
      <w:instrText xml:space="preserve">PAGE   \* MERGEFORMAT</w:instrText>
    </w:r>
    <w:r>
      <w:fldChar w:fldCharType="separate"/>
    </w:r>
    <w:r>
      <w:rPr>
        <w:lang w:val="zh-CN"/>
      </w:rPr>
      <w:t>5</w:t>
    </w:r>
    <w:r>
      <w:fldChar w:fldCharType="end"/>
    </w:r>
  </w:p>
  <w:p w14:paraId="3253AED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00C5B"/>
    <w:multiLevelType w:val="singleLevel"/>
    <w:tmpl w:val="5B700C5B"/>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NTI0MDk3Nzk1YTIyOGQwNjkyZDBiN2I5ZjRjYTMifQ=="/>
  </w:docVars>
  <w:rsids>
    <w:rsidRoot w:val="00880AD3"/>
    <w:rsid w:val="00016CB0"/>
    <w:rsid w:val="000215F5"/>
    <w:rsid w:val="0005322B"/>
    <w:rsid w:val="00082E21"/>
    <w:rsid w:val="00092236"/>
    <w:rsid w:val="000A5373"/>
    <w:rsid w:val="000D176B"/>
    <w:rsid w:val="000D1826"/>
    <w:rsid w:val="000E4A6E"/>
    <w:rsid w:val="000E6981"/>
    <w:rsid w:val="000F0204"/>
    <w:rsid w:val="000F307F"/>
    <w:rsid w:val="000F6E76"/>
    <w:rsid w:val="001102BB"/>
    <w:rsid w:val="001165C8"/>
    <w:rsid w:val="0012197B"/>
    <w:rsid w:val="00132BC4"/>
    <w:rsid w:val="00141A5B"/>
    <w:rsid w:val="00143185"/>
    <w:rsid w:val="001564CE"/>
    <w:rsid w:val="0019179B"/>
    <w:rsid w:val="001A29AC"/>
    <w:rsid w:val="001C07DA"/>
    <w:rsid w:val="001C3DE9"/>
    <w:rsid w:val="001C7B2B"/>
    <w:rsid w:val="001D77FE"/>
    <w:rsid w:val="001E6C5E"/>
    <w:rsid w:val="001F07DD"/>
    <w:rsid w:val="002122C4"/>
    <w:rsid w:val="00220976"/>
    <w:rsid w:val="0022227F"/>
    <w:rsid w:val="00223A49"/>
    <w:rsid w:val="00227DC9"/>
    <w:rsid w:val="00240BC5"/>
    <w:rsid w:val="002416A6"/>
    <w:rsid w:val="0024532B"/>
    <w:rsid w:val="002453B5"/>
    <w:rsid w:val="00252972"/>
    <w:rsid w:val="002726B2"/>
    <w:rsid w:val="0027351E"/>
    <w:rsid w:val="0028252E"/>
    <w:rsid w:val="00295942"/>
    <w:rsid w:val="002C6B64"/>
    <w:rsid w:val="002D36E6"/>
    <w:rsid w:val="003113D4"/>
    <w:rsid w:val="00314D6B"/>
    <w:rsid w:val="00340B91"/>
    <w:rsid w:val="00341695"/>
    <w:rsid w:val="0034253D"/>
    <w:rsid w:val="00344F47"/>
    <w:rsid w:val="00346D8D"/>
    <w:rsid w:val="00347851"/>
    <w:rsid w:val="00355DC8"/>
    <w:rsid w:val="00366916"/>
    <w:rsid w:val="00375141"/>
    <w:rsid w:val="00375217"/>
    <w:rsid w:val="00377196"/>
    <w:rsid w:val="00385368"/>
    <w:rsid w:val="00393A36"/>
    <w:rsid w:val="00393B2C"/>
    <w:rsid w:val="003A289D"/>
    <w:rsid w:val="003C3055"/>
    <w:rsid w:val="00401C2A"/>
    <w:rsid w:val="004031B9"/>
    <w:rsid w:val="00406BAD"/>
    <w:rsid w:val="00413683"/>
    <w:rsid w:val="004409A3"/>
    <w:rsid w:val="004456B9"/>
    <w:rsid w:val="00461E78"/>
    <w:rsid w:val="00465AB4"/>
    <w:rsid w:val="00475BF0"/>
    <w:rsid w:val="004B123D"/>
    <w:rsid w:val="004B551A"/>
    <w:rsid w:val="004C5FC8"/>
    <w:rsid w:val="004D0E2F"/>
    <w:rsid w:val="00503AD5"/>
    <w:rsid w:val="00503C8F"/>
    <w:rsid w:val="00525F21"/>
    <w:rsid w:val="00531D47"/>
    <w:rsid w:val="005341C1"/>
    <w:rsid w:val="00547022"/>
    <w:rsid w:val="00556F94"/>
    <w:rsid w:val="005719D3"/>
    <w:rsid w:val="00582F21"/>
    <w:rsid w:val="00584FC5"/>
    <w:rsid w:val="005908F1"/>
    <w:rsid w:val="005A1D65"/>
    <w:rsid w:val="005A66D7"/>
    <w:rsid w:val="005B1805"/>
    <w:rsid w:val="005C537F"/>
    <w:rsid w:val="005D0B1D"/>
    <w:rsid w:val="005E2B5F"/>
    <w:rsid w:val="005E3C95"/>
    <w:rsid w:val="005E6240"/>
    <w:rsid w:val="005F1EF1"/>
    <w:rsid w:val="005F7018"/>
    <w:rsid w:val="005F7295"/>
    <w:rsid w:val="00613B6F"/>
    <w:rsid w:val="006267EA"/>
    <w:rsid w:val="006418FB"/>
    <w:rsid w:val="00644AB6"/>
    <w:rsid w:val="00646F08"/>
    <w:rsid w:val="00667BDD"/>
    <w:rsid w:val="006713F8"/>
    <w:rsid w:val="00671C45"/>
    <w:rsid w:val="00676AB4"/>
    <w:rsid w:val="00690EED"/>
    <w:rsid w:val="006D21FB"/>
    <w:rsid w:val="006E0DB3"/>
    <w:rsid w:val="006F2238"/>
    <w:rsid w:val="006F2890"/>
    <w:rsid w:val="006F337A"/>
    <w:rsid w:val="0071269C"/>
    <w:rsid w:val="007172E4"/>
    <w:rsid w:val="00722E6C"/>
    <w:rsid w:val="0073363A"/>
    <w:rsid w:val="00735F6C"/>
    <w:rsid w:val="00741611"/>
    <w:rsid w:val="00743AB4"/>
    <w:rsid w:val="00766928"/>
    <w:rsid w:val="00792EA9"/>
    <w:rsid w:val="007970B3"/>
    <w:rsid w:val="007C0D19"/>
    <w:rsid w:val="007C6DE5"/>
    <w:rsid w:val="007E0A22"/>
    <w:rsid w:val="007F1727"/>
    <w:rsid w:val="008119E9"/>
    <w:rsid w:val="00814089"/>
    <w:rsid w:val="00820F68"/>
    <w:rsid w:val="008417CA"/>
    <w:rsid w:val="008552A6"/>
    <w:rsid w:val="008620E8"/>
    <w:rsid w:val="00862C6E"/>
    <w:rsid w:val="008676BF"/>
    <w:rsid w:val="00870D95"/>
    <w:rsid w:val="00880AD3"/>
    <w:rsid w:val="008B33D1"/>
    <w:rsid w:val="008B5614"/>
    <w:rsid w:val="008C5F80"/>
    <w:rsid w:val="008D08A0"/>
    <w:rsid w:val="008D4B18"/>
    <w:rsid w:val="008D5F77"/>
    <w:rsid w:val="008E06B6"/>
    <w:rsid w:val="008E4828"/>
    <w:rsid w:val="008E695D"/>
    <w:rsid w:val="008F103A"/>
    <w:rsid w:val="008F2F47"/>
    <w:rsid w:val="008F39A9"/>
    <w:rsid w:val="009038A4"/>
    <w:rsid w:val="009055D9"/>
    <w:rsid w:val="009236D1"/>
    <w:rsid w:val="00954086"/>
    <w:rsid w:val="00960C68"/>
    <w:rsid w:val="00995C38"/>
    <w:rsid w:val="009A21E6"/>
    <w:rsid w:val="009B5144"/>
    <w:rsid w:val="009B7CBC"/>
    <w:rsid w:val="009D118E"/>
    <w:rsid w:val="009E36C9"/>
    <w:rsid w:val="009F7EFF"/>
    <w:rsid w:val="00A1476E"/>
    <w:rsid w:val="00A16BB8"/>
    <w:rsid w:val="00A172E6"/>
    <w:rsid w:val="00A27989"/>
    <w:rsid w:val="00A333B5"/>
    <w:rsid w:val="00A51025"/>
    <w:rsid w:val="00A73E95"/>
    <w:rsid w:val="00A87119"/>
    <w:rsid w:val="00A873D0"/>
    <w:rsid w:val="00AA0B8E"/>
    <w:rsid w:val="00AA3523"/>
    <w:rsid w:val="00AB7AED"/>
    <w:rsid w:val="00AC3376"/>
    <w:rsid w:val="00B066A9"/>
    <w:rsid w:val="00B148E5"/>
    <w:rsid w:val="00B3281E"/>
    <w:rsid w:val="00B3449A"/>
    <w:rsid w:val="00B37E12"/>
    <w:rsid w:val="00B47086"/>
    <w:rsid w:val="00BB3743"/>
    <w:rsid w:val="00BB38C2"/>
    <w:rsid w:val="00BB3AEB"/>
    <w:rsid w:val="00BC28A1"/>
    <w:rsid w:val="00BD4C2D"/>
    <w:rsid w:val="00BE017D"/>
    <w:rsid w:val="00BE0879"/>
    <w:rsid w:val="00C0100F"/>
    <w:rsid w:val="00C047EE"/>
    <w:rsid w:val="00C10D5D"/>
    <w:rsid w:val="00C11058"/>
    <w:rsid w:val="00C23C10"/>
    <w:rsid w:val="00C257C5"/>
    <w:rsid w:val="00C663D5"/>
    <w:rsid w:val="00C751A9"/>
    <w:rsid w:val="00CB1B8A"/>
    <w:rsid w:val="00CB78A2"/>
    <w:rsid w:val="00CC1748"/>
    <w:rsid w:val="00CC3FC1"/>
    <w:rsid w:val="00CD2346"/>
    <w:rsid w:val="00CD36FC"/>
    <w:rsid w:val="00CD50A6"/>
    <w:rsid w:val="00CD5529"/>
    <w:rsid w:val="00CD6BF8"/>
    <w:rsid w:val="00CE0B5C"/>
    <w:rsid w:val="00CF19EE"/>
    <w:rsid w:val="00D00083"/>
    <w:rsid w:val="00D01D71"/>
    <w:rsid w:val="00D16357"/>
    <w:rsid w:val="00D22B16"/>
    <w:rsid w:val="00D3120D"/>
    <w:rsid w:val="00D5505B"/>
    <w:rsid w:val="00D85FDC"/>
    <w:rsid w:val="00D912B3"/>
    <w:rsid w:val="00DB3ADE"/>
    <w:rsid w:val="00DC0ECF"/>
    <w:rsid w:val="00DC73B3"/>
    <w:rsid w:val="00DD2B62"/>
    <w:rsid w:val="00DD705A"/>
    <w:rsid w:val="00DE1E81"/>
    <w:rsid w:val="00DE2DE0"/>
    <w:rsid w:val="00E05D57"/>
    <w:rsid w:val="00E21F83"/>
    <w:rsid w:val="00E27DC7"/>
    <w:rsid w:val="00E334B9"/>
    <w:rsid w:val="00E37F34"/>
    <w:rsid w:val="00E410F0"/>
    <w:rsid w:val="00E41397"/>
    <w:rsid w:val="00E45FF0"/>
    <w:rsid w:val="00E56DE6"/>
    <w:rsid w:val="00E67AD1"/>
    <w:rsid w:val="00E67D10"/>
    <w:rsid w:val="00E71182"/>
    <w:rsid w:val="00E72DDE"/>
    <w:rsid w:val="00E92D96"/>
    <w:rsid w:val="00E93AB3"/>
    <w:rsid w:val="00E93E76"/>
    <w:rsid w:val="00EA1A94"/>
    <w:rsid w:val="00EA1C6B"/>
    <w:rsid w:val="00EB0672"/>
    <w:rsid w:val="00EB2E3F"/>
    <w:rsid w:val="00EB4EA6"/>
    <w:rsid w:val="00ED64A9"/>
    <w:rsid w:val="00EF7EE5"/>
    <w:rsid w:val="00F131B8"/>
    <w:rsid w:val="00F16834"/>
    <w:rsid w:val="00F31B6A"/>
    <w:rsid w:val="00F37C37"/>
    <w:rsid w:val="00F47739"/>
    <w:rsid w:val="00F50993"/>
    <w:rsid w:val="00F54B7F"/>
    <w:rsid w:val="00F60F21"/>
    <w:rsid w:val="00F62DEB"/>
    <w:rsid w:val="00F90BCB"/>
    <w:rsid w:val="00FA1C7A"/>
    <w:rsid w:val="00FB5A95"/>
    <w:rsid w:val="00FC1732"/>
    <w:rsid w:val="00FD1AC7"/>
    <w:rsid w:val="00FD6B1F"/>
    <w:rsid w:val="00FE038C"/>
    <w:rsid w:val="00FE6D99"/>
    <w:rsid w:val="00FE7CDB"/>
    <w:rsid w:val="00FF0EF2"/>
    <w:rsid w:val="00FF4615"/>
    <w:rsid w:val="01270860"/>
    <w:rsid w:val="018F791C"/>
    <w:rsid w:val="026F621C"/>
    <w:rsid w:val="029F2712"/>
    <w:rsid w:val="03531F64"/>
    <w:rsid w:val="03AD0608"/>
    <w:rsid w:val="03F60A1C"/>
    <w:rsid w:val="0488232E"/>
    <w:rsid w:val="049A215E"/>
    <w:rsid w:val="05D612B9"/>
    <w:rsid w:val="06152290"/>
    <w:rsid w:val="069A035E"/>
    <w:rsid w:val="07144B94"/>
    <w:rsid w:val="07391925"/>
    <w:rsid w:val="073C31C4"/>
    <w:rsid w:val="07C82CA9"/>
    <w:rsid w:val="085B00F6"/>
    <w:rsid w:val="089B6817"/>
    <w:rsid w:val="08A72B38"/>
    <w:rsid w:val="090E3FCC"/>
    <w:rsid w:val="09F604FD"/>
    <w:rsid w:val="0A1F69F1"/>
    <w:rsid w:val="0AE24082"/>
    <w:rsid w:val="0B6D4294"/>
    <w:rsid w:val="0B851754"/>
    <w:rsid w:val="0BF31D56"/>
    <w:rsid w:val="0BF76487"/>
    <w:rsid w:val="0C216E2C"/>
    <w:rsid w:val="0C8C24F7"/>
    <w:rsid w:val="0D4259DA"/>
    <w:rsid w:val="0EEE56EB"/>
    <w:rsid w:val="0F1A080B"/>
    <w:rsid w:val="10100615"/>
    <w:rsid w:val="10480E2B"/>
    <w:rsid w:val="10A67900"/>
    <w:rsid w:val="10EA63AC"/>
    <w:rsid w:val="10FB2603"/>
    <w:rsid w:val="113768E4"/>
    <w:rsid w:val="11874085"/>
    <w:rsid w:val="11BD3153"/>
    <w:rsid w:val="11E96B0E"/>
    <w:rsid w:val="12A14823"/>
    <w:rsid w:val="12A3059B"/>
    <w:rsid w:val="12AE7933"/>
    <w:rsid w:val="12CD13B7"/>
    <w:rsid w:val="131C20FB"/>
    <w:rsid w:val="134D5A08"/>
    <w:rsid w:val="13A3483D"/>
    <w:rsid w:val="13C95DDF"/>
    <w:rsid w:val="13E4235C"/>
    <w:rsid w:val="14593607"/>
    <w:rsid w:val="14CD18FF"/>
    <w:rsid w:val="153C324C"/>
    <w:rsid w:val="15B356F3"/>
    <w:rsid w:val="15C471A6"/>
    <w:rsid w:val="16DA4CC2"/>
    <w:rsid w:val="17455FEB"/>
    <w:rsid w:val="175B7696"/>
    <w:rsid w:val="18126522"/>
    <w:rsid w:val="18880AA4"/>
    <w:rsid w:val="18E92A80"/>
    <w:rsid w:val="19AF612F"/>
    <w:rsid w:val="19BC0030"/>
    <w:rsid w:val="1A215CED"/>
    <w:rsid w:val="1A5D700A"/>
    <w:rsid w:val="1B097E71"/>
    <w:rsid w:val="1C180317"/>
    <w:rsid w:val="1CB76590"/>
    <w:rsid w:val="1D3D76D5"/>
    <w:rsid w:val="1D5A2525"/>
    <w:rsid w:val="1E3F2939"/>
    <w:rsid w:val="1F09619B"/>
    <w:rsid w:val="1F4A1A29"/>
    <w:rsid w:val="1F5C3FAB"/>
    <w:rsid w:val="1F9901DB"/>
    <w:rsid w:val="1FA21868"/>
    <w:rsid w:val="1FF317C8"/>
    <w:rsid w:val="20AA662C"/>
    <w:rsid w:val="20B10D19"/>
    <w:rsid w:val="21505D92"/>
    <w:rsid w:val="21A227EC"/>
    <w:rsid w:val="22C618F0"/>
    <w:rsid w:val="233055EB"/>
    <w:rsid w:val="23720D54"/>
    <w:rsid w:val="238A01BC"/>
    <w:rsid w:val="23B90DDD"/>
    <w:rsid w:val="24020F4B"/>
    <w:rsid w:val="24B22790"/>
    <w:rsid w:val="259F1096"/>
    <w:rsid w:val="26414594"/>
    <w:rsid w:val="26B4104E"/>
    <w:rsid w:val="26F7661D"/>
    <w:rsid w:val="27860614"/>
    <w:rsid w:val="28187A8F"/>
    <w:rsid w:val="289C6AA9"/>
    <w:rsid w:val="29840223"/>
    <w:rsid w:val="2ABE3496"/>
    <w:rsid w:val="2B224FBA"/>
    <w:rsid w:val="2B2E2042"/>
    <w:rsid w:val="2B6A5CA2"/>
    <w:rsid w:val="2B7B4FA7"/>
    <w:rsid w:val="2BC233DF"/>
    <w:rsid w:val="2BD10984"/>
    <w:rsid w:val="2BE80CA8"/>
    <w:rsid w:val="2BFC38B4"/>
    <w:rsid w:val="2C0850B8"/>
    <w:rsid w:val="2C4B5E92"/>
    <w:rsid w:val="2C864A30"/>
    <w:rsid w:val="2C8E401A"/>
    <w:rsid w:val="2CDE2CCE"/>
    <w:rsid w:val="2D346567"/>
    <w:rsid w:val="2D593AFE"/>
    <w:rsid w:val="2F397228"/>
    <w:rsid w:val="30225D47"/>
    <w:rsid w:val="30942E90"/>
    <w:rsid w:val="313A1D06"/>
    <w:rsid w:val="31605A5F"/>
    <w:rsid w:val="31EA5447"/>
    <w:rsid w:val="31F369F1"/>
    <w:rsid w:val="33B92184"/>
    <w:rsid w:val="341B5D8B"/>
    <w:rsid w:val="34FD1935"/>
    <w:rsid w:val="352077E9"/>
    <w:rsid w:val="356029C0"/>
    <w:rsid w:val="356106C9"/>
    <w:rsid w:val="35EB1B84"/>
    <w:rsid w:val="366F2FCA"/>
    <w:rsid w:val="36A76A52"/>
    <w:rsid w:val="37D46847"/>
    <w:rsid w:val="39081C6C"/>
    <w:rsid w:val="3A1A4D37"/>
    <w:rsid w:val="3A2B6F44"/>
    <w:rsid w:val="3A4B2196"/>
    <w:rsid w:val="3A5202A1"/>
    <w:rsid w:val="3AA06FEA"/>
    <w:rsid w:val="3BE243F9"/>
    <w:rsid w:val="3BFC64A2"/>
    <w:rsid w:val="3C0E2679"/>
    <w:rsid w:val="3D3F68AD"/>
    <w:rsid w:val="3D52594B"/>
    <w:rsid w:val="3D826E7B"/>
    <w:rsid w:val="3DB90E7F"/>
    <w:rsid w:val="3DCA7D96"/>
    <w:rsid w:val="3DCC10B4"/>
    <w:rsid w:val="3E0E070F"/>
    <w:rsid w:val="3E704F26"/>
    <w:rsid w:val="3F0729F8"/>
    <w:rsid w:val="402423F4"/>
    <w:rsid w:val="40A5054C"/>
    <w:rsid w:val="413E57AF"/>
    <w:rsid w:val="422C5607"/>
    <w:rsid w:val="428A2EEA"/>
    <w:rsid w:val="42E61C5A"/>
    <w:rsid w:val="43DF1CBA"/>
    <w:rsid w:val="450D5951"/>
    <w:rsid w:val="45735FE7"/>
    <w:rsid w:val="46C93D6D"/>
    <w:rsid w:val="47355C48"/>
    <w:rsid w:val="47CD6BD8"/>
    <w:rsid w:val="4832149E"/>
    <w:rsid w:val="48BF5427"/>
    <w:rsid w:val="48C53DB8"/>
    <w:rsid w:val="49280D62"/>
    <w:rsid w:val="49523BA5"/>
    <w:rsid w:val="4A003601"/>
    <w:rsid w:val="4A155ED7"/>
    <w:rsid w:val="4A3B288C"/>
    <w:rsid w:val="4AE96E06"/>
    <w:rsid w:val="4BDF13D5"/>
    <w:rsid w:val="4C387D4B"/>
    <w:rsid w:val="4CAF1121"/>
    <w:rsid w:val="4CC6266A"/>
    <w:rsid w:val="4D6C2F10"/>
    <w:rsid w:val="4DB614F5"/>
    <w:rsid w:val="4EC015B1"/>
    <w:rsid w:val="4ECB28D1"/>
    <w:rsid w:val="4FF05EC6"/>
    <w:rsid w:val="4FFC486B"/>
    <w:rsid w:val="50004556"/>
    <w:rsid w:val="50B0492B"/>
    <w:rsid w:val="50C52C21"/>
    <w:rsid w:val="50EF43D0"/>
    <w:rsid w:val="50F847FC"/>
    <w:rsid w:val="513821C3"/>
    <w:rsid w:val="51CE0489"/>
    <w:rsid w:val="523C2886"/>
    <w:rsid w:val="5281374D"/>
    <w:rsid w:val="52D012AA"/>
    <w:rsid w:val="53136EFE"/>
    <w:rsid w:val="560F7DCF"/>
    <w:rsid w:val="564451BE"/>
    <w:rsid w:val="566E3FE9"/>
    <w:rsid w:val="56AC689B"/>
    <w:rsid w:val="572E4C25"/>
    <w:rsid w:val="57C765F6"/>
    <w:rsid w:val="57FF46A2"/>
    <w:rsid w:val="5818420C"/>
    <w:rsid w:val="581B1DDE"/>
    <w:rsid w:val="58BA1767"/>
    <w:rsid w:val="58FA6008"/>
    <w:rsid w:val="58FE7708"/>
    <w:rsid w:val="58FF19F1"/>
    <w:rsid w:val="592303B5"/>
    <w:rsid w:val="5978765F"/>
    <w:rsid w:val="5A0C7DA1"/>
    <w:rsid w:val="5AAD26FE"/>
    <w:rsid w:val="5B1F3B03"/>
    <w:rsid w:val="5B5D10B8"/>
    <w:rsid w:val="5BEC712C"/>
    <w:rsid w:val="5BFB4469"/>
    <w:rsid w:val="5C675762"/>
    <w:rsid w:val="5D2405F0"/>
    <w:rsid w:val="5D7B1836"/>
    <w:rsid w:val="5D7F6B69"/>
    <w:rsid w:val="5D8F4F70"/>
    <w:rsid w:val="5DC57F5A"/>
    <w:rsid w:val="5E0C470E"/>
    <w:rsid w:val="5E196F30"/>
    <w:rsid w:val="5E2C05BD"/>
    <w:rsid w:val="5EFD6EAF"/>
    <w:rsid w:val="5FE64BF0"/>
    <w:rsid w:val="603B318E"/>
    <w:rsid w:val="60BE14EB"/>
    <w:rsid w:val="60DE41D8"/>
    <w:rsid w:val="61063CF0"/>
    <w:rsid w:val="61795805"/>
    <w:rsid w:val="61A72723"/>
    <w:rsid w:val="622163B3"/>
    <w:rsid w:val="6243467C"/>
    <w:rsid w:val="62C215CB"/>
    <w:rsid w:val="62D1763C"/>
    <w:rsid w:val="63440544"/>
    <w:rsid w:val="634E0D6F"/>
    <w:rsid w:val="635A29F5"/>
    <w:rsid w:val="63627E21"/>
    <w:rsid w:val="63E91BB5"/>
    <w:rsid w:val="64041AE8"/>
    <w:rsid w:val="64EE6A20"/>
    <w:rsid w:val="654F36FE"/>
    <w:rsid w:val="658A1B97"/>
    <w:rsid w:val="65F52BFB"/>
    <w:rsid w:val="662A769C"/>
    <w:rsid w:val="66346FEB"/>
    <w:rsid w:val="66CB277F"/>
    <w:rsid w:val="66D47E98"/>
    <w:rsid w:val="67000108"/>
    <w:rsid w:val="688A2F04"/>
    <w:rsid w:val="6A1775BF"/>
    <w:rsid w:val="6A527A52"/>
    <w:rsid w:val="6A622398"/>
    <w:rsid w:val="6B80414A"/>
    <w:rsid w:val="6BBA00C9"/>
    <w:rsid w:val="6C0C440D"/>
    <w:rsid w:val="6C7F4256"/>
    <w:rsid w:val="6C8B711F"/>
    <w:rsid w:val="6C95665B"/>
    <w:rsid w:val="6CA60B2F"/>
    <w:rsid w:val="6CF748E0"/>
    <w:rsid w:val="6D0332A5"/>
    <w:rsid w:val="6DA4014E"/>
    <w:rsid w:val="6DC074CE"/>
    <w:rsid w:val="6DE5158D"/>
    <w:rsid w:val="6E3840FA"/>
    <w:rsid w:val="6E646DD5"/>
    <w:rsid w:val="6E760F4D"/>
    <w:rsid w:val="6E8B1784"/>
    <w:rsid w:val="6F6F554B"/>
    <w:rsid w:val="6FF75ECB"/>
    <w:rsid w:val="701B2694"/>
    <w:rsid w:val="70C34A85"/>
    <w:rsid w:val="716F713B"/>
    <w:rsid w:val="717D3F29"/>
    <w:rsid w:val="71B0505E"/>
    <w:rsid w:val="72F27A76"/>
    <w:rsid w:val="72F310C9"/>
    <w:rsid w:val="733A5506"/>
    <w:rsid w:val="7355410F"/>
    <w:rsid w:val="73640C46"/>
    <w:rsid w:val="73D368CA"/>
    <w:rsid w:val="75834F63"/>
    <w:rsid w:val="75BF7AEA"/>
    <w:rsid w:val="767227B6"/>
    <w:rsid w:val="77256216"/>
    <w:rsid w:val="774C75D7"/>
    <w:rsid w:val="774E334F"/>
    <w:rsid w:val="775F37AE"/>
    <w:rsid w:val="7765546A"/>
    <w:rsid w:val="781E5417"/>
    <w:rsid w:val="78530C6B"/>
    <w:rsid w:val="78727511"/>
    <w:rsid w:val="78A41665"/>
    <w:rsid w:val="78AE679B"/>
    <w:rsid w:val="78B95140"/>
    <w:rsid w:val="7904248A"/>
    <w:rsid w:val="79652BD2"/>
    <w:rsid w:val="79880BFD"/>
    <w:rsid w:val="7AC65DFB"/>
    <w:rsid w:val="7B3B008E"/>
    <w:rsid w:val="7B8071F6"/>
    <w:rsid w:val="7BC82179"/>
    <w:rsid w:val="7C3F3C4A"/>
    <w:rsid w:val="7CB8345A"/>
    <w:rsid w:val="7D750423"/>
    <w:rsid w:val="7DB75ACB"/>
    <w:rsid w:val="7DD16A88"/>
    <w:rsid w:val="7E88183C"/>
    <w:rsid w:val="7EB356F4"/>
    <w:rsid w:val="7FA0109F"/>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qFormat/>
    <w:uiPriority w:val="0"/>
    <w:pPr>
      <w:spacing w:after="120"/>
    </w:pPr>
    <w:rPr>
      <w:szCs w:val="24"/>
    </w:rPr>
  </w:style>
  <w:style w:type="paragraph" w:styleId="4">
    <w:name w:val="Plain Text"/>
    <w:basedOn w:val="1"/>
    <w:qFormat/>
    <w:uiPriority w:val="99"/>
    <w:rPr>
      <w:rFonts w:ascii="宋体" w:hAnsi="Courier New"/>
      <w:szCs w:val="20"/>
    </w:rPr>
  </w:style>
  <w:style w:type="paragraph" w:styleId="5">
    <w:name w:val="Balloon Text"/>
    <w:basedOn w:val="1"/>
    <w:link w:val="18"/>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Title"/>
    <w:basedOn w:val="1"/>
    <w:next w:val="1"/>
    <w:qFormat/>
    <w:uiPriority w:val="10"/>
    <w:pPr>
      <w:spacing w:before="240" w:after="60"/>
      <w:jc w:val="center"/>
      <w:outlineLvl w:val="0"/>
    </w:pPr>
    <w:rPr>
      <w:rFonts w:ascii="等线 Light" w:hAnsi="等线 Light"/>
      <w:b/>
      <w:bCs/>
      <w:sz w:val="32"/>
      <w:szCs w:val="32"/>
    </w:rPr>
  </w:style>
  <w:style w:type="paragraph" w:styleId="10">
    <w:name w:val="annotation subject"/>
    <w:basedOn w:val="2"/>
    <w:next w:val="2"/>
    <w:link w:val="21"/>
    <w:unhideWhenUsed/>
    <w:qFormat/>
    <w:uiPriority w:val="99"/>
    <w:rPr>
      <w:b/>
      <w:bCs/>
    </w:rPr>
  </w:style>
  <w:style w:type="paragraph" w:styleId="11">
    <w:name w:val="Body Text First Indent"/>
    <w:basedOn w:val="3"/>
    <w:unhideWhenUsed/>
    <w:qFormat/>
    <w:uiPriority w:val="99"/>
    <w:pPr>
      <w:ind w:firstLine="420" w:firstLineChars="100"/>
    </w:pPr>
  </w:style>
  <w:style w:type="character" w:styleId="14">
    <w:name w:val="FollowedHyperlink"/>
    <w:unhideWhenUsed/>
    <w:qFormat/>
    <w:uiPriority w:val="99"/>
    <w:rPr>
      <w:color w:val="000000"/>
      <w:u w:val="none"/>
    </w:rPr>
  </w:style>
  <w:style w:type="character" w:styleId="15">
    <w:name w:val="Hyperlink"/>
    <w:unhideWhenUsed/>
    <w:qFormat/>
    <w:uiPriority w:val="99"/>
    <w:rPr>
      <w:color w:val="000000"/>
      <w:u w:val="none"/>
    </w:rPr>
  </w:style>
  <w:style w:type="character" w:styleId="16">
    <w:name w:val="annotation reference"/>
    <w:unhideWhenUsed/>
    <w:qFormat/>
    <w:uiPriority w:val="99"/>
    <w:rPr>
      <w:sz w:val="21"/>
      <w:szCs w:val="21"/>
    </w:rPr>
  </w:style>
  <w:style w:type="character" w:customStyle="1" w:styleId="17">
    <w:name w:val="批注文字 字符"/>
    <w:link w:val="2"/>
    <w:semiHidden/>
    <w:qFormat/>
    <w:uiPriority w:val="99"/>
    <w:rPr>
      <w:kern w:val="2"/>
      <w:sz w:val="21"/>
      <w:szCs w:val="22"/>
    </w:rPr>
  </w:style>
  <w:style w:type="character" w:customStyle="1" w:styleId="18">
    <w:name w:val="批注框文本 字符"/>
    <w:link w:val="5"/>
    <w:semiHidden/>
    <w:qFormat/>
    <w:uiPriority w:val="99"/>
    <w:rPr>
      <w:kern w:val="2"/>
      <w:sz w:val="18"/>
      <w:szCs w:val="18"/>
    </w:rPr>
  </w:style>
  <w:style w:type="character" w:customStyle="1" w:styleId="19">
    <w:name w:val="页脚 字符"/>
    <w:link w:val="6"/>
    <w:qFormat/>
    <w:uiPriority w:val="99"/>
    <w:rPr>
      <w:sz w:val="18"/>
      <w:szCs w:val="18"/>
    </w:rPr>
  </w:style>
  <w:style w:type="character" w:customStyle="1" w:styleId="20">
    <w:name w:val="页眉 字符"/>
    <w:link w:val="7"/>
    <w:qFormat/>
    <w:uiPriority w:val="99"/>
    <w:rPr>
      <w:sz w:val="18"/>
      <w:szCs w:val="18"/>
    </w:rPr>
  </w:style>
  <w:style w:type="character" w:customStyle="1" w:styleId="21">
    <w:name w:val="批注主题 字符"/>
    <w:link w:val="10"/>
    <w:semiHidden/>
    <w:qFormat/>
    <w:uiPriority w:val="99"/>
    <w:rPr>
      <w:b/>
      <w:bCs/>
      <w:kern w:val="2"/>
      <w:sz w:val="21"/>
      <w:szCs w:val="22"/>
    </w:rPr>
  </w:style>
  <w:style w:type="character" w:customStyle="1" w:styleId="22">
    <w:name w:val="times1"/>
    <w:qFormat/>
    <w:uiPriority w:val="0"/>
    <w:rPr>
      <w:color w:val="CDCDCD"/>
      <w:bdr w:val="single" w:color="CDCDCD" w:sz="6" w:space="0"/>
      <w:shd w:val="clear" w:color="auto" w:fill="EFEFEF"/>
    </w:rPr>
  </w:style>
  <w:style w:type="character" w:customStyle="1" w:styleId="23">
    <w:name w:val="times"/>
    <w:qFormat/>
    <w:uiPriority w:val="0"/>
    <w:rPr>
      <w:color w:val="3399FF"/>
      <w:bdr w:val="single" w:color="D1EDF8" w:sz="6" w:space="0"/>
      <w:shd w:val="clear" w:color="auto" w:fill="EAF9FF"/>
    </w:rPr>
  </w:style>
  <w:style w:type="character" w:customStyle="1" w:styleId="24">
    <w:name w:val="hover38"/>
    <w:qFormat/>
    <w:uiPriority w:val="0"/>
  </w:style>
  <w:style w:type="character" w:customStyle="1" w:styleId="25">
    <w:name w:val="hover36"/>
    <w:qFormat/>
    <w:uiPriority w:val="0"/>
  </w:style>
  <w:style w:type="character" w:customStyle="1" w:styleId="26">
    <w:name w:val="hover37"/>
    <w:qFormat/>
    <w:uiPriority w:val="0"/>
  </w:style>
  <w:style w:type="paragraph" w:customStyle="1" w:styleId="27">
    <w:name w:val="表格"/>
    <w:basedOn w:val="1"/>
    <w:next w:val="1"/>
    <w:qFormat/>
    <w:uiPriority w:val="0"/>
    <w:rPr>
      <w:szCs w:val="20"/>
    </w:rPr>
  </w:style>
  <w:style w:type="paragraph" w:customStyle="1" w:styleId="28">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4285</Words>
  <Characters>4611</Characters>
  <Lines>35</Lines>
  <Paragraphs>10</Paragraphs>
  <TotalTime>1</TotalTime>
  <ScaleCrop>false</ScaleCrop>
  <LinksUpToDate>false</LinksUpToDate>
  <CharactersWithSpaces>4867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2025-06-10T07:15:00Z</dcterms:created>
  <dc:creator>Administrator</dc:creator>
  <cp:lastModifiedBy>cmh</cp:lastModifiedBy>
  <cp:lastPrinted>2025-06-19T07:41:00Z</cp:lastPrinted>
  <dcterms:modified xsi:type="dcterms:W3CDTF">2025-09-05T03:02:22Z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C73CF97ACA25494FAFCE41A5BDE2C7FA_13</vt:lpwstr>
  </property>
  <property fmtid="{D5CDD505-2E9C-101B-9397-08002B2CF9AE}" pid="4" name="KSOTemplateDocerSaveRecord">
    <vt:lpwstr>eyJoZGlkIjoiZjA2ZTA3YTFkYmMyOTFlZWM0NGExMGNjY2FkNDI1MTMiLCJ1c2VySWQiOiI0MjI4Njk3NTYifQ==</vt:lpwstr>
  </property>
</Properties>
</file>