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00CE8">
      <w:pPr>
        <w:snapToGrid w:val="0"/>
        <w:spacing w:line="360" w:lineRule="auto"/>
        <w:jc w:val="center"/>
        <w:outlineLvl w:val="1"/>
        <w:rPr>
          <w:rFonts w:ascii="黑体" w:hAnsi="Courier New"/>
          <w:b/>
          <w:color w:val="auto"/>
          <w:sz w:val="48"/>
          <w:szCs w:val="48"/>
          <w:highlight w:val="none"/>
        </w:rPr>
      </w:pPr>
    </w:p>
    <w:p w14:paraId="2E9A338E">
      <w:pPr>
        <w:pStyle w:val="2"/>
        <w:snapToGrid w:val="0"/>
        <w:spacing w:line="360" w:lineRule="auto"/>
        <w:ind w:firstLineChars="0"/>
        <w:jc w:val="center"/>
        <w:rPr>
          <w:rFonts w:ascii="黑体" w:hAnsi="Courier New" w:eastAsia="宋体"/>
          <w:b/>
          <w:color w:val="auto"/>
          <w:sz w:val="48"/>
          <w:szCs w:val="48"/>
          <w:highlight w:val="none"/>
        </w:rPr>
      </w:pPr>
    </w:p>
    <w:p w14:paraId="262E981E">
      <w:pPr>
        <w:snapToGrid w:val="0"/>
        <w:spacing w:line="360" w:lineRule="auto"/>
        <w:jc w:val="center"/>
        <w:outlineLvl w:val="1"/>
        <w:rPr>
          <w:rFonts w:eastAsia="黑体"/>
          <w:b/>
          <w:color w:val="auto"/>
          <w:sz w:val="48"/>
          <w:szCs w:val="48"/>
          <w:highlight w:val="none"/>
        </w:rPr>
      </w:pPr>
      <w:r>
        <w:rPr>
          <w:rFonts w:hint="eastAsia" w:ascii="黑体" w:hAnsi="Courier New" w:eastAsia="宋体"/>
          <w:b/>
          <w:color w:val="auto"/>
          <w:sz w:val="48"/>
          <w:szCs w:val="48"/>
          <w:highlight w:val="none"/>
        </w:rPr>
        <w:t>广州市白云区棠涌村城中村改造项目首开区安置地块及安置区配套道路项目</w:t>
      </w:r>
      <w:r>
        <w:rPr>
          <w:rFonts w:hint="eastAsia" w:ascii="黑体" w:hAnsi="Courier New"/>
          <w:b/>
          <w:color w:val="auto"/>
          <w:sz w:val="48"/>
          <w:szCs w:val="48"/>
          <w:highlight w:val="none"/>
        </w:rPr>
        <w:t>建设管理服务合同</w:t>
      </w:r>
    </w:p>
    <w:p w14:paraId="7705A409">
      <w:pPr>
        <w:pStyle w:val="10"/>
        <w:tabs>
          <w:tab w:val="left" w:pos="2268"/>
        </w:tabs>
        <w:spacing w:before="312" w:beforeLines="100"/>
        <w:ind w:left="424" w:leftChars="202" w:firstLine="361"/>
        <w:jc w:val="center"/>
        <w:rPr>
          <w:rFonts w:hAnsi="宋体"/>
          <w:b/>
          <w:color w:val="auto"/>
          <w:sz w:val="18"/>
          <w:szCs w:val="18"/>
          <w:highlight w:val="none"/>
        </w:rPr>
      </w:pPr>
    </w:p>
    <w:p w14:paraId="7C2F78AF">
      <w:pPr>
        <w:pStyle w:val="10"/>
        <w:snapToGrid w:val="0"/>
        <w:spacing w:line="360" w:lineRule="auto"/>
        <w:ind w:right="0" w:firstLine="161" w:firstLineChars="80"/>
        <w:rPr>
          <w:rFonts w:hAnsi="宋体"/>
          <w:b/>
          <w:color w:val="auto"/>
          <w:sz w:val="28"/>
          <w:szCs w:val="28"/>
          <w:highlight w:val="none"/>
        </w:rPr>
      </w:pPr>
      <w:r>
        <w:rPr>
          <w:rFonts w:hint="eastAsia" w:hAnsi="宋体"/>
          <w:b/>
          <w:color w:val="auto"/>
          <w:highlight w:val="none"/>
        </w:rPr>
        <w:t xml:space="preserve">  </w:t>
      </w:r>
    </w:p>
    <w:p w14:paraId="7DD43D6C">
      <w:pPr>
        <w:pStyle w:val="10"/>
        <w:snapToGrid w:val="0"/>
        <w:spacing w:line="360" w:lineRule="auto"/>
        <w:ind w:left="1964" w:leftChars="266" w:right="0" w:hanging="1405" w:hangingChars="500"/>
        <w:rPr>
          <w:rFonts w:hAnsi="宋体"/>
          <w:color w:val="auto"/>
          <w:sz w:val="28"/>
          <w:szCs w:val="28"/>
          <w:highlight w:val="none"/>
          <w:u w:val="single"/>
        </w:rPr>
      </w:pPr>
      <w:r>
        <w:rPr>
          <w:rFonts w:hint="eastAsia" w:hAnsi="宋体"/>
          <w:b/>
          <w:color w:val="auto"/>
          <w:sz w:val="28"/>
          <w:szCs w:val="28"/>
          <w:highlight w:val="none"/>
        </w:rPr>
        <w:t>项目名称</w:t>
      </w:r>
      <w:r>
        <w:rPr>
          <w:rFonts w:hint="eastAsia" w:hAnsi="宋体"/>
          <w:color w:val="auto"/>
          <w:sz w:val="28"/>
          <w:szCs w:val="28"/>
          <w:highlight w:val="none"/>
        </w:rPr>
        <w:t>：</w:t>
      </w:r>
      <w:r>
        <w:rPr>
          <w:rFonts w:hint="eastAsia"/>
          <w:color w:val="auto"/>
          <w:sz w:val="28"/>
          <w:szCs w:val="28"/>
          <w:highlight w:val="none"/>
          <w:u w:val="single"/>
          <w:lang w:eastAsia="zh-CN"/>
        </w:rPr>
        <w:t>广州市白云区棠涌村城中村改造项目首开区安置地块及安置区配套道路项目</w:t>
      </w:r>
      <w:r>
        <w:rPr>
          <w:rFonts w:hint="eastAsia"/>
          <w:color w:val="auto"/>
          <w:sz w:val="28"/>
          <w:szCs w:val="28"/>
          <w:highlight w:val="none"/>
          <w:u w:val="single"/>
          <w:lang w:val="en-US" w:eastAsia="zh-CN"/>
        </w:rPr>
        <w:t xml:space="preserve">    </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p>
    <w:p w14:paraId="20D5AEE8">
      <w:pPr>
        <w:pStyle w:val="10"/>
        <w:tabs>
          <w:tab w:val="left" w:pos="2268"/>
        </w:tabs>
        <w:ind w:firstLine="551" w:firstLineChars="196"/>
        <w:rPr>
          <w:rFonts w:hAnsi="宋体"/>
          <w:color w:val="auto"/>
          <w:sz w:val="28"/>
          <w:szCs w:val="28"/>
          <w:highlight w:val="none"/>
        </w:rPr>
      </w:pPr>
      <w:r>
        <w:rPr>
          <w:rFonts w:hint="eastAsia" w:hAnsi="宋体"/>
          <w:b/>
          <w:color w:val="auto"/>
          <w:sz w:val="28"/>
          <w:szCs w:val="28"/>
          <w:highlight w:val="none"/>
        </w:rPr>
        <w:t>项目地点</w:t>
      </w:r>
      <w:r>
        <w:rPr>
          <w:rFonts w:hint="eastAsia" w:hAnsi="宋体"/>
          <w:color w:val="auto"/>
          <w:sz w:val="28"/>
          <w:szCs w:val="28"/>
          <w:highlight w:val="none"/>
        </w:rPr>
        <w:t>：</w:t>
      </w:r>
      <w:r>
        <w:rPr>
          <w:rFonts w:hint="eastAsia"/>
          <w:color w:val="auto"/>
          <w:sz w:val="28"/>
          <w:szCs w:val="28"/>
          <w:highlight w:val="none"/>
          <w:u w:val="single"/>
        </w:rPr>
        <w:t xml:space="preserve">广州市白云区                                       </w:t>
      </w:r>
      <w:r>
        <w:rPr>
          <w:rFonts w:hint="eastAsia" w:hAnsi="宋体"/>
          <w:color w:val="auto"/>
          <w:sz w:val="28"/>
          <w:szCs w:val="28"/>
          <w:highlight w:val="none"/>
          <w:u w:val="single"/>
        </w:rPr>
        <w:t xml:space="preserve">         </w:t>
      </w:r>
    </w:p>
    <w:p w14:paraId="043436E1">
      <w:pPr>
        <w:pStyle w:val="10"/>
        <w:tabs>
          <w:tab w:val="left" w:pos="2268"/>
        </w:tabs>
        <w:spacing w:before="312" w:beforeLines="100"/>
        <w:ind w:left="424" w:leftChars="202" w:firstLine="138" w:firstLineChars="49"/>
        <w:jc w:val="left"/>
        <w:rPr>
          <w:rFonts w:hAnsi="宋体"/>
          <w:color w:val="auto"/>
          <w:sz w:val="28"/>
          <w:szCs w:val="28"/>
          <w:highlight w:val="none"/>
          <w:u w:val="single"/>
        </w:rPr>
      </w:pPr>
      <w:r>
        <w:rPr>
          <w:rFonts w:hint="eastAsia" w:hAnsi="宋体"/>
          <w:b/>
          <w:color w:val="auto"/>
          <w:sz w:val="28"/>
          <w:szCs w:val="28"/>
          <w:highlight w:val="none"/>
        </w:rPr>
        <w:t>建设单位</w:t>
      </w:r>
      <w:r>
        <w:rPr>
          <w:rFonts w:hint="eastAsia" w:hAnsi="宋体"/>
          <w:color w:val="auto"/>
          <w:sz w:val="28"/>
          <w:szCs w:val="28"/>
          <w:highlight w:val="none"/>
        </w:rPr>
        <w:t>：</w:t>
      </w:r>
      <w:r>
        <w:rPr>
          <w:rFonts w:hint="eastAsia" w:hAnsi="宋体"/>
          <w:color w:val="auto"/>
          <w:sz w:val="28"/>
          <w:szCs w:val="28"/>
          <w:highlight w:val="none"/>
          <w:u w:val="single"/>
          <w:lang w:eastAsia="zh-CN"/>
        </w:rPr>
        <w:t>广州白云棠涌置地有限公司</w:t>
      </w:r>
      <w:r>
        <w:rPr>
          <w:rFonts w:hint="eastAsia" w:hAnsi="宋体"/>
          <w:color w:val="auto"/>
          <w:sz w:val="28"/>
          <w:szCs w:val="28"/>
          <w:highlight w:val="none"/>
          <w:u w:val="single"/>
        </w:rPr>
        <w:t xml:space="preserve">                         </w:t>
      </w:r>
      <w:r>
        <w:rPr>
          <w:rFonts w:hint="eastAsia" w:hAnsi="宋体"/>
          <w:b/>
          <w:color w:val="auto"/>
          <w:sz w:val="28"/>
          <w:szCs w:val="28"/>
          <w:highlight w:val="none"/>
        </w:rPr>
        <w:t xml:space="preserve">           </w:t>
      </w:r>
    </w:p>
    <w:p w14:paraId="24BB8D78">
      <w:pPr>
        <w:pStyle w:val="10"/>
        <w:tabs>
          <w:tab w:val="left" w:pos="2268"/>
        </w:tabs>
        <w:ind w:firstLine="551" w:firstLineChars="196"/>
        <w:jc w:val="left"/>
        <w:rPr>
          <w:rFonts w:hAnsi="宋体"/>
          <w:color w:val="auto"/>
          <w:sz w:val="28"/>
          <w:szCs w:val="28"/>
          <w:highlight w:val="none"/>
          <w:u w:val="single"/>
        </w:rPr>
      </w:pPr>
      <w:r>
        <w:rPr>
          <w:rFonts w:hint="eastAsia" w:hAnsi="宋体"/>
          <w:b/>
          <w:color w:val="auto"/>
          <w:sz w:val="28"/>
          <w:szCs w:val="28"/>
          <w:highlight w:val="none"/>
        </w:rPr>
        <w:t>建设单位合同编号：</w:t>
      </w:r>
      <w:r>
        <w:rPr>
          <w:rFonts w:hint="eastAsia" w:hAnsi="宋体" w:cs="仿宋_GB2312"/>
          <w:color w:val="auto"/>
          <w:sz w:val="28"/>
          <w:szCs w:val="28"/>
          <w:highlight w:val="none"/>
          <w:u w:val="single"/>
        </w:rPr>
        <w:t xml:space="preserve"> </w:t>
      </w:r>
      <w:r>
        <w:rPr>
          <w:rFonts w:hint="eastAsia" w:hAnsi="宋体"/>
          <w:b/>
          <w:color w:val="auto"/>
          <w:sz w:val="28"/>
          <w:szCs w:val="28"/>
          <w:highlight w:val="none"/>
          <w:u w:val="single"/>
        </w:rPr>
        <w:t xml:space="preserve">                                          </w:t>
      </w:r>
    </w:p>
    <w:p w14:paraId="3EBB8D25">
      <w:pPr>
        <w:pStyle w:val="10"/>
        <w:tabs>
          <w:tab w:val="left" w:pos="2268"/>
        </w:tabs>
        <w:spacing w:before="312" w:beforeLines="100"/>
        <w:ind w:firstLine="559" w:firstLineChars="199"/>
        <w:jc w:val="left"/>
        <w:rPr>
          <w:rFonts w:hAnsi="宋体"/>
          <w:color w:val="auto"/>
          <w:sz w:val="28"/>
          <w:szCs w:val="28"/>
          <w:highlight w:val="none"/>
        </w:rPr>
      </w:pPr>
      <w:r>
        <w:rPr>
          <w:rFonts w:hint="eastAsia" w:hAnsi="宋体"/>
          <w:b/>
          <w:color w:val="auto"/>
          <w:sz w:val="28"/>
          <w:szCs w:val="28"/>
          <w:highlight w:val="none"/>
        </w:rPr>
        <w:t>建设管理单位</w:t>
      </w:r>
      <w:r>
        <w:rPr>
          <w:rFonts w:hint="eastAsia" w:hAnsi="宋体"/>
          <w:color w:val="auto"/>
          <w:sz w:val="28"/>
          <w:szCs w:val="28"/>
          <w:highlight w:val="none"/>
        </w:rPr>
        <w:t>：</w:t>
      </w:r>
      <w:r>
        <w:rPr>
          <w:rFonts w:hint="eastAsia" w:hAnsi="宋体"/>
          <w:color w:val="auto"/>
          <w:sz w:val="28"/>
          <w:szCs w:val="28"/>
          <w:highlight w:val="none"/>
          <w:u w:val="single"/>
        </w:rPr>
        <w:t xml:space="preserve">          </w:t>
      </w:r>
      <w:r>
        <w:rPr>
          <w:rFonts w:hAnsi="宋体"/>
          <w:color w:val="auto"/>
          <w:sz w:val="28"/>
          <w:szCs w:val="28"/>
          <w:highlight w:val="none"/>
          <w:u w:val="single"/>
        </w:rPr>
        <w:t xml:space="preserve">                                </w:t>
      </w:r>
      <w:r>
        <w:rPr>
          <w:rFonts w:hint="eastAsia" w:hAnsi="宋体"/>
          <w:color w:val="auto"/>
          <w:sz w:val="28"/>
          <w:szCs w:val="28"/>
          <w:highlight w:val="none"/>
          <w:u w:val="single"/>
        </w:rPr>
        <w:t xml:space="preserve">     </w:t>
      </w:r>
    </w:p>
    <w:p w14:paraId="6704D290">
      <w:pPr>
        <w:pStyle w:val="10"/>
        <w:tabs>
          <w:tab w:val="left" w:pos="2268"/>
        </w:tabs>
        <w:ind w:firstLine="559" w:firstLineChars="199"/>
        <w:jc w:val="left"/>
        <w:rPr>
          <w:rFonts w:hAnsi="宋体"/>
          <w:color w:val="auto"/>
          <w:sz w:val="28"/>
          <w:szCs w:val="28"/>
          <w:highlight w:val="none"/>
        </w:rPr>
      </w:pPr>
      <w:r>
        <w:rPr>
          <w:rFonts w:hint="eastAsia" w:hAnsi="宋体"/>
          <w:b/>
          <w:color w:val="auto"/>
          <w:sz w:val="28"/>
          <w:szCs w:val="28"/>
          <w:highlight w:val="none"/>
        </w:rPr>
        <w:t>建设管理单位合同编号</w:t>
      </w:r>
      <w:r>
        <w:rPr>
          <w:rFonts w:hint="eastAsia" w:hAnsi="宋体"/>
          <w:color w:val="auto"/>
          <w:sz w:val="28"/>
          <w:szCs w:val="28"/>
          <w:highlight w:val="none"/>
        </w:rPr>
        <w:t>：</w:t>
      </w:r>
      <w:r>
        <w:rPr>
          <w:rFonts w:hint="eastAsia" w:hAnsi="宋体"/>
          <w:color w:val="auto"/>
          <w:sz w:val="28"/>
          <w:szCs w:val="28"/>
          <w:highlight w:val="none"/>
          <w:u w:val="single"/>
        </w:rPr>
        <w:t xml:space="preserve">                                      </w:t>
      </w:r>
    </w:p>
    <w:p w14:paraId="7B21032E">
      <w:pPr>
        <w:pStyle w:val="10"/>
        <w:tabs>
          <w:tab w:val="left" w:pos="2268"/>
        </w:tabs>
        <w:spacing w:before="312" w:beforeLines="100"/>
        <w:ind w:left="424" w:leftChars="202" w:firstLine="138" w:firstLineChars="49"/>
        <w:jc w:val="left"/>
        <w:rPr>
          <w:rFonts w:hAnsi="宋体"/>
          <w:color w:val="auto"/>
          <w:sz w:val="28"/>
          <w:szCs w:val="28"/>
          <w:highlight w:val="none"/>
        </w:rPr>
      </w:pPr>
      <w:r>
        <w:rPr>
          <w:rFonts w:hint="eastAsia" w:hAnsi="宋体"/>
          <w:b/>
          <w:color w:val="auto"/>
          <w:sz w:val="28"/>
          <w:szCs w:val="28"/>
          <w:highlight w:val="none"/>
        </w:rPr>
        <w:t>签订地点</w:t>
      </w:r>
      <w:r>
        <w:rPr>
          <w:rFonts w:hint="eastAsia" w:hAnsi="宋体"/>
          <w:color w:val="auto"/>
          <w:sz w:val="28"/>
          <w:szCs w:val="28"/>
          <w:highlight w:val="none"/>
        </w:rPr>
        <w:t>：</w:t>
      </w:r>
      <w:r>
        <w:rPr>
          <w:rFonts w:hint="eastAsia" w:hAnsi="宋体"/>
          <w:color w:val="auto"/>
          <w:sz w:val="28"/>
          <w:szCs w:val="28"/>
          <w:highlight w:val="none"/>
          <w:u w:val="single"/>
        </w:rPr>
        <w:t xml:space="preserve">广州市白云区                                 </w:t>
      </w:r>
    </w:p>
    <w:p w14:paraId="534BE36B">
      <w:pPr>
        <w:pStyle w:val="10"/>
        <w:tabs>
          <w:tab w:val="left" w:pos="2268"/>
        </w:tabs>
        <w:ind w:left="424" w:leftChars="202" w:firstLine="138" w:firstLineChars="49"/>
        <w:jc w:val="left"/>
        <w:rPr>
          <w:color w:val="auto"/>
          <w:sz w:val="28"/>
          <w:szCs w:val="28"/>
          <w:highlight w:val="none"/>
        </w:rPr>
      </w:pPr>
      <w:r>
        <w:rPr>
          <w:rFonts w:hint="eastAsia" w:hAnsi="宋体"/>
          <w:b/>
          <w:color w:val="auto"/>
          <w:sz w:val="28"/>
          <w:szCs w:val="28"/>
          <w:highlight w:val="none"/>
        </w:rPr>
        <w:t>签订日期</w:t>
      </w:r>
      <w:r>
        <w:rPr>
          <w:rFonts w:hint="eastAsia" w:hAnsi="宋体"/>
          <w:color w:val="auto"/>
          <w:sz w:val="28"/>
          <w:szCs w:val="28"/>
          <w:highlight w:val="none"/>
        </w:rPr>
        <w:t>：</w:t>
      </w:r>
      <w:r>
        <w:rPr>
          <w:rFonts w:hint="eastAsia" w:hAnsi="宋体"/>
          <w:color w:val="auto"/>
          <w:sz w:val="28"/>
          <w:szCs w:val="28"/>
          <w:highlight w:val="none"/>
          <w:u w:val="single"/>
        </w:rPr>
        <w:t xml:space="preserve">         年      月      日                      </w:t>
      </w:r>
    </w:p>
    <w:p w14:paraId="7D0267E6">
      <w:pPr>
        <w:pStyle w:val="10"/>
        <w:snapToGrid w:val="0"/>
        <w:spacing w:line="360" w:lineRule="auto"/>
        <w:ind w:right="84" w:rightChars="40" w:firstLine="386" w:firstLineChars="80"/>
        <w:jc w:val="center"/>
        <w:rPr>
          <w:rFonts w:hAnsi="宋体"/>
          <w:b/>
          <w:bCs/>
          <w:color w:val="auto"/>
          <w:sz w:val="48"/>
          <w:szCs w:val="48"/>
          <w:highlight w:val="none"/>
        </w:rPr>
      </w:pPr>
    </w:p>
    <w:p w14:paraId="25CC5997">
      <w:pPr>
        <w:pStyle w:val="10"/>
        <w:tabs>
          <w:tab w:val="left" w:pos="0"/>
          <w:tab w:val="left" w:pos="6300"/>
        </w:tabs>
        <w:spacing w:line="360" w:lineRule="auto"/>
        <w:ind w:left="800" w:right="84" w:rightChars="40" w:firstLine="562" w:firstLineChars="281"/>
        <w:rPr>
          <w:rFonts w:ascii="仿宋_GB2312" w:eastAsia="仿宋_GB2312"/>
          <w:color w:val="auto"/>
          <w:highlight w:val="none"/>
          <w:u w:val="single"/>
        </w:rPr>
        <w:sectPr>
          <w:footerReference r:id="rId5" w:type="first"/>
          <w:headerReference r:id="rId3" w:type="default"/>
          <w:footerReference r:id="rId4" w:type="default"/>
          <w:pgSz w:w="11906" w:h="16838"/>
          <w:pgMar w:top="1440" w:right="1417" w:bottom="1440" w:left="1417" w:header="851" w:footer="992" w:gutter="0"/>
          <w:pgNumType w:start="0"/>
          <w:cols w:space="720" w:num="1"/>
          <w:titlePg/>
          <w:docGrid w:type="lines" w:linePitch="312" w:charSpace="0"/>
        </w:sectPr>
      </w:pPr>
    </w:p>
    <w:p w14:paraId="7D3D24DF">
      <w:pPr>
        <w:pStyle w:val="15"/>
        <w:adjustRightInd w:val="0"/>
        <w:snapToGrid w:val="0"/>
        <w:spacing w:line="360" w:lineRule="auto"/>
        <w:jc w:val="center"/>
        <w:rPr>
          <w:rFonts w:ascii="宋体" w:hAnsi="宋体" w:cs="宋体"/>
          <w:b/>
          <w:color w:val="auto"/>
          <w:sz w:val="28"/>
          <w:szCs w:val="28"/>
          <w:highlight w:val="none"/>
        </w:rPr>
      </w:pPr>
      <w:bookmarkStart w:id="0" w:name="_Toc489865840"/>
      <w:bookmarkStart w:id="1" w:name="_Toc489236592"/>
      <w:r>
        <w:rPr>
          <w:rFonts w:hint="eastAsia" w:ascii="宋体" w:hAnsi="宋体" w:cs="宋体"/>
          <w:b/>
          <w:color w:val="auto"/>
          <w:sz w:val="28"/>
          <w:szCs w:val="28"/>
          <w:highlight w:val="none"/>
        </w:rPr>
        <w:t>第一部分 协 议 书</w:t>
      </w:r>
      <w:bookmarkEnd w:id="0"/>
      <w:bookmarkEnd w:id="1"/>
    </w:p>
    <w:p w14:paraId="4D573396">
      <w:pPr>
        <w:adjustRightInd w:val="0"/>
        <w:snapToGrid w:val="0"/>
        <w:spacing w:line="360" w:lineRule="auto"/>
        <w:ind w:firstLine="482" w:firstLineChars="200"/>
        <w:rPr>
          <w:rFonts w:ascii="宋体" w:hAnsi="宋体" w:cs="仿宋_GB2312"/>
          <w:b/>
          <w:color w:val="auto"/>
          <w:sz w:val="24"/>
          <w:szCs w:val="24"/>
          <w:highlight w:val="none"/>
        </w:rPr>
      </w:pPr>
    </w:p>
    <w:p w14:paraId="38908799">
      <w:pPr>
        <w:adjustRightInd w:val="0"/>
        <w:snapToGrid w:val="0"/>
        <w:spacing w:line="360" w:lineRule="auto"/>
        <w:ind w:firstLine="482" w:firstLineChars="200"/>
        <w:rPr>
          <w:rFonts w:ascii="宋体" w:hAnsi="宋体"/>
          <w:b/>
          <w:color w:val="auto"/>
          <w:sz w:val="24"/>
          <w:szCs w:val="24"/>
          <w:highlight w:val="none"/>
          <w:u w:val="single"/>
        </w:rPr>
      </w:pPr>
      <w:r>
        <w:rPr>
          <w:rFonts w:hint="eastAsia" w:ascii="宋体" w:hAnsi="宋体" w:cs="仿宋_GB2312"/>
          <w:b/>
          <w:color w:val="auto"/>
          <w:sz w:val="24"/>
          <w:szCs w:val="24"/>
          <w:highlight w:val="none"/>
        </w:rPr>
        <w:t>建设单位（甲方）：</w:t>
      </w:r>
      <w:r>
        <w:rPr>
          <w:rFonts w:hint="eastAsia" w:ascii="宋体" w:hAnsi="宋体" w:cs="仿宋_GB2312"/>
          <w:b/>
          <w:color w:val="auto"/>
          <w:sz w:val="24"/>
          <w:szCs w:val="24"/>
          <w:highlight w:val="none"/>
          <w:u w:val="single"/>
          <w:lang w:eastAsia="zh-CN"/>
        </w:rPr>
        <w:t>广州白云棠涌置地有限公司</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hint="eastAsia" w:ascii="宋体" w:hAnsi="宋体" w:cs="仿宋_GB2312"/>
          <w:b/>
          <w:color w:val="auto"/>
          <w:sz w:val="24"/>
          <w:szCs w:val="24"/>
          <w:highlight w:val="none"/>
          <w:u w:val="single"/>
        </w:rPr>
        <w:t xml:space="preserve"> </w:t>
      </w:r>
    </w:p>
    <w:p w14:paraId="6EE84E21">
      <w:pPr>
        <w:adjustRightInd w:val="0"/>
        <w:snapToGrid w:val="0"/>
        <w:spacing w:line="360" w:lineRule="auto"/>
        <w:ind w:firstLine="482" w:firstLineChars="200"/>
        <w:rPr>
          <w:rFonts w:ascii="宋体" w:hAnsi="宋体" w:cs="仿宋_GB2312"/>
          <w:b/>
          <w:color w:val="auto"/>
          <w:sz w:val="24"/>
          <w:szCs w:val="24"/>
          <w:highlight w:val="none"/>
          <w:u w:val="single"/>
        </w:rPr>
      </w:pPr>
      <w:r>
        <w:rPr>
          <w:rFonts w:hint="eastAsia" w:ascii="宋体" w:hAnsi="宋体" w:cs="仿宋_GB2312"/>
          <w:b/>
          <w:color w:val="auto"/>
          <w:sz w:val="24"/>
          <w:szCs w:val="24"/>
          <w:highlight w:val="none"/>
        </w:rPr>
        <w:t>地址：</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lang w:val="en-US" w:eastAsia="zh-CN"/>
        </w:rPr>
        <w:t xml:space="preserve">   </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24680E09">
      <w:pPr>
        <w:adjustRightInd w:val="0"/>
        <w:snapToGrid w:val="0"/>
        <w:spacing w:before="156" w:beforeLines="50" w:line="360" w:lineRule="auto"/>
        <w:ind w:firstLine="482" w:firstLineChars="200"/>
        <w:rPr>
          <w:rFonts w:ascii="宋体" w:hAnsi="宋体"/>
          <w:b/>
          <w:color w:val="auto"/>
          <w:sz w:val="24"/>
          <w:szCs w:val="24"/>
          <w:highlight w:val="none"/>
        </w:rPr>
      </w:pPr>
      <w:r>
        <w:rPr>
          <w:rFonts w:hint="eastAsia" w:ascii="宋体" w:hAnsi="宋体" w:cs="仿宋_GB2312"/>
          <w:b/>
          <w:color w:val="auto"/>
          <w:sz w:val="24"/>
          <w:szCs w:val="24"/>
          <w:highlight w:val="none"/>
        </w:rPr>
        <w:t>建设管理单位（乙方）：</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3C4BC6E4">
      <w:pPr>
        <w:adjustRightInd w:val="0"/>
        <w:snapToGrid w:val="0"/>
        <w:spacing w:after="156" w:afterLines="50" w:line="360" w:lineRule="auto"/>
        <w:ind w:firstLine="482" w:firstLineChars="200"/>
        <w:rPr>
          <w:rFonts w:ascii="宋体" w:hAnsi="宋体"/>
          <w:b/>
          <w:color w:val="auto"/>
          <w:sz w:val="24"/>
          <w:szCs w:val="24"/>
          <w:highlight w:val="none"/>
        </w:rPr>
      </w:pPr>
      <w:r>
        <w:rPr>
          <w:rFonts w:hint="eastAsia" w:ascii="宋体" w:hAnsi="宋体" w:cs="仿宋_GB2312"/>
          <w:b/>
          <w:color w:val="auto"/>
          <w:sz w:val="24"/>
          <w:szCs w:val="24"/>
          <w:highlight w:val="none"/>
        </w:rPr>
        <w:t>地址：</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6A7F8680">
      <w:pPr>
        <w:widowControl/>
        <w:spacing w:before="100" w:beforeAutospacing="1" w:after="100" w:afterAutospacing="1" w:line="360" w:lineRule="auto"/>
        <w:ind w:firstLine="480" w:firstLineChars="200"/>
        <w:rPr>
          <w:rFonts w:ascii="宋体" w:hAnsi="宋体" w:cs="仿宋_GB2312"/>
          <w:bCs/>
          <w:color w:val="auto"/>
          <w:sz w:val="24"/>
          <w:szCs w:val="24"/>
          <w:highlight w:val="none"/>
        </w:rPr>
      </w:pPr>
      <w:r>
        <w:rPr>
          <w:rFonts w:hint="eastAsia" w:ascii="宋体" w:hAnsi="宋体" w:cs="仿宋_GB2312"/>
          <w:bCs/>
          <w:color w:val="auto"/>
          <w:sz w:val="24"/>
          <w:szCs w:val="24"/>
          <w:highlight w:val="none"/>
        </w:rPr>
        <w:t>根据《中华人民共和国民法典》、广东省人民政府关于印发《广东省政府投资省属非经营性项目建设管理办法》的通知（粤府〔2022〕12号）、财政部关于印发《基本建设项目建设成本管理规定》的通知（财建〔2016〕504号）及其它有关法律法规和规范性文件，为明确双方的权利和义务，保证项目建设顺利实施，经双方协商一致同意，签订本建设管理合同，共同遵守。</w:t>
      </w:r>
    </w:p>
    <w:p w14:paraId="20F53FCB">
      <w:pPr>
        <w:numPr>
          <w:ilvl w:val="0"/>
          <w:numId w:val="2"/>
        </w:numPr>
        <w:tabs>
          <w:tab w:val="left" w:pos="0"/>
        </w:tabs>
        <w:adjustRightInd w:val="0"/>
        <w:snapToGrid w:val="0"/>
        <w:spacing w:line="360" w:lineRule="auto"/>
        <w:ind w:left="3960" w:hanging="3960"/>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工作内容</w:t>
      </w:r>
    </w:p>
    <w:p w14:paraId="6DB2203B">
      <w:pPr>
        <w:pStyle w:val="10"/>
        <w:snapToGrid w:val="0"/>
        <w:spacing w:line="360" w:lineRule="auto"/>
        <w:ind w:left="19" w:leftChars="9" w:right="-198" w:firstLine="458" w:firstLineChars="191"/>
        <w:jc w:val="left"/>
        <w:rPr>
          <w:rFonts w:hint="eastAsia" w:ascii="宋体" w:hAnsi="宋体" w:eastAsia="宋体" w:cs="仿宋_GB2312"/>
          <w:bCs/>
          <w:color w:val="auto"/>
          <w:sz w:val="24"/>
          <w:szCs w:val="24"/>
          <w:highlight w:val="none"/>
          <w:u w:val="single"/>
          <w:lang w:eastAsia="zh-CN"/>
        </w:rPr>
      </w:pPr>
      <w:r>
        <w:rPr>
          <w:rFonts w:hint="eastAsia" w:ascii="宋体" w:hAnsi="宋体" w:cs="仿宋_GB2312"/>
          <w:bCs/>
          <w:color w:val="auto"/>
          <w:sz w:val="24"/>
          <w:szCs w:val="24"/>
          <w:highlight w:val="none"/>
        </w:rPr>
        <w:t>1.1</w:t>
      </w:r>
      <w:r>
        <w:rPr>
          <w:rFonts w:hint="eastAsia" w:ascii="宋体" w:hAnsi="宋体" w:eastAsia="宋体" w:cs="仿宋_GB2312"/>
          <w:bCs/>
          <w:color w:val="auto"/>
          <w:sz w:val="24"/>
          <w:szCs w:val="24"/>
          <w:highlight w:val="none"/>
        </w:rPr>
        <w:t>.项目名称</w:t>
      </w:r>
      <w:r>
        <w:rPr>
          <w:rFonts w:hint="eastAsia" w:ascii="宋体" w:hAnsi="宋体" w:cs="仿宋_GB2312"/>
          <w:bCs/>
          <w:color w:val="auto"/>
          <w:sz w:val="24"/>
          <w:szCs w:val="24"/>
          <w:highlight w:val="none"/>
        </w:rPr>
        <w:t>：</w:t>
      </w:r>
      <w:r>
        <w:rPr>
          <w:rFonts w:hint="eastAsia" w:ascii="宋体" w:hAnsi="宋体" w:eastAsia="宋体" w:cs="仿宋_GB2312"/>
          <w:bCs/>
          <w:color w:val="auto"/>
          <w:sz w:val="24"/>
          <w:szCs w:val="24"/>
          <w:highlight w:val="none"/>
          <w:u w:val="single"/>
          <w:lang w:eastAsia="zh-CN"/>
        </w:rPr>
        <w:t>广州市白云区棠涌村城中村改造项目首开区安置地块及安置区配套道路项目</w:t>
      </w:r>
      <w:r>
        <w:rPr>
          <w:rFonts w:hint="eastAsia" w:ascii="宋体" w:hAnsi="宋体" w:eastAsia="宋体" w:cs="仿宋_GB2312"/>
          <w:bCs/>
          <w:color w:val="auto"/>
          <w:sz w:val="24"/>
          <w:szCs w:val="24"/>
          <w:highlight w:val="none"/>
          <w:u w:val="single"/>
          <w:lang w:val="en-US" w:eastAsia="zh-CN"/>
        </w:rPr>
        <w:t xml:space="preserve"> </w:t>
      </w:r>
    </w:p>
    <w:p w14:paraId="0BD0C0D6">
      <w:pPr>
        <w:widowControl/>
        <w:snapToGrid w:val="0"/>
        <w:spacing w:line="360" w:lineRule="auto"/>
        <w:ind w:firstLine="480" w:firstLineChars="200"/>
        <w:jc w:val="left"/>
        <w:rPr>
          <w:rFonts w:ascii="宋体" w:hAnsi="宋体" w:cs="仿宋_GB2312"/>
          <w:bCs/>
          <w:color w:val="auto"/>
          <w:kern w:val="0"/>
          <w:sz w:val="24"/>
          <w:szCs w:val="24"/>
          <w:highlight w:val="none"/>
        </w:rPr>
      </w:pPr>
      <w:r>
        <w:rPr>
          <w:rFonts w:hint="eastAsia" w:ascii="宋体" w:hAnsi="宋体" w:cs="仿宋_GB2312"/>
          <w:bCs/>
          <w:color w:val="auto"/>
          <w:kern w:val="0"/>
          <w:sz w:val="24"/>
          <w:szCs w:val="24"/>
          <w:highlight w:val="none"/>
        </w:rPr>
        <w:t>1.2.项目地点：</w:t>
      </w:r>
      <w:r>
        <w:rPr>
          <w:rFonts w:hint="eastAsia" w:ascii="宋体" w:hAnsi="宋体" w:cs="仿宋_GB2312"/>
          <w:bCs/>
          <w:color w:val="auto"/>
          <w:kern w:val="0"/>
          <w:sz w:val="24"/>
          <w:szCs w:val="24"/>
          <w:highlight w:val="none"/>
          <w:u w:val="single"/>
          <w:lang w:val="en-US" w:eastAsia="zh-CN"/>
        </w:rPr>
        <w:t>广州市</w:t>
      </w:r>
      <w:r>
        <w:rPr>
          <w:rFonts w:hint="eastAsia" w:ascii="宋体" w:hAnsi="宋体" w:cs="仿宋_GB2312"/>
          <w:bCs/>
          <w:color w:val="auto"/>
          <w:kern w:val="0"/>
          <w:sz w:val="24"/>
          <w:szCs w:val="24"/>
          <w:highlight w:val="none"/>
          <w:u w:val="single"/>
        </w:rPr>
        <w:t>白云区中南部，纵六路以东、棠安路以西</w:t>
      </w:r>
      <w:r>
        <w:rPr>
          <w:rFonts w:hint="eastAsia" w:ascii="宋体" w:hAnsi="宋体" w:cs="仿宋_GB2312"/>
          <w:bCs/>
          <w:color w:val="auto"/>
          <w:kern w:val="0"/>
          <w:sz w:val="24"/>
          <w:szCs w:val="24"/>
          <w:highlight w:val="none"/>
          <w:u w:val="single"/>
          <w:lang w:eastAsia="zh-CN"/>
        </w:rPr>
        <w:t>，</w:t>
      </w:r>
      <w:r>
        <w:rPr>
          <w:rFonts w:hint="eastAsia" w:ascii="宋体" w:hAnsi="宋体" w:cs="仿宋_GB2312"/>
          <w:bCs/>
          <w:color w:val="auto"/>
          <w:kern w:val="0"/>
          <w:sz w:val="24"/>
          <w:szCs w:val="24"/>
          <w:highlight w:val="none"/>
          <w:u w:val="single"/>
          <w:lang w:val="en-US" w:eastAsia="zh-CN"/>
        </w:rPr>
        <w:t>汇桥北路以北</w:t>
      </w:r>
      <w:r>
        <w:rPr>
          <w:rFonts w:hint="eastAsia" w:ascii="宋体" w:hAnsi="宋体" w:cs="仿宋_GB2312"/>
          <w:bCs/>
          <w:color w:val="auto"/>
          <w:kern w:val="0"/>
          <w:sz w:val="24"/>
          <w:szCs w:val="24"/>
          <w:highlight w:val="none"/>
          <w:u w:val="single"/>
        </w:rPr>
        <w:t>。</w:t>
      </w:r>
    </w:p>
    <w:p w14:paraId="7C600B22">
      <w:pPr>
        <w:widowControl/>
        <w:snapToGrid w:val="0"/>
        <w:spacing w:line="360" w:lineRule="auto"/>
        <w:ind w:firstLine="480" w:firstLineChars="200"/>
        <w:jc w:val="left"/>
        <w:rPr>
          <w:rFonts w:hint="eastAsia" w:ascii="宋体" w:hAnsi="宋体" w:cs="仿宋_GB2312"/>
          <w:bCs/>
          <w:color w:val="auto"/>
          <w:kern w:val="0"/>
          <w:sz w:val="24"/>
          <w:szCs w:val="24"/>
          <w:highlight w:val="none"/>
        </w:rPr>
      </w:pPr>
      <w:r>
        <w:rPr>
          <w:rFonts w:hint="eastAsia" w:ascii="宋体" w:hAnsi="宋体" w:cs="仿宋_GB2312"/>
          <w:bCs/>
          <w:color w:val="auto"/>
          <w:kern w:val="0"/>
          <w:sz w:val="24"/>
          <w:szCs w:val="24"/>
          <w:highlight w:val="none"/>
        </w:rPr>
        <w:t>1.3.项目规模及建设内容：</w:t>
      </w:r>
    </w:p>
    <w:p w14:paraId="3DC12A32">
      <w:pPr>
        <w:widowControl/>
        <w:snapToGrid w:val="0"/>
        <w:spacing w:line="360" w:lineRule="auto"/>
        <w:ind w:firstLine="480" w:firstLineChars="200"/>
        <w:jc w:val="left"/>
        <w:rPr>
          <w:rFonts w:hint="eastAsia" w:ascii="宋体" w:hAnsi="宋体" w:cs="仿宋_GB2312"/>
          <w:bCs/>
          <w:color w:val="auto"/>
          <w:kern w:val="0"/>
          <w:sz w:val="24"/>
          <w:szCs w:val="24"/>
          <w:highlight w:val="none"/>
          <w:u w:val="single"/>
        </w:rPr>
      </w:pPr>
      <w:r>
        <w:rPr>
          <w:rFonts w:hint="eastAsia" w:ascii="宋体" w:hAnsi="宋体" w:eastAsia="宋体" w:cs="宋体"/>
          <w:color w:val="auto"/>
          <w:kern w:val="2"/>
          <w:sz w:val="24"/>
          <w:szCs w:val="24"/>
          <w:highlight w:val="none"/>
          <w:lang w:val="en-US" w:eastAsia="zh-CN" w:bidi="ar"/>
        </w:rPr>
        <w:t>项目建设内容为对地块（AB2801021地块）用地红线范围内的安置房、公共服务配套设施等房屋建筑工程</w:t>
      </w:r>
      <w:r>
        <w:rPr>
          <w:rFonts w:hint="eastAsia" w:ascii="宋体" w:hAnsi="宋体" w:cs="宋体"/>
          <w:color w:val="auto"/>
          <w:kern w:val="2"/>
          <w:sz w:val="24"/>
          <w:szCs w:val="24"/>
          <w:highlight w:val="none"/>
          <w:lang w:val="en-US" w:eastAsia="zh-CN" w:bidi="ar"/>
        </w:rPr>
        <w:t>及附属配套（配建）工程</w:t>
      </w:r>
      <w:r>
        <w:rPr>
          <w:rFonts w:hint="eastAsia" w:ascii="宋体" w:hAnsi="宋体" w:eastAsia="宋体" w:cs="宋体"/>
          <w:color w:val="auto"/>
          <w:kern w:val="2"/>
          <w:sz w:val="24"/>
          <w:szCs w:val="24"/>
          <w:highlight w:val="none"/>
          <w:lang w:val="en-US" w:eastAsia="zh-CN" w:bidi="ar"/>
        </w:rPr>
        <w:t>。本地块（AB2801021地块）规划用地面积20468.00平米，总建筑面积151166.00㎡，总计容面积108480.00㎡，不计容面积为42686.00㎡，容积率为5.3；建筑密度28%，绿地率35.01%；规划总户数1050户，规划人数为3360人，设机动车位1087个，非机动车位1103个。（最终建设规模及指标以控规批复方案为准）。</w:t>
      </w:r>
    </w:p>
    <w:p w14:paraId="69AD7BC1">
      <w:pPr>
        <w:pStyle w:val="26"/>
        <w:ind w:firstLine="480"/>
        <w:rPr>
          <w:rFonts w:hint="eastAsia" w:ascii="宋体" w:hAnsi="宋体" w:eastAsia="宋体" w:cs="仿宋_GB2312"/>
          <w:bCs/>
          <w:color w:val="auto"/>
          <w:sz w:val="24"/>
          <w:szCs w:val="24"/>
          <w:highlight w:val="none"/>
          <w:u w:val="single"/>
        </w:rPr>
      </w:pPr>
      <w:r>
        <w:rPr>
          <w:rFonts w:hint="eastAsia" w:ascii="宋体" w:hAnsi="宋体" w:eastAsia="宋体" w:cs="仿宋_GB2312"/>
          <w:bCs/>
          <w:color w:val="auto"/>
          <w:sz w:val="24"/>
          <w:szCs w:val="24"/>
          <w:highlight w:val="none"/>
        </w:rPr>
        <w:t>1</w:t>
      </w:r>
      <w:r>
        <w:rPr>
          <w:rFonts w:ascii="宋体" w:hAnsi="宋体" w:eastAsia="宋体" w:cs="仿宋_GB2312"/>
          <w:bCs/>
          <w:color w:val="auto"/>
          <w:sz w:val="24"/>
          <w:szCs w:val="24"/>
          <w:highlight w:val="none"/>
        </w:rPr>
        <w:t>.4.</w:t>
      </w:r>
      <w:r>
        <w:rPr>
          <w:rFonts w:hint="eastAsia" w:ascii="宋体" w:hAnsi="宋体" w:eastAsia="宋体" w:cs="仿宋_GB2312"/>
          <w:bCs/>
          <w:color w:val="auto"/>
          <w:sz w:val="24"/>
          <w:szCs w:val="24"/>
          <w:highlight w:val="none"/>
        </w:rPr>
        <w:t>项目总投资（估算投资）：</w:t>
      </w:r>
      <w:r>
        <w:rPr>
          <w:rFonts w:hint="eastAsia" w:ascii="宋体" w:hAnsi="宋体" w:eastAsia="宋体" w:cs="仿宋_GB2312"/>
          <w:bCs/>
          <w:color w:val="auto"/>
          <w:sz w:val="24"/>
          <w:szCs w:val="24"/>
          <w:highlight w:val="none"/>
          <w:u w:val="single"/>
        </w:rPr>
        <w:t>本项目总投资为197205.71万元。</w:t>
      </w:r>
    </w:p>
    <w:p w14:paraId="71AA90FD">
      <w:pPr>
        <w:pStyle w:val="26"/>
        <w:ind w:firstLine="480"/>
        <w:rPr>
          <w:rFonts w:ascii="宋体" w:hAnsi="宋体" w:eastAsia="宋体" w:cs="仿宋_GB2312"/>
          <w:bCs/>
          <w:color w:val="auto"/>
          <w:sz w:val="24"/>
          <w:szCs w:val="24"/>
          <w:highlight w:val="none"/>
        </w:rPr>
      </w:pPr>
      <w:r>
        <w:rPr>
          <w:rFonts w:hint="eastAsia" w:ascii="宋体" w:hAnsi="宋体" w:eastAsia="宋体" w:cs="仿宋_GB2312"/>
          <w:bCs/>
          <w:color w:val="auto"/>
          <w:sz w:val="24"/>
          <w:szCs w:val="24"/>
          <w:highlight w:val="none"/>
        </w:rPr>
        <w:t>1</w:t>
      </w:r>
      <w:r>
        <w:rPr>
          <w:rFonts w:ascii="宋体" w:hAnsi="宋体" w:eastAsia="宋体" w:cs="仿宋_GB2312"/>
          <w:bCs/>
          <w:color w:val="auto"/>
          <w:sz w:val="24"/>
          <w:szCs w:val="24"/>
          <w:highlight w:val="none"/>
        </w:rPr>
        <w:t>.5.</w:t>
      </w:r>
      <w:r>
        <w:rPr>
          <w:rFonts w:hint="eastAsia" w:ascii="宋体" w:hAnsi="宋体" w:eastAsia="宋体" w:cs="仿宋_GB2312"/>
          <w:bCs/>
          <w:color w:val="auto"/>
          <w:sz w:val="24"/>
          <w:szCs w:val="24"/>
          <w:highlight w:val="none"/>
        </w:rPr>
        <w:t>资金来源：本项目资金来源于财政资金和企业自筹资金。</w:t>
      </w:r>
    </w:p>
    <w:p w14:paraId="7BF0FA6F">
      <w:pPr>
        <w:snapToGrid w:val="0"/>
        <w:spacing w:line="360" w:lineRule="auto"/>
        <w:ind w:firstLine="480" w:firstLineChars="200"/>
        <w:rPr>
          <w:rFonts w:hint="eastAsia" w:asciiTheme="minorEastAsia" w:hAnsiTheme="minorEastAsia" w:eastAsiaTheme="minorEastAsia" w:cstheme="minorEastAsia"/>
          <w:bCs/>
          <w:color w:val="auto"/>
          <w:kern w:val="0"/>
          <w:sz w:val="24"/>
          <w:szCs w:val="24"/>
          <w:highlight w:val="none"/>
        </w:rPr>
      </w:pPr>
      <w:r>
        <w:rPr>
          <w:rFonts w:hint="eastAsia" w:asciiTheme="minorEastAsia" w:hAnsiTheme="minorEastAsia" w:eastAsiaTheme="minorEastAsia" w:cstheme="minorEastAsia"/>
          <w:bCs/>
          <w:color w:val="auto"/>
          <w:kern w:val="0"/>
          <w:sz w:val="24"/>
          <w:szCs w:val="24"/>
          <w:highlight w:val="none"/>
        </w:rPr>
        <w:t>1.6.项目建设工期：</w:t>
      </w:r>
      <w:r>
        <w:rPr>
          <w:rFonts w:hint="eastAsia" w:asciiTheme="minorEastAsia" w:hAnsiTheme="minorEastAsia" w:eastAsiaTheme="minorEastAsia" w:cstheme="minorEastAsia"/>
          <w:color w:val="auto"/>
          <w:sz w:val="24"/>
          <w:szCs w:val="24"/>
          <w:highlight w:val="none"/>
          <w:u w:val="single"/>
          <w:lang w:val="en-US" w:eastAsia="zh-CN"/>
        </w:rPr>
        <w:t>700</w:t>
      </w:r>
      <w:r>
        <w:rPr>
          <w:rFonts w:hint="eastAsia" w:asciiTheme="minorEastAsia" w:hAnsiTheme="minorEastAsia" w:eastAsiaTheme="minorEastAsia" w:cstheme="minorEastAsia"/>
          <w:color w:val="auto"/>
          <w:sz w:val="24"/>
          <w:szCs w:val="24"/>
          <w:highlight w:val="none"/>
          <w:u w:val="single"/>
        </w:rPr>
        <w:t xml:space="preserve"> 个日历天，具体以实际开工日期为准。</w:t>
      </w:r>
    </w:p>
    <w:p w14:paraId="1E1EDF64">
      <w:pPr>
        <w:kinsoku w:val="0"/>
        <w:wordWrap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1.7.工程质量标准：</w:t>
      </w:r>
      <w:r>
        <w:rPr>
          <w:rFonts w:hint="eastAsia" w:asciiTheme="minorEastAsia" w:hAnsiTheme="minorEastAsia" w:eastAsiaTheme="minorEastAsia" w:cstheme="minorEastAsia"/>
          <w:color w:val="auto"/>
          <w:sz w:val="24"/>
          <w:szCs w:val="24"/>
          <w:highlight w:val="none"/>
          <w:lang w:eastAsia="zh-CN"/>
        </w:rPr>
        <w:t>在满足相关技术标准规定合格的基础上，经过对工程结构安全、使用功能、建筑节能、观感质量以及工程资料的综合评价，达到《建筑工程施工质量评价标准》（GBT 50375-2016）</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《建筑与市政工程施工质量控制通用规范》</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GB 55032-2022</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水利水电工程施工质量检验与评定规程</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规定的优良标准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并且需</w:t>
      </w:r>
      <w:r>
        <w:rPr>
          <w:rFonts w:hint="eastAsia" w:asciiTheme="minorEastAsia" w:hAnsiTheme="minorEastAsia" w:eastAsiaTheme="minorEastAsia" w:cstheme="minorEastAsia"/>
          <w:color w:val="auto"/>
          <w:sz w:val="24"/>
          <w:szCs w:val="24"/>
          <w:highlight w:val="none"/>
          <w:lang w:eastAsia="zh-CN"/>
        </w:rPr>
        <w:t>按照广州市城中村改造建设指挥部办公室关于印发《广州市城中村改造项目改造主体工作评估实施细则（试行）》的通知中关于“四好”建设、“平急两用”、新型建筑工业化、绿色建筑（含光伏）、建筑废弃物再利用、市政管线同步建设（含综合管廊建设）、城中村改造与保障性住房建设相结合等相关工作内容，</w:t>
      </w:r>
      <w:r>
        <w:rPr>
          <w:rFonts w:hint="eastAsia" w:asciiTheme="minorEastAsia" w:hAnsiTheme="minorEastAsia" w:eastAsiaTheme="minorEastAsia" w:cstheme="minorEastAsia"/>
          <w:color w:val="auto"/>
          <w:sz w:val="24"/>
          <w:szCs w:val="24"/>
          <w:highlight w:val="none"/>
          <w:lang w:val="en-US" w:eastAsia="zh-CN"/>
        </w:rPr>
        <w:t>监督落实</w:t>
      </w:r>
      <w:r>
        <w:rPr>
          <w:rFonts w:hint="eastAsia" w:asciiTheme="minorEastAsia" w:hAnsiTheme="minorEastAsia" w:eastAsiaTheme="minorEastAsia" w:cstheme="minorEastAsia"/>
          <w:color w:val="auto"/>
          <w:sz w:val="24"/>
          <w:szCs w:val="24"/>
          <w:highlight w:val="none"/>
          <w:lang w:eastAsia="zh-CN"/>
        </w:rPr>
        <w:t>各项内容均应达到“优秀”标准。因政策及技术等因素，造成项目实际已无法达到优秀的评估标准，经</w:t>
      </w:r>
      <w:r>
        <w:rPr>
          <w:rFonts w:hint="eastAsia" w:asciiTheme="minorEastAsia" w:hAnsiTheme="minorEastAsia" w:eastAsiaTheme="minorEastAsia" w:cstheme="minorEastAsia"/>
          <w:color w:val="auto"/>
          <w:sz w:val="24"/>
          <w:szCs w:val="24"/>
          <w:highlight w:val="none"/>
          <w:lang w:val="en-US" w:eastAsia="zh-CN"/>
        </w:rPr>
        <w:t>乙方充分</w:t>
      </w:r>
      <w:r>
        <w:rPr>
          <w:rFonts w:hint="eastAsia" w:asciiTheme="minorEastAsia" w:hAnsiTheme="minorEastAsia" w:eastAsiaTheme="minorEastAsia" w:cstheme="minorEastAsia"/>
          <w:color w:val="auto"/>
          <w:sz w:val="24"/>
          <w:szCs w:val="24"/>
          <w:highlight w:val="none"/>
          <w:lang w:eastAsia="zh-CN"/>
        </w:rPr>
        <w:t>论证，并报</w:t>
      </w:r>
      <w:r>
        <w:rPr>
          <w:rFonts w:hint="eastAsia" w:asciiTheme="minorEastAsia" w:hAnsiTheme="minorEastAsia" w:eastAsiaTheme="minorEastAsia" w:cstheme="minorEastAsia"/>
          <w:color w:val="auto"/>
          <w:sz w:val="24"/>
          <w:szCs w:val="24"/>
          <w:highlight w:val="none"/>
          <w:lang w:val="en-US" w:eastAsia="zh-CN"/>
        </w:rPr>
        <w:t>甲方</w:t>
      </w:r>
      <w:r>
        <w:rPr>
          <w:rFonts w:hint="eastAsia" w:asciiTheme="minorEastAsia" w:hAnsiTheme="minorEastAsia" w:eastAsiaTheme="minorEastAsia" w:cstheme="minorEastAsia"/>
          <w:color w:val="auto"/>
          <w:sz w:val="24"/>
          <w:szCs w:val="24"/>
          <w:highlight w:val="none"/>
          <w:lang w:eastAsia="zh-CN"/>
        </w:rPr>
        <w:t>及行业专家研判确认后可免除</w:t>
      </w:r>
      <w:r>
        <w:rPr>
          <w:rFonts w:hint="eastAsia" w:asciiTheme="minorEastAsia" w:hAnsiTheme="minorEastAsia" w:eastAsiaTheme="minorEastAsia" w:cstheme="minorEastAsia"/>
          <w:color w:val="auto"/>
          <w:sz w:val="24"/>
          <w:szCs w:val="24"/>
          <w:highlight w:val="none"/>
          <w:lang w:val="en-US" w:eastAsia="zh-CN"/>
        </w:rPr>
        <w:t>乙方</w:t>
      </w:r>
      <w:r>
        <w:rPr>
          <w:rFonts w:hint="eastAsia" w:asciiTheme="minorEastAsia" w:hAnsiTheme="minorEastAsia" w:eastAsiaTheme="minorEastAsia" w:cstheme="minorEastAsia"/>
          <w:color w:val="auto"/>
          <w:sz w:val="24"/>
          <w:szCs w:val="24"/>
          <w:highlight w:val="none"/>
          <w:lang w:eastAsia="zh-CN"/>
        </w:rPr>
        <w:t>相关责任。水、电、燃气、通信及其他专业工程等通过专业部门验收，达到正常使用为质量合格标准。</w:t>
      </w:r>
      <w:r>
        <w:rPr>
          <w:rFonts w:hint="eastAsia" w:asciiTheme="minorEastAsia" w:hAnsiTheme="minorEastAsia" w:eastAsiaTheme="minorEastAsia" w:cstheme="minorEastAsia"/>
          <w:b/>
          <w:bCs/>
          <w:color w:val="auto"/>
          <w:sz w:val="24"/>
          <w:szCs w:val="24"/>
          <w:highlight w:val="none"/>
          <w:u w:val="single"/>
          <w:lang w:eastAsia="zh-CN"/>
        </w:rPr>
        <w:t>（若有新规范标准按新的执行）。</w:t>
      </w:r>
    </w:p>
    <w:p w14:paraId="66CDD9FF">
      <w:pPr>
        <w:tabs>
          <w:tab w:val="left" w:pos="1080"/>
          <w:tab w:val="left" w:pos="1418"/>
        </w:tabs>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1.8.投资目标：</w:t>
      </w:r>
      <w:r>
        <w:rPr>
          <w:rFonts w:hint="eastAsia" w:asciiTheme="minorEastAsia" w:hAnsiTheme="minorEastAsia" w:eastAsiaTheme="minorEastAsia" w:cstheme="minorEastAsia"/>
          <w:color w:val="auto"/>
          <w:sz w:val="24"/>
          <w:szCs w:val="24"/>
          <w:highlight w:val="none"/>
        </w:rPr>
        <w:t>根据批准的初步设计，组织编制项目工程投资概算，并报行业主管部门批复，经行业主管部门批复及甲方认可的投资概算作为该项目投资控制的目标。</w:t>
      </w:r>
    </w:p>
    <w:p w14:paraId="22BDCF59">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Cs/>
          <w:color w:val="auto"/>
          <w:sz w:val="24"/>
          <w:szCs w:val="24"/>
          <w:highlight w:val="none"/>
        </w:rPr>
        <w:t>1.9.安全文明目标：</w:t>
      </w:r>
      <w:r>
        <w:rPr>
          <w:rFonts w:hint="eastAsia" w:asciiTheme="minorEastAsia" w:hAnsiTheme="minorEastAsia" w:eastAsiaTheme="minorEastAsia" w:cstheme="minorEastAsia"/>
          <w:color w:val="auto"/>
          <w:sz w:val="24"/>
          <w:szCs w:val="24"/>
          <w:highlight w:val="none"/>
        </w:rPr>
        <w:t>严格执行有关安全的法律法规和规章制度，合格且无安全责任事故且工伤责任事故死亡人数为零，确保现场符合安全文明施工要求。定时每月对各参建单位的安全管理情况、安全管理台账进行检查，对存在安全管理人员不到位、安全责任未落实、安全防护措施不完善等违规行为签发整改通知书，并整改回复后交建设单位审核。确保取得市级安全文明绿色施工样板工地，争创省级安全文明示范工地或国家级施工安全生产标准化工地。</w:t>
      </w:r>
    </w:p>
    <w:p w14:paraId="34FD3CC4">
      <w:pPr>
        <w:tabs>
          <w:tab w:val="left" w:pos="1080"/>
          <w:tab w:val="left" w:pos="1134"/>
        </w:tabs>
        <w:adjustRightInd w:val="0"/>
        <w:snapToGrid w:val="0"/>
        <w:spacing w:line="360" w:lineRule="auto"/>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1.10.建设管理模式</w:t>
      </w:r>
    </w:p>
    <w:p w14:paraId="0F9F9ADF">
      <w:pPr>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1.10.1.合同生效后，建设管理单位作为本</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的乙方，履行本合同约定的相关权利和义务，并承担相应的责任。</w:t>
      </w:r>
    </w:p>
    <w:p w14:paraId="7CE2D784">
      <w:pPr>
        <w:pStyle w:val="5"/>
        <w:numPr>
          <w:ilvl w:val="1"/>
          <w:numId w:val="0"/>
        </w:numPr>
        <w:snapToGrid w:val="0"/>
        <w:spacing w:before="0" w:line="360" w:lineRule="auto"/>
        <w:ind w:firstLine="496" w:firstLineChars="207"/>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sz w:val="24"/>
          <w:szCs w:val="24"/>
          <w:highlight w:val="none"/>
        </w:rPr>
        <w:t>1.10.2.建设管理期限：自</w:t>
      </w:r>
      <w:r>
        <w:rPr>
          <w:rFonts w:hint="eastAsia" w:asciiTheme="minorEastAsia" w:hAnsiTheme="minorEastAsia" w:eastAsiaTheme="minorEastAsia" w:cstheme="minorEastAsia"/>
          <w:color w:val="auto"/>
          <w:kern w:val="2"/>
          <w:sz w:val="24"/>
          <w:szCs w:val="24"/>
          <w:highlight w:val="none"/>
        </w:rPr>
        <w:t>合同签订之日起至项目通过工程竣工验收及保修期结束止</w:t>
      </w:r>
      <w:bookmarkStart w:id="2" w:name="_Toc209925176"/>
      <w:bookmarkStart w:id="3" w:name="_Toc268175284"/>
      <w:r>
        <w:rPr>
          <w:rFonts w:hint="eastAsia" w:asciiTheme="minorEastAsia" w:hAnsiTheme="minorEastAsia" w:eastAsiaTheme="minorEastAsia" w:cstheme="minorEastAsia"/>
          <w:color w:val="auto"/>
          <w:kern w:val="2"/>
          <w:sz w:val="24"/>
          <w:szCs w:val="24"/>
          <w:highlight w:val="none"/>
        </w:rPr>
        <w:t>。</w:t>
      </w:r>
    </w:p>
    <w:p w14:paraId="08A6A527">
      <w:pPr>
        <w:tabs>
          <w:tab w:val="left" w:pos="1080"/>
          <w:tab w:val="left" w:pos="1418"/>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 建设管理服务范围、内容</w:t>
      </w:r>
    </w:p>
    <w:p w14:paraId="31D31472">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项目建设进行项目建设管理服务，内容包括但不限于以下内容：为建设单位提供前期报建、设计管理、监理管理等工作的协调和管理、招标管理、施工项目管理、档案管理、结算管理等服务，代表建设单位对工程项目进行质量、进度、投资控制和安全、合同、信息等管理工作，包括但不限于以下几点：</w:t>
      </w:r>
    </w:p>
    <w:p w14:paraId="23B90981">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1.11.1.负责组织建设过程中的设计施工交底和技术协调；</w:t>
      </w:r>
    </w:p>
    <w:p w14:paraId="16E60B07">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1.11.2.负责组织项目</w:t>
      </w:r>
      <w:r>
        <w:rPr>
          <w:rFonts w:hint="eastAsia" w:asciiTheme="minorEastAsia" w:hAnsiTheme="minorEastAsia" w:eastAsiaTheme="minorEastAsia" w:cstheme="minorEastAsia"/>
          <w:color w:val="auto"/>
          <w:sz w:val="24"/>
          <w:szCs w:val="24"/>
          <w:highlight w:val="none"/>
          <w:lang w:val="en-US" w:eastAsia="zh-CN"/>
        </w:rPr>
        <w:t>实施</w:t>
      </w:r>
      <w:r>
        <w:rPr>
          <w:rFonts w:hint="eastAsia" w:asciiTheme="minorEastAsia" w:hAnsiTheme="minorEastAsia" w:eastAsiaTheme="minorEastAsia" w:cstheme="minorEastAsia"/>
          <w:color w:val="auto"/>
          <w:sz w:val="24"/>
          <w:szCs w:val="24"/>
          <w:highlight w:val="none"/>
        </w:rPr>
        <w:t>过程中</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rPr>
        <w:t>限价、</w:t>
      </w:r>
      <w:r>
        <w:rPr>
          <w:rFonts w:hint="eastAsia" w:asciiTheme="minorEastAsia" w:hAnsiTheme="minorEastAsia" w:eastAsiaTheme="minorEastAsia" w:cstheme="minorEastAsia"/>
          <w:color w:val="auto"/>
          <w:sz w:val="24"/>
          <w:szCs w:val="24"/>
          <w:highlight w:val="none"/>
          <w:lang w:val="en-US" w:eastAsia="zh-CN"/>
        </w:rPr>
        <w:t>工程概算、施工图预算、</w:t>
      </w:r>
      <w:r>
        <w:rPr>
          <w:rFonts w:hint="eastAsia" w:asciiTheme="minorEastAsia" w:hAnsiTheme="minorEastAsia" w:eastAsiaTheme="minorEastAsia" w:cstheme="minorEastAsia"/>
          <w:color w:val="auto"/>
          <w:sz w:val="24"/>
          <w:szCs w:val="24"/>
          <w:highlight w:val="none"/>
        </w:rPr>
        <w:t>签证变更、结算等有关的造价审核及控制工作。</w:t>
      </w:r>
    </w:p>
    <w:p w14:paraId="60E3DEF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1.11.3.负责项目建设全过程的质量管理、投资管理、</w:t>
      </w:r>
      <w:r>
        <w:rPr>
          <w:rFonts w:hint="eastAsia" w:asciiTheme="minorEastAsia" w:hAnsiTheme="minorEastAsia" w:eastAsiaTheme="minorEastAsia" w:cstheme="minorEastAsia"/>
          <w:color w:val="auto"/>
          <w:sz w:val="24"/>
          <w:szCs w:val="24"/>
          <w:highlight w:val="none"/>
          <w:lang w:val="en-US" w:eastAsia="zh-CN"/>
        </w:rPr>
        <w:t>进度管理、</w:t>
      </w:r>
      <w:r>
        <w:rPr>
          <w:rFonts w:hint="eastAsia" w:asciiTheme="minorEastAsia" w:hAnsiTheme="minorEastAsia" w:eastAsiaTheme="minorEastAsia" w:cstheme="minorEastAsia"/>
          <w:color w:val="auto"/>
          <w:sz w:val="24"/>
          <w:szCs w:val="24"/>
          <w:highlight w:val="none"/>
        </w:rPr>
        <w:t>安全管理和文明施工管理、协调各方关系、建设档案和信息管理等。</w:t>
      </w:r>
    </w:p>
    <w:p w14:paraId="194F67BD">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1.11.4.负责组织竣工验收工作，组织编制建设工程竣工结（决）算书，收集编制考核验收资料，协助编制财务结（决）算报告；配合审计，向招标人和城建档案部门移交竣工档案资料；</w:t>
      </w:r>
    </w:p>
    <w:p w14:paraId="51E93D7E">
      <w:pPr>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1.11.5.负责办理项目总体竣工验收及移交手续。</w:t>
      </w:r>
    </w:p>
    <w:bookmarkEnd w:id="2"/>
    <w:bookmarkEnd w:id="3"/>
    <w:p w14:paraId="1BF4903D">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双方的职责</w:t>
      </w:r>
    </w:p>
    <w:p w14:paraId="2D971DF1">
      <w:pPr>
        <w:numPr>
          <w:ilvl w:val="1"/>
          <w:numId w:val="0"/>
        </w:numPr>
        <w:tabs>
          <w:tab w:val="left" w:pos="480"/>
          <w:tab w:val="left" w:pos="1134"/>
          <w:tab w:val="left" w:pos="8820"/>
        </w:tabs>
        <w:adjustRightInd w:val="0"/>
        <w:snapToGrid w:val="0"/>
        <w:spacing w:line="360" w:lineRule="auto"/>
        <w:ind w:firstLine="482"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 xml:space="preserve">2.1. </w:t>
      </w:r>
      <w:r>
        <w:rPr>
          <w:rFonts w:hint="eastAsia" w:asciiTheme="minorEastAsia" w:hAnsiTheme="minorEastAsia" w:eastAsiaTheme="minorEastAsia" w:cstheme="minorEastAsia"/>
          <w:bCs/>
          <w:color w:val="auto"/>
          <w:sz w:val="24"/>
          <w:szCs w:val="24"/>
          <w:highlight w:val="none"/>
        </w:rPr>
        <w:t>甲方职责：</w:t>
      </w:r>
    </w:p>
    <w:p w14:paraId="26AF9C44">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甲方应当在建设管理合同签订后，向乙方移交本项目前期工作的所有资料。</w:t>
      </w:r>
    </w:p>
    <w:p w14:paraId="60D6B865">
      <w:pPr>
        <w:tabs>
          <w:tab w:val="left" w:pos="720"/>
          <w:tab w:val="left" w:pos="1276"/>
          <w:tab w:val="left" w:pos="1418"/>
        </w:tabs>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2.1.2. 工程开工前，甲方应配合征地方确认已完成征地拆迁工作，并书面移交建设场地给乙方。</w:t>
      </w:r>
    </w:p>
    <w:p w14:paraId="05E7C44A">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在工程建设过程中确保各年度计划资金到位，</w:t>
      </w:r>
      <w:r>
        <w:rPr>
          <w:rFonts w:hint="eastAsia" w:asciiTheme="minorEastAsia" w:hAnsiTheme="minorEastAsia" w:eastAsiaTheme="minorEastAsia" w:cstheme="minorEastAsia"/>
          <w:color w:val="auto"/>
          <w:sz w:val="24"/>
          <w:szCs w:val="24"/>
          <w:highlight w:val="none"/>
          <w:lang w:val="en-US" w:eastAsia="zh-CN"/>
        </w:rPr>
        <w:t>资金到位时</w:t>
      </w:r>
      <w:r>
        <w:rPr>
          <w:rFonts w:hint="eastAsia" w:asciiTheme="minorEastAsia" w:hAnsiTheme="minorEastAsia" w:eastAsiaTheme="minorEastAsia" w:cstheme="minorEastAsia"/>
          <w:color w:val="auto"/>
          <w:sz w:val="24"/>
          <w:szCs w:val="24"/>
          <w:highlight w:val="none"/>
        </w:rPr>
        <w:t>按各合同约定的时间及时支付已审批的</w:t>
      </w:r>
      <w:r>
        <w:rPr>
          <w:rFonts w:hint="eastAsia" w:asciiTheme="minorEastAsia" w:hAnsiTheme="minorEastAsia" w:eastAsiaTheme="minorEastAsia" w:cstheme="minorEastAsia"/>
          <w:color w:val="auto"/>
          <w:sz w:val="24"/>
          <w:szCs w:val="24"/>
          <w:highlight w:val="none"/>
          <w:lang w:val="en-US" w:eastAsia="zh-CN"/>
        </w:rPr>
        <w:t>各类</w:t>
      </w:r>
      <w:r>
        <w:rPr>
          <w:rFonts w:hint="eastAsia" w:asciiTheme="minorEastAsia" w:hAnsiTheme="minorEastAsia" w:eastAsiaTheme="minorEastAsia" w:cstheme="minorEastAsia"/>
          <w:color w:val="auto"/>
          <w:sz w:val="24"/>
          <w:szCs w:val="24"/>
          <w:highlight w:val="none"/>
        </w:rPr>
        <w:t>建设</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rPr>
        <w:t>款项。非因甲方原因，资金不能到位时应及时与乙方沟通。</w:t>
      </w:r>
    </w:p>
    <w:p w14:paraId="39CA2AA7">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甲方应提请政府相关部门尽量为建设管理工作提供外部条件，协调工程建设的相关外部关系，积极配合乙方办理相关建设手续。</w:t>
      </w:r>
    </w:p>
    <w:p w14:paraId="6EF8F481">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甲方应当会同乙方确定各项功能需求和相关的建设标准，参与和审批各项技术、设计和建设方案，并批准确认。</w:t>
      </w:r>
    </w:p>
    <w:p w14:paraId="166E2D6A">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甲方对于乙方在建设管理期间提出的书面意见，甲方应当在收到书面意见后及时给予答复。</w:t>
      </w:r>
    </w:p>
    <w:p w14:paraId="647A5F46">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甲方提出的变更，应在变更文件清楚列明变更的项目、部位、材料、设备等内容。乙方应在收到变更通知后</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个工作日内将变更实施方案及所形成的后果（如投资增减、工期影响等）报送甲方，按程序审批后及时组织施工。</w:t>
      </w:r>
    </w:p>
    <w:p w14:paraId="699C7037">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甲方协助乙方本项目设备的采购和安装，具体设备项目以甲乙双方确认并报行业主管部门批复，经行业主管部门批复的项目概算为准。</w:t>
      </w:r>
    </w:p>
    <w:p w14:paraId="52ED55A2">
      <w:pPr>
        <w:numPr>
          <w:ilvl w:val="2"/>
          <w:numId w:val="3"/>
        </w:numPr>
        <w:tabs>
          <w:tab w:val="left" w:pos="720"/>
          <w:tab w:val="left" w:pos="1276"/>
          <w:tab w:val="left" w:pos="1418"/>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因甲方原因而造成了项目建设规模、建设内容、建设标准发生变化，致使工期延长、投资增加或其它经济损失的，甲方承担相应的责任。</w:t>
      </w:r>
    </w:p>
    <w:p w14:paraId="412A4C34">
      <w:pPr>
        <w:numPr>
          <w:ilvl w:val="1"/>
          <w:numId w:val="3"/>
        </w:numPr>
        <w:tabs>
          <w:tab w:val="left" w:pos="1134"/>
          <w:tab w:val="left" w:pos="8820"/>
        </w:tabs>
        <w:adjustRightInd w:val="0"/>
        <w:snapToGrid w:val="0"/>
        <w:spacing w:line="360" w:lineRule="auto"/>
        <w:ind w:left="0"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乙方职责：</w:t>
      </w:r>
    </w:p>
    <w:p w14:paraId="634DA094">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主要职责和工作内容包括：在项目决策阶段，与</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共同组织设计优化工作，进行可行性研究和项目建设策划；在项目实施阶段，代表</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进行设计管理、招标管理、采购管理、施工管理和竣工验收等，并对工程项目进行质量、安全、进度、费用、合同、信息等管理和控制。</w:t>
      </w:r>
    </w:p>
    <w:p w14:paraId="7DC6C55B">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负责办理本项目立项和前期报建报批等相关手续。</w:t>
      </w:r>
    </w:p>
    <w:p w14:paraId="2D5FA64C">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
        </w:rPr>
        <w:t>负责项目设计管理工作；</w:t>
      </w:r>
      <w:r>
        <w:rPr>
          <w:rFonts w:hint="eastAsia" w:asciiTheme="minorEastAsia" w:hAnsiTheme="minorEastAsia" w:eastAsiaTheme="minorEastAsia" w:cstheme="minorEastAsia"/>
          <w:color w:val="auto"/>
          <w:sz w:val="24"/>
          <w:szCs w:val="24"/>
          <w:highlight w:val="none"/>
        </w:rPr>
        <w:t>负责工程初步设计、施工图设计各阶段与设计单位的联络和协调工作，组织设计优化和批报工作，确保项目设计按批准的建设规模、功能、标准和工期顺利实施；负责组织建设过程中的设计施工交底和技术协调；负责</w:t>
      </w:r>
      <w:r>
        <w:rPr>
          <w:rFonts w:hint="eastAsia" w:asciiTheme="minorEastAsia" w:hAnsiTheme="minorEastAsia" w:eastAsiaTheme="minorEastAsia" w:cstheme="minorEastAsia"/>
          <w:color w:val="auto"/>
          <w:sz w:val="24"/>
          <w:szCs w:val="24"/>
          <w:highlight w:val="none"/>
          <w:lang w:eastAsia="zh"/>
        </w:rPr>
        <w:t>组织编制及审核</w:t>
      </w:r>
      <w:r>
        <w:rPr>
          <w:rFonts w:hint="eastAsia" w:asciiTheme="minorEastAsia" w:hAnsiTheme="minorEastAsia" w:eastAsiaTheme="minorEastAsia" w:cstheme="minorEastAsia"/>
          <w:color w:val="auto"/>
          <w:sz w:val="24"/>
          <w:szCs w:val="24"/>
          <w:highlight w:val="none"/>
        </w:rPr>
        <w:t>工程</w:t>
      </w:r>
      <w:r>
        <w:rPr>
          <w:rFonts w:hint="eastAsia" w:asciiTheme="minorEastAsia" w:hAnsiTheme="minorEastAsia" w:eastAsiaTheme="minorEastAsia" w:cstheme="minorEastAsia"/>
          <w:color w:val="auto"/>
          <w:sz w:val="24"/>
          <w:szCs w:val="24"/>
          <w:highlight w:val="none"/>
          <w:lang w:eastAsia="zh"/>
        </w:rPr>
        <w:t>概</w:t>
      </w:r>
      <w:r>
        <w:rPr>
          <w:rFonts w:hint="eastAsia" w:asciiTheme="minorEastAsia" w:hAnsiTheme="minorEastAsia" w:eastAsiaTheme="minorEastAsia" w:cstheme="minorEastAsia"/>
          <w:color w:val="auto"/>
          <w:sz w:val="24"/>
          <w:szCs w:val="24"/>
          <w:highlight w:val="none"/>
        </w:rPr>
        <w:t>算</w:t>
      </w:r>
      <w:r>
        <w:rPr>
          <w:rFonts w:hint="eastAsia" w:asciiTheme="minorEastAsia" w:hAnsiTheme="minorEastAsia" w:eastAsiaTheme="minorEastAsia" w:cstheme="minorEastAsia"/>
          <w:color w:val="auto"/>
          <w:sz w:val="24"/>
          <w:szCs w:val="24"/>
          <w:highlight w:val="none"/>
          <w:lang w:eastAsia="zh"/>
        </w:rPr>
        <w:t>；</w:t>
      </w:r>
      <w:r>
        <w:rPr>
          <w:rFonts w:hint="eastAsia" w:asciiTheme="minorEastAsia" w:hAnsiTheme="minorEastAsia" w:eastAsiaTheme="minorEastAsia" w:cstheme="minorEastAsia"/>
          <w:color w:val="auto"/>
          <w:sz w:val="24"/>
          <w:szCs w:val="24"/>
          <w:highlight w:val="none"/>
        </w:rPr>
        <w:t>其他设计管理工作。</w:t>
      </w:r>
    </w:p>
    <w:p w14:paraId="42A3EE83">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负责严格按照国家、省市有关招标投标法律法规，组织工程监理、施工和材料设备采购等的招标工作。</w:t>
      </w:r>
    </w:p>
    <w:p w14:paraId="3AF8C252">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负责项目各类施工</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w:t>
      </w:r>
    </w:p>
    <w:p w14:paraId="3A70169D">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负责工程进度的管理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负责按照工期要求，</w:t>
      </w:r>
      <w:r>
        <w:rPr>
          <w:rFonts w:hint="eastAsia" w:asciiTheme="minorEastAsia" w:hAnsiTheme="minorEastAsia" w:eastAsiaTheme="minorEastAsia" w:cstheme="minorEastAsia"/>
          <w:color w:val="auto"/>
          <w:sz w:val="24"/>
          <w:szCs w:val="24"/>
          <w:highlight w:val="none"/>
          <w:lang w:eastAsia="zh"/>
        </w:rPr>
        <w:t>组织</w:t>
      </w:r>
      <w:r>
        <w:rPr>
          <w:rFonts w:hint="eastAsia" w:asciiTheme="minorEastAsia" w:hAnsiTheme="minorEastAsia" w:eastAsiaTheme="minorEastAsia" w:cstheme="minorEastAsia"/>
          <w:color w:val="auto"/>
          <w:sz w:val="24"/>
          <w:szCs w:val="24"/>
          <w:highlight w:val="none"/>
        </w:rPr>
        <w:t>编制工程进度总体计划，并报</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审定；按批准的进度计划实施项目建设工作，确保项目如期建成；</w:t>
      </w:r>
      <w:r>
        <w:rPr>
          <w:rFonts w:hint="eastAsia" w:asciiTheme="minorEastAsia" w:hAnsiTheme="minorEastAsia" w:eastAsiaTheme="minorEastAsia" w:cstheme="minorEastAsia"/>
          <w:color w:val="auto"/>
          <w:sz w:val="24"/>
          <w:szCs w:val="24"/>
          <w:highlight w:val="none"/>
          <w:lang w:eastAsia="zh"/>
        </w:rPr>
        <w:t>每周</w:t>
      </w:r>
      <w:r>
        <w:rPr>
          <w:rFonts w:hint="eastAsia" w:asciiTheme="minorEastAsia" w:hAnsiTheme="minorEastAsia" w:eastAsiaTheme="minorEastAsia" w:cstheme="minorEastAsia"/>
          <w:color w:val="auto"/>
          <w:sz w:val="24"/>
          <w:szCs w:val="24"/>
          <w:highlight w:val="none"/>
        </w:rPr>
        <w:t>组织召开工程例会，及时分析、协调、平衡和调整工程进度，每月5日前向</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上报上月有关进度的信息、报表和存在的问题；其他工程进度管理工作。</w:t>
      </w:r>
    </w:p>
    <w:p w14:paraId="55C91937">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负责工程的质量管理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按照国家和省市颁布的建筑管理条例和施工规范,以及对项目建设标准、技术规范的要求，建立质量保证体系，严格管理，确保工程质量达到预定目标；对工程质量负</w:t>
      </w:r>
      <w:r>
        <w:rPr>
          <w:rFonts w:hint="eastAsia" w:asciiTheme="minorEastAsia" w:hAnsiTheme="minorEastAsia" w:eastAsiaTheme="minorEastAsia" w:cstheme="minorEastAsia"/>
          <w:color w:val="auto"/>
          <w:sz w:val="24"/>
          <w:szCs w:val="24"/>
          <w:highlight w:val="none"/>
          <w:lang w:eastAsia="zh"/>
        </w:rPr>
        <w:t>建设管理责任</w:t>
      </w:r>
      <w:r>
        <w:rPr>
          <w:rFonts w:hint="eastAsia" w:asciiTheme="minorEastAsia" w:hAnsiTheme="minorEastAsia" w:eastAsiaTheme="minorEastAsia" w:cstheme="minorEastAsia"/>
          <w:color w:val="auto"/>
          <w:sz w:val="24"/>
          <w:szCs w:val="24"/>
          <w:highlight w:val="none"/>
        </w:rPr>
        <w:t>，发生质量事故时应及时查明原因和具体责任，并及时组织事故处理方案的实施；负责组织工程实施过程中分项分部工程的验收，包括隐蔽工程和各类材料、设备的验收；其他工程质量管理工作。</w:t>
      </w:r>
    </w:p>
    <w:p w14:paraId="405372AF">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负责工程投资管理工作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负责编报年度投资计划和季度、月度资金使用计划，并依据工程</w:t>
      </w:r>
      <w:r>
        <w:rPr>
          <w:rFonts w:hint="eastAsia" w:asciiTheme="minorEastAsia" w:hAnsiTheme="minorEastAsia" w:eastAsiaTheme="minorEastAsia" w:cstheme="minorEastAsia"/>
          <w:color w:val="auto"/>
          <w:sz w:val="24"/>
          <w:szCs w:val="24"/>
          <w:highlight w:val="none"/>
          <w:lang w:eastAsia="zh"/>
        </w:rPr>
        <w:t>相关</w:t>
      </w:r>
      <w:r>
        <w:rPr>
          <w:rFonts w:hint="eastAsia" w:asciiTheme="minorEastAsia" w:hAnsiTheme="minorEastAsia" w:eastAsiaTheme="minorEastAsia" w:cstheme="minorEastAsia"/>
          <w:color w:val="auto"/>
          <w:sz w:val="24"/>
          <w:szCs w:val="24"/>
          <w:highlight w:val="none"/>
        </w:rPr>
        <w:t>合同和工程进度</w:t>
      </w:r>
      <w:r>
        <w:rPr>
          <w:rFonts w:hint="eastAsia" w:asciiTheme="minorEastAsia" w:hAnsiTheme="minorEastAsia" w:eastAsiaTheme="minorEastAsia" w:cstheme="minorEastAsia"/>
          <w:color w:val="auto"/>
          <w:sz w:val="24"/>
          <w:szCs w:val="24"/>
          <w:highlight w:val="none"/>
          <w:lang w:eastAsia="zh"/>
        </w:rPr>
        <w:t>对工程进度款进行审核，审核相关单位的</w:t>
      </w:r>
      <w:r>
        <w:rPr>
          <w:rFonts w:hint="eastAsia" w:asciiTheme="minorEastAsia" w:hAnsiTheme="minorEastAsia" w:eastAsiaTheme="minorEastAsia" w:cstheme="minorEastAsia"/>
          <w:color w:val="auto"/>
          <w:sz w:val="24"/>
          <w:szCs w:val="24"/>
          <w:highlight w:val="none"/>
        </w:rPr>
        <w:t>资金拨付申请，报</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办理资金支付；项目建成后，负责</w:t>
      </w:r>
      <w:r>
        <w:rPr>
          <w:rFonts w:hint="eastAsia" w:asciiTheme="minorEastAsia" w:hAnsiTheme="minorEastAsia" w:eastAsiaTheme="minorEastAsia" w:cstheme="minorEastAsia"/>
          <w:color w:val="auto"/>
          <w:sz w:val="24"/>
          <w:szCs w:val="24"/>
          <w:highlight w:val="none"/>
          <w:lang w:eastAsia="zh"/>
        </w:rPr>
        <w:t>组织编制及审核</w:t>
      </w:r>
      <w:r>
        <w:rPr>
          <w:rFonts w:hint="eastAsia" w:asciiTheme="minorEastAsia" w:hAnsiTheme="minorEastAsia" w:eastAsiaTheme="minorEastAsia" w:cstheme="minorEastAsia"/>
          <w:color w:val="auto"/>
          <w:sz w:val="24"/>
          <w:szCs w:val="24"/>
          <w:highlight w:val="none"/>
        </w:rPr>
        <w:t>工程结算</w:t>
      </w:r>
      <w:r>
        <w:rPr>
          <w:rFonts w:hint="eastAsia" w:asciiTheme="minorEastAsia" w:hAnsiTheme="minorEastAsia" w:eastAsiaTheme="minorEastAsia" w:cstheme="minorEastAsia"/>
          <w:color w:val="auto"/>
          <w:sz w:val="24"/>
          <w:szCs w:val="24"/>
          <w:highlight w:val="none"/>
          <w:lang w:eastAsia="zh"/>
        </w:rPr>
        <w:t>，配合甲方</w:t>
      </w:r>
      <w:r>
        <w:rPr>
          <w:rFonts w:hint="eastAsia" w:asciiTheme="minorEastAsia" w:hAnsiTheme="minorEastAsia" w:eastAsiaTheme="minorEastAsia" w:cstheme="minorEastAsia"/>
          <w:color w:val="auto"/>
          <w:sz w:val="24"/>
          <w:szCs w:val="24"/>
          <w:highlight w:val="none"/>
        </w:rPr>
        <w:t>编制工程竣工财务决算</w:t>
      </w:r>
      <w:r>
        <w:rPr>
          <w:rFonts w:hint="eastAsia" w:asciiTheme="minorEastAsia" w:hAnsiTheme="minorEastAsia" w:eastAsiaTheme="minorEastAsia" w:cstheme="minorEastAsia"/>
          <w:color w:val="auto"/>
          <w:sz w:val="24"/>
          <w:szCs w:val="24"/>
          <w:highlight w:val="none"/>
          <w:lang w:eastAsia="zh"/>
        </w:rPr>
        <w:t>、配合甲方</w:t>
      </w:r>
      <w:r>
        <w:rPr>
          <w:rFonts w:hint="eastAsia" w:asciiTheme="minorEastAsia" w:hAnsiTheme="minorEastAsia" w:eastAsiaTheme="minorEastAsia" w:cstheme="minorEastAsia"/>
          <w:color w:val="auto"/>
          <w:sz w:val="24"/>
          <w:szCs w:val="24"/>
          <w:highlight w:val="none"/>
        </w:rPr>
        <w:t>申请决算审查和项目审计，</w:t>
      </w:r>
      <w:r>
        <w:rPr>
          <w:rFonts w:hint="eastAsia" w:asciiTheme="minorEastAsia" w:hAnsiTheme="minorEastAsia" w:eastAsiaTheme="minorEastAsia" w:cstheme="minorEastAsia"/>
          <w:color w:val="auto"/>
          <w:sz w:val="24"/>
          <w:szCs w:val="24"/>
          <w:highlight w:val="none"/>
          <w:lang w:eastAsia="zh"/>
        </w:rPr>
        <w:t>配合甲方</w:t>
      </w:r>
      <w:r>
        <w:rPr>
          <w:rFonts w:hint="eastAsia" w:asciiTheme="minorEastAsia" w:hAnsiTheme="minorEastAsia" w:eastAsiaTheme="minorEastAsia" w:cstheme="minorEastAsia"/>
          <w:color w:val="auto"/>
          <w:sz w:val="24"/>
          <w:szCs w:val="24"/>
          <w:highlight w:val="none"/>
        </w:rPr>
        <w:t>办理各专业工程工程尾款的支付；严格按照批准的建设规模、功能、标准和概算组织建设，如有改变工程投资</w:t>
      </w:r>
      <w:r>
        <w:rPr>
          <w:rFonts w:hint="eastAsia" w:asciiTheme="minorEastAsia" w:hAnsiTheme="minorEastAsia" w:eastAsiaTheme="minorEastAsia" w:cstheme="minorEastAsia"/>
          <w:color w:val="auto"/>
          <w:sz w:val="24"/>
          <w:szCs w:val="24"/>
          <w:highlight w:val="none"/>
          <w:lang w:eastAsia="zh"/>
        </w:rPr>
        <w:t>的</w:t>
      </w:r>
      <w:r>
        <w:rPr>
          <w:rFonts w:hint="eastAsia" w:asciiTheme="minorEastAsia" w:hAnsiTheme="minorEastAsia" w:eastAsiaTheme="minorEastAsia" w:cstheme="minorEastAsia"/>
          <w:color w:val="auto"/>
          <w:sz w:val="24"/>
          <w:szCs w:val="24"/>
          <w:highlight w:val="none"/>
        </w:rPr>
        <w:t>调整意见和设计变更，应提供投资增减情况分析报</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审批后才能组织实施，并根据经审批的投资增减情况</w:t>
      </w:r>
      <w:r>
        <w:rPr>
          <w:rFonts w:hint="eastAsia" w:asciiTheme="minorEastAsia" w:hAnsiTheme="minorEastAsia" w:eastAsiaTheme="minorEastAsia" w:cstheme="minorEastAsia"/>
          <w:color w:val="auto"/>
          <w:sz w:val="24"/>
          <w:szCs w:val="24"/>
          <w:highlight w:val="none"/>
          <w:lang w:eastAsia="zh"/>
        </w:rPr>
        <w:t>协助甲方</w:t>
      </w:r>
      <w:r>
        <w:rPr>
          <w:rFonts w:hint="eastAsia" w:asciiTheme="minorEastAsia" w:hAnsiTheme="minorEastAsia" w:eastAsiaTheme="minorEastAsia" w:cstheme="minorEastAsia"/>
          <w:color w:val="auto"/>
          <w:sz w:val="24"/>
          <w:szCs w:val="24"/>
          <w:highlight w:val="none"/>
        </w:rPr>
        <w:t>按程序申报调整项目概算；</w:t>
      </w:r>
      <w:r>
        <w:rPr>
          <w:rFonts w:hint="eastAsia" w:asciiTheme="minorEastAsia" w:hAnsiTheme="minorEastAsia" w:eastAsiaTheme="minorEastAsia" w:cstheme="minorEastAsia"/>
          <w:color w:val="auto"/>
          <w:sz w:val="24"/>
          <w:szCs w:val="24"/>
          <w:highlight w:val="none"/>
          <w:lang w:eastAsia="zh"/>
        </w:rPr>
        <w:t>负责协调解决项目实施过程中的造价相关争议；</w:t>
      </w:r>
      <w:r>
        <w:rPr>
          <w:rFonts w:hint="eastAsia" w:asciiTheme="minorEastAsia" w:hAnsiTheme="minorEastAsia" w:eastAsiaTheme="minorEastAsia" w:cstheme="minorEastAsia"/>
          <w:color w:val="auto"/>
          <w:sz w:val="24"/>
          <w:szCs w:val="24"/>
          <w:highlight w:val="none"/>
        </w:rPr>
        <w:t>其他工程投资管理工作。</w:t>
      </w:r>
    </w:p>
    <w:p w14:paraId="2A67FAEB">
      <w:pPr>
        <w:numPr>
          <w:ilvl w:val="2"/>
          <w:numId w:val="3"/>
        </w:numPr>
        <w:tabs>
          <w:tab w:val="left" w:pos="-540"/>
          <w:tab w:val="left" w:pos="1080"/>
          <w:tab w:val="left" w:pos="1276"/>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负责按有关规定进行安全管理和文明施工管理。</w:t>
      </w:r>
    </w:p>
    <w:p w14:paraId="12D9B397">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负责项目的建设档案和信息管理。</w:t>
      </w:r>
    </w:p>
    <w:p w14:paraId="6C18A767">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负责</w:t>
      </w:r>
      <w:r>
        <w:rPr>
          <w:rFonts w:hint="eastAsia" w:asciiTheme="minorEastAsia" w:hAnsiTheme="minorEastAsia" w:eastAsiaTheme="minorEastAsia" w:cstheme="minorEastAsia"/>
          <w:color w:val="auto"/>
          <w:sz w:val="24"/>
          <w:szCs w:val="24"/>
          <w:highlight w:val="none"/>
          <w:lang w:eastAsia="zh"/>
        </w:rPr>
        <w:t>协助</w:t>
      </w:r>
      <w:r>
        <w:rPr>
          <w:rFonts w:hint="eastAsia" w:asciiTheme="minorEastAsia" w:hAnsiTheme="minorEastAsia" w:eastAsiaTheme="minorEastAsia" w:cstheme="minorEastAsia"/>
          <w:color w:val="auto"/>
          <w:sz w:val="24"/>
          <w:szCs w:val="24"/>
          <w:highlight w:val="none"/>
        </w:rPr>
        <w:t>办理项目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及移交手续。负责组织</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、设计单位、施工单位和监理单位等，按照国家现行验收规范</w:t>
      </w:r>
      <w:r>
        <w:rPr>
          <w:rFonts w:hint="eastAsia" w:asciiTheme="minorEastAsia" w:hAnsiTheme="minorEastAsia" w:eastAsiaTheme="minorEastAsia" w:cstheme="minorEastAsia"/>
          <w:color w:val="auto"/>
          <w:sz w:val="24"/>
          <w:szCs w:val="24"/>
          <w:highlight w:val="none"/>
          <w:lang w:eastAsia="zh"/>
        </w:rPr>
        <w:t>协助甲方</w:t>
      </w:r>
      <w:r>
        <w:rPr>
          <w:rFonts w:hint="eastAsia" w:asciiTheme="minorEastAsia" w:hAnsiTheme="minorEastAsia" w:eastAsiaTheme="minorEastAsia" w:cstheme="minorEastAsia"/>
          <w:color w:val="auto"/>
          <w:sz w:val="24"/>
          <w:szCs w:val="24"/>
          <w:highlight w:val="none"/>
        </w:rPr>
        <w:t>办理项目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申报手续，并配合市有关管理部门进行项目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；项目</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合格后，应尽快向</w:t>
      </w:r>
      <w:r>
        <w:rPr>
          <w:rFonts w:hint="eastAsia" w:asciiTheme="minorEastAsia" w:hAnsiTheme="minorEastAsia" w:eastAsiaTheme="minorEastAsia" w:cstheme="minorEastAsia"/>
          <w:color w:val="auto"/>
          <w:sz w:val="24"/>
          <w:szCs w:val="24"/>
          <w:highlight w:val="none"/>
          <w:lang w:eastAsia="zh"/>
        </w:rPr>
        <w:t>甲方</w:t>
      </w:r>
      <w:r>
        <w:rPr>
          <w:rFonts w:hint="eastAsia" w:asciiTheme="minorEastAsia" w:hAnsiTheme="minorEastAsia" w:eastAsiaTheme="minorEastAsia" w:cstheme="minorEastAsia"/>
          <w:color w:val="auto"/>
          <w:sz w:val="24"/>
          <w:szCs w:val="24"/>
          <w:highlight w:val="none"/>
        </w:rPr>
        <w:t>移交有关图文资料、账目，以及</w:t>
      </w:r>
      <w:r>
        <w:rPr>
          <w:rFonts w:hint="eastAsia" w:asciiTheme="minorEastAsia" w:hAnsiTheme="minorEastAsia" w:eastAsiaTheme="minorEastAsia" w:cstheme="minorEastAsia"/>
          <w:color w:val="auto"/>
          <w:sz w:val="24"/>
          <w:szCs w:val="24"/>
          <w:highlight w:val="none"/>
          <w:lang w:val="en-US" w:eastAsia="zh-CN"/>
        </w:rPr>
        <w:t>项目</w:t>
      </w:r>
      <w:r>
        <w:rPr>
          <w:rFonts w:hint="eastAsia" w:asciiTheme="minorEastAsia" w:hAnsiTheme="minorEastAsia" w:eastAsiaTheme="minorEastAsia" w:cstheme="minorEastAsia"/>
          <w:color w:val="auto"/>
          <w:sz w:val="24"/>
          <w:szCs w:val="24"/>
          <w:highlight w:val="none"/>
        </w:rPr>
        <w:t>投资所形成的设施和库存物品，并按有关规定办妥全部移交手续；负责解决</w:t>
      </w:r>
      <w:r>
        <w:rPr>
          <w:rFonts w:hint="eastAsia" w:asciiTheme="minorEastAsia" w:hAnsiTheme="minorEastAsia" w:eastAsiaTheme="minorEastAsia" w:cstheme="minorEastAsia"/>
          <w:color w:val="auto"/>
          <w:sz w:val="24"/>
          <w:szCs w:val="24"/>
          <w:highlight w:val="none"/>
          <w:lang w:eastAsia="zh"/>
        </w:rPr>
        <w:t>竣工联合验收</w:t>
      </w:r>
      <w:r>
        <w:rPr>
          <w:rFonts w:hint="eastAsia" w:asciiTheme="minorEastAsia" w:hAnsiTheme="minorEastAsia" w:eastAsiaTheme="minorEastAsia" w:cstheme="minorEastAsia"/>
          <w:color w:val="auto"/>
          <w:sz w:val="24"/>
          <w:szCs w:val="24"/>
          <w:highlight w:val="none"/>
        </w:rPr>
        <w:t>中的工程质量问题，并负责督促施工单位解决质量保修期的工程质量问题。</w:t>
      </w:r>
    </w:p>
    <w:p w14:paraId="40AF70A3">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必须根据建设方案、建设规模、建设内容、建设标准、建设工期、立项投资等，严格按照国家基本建设程序进行项目的建设组织管理，按批准的项目概算和预算进行投资控制，确保工程质量和进度，按期交付使用。</w:t>
      </w:r>
    </w:p>
    <w:p w14:paraId="71D9C9F2">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乙方在甲方委托的工程范围内，根据甲方授权和有关法律、法规的规定，行使本合同所约定的项目建设管理工作的各项权利</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并对建设管理过程中设计的本项目相关文件和信息做好保密工作</w:t>
      </w:r>
      <w:r>
        <w:rPr>
          <w:rFonts w:hint="eastAsia" w:asciiTheme="minorEastAsia" w:hAnsiTheme="minorEastAsia" w:eastAsiaTheme="minorEastAsia" w:cstheme="minorEastAsia"/>
          <w:color w:val="auto"/>
          <w:sz w:val="24"/>
          <w:szCs w:val="24"/>
          <w:highlight w:val="none"/>
        </w:rPr>
        <w:t>。</w:t>
      </w:r>
    </w:p>
    <w:p w14:paraId="618D2159">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具体招标人身份双方协商确定。</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val="en-US" w:eastAsia="zh-CN"/>
        </w:rPr>
        <w:t>若</w:t>
      </w:r>
      <w:r>
        <w:rPr>
          <w:rFonts w:hint="eastAsia" w:asciiTheme="minorEastAsia" w:hAnsiTheme="minorEastAsia" w:eastAsiaTheme="minorEastAsia" w:cstheme="minorEastAsia"/>
          <w:color w:val="auto"/>
          <w:sz w:val="24"/>
          <w:szCs w:val="24"/>
          <w:highlight w:val="none"/>
        </w:rPr>
        <w:t>作为招标人负责招标和管理设计、施工、采购及其他服务的招投标工作，必须严格按照招标投标的法律法规组织招标。中标人必须满足国家有关资质的要求，具备承担相应项目的实力。在本合同签订后，甲方尽快将已签订的各相关合同移交乙方，乙方代为履行相应权利和义务。</w:t>
      </w:r>
    </w:p>
    <w:p w14:paraId="1A7BED55">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依法通过询价、邀请招标实施的项目，相关招标工作应</w:t>
      </w:r>
      <w:r>
        <w:rPr>
          <w:rFonts w:hint="eastAsia" w:asciiTheme="minorEastAsia" w:hAnsiTheme="minorEastAsia" w:eastAsiaTheme="minorEastAsia" w:cstheme="minorEastAsia"/>
          <w:color w:val="auto"/>
          <w:sz w:val="24"/>
          <w:szCs w:val="24"/>
          <w:highlight w:val="none"/>
          <w:lang w:val="en-US" w:eastAsia="zh-CN"/>
        </w:rPr>
        <w:t>在合理期限提前</w:t>
      </w:r>
      <w:r>
        <w:rPr>
          <w:rFonts w:hint="eastAsia" w:asciiTheme="minorEastAsia" w:hAnsiTheme="minorEastAsia" w:eastAsiaTheme="minorEastAsia" w:cstheme="minorEastAsia"/>
          <w:color w:val="auto"/>
          <w:sz w:val="24"/>
          <w:szCs w:val="24"/>
          <w:highlight w:val="none"/>
        </w:rPr>
        <w:t>通知甲方进行参与和监督。</w:t>
      </w:r>
      <w:r>
        <w:rPr>
          <w:rFonts w:hint="eastAsia" w:asciiTheme="minorEastAsia" w:hAnsiTheme="minorEastAsia" w:eastAsiaTheme="minorEastAsia" w:cstheme="minorEastAsia"/>
          <w:color w:val="auto"/>
          <w:sz w:val="24"/>
          <w:szCs w:val="24"/>
          <w:highlight w:val="none"/>
          <w:lang w:val="en-US" w:eastAsia="zh-CN"/>
        </w:rPr>
        <w:t>经乙方书面通知后，</w:t>
      </w:r>
      <w:r>
        <w:rPr>
          <w:rFonts w:hint="eastAsia" w:asciiTheme="minorEastAsia" w:hAnsiTheme="minorEastAsia" w:eastAsiaTheme="minorEastAsia" w:cstheme="minorEastAsia"/>
          <w:color w:val="auto"/>
          <w:sz w:val="24"/>
          <w:szCs w:val="24"/>
          <w:highlight w:val="none"/>
        </w:rPr>
        <w:t>甲方未参与和监督的，则视为同意由乙方全权负责项目的招投标工作。乙方可以根据工程建设的需要，依法向外直接委托的项目，与甲方协商并经甲方书面同意后，直接委托函由乙方抄送甲方。</w:t>
      </w:r>
    </w:p>
    <w:p w14:paraId="3AE8630D">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对参与工程实施过程的第三方，具有直接管理权。</w:t>
      </w:r>
    </w:p>
    <w:p w14:paraId="6ECC17AD">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本项目设备和材料必须按照法律规定的程序进行采购和招标，需要直接确认的设备和材料的选型和使用，乙方得到甲方确认后，按照法律、法规规定的程序进行采购。</w:t>
      </w:r>
    </w:p>
    <w:p w14:paraId="4EB1A82F">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对涉及使用功能的重大设计变更，应按规定进行论证和专家评审，并按工程变更管理程序组织实施。</w:t>
      </w:r>
    </w:p>
    <w:p w14:paraId="5D4A2005">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乙方在合同期内或合同终止后，未征得甲方的书面同意，不得泄露与本工程、本合同业务有关的保密资料。</w:t>
      </w:r>
    </w:p>
    <w:p w14:paraId="64353276">
      <w:pPr>
        <w:numPr>
          <w:ilvl w:val="2"/>
          <w:numId w:val="3"/>
        </w:numPr>
        <w:tabs>
          <w:tab w:val="left" w:pos="-540"/>
          <w:tab w:val="left" w:pos="1080"/>
          <w:tab w:val="left" w:pos="1418"/>
          <w:tab w:val="left" w:pos="1843"/>
        </w:tabs>
        <w:snapToGrid w:val="0"/>
        <w:spacing w:line="360" w:lineRule="auto"/>
        <w:ind w:left="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乙方在责任期内，因工作疏忽、过失，出现工程质量事故的，应承担相应经济和法律责任。</w:t>
      </w:r>
    </w:p>
    <w:p w14:paraId="1BAB043A">
      <w:pPr>
        <w:pStyle w:val="2"/>
        <w:numPr>
          <w:ilvl w:val="2"/>
          <w:numId w:val="3"/>
        </w:numPr>
        <w:snapToGrid w:val="0"/>
        <w:spacing w:line="360" w:lineRule="auto"/>
        <w:ind w:left="0" w:firstLine="508"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乙方</w:t>
      </w:r>
      <w:r>
        <w:rPr>
          <w:rFonts w:hint="eastAsia" w:asciiTheme="minorEastAsia" w:hAnsiTheme="minorEastAsia" w:eastAsiaTheme="minorEastAsia" w:cstheme="minorEastAsia"/>
          <w:color w:val="auto"/>
          <w:sz w:val="24"/>
          <w:szCs w:val="24"/>
          <w:highlight w:val="none"/>
          <w:lang w:val="en-US" w:eastAsia="zh-CN"/>
        </w:rPr>
        <w:t>全程</w:t>
      </w:r>
      <w:r>
        <w:rPr>
          <w:rFonts w:hint="eastAsia" w:asciiTheme="minorEastAsia" w:hAnsiTheme="minorEastAsia" w:eastAsiaTheme="minorEastAsia" w:cstheme="minorEastAsia"/>
          <w:color w:val="auto"/>
          <w:sz w:val="24"/>
          <w:szCs w:val="24"/>
          <w:highlight w:val="none"/>
          <w:lang w:eastAsia="zh-CN"/>
        </w:rPr>
        <w:t>驻场管理人员为两人</w:t>
      </w:r>
      <w:r>
        <w:rPr>
          <w:rFonts w:hint="eastAsia" w:asciiTheme="minorEastAsia" w:hAnsiTheme="minorEastAsia" w:eastAsiaTheme="minorEastAsia" w:cstheme="minorEastAsia"/>
          <w:color w:val="auto"/>
          <w:sz w:val="24"/>
          <w:szCs w:val="24"/>
          <w:highlight w:val="none"/>
          <w:lang w:val="en-US" w:eastAsia="zh-CN"/>
        </w:rPr>
        <w:t>。现场驻场人员，每月在现场管理的实际时间不少于工作日时间的 70%。</w:t>
      </w:r>
    </w:p>
    <w:p w14:paraId="7F9F2031">
      <w:pPr>
        <w:pStyle w:val="2"/>
        <w:numPr>
          <w:ilvl w:val="2"/>
          <w:numId w:val="3"/>
        </w:numPr>
        <w:snapToGrid w:val="0"/>
        <w:spacing w:line="360" w:lineRule="auto"/>
        <w:ind w:left="0" w:firstLine="508"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乙方职责范围内的事项须经甲方审批确认后方可实施，并每周</w:t>
      </w:r>
      <w:r>
        <w:rPr>
          <w:rFonts w:hint="eastAsia" w:asciiTheme="minorEastAsia" w:hAnsiTheme="minorEastAsia" w:eastAsiaTheme="minorEastAsia" w:cstheme="minorEastAsia"/>
          <w:color w:val="auto"/>
          <w:sz w:val="24"/>
          <w:szCs w:val="24"/>
          <w:highlight w:val="none"/>
          <w:lang w:val="en-US" w:eastAsia="zh"/>
        </w:rPr>
        <w:t>及每月</w:t>
      </w:r>
      <w:r>
        <w:rPr>
          <w:rFonts w:hint="eastAsia" w:asciiTheme="minorEastAsia" w:hAnsiTheme="minorEastAsia" w:eastAsiaTheme="minorEastAsia" w:cstheme="minorEastAsia"/>
          <w:color w:val="auto"/>
          <w:sz w:val="24"/>
          <w:szCs w:val="24"/>
          <w:highlight w:val="none"/>
          <w:lang w:val="en-US" w:eastAsia="zh-CN"/>
        </w:rPr>
        <w:t>向甲方汇报项目进展。</w:t>
      </w:r>
    </w:p>
    <w:p w14:paraId="7BAED800">
      <w:pPr>
        <w:pStyle w:val="2"/>
        <w:numPr>
          <w:ilvl w:val="2"/>
          <w:numId w:val="3"/>
        </w:numPr>
        <w:snapToGrid w:val="0"/>
        <w:spacing w:line="360" w:lineRule="auto"/>
        <w:ind w:left="0" w:firstLine="508"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
        </w:rPr>
        <w:t>除上述职责外，乙方还需服从甲方以书面或其他方式通知的相关建设安全管理办法。</w:t>
      </w:r>
    </w:p>
    <w:p w14:paraId="102054C0">
      <w:pPr>
        <w:adjustRightInd w:val="0"/>
        <w:snapToGrid w:val="0"/>
        <w:spacing w:line="360" w:lineRule="auto"/>
        <w:ind w:firstLine="480" w:firstLineChars="200"/>
        <w:rPr>
          <w:rFonts w:ascii="宋体" w:hAnsi="宋体"/>
          <w:b/>
          <w:bCs/>
          <w:color w:val="auto"/>
          <w:sz w:val="24"/>
          <w:szCs w:val="24"/>
          <w:highlight w:val="none"/>
        </w:rPr>
      </w:pPr>
      <w:r>
        <w:rPr>
          <w:rFonts w:hint="eastAsia" w:asciiTheme="minorEastAsia" w:hAnsiTheme="minorEastAsia" w:eastAsiaTheme="minorEastAsia" w:cstheme="minorEastAsia"/>
          <w:color w:val="auto"/>
          <w:sz w:val="24"/>
          <w:szCs w:val="24"/>
          <w:highlight w:val="none"/>
        </w:rPr>
        <w:t>上述乙方职责未明确的，参照</w:t>
      </w:r>
      <w:r>
        <w:rPr>
          <w:rFonts w:hint="eastAsia" w:asciiTheme="minorEastAsia" w:hAnsiTheme="minorEastAsia" w:eastAsiaTheme="minorEastAsia" w:cstheme="minorEastAsia"/>
          <w:bCs/>
          <w:color w:val="auto"/>
          <w:kern w:val="0"/>
          <w:sz w:val="24"/>
          <w:szCs w:val="24"/>
          <w:highlight w:val="none"/>
        </w:rPr>
        <w:t>广东省人民政府关于印发《广东省政府投资省属非经营性项目建设管理办法》的通知（粤府[2022]12号）</w:t>
      </w:r>
      <w:r>
        <w:rPr>
          <w:rFonts w:hint="eastAsia" w:asciiTheme="minorEastAsia" w:hAnsiTheme="minorEastAsia" w:eastAsiaTheme="minorEastAsia" w:cstheme="minorEastAsia"/>
          <w:color w:val="auto"/>
          <w:sz w:val="24"/>
          <w:szCs w:val="24"/>
          <w:highlight w:val="none"/>
        </w:rPr>
        <w:t>有关条文执行。</w:t>
      </w:r>
    </w:p>
    <w:p w14:paraId="79DC9303">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建设管理服务费用及支付方式</w:t>
      </w:r>
    </w:p>
    <w:p w14:paraId="513A15BF">
      <w:pPr>
        <w:numPr>
          <w:ilvl w:val="1"/>
          <w:numId w:val="4"/>
        </w:numPr>
        <w:tabs>
          <w:tab w:val="left" w:pos="900"/>
          <w:tab w:val="left" w:pos="1134"/>
          <w:tab w:val="left" w:pos="1560"/>
          <w:tab w:val="clear" w:pos="1080"/>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建设管理服务费用开支包括但不限于下列范围和内容：</w:t>
      </w:r>
    </w:p>
    <w:p w14:paraId="58938467">
      <w:pPr>
        <w:numPr>
          <w:ilvl w:val="2"/>
          <w:numId w:val="4"/>
        </w:numPr>
        <w:tabs>
          <w:tab w:val="left" w:pos="900"/>
          <w:tab w:val="left" w:pos="1134"/>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建设管理服务费：是指从项目启动之日起至办理竣工财务决算之日止发生的管理性质的开支。包括：乙方本项目工作人员工资、基本养老保险费、基本医疗保险费、失业保险费，办公费、差旅交通费、劳动保护费、工具用具使用费、固定资产使用费、零星购置费、技术图书资料费、印花税、业务招待费、施工现场津贴和其他管理性质开支。</w:t>
      </w:r>
    </w:p>
    <w:p w14:paraId="6DB5D3BE">
      <w:pPr>
        <w:numPr>
          <w:ilvl w:val="2"/>
          <w:numId w:val="4"/>
        </w:numPr>
        <w:tabs>
          <w:tab w:val="left" w:pos="900"/>
          <w:tab w:val="left" w:pos="1134"/>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临时设施费：指建设期间乙方所需临时设施的搭设、维修、摊销或租赁费用。</w:t>
      </w:r>
    </w:p>
    <w:p w14:paraId="509B4699">
      <w:pPr>
        <w:numPr>
          <w:ilvl w:val="2"/>
          <w:numId w:val="4"/>
        </w:numPr>
        <w:tabs>
          <w:tab w:val="left" w:pos="900"/>
          <w:tab w:val="left" w:pos="1134"/>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税金：因建设管理服务收费应交的一切税费。</w:t>
      </w:r>
    </w:p>
    <w:p w14:paraId="79E913FB">
      <w:pPr>
        <w:numPr>
          <w:ilvl w:val="1"/>
          <w:numId w:val="4"/>
        </w:numPr>
        <w:tabs>
          <w:tab w:val="left" w:pos="900"/>
          <w:tab w:val="left" w:pos="1134"/>
          <w:tab w:val="left" w:pos="1560"/>
          <w:tab w:val="clear" w:pos="1080"/>
        </w:tabs>
        <w:snapToGrid w:val="0"/>
        <w:spacing w:line="360" w:lineRule="auto"/>
        <w:ind w:left="0" w:firstLine="480" w:firstLineChars="200"/>
        <w:rPr>
          <w:rFonts w:ascii="宋体" w:hAnsi="宋体"/>
          <w:color w:val="auto"/>
          <w:sz w:val="24"/>
          <w:szCs w:val="24"/>
          <w:highlight w:val="none"/>
        </w:rPr>
      </w:pPr>
      <w:r>
        <w:rPr>
          <w:rFonts w:hint="eastAsia" w:ascii="宋体" w:hAnsi="宋体" w:cs="仿宋_GB2312"/>
          <w:color w:val="auto"/>
          <w:sz w:val="24"/>
          <w:szCs w:val="24"/>
          <w:highlight w:val="none"/>
        </w:rPr>
        <w:t>在建设管理业务范围内，如需聘用专家咨询或协助，由乙方聘用的，其费用由乙方承担；由甲方或由甲方委托乙方聘用的，其费用由甲方承担。</w:t>
      </w:r>
    </w:p>
    <w:p w14:paraId="283F5F98">
      <w:pPr>
        <w:numPr>
          <w:ilvl w:val="1"/>
          <w:numId w:val="4"/>
        </w:numPr>
        <w:tabs>
          <w:tab w:val="left" w:pos="900"/>
          <w:tab w:val="left" w:pos="1134"/>
          <w:tab w:val="left" w:pos="1560"/>
          <w:tab w:val="clear" w:pos="1080"/>
        </w:tabs>
        <w:snapToGrid w:val="0"/>
        <w:spacing w:line="360" w:lineRule="auto"/>
        <w:ind w:left="0" w:firstLine="480" w:firstLineChars="200"/>
        <w:rPr>
          <w:rFonts w:ascii="宋体" w:hAnsi="宋体"/>
          <w:color w:val="auto"/>
          <w:sz w:val="24"/>
          <w:highlight w:val="none"/>
        </w:rPr>
      </w:pPr>
      <w:r>
        <w:rPr>
          <w:rFonts w:hint="eastAsia" w:ascii="宋体" w:hAnsi="宋体" w:cs="仿宋_GB2312"/>
          <w:color w:val="auto"/>
          <w:sz w:val="24"/>
          <w:szCs w:val="24"/>
          <w:highlight w:val="none"/>
        </w:rPr>
        <w:t>本合同乙方的</w:t>
      </w:r>
      <w:r>
        <w:rPr>
          <w:rFonts w:hint="eastAsia" w:ascii="宋体" w:hAnsi="宋体" w:cs="仿宋_GB2312"/>
          <w:color w:val="auto"/>
          <w:sz w:val="24"/>
          <w:szCs w:val="24"/>
          <w:highlight w:val="none"/>
          <w:lang w:val="en-US" w:eastAsia="zh-CN"/>
        </w:rPr>
        <w:t>总</w:t>
      </w:r>
      <w:r>
        <w:rPr>
          <w:rFonts w:hint="eastAsia" w:ascii="宋体" w:hAnsi="宋体" w:cs="仿宋_GB2312"/>
          <w:color w:val="auto"/>
          <w:sz w:val="24"/>
          <w:szCs w:val="24"/>
          <w:highlight w:val="none"/>
        </w:rPr>
        <w:t>建设管理服务费</w:t>
      </w:r>
      <w:r>
        <w:rPr>
          <w:rFonts w:hint="eastAsia" w:ascii="宋体" w:hAnsi="宋体" w:cs="仿宋_GB2312"/>
          <w:color w:val="auto"/>
          <w:sz w:val="24"/>
          <w:szCs w:val="24"/>
          <w:highlight w:val="none"/>
          <w:lang w:val="en-US" w:eastAsia="zh-CN"/>
        </w:rPr>
        <w:t>暂定</w:t>
      </w:r>
      <w:r>
        <w:rPr>
          <w:rFonts w:hint="eastAsia" w:ascii="宋体" w:hAnsi="宋体" w:cs="仿宋_GB2312"/>
          <w:color w:val="auto"/>
          <w:sz w:val="24"/>
          <w:szCs w:val="24"/>
          <w:highlight w:val="none"/>
        </w:rPr>
        <w:t>含税合同价为</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元（大写：人民币</w:t>
      </w:r>
      <w:r>
        <w:rPr>
          <w:rFonts w:hint="eastAsia"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w:t>
      </w:r>
    </w:p>
    <w:p w14:paraId="1340F1C2">
      <w:pPr>
        <w:snapToGrid w:val="0"/>
        <w:spacing w:line="360" w:lineRule="auto"/>
        <w:ind w:firstLine="480" w:firstLineChars="200"/>
        <w:rPr>
          <w:rFonts w:ascii="宋体" w:hAnsi="宋体" w:cs="仿宋_GB2312"/>
          <w:color w:val="auto"/>
          <w:sz w:val="24"/>
          <w:szCs w:val="24"/>
          <w:highlight w:val="none"/>
        </w:rPr>
      </w:pPr>
      <w:r>
        <w:rPr>
          <w:rFonts w:hint="eastAsia" w:ascii="宋体" w:hAnsi="宋体" w:cs="宋体"/>
          <w:color w:val="auto"/>
          <w:sz w:val="24"/>
          <w:szCs w:val="24"/>
          <w:highlight w:val="none"/>
        </w:rPr>
        <w:t>合</w:t>
      </w:r>
      <w:r>
        <w:rPr>
          <w:rFonts w:hint="eastAsia" w:ascii="宋体" w:hAnsi="宋体" w:cs="仿宋_GB2312"/>
          <w:color w:val="auto"/>
          <w:sz w:val="24"/>
          <w:szCs w:val="24"/>
          <w:highlight w:val="none"/>
        </w:rPr>
        <w:t>同期内，由于乙方自身纳税人身份、纳税方式及国家税制改革原因带来税种及税率的变化，非经甲方书面同意，本合同不含增值税价不予调整。</w:t>
      </w:r>
    </w:p>
    <w:p w14:paraId="0E71BBE7">
      <w:pPr>
        <w:numPr>
          <w:ilvl w:val="255"/>
          <w:numId w:val="0"/>
        </w:numPr>
        <w:tabs>
          <w:tab w:val="left" w:pos="851"/>
        </w:tabs>
        <w:snapToGrid w:val="0"/>
        <w:spacing w:line="360" w:lineRule="auto"/>
        <w:ind w:firstLine="480" w:firstLineChars="200"/>
        <w:rPr>
          <w:rFonts w:hint="eastAsia" w:ascii="宋体" w:hAnsi="宋体" w:cs="宋体"/>
          <w:snapToGrid w:val="0"/>
          <w:color w:val="auto"/>
          <w:spacing w:val="4"/>
          <w:kern w:val="0"/>
          <w:sz w:val="24"/>
          <w:szCs w:val="24"/>
          <w:highlight w:val="none"/>
          <w:lang w:val="en-US" w:eastAsia="zh-CN"/>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.3.1.</w:t>
      </w:r>
      <w:r>
        <w:rPr>
          <w:rFonts w:hint="eastAsia" w:ascii="宋体" w:hAnsi="宋体" w:cs="宋体"/>
          <w:snapToGrid w:val="0"/>
          <w:color w:val="auto"/>
          <w:spacing w:val="4"/>
          <w:kern w:val="0"/>
          <w:sz w:val="24"/>
          <w:szCs w:val="24"/>
          <w:highlight w:val="none"/>
        </w:rPr>
        <w:t>结算原则：在本合同约定的建设管理服务范围内，建设管理服务费原则</w:t>
      </w:r>
      <w:r>
        <w:rPr>
          <w:rFonts w:hint="eastAsia" w:ascii="宋体" w:hAnsi="宋体" w:cs="宋体"/>
          <w:snapToGrid w:val="0"/>
          <w:color w:val="auto"/>
          <w:spacing w:val="4"/>
          <w:kern w:val="0"/>
          <w:sz w:val="24"/>
          <w:szCs w:val="24"/>
          <w:highlight w:val="none"/>
          <w:lang w:val="en-US" w:eastAsia="zh-CN"/>
        </w:rPr>
        <w:t>上</w:t>
      </w:r>
      <w:r>
        <w:rPr>
          <w:rFonts w:hint="eastAsia" w:ascii="宋体" w:hAnsi="宋体" w:cs="宋体"/>
          <w:snapToGrid w:val="0"/>
          <w:color w:val="auto"/>
          <w:spacing w:val="4"/>
          <w:kern w:val="0"/>
          <w:sz w:val="24"/>
          <w:szCs w:val="24"/>
          <w:highlight w:val="none"/>
        </w:rPr>
        <w:t>以经评审</w:t>
      </w:r>
      <w:r>
        <w:rPr>
          <w:rFonts w:hint="eastAsia" w:ascii="宋体" w:hAnsi="宋体" w:cs="宋体"/>
          <w:snapToGrid w:val="0"/>
          <w:color w:val="auto"/>
          <w:spacing w:val="4"/>
          <w:kern w:val="0"/>
          <w:sz w:val="24"/>
          <w:szCs w:val="24"/>
          <w:highlight w:val="none"/>
          <w:lang w:val="en-US" w:eastAsia="zh-CN"/>
        </w:rPr>
        <w:t>及甲方确认概算批复的广州市白云区棠涌村城中村改造项目首开区安置地块及安置区配套道路项目总投资（</w:t>
      </w:r>
      <w:r>
        <w:rPr>
          <w:rFonts w:hint="eastAsia" w:ascii="宋体" w:hAnsi="宋体" w:cs="宋体"/>
          <w:snapToGrid w:val="0"/>
          <w:color w:val="auto"/>
          <w:spacing w:val="4"/>
          <w:kern w:val="0"/>
          <w:sz w:val="24"/>
          <w:szCs w:val="24"/>
          <w:highlight w:val="none"/>
        </w:rPr>
        <w:t>不含概算批复</w:t>
      </w:r>
      <w:r>
        <w:rPr>
          <w:rFonts w:hint="eastAsia" w:ascii="宋体" w:hAnsi="宋体" w:cs="宋体"/>
          <w:snapToGrid w:val="0"/>
          <w:color w:val="auto"/>
          <w:spacing w:val="4"/>
          <w:kern w:val="0"/>
          <w:sz w:val="24"/>
          <w:szCs w:val="24"/>
          <w:highlight w:val="none"/>
          <w:lang w:val="en-US" w:eastAsia="zh-CN"/>
        </w:rPr>
        <w:t>建设用地</w:t>
      </w:r>
      <w:r>
        <w:rPr>
          <w:rFonts w:hint="eastAsia" w:ascii="宋体" w:hAnsi="宋体" w:cs="宋体"/>
          <w:snapToGrid w:val="0"/>
          <w:color w:val="auto"/>
          <w:spacing w:val="4"/>
          <w:kern w:val="0"/>
          <w:sz w:val="24"/>
          <w:szCs w:val="24"/>
          <w:highlight w:val="none"/>
        </w:rPr>
        <w:t>费、</w:t>
      </w:r>
      <w:r>
        <w:rPr>
          <w:rFonts w:hint="eastAsia" w:ascii="宋体" w:hAnsi="宋体" w:cs="宋体"/>
          <w:snapToGrid w:val="0"/>
          <w:color w:val="auto"/>
          <w:spacing w:val="4"/>
          <w:kern w:val="0"/>
          <w:sz w:val="24"/>
          <w:szCs w:val="24"/>
          <w:highlight w:val="none"/>
          <w:lang w:val="en-US" w:eastAsia="zh-CN"/>
        </w:rPr>
        <w:t>前期工作费、住宅维修基金、</w:t>
      </w:r>
      <w:r>
        <w:rPr>
          <w:rFonts w:hint="eastAsia" w:ascii="宋体" w:hAnsi="宋体" w:cs="宋体"/>
          <w:snapToGrid w:val="0"/>
          <w:color w:val="auto"/>
          <w:spacing w:val="4"/>
          <w:kern w:val="0"/>
          <w:sz w:val="24"/>
          <w:szCs w:val="24"/>
          <w:highlight w:val="none"/>
        </w:rPr>
        <w:t>税金、</w:t>
      </w:r>
      <w:r>
        <w:rPr>
          <w:rFonts w:hint="eastAsia" w:ascii="宋体" w:hAnsi="宋体" w:cs="宋体"/>
          <w:snapToGrid w:val="0"/>
          <w:color w:val="auto"/>
          <w:spacing w:val="4"/>
          <w:kern w:val="0"/>
          <w:sz w:val="24"/>
          <w:szCs w:val="24"/>
          <w:highlight w:val="none"/>
          <w:lang w:val="en-US" w:eastAsia="zh-CN"/>
        </w:rPr>
        <w:t>建设期</w:t>
      </w:r>
      <w:r>
        <w:rPr>
          <w:rFonts w:hint="eastAsia" w:ascii="宋体" w:hAnsi="宋体" w:cs="宋体"/>
          <w:snapToGrid w:val="0"/>
          <w:color w:val="auto"/>
          <w:spacing w:val="4"/>
          <w:kern w:val="0"/>
          <w:sz w:val="24"/>
          <w:szCs w:val="24"/>
          <w:highlight w:val="none"/>
        </w:rPr>
        <w:t>利息、建设管理费</w:t>
      </w:r>
      <w:r>
        <w:rPr>
          <w:rFonts w:hint="eastAsia" w:ascii="宋体" w:hAnsi="宋体" w:cs="宋体"/>
          <w:snapToGrid w:val="0"/>
          <w:color w:val="auto"/>
          <w:spacing w:val="4"/>
          <w:kern w:val="0"/>
          <w:sz w:val="24"/>
          <w:szCs w:val="24"/>
          <w:highlight w:val="none"/>
          <w:lang w:eastAsia="zh-CN"/>
        </w:rPr>
        <w:t>）</w:t>
      </w:r>
      <w:r>
        <w:rPr>
          <w:rFonts w:hint="eastAsia" w:ascii="宋体" w:hAnsi="宋体" w:cs="宋体"/>
          <w:snapToGrid w:val="0"/>
          <w:color w:val="auto"/>
          <w:spacing w:val="4"/>
          <w:kern w:val="0"/>
          <w:sz w:val="24"/>
          <w:szCs w:val="24"/>
          <w:highlight w:val="none"/>
          <w:lang w:val="en-US" w:eastAsia="zh-CN"/>
        </w:rPr>
        <w:t>为基数，依据</w:t>
      </w:r>
      <w:r>
        <w:rPr>
          <w:rFonts w:hint="eastAsia" w:ascii="宋体" w:hAnsi="宋体" w:cs="宋体"/>
          <w:snapToGrid w:val="0"/>
          <w:color w:val="auto"/>
          <w:spacing w:val="4"/>
          <w:kern w:val="0"/>
          <w:sz w:val="24"/>
          <w:szCs w:val="24"/>
          <w:highlight w:val="none"/>
        </w:rPr>
        <w:t>财政部关于印发《基本建设项目建设成本管理规定》的通知（财建〔2016〕504号）</w:t>
      </w:r>
      <w:r>
        <w:rPr>
          <w:rFonts w:hint="eastAsia" w:ascii="宋体" w:hAnsi="宋体" w:cs="宋体"/>
          <w:snapToGrid w:val="0"/>
          <w:color w:val="auto"/>
          <w:spacing w:val="4"/>
          <w:kern w:val="0"/>
          <w:sz w:val="24"/>
          <w:szCs w:val="24"/>
          <w:highlight w:val="none"/>
          <w:lang w:val="en-US" w:eastAsia="zh-CN"/>
        </w:rPr>
        <w:t>计算</w:t>
      </w:r>
      <w:r>
        <w:rPr>
          <w:rFonts w:hint="default" w:ascii="宋体" w:hAnsi="宋体" w:cs="宋体"/>
          <w:snapToGrid w:val="0"/>
          <w:color w:val="auto"/>
          <w:spacing w:val="4"/>
          <w:kern w:val="0"/>
          <w:sz w:val="24"/>
          <w:szCs w:val="24"/>
          <w:highlight w:val="none"/>
          <w:lang w:val="en-US" w:eastAsia="zh-CN"/>
        </w:rPr>
        <w:t>，</w:t>
      </w:r>
      <w:r>
        <w:rPr>
          <w:rFonts w:hint="eastAsia" w:ascii="宋体" w:hAnsi="宋体" w:cs="宋体"/>
          <w:snapToGrid w:val="0"/>
          <w:color w:val="auto"/>
          <w:spacing w:val="4"/>
          <w:kern w:val="0"/>
          <w:sz w:val="24"/>
          <w:szCs w:val="24"/>
          <w:highlight w:val="none"/>
          <w:lang w:val="en-US" w:eastAsia="zh-CN"/>
        </w:rPr>
        <w:t>并计取合同下浮率及投标下浮率后作为结算金额。</w:t>
      </w:r>
      <w:r>
        <w:rPr>
          <w:rFonts w:hint="eastAsia" w:ascii="宋体" w:hAnsi="宋体" w:cs="宋体"/>
          <w:snapToGrid w:val="0"/>
          <w:color w:val="auto"/>
          <w:spacing w:val="4"/>
          <w:kern w:val="0"/>
          <w:sz w:val="24"/>
          <w:szCs w:val="24"/>
          <w:highlight w:val="none"/>
          <w:lang w:val="en-US" w:eastAsia="zh"/>
        </w:rPr>
        <w:t>以上方法计算得出的</w:t>
      </w:r>
      <w:r>
        <w:rPr>
          <w:rFonts w:hint="eastAsia" w:ascii="宋体" w:hAnsi="宋体" w:cs="宋体"/>
          <w:snapToGrid w:val="0"/>
          <w:color w:val="auto"/>
          <w:spacing w:val="4"/>
          <w:kern w:val="0"/>
          <w:sz w:val="24"/>
          <w:szCs w:val="24"/>
          <w:highlight w:val="none"/>
          <w:lang w:val="en-US" w:eastAsia="zh-CN"/>
        </w:rPr>
        <w:t>建设管理服务费与暂定</w:t>
      </w:r>
      <w:r>
        <w:rPr>
          <w:rFonts w:hint="eastAsia" w:ascii="宋体" w:hAnsi="宋体" w:cs="宋体"/>
          <w:snapToGrid w:val="0"/>
          <w:color w:val="auto"/>
          <w:spacing w:val="4"/>
          <w:kern w:val="0"/>
          <w:sz w:val="24"/>
          <w:szCs w:val="24"/>
          <w:highlight w:val="none"/>
        </w:rPr>
        <w:t>合同价</w:t>
      </w:r>
      <w:r>
        <w:rPr>
          <w:rFonts w:hint="eastAsia" w:ascii="宋体" w:hAnsi="宋体" w:cs="宋体"/>
          <w:snapToGrid w:val="0"/>
          <w:color w:val="auto"/>
          <w:spacing w:val="4"/>
          <w:kern w:val="0"/>
          <w:sz w:val="24"/>
          <w:szCs w:val="24"/>
          <w:highlight w:val="none"/>
          <w:lang w:val="en-US" w:eastAsia="zh-CN"/>
        </w:rPr>
        <w:t>不一致</w:t>
      </w:r>
      <w:r>
        <w:rPr>
          <w:rFonts w:hint="eastAsia" w:ascii="宋体" w:hAnsi="宋体" w:cs="宋体"/>
          <w:snapToGrid w:val="0"/>
          <w:color w:val="auto"/>
          <w:spacing w:val="4"/>
          <w:kern w:val="0"/>
          <w:sz w:val="24"/>
          <w:szCs w:val="24"/>
          <w:highlight w:val="none"/>
        </w:rPr>
        <w:t>时，则结算按较小值计算</w:t>
      </w:r>
      <w:r>
        <w:rPr>
          <w:rFonts w:hint="eastAsia" w:ascii="宋体" w:hAnsi="宋体" w:cs="宋体"/>
          <w:snapToGrid w:val="0"/>
          <w:color w:val="auto"/>
          <w:spacing w:val="4"/>
          <w:kern w:val="0"/>
          <w:sz w:val="24"/>
          <w:szCs w:val="24"/>
          <w:highlight w:val="none"/>
          <w:lang w:eastAsia="zh-CN"/>
        </w:rPr>
        <w:t>。</w:t>
      </w:r>
    </w:p>
    <w:p w14:paraId="64188874">
      <w:pPr>
        <w:numPr>
          <w:ilvl w:val="255"/>
          <w:numId w:val="0"/>
        </w:numPr>
        <w:tabs>
          <w:tab w:val="left" w:pos="851"/>
        </w:tabs>
        <w:snapToGrid w:val="0"/>
        <w:spacing w:line="360" w:lineRule="auto"/>
        <w:ind w:firstLine="496" w:firstLineChars="200"/>
        <w:rPr>
          <w:rFonts w:hint="default" w:ascii="宋体" w:hAnsi="宋体" w:cs="宋体"/>
          <w:snapToGrid w:val="0"/>
          <w:color w:val="auto"/>
          <w:spacing w:val="4"/>
          <w:kern w:val="0"/>
          <w:sz w:val="24"/>
          <w:szCs w:val="24"/>
          <w:highlight w:val="none"/>
          <w:lang w:val="en-US" w:eastAsia="zh-CN"/>
        </w:rPr>
      </w:pPr>
      <w:r>
        <w:rPr>
          <w:rFonts w:hint="eastAsia" w:ascii="宋体" w:hAnsi="宋体" w:cs="宋体"/>
          <w:snapToGrid w:val="0"/>
          <w:color w:val="auto"/>
          <w:spacing w:val="4"/>
          <w:kern w:val="0"/>
          <w:sz w:val="24"/>
          <w:szCs w:val="24"/>
          <w:highlight w:val="none"/>
          <w:lang w:val="en-US" w:eastAsia="zh-CN"/>
        </w:rPr>
        <w:t>计算公式为：总建设管理服务费=</w:t>
      </w:r>
      <w:r>
        <w:rPr>
          <w:rFonts w:hint="eastAsia" w:ascii="宋体" w:hAnsi="宋体" w:cs="宋体"/>
          <w:snapToGrid w:val="0"/>
          <w:color w:val="auto"/>
          <w:spacing w:val="4"/>
          <w:kern w:val="0"/>
          <w:sz w:val="24"/>
          <w:szCs w:val="24"/>
          <w:highlight w:val="none"/>
        </w:rPr>
        <w:t>以概算批复的</w:t>
      </w:r>
      <w:r>
        <w:rPr>
          <w:rFonts w:hint="eastAsia" w:ascii="宋体" w:hAnsi="宋体" w:cs="宋体"/>
          <w:snapToGrid w:val="0"/>
          <w:color w:val="auto"/>
          <w:spacing w:val="4"/>
          <w:kern w:val="0"/>
          <w:sz w:val="24"/>
          <w:szCs w:val="24"/>
          <w:highlight w:val="none"/>
          <w:lang w:val="en-US" w:eastAsia="zh-CN"/>
        </w:rPr>
        <w:t>广州市白云区棠涌村城中村改造项目首开区安置地块及安置区配套道路</w:t>
      </w:r>
      <w:r>
        <w:rPr>
          <w:rFonts w:hint="eastAsia" w:ascii="宋体" w:hAnsi="宋体" w:cs="宋体"/>
          <w:snapToGrid w:val="0"/>
          <w:color w:val="auto"/>
          <w:spacing w:val="4"/>
          <w:kern w:val="0"/>
          <w:sz w:val="24"/>
          <w:szCs w:val="24"/>
          <w:highlight w:val="none"/>
        </w:rPr>
        <w:t>项目总投资</w:t>
      </w:r>
      <w:r>
        <w:rPr>
          <w:rFonts w:hint="eastAsia" w:ascii="宋体" w:hAnsi="宋体" w:cs="宋体"/>
          <w:snapToGrid w:val="0"/>
          <w:color w:val="auto"/>
          <w:spacing w:val="4"/>
          <w:kern w:val="0"/>
          <w:sz w:val="24"/>
          <w:szCs w:val="24"/>
          <w:highlight w:val="none"/>
          <w:lang w:val="en-US" w:eastAsia="zh-CN"/>
        </w:rPr>
        <w:t>（</w:t>
      </w:r>
      <w:r>
        <w:rPr>
          <w:rFonts w:hint="eastAsia" w:ascii="宋体" w:hAnsi="宋体" w:cs="宋体"/>
          <w:snapToGrid w:val="0"/>
          <w:color w:val="auto"/>
          <w:spacing w:val="4"/>
          <w:kern w:val="0"/>
          <w:sz w:val="24"/>
          <w:szCs w:val="24"/>
          <w:highlight w:val="none"/>
        </w:rPr>
        <w:t>不含概算批复</w:t>
      </w:r>
      <w:r>
        <w:rPr>
          <w:rFonts w:hint="eastAsia" w:ascii="宋体" w:hAnsi="宋体" w:cs="宋体"/>
          <w:snapToGrid w:val="0"/>
          <w:color w:val="auto"/>
          <w:spacing w:val="4"/>
          <w:kern w:val="0"/>
          <w:sz w:val="24"/>
          <w:szCs w:val="24"/>
          <w:highlight w:val="none"/>
          <w:lang w:val="en-US" w:eastAsia="zh-CN"/>
        </w:rPr>
        <w:t>建设用地</w:t>
      </w:r>
      <w:r>
        <w:rPr>
          <w:rFonts w:hint="eastAsia" w:ascii="宋体" w:hAnsi="宋体" w:cs="宋体"/>
          <w:snapToGrid w:val="0"/>
          <w:color w:val="auto"/>
          <w:spacing w:val="4"/>
          <w:kern w:val="0"/>
          <w:sz w:val="24"/>
          <w:szCs w:val="24"/>
          <w:highlight w:val="none"/>
        </w:rPr>
        <w:t>费、</w:t>
      </w:r>
      <w:r>
        <w:rPr>
          <w:rFonts w:hint="eastAsia" w:ascii="宋体" w:hAnsi="宋体" w:cs="宋体"/>
          <w:snapToGrid w:val="0"/>
          <w:color w:val="auto"/>
          <w:spacing w:val="4"/>
          <w:kern w:val="0"/>
          <w:sz w:val="24"/>
          <w:szCs w:val="24"/>
          <w:highlight w:val="none"/>
          <w:lang w:val="en-US" w:eastAsia="zh-CN"/>
        </w:rPr>
        <w:t>前期工作费、住宅维修基金、</w:t>
      </w:r>
      <w:r>
        <w:rPr>
          <w:rFonts w:hint="eastAsia" w:ascii="宋体" w:hAnsi="宋体" w:cs="宋体"/>
          <w:snapToGrid w:val="0"/>
          <w:color w:val="auto"/>
          <w:spacing w:val="4"/>
          <w:kern w:val="0"/>
          <w:sz w:val="24"/>
          <w:szCs w:val="24"/>
          <w:highlight w:val="none"/>
        </w:rPr>
        <w:t>税金、</w:t>
      </w:r>
      <w:r>
        <w:rPr>
          <w:rFonts w:hint="eastAsia" w:ascii="宋体" w:hAnsi="宋体" w:cs="宋体"/>
          <w:snapToGrid w:val="0"/>
          <w:color w:val="auto"/>
          <w:spacing w:val="4"/>
          <w:kern w:val="0"/>
          <w:sz w:val="24"/>
          <w:szCs w:val="24"/>
          <w:highlight w:val="none"/>
          <w:lang w:val="en-US" w:eastAsia="zh-CN"/>
        </w:rPr>
        <w:t>建设期</w:t>
      </w:r>
      <w:r>
        <w:rPr>
          <w:rFonts w:hint="eastAsia" w:ascii="宋体" w:hAnsi="宋体" w:cs="宋体"/>
          <w:snapToGrid w:val="0"/>
          <w:color w:val="auto"/>
          <w:spacing w:val="4"/>
          <w:kern w:val="0"/>
          <w:sz w:val="24"/>
          <w:szCs w:val="24"/>
          <w:highlight w:val="none"/>
        </w:rPr>
        <w:t>利息、建设管理费)</w:t>
      </w:r>
      <w:r>
        <w:rPr>
          <w:rFonts w:hint="eastAsia" w:ascii="宋体" w:hAnsi="宋体" w:cs="宋体"/>
          <w:snapToGrid w:val="0"/>
          <w:color w:val="auto"/>
          <w:spacing w:val="4"/>
          <w:kern w:val="0"/>
          <w:sz w:val="24"/>
          <w:szCs w:val="24"/>
          <w:highlight w:val="none"/>
          <w:lang w:val="en-US" w:eastAsia="zh-CN"/>
        </w:rPr>
        <w:t>为基数依据504号文计算的建设管理费</w:t>
      </w:r>
      <w:r>
        <w:rPr>
          <w:rFonts w:hint="eastAsia" w:ascii="宋体" w:hAnsi="宋体" w:cs="宋体"/>
          <w:snapToGrid w:val="0"/>
          <w:color w:val="auto"/>
          <w:spacing w:val="4"/>
          <w:kern w:val="0"/>
          <w:sz w:val="24"/>
          <w:szCs w:val="24"/>
          <w:highlight w:val="none"/>
        </w:rPr>
        <w:t>×</w:t>
      </w:r>
      <w:r>
        <w:rPr>
          <w:rFonts w:hint="eastAsia" w:ascii="宋体" w:hAnsi="宋体" w:cs="宋体"/>
          <w:snapToGrid w:val="0"/>
          <w:color w:val="auto"/>
          <w:spacing w:val="4"/>
          <w:kern w:val="0"/>
          <w:sz w:val="24"/>
          <w:szCs w:val="24"/>
          <w:highlight w:val="none"/>
          <w:lang w:val="en-US" w:eastAsia="zh-CN"/>
        </w:rPr>
        <w:t>合同范围内概算批复的建安费÷概算批复总建安费</w:t>
      </w:r>
      <w:r>
        <w:rPr>
          <w:rFonts w:hint="eastAsia" w:ascii="宋体" w:hAnsi="宋体" w:cs="宋体"/>
          <w:snapToGrid w:val="0"/>
          <w:color w:val="auto"/>
          <w:spacing w:val="4"/>
          <w:kern w:val="0"/>
          <w:sz w:val="24"/>
          <w:szCs w:val="24"/>
          <w:highlight w:val="none"/>
        </w:rPr>
        <w:t>×（1-合同下浮率</w:t>
      </w:r>
      <w:r>
        <w:rPr>
          <w:rFonts w:hint="eastAsia" w:ascii="宋体" w:hAnsi="宋体" w:cs="宋体"/>
          <w:snapToGrid w:val="0"/>
          <w:color w:val="auto"/>
          <w:spacing w:val="4"/>
          <w:kern w:val="0"/>
          <w:sz w:val="24"/>
          <w:szCs w:val="24"/>
          <w:highlight w:val="none"/>
          <w:u w:val="single"/>
          <w:lang w:val="en-US" w:eastAsia="zh-CN"/>
        </w:rPr>
        <w:t xml:space="preserve"> 35% </w:t>
      </w:r>
      <w:r>
        <w:rPr>
          <w:rFonts w:hint="eastAsia" w:ascii="宋体" w:hAnsi="宋体" w:cs="宋体"/>
          <w:snapToGrid w:val="0"/>
          <w:color w:val="auto"/>
          <w:spacing w:val="4"/>
          <w:kern w:val="0"/>
          <w:sz w:val="24"/>
          <w:szCs w:val="24"/>
          <w:highlight w:val="none"/>
        </w:rPr>
        <w:t>）×（1-投标下浮率</w:t>
      </w:r>
      <w:r>
        <w:rPr>
          <w:rFonts w:hint="eastAsia" w:ascii="宋体" w:hAnsi="宋体" w:cs="宋体"/>
          <w:snapToGrid w:val="0"/>
          <w:color w:val="auto"/>
          <w:spacing w:val="4"/>
          <w:kern w:val="0"/>
          <w:sz w:val="24"/>
          <w:szCs w:val="24"/>
          <w:highlight w:val="none"/>
          <w:u w:val="single"/>
          <w:lang w:val="en-US" w:eastAsia="zh-CN"/>
        </w:rPr>
        <w:t xml:space="preserve">     </w:t>
      </w:r>
      <w:r>
        <w:rPr>
          <w:rFonts w:hint="eastAsia" w:ascii="宋体" w:hAnsi="宋体" w:cs="宋体"/>
          <w:snapToGrid w:val="0"/>
          <w:color w:val="auto"/>
          <w:spacing w:val="4"/>
          <w:kern w:val="0"/>
          <w:sz w:val="24"/>
          <w:szCs w:val="24"/>
          <w:highlight w:val="none"/>
        </w:rPr>
        <w:t>）</w:t>
      </w:r>
    </w:p>
    <w:p w14:paraId="6D4ED1B9">
      <w:pPr>
        <w:numPr>
          <w:ilvl w:val="-1"/>
          <w:numId w:val="0"/>
        </w:numPr>
        <w:shd w:val="clear" w:color="auto" w:fill="auto"/>
        <w:snapToGrid w:val="0"/>
        <w:spacing w:line="360" w:lineRule="auto"/>
        <w:ind w:firstLine="480" w:firstLineChars="0"/>
        <w:jc w:val="left"/>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lang w:val="en-US" w:eastAsia="zh-CN"/>
        </w:rPr>
        <w:t>备注：</w:t>
      </w:r>
      <w:r>
        <w:rPr>
          <w:rFonts w:hint="eastAsia" w:ascii="宋体" w:hAnsi="宋体" w:eastAsia="宋体" w:cs="宋体"/>
          <w:snapToGrid w:val="0"/>
          <w:color w:val="auto"/>
          <w:spacing w:val="4"/>
          <w:kern w:val="0"/>
          <w:sz w:val="24"/>
          <w:szCs w:val="24"/>
          <w:highlight w:val="none"/>
          <w:lang w:val="en-US" w:bidi="ar"/>
        </w:rPr>
        <w:t>具体结算</w:t>
      </w:r>
      <w:r>
        <w:rPr>
          <w:rFonts w:hint="eastAsia" w:ascii="宋体" w:hAnsi="宋体" w:cs="宋体"/>
          <w:snapToGrid w:val="0"/>
          <w:color w:val="auto"/>
          <w:spacing w:val="4"/>
          <w:kern w:val="0"/>
          <w:sz w:val="24"/>
          <w:szCs w:val="24"/>
          <w:highlight w:val="none"/>
          <w:lang w:val="en-US" w:eastAsia="zh-CN" w:bidi="ar"/>
        </w:rPr>
        <w:t>范围</w:t>
      </w:r>
      <w:r>
        <w:rPr>
          <w:rFonts w:hint="eastAsia" w:ascii="宋体" w:hAnsi="宋体" w:eastAsia="宋体" w:cs="宋体"/>
          <w:snapToGrid w:val="0"/>
          <w:color w:val="auto"/>
          <w:spacing w:val="4"/>
          <w:kern w:val="0"/>
          <w:sz w:val="24"/>
          <w:szCs w:val="24"/>
          <w:highlight w:val="none"/>
          <w:lang w:val="en-US" w:bidi="ar"/>
        </w:rPr>
        <w:t>以</w:t>
      </w:r>
      <w:r>
        <w:rPr>
          <w:rFonts w:hint="eastAsia" w:ascii="宋体" w:hAnsi="宋体" w:cs="宋体"/>
          <w:snapToGrid w:val="0"/>
          <w:color w:val="auto"/>
          <w:spacing w:val="4"/>
          <w:kern w:val="0"/>
          <w:sz w:val="24"/>
          <w:szCs w:val="24"/>
          <w:highlight w:val="none"/>
          <w:lang w:val="en-US" w:eastAsia="zh-CN" w:bidi="ar"/>
        </w:rPr>
        <w:t>实施范围</w:t>
      </w:r>
      <w:r>
        <w:rPr>
          <w:rFonts w:hint="eastAsia" w:ascii="宋体" w:hAnsi="宋体" w:eastAsia="宋体" w:cs="宋体"/>
          <w:snapToGrid w:val="0"/>
          <w:color w:val="auto"/>
          <w:spacing w:val="4"/>
          <w:kern w:val="0"/>
          <w:sz w:val="24"/>
          <w:szCs w:val="24"/>
          <w:highlight w:val="none"/>
          <w:lang w:val="en-US" w:bidi="ar"/>
        </w:rPr>
        <w:t>为准。</w:t>
      </w:r>
      <w:r>
        <w:rPr>
          <w:rFonts w:ascii="Segoe UI" w:hAnsi="Segoe UI" w:eastAsia="Segoe UI" w:cs="Segoe UI"/>
          <w:i w:val="0"/>
          <w:iCs w:val="0"/>
          <w:caps w:val="0"/>
          <w:color w:val="auto"/>
          <w:spacing w:val="0"/>
          <w:sz w:val="24"/>
          <w:szCs w:val="24"/>
          <w:highlight w:val="none"/>
          <w:shd w:val="clear" w:fill="FFFFFF"/>
        </w:rPr>
        <w:t>若资金未能足额到位，甲乙双方应友好协商，但甲方不承担使用非专项资金支付的义务。</w:t>
      </w:r>
      <w:r>
        <w:rPr>
          <w:rFonts w:hint="eastAsia" w:ascii="宋体" w:hAnsi="宋体" w:cs="宋体"/>
          <w:snapToGrid w:val="0"/>
          <w:color w:val="auto"/>
          <w:spacing w:val="4"/>
          <w:kern w:val="0"/>
          <w:sz w:val="24"/>
          <w:szCs w:val="24"/>
          <w:highlight w:val="none"/>
        </w:rPr>
        <w:t>如有违约金，最终结算金额对应扣减。</w:t>
      </w:r>
    </w:p>
    <w:p w14:paraId="2FD0D2E1">
      <w:pPr>
        <w:tabs>
          <w:tab w:val="left" w:pos="900"/>
          <w:tab w:val="left" w:pos="1134"/>
          <w:tab w:val="left" w:pos="1560"/>
        </w:tabs>
        <w:snapToGrid w:val="0"/>
        <w:spacing w:line="360" w:lineRule="auto"/>
        <w:ind w:firstLine="480" w:firstLineChars="200"/>
        <w:jc w:val="left"/>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.3.2.</w:t>
      </w:r>
      <w:r>
        <w:rPr>
          <w:rFonts w:hint="eastAsia" w:ascii="宋体" w:hAnsi="宋体" w:cs="仿宋_GB2312"/>
          <w:color w:val="auto"/>
          <w:sz w:val="24"/>
          <w:szCs w:val="24"/>
          <w:highlight w:val="none"/>
        </w:rPr>
        <w:t>支付方式</w:t>
      </w:r>
    </w:p>
    <w:p w14:paraId="7251E5D5">
      <w:pPr>
        <w:tabs>
          <w:tab w:val="left" w:pos="720"/>
          <w:tab w:val="left" w:pos="1080"/>
          <w:tab w:val="left" w:pos="1134"/>
        </w:tabs>
        <w:adjustRightInd w:val="0"/>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3.3.2.1.建设管理服务费支付程序：乙方书面申请，计划资金到位后，经甲方审核批准后支付建设管理费。</w:t>
      </w:r>
    </w:p>
    <w:p w14:paraId="5703D437">
      <w:pPr>
        <w:adjustRightInd/>
        <w:snapToGrid w:val="0"/>
        <w:spacing w:line="360" w:lineRule="auto"/>
        <w:ind w:firstLine="480" w:firstLineChars="200"/>
        <w:rPr>
          <w:color w:val="auto"/>
          <w:highlight w:val="none"/>
        </w:rPr>
      </w:pPr>
      <w:r>
        <w:rPr>
          <w:rFonts w:ascii="宋体" w:hAnsi="宋体" w:cs="仿宋_GB2312"/>
          <w:color w:val="auto"/>
          <w:sz w:val="24"/>
          <w:szCs w:val="24"/>
          <w:highlight w:val="none"/>
        </w:rPr>
        <w:t xml:space="preserve">3.3.2.2 </w:t>
      </w:r>
      <w:r>
        <w:rPr>
          <w:rFonts w:hint="eastAsia" w:ascii="宋体" w:hAnsi="宋体" w:cs="仿宋_GB2312"/>
          <w:color w:val="auto"/>
          <w:sz w:val="24"/>
          <w:szCs w:val="24"/>
          <w:highlight w:val="none"/>
        </w:rPr>
        <w:t>在甲方向乙方支付合同价款前，乙方必须向甲方提供由乙方按核定付款金额开具的、与合同内容一致并符合税务机关规定的合法、有效增值税发票，由于乙方提供的发票不规范、不合法引起税务问题的，乙方应承担赔偿责任，包括但不限于税款、附加费、滞纳金、罚款及相关损失。乙方不能及时提供符合甲方要求的合法发票，甲方有权顺延直至乙方提供后付款且无需承担任何责任。如给甲方造成严重损失的，致使合同无法继续履行等情况，甲方有权终止合同。发票无论何种原因丢失，乙方应配合甲方按照国家法律、法规、规章、政策等规定重新取得相关凭证。</w:t>
      </w:r>
    </w:p>
    <w:p w14:paraId="0C693E78">
      <w:pPr>
        <w:tabs>
          <w:tab w:val="left" w:pos="720"/>
          <w:tab w:val="left" w:pos="1080"/>
          <w:tab w:val="left" w:pos="1134"/>
        </w:tabs>
        <w:adjustRightInd w:val="0"/>
        <w:snapToGrid w:val="0"/>
        <w:spacing w:line="360" w:lineRule="auto"/>
        <w:ind w:firstLine="482" w:firstLineChars="200"/>
        <w:rPr>
          <w:rFonts w:hint="eastAsia" w:ascii="宋体" w:hAnsi="宋体" w:cs="仿宋_GB2312"/>
          <w:b/>
          <w:bCs/>
          <w:color w:val="auto"/>
          <w:sz w:val="24"/>
          <w:szCs w:val="24"/>
          <w:highlight w:val="none"/>
          <w:lang w:val="en-US" w:eastAsia="zh-CN"/>
        </w:rPr>
      </w:pPr>
      <w:r>
        <w:rPr>
          <w:rFonts w:hint="eastAsia" w:ascii="宋体" w:hAnsi="宋体" w:cs="仿宋_GB2312"/>
          <w:b/>
          <w:bCs/>
          <w:color w:val="auto"/>
          <w:sz w:val="24"/>
          <w:szCs w:val="24"/>
          <w:highlight w:val="none"/>
          <w:lang w:val="en-US" w:eastAsia="zh-CN"/>
        </w:rPr>
        <w:t>建设管理服务费支付方式：</w:t>
      </w:r>
    </w:p>
    <w:p w14:paraId="26385672">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val="en-US" w:eastAsia="zh-CN"/>
        </w:rPr>
        <w:t>（1）</w:t>
      </w:r>
      <w:r>
        <w:rPr>
          <w:rFonts w:hint="eastAsia" w:ascii="宋体" w:hAnsi="宋体" w:cs="仿宋_GB2312"/>
          <w:color w:val="auto"/>
          <w:sz w:val="24"/>
          <w:szCs w:val="24"/>
          <w:highlight w:val="none"/>
        </w:rPr>
        <w:t>签订建管合同，计划资金到位后，经甲方审核批准后支付至含税</w:t>
      </w:r>
      <w:r>
        <w:rPr>
          <w:rFonts w:hint="eastAsia" w:ascii="宋体" w:hAnsi="宋体" w:cs="仿宋_GB2312"/>
          <w:color w:val="auto"/>
          <w:sz w:val="24"/>
          <w:szCs w:val="24"/>
          <w:highlight w:val="none"/>
          <w:lang w:val="en-US" w:eastAsia="zh-CN"/>
        </w:rPr>
        <w:t>暂定工程建设管理服务费</w:t>
      </w:r>
      <w:r>
        <w:rPr>
          <w:rFonts w:hint="eastAsia" w:ascii="宋体" w:hAnsi="宋体" w:cs="仿宋_GB2312"/>
          <w:color w:val="auto"/>
          <w:sz w:val="24"/>
          <w:szCs w:val="24"/>
          <w:highlight w:val="none"/>
        </w:rPr>
        <w:t>金额的20%。</w:t>
      </w:r>
    </w:p>
    <w:p w14:paraId="5C373CE5">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2）项目</w:t>
      </w:r>
      <w:r>
        <w:rPr>
          <w:rFonts w:hint="eastAsia" w:ascii="宋体" w:hAnsi="宋体" w:cs="仿宋_GB2312"/>
          <w:color w:val="auto"/>
          <w:sz w:val="24"/>
          <w:szCs w:val="24"/>
          <w:highlight w:val="none"/>
        </w:rPr>
        <w:t>地下室</w:t>
      </w:r>
      <w:r>
        <w:rPr>
          <w:rFonts w:hint="eastAsia" w:ascii="宋体" w:hAnsi="宋体" w:cs="仿宋_GB2312"/>
          <w:color w:val="auto"/>
          <w:sz w:val="24"/>
          <w:szCs w:val="24"/>
          <w:highlight w:val="none"/>
        </w:rPr>
        <w:t>整体</w:t>
      </w:r>
      <w:r>
        <w:rPr>
          <w:rFonts w:hint="eastAsia" w:ascii="宋体" w:hAnsi="宋体" w:cs="仿宋_GB2312"/>
          <w:color w:val="auto"/>
          <w:sz w:val="24"/>
          <w:szCs w:val="24"/>
          <w:highlight w:val="none"/>
        </w:rPr>
        <w:t>施工至±0.000时，计划资金到位后，乙方书面申请，经甲方审核批准后支付含税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的40%。</w:t>
      </w:r>
    </w:p>
    <w:p w14:paraId="6D9565DB">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3）项目</w:t>
      </w:r>
      <w:r>
        <w:rPr>
          <w:rFonts w:hint="eastAsia" w:ascii="宋体" w:hAnsi="宋体" w:cs="仿宋_GB2312"/>
          <w:color w:val="auto"/>
          <w:sz w:val="24"/>
          <w:szCs w:val="24"/>
          <w:highlight w:val="none"/>
        </w:rPr>
        <w:t>主体</w:t>
      </w:r>
      <w:r>
        <w:rPr>
          <w:rFonts w:hint="eastAsia" w:ascii="宋体" w:hAnsi="宋体" w:cs="仿宋_GB2312"/>
          <w:color w:val="auto"/>
          <w:sz w:val="24"/>
          <w:szCs w:val="24"/>
          <w:highlight w:val="none"/>
        </w:rPr>
        <w:t>整体</w:t>
      </w:r>
      <w:r>
        <w:rPr>
          <w:rFonts w:hint="eastAsia" w:ascii="宋体" w:hAnsi="宋体" w:cs="仿宋_GB2312"/>
          <w:color w:val="auto"/>
          <w:sz w:val="24"/>
          <w:szCs w:val="24"/>
          <w:highlight w:val="none"/>
        </w:rPr>
        <w:t>结构封顶时，计划资金到位</w:t>
      </w:r>
      <w:bookmarkStart w:id="6" w:name="_GoBack"/>
      <w:bookmarkEnd w:id="6"/>
      <w:r>
        <w:rPr>
          <w:rFonts w:hint="eastAsia" w:ascii="宋体" w:hAnsi="宋体" w:cs="仿宋_GB2312"/>
          <w:color w:val="auto"/>
          <w:sz w:val="24"/>
          <w:szCs w:val="24"/>
          <w:highlight w:val="none"/>
        </w:rPr>
        <w:t>后，乙方书面申请，经甲方审核批准后</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rPr>
        <w:t>累计支付至含税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的65%。</w:t>
      </w:r>
    </w:p>
    <w:p w14:paraId="265780FC">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4）</w:t>
      </w:r>
      <w:r>
        <w:rPr>
          <w:rFonts w:hint="eastAsia" w:ascii="宋体" w:hAnsi="宋体" w:cs="仿宋_GB2312"/>
          <w:color w:val="auto"/>
          <w:sz w:val="24"/>
          <w:szCs w:val="24"/>
          <w:highlight w:val="none"/>
          <w:lang w:eastAsia="zh"/>
        </w:rPr>
        <w:t>项目工程质量竣工验收通过</w:t>
      </w:r>
      <w:r>
        <w:rPr>
          <w:rFonts w:hint="eastAsia" w:ascii="宋体" w:hAnsi="宋体" w:cs="仿宋_GB2312"/>
          <w:color w:val="auto"/>
          <w:sz w:val="24"/>
          <w:szCs w:val="24"/>
          <w:highlight w:val="none"/>
        </w:rPr>
        <w:t>，计划资金到位后，乙方书面申请，经甲方审核批准后支付至含税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lang w:val="en-US" w:eastAsia="zh-CN"/>
        </w:rPr>
        <w:t>7</w:t>
      </w:r>
      <w:r>
        <w:rPr>
          <w:rFonts w:hint="eastAsia" w:ascii="宋体" w:hAnsi="宋体" w:cs="仿宋_GB2312"/>
          <w:color w:val="auto"/>
          <w:sz w:val="24"/>
          <w:szCs w:val="24"/>
          <w:highlight w:val="none"/>
        </w:rPr>
        <w:t>0%。</w:t>
      </w:r>
    </w:p>
    <w:p w14:paraId="496145A7">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5）</w:t>
      </w:r>
      <w:r>
        <w:rPr>
          <w:rFonts w:hint="eastAsia" w:ascii="宋体" w:hAnsi="宋体" w:cs="仿宋_GB2312"/>
          <w:color w:val="auto"/>
          <w:sz w:val="24"/>
          <w:szCs w:val="24"/>
          <w:highlight w:val="none"/>
          <w:lang w:eastAsia="zh"/>
        </w:rPr>
        <w:t>工程取得《竣工联合验收意见书》，通过竣工联合验收，根据《建设工程质量管理条例》，予以工程竣工联合验收备案，</w:t>
      </w:r>
      <w:r>
        <w:rPr>
          <w:rFonts w:hint="eastAsia" w:ascii="宋体" w:hAnsi="宋体" w:cs="仿宋_GB2312"/>
          <w:color w:val="auto"/>
          <w:sz w:val="24"/>
          <w:szCs w:val="24"/>
          <w:highlight w:val="none"/>
        </w:rPr>
        <w:t>计划资金到位后，乙方书面申请，经甲方审核批准后支付至含税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的8</w:t>
      </w:r>
      <w:r>
        <w:rPr>
          <w:rFonts w:hint="eastAsia" w:ascii="宋体" w:hAnsi="宋体" w:cs="仿宋_GB2312"/>
          <w:color w:val="auto"/>
          <w:sz w:val="24"/>
          <w:szCs w:val="24"/>
          <w:highlight w:val="none"/>
          <w:lang w:val="en-US" w:eastAsia="zh-CN"/>
        </w:rPr>
        <w:t>0</w:t>
      </w:r>
      <w:r>
        <w:rPr>
          <w:rFonts w:hint="eastAsia" w:ascii="宋体" w:hAnsi="宋体" w:cs="仿宋_GB2312"/>
          <w:color w:val="auto"/>
          <w:sz w:val="24"/>
          <w:szCs w:val="24"/>
          <w:highlight w:val="none"/>
        </w:rPr>
        <w:t>%。</w:t>
      </w:r>
    </w:p>
    <w:p w14:paraId="40A02ADE">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 xml:space="preserve">6） </w:t>
      </w:r>
      <w:r>
        <w:rPr>
          <w:rFonts w:hint="eastAsia" w:ascii="宋体" w:hAnsi="宋体" w:cs="仿宋_GB2312"/>
          <w:color w:val="auto"/>
          <w:sz w:val="24"/>
          <w:szCs w:val="24"/>
          <w:highlight w:val="none"/>
        </w:rPr>
        <w:t>安置房施工结算提交至财局接收时，计划资金到位后，乙方书面申请，经甲方审核批准后支付至含税</w:t>
      </w:r>
      <w:r>
        <w:rPr>
          <w:rFonts w:hint="eastAsia" w:ascii="宋体" w:hAnsi="宋体" w:cs="仿宋_GB2312"/>
          <w:color w:val="auto"/>
          <w:sz w:val="24"/>
          <w:szCs w:val="24"/>
          <w:highlight w:val="none"/>
          <w:lang w:val="en-US" w:eastAsia="zh-CN"/>
        </w:rPr>
        <w:t>暂定合同价</w:t>
      </w:r>
      <w:r>
        <w:rPr>
          <w:rFonts w:hint="eastAsia" w:ascii="宋体" w:hAnsi="宋体" w:cs="仿宋_GB2312"/>
          <w:color w:val="auto"/>
          <w:sz w:val="24"/>
          <w:szCs w:val="24"/>
          <w:highlight w:val="none"/>
        </w:rPr>
        <w:t>的</w:t>
      </w:r>
      <w:r>
        <w:rPr>
          <w:rFonts w:hint="eastAsia" w:ascii="宋体" w:hAnsi="宋体" w:cs="仿宋_GB2312"/>
          <w:color w:val="auto"/>
          <w:sz w:val="24"/>
          <w:szCs w:val="24"/>
          <w:highlight w:val="none"/>
          <w:lang w:val="en-US" w:eastAsia="zh-CN"/>
        </w:rPr>
        <w:t>85</w:t>
      </w:r>
      <w:r>
        <w:rPr>
          <w:rFonts w:hint="eastAsia" w:ascii="宋体" w:hAnsi="宋体" w:cs="仿宋_GB2312"/>
          <w:color w:val="auto"/>
          <w:sz w:val="24"/>
          <w:szCs w:val="24"/>
          <w:highlight w:val="none"/>
        </w:rPr>
        <w:t>%。</w:t>
      </w:r>
    </w:p>
    <w:p w14:paraId="79F96042">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7）</w:t>
      </w:r>
      <w:r>
        <w:rPr>
          <w:rFonts w:hint="eastAsia" w:ascii="宋体" w:hAnsi="宋体" w:cs="仿宋_GB2312"/>
          <w:color w:val="auto"/>
          <w:sz w:val="24"/>
          <w:szCs w:val="24"/>
          <w:highlight w:val="none"/>
        </w:rPr>
        <w:t>项目安置房施工结算经审核部门审核后出具审核结果，计划资金到位后，乙方书面申请</w:t>
      </w:r>
      <w:r>
        <w:rPr>
          <w:rFonts w:hint="eastAsia" w:ascii="宋体" w:hAnsi="宋体" w:cs="仿宋_GB2312"/>
          <w:color w:val="auto"/>
          <w:sz w:val="24"/>
          <w:szCs w:val="24"/>
          <w:highlight w:val="none"/>
          <w:lang w:val="en-US" w:eastAsia="zh-CN"/>
        </w:rPr>
        <w:t>办理结算</w:t>
      </w:r>
      <w:r>
        <w:rPr>
          <w:rFonts w:hint="eastAsia" w:ascii="宋体" w:hAnsi="宋体" w:cs="仿宋_GB2312"/>
          <w:color w:val="auto"/>
          <w:sz w:val="24"/>
          <w:szCs w:val="24"/>
          <w:highlight w:val="none"/>
        </w:rPr>
        <w:t>，经</w:t>
      </w:r>
      <w:r>
        <w:rPr>
          <w:rFonts w:hint="eastAsia" w:ascii="宋体" w:hAnsi="宋体" w:cs="仿宋_GB2312"/>
          <w:color w:val="auto"/>
          <w:sz w:val="24"/>
          <w:szCs w:val="24"/>
          <w:highlight w:val="none"/>
          <w:lang w:val="en-US" w:eastAsia="zh-CN"/>
        </w:rPr>
        <w:t>有关审核部门及</w:t>
      </w:r>
      <w:r>
        <w:rPr>
          <w:rFonts w:hint="eastAsia" w:ascii="宋体" w:hAnsi="宋体" w:cs="仿宋_GB2312"/>
          <w:color w:val="auto"/>
          <w:sz w:val="24"/>
          <w:szCs w:val="24"/>
          <w:highlight w:val="none"/>
        </w:rPr>
        <w:t>甲方审核批准</w:t>
      </w:r>
      <w:r>
        <w:rPr>
          <w:rFonts w:hint="eastAsia" w:ascii="宋体" w:hAnsi="宋体" w:cs="仿宋_GB2312"/>
          <w:color w:val="auto"/>
          <w:sz w:val="24"/>
          <w:szCs w:val="24"/>
          <w:highlight w:val="none"/>
          <w:lang w:val="en-US" w:eastAsia="zh-CN"/>
        </w:rPr>
        <w:t>结算</w:t>
      </w:r>
      <w:r>
        <w:rPr>
          <w:rFonts w:hint="eastAsia" w:ascii="宋体" w:hAnsi="宋体" w:cs="仿宋_GB2312"/>
          <w:color w:val="auto"/>
          <w:sz w:val="24"/>
          <w:szCs w:val="24"/>
          <w:highlight w:val="none"/>
        </w:rPr>
        <w:t>后支付至含税</w:t>
      </w:r>
      <w:r>
        <w:rPr>
          <w:rFonts w:hint="eastAsia" w:ascii="宋体" w:hAnsi="宋体" w:cs="仿宋_GB2312"/>
          <w:color w:val="auto"/>
          <w:sz w:val="24"/>
          <w:szCs w:val="24"/>
          <w:highlight w:val="none"/>
          <w:lang w:val="en-US" w:eastAsia="zh-CN"/>
        </w:rPr>
        <w:t>工程建设管理费结算</w:t>
      </w:r>
      <w:r>
        <w:rPr>
          <w:rFonts w:hint="eastAsia" w:ascii="宋体" w:hAnsi="宋体" w:cs="仿宋_GB2312"/>
          <w:color w:val="auto"/>
          <w:sz w:val="24"/>
          <w:szCs w:val="24"/>
          <w:highlight w:val="none"/>
        </w:rPr>
        <w:t>金额的97%。</w:t>
      </w:r>
    </w:p>
    <w:p w14:paraId="4B2554F0">
      <w:pPr>
        <w:tabs>
          <w:tab w:val="left" w:pos="720"/>
          <w:tab w:val="left" w:pos="1080"/>
          <w:tab w:val="left" w:pos="1134"/>
        </w:tabs>
        <w:adjustRightInd w:val="0"/>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rPr>
        <w:t>最后的3%为质保金，在建设管理期限期满无息付清。</w:t>
      </w:r>
    </w:p>
    <w:p w14:paraId="5FA6D654">
      <w:pPr>
        <w:tabs>
          <w:tab w:val="left" w:pos="720"/>
          <w:tab w:val="left" w:pos="1080"/>
          <w:tab w:val="left" w:pos="1134"/>
        </w:tabs>
        <w:adjustRightInd w:val="0"/>
        <w:snapToGrid w:val="0"/>
        <w:spacing w:line="360" w:lineRule="auto"/>
        <w:ind w:firstLine="480" w:firstLineChars="200"/>
        <w:rPr>
          <w:rFonts w:hint="eastAsia"/>
          <w:strike/>
          <w:color w:val="auto"/>
          <w:highlight w:val="none"/>
        </w:rPr>
      </w:pP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9）</w:t>
      </w:r>
      <w:r>
        <w:rPr>
          <w:rFonts w:hint="eastAsia" w:ascii="宋体" w:hAnsi="宋体" w:cs="仿宋_GB2312"/>
          <w:color w:val="auto"/>
          <w:sz w:val="24"/>
          <w:szCs w:val="24"/>
          <w:highlight w:val="none"/>
        </w:rPr>
        <w:t>当本项目采用分期建设，且因非乙方原因造成部分地块缓建的，乙方可根据已完地块建安费所占比例申请上述</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2）</w:t>
      </w:r>
      <w:r>
        <w:rPr>
          <w:rFonts w:hint="eastAsia" w:ascii="宋体" w:hAnsi="宋体" w:cs="仿宋_GB2312"/>
          <w:color w:val="auto"/>
          <w:sz w:val="24"/>
          <w:szCs w:val="24"/>
          <w:highlight w:val="none"/>
        </w:rPr>
        <w:t>款至</w:t>
      </w:r>
      <w:r>
        <w:rPr>
          <w:rFonts w:hint="eastAsia" w:ascii="宋体" w:hAnsi="宋体" w:cs="仿宋_GB2312"/>
          <w:color w:val="auto"/>
          <w:sz w:val="24"/>
          <w:szCs w:val="24"/>
          <w:highlight w:val="none"/>
          <w:lang w:eastAsia="zh-CN"/>
        </w:rPr>
        <w:t>（</w:t>
      </w:r>
      <w:r>
        <w:rPr>
          <w:rFonts w:hint="eastAsia" w:ascii="宋体" w:hAnsi="宋体" w:cs="仿宋_GB2312"/>
          <w:color w:val="auto"/>
          <w:sz w:val="24"/>
          <w:szCs w:val="24"/>
          <w:highlight w:val="none"/>
          <w:lang w:val="en-US" w:eastAsia="zh-CN"/>
        </w:rPr>
        <w:t>8）</w:t>
      </w:r>
      <w:r>
        <w:rPr>
          <w:rFonts w:hint="eastAsia" w:ascii="宋体" w:hAnsi="宋体" w:cs="仿宋_GB2312"/>
          <w:color w:val="auto"/>
          <w:sz w:val="24"/>
          <w:szCs w:val="24"/>
          <w:highlight w:val="none"/>
        </w:rPr>
        <w:t>款服务费。</w:t>
      </w:r>
      <w:r>
        <w:rPr>
          <w:rFonts w:hint="eastAsia" w:ascii="宋体" w:hAnsi="宋体" w:cs="仿宋_GB2312"/>
          <w:color w:val="auto"/>
          <w:sz w:val="24"/>
          <w:szCs w:val="24"/>
          <w:highlight w:val="none"/>
          <w:lang w:val="en-US" w:eastAsia="zh-CN"/>
        </w:rPr>
        <w:t xml:space="preserve">    </w:t>
      </w:r>
    </w:p>
    <w:p w14:paraId="1F785514">
      <w:pPr>
        <w:tabs>
          <w:tab w:val="left" w:pos="720"/>
          <w:tab w:val="left" w:pos="1080"/>
          <w:tab w:val="left" w:pos="1134"/>
        </w:tabs>
        <w:adjustRightInd w:val="0"/>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.3.3.</w:t>
      </w:r>
      <w:r>
        <w:rPr>
          <w:rFonts w:hint="eastAsia" w:ascii="宋体" w:hAnsi="宋体" w:cs="仿宋_GB2312"/>
          <w:color w:val="auto"/>
          <w:sz w:val="24"/>
          <w:szCs w:val="24"/>
          <w:highlight w:val="none"/>
        </w:rPr>
        <w:t>项目缓建、项目分期或分标段实施的，则按实际完成工作量占总工作量的比例计算对应比例的建设管理服务费办理支付。</w:t>
      </w:r>
    </w:p>
    <w:p w14:paraId="4C27AB20">
      <w:pPr>
        <w:tabs>
          <w:tab w:val="left" w:pos="720"/>
          <w:tab w:val="left" w:pos="1080"/>
          <w:tab w:val="left" w:pos="1134"/>
        </w:tabs>
        <w:adjustRightInd w:val="0"/>
        <w:snapToGrid w:val="0"/>
        <w:spacing w:line="360" w:lineRule="auto"/>
        <w:ind w:firstLine="480" w:firstLineChars="200"/>
        <w:rPr>
          <w:rFonts w:ascii="宋体" w:hAnsi="宋体" w:cs="仿宋_GB2312"/>
          <w:color w:val="auto"/>
          <w:sz w:val="24"/>
          <w:szCs w:val="24"/>
          <w:highlight w:val="none"/>
        </w:rPr>
      </w:pPr>
      <w:r>
        <w:rPr>
          <w:rFonts w:hint="eastAsia" w:ascii="宋体" w:hAnsi="宋体" w:cs="仿宋_GB2312"/>
          <w:color w:val="auto"/>
          <w:sz w:val="24"/>
          <w:szCs w:val="24"/>
          <w:highlight w:val="none"/>
        </w:rPr>
        <w:t>3</w:t>
      </w:r>
      <w:r>
        <w:rPr>
          <w:rFonts w:ascii="宋体" w:hAnsi="宋体" w:cs="仿宋_GB2312"/>
          <w:color w:val="auto"/>
          <w:sz w:val="24"/>
          <w:szCs w:val="24"/>
          <w:highlight w:val="none"/>
        </w:rPr>
        <w:t>.3.4.</w:t>
      </w:r>
      <w:r>
        <w:rPr>
          <w:rFonts w:hint="eastAsia" w:ascii="宋体" w:hAnsi="宋体" w:cs="仿宋_GB2312"/>
          <w:color w:val="auto"/>
          <w:sz w:val="24"/>
          <w:szCs w:val="24"/>
          <w:highlight w:val="none"/>
        </w:rPr>
        <w:t>甲方对乙方提交的支付申请有异议，应当在收到支付申请后1</w:t>
      </w:r>
      <w:r>
        <w:rPr>
          <w:rFonts w:ascii="宋体" w:hAnsi="宋体" w:cs="仿宋_GB2312"/>
          <w:color w:val="auto"/>
          <w:sz w:val="24"/>
          <w:szCs w:val="24"/>
          <w:highlight w:val="none"/>
        </w:rPr>
        <w:t>5日内</w:t>
      </w:r>
      <w:r>
        <w:rPr>
          <w:rFonts w:hint="eastAsia" w:ascii="宋体" w:hAnsi="宋体" w:cs="仿宋_GB2312"/>
          <w:color w:val="auto"/>
          <w:sz w:val="24"/>
          <w:szCs w:val="24"/>
          <w:highlight w:val="none"/>
        </w:rPr>
        <w:t>向乙方发出表示异议的书面通知，逾期视为同意，但甲方不得拖延其他无异议的支付申请。</w:t>
      </w:r>
    </w:p>
    <w:p w14:paraId="499DC5CF">
      <w:pPr>
        <w:pStyle w:val="10"/>
        <w:snapToGrid w:val="0"/>
        <w:spacing w:line="360" w:lineRule="auto"/>
        <w:ind w:firstLine="480"/>
        <w:rPr>
          <w:rFonts w:ascii="宋体" w:hAnsi="宋体" w:eastAsia="宋体" w:cs="仿宋_GB2312"/>
          <w:color w:val="auto"/>
          <w:kern w:val="2"/>
          <w:sz w:val="24"/>
          <w:szCs w:val="24"/>
          <w:highlight w:val="none"/>
        </w:rPr>
      </w:pPr>
      <w:r>
        <w:rPr>
          <w:rFonts w:ascii="宋体" w:hAnsi="宋体" w:cs="仿宋_GB2312"/>
          <w:color w:val="auto"/>
          <w:sz w:val="24"/>
          <w:szCs w:val="24"/>
          <w:highlight w:val="none"/>
        </w:rPr>
        <w:t>3.3.5</w:t>
      </w:r>
      <w:r>
        <w:rPr>
          <w:rFonts w:hint="eastAsia" w:ascii="宋体" w:hAnsi="宋体" w:cs="仿宋_GB2312"/>
          <w:color w:val="auto"/>
          <w:sz w:val="24"/>
          <w:szCs w:val="24"/>
          <w:highlight w:val="none"/>
        </w:rPr>
        <w:t>.</w:t>
      </w:r>
      <w:r>
        <w:rPr>
          <w:rFonts w:hint="eastAsia" w:ascii="宋体" w:hAnsi="宋体" w:eastAsia="宋体" w:cs="仿宋_GB2312"/>
          <w:color w:val="auto"/>
          <w:kern w:val="2"/>
          <w:sz w:val="24"/>
          <w:szCs w:val="24"/>
          <w:highlight w:val="none"/>
        </w:rPr>
        <w:t>乙方指定的有效收款银行账户如下：</w:t>
      </w:r>
    </w:p>
    <w:p w14:paraId="228B9303">
      <w:pPr>
        <w:snapToGrid w:val="0"/>
        <w:spacing w:line="360" w:lineRule="auto"/>
        <w:ind w:right="-197" w:firstLine="482" w:firstLineChars="200"/>
        <w:rPr>
          <w:rFonts w:hint="default" w:ascii="宋体" w:hAnsi="宋体" w:eastAsia="宋体" w:cs="仿宋_GB2312"/>
          <w:b/>
          <w:bCs/>
          <w:color w:val="auto"/>
          <w:sz w:val="24"/>
          <w:szCs w:val="24"/>
          <w:highlight w:val="none"/>
          <w:lang w:val="en-US" w:eastAsia="zh-CN"/>
        </w:rPr>
      </w:pPr>
      <w:r>
        <w:rPr>
          <w:rFonts w:hint="eastAsia" w:ascii="宋体" w:hAnsi="宋体" w:cs="仿宋_GB2312"/>
          <w:b/>
          <w:bCs/>
          <w:color w:val="auto"/>
          <w:sz w:val="24"/>
          <w:szCs w:val="24"/>
          <w:highlight w:val="none"/>
        </w:rPr>
        <w:t>开户行：</w:t>
      </w:r>
      <w:r>
        <w:rPr>
          <w:rFonts w:hint="eastAsia" w:ascii="宋体" w:hAnsi="宋体" w:cs="仿宋_GB2312"/>
          <w:b/>
          <w:bCs/>
          <w:color w:val="auto"/>
          <w:sz w:val="24"/>
          <w:szCs w:val="24"/>
          <w:highlight w:val="none"/>
          <w:u w:val="single"/>
          <w:lang w:val="en-US" w:eastAsia="zh-CN"/>
        </w:rPr>
        <w:t xml:space="preserve">                                 </w:t>
      </w:r>
    </w:p>
    <w:p w14:paraId="2273AF38">
      <w:pPr>
        <w:snapToGrid w:val="0"/>
        <w:spacing w:line="360" w:lineRule="auto"/>
        <w:ind w:right="-197" w:firstLine="482" w:firstLineChars="20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开户名：</w:t>
      </w:r>
      <w:r>
        <w:rPr>
          <w:rFonts w:hint="eastAsia" w:ascii="宋体" w:hAnsi="宋体" w:cs="仿宋_GB2312"/>
          <w:b/>
          <w:bCs/>
          <w:color w:val="auto"/>
          <w:sz w:val="24"/>
          <w:szCs w:val="24"/>
          <w:highlight w:val="none"/>
          <w:u w:val="single"/>
          <w:lang w:val="en-US" w:eastAsia="zh-CN"/>
        </w:rPr>
        <w:t xml:space="preserve">                                 </w:t>
      </w:r>
    </w:p>
    <w:p w14:paraId="306A9520">
      <w:pPr>
        <w:tabs>
          <w:tab w:val="left" w:pos="480"/>
          <w:tab w:val="left" w:pos="1080"/>
          <w:tab w:val="left" w:pos="1134"/>
        </w:tabs>
        <w:adjustRightInd w:val="0"/>
        <w:snapToGrid w:val="0"/>
        <w:spacing w:line="360" w:lineRule="auto"/>
        <w:ind w:firstLine="482" w:firstLineChars="200"/>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账</w:t>
      </w:r>
      <w:r>
        <w:rPr>
          <w:rFonts w:hint="eastAsia" w:ascii="宋体" w:hAnsi="宋体" w:cs="仿宋_GB2312"/>
          <w:b/>
          <w:bCs/>
          <w:color w:val="auto"/>
          <w:sz w:val="24"/>
          <w:szCs w:val="24"/>
          <w:highlight w:val="none"/>
          <w:lang w:val="en-US" w:eastAsia="zh-CN"/>
        </w:rPr>
        <w:t xml:space="preserve">  </w:t>
      </w:r>
      <w:r>
        <w:rPr>
          <w:rFonts w:hint="eastAsia" w:ascii="宋体" w:hAnsi="宋体" w:cs="仿宋_GB2312"/>
          <w:b/>
          <w:bCs/>
          <w:color w:val="auto"/>
          <w:sz w:val="24"/>
          <w:szCs w:val="24"/>
          <w:highlight w:val="none"/>
        </w:rPr>
        <w:t>号：</w:t>
      </w:r>
      <w:r>
        <w:rPr>
          <w:rFonts w:hint="eastAsia" w:ascii="宋体" w:hAnsi="宋体" w:cs="仿宋_GB2312"/>
          <w:b/>
          <w:bCs/>
          <w:color w:val="auto"/>
          <w:sz w:val="24"/>
          <w:szCs w:val="24"/>
          <w:highlight w:val="none"/>
          <w:u w:val="single"/>
          <w:lang w:val="en-US" w:eastAsia="zh-CN"/>
        </w:rPr>
        <w:t xml:space="preserve">                                 </w:t>
      </w:r>
    </w:p>
    <w:p w14:paraId="386FFA0A">
      <w:pPr>
        <w:pStyle w:val="2"/>
        <w:snapToGrid w:val="0"/>
        <w:spacing w:line="360" w:lineRule="auto"/>
        <w:rPr>
          <w:rFonts w:hint="eastAsia" w:ascii="宋体" w:hAnsi="宋体" w:cs="仿宋_GB2312"/>
          <w:b/>
          <w:bCs/>
          <w:color w:val="auto"/>
          <w:sz w:val="24"/>
          <w:szCs w:val="24"/>
          <w:highlight w:val="none"/>
        </w:rPr>
      </w:pPr>
    </w:p>
    <w:p w14:paraId="55440553">
      <w:pPr>
        <w:numPr>
          <w:ilvl w:val="0"/>
          <w:numId w:val="2"/>
        </w:numPr>
        <w:adjustRightInd w:val="0"/>
        <w:snapToGrid w:val="0"/>
        <w:spacing w:line="360" w:lineRule="auto"/>
        <w:jc w:val="center"/>
        <w:rPr>
          <w:rFonts w:ascii="宋体" w:hAnsi="宋体"/>
          <w:b/>
          <w:bCs/>
          <w:color w:val="auto"/>
          <w:sz w:val="24"/>
          <w:szCs w:val="24"/>
          <w:highlight w:val="none"/>
        </w:rPr>
      </w:pPr>
      <w:bookmarkStart w:id="4" w:name="_Toc268175289"/>
      <w:bookmarkStart w:id="5" w:name="_Toc209925181"/>
      <w:r>
        <w:rPr>
          <w:rFonts w:hint="eastAsia" w:ascii="宋体" w:hAnsi="宋体" w:cs="仿宋_GB2312"/>
          <w:b/>
          <w:bCs/>
          <w:color w:val="auto"/>
          <w:sz w:val="24"/>
          <w:szCs w:val="24"/>
          <w:highlight w:val="none"/>
        </w:rPr>
        <w:t>项目资金的拨付与使用</w:t>
      </w:r>
    </w:p>
    <w:p w14:paraId="784B7D97">
      <w:pPr>
        <w:adjustRightInd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4.1.</w:t>
      </w:r>
      <w:r>
        <w:rPr>
          <w:rFonts w:hint="eastAsia" w:ascii="宋体" w:hAnsi="宋体" w:cs="仿宋_GB2312"/>
          <w:b/>
          <w:color w:val="auto"/>
          <w:sz w:val="24"/>
          <w:szCs w:val="24"/>
          <w:highlight w:val="none"/>
        </w:rPr>
        <w:t xml:space="preserve"> </w:t>
      </w:r>
      <w:r>
        <w:rPr>
          <w:rFonts w:hint="eastAsia" w:ascii="宋体" w:hAnsi="宋体" w:cs="仿宋_GB2312"/>
          <w:color w:val="auto"/>
          <w:sz w:val="24"/>
          <w:szCs w:val="24"/>
          <w:highlight w:val="none"/>
        </w:rPr>
        <w:t>乙方负责编报项目总体进度计划及年度投资计划和季度、月度资金使用计划，资金拨付需凭项目勘察、设计、施工、监理、设备采购合同和相关单位的请款申请等文件，</w:t>
      </w:r>
      <w:r>
        <w:rPr>
          <w:rFonts w:hint="eastAsia" w:ascii="宋体" w:hAnsi="宋体" w:cs="仿宋_GB2312"/>
          <w:color w:val="auto"/>
          <w:sz w:val="24"/>
          <w:szCs w:val="24"/>
          <w:highlight w:val="none"/>
          <w:lang w:val="en-US" w:eastAsia="zh-CN"/>
        </w:rPr>
        <w:t>乙方</w:t>
      </w:r>
      <w:r>
        <w:rPr>
          <w:rFonts w:hint="eastAsia" w:ascii="宋体" w:hAnsi="宋体" w:cs="仿宋_GB2312"/>
          <w:color w:val="auto"/>
          <w:sz w:val="24"/>
          <w:szCs w:val="24"/>
          <w:highlight w:val="none"/>
        </w:rPr>
        <w:t>应在5个工作日内审核并签署意见</w:t>
      </w:r>
      <w:r>
        <w:rPr>
          <w:rFonts w:hint="eastAsia" w:ascii="宋体" w:hAnsi="宋体" w:cs="仿宋_GB2312"/>
          <w:color w:val="auto"/>
          <w:sz w:val="24"/>
          <w:szCs w:val="24"/>
          <w:highlight w:val="none"/>
          <w:lang w:val="en-US" w:eastAsia="zh-CN"/>
        </w:rPr>
        <w:t>报甲方审批</w:t>
      </w:r>
      <w:r>
        <w:rPr>
          <w:rFonts w:hint="eastAsia" w:ascii="宋体" w:hAnsi="宋体" w:cs="仿宋_GB2312"/>
          <w:color w:val="auto"/>
          <w:sz w:val="24"/>
          <w:szCs w:val="24"/>
          <w:highlight w:val="none"/>
        </w:rPr>
        <w:t>，甲方审批后，由甲方按程序办理资金拨付手续，支付给相应单位。</w:t>
      </w:r>
    </w:p>
    <w:p w14:paraId="273B4A30">
      <w:pPr>
        <w:adjustRightInd w:val="0"/>
        <w:snapToGrid w:val="0"/>
        <w:spacing w:line="360" w:lineRule="auto"/>
        <w:ind w:firstLine="482" w:firstLineChars="200"/>
        <w:rPr>
          <w:rFonts w:ascii="宋体" w:hAnsi="宋体"/>
          <w:b/>
          <w:bCs/>
          <w:color w:val="auto"/>
          <w:sz w:val="24"/>
          <w:szCs w:val="24"/>
          <w:highlight w:val="none"/>
        </w:rPr>
      </w:pPr>
      <w:r>
        <w:rPr>
          <w:rFonts w:ascii="宋体" w:hAnsi="宋体" w:cs="仿宋_GB2312"/>
          <w:b/>
          <w:color w:val="auto"/>
          <w:sz w:val="24"/>
          <w:szCs w:val="24"/>
          <w:highlight w:val="none"/>
        </w:rPr>
        <w:t>4.2.</w:t>
      </w:r>
      <w:r>
        <w:rPr>
          <w:rFonts w:hint="eastAsia" w:ascii="宋体" w:hAnsi="宋体" w:cs="仿宋_GB2312"/>
          <w:b/>
          <w:color w:val="auto"/>
          <w:sz w:val="24"/>
          <w:szCs w:val="24"/>
          <w:highlight w:val="none"/>
        </w:rPr>
        <w:t xml:space="preserve"> </w:t>
      </w:r>
      <w:r>
        <w:rPr>
          <w:rFonts w:hint="eastAsia" w:ascii="宋体" w:hAnsi="宋体" w:cs="仿宋_GB2312"/>
          <w:color w:val="auto"/>
          <w:sz w:val="24"/>
          <w:szCs w:val="24"/>
          <w:highlight w:val="none"/>
        </w:rPr>
        <w:t>根据项目建设的需要，工程前期发生的报建费、合同契证费和劳保基金等，由甲方直接支付。</w:t>
      </w:r>
    </w:p>
    <w:p w14:paraId="073192F0">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工程变更管理</w:t>
      </w:r>
    </w:p>
    <w:p w14:paraId="0A336A42">
      <w:pPr>
        <w:widowControl/>
        <w:snapToGrid w:val="0"/>
        <w:spacing w:line="360" w:lineRule="auto"/>
        <w:ind w:firstLine="480" w:firstLineChars="200"/>
        <w:jc w:val="left"/>
        <w:rPr>
          <w:rFonts w:hint="eastAsia" w:ascii="宋体" w:hAnsi="宋体" w:cs="宋体"/>
          <w:b/>
          <w:color w:val="auto"/>
          <w:kern w:val="0"/>
          <w:sz w:val="24"/>
          <w:szCs w:val="24"/>
          <w:highlight w:val="none"/>
        </w:rPr>
      </w:pPr>
      <w:r>
        <w:rPr>
          <w:rFonts w:hint="eastAsia" w:ascii="宋体" w:hAnsi="宋体" w:cs="宋体"/>
          <w:color w:val="auto"/>
          <w:kern w:val="0"/>
          <w:sz w:val="24"/>
          <w:szCs w:val="24"/>
          <w:highlight w:val="none"/>
          <w:lang w:val="en-US" w:eastAsia="zh-CN"/>
        </w:rPr>
        <w:t>乙方需对参建方发起的工程变更进行审核，</w:t>
      </w:r>
      <w:r>
        <w:rPr>
          <w:rFonts w:hint="eastAsia" w:ascii="宋体" w:hAnsi="宋体" w:cs="宋体"/>
          <w:color w:val="auto"/>
          <w:kern w:val="0"/>
          <w:sz w:val="24"/>
          <w:szCs w:val="24"/>
          <w:highlight w:val="none"/>
        </w:rPr>
        <w:t>变更文件应清楚列明变更的项目、部位、材料、设备、投资增减、工期影响等内容</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报送建设单位审批通过后方可组织实施；同时乙方需按要求完成变更台账的分类整理并协助建设单位完成变更报批手续。</w:t>
      </w:r>
    </w:p>
    <w:p w14:paraId="2D5339B3">
      <w:pPr>
        <w:widowControl/>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5.1.</w:t>
      </w:r>
      <w:r>
        <w:rPr>
          <w:rFonts w:hint="eastAsia" w:ascii="宋体" w:hAnsi="宋体" w:cs="宋体"/>
          <w:color w:val="auto"/>
          <w:kern w:val="0"/>
          <w:sz w:val="24"/>
          <w:szCs w:val="24"/>
          <w:highlight w:val="none"/>
        </w:rPr>
        <w:t xml:space="preserve"> 一类变更（即对工程的建设规模、技术标准、重要构筑物的设计方案及施工方法进行变更，或者需增加的投资额超过单项中标合同价10%或400万元以上的变更）。</w:t>
      </w:r>
    </w:p>
    <w:p w14:paraId="1736B10F">
      <w:pPr>
        <w:widowControl/>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5.2.</w:t>
      </w:r>
      <w:r>
        <w:rPr>
          <w:rFonts w:hint="eastAsia" w:ascii="宋体" w:hAnsi="宋体" w:cs="宋体"/>
          <w:color w:val="auto"/>
          <w:kern w:val="0"/>
          <w:sz w:val="24"/>
          <w:szCs w:val="24"/>
          <w:highlight w:val="none"/>
        </w:rPr>
        <w:t xml:space="preserve"> 二类变更（即在不改变整体工程技术标准的条件下，在进行技术经济论证的基础上的局部变更，一次变更增减投资额在单项中标合同价10%以下且在人民币400万元以下30万元以上的变更）。 </w:t>
      </w:r>
    </w:p>
    <w:p w14:paraId="43E67A43">
      <w:pPr>
        <w:widowControl/>
        <w:snapToGrid w:val="0"/>
        <w:spacing w:line="360" w:lineRule="auto"/>
        <w:ind w:firstLine="482" w:firstLineChars="200"/>
        <w:jc w:val="left"/>
        <w:rPr>
          <w:rFonts w:ascii="宋体" w:hAnsi="宋体" w:cs="仿宋_GB2312"/>
          <w:color w:val="auto"/>
          <w:sz w:val="24"/>
          <w:szCs w:val="24"/>
          <w:highlight w:val="none"/>
        </w:rPr>
      </w:pPr>
      <w:r>
        <w:rPr>
          <w:rFonts w:hint="eastAsia" w:ascii="宋体" w:hAnsi="宋体" w:cs="宋体"/>
          <w:b/>
          <w:color w:val="auto"/>
          <w:kern w:val="0"/>
          <w:sz w:val="24"/>
          <w:szCs w:val="24"/>
          <w:highlight w:val="none"/>
        </w:rPr>
        <w:t xml:space="preserve">5.3. </w:t>
      </w:r>
      <w:r>
        <w:rPr>
          <w:rFonts w:hint="eastAsia" w:ascii="宋体" w:hAnsi="宋体" w:cs="宋体"/>
          <w:color w:val="auto"/>
          <w:kern w:val="0"/>
          <w:sz w:val="24"/>
          <w:szCs w:val="24"/>
          <w:highlight w:val="none"/>
        </w:rPr>
        <w:t>三类变更（即不影响主体结构及总体布置，一次变更增减投资额在单项中标合同价10%以下且在30万元以下的变更）</w:t>
      </w:r>
      <w:r>
        <w:rPr>
          <w:rFonts w:hint="eastAsia" w:ascii="宋体" w:hAnsi="宋体" w:cs="仿宋_GB2312"/>
          <w:color w:val="auto"/>
          <w:sz w:val="24"/>
          <w:szCs w:val="24"/>
          <w:highlight w:val="none"/>
        </w:rPr>
        <w:t>。</w:t>
      </w:r>
    </w:p>
    <w:p w14:paraId="612D71CA">
      <w:pPr>
        <w:widowControl/>
        <w:snapToGrid w:val="0"/>
        <w:spacing w:line="360" w:lineRule="auto"/>
        <w:ind w:firstLine="482" w:firstLineChars="200"/>
        <w:jc w:val="left"/>
        <w:rPr>
          <w:rFonts w:hint="eastAsia" w:ascii="宋体" w:hAnsi="宋体" w:eastAsia="宋体" w:cs="宋体"/>
          <w:b/>
          <w:color w:val="auto"/>
          <w:kern w:val="0"/>
          <w:sz w:val="24"/>
          <w:szCs w:val="24"/>
          <w:highlight w:val="none"/>
          <w:lang w:eastAsia="zh"/>
        </w:rPr>
      </w:pPr>
      <w:r>
        <w:rPr>
          <w:rFonts w:hint="eastAsia" w:ascii="宋体" w:hAnsi="宋体" w:cs="宋体"/>
          <w:b/>
          <w:color w:val="auto"/>
          <w:kern w:val="0"/>
          <w:sz w:val="24"/>
          <w:szCs w:val="24"/>
          <w:highlight w:val="none"/>
        </w:rPr>
        <w:t>5.4.</w:t>
      </w:r>
      <w:r>
        <w:rPr>
          <w:rFonts w:hint="eastAsia" w:ascii="宋体" w:hAnsi="宋体" w:cs="宋体"/>
          <w:b/>
          <w:color w:val="auto"/>
          <w:kern w:val="0"/>
          <w:sz w:val="24"/>
          <w:szCs w:val="24"/>
          <w:highlight w:val="none"/>
          <w:lang w:val="en-US" w:eastAsia="zh-CN"/>
        </w:rPr>
        <w:t xml:space="preserve"> </w:t>
      </w:r>
      <w:r>
        <w:rPr>
          <w:rFonts w:hint="eastAsia" w:ascii="宋体" w:hAnsi="宋体" w:cs="宋体"/>
          <w:b/>
          <w:color w:val="auto"/>
          <w:kern w:val="0"/>
          <w:sz w:val="24"/>
          <w:szCs w:val="24"/>
          <w:highlight w:val="none"/>
          <w:lang w:eastAsia="zh"/>
        </w:rPr>
        <w:t>甲方对变更管理有新规定或管理办法的，按新规定或管理办法执行。</w:t>
      </w:r>
    </w:p>
    <w:p w14:paraId="1FDCF5C0">
      <w:pPr>
        <w:widowControl/>
        <w:snapToGrid w:val="0"/>
        <w:spacing w:line="360" w:lineRule="auto"/>
        <w:ind w:firstLine="482" w:firstLineChars="200"/>
        <w:jc w:val="left"/>
        <w:rPr>
          <w:rFonts w:ascii="宋体" w:hAnsi="宋体" w:cs="宋体"/>
          <w:color w:val="auto"/>
          <w:kern w:val="0"/>
          <w:sz w:val="24"/>
          <w:szCs w:val="24"/>
          <w:highlight w:val="none"/>
        </w:rPr>
      </w:pPr>
      <w:r>
        <w:rPr>
          <w:rFonts w:hint="eastAsia" w:ascii="宋体" w:hAnsi="宋体" w:cs="宋体"/>
          <w:b/>
          <w:bCs/>
          <w:color w:val="auto"/>
          <w:kern w:val="0"/>
          <w:sz w:val="24"/>
          <w:szCs w:val="24"/>
          <w:highlight w:val="none"/>
          <w:lang w:val="en-US" w:eastAsia="zh-CN"/>
        </w:rPr>
        <w:t xml:space="preserve">5.5 </w:t>
      </w:r>
      <w:r>
        <w:rPr>
          <w:rFonts w:hint="eastAsia" w:ascii="宋体" w:hAnsi="宋体" w:cs="宋体"/>
          <w:color w:val="auto"/>
          <w:kern w:val="0"/>
          <w:sz w:val="24"/>
          <w:szCs w:val="24"/>
          <w:highlight w:val="none"/>
        </w:rPr>
        <w:t>为保证工程进度，经建设单位批准后的变更，在工程变更施工完成后，可根据</w:t>
      </w:r>
      <w:r>
        <w:rPr>
          <w:rFonts w:hint="eastAsia" w:ascii="宋体" w:hAnsi="宋体" w:cs="宋体"/>
          <w:color w:val="auto"/>
          <w:kern w:val="0"/>
          <w:sz w:val="24"/>
          <w:szCs w:val="24"/>
          <w:highlight w:val="none"/>
          <w:lang w:val="en-US" w:eastAsia="zh-CN"/>
        </w:rPr>
        <w:t>EPC</w:t>
      </w:r>
      <w:r>
        <w:rPr>
          <w:rFonts w:hint="eastAsia" w:ascii="宋体" w:hAnsi="宋体" w:cs="宋体"/>
          <w:color w:val="auto"/>
          <w:kern w:val="0"/>
          <w:sz w:val="24"/>
          <w:szCs w:val="24"/>
          <w:highlight w:val="none"/>
        </w:rPr>
        <w:t>合同约定支付相应工程进度款，或签订补充协议，作为支付变更工程进度款的依据。</w:t>
      </w:r>
    </w:p>
    <w:p w14:paraId="1EC6A3F8">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合同的生效、变更、补充和终止</w:t>
      </w:r>
    </w:p>
    <w:p w14:paraId="3664E246">
      <w:pPr>
        <w:numPr>
          <w:ilvl w:val="1"/>
          <w:numId w:val="0"/>
        </w:numPr>
        <w:tabs>
          <w:tab w:val="left" w:pos="0"/>
          <w:tab w:val="left" w:pos="480"/>
          <w:tab w:val="left" w:pos="1080"/>
        </w:tabs>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.1.</w:t>
      </w:r>
      <w:r>
        <w:rPr>
          <w:rFonts w:hint="eastAsia" w:ascii="宋体" w:hAnsi="宋体" w:cs="仿宋_GB2312"/>
          <w:color w:val="auto"/>
          <w:sz w:val="24"/>
          <w:szCs w:val="24"/>
          <w:highlight w:val="none"/>
        </w:rPr>
        <w:t xml:space="preserve"> 甲方如果要求乙方全部或部分暂停执行建设管理服务或终止本合同，应当提前</w:t>
      </w:r>
      <w:r>
        <w:rPr>
          <w:rFonts w:ascii="宋体" w:hAnsi="宋体" w:cs="仿宋_GB2312"/>
          <w:color w:val="auto"/>
          <w:sz w:val="24"/>
          <w:szCs w:val="24"/>
          <w:highlight w:val="none"/>
        </w:rPr>
        <w:t>30</w:t>
      </w:r>
      <w:r>
        <w:rPr>
          <w:rFonts w:hint="eastAsia" w:ascii="宋体" w:hAnsi="宋体" w:cs="仿宋_GB2312"/>
          <w:color w:val="auto"/>
          <w:sz w:val="24"/>
          <w:szCs w:val="24"/>
          <w:highlight w:val="none"/>
        </w:rPr>
        <w:t>日书面通知乙方，乙方应当立即安排停止执行建设管理服务。</w:t>
      </w:r>
    </w:p>
    <w:p w14:paraId="07F1D2A4">
      <w:pPr>
        <w:numPr>
          <w:ilvl w:val="1"/>
          <w:numId w:val="0"/>
        </w:numPr>
        <w:tabs>
          <w:tab w:val="left" w:pos="360"/>
          <w:tab w:val="left" w:pos="1080"/>
        </w:tabs>
        <w:autoSpaceDN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 xml:space="preserve">.2. </w:t>
      </w:r>
      <w:r>
        <w:rPr>
          <w:rFonts w:hint="eastAsia" w:ascii="宋体" w:hAnsi="宋体" w:cs="仿宋_GB2312"/>
          <w:color w:val="auto"/>
          <w:sz w:val="24"/>
          <w:szCs w:val="24"/>
          <w:highlight w:val="none"/>
        </w:rPr>
        <w:t>当由于非乙方原因而被暂停建设管理服务时，乙方在收到甲方暂停执行建设管理服务通知后</w:t>
      </w:r>
      <w:r>
        <w:rPr>
          <w:rFonts w:ascii="宋体" w:hAnsi="宋体" w:cs="仿宋_GB2312"/>
          <w:color w:val="auto"/>
          <w:sz w:val="24"/>
          <w:szCs w:val="24"/>
          <w:highlight w:val="none"/>
        </w:rPr>
        <w:t>10</w:t>
      </w:r>
      <w:r>
        <w:rPr>
          <w:rFonts w:hint="eastAsia" w:ascii="宋体" w:hAnsi="宋体" w:cs="仿宋_GB2312"/>
          <w:color w:val="auto"/>
          <w:sz w:val="24"/>
          <w:szCs w:val="24"/>
          <w:highlight w:val="none"/>
        </w:rPr>
        <w:t>个工作日内，应向甲方提交一份暂停建设管理服务对乙方所造成的经济损失和预计延误工期等情况的书面暂停建设管理服务报告。甲方在收到乙方暂停建设管理服务情况报告</w:t>
      </w:r>
      <w:r>
        <w:rPr>
          <w:rFonts w:ascii="宋体" w:hAnsi="宋体" w:cs="仿宋_GB2312"/>
          <w:color w:val="auto"/>
          <w:sz w:val="24"/>
          <w:szCs w:val="24"/>
          <w:highlight w:val="none"/>
        </w:rPr>
        <w:t>5</w:t>
      </w:r>
      <w:r>
        <w:rPr>
          <w:rFonts w:hint="eastAsia" w:ascii="宋体" w:hAnsi="宋体" w:cs="仿宋_GB2312"/>
          <w:color w:val="auto"/>
          <w:sz w:val="24"/>
          <w:szCs w:val="24"/>
          <w:highlight w:val="none"/>
        </w:rPr>
        <w:t>个工作日内，应与乙方商讨，并将具体意见答复乙方。乙方恢复执行建设管理服务后，按实际情况向甲方提交要求经济损失补偿和延长工期的报告。甲方报告批准后在5个工作日内将批复意见回复乙方，并与乙方办理拨付补偿款和延长工期的手续。</w:t>
      </w:r>
    </w:p>
    <w:p w14:paraId="72DB3C0A">
      <w:pPr>
        <w:numPr>
          <w:ilvl w:val="1"/>
          <w:numId w:val="0"/>
        </w:numPr>
        <w:tabs>
          <w:tab w:val="left" w:pos="360"/>
          <w:tab w:val="left" w:pos="1080"/>
        </w:tabs>
        <w:autoSpaceDN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.3.</w:t>
      </w:r>
      <w:r>
        <w:rPr>
          <w:rFonts w:ascii="宋体" w:hAnsi="宋体" w:cs="仿宋_GB2312"/>
          <w:b/>
          <w:color w:val="auto"/>
          <w:sz w:val="24"/>
          <w:szCs w:val="24"/>
          <w:highlight w:val="none"/>
        </w:rPr>
        <w:t xml:space="preserve"> </w:t>
      </w:r>
      <w:r>
        <w:rPr>
          <w:rFonts w:hint="eastAsia" w:ascii="宋体" w:hAnsi="宋体" w:cs="仿宋_GB2312"/>
          <w:color w:val="auto"/>
          <w:sz w:val="24"/>
          <w:szCs w:val="24"/>
          <w:highlight w:val="none"/>
        </w:rPr>
        <w:t>本合同提前终止（包括协议提前终止、不可抗力提前终止、政府行为提前终止和一方违约提前终止（包括因各种原因最终甲方未能取得项目地块的国有土地使用权）等）或到期终止后，应根据乙方履约情况支付工程比例的建设管理服务费，乙方应</w:t>
      </w:r>
      <w:r>
        <w:rPr>
          <w:rFonts w:hint="eastAsia" w:ascii="宋体" w:hAnsi="宋体" w:cs="仿宋_GB2312"/>
          <w:color w:val="auto"/>
          <w:sz w:val="24"/>
          <w:szCs w:val="24"/>
          <w:highlight w:val="none"/>
          <w:lang w:val="en-US" w:eastAsia="zh-CN"/>
        </w:rPr>
        <w:t>在十五个工作日内</w:t>
      </w:r>
      <w:r>
        <w:rPr>
          <w:rFonts w:hint="eastAsia" w:ascii="宋体" w:hAnsi="宋体" w:cs="仿宋_GB2312"/>
          <w:color w:val="auto"/>
          <w:sz w:val="24"/>
          <w:szCs w:val="24"/>
          <w:highlight w:val="none"/>
        </w:rPr>
        <w:t>办理移交手续。若已付的建设管理服务费已超出了乙方实际完成的管理工作，则乙方有义务将超出部分的金额返还甲方。若双方在乙方管理费结算、支付或其他事宜上发生争议，由双方协商解决，协商不成可提起诉讼。但</w:t>
      </w:r>
      <w:r>
        <w:rPr>
          <w:rFonts w:hint="eastAsia" w:ascii="宋体" w:hAnsi="宋体" w:cs="仿宋_GB2312"/>
          <w:color w:val="auto"/>
          <w:sz w:val="24"/>
          <w:szCs w:val="24"/>
          <w:highlight w:val="none"/>
          <w:lang w:val="en-US" w:eastAsia="zh-CN"/>
        </w:rPr>
        <w:t>乙方</w:t>
      </w:r>
      <w:r>
        <w:rPr>
          <w:rFonts w:hint="eastAsia" w:ascii="宋体" w:hAnsi="宋体" w:cs="仿宋_GB2312"/>
          <w:color w:val="auto"/>
          <w:sz w:val="24"/>
          <w:szCs w:val="24"/>
          <w:highlight w:val="none"/>
        </w:rPr>
        <w:t>不得以此为由停止或阻挠项目工程及所有资料的移交工作。</w:t>
      </w:r>
    </w:p>
    <w:p w14:paraId="454E4A06">
      <w:pPr>
        <w:numPr>
          <w:ilvl w:val="1"/>
          <w:numId w:val="0"/>
        </w:numPr>
        <w:tabs>
          <w:tab w:val="left" w:pos="360"/>
          <w:tab w:val="left" w:pos="480"/>
          <w:tab w:val="left" w:pos="1080"/>
        </w:tabs>
        <w:snapToGrid w:val="0"/>
        <w:spacing w:line="360" w:lineRule="auto"/>
        <w:ind w:firstLine="482" w:firstLineChars="200"/>
        <w:rPr>
          <w:rFonts w:ascii="宋体" w:hAnsi="宋体"/>
          <w:b/>
          <w:bCs/>
          <w:color w:val="auto"/>
          <w:sz w:val="24"/>
          <w:szCs w:val="24"/>
          <w:highlight w:val="none"/>
        </w:rPr>
      </w:pPr>
      <w:r>
        <w:rPr>
          <w:rFonts w:ascii="宋体" w:hAnsi="宋体" w:cs="仿宋_GB2312"/>
          <w:b/>
          <w:color w:val="auto"/>
          <w:sz w:val="24"/>
          <w:szCs w:val="24"/>
          <w:highlight w:val="none"/>
        </w:rPr>
        <w:t>6</w:t>
      </w:r>
      <w:r>
        <w:rPr>
          <w:rFonts w:hint="eastAsia" w:ascii="宋体" w:hAnsi="宋体" w:cs="仿宋_GB2312"/>
          <w:b/>
          <w:color w:val="auto"/>
          <w:sz w:val="24"/>
          <w:szCs w:val="24"/>
          <w:highlight w:val="none"/>
        </w:rPr>
        <w:t>.4.</w:t>
      </w:r>
      <w:r>
        <w:rPr>
          <w:rFonts w:hint="eastAsia" w:ascii="宋体" w:hAnsi="宋体" w:cs="仿宋_GB2312"/>
          <w:color w:val="auto"/>
          <w:sz w:val="24"/>
          <w:szCs w:val="24"/>
          <w:highlight w:val="none"/>
        </w:rPr>
        <w:t xml:space="preserve"> 各方经协商可以书面合同方式对本合同做出修改和补充，经各方授权代表签字并加盖公章的有关本合同的修改合同和补充合同是本合同的组成部分，具有与本合同同等的法律效力。</w:t>
      </w:r>
      <w:bookmarkEnd w:id="4"/>
      <w:bookmarkEnd w:id="5"/>
    </w:p>
    <w:p w14:paraId="27358E8D">
      <w:pPr>
        <w:numPr>
          <w:ilvl w:val="0"/>
          <w:numId w:val="2"/>
        </w:num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违约责任</w:t>
      </w:r>
    </w:p>
    <w:p w14:paraId="0555CFE1">
      <w:pPr>
        <w:numPr>
          <w:ilvl w:val="1"/>
          <w:numId w:val="0"/>
        </w:numPr>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 xml:space="preserve">.1. </w:t>
      </w:r>
      <w:r>
        <w:rPr>
          <w:rFonts w:hint="eastAsia" w:ascii="宋体" w:hAnsi="宋体" w:cs="仿宋_GB2312"/>
          <w:color w:val="auto"/>
          <w:sz w:val="24"/>
          <w:szCs w:val="24"/>
          <w:highlight w:val="none"/>
        </w:rPr>
        <w:t>双方均应按照本合同的规定履行各自的义务，违反规定的一方应当向对方承担相应的违约责任。</w:t>
      </w:r>
    </w:p>
    <w:p w14:paraId="3FB3BD87">
      <w:pPr>
        <w:numPr>
          <w:ilvl w:val="1"/>
          <w:numId w:val="0"/>
        </w:numPr>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 xml:space="preserve">.2. </w:t>
      </w:r>
      <w:r>
        <w:rPr>
          <w:rFonts w:hint="eastAsia" w:ascii="宋体" w:hAnsi="宋体" w:cs="仿宋_GB2312"/>
          <w:color w:val="auto"/>
          <w:sz w:val="24"/>
          <w:szCs w:val="24"/>
          <w:highlight w:val="none"/>
        </w:rPr>
        <w:t>由于甲方原因未能及时办理相关手续，影响乙方建设进度的，乙方无须承担违约责任。</w:t>
      </w:r>
    </w:p>
    <w:p w14:paraId="4A9D1201">
      <w:pPr>
        <w:numPr>
          <w:ilvl w:val="1"/>
          <w:numId w:val="0"/>
        </w:numPr>
        <w:snapToGrid w:val="0"/>
        <w:spacing w:line="360" w:lineRule="auto"/>
        <w:ind w:firstLine="482" w:firstLineChars="200"/>
        <w:rPr>
          <w:rFonts w:ascii="宋体" w:hAnsi="宋体" w:cs="仿宋_GB2312"/>
          <w:color w:val="auto"/>
          <w:sz w:val="24"/>
          <w:szCs w:val="24"/>
          <w:highlight w:val="none"/>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 xml:space="preserve">.3. </w:t>
      </w:r>
      <w:r>
        <w:rPr>
          <w:rFonts w:hint="eastAsia" w:ascii="宋体" w:hAnsi="宋体" w:cs="仿宋_GB2312"/>
          <w:bCs/>
          <w:color w:val="auto"/>
          <w:sz w:val="24"/>
          <w:szCs w:val="24"/>
          <w:highlight w:val="none"/>
          <w:lang w:eastAsia="zh"/>
        </w:rPr>
        <w:t>如乙方违反本合同约定的，甲方有权采取以下措施：（1）因乙方管理未能尽到相应的管理职责或管理不当，工程施工进度未能按期竣工验收，每逾期十日按建设管理服务费万分之五的标准向乙方收取违约金，最高不超过合同总价的3%，逾期三十日以上的，甲方有权解除合同；（2）因乙方管理责任导致项目建设质量未达到合同约定标准而致使</w:t>
      </w:r>
      <w:r>
        <w:rPr>
          <w:rFonts w:hint="eastAsia" w:ascii="宋体" w:hAnsi="宋体" w:cs="仿宋_GB2312"/>
          <w:bCs/>
          <w:color w:val="auto"/>
          <w:sz w:val="24"/>
          <w:szCs w:val="24"/>
          <w:highlight w:val="none"/>
          <w:lang w:val="en-US" w:eastAsia="zh-CN"/>
        </w:rPr>
        <w:t>甲方</w:t>
      </w:r>
      <w:r>
        <w:rPr>
          <w:rFonts w:hint="eastAsia" w:ascii="宋体" w:hAnsi="宋体" w:cs="仿宋_GB2312"/>
          <w:bCs/>
          <w:color w:val="auto"/>
          <w:sz w:val="24"/>
          <w:szCs w:val="24"/>
          <w:highlight w:val="none"/>
          <w:lang w:eastAsia="zh"/>
        </w:rPr>
        <w:t>产生损失的，损失部分由乙方承担，最高不超过合同总价的3%；（3）项目建设过程中，如因管理方未能尽到相应的管理职责或管理不当，导致安全事故发生的，承担10000元/次的违约处罚。（4）乙方应对项目限额设计进行管控，审核设计提交的限额设计指标文件，并与同类项目进行造价对比分析，提出设计优化建议。若因乙方管理不善导致概算超出估算、预算超出概算、结算超出预算（其余服务合同中对于结算原则另有约定的除外）中任一情况发生，乙方须承担合同总价百分之五的违约处罚，每次发生此类情况均需执行。（5）项目建设过程中，如因乙方管理不善，发生行政处罚、质量舆情等，承担10000元/次的违约处罚。（6）项目建设过程中，乙方应对第三方单位农民工工资支付进行监控，发生农民工讨薪、集体上访、集聚围阻、网络媒体散播等行为要及时上报甲方，并积极协调处理。如存在知情未报等行为，承担2000-10000元/次的违约处罚。（7）项目建设过程中，甲方检查发现项目存在较大质量、安全、管理等相关问题，乙方未能及时发现问题或发现后未督促相关方整改，乙方承担5000元/次的违约处罚。（8）对于甲方检查中发现的问题，乙方未督促相关方按期整改回复，乙方承担2000元/次的违约处罚。（9）在项目实施过程中，以上违约金累计不超过合同总价的20%。甲方有权从应支付的进度款项中扣除违约金</w:t>
      </w:r>
      <w:r>
        <w:rPr>
          <w:rFonts w:hint="eastAsia" w:ascii="宋体" w:hAnsi="宋体" w:cs="仿宋_GB2312"/>
          <w:bCs/>
          <w:color w:val="auto"/>
          <w:sz w:val="24"/>
          <w:szCs w:val="24"/>
          <w:highlight w:val="none"/>
        </w:rPr>
        <w:t>。</w:t>
      </w:r>
    </w:p>
    <w:p w14:paraId="52736C6D">
      <w:pPr>
        <w:numPr>
          <w:ilvl w:val="1"/>
          <w:numId w:val="0"/>
        </w:numPr>
        <w:snapToGrid w:val="0"/>
        <w:spacing w:line="360" w:lineRule="auto"/>
        <w:ind w:firstLine="482" w:firstLineChars="200"/>
        <w:rPr>
          <w:rFonts w:ascii="宋体" w:hAnsi="宋体"/>
          <w:b/>
          <w:bCs/>
          <w:color w:val="auto"/>
          <w:sz w:val="24"/>
          <w:szCs w:val="24"/>
          <w:highlight w:val="none"/>
        </w:rPr>
      </w:pPr>
      <w:r>
        <w:rPr>
          <w:rFonts w:ascii="宋体" w:hAnsi="宋体" w:cs="仿宋_GB2312"/>
          <w:b/>
          <w:color w:val="auto"/>
          <w:sz w:val="24"/>
          <w:szCs w:val="24"/>
          <w:highlight w:val="none"/>
        </w:rPr>
        <w:t>7</w:t>
      </w:r>
      <w:r>
        <w:rPr>
          <w:rFonts w:hint="eastAsia" w:ascii="宋体" w:hAnsi="宋体" w:cs="仿宋_GB2312"/>
          <w:b/>
          <w:color w:val="auto"/>
          <w:sz w:val="24"/>
          <w:szCs w:val="24"/>
          <w:highlight w:val="none"/>
        </w:rPr>
        <w:t>.4.</w:t>
      </w:r>
      <w:r>
        <w:rPr>
          <w:rFonts w:hint="eastAsia" w:ascii="宋体" w:hAnsi="宋体" w:cs="仿宋_GB2312"/>
          <w:color w:val="auto"/>
          <w:sz w:val="24"/>
          <w:szCs w:val="24"/>
          <w:highlight w:val="none"/>
        </w:rPr>
        <w:t xml:space="preserve"> 双方均不得单方解除合同，否则违约方应向守约方承担赔偿责任。</w:t>
      </w:r>
    </w:p>
    <w:p w14:paraId="6229C23E">
      <w:pPr>
        <w:adjustRightInd w:val="0"/>
        <w:snapToGrid w:val="0"/>
        <w:spacing w:line="360" w:lineRule="auto"/>
        <w:jc w:val="center"/>
        <w:rPr>
          <w:rFonts w:ascii="宋体" w:hAnsi="宋体"/>
          <w:b/>
          <w:bCs/>
          <w:color w:val="auto"/>
          <w:sz w:val="24"/>
          <w:szCs w:val="24"/>
          <w:highlight w:val="none"/>
        </w:rPr>
      </w:pPr>
      <w:r>
        <w:rPr>
          <w:rFonts w:hint="eastAsia" w:ascii="宋体" w:hAnsi="宋体" w:cs="仿宋_GB2312"/>
          <w:b/>
          <w:bCs/>
          <w:color w:val="auto"/>
          <w:sz w:val="24"/>
          <w:szCs w:val="24"/>
          <w:highlight w:val="none"/>
        </w:rPr>
        <w:t>第八节</w:t>
      </w:r>
      <w:r>
        <w:rPr>
          <w:rFonts w:ascii="宋体" w:hAnsi="宋体" w:cs="仿宋_GB2312"/>
          <w:b/>
          <w:bCs/>
          <w:color w:val="auto"/>
          <w:sz w:val="24"/>
          <w:szCs w:val="24"/>
          <w:highlight w:val="none"/>
        </w:rPr>
        <w:t xml:space="preserve">  </w:t>
      </w:r>
      <w:r>
        <w:rPr>
          <w:rFonts w:hint="eastAsia" w:ascii="宋体" w:hAnsi="宋体" w:cs="仿宋_GB2312"/>
          <w:b/>
          <w:bCs/>
          <w:color w:val="auto"/>
          <w:sz w:val="24"/>
          <w:szCs w:val="24"/>
          <w:highlight w:val="none"/>
        </w:rPr>
        <w:t>其他事项</w:t>
      </w:r>
    </w:p>
    <w:p w14:paraId="6C7230F6">
      <w:pPr>
        <w:numPr>
          <w:ilvl w:val="1"/>
          <w:numId w:val="0"/>
        </w:numPr>
        <w:tabs>
          <w:tab w:val="left" w:pos="480"/>
          <w:tab w:val="left" w:pos="540"/>
          <w:tab w:val="left" w:pos="1418"/>
        </w:tabs>
        <w:adjustRightInd w:val="0"/>
        <w:snapToGrid w:val="0"/>
        <w:spacing w:line="360" w:lineRule="auto"/>
        <w:ind w:firstLine="482" w:firstLineChars="200"/>
        <w:rPr>
          <w:rFonts w:ascii="宋体" w:hAnsi="宋体"/>
          <w:color w:val="auto"/>
          <w:sz w:val="24"/>
          <w:szCs w:val="24"/>
          <w:highlight w:val="none"/>
        </w:rPr>
      </w:pPr>
      <w:r>
        <w:rPr>
          <w:rFonts w:ascii="宋体" w:hAnsi="宋体" w:cs="仿宋_GB2312"/>
          <w:b/>
          <w:color w:val="auto"/>
          <w:sz w:val="24"/>
          <w:szCs w:val="24"/>
          <w:highlight w:val="none"/>
        </w:rPr>
        <w:t>8</w:t>
      </w:r>
      <w:r>
        <w:rPr>
          <w:rFonts w:hint="eastAsia" w:ascii="宋体" w:hAnsi="宋体" w:cs="仿宋_GB2312"/>
          <w:b/>
          <w:color w:val="auto"/>
          <w:sz w:val="24"/>
          <w:szCs w:val="24"/>
          <w:highlight w:val="none"/>
        </w:rPr>
        <w:t xml:space="preserve">.1. </w:t>
      </w:r>
      <w:r>
        <w:rPr>
          <w:rFonts w:hint="eastAsia" w:ascii="宋体" w:hAnsi="宋体" w:cs="仿宋_GB2312"/>
          <w:color w:val="auto"/>
          <w:sz w:val="24"/>
          <w:szCs w:val="24"/>
          <w:highlight w:val="none"/>
        </w:rPr>
        <w:t>甲方、乙方不能协商解决争议的，任何一方可向委托项目所在地有管辖权的人民法院提请诉讼。</w:t>
      </w:r>
    </w:p>
    <w:p w14:paraId="3EE6BA14">
      <w:pPr>
        <w:numPr>
          <w:ilvl w:val="1"/>
          <w:numId w:val="0"/>
        </w:numPr>
        <w:tabs>
          <w:tab w:val="left" w:pos="480"/>
          <w:tab w:val="left" w:pos="540"/>
          <w:tab w:val="left" w:pos="1418"/>
        </w:tabs>
        <w:adjustRightInd w:val="0"/>
        <w:snapToGrid w:val="0"/>
        <w:spacing w:line="360" w:lineRule="auto"/>
        <w:ind w:left="0" w:leftChars="0" w:firstLine="482" w:firstLineChars="200"/>
        <w:rPr>
          <w:rFonts w:ascii="宋体" w:hAnsi="宋体"/>
          <w:color w:val="auto"/>
          <w:sz w:val="24"/>
          <w:szCs w:val="24"/>
          <w:highlight w:val="none"/>
        </w:rPr>
      </w:pPr>
      <w:r>
        <w:rPr>
          <w:rFonts w:ascii="宋体" w:hAnsi="宋体" w:cs="仿宋_GB2312"/>
          <w:b/>
          <w:color w:val="auto"/>
          <w:sz w:val="24"/>
          <w:szCs w:val="24"/>
          <w:highlight w:val="none"/>
        </w:rPr>
        <w:t>8</w:t>
      </w:r>
      <w:r>
        <w:rPr>
          <w:rFonts w:hint="eastAsia" w:ascii="宋体" w:hAnsi="宋体" w:cs="仿宋_GB2312"/>
          <w:b/>
          <w:color w:val="auto"/>
          <w:sz w:val="24"/>
          <w:szCs w:val="24"/>
          <w:highlight w:val="none"/>
        </w:rPr>
        <w:t xml:space="preserve">.2. </w:t>
      </w:r>
      <w:r>
        <w:rPr>
          <w:rFonts w:hint="eastAsia" w:ascii="宋体" w:hAnsi="宋体" w:cs="仿宋_GB2312"/>
          <w:color w:val="auto"/>
          <w:sz w:val="24"/>
          <w:szCs w:val="24"/>
          <w:highlight w:val="none"/>
        </w:rPr>
        <w:t>本合同正本一式</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份，双方各执</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u w:val="none"/>
        </w:rPr>
        <w:t>份</w:t>
      </w:r>
      <w:r>
        <w:rPr>
          <w:rFonts w:hint="eastAsia" w:ascii="宋体" w:hAnsi="宋体" w:cs="仿宋_GB2312"/>
          <w:color w:val="auto"/>
          <w:sz w:val="24"/>
          <w:szCs w:val="24"/>
          <w:highlight w:val="none"/>
        </w:rPr>
        <w:t xml:space="preserve">，副本 </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份，双方各执</w:t>
      </w:r>
      <w:r>
        <w:rPr>
          <w:rFonts w:ascii="宋体" w:hAnsi="宋体" w:cs="仿宋_GB2312"/>
          <w:color w:val="auto"/>
          <w:sz w:val="24"/>
          <w:szCs w:val="24"/>
          <w:highlight w:val="none"/>
          <w:u w:val="single"/>
        </w:rPr>
        <w:t xml:space="preserve">  </w:t>
      </w:r>
      <w:r>
        <w:rPr>
          <w:rFonts w:hint="eastAsia" w:ascii="宋体" w:hAnsi="宋体" w:cs="仿宋_GB2312"/>
          <w:color w:val="auto"/>
          <w:sz w:val="24"/>
          <w:szCs w:val="24"/>
          <w:highlight w:val="none"/>
        </w:rPr>
        <w:t>份。本合同经双方法定代表人或授权代表签字并加盖公章后生效，合同正、副本具有同等法律效力。</w:t>
      </w:r>
    </w:p>
    <w:p w14:paraId="5A1E8F39">
      <w:pPr>
        <w:adjustRightInd w:val="0"/>
        <w:snapToGrid w:val="0"/>
        <w:spacing w:afterLines="0" w:line="360" w:lineRule="auto"/>
        <w:ind w:firstLine="480" w:firstLineChars="200"/>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附件：1、廉政合同</w:t>
      </w:r>
    </w:p>
    <w:p w14:paraId="265D6B56">
      <w:pPr>
        <w:numPr>
          <w:ilvl w:val="-1"/>
          <w:numId w:val="0"/>
        </w:numPr>
        <w:adjustRightInd w:val="0"/>
        <w:snapToGrid w:val="0"/>
        <w:spacing w:afterLines="0" w:line="360" w:lineRule="auto"/>
        <w:ind w:left="0" w:firstLine="1200" w:firstLineChars="500"/>
        <w:rPr>
          <w:rFonts w:ascii="宋体" w:hAnsi="宋体"/>
          <w:b w:val="0"/>
          <w:bCs w:val="0"/>
          <w:color w:val="auto"/>
          <w:sz w:val="24"/>
          <w:szCs w:val="24"/>
          <w:highlight w:val="none"/>
        </w:rPr>
      </w:pPr>
      <w:r>
        <w:rPr>
          <w:rFonts w:hint="eastAsia" w:ascii="宋体" w:hAnsi="宋体" w:cs="仿宋_GB2312"/>
          <w:b w:val="0"/>
          <w:bCs w:val="0"/>
          <w:color w:val="auto"/>
          <w:sz w:val="24"/>
          <w:szCs w:val="24"/>
          <w:highlight w:val="none"/>
          <w:lang w:val="en-US" w:eastAsia="zh-CN"/>
        </w:rPr>
        <w:t>2、</w:t>
      </w:r>
      <w:r>
        <w:rPr>
          <w:rFonts w:hint="eastAsia" w:ascii="宋体" w:hAnsi="宋体" w:cs="仿宋_GB2312"/>
          <w:b w:val="0"/>
          <w:bCs w:val="0"/>
          <w:color w:val="auto"/>
          <w:sz w:val="24"/>
          <w:szCs w:val="24"/>
          <w:highlight w:val="none"/>
        </w:rPr>
        <w:t>中标通知书</w:t>
      </w:r>
    </w:p>
    <w:p w14:paraId="316830E1">
      <w:pPr>
        <w:pStyle w:val="17"/>
        <w:snapToGrid w:val="0"/>
        <w:spacing w:after="0" w:line="360" w:lineRule="auto"/>
        <w:ind w:firstLine="1200" w:firstLineChars="500"/>
        <w:rPr>
          <w:rFonts w:hint="eastAsia" w:ascii="宋体" w:hAnsi="宋体" w:eastAsia="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3、保密协议</w:t>
      </w:r>
    </w:p>
    <w:p w14:paraId="2CE58431">
      <w:pPr>
        <w:pStyle w:val="17"/>
        <w:snapToGrid w:val="0"/>
        <w:spacing w:after="0" w:line="360" w:lineRule="auto"/>
        <w:ind w:firstLine="1200" w:firstLineChars="500"/>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4、</w:t>
      </w:r>
      <w:r>
        <w:rPr>
          <w:rFonts w:hint="eastAsia" w:ascii="宋体" w:hAnsi="宋体" w:eastAsia="宋体" w:cs="仿宋_GB2312"/>
          <w:color w:val="auto"/>
          <w:sz w:val="24"/>
          <w:szCs w:val="24"/>
          <w:highlight w:val="none"/>
        </w:rPr>
        <w:t>安全责任协议书</w:t>
      </w:r>
    </w:p>
    <w:p w14:paraId="79BF07B4">
      <w:pPr>
        <w:pStyle w:val="17"/>
        <w:snapToGrid w:val="0"/>
        <w:spacing w:after="0" w:line="360" w:lineRule="auto"/>
        <w:ind w:firstLine="1200" w:firstLineChars="500"/>
        <w:rPr>
          <w:rFonts w:hint="eastAsia"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5、</w:t>
      </w:r>
      <w:r>
        <w:rPr>
          <w:rFonts w:hint="eastAsia" w:ascii="宋体" w:hAnsi="宋体" w:eastAsia="宋体" w:cs="仿宋_GB2312"/>
          <w:color w:val="auto"/>
          <w:sz w:val="24"/>
          <w:szCs w:val="24"/>
          <w:highlight w:val="none"/>
        </w:rPr>
        <w:t>质量责任协议书</w:t>
      </w:r>
    </w:p>
    <w:p w14:paraId="03931CC8">
      <w:pPr>
        <w:pStyle w:val="17"/>
        <w:snapToGrid w:val="0"/>
        <w:spacing w:after="0" w:line="360" w:lineRule="auto"/>
        <w:ind w:firstLine="1200" w:firstLineChars="500"/>
        <w:rPr>
          <w:rFonts w:hint="default" w:ascii="宋体" w:hAnsi="宋体" w:eastAsia="宋体" w:cs="仿宋_GB2312"/>
          <w:color w:val="auto"/>
          <w:sz w:val="24"/>
          <w:szCs w:val="24"/>
          <w:highlight w:val="none"/>
        </w:rPr>
      </w:pPr>
      <w:r>
        <w:rPr>
          <w:rFonts w:hint="eastAsia" w:ascii="宋体" w:hAnsi="宋体" w:cs="仿宋_GB2312"/>
          <w:color w:val="auto"/>
          <w:sz w:val="24"/>
          <w:szCs w:val="24"/>
          <w:highlight w:val="none"/>
          <w:lang w:val="en-US" w:eastAsia="zh-CN"/>
        </w:rPr>
        <w:t>6、项目</w:t>
      </w:r>
      <w:r>
        <w:rPr>
          <w:rFonts w:hint="eastAsia" w:ascii="宋体" w:hAnsi="宋体" w:cs="仿宋_GB2312"/>
          <w:color w:val="auto"/>
          <w:sz w:val="24"/>
          <w:szCs w:val="24"/>
          <w:highlight w:val="none"/>
        </w:rPr>
        <w:t>服务管理团队人员配备表</w:t>
      </w:r>
    </w:p>
    <w:p w14:paraId="21F54DBC">
      <w:pPr>
        <w:pStyle w:val="2"/>
        <w:rPr>
          <w:color w:val="auto"/>
          <w:highlight w:val="none"/>
        </w:rPr>
      </w:pPr>
    </w:p>
    <w:p w14:paraId="2C5E93EC">
      <w:pPr>
        <w:adjustRightInd w:val="0"/>
        <w:snapToGrid w:val="0"/>
        <w:spacing w:line="360" w:lineRule="auto"/>
        <w:rPr>
          <w:rFonts w:hint="eastAsia" w:ascii="宋体" w:hAnsi="宋体" w:cs="仿宋_GB2312"/>
          <w:b w:val="0"/>
          <w:bCs w:val="0"/>
          <w:color w:val="auto"/>
          <w:sz w:val="24"/>
          <w:szCs w:val="24"/>
          <w:highlight w:val="none"/>
        </w:rPr>
      </w:pPr>
    </w:p>
    <w:p w14:paraId="0D51C06A">
      <w:pPr>
        <w:adjustRightInd w:val="0"/>
        <w:snapToGrid w:val="0"/>
        <w:spacing w:line="360" w:lineRule="auto"/>
        <w:rPr>
          <w:rFonts w:ascii="宋体" w:hAnsi="宋体" w:cs="仿宋_GB2312"/>
          <w:b w:val="0"/>
          <w:bCs w:val="0"/>
          <w:color w:val="auto"/>
          <w:sz w:val="24"/>
          <w:szCs w:val="24"/>
          <w:highlight w:val="none"/>
        </w:rPr>
      </w:pPr>
      <w:r>
        <w:rPr>
          <w:rFonts w:hint="eastAsia" w:ascii="宋体" w:hAnsi="宋体" w:cs="仿宋_GB2312"/>
          <w:b w:val="0"/>
          <w:bCs w:val="0"/>
          <w:color w:val="auto"/>
          <w:sz w:val="24"/>
          <w:szCs w:val="24"/>
          <w:highlight w:val="none"/>
        </w:rPr>
        <w:t>（本页以下无正文）</w:t>
      </w:r>
    </w:p>
    <w:p w14:paraId="6C801BC6">
      <w:pPr>
        <w:adjustRightInd w:val="0"/>
        <w:snapToGrid w:val="0"/>
        <w:spacing w:line="360" w:lineRule="auto"/>
        <w:rPr>
          <w:rFonts w:ascii="宋体" w:hAnsi="宋体" w:cs="仿宋_GB2312"/>
          <w:b/>
          <w:bCs/>
          <w:color w:val="auto"/>
          <w:sz w:val="24"/>
          <w:szCs w:val="24"/>
          <w:highlight w:val="none"/>
        </w:rPr>
      </w:pPr>
    </w:p>
    <w:p w14:paraId="66B29468">
      <w:pPr>
        <w:adjustRightInd w:val="0"/>
        <w:snapToGrid w:val="0"/>
        <w:spacing w:line="360" w:lineRule="auto"/>
        <w:rPr>
          <w:rFonts w:ascii="宋体" w:hAnsi="宋体" w:cs="仿宋_GB2312"/>
          <w:b/>
          <w:bCs/>
          <w:color w:val="auto"/>
          <w:sz w:val="24"/>
          <w:szCs w:val="24"/>
          <w:highlight w:val="none"/>
        </w:rPr>
      </w:pPr>
    </w:p>
    <w:p w14:paraId="09C39459">
      <w:pPr>
        <w:adjustRightInd w:val="0"/>
        <w:snapToGrid w:val="0"/>
        <w:spacing w:line="360" w:lineRule="auto"/>
        <w:rPr>
          <w:rFonts w:ascii="宋体" w:hAnsi="宋体" w:cs="仿宋_GB2312"/>
          <w:b/>
          <w:bCs/>
          <w:color w:val="auto"/>
          <w:sz w:val="24"/>
          <w:szCs w:val="24"/>
          <w:highlight w:val="none"/>
        </w:rPr>
      </w:pPr>
    </w:p>
    <w:p w14:paraId="68E55B3C">
      <w:pPr>
        <w:spacing w:line="240" w:lineRule="auto"/>
        <w:rPr>
          <w:rFonts w:hint="eastAsia" w:ascii="宋体" w:hAnsi="宋体" w:cs="仿宋_GB2312"/>
          <w:b/>
          <w:bCs/>
          <w:color w:val="auto"/>
          <w:sz w:val="24"/>
          <w:szCs w:val="24"/>
          <w:highlight w:val="none"/>
        </w:rPr>
      </w:pPr>
      <w:r>
        <w:rPr>
          <w:rFonts w:hint="eastAsia" w:ascii="宋体" w:hAnsi="宋体" w:cs="仿宋_GB2312"/>
          <w:b/>
          <w:bCs/>
          <w:color w:val="auto"/>
          <w:sz w:val="24"/>
          <w:szCs w:val="24"/>
          <w:highlight w:val="none"/>
        </w:rPr>
        <w:br w:type="page"/>
      </w:r>
    </w:p>
    <w:p w14:paraId="6DA7B9FD">
      <w:pPr>
        <w:spacing w:line="240" w:lineRule="auto"/>
        <w:rPr>
          <w:rFonts w:ascii="宋体" w:hAnsi="宋体"/>
          <w:b/>
          <w:bCs/>
          <w:color w:val="auto"/>
          <w:sz w:val="24"/>
          <w:szCs w:val="24"/>
          <w:highlight w:val="none"/>
        </w:rPr>
      </w:pPr>
      <w:r>
        <w:rPr>
          <w:rFonts w:hint="eastAsia" w:ascii="宋体" w:hAnsi="宋体"/>
          <w:b/>
          <w:bCs/>
          <w:color w:val="auto"/>
          <w:sz w:val="24"/>
          <w:szCs w:val="24"/>
          <w:highlight w:val="none"/>
        </w:rPr>
        <w:t>（本页为签署页）</w:t>
      </w:r>
    </w:p>
    <w:p w14:paraId="24F89095">
      <w:pPr>
        <w:pStyle w:val="2"/>
        <w:ind w:left="0" w:firstLine="0" w:firstLineChars="0"/>
        <w:rPr>
          <w:rFonts w:hint="eastAsia"/>
          <w:color w:val="auto"/>
          <w:highlight w:val="none"/>
        </w:rPr>
      </w:pPr>
    </w:p>
    <w:p w14:paraId="0BB4D424">
      <w:pPr>
        <w:adjustRightInd w:val="0"/>
        <w:snapToGrid w:val="0"/>
        <w:spacing w:line="720" w:lineRule="auto"/>
        <w:rPr>
          <w:rFonts w:ascii="宋体" w:hAnsi="宋体"/>
          <w:b/>
          <w:bCs/>
          <w:color w:val="auto"/>
          <w:sz w:val="24"/>
          <w:szCs w:val="24"/>
          <w:highlight w:val="none"/>
        </w:rPr>
      </w:pPr>
      <w:r>
        <w:rPr>
          <w:rFonts w:hint="eastAsia" w:ascii="宋体" w:hAnsi="宋体" w:cs="仿宋_GB2312"/>
          <w:b/>
          <w:bCs/>
          <w:color w:val="auto"/>
          <w:sz w:val="24"/>
          <w:szCs w:val="24"/>
          <w:highlight w:val="none"/>
        </w:rPr>
        <w:t>甲方：广州白云棠涌置地有限公司（盖章）</w:t>
      </w:r>
    </w:p>
    <w:p w14:paraId="694892BC">
      <w:pPr>
        <w:adjustRightInd w:val="0"/>
        <w:snapToGrid w:val="0"/>
        <w:spacing w:line="72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3BAD94C4">
      <w:pPr>
        <w:adjustRightInd w:val="0"/>
        <w:snapToGrid w:val="0"/>
        <w:spacing w:line="720" w:lineRule="auto"/>
        <w:rPr>
          <w:rFonts w:ascii="宋体" w:hAnsi="宋体"/>
          <w:b/>
          <w:color w:val="auto"/>
          <w:sz w:val="24"/>
          <w:szCs w:val="24"/>
          <w:highlight w:val="none"/>
        </w:rPr>
      </w:pPr>
      <w:r>
        <w:rPr>
          <w:rFonts w:hint="eastAsia" w:ascii="宋体" w:hAnsi="宋体" w:cs="仿宋_GB2312"/>
          <w:b/>
          <w:color w:val="auto"/>
          <w:sz w:val="24"/>
          <w:szCs w:val="24"/>
          <w:highlight w:val="none"/>
        </w:rPr>
        <w:t>签约代表：</w:t>
      </w:r>
    </w:p>
    <w:p w14:paraId="5B4959E3">
      <w:pPr>
        <w:adjustRightInd w:val="0"/>
        <w:snapToGrid w:val="0"/>
        <w:spacing w:line="720" w:lineRule="auto"/>
        <w:rPr>
          <w:rFonts w:ascii="宋体" w:hAnsi="宋体"/>
          <w:b/>
          <w:bCs/>
          <w:color w:val="auto"/>
          <w:sz w:val="24"/>
          <w:szCs w:val="24"/>
          <w:highlight w:val="none"/>
        </w:rPr>
      </w:pPr>
    </w:p>
    <w:p w14:paraId="2AA5B89C">
      <w:pPr>
        <w:pStyle w:val="2"/>
        <w:snapToGrid w:val="0"/>
        <w:spacing w:line="720" w:lineRule="auto"/>
        <w:rPr>
          <w:rFonts w:ascii="宋体" w:hAnsi="宋体"/>
          <w:b/>
          <w:bCs/>
          <w:color w:val="auto"/>
          <w:sz w:val="24"/>
          <w:szCs w:val="24"/>
          <w:highlight w:val="none"/>
        </w:rPr>
      </w:pPr>
    </w:p>
    <w:p w14:paraId="2030D437">
      <w:pPr>
        <w:adjustRightInd w:val="0"/>
        <w:snapToGrid w:val="0"/>
        <w:spacing w:line="720" w:lineRule="auto"/>
        <w:rPr>
          <w:rFonts w:ascii="宋体" w:hAnsi="宋体"/>
          <w:b/>
          <w:bCs/>
          <w:color w:val="auto"/>
          <w:sz w:val="24"/>
          <w:szCs w:val="24"/>
          <w:highlight w:val="none"/>
        </w:rPr>
      </w:pPr>
    </w:p>
    <w:p w14:paraId="4A844266">
      <w:pPr>
        <w:adjustRightInd w:val="0"/>
        <w:snapToGrid w:val="0"/>
        <w:spacing w:line="720" w:lineRule="auto"/>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乙方：    （盖章）</w:t>
      </w:r>
    </w:p>
    <w:p w14:paraId="48BD9117">
      <w:pPr>
        <w:adjustRightInd w:val="0"/>
        <w:snapToGrid w:val="0"/>
        <w:spacing w:line="72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7602D7EB">
      <w:pPr>
        <w:adjustRightInd w:val="0"/>
        <w:snapToGrid w:val="0"/>
        <w:spacing w:line="720" w:lineRule="auto"/>
        <w:rPr>
          <w:rFonts w:ascii="宋体" w:hAnsi="宋体"/>
          <w:color w:val="auto"/>
          <w:sz w:val="24"/>
          <w:szCs w:val="24"/>
          <w:highlight w:val="none"/>
        </w:rPr>
      </w:pPr>
      <w:r>
        <w:rPr>
          <w:rFonts w:hint="eastAsia" w:ascii="宋体" w:hAnsi="宋体" w:cs="仿宋_GB2312"/>
          <w:b/>
          <w:color w:val="auto"/>
          <w:sz w:val="24"/>
          <w:szCs w:val="24"/>
          <w:highlight w:val="none"/>
        </w:rPr>
        <w:t>签约代表：</w:t>
      </w:r>
    </w:p>
    <w:p w14:paraId="7B466F3B">
      <w:pPr>
        <w:adjustRightInd w:val="0"/>
        <w:snapToGrid w:val="0"/>
        <w:spacing w:line="360" w:lineRule="auto"/>
        <w:rPr>
          <w:rFonts w:ascii="宋体" w:hAnsi="宋体"/>
          <w:color w:val="auto"/>
          <w:sz w:val="24"/>
          <w:szCs w:val="24"/>
          <w:highlight w:val="none"/>
        </w:rPr>
      </w:pPr>
    </w:p>
    <w:p w14:paraId="08D05E4C">
      <w:pPr>
        <w:adjustRightInd w:val="0"/>
        <w:snapToGrid w:val="0"/>
        <w:spacing w:line="360" w:lineRule="auto"/>
        <w:rPr>
          <w:rFonts w:ascii="宋体" w:hAnsi="宋体"/>
          <w:color w:val="auto"/>
          <w:sz w:val="24"/>
          <w:szCs w:val="24"/>
          <w:highlight w:val="none"/>
        </w:rPr>
      </w:pPr>
    </w:p>
    <w:p w14:paraId="60B8359B">
      <w:pPr>
        <w:adjustRightInd w:val="0"/>
        <w:snapToGrid w:val="0"/>
        <w:spacing w:line="360" w:lineRule="auto"/>
        <w:rPr>
          <w:rFonts w:ascii="宋体" w:hAnsi="宋体" w:cs="仿宋_GB2312"/>
          <w:color w:val="auto"/>
          <w:sz w:val="24"/>
          <w:szCs w:val="24"/>
          <w:highlight w:val="none"/>
        </w:rPr>
      </w:pPr>
      <w:r>
        <w:rPr>
          <w:rFonts w:hint="eastAsia" w:ascii="宋体" w:hAnsi="宋体" w:cs="仿宋_GB2312"/>
          <w:color w:val="auto"/>
          <w:sz w:val="24"/>
          <w:szCs w:val="24"/>
          <w:highlight w:val="none"/>
        </w:rPr>
        <w:t>签约时间：</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年</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 xml:space="preserve">    </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月</w:t>
      </w:r>
      <w:r>
        <w:rPr>
          <w:rFonts w:ascii="宋体" w:hAnsi="宋体" w:cs="仿宋_GB2312"/>
          <w:color w:val="auto"/>
          <w:sz w:val="24"/>
          <w:szCs w:val="24"/>
          <w:highlight w:val="none"/>
        </w:rPr>
        <w:t xml:space="preserve">   </w:t>
      </w:r>
      <w:r>
        <w:rPr>
          <w:rFonts w:hint="eastAsia" w:ascii="宋体" w:hAnsi="宋体" w:cs="仿宋_GB2312"/>
          <w:color w:val="auto"/>
          <w:sz w:val="24"/>
          <w:szCs w:val="24"/>
          <w:highlight w:val="none"/>
        </w:rPr>
        <w:t xml:space="preserve">   日</w:t>
      </w:r>
    </w:p>
    <w:p w14:paraId="63017548">
      <w:pPr>
        <w:rPr>
          <w:rFonts w:ascii="宋体" w:hAnsi="宋体" w:cs="仿宋_GB2312"/>
          <w:color w:val="auto"/>
          <w:sz w:val="24"/>
          <w:szCs w:val="24"/>
          <w:highlight w:val="none"/>
        </w:rPr>
      </w:pPr>
    </w:p>
    <w:p w14:paraId="70835AF5">
      <w:pPr>
        <w:rPr>
          <w:rFonts w:hint="eastAsia" w:ascii="宋体" w:hAnsi="宋体"/>
          <w:color w:val="auto"/>
          <w:sz w:val="24"/>
          <w:szCs w:val="24"/>
          <w:highlight w:val="none"/>
        </w:rPr>
      </w:pPr>
      <w:r>
        <w:rPr>
          <w:rFonts w:hint="eastAsia" w:ascii="宋体" w:hAnsi="宋体"/>
          <w:color w:val="auto"/>
          <w:sz w:val="24"/>
          <w:szCs w:val="24"/>
          <w:highlight w:val="none"/>
        </w:rPr>
        <w:br w:type="page"/>
      </w:r>
    </w:p>
    <w:p w14:paraId="10E4511E">
      <w:pPr>
        <w:snapToGrid w:val="0"/>
        <w:spacing w:line="480" w:lineRule="auto"/>
        <w:jc w:val="left"/>
        <w:rPr>
          <w:rFonts w:ascii="宋体" w:hAnsi="宋体"/>
          <w:b/>
          <w:bCs/>
          <w:color w:val="auto"/>
          <w:sz w:val="24"/>
          <w:szCs w:val="24"/>
          <w:highlight w:val="none"/>
        </w:rPr>
      </w:pPr>
      <w:r>
        <w:rPr>
          <w:rFonts w:hint="eastAsia" w:ascii="宋体" w:hAnsi="宋体"/>
          <w:b/>
          <w:bCs/>
          <w:color w:val="auto"/>
          <w:sz w:val="24"/>
          <w:szCs w:val="24"/>
          <w:highlight w:val="none"/>
        </w:rPr>
        <w:t>附件1：</w:t>
      </w:r>
    </w:p>
    <w:p w14:paraId="5FB52C84">
      <w:pPr>
        <w:widowControl/>
        <w:spacing w:line="440" w:lineRule="exact"/>
        <w:jc w:val="center"/>
        <w:rPr>
          <w:rFonts w:ascii="宋体" w:hAnsi="宋体"/>
          <w:b/>
          <w:color w:val="auto"/>
          <w:sz w:val="24"/>
          <w:szCs w:val="24"/>
          <w:highlight w:val="none"/>
        </w:rPr>
      </w:pPr>
      <w:r>
        <w:rPr>
          <w:rFonts w:hint="eastAsia" w:ascii="宋体" w:hAnsi="宋体"/>
          <w:b/>
          <w:color w:val="auto"/>
          <w:sz w:val="24"/>
          <w:szCs w:val="24"/>
          <w:highlight w:val="none"/>
        </w:rPr>
        <w:t>廉</w:t>
      </w:r>
      <w:r>
        <w:rPr>
          <w:rFonts w:ascii="宋体" w:hAnsi="宋体"/>
          <w:b/>
          <w:color w:val="auto"/>
          <w:sz w:val="24"/>
          <w:szCs w:val="24"/>
          <w:highlight w:val="none"/>
        </w:rPr>
        <w:t xml:space="preserve"> </w:t>
      </w:r>
      <w:r>
        <w:rPr>
          <w:rFonts w:hint="eastAsia" w:ascii="宋体" w:hAnsi="宋体"/>
          <w:b/>
          <w:color w:val="auto"/>
          <w:sz w:val="24"/>
          <w:szCs w:val="24"/>
          <w:highlight w:val="none"/>
        </w:rPr>
        <w:t>政</w:t>
      </w:r>
      <w:r>
        <w:rPr>
          <w:rFonts w:ascii="宋体" w:hAnsi="宋体"/>
          <w:b/>
          <w:color w:val="auto"/>
          <w:sz w:val="24"/>
          <w:szCs w:val="24"/>
          <w:highlight w:val="none"/>
        </w:rPr>
        <w:t xml:space="preserve"> </w:t>
      </w:r>
      <w:r>
        <w:rPr>
          <w:rFonts w:hint="eastAsia" w:ascii="宋体" w:hAnsi="宋体"/>
          <w:b/>
          <w:color w:val="auto"/>
          <w:sz w:val="24"/>
          <w:szCs w:val="24"/>
          <w:highlight w:val="none"/>
        </w:rPr>
        <w:t>合</w:t>
      </w:r>
      <w:r>
        <w:rPr>
          <w:rFonts w:ascii="宋体" w:hAnsi="宋体"/>
          <w:b/>
          <w:color w:val="auto"/>
          <w:sz w:val="24"/>
          <w:szCs w:val="24"/>
          <w:highlight w:val="none"/>
        </w:rPr>
        <w:t xml:space="preserve"> </w:t>
      </w:r>
      <w:r>
        <w:rPr>
          <w:rFonts w:hint="eastAsia" w:ascii="宋体" w:hAnsi="宋体"/>
          <w:b/>
          <w:color w:val="auto"/>
          <w:sz w:val="24"/>
          <w:szCs w:val="24"/>
          <w:highlight w:val="none"/>
        </w:rPr>
        <w:t>同</w:t>
      </w:r>
    </w:p>
    <w:p w14:paraId="2AF458BC">
      <w:pPr>
        <w:spacing w:line="360" w:lineRule="auto"/>
        <w:rPr>
          <w:rFonts w:ascii="宋体" w:hAnsi="宋体"/>
          <w:color w:val="auto"/>
          <w:sz w:val="24"/>
          <w:szCs w:val="24"/>
          <w:highlight w:val="none"/>
        </w:rPr>
      </w:pPr>
    </w:p>
    <w:p w14:paraId="14CAB002">
      <w:pPr>
        <w:adjustRightInd w:val="0"/>
        <w:snapToGrid w:val="0"/>
        <w:spacing w:line="360" w:lineRule="auto"/>
        <w:ind w:firstLine="482" w:firstLineChars="200"/>
        <w:rPr>
          <w:rFonts w:ascii="宋体" w:hAnsi="宋体"/>
          <w:b/>
          <w:color w:val="auto"/>
          <w:sz w:val="24"/>
          <w:szCs w:val="24"/>
          <w:highlight w:val="none"/>
          <w:u w:val="single"/>
        </w:rPr>
      </w:pPr>
      <w:r>
        <w:rPr>
          <w:rFonts w:hint="eastAsia" w:ascii="宋体" w:hAnsi="宋体" w:cs="仿宋_GB2312"/>
          <w:b/>
          <w:color w:val="auto"/>
          <w:sz w:val="24"/>
          <w:szCs w:val="24"/>
          <w:highlight w:val="none"/>
        </w:rPr>
        <w:t>建设单位（甲方）：</w:t>
      </w:r>
      <w:r>
        <w:rPr>
          <w:rFonts w:hint="eastAsia" w:ascii="宋体" w:hAnsi="宋体" w:cs="仿宋_GB2312"/>
          <w:b/>
          <w:color w:val="auto"/>
          <w:sz w:val="24"/>
          <w:szCs w:val="24"/>
          <w:highlight w:val="none"/>
          <w:u w:val="single"/>
          <w:lang w:eastAsia="zh-CN"/>
        </w:rPr>
        <w:t>广州白云棠涌置地有限公司</w:t>
      </w:r>
      <w:r>
        <w:rPr>
          <w:rFonts w:hint="eastAsia" w:ascii="宋体" w:hAnsi="宋体" w:cs="仿宋_GB2312"/>
          <w:b/>
          <w:color w:val="auto"/>
          <w:sz w:val="24"/>
          <w:szCs w:val="24"/>
          <w:highlight w:val="none"/>
          <w:u w:val="single"/>
        </w:rPr>
        <w:t xml:space="preserve">                              </w:t>
      </w:r>
    </w:p>
    <w:p w14:paraId="2AAF99C4">
      <w:pPr>
        <w:adjustRightInd w:val="0"/>
        <w:snapToGrid w:val="0"/>
        <w:spacing w:before="156" w:beforeLines="50" w:line="360" w:lineRule="auto"/>
        <w:ind w:firstLine="482" w:firstLineChars="200"/>
        <w:rPr>
          <w:rFonts w:ascii="宋体" w:hAnsi="宋体"/>
          <w:b/>
          <w:color w:val="auto"/>
          <w:sz w:val="24"/>
          <w:szCs w:val="24"/>
          <w:highlight w:val="none"/>
        </w:rPr>
      </w:pPr>
      <w:r>
        <w:rPr>
          <w:rFonts w:hint="eastAsia" w:ascii="宋体" w:hAnsi="宋体" w:cs="仿宋_GB2312"/>
          <w:b/>
          <w:color w:val="auto"/>
          <w:sz w:val="24"/>
          <w:szCs w:val="24"/>
          <w:highlight w:val="none"/>
        </w:rPr>
        <w:t>建设管理单位（乙方）：</w:t>
      </w:r>
      <w:r>
        <w:rPr>
          <w:rFonts w:hint="eastAsia" w:ascii="宋体" w:hAnsi="宋体" w:cs="仿宋_GB2312"/>
          <w:b/>
          <w:color w:val="auto"/>
          <w:sz w:val="24"/>
          <w:szCs w:val="24"/>
          <w:highlight w:val="none"/>
          <w:u w:val="single"/>
        </w:rPr>
        <w:t xml:space="preserve">              </w:t>
      </w:r>
      <w:r>
        <w:rPr>
          <w:rFonts w:ascii="宋体" w:hAnsi="宋体" w:cs="仿宋_GB2312"/>
          <w:b/>
          <w:color w:val="auto"/>
          <w:sz w:val="24"/>
          <w:szCs w:val="24"/>
          <w:highlight w:val="none"/>
          <w:u w:val="single"/>
        </w:rPr>
        <w:t xml:space="preserve">                        </w:t>
      </w:r>
      <w:r>
        <w:rPr>
          <w:rFonts w:hint="eastAsia" w:ascii="宋体" w:hAnsi="宋体" w:cs="仿宋_GB2312"/>
          <w:b/>
          <w:color w:val="auto"/>
          <w:sz w:val="24"/>
          <w:szCs w:val="24"/>
          <w:highlight w:val="none"/>
          <w:u w:val="single"/>
        </w:rPr>
        <w:t xml:space="preserve">              </w:t>
      </w:r>
    </w:p>
    <w:p w14:paraId="6E1BE34D">
      <w:pPr>
        <w:snapToGrid w:val="0"/>
        <w:spacing w:beforeLines="0" w:after="0" w:afterLines="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根据国家、省工程建设和廉政建设的有关规定，为做好合同工程的廉政建设，保证工程质量与施工安全，提高建设资金的有效使用和投资效益，</w:t>
      </w:r>
      <w:r>
        <w:rPr>
          <w:rFonts w:hint="eastAsia" w:ascii="宋体" w:hAnsi="宋体"/>
          <w:color w:val="auto"/>
          <w:spacing w:val="20"/>
          <w:sz w:val="24"/>
          <w:szCs w:val="24"/>
          <w:highlight w:val="none"/>
        </w:rPr>
        <w:t>甲方</w:t>
      </w:r>
      <w:r>
        <w:rPr>
          <w:rFonts w:hint="eastAsia" w:ascii="宋体" w:hAnsi="宋体"/>
          <w:color w:val="auto"/>
          <w:sz w:val="24"/>
          <w:szCs w:val="24"/>
          <w:highlight w:val="none"/>
        </w:rPr>
        <w:t>、</w:t>
      </w:r>
      <w:r>
        <w:rPr>
          <w:rFonts w:hint="eastAsia" w:ascii="宋体" w:hAnsi="宋体"/>
          <w:color w:val="auto"/>
          <w:spacing w:val="20"/>
          <w:sz w:val="24"/>
          <w:szCs w:val="24"/>
          <w:highlight w:val="none"/>
        </w:rPr>
        <w:t>乙方</w:t>
      </w:r>
      <w:r>
        <w:rPr>
          <w:rFonts w:hint="eastAsia" w:ascii="宋体" w:hAnsi="宋体"/>
          <w:color w:val="auto"/>
          <w:sz w:val="24"/>
          <w:szCs w:val="24"/>
          <w:highlight w:val="none"/>
        </w:rPr>
        <w:t>就加强合同工程的廉政建设，订立本合同。</w:t>
      </w:r>
    </w:p>
    <w:p w14:paraId="1F473430">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、双方权利和义务</w:t>
      </w:r>
    </w:p>
    <w:p w14:paraId="2EDCB0F8">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1.1 </w:t>
      </w:r>
      <w:r>
        <w:rPr>
          <w:rFonts w:hint="eastAsia" w:ascii="宋体" w:hAnsi="宋体"/>
          <w:color w:val="auto"/>
          <w:sz w:val="24"/>
          <w:szCs w:val="24"/>
          <w:highlight w:val="none"/>
        </w:rPr>
        <w:t>严格遵守国家有关法律法规的规定。</w:t>
      </w:r>
    </w:p>
    <w:p w14:paraId="45422B81">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1.2 </w:t>
      </w:r>
      <w:r>
        <w:rPr>
          <w:rFonts w:hint="eastAsia" w:ascii="宋体" w:hAnsi="宋体"/>
          <w:color w:val="auto"/>
          <w:sz w:val="24"/>
          <w:szCs w:val="24"/>
          <w:highlight w:val="none"/>
        </w:rPr>
        <w:t>严格执行一切合同文件，自觉按合同办事。</w:t>
      </w:r>
    </w:p>
    <w:p w14:paraId="4552D94E">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1.3 </w:t>
      </w:r>
      <w:r>
        <w:rPr>
          <w:rFonts w:hint="eastAsia" w:ascii="宋体" w:hAnsi="宋体"/>
          <w:color w:val="auto"/>
          <w:sz w:val="24"/>
          <w:szCs w:val="24"/>
          <w:highlight w:val="none"/>
        </w:rPr>
        <w:t>双方的业务活动坚持公平、公开、公正和诚信的原则（法律认定的商业秘密和合同文件另有规定除外），不得损害国家和集体利益，不得违反工程建设管理规章制度。</w:t>
      </w:r>
    </w:p>
    <w:p w14:paraId="6D844743">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1.4 </w:t>
      </w:r>
      <w:r>
        <w:rPr>
          <w:rFonts w:hint="eastAsia" w:ascii="宋体" w:hAnsi="宋体"/>
          <w:color w:val="auto"/>
          <w:sz w:val="24"/>
          <w:szCs w:val="24"/>
          <w:highlight w:val="none"/>
        </w:rPr>
        <w:t>建立健全廉政制度，开展廉政教育，设立廉政告示牌，公布举报电话，监督并认真查处违法违纪行为。</w:t>
      </w:r>
    </w:p>
    <w:p w14:paraId="1EA7E8C9">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1.5 </w:t>
      </w:r>
      <w:r>
        <w:rPr>
          <w:rFonts w:hint="eastAsia" w:ascii="宋体" w:hAnsi="宋体"/>
          <w:color w:val="auto"/>
          <w:sz w:val="24"/>
          <w:szCs w:val="24"/>
          <w:highlight w:val="none"/>
        </w:rPr>
        <w:t>发现对方在业务活动中有违反廉政建设规定的行为，应及时给予提醒和纠正。</w:t>
      </w:r>
    </w:p>
    <w:p w14:paraId="433DBA67">
      <w:pPr>
        <w:adjustRightInd w:val="0"/>
        <w:snapToGrid w:val="0"/>
        <w:spacing w:beforeLines="0" w:afterLines="0" w:line="360" w:lineRule="auto"/>
        <w:ind w:firstLine="480" w:firstLineChars="200"/>
        <w:rPr>
          <w:rFonts w:hint="eastAsia" w:ascii="宋体" w:hAnsi="宋体"/>
          <w:bCs w:val="0"/>
          <w:color w:val="auto"/>
          <w:sz w:val="24"/>
          <w:szCs w:val="24"/>
          <w:highlight w:val="none"/>
        </w:rPr>
      </w:pPr>
      <w:r>
        <w:rPr>
          <w:rFonts w:ascii="宋体" w:hAnsi="宋体"/>
          <w:color w:val="auto"/>
          <w:sz w:val="24"/>
          <w:szCs w:val="24"/>
          <w:highlight w:val="none"/>
        </w:rPr>
        <w:t xml:space="preserve">1.6 </w:t>
      </w:r>
      <w:r>
        <w:rPr>
          <w:rFonts w:hint="eastAsia" w:ascii="宋体" w:hAnsi="宋体"/>
          <w:color w:val="auto"/>
          <w:sz w:val="24"/>
          <w:szCs w:val="24"/>
          <w:highlight w:val="none"/>
        </w:rPr>
        <w:t>发现对方严重违反合同的行为，有向其上级部门举报、建议给予处理并要求告知处理结果的权利。</w:t>
      </w:r>
    </w:p>
    <w:p w14:paraId="68DD607E">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ascii="宋体" w:hAnsi="宋体"/>
          <w:b/>
          <w:bCs/>
          <w:color w:val="auto"/>
          <w:sz w:val="24"/>
          <w:szCs w:val="24"/>
          <w:highlight w:val="none"/>
        </w:rPr>
        <w:t>2</w:t>
      </w:r>
      <w:r>
        <w:rPr>
          <w:rFonts w:hint="eastAsia" w:ascii="宋体" w:hAnsi="宋体"/>
          <w:b/>
          <w:bCs/>
          <w:color w:val="auto"/>
          <w:sz w:val="24"/>
          <w:szCs w:val="24"/>
          <w:highlight w:val="none"/>
        </w:rPr>
        <w:t>、</w:t>
      </w:r>
      <w:r>
        <w:rPr>
          <w:rFonts w:hint="eastAsia" w:ascii="宋体" w:hAnsi="宋体"/>
          <w:b/>
          <w:bCs/>
          <w:color w:val="auto"/>
          <w:spacing w:val="0"/>
          <w:sz w:val="24"/>
          <w:szCs w:val="24"/>
          <w:highlight w:val="none"/>
        </w:rPr>
        <w:t>甲方</w:t>
      </w:r>
      <w:r>
        <w:rPr>
          <w:rFonts w:hint="eastAsia" w:ascii="宋体" w:hAnsi="宋体"/>
          <w:b/>
          <w:bCs/>
          <w:color w:val="auto"/>
          <w:sz w:val="24"/>
          <w:szCs w:val="24"/>
          <w:highlight w:val="none"/>
        </w:rPr>
        <w:t>义务</w:t>
      </w:r>
    </w:p>
    <w:p w14:paraId="0553347F">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2.1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及其工作人员不得索要或接受乙方的礼金、有价证券和贵重物品，不得在乙方报销任何应由</w:t>
      </w:r>
      <w:r>
        <w:rPr>
          <w:rFonts w:hint="eastAsia" w:ascii="宋体" w:hAnsi="宋体"/>
          <w:color w:val="auto"/>
          <w:spacing w:val="0"/>
          <w:sz w:val="24"/>
          <w:szCs w:val="24"/>
          <w:highlight w:val="none"/>
        </w:rPr>
        <w:t>甲方</w:t>
      </w:r>
      <w:r>
        <w:rPr>
          <w:rFonts w:hint="eastAsia" w:ascii="宋体" w:hAnsi="宋体"/>
          <w:color w:val="auto"/>
          <w:sz w:val="24"/>
          <w:szCs w:val="24"/>
          <w:highlight w:val="none"/>
        </w:rPr>
        <w:t>或工作人员个人支付的费用等。</w:t>
      </w:r>
    </w:p>
    <w:p w14:paraId="5DBBF278">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2.2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及其工作人员不得参加乙方安排的宴请（工作餐除外）和娱乐活动；不得接受乙方提供的通讯工具、交通工具和高档办公用品等。</w:t>
      </w:r>
    </w:p>
    <w:p w14:paraId="2F22C5D9">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2.3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及其工作人员不得要求或者接受乙方为其住房装修、婚丧嫁娶活动、配偶子女的工作安排以及出国出境、旅游等提供方便等。</w:t>
      </w:r>
    </w:p>
    <w:p w14:paraId="77605C4F">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2.4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及其工作人员及其配偶、子女不得从事与</w:t>
      </w:r>
      <w:r>
        <w:rPr>
          <w:rFonts w:hint="eastAsia" w:ascii="宋体" w:hAnsi="宋体"/>
          <w:color w:val="auto"/>
          <w:spacing w:val="0"/>
          <w:sz w:val="24"/>
          <w:szCs w:val="24"/>
          <w:highlight w:val="none"/>
        </w:rPr>
        <w:t>甲方</w:t>
      </w:r>
      <w:r>
        <w:rPr>
          <w:rFonts w:hint="eastAsia" w:ascii="宋体" w:hAnsi="宋体"/>
          <w:color w:val="auto"/>
          <w:sz w:val="24"/>
          <w:szCs w:val="24"/>
          <w:highlight w:val="none"/>
        </w:rPr>
        <w:t>有关的工程材料设备供应、工程分包、劳务等经济活动。</w:t>
      </w:r>
    </w:p>
    <w:p w14:paraId="7868852C">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2.5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及其工作人员不得以任何理由向乙方推荐分包单位或推销材料，不得要求乙方购买合同约定外的材料和设备。</w:t>
      </w:r>
    </w:p>
    <w:p w14:paraId="444FD7F1">
      <w:pPr>
        <w:adjustRightInd w:val="0"/>
        <w:snapToGrid w:val="0"/>
        <w:spacing w:beforeLines="0" w:afterLines="0" w:line="360" w:lineRule="auto"/>
        <w:ind w:firstLine="480" w:firstLineChars="200"/>
        <w:rPr>
          <w:rFonts w:hint="eastAsia" w:ascii="宋体" w:hAnsi="宋体"/>
          <w:bCs w:val="0"/>
          <w:color w:val="auto"/>
          <w:sz w:val="24"/>
          <w:szCs w:val="24"/>
          <w:highlight w:val="none"/>
        </w:rPr>
      </w:pPr>
      <w:r>
        <w:rPr>
          <w:rFonts w:ascii="宋体" w:hAnsi="宋体"/>
          <w:color w:val="auto"/>
          <w:sz w:val="24"/>
          <w:szCs w:val="24"/>
          <w:highlight w:val="none"/>
        </w:rPr>
        <w:t xml:space="preserve">2.6 </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及其工作人员要秉公办事，不准营私舞弊，不准利用职权从事各种个人有偿中介活动和安排个人施工队伍。</w:t>
      </w:r>
    </w:p>
    <w:p w14:paraId="73C026D6">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ascii="宋体" w:hAnsi="宋体"/>
          <w:b/>
          <w:bCs/>
          <w:color w:val="auto"/>
          <w:sz w:val="24"/>
          <w:szCs w:val="24"/>
          <w:highlight w:val="none"/>
        </w:rPr>
        <w:t>3</w:t>
      </w:r>
      <w:r>
        <w:rPr>
          <w:rFonts w:hint="eastAsia" w:ascii="宋体" w:hAnsi="宋体"/>
          <w:b/>
          <w:bCs/>
          <w:color w:val="auto"/>
          <w:sz w:val="24"/>
          <w:szCs w:val="24"/>
          <w:highlight w:val="none"/>
        </w:rPr>
        <w:t>、乙方义务</w:t>
      </w:r>
    </w:p>
    <w:p w14:paraId="23238641">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3.1 </w:t>
      </w:r>
      <w:r>
        <w:rPr>
          <w:rFonts w:hint="eastAsia" w:ascii="宋体" w:hAnsi="宋体"/>
          <w:color w:val="auto"/>
          <w:sz w:val="24"/>
          <w:szCs w:val="24"/>
          <w:highlight w:val="none"/>
        </w:rPr>
        <w:t>乙方不得以任何理由向</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及其工作人员行贿或馈赠礼金、有价证券、贵重礼品。</w:t>
      </w:r>
    </w:p>
    <w:p w14:paraId="384B2ED6">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3.2 </w:t>
      </w:r>
      <w:r>
        <w:rPr>
          <w:rFonts w:hint="eastAsia" w:ascii="宋体" w:hAnsi="宋体"/>
          <w:color w:val="auto"/>
          <w:sz w:val="24"/>
          <w:szCs w:val="24"/>
          <w:highlight w:val="none"/>
        </w:rPr>
        <w:t>乙方不得以任何名义为</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及其工作人员报销应由</w:t>
      </w:r>
      <w:r>
        <w:rPr>
          <w:rFonts w:hint="eastAsia" w:ascii="宋体" w:hAnsi="宋体"/>
          <w:color w:val="auto"/>
          <w:spacing w:val="0"/>
          <w:sz w:val="24"/>
          <w:szCs w:val="24"/>
          <w:highlight w:val="none"/>
        </w:rPr>
        <w:t>甲方</w:t>
      </w:r>
      <w:r>
        <w:rPr>
          <w:rFonts w:hint="eastAsia" w:ascii="宋体" w:hAnsi="宋体"/>
          <w:color w:val="auto"/>
          <w:sz w:val="24"/>
          <w:szCs w:val="24"/>
          <w:highlight w:val="none"/>
        </w:rPr>
        <w:t>或工作人员个人支付的任何费用。</w:t>
      </w:r>
    </w:p>
    <w:p w14:paraId="1195F561">
      <w:pPr>
        <w:adjustRightInd w:val="0"/>
        <w:snapToGrid w:val="0"/>
        <w:spacing w:beforeLines="0" w:afterLines="0"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3.3 </w:t>
      </w:r>
      <w:r>
        <w:rPr>
          <w:rFonts w:hint="eastAsia" w:ascii="宋体" w:hAnsi="宋体"/>
          <w:color w:val="auto"/>
          <w:sz w:val="24"/>
          <w:szCs w:val="24"/>
          <w:highlight w:val="none"/>
        </w:rPr>
        <w:t>乙方不得以任何理由安排</w:t>
      </w:r>
      <w:r>
        <w:rPr>
          <w:rFonts w:hint="eastAsia" w:ascii="宋体" w:hAnsi="宋体"/>
          <w:color w:val="auto"/>
          <w:spacing w:val="0"/>
          <w:sz w:val="24"/>
          <w:szCs w:val="24"/>
          <w:highlight w:val="none"/>
        </w:rPr>
        <w:t>甲方</w:t>
      </w:r>
      <w:r>
        <w:rPr>
          <w:rFonts w:hint="eastAsia" w:ascii="宋体" w:hAnsi="宋体"/>
          <w:color w:val="auto"/>
          <w:sz w:val="24"/>
          <w:szCs w:val="24"/>
          <w:highlight w:val="none"/>
        </w:rPr>
        <w:t>及其工作人员参加宴请（工作餐除外）及娱乐活动。</w:t>
      </w:r>
    </w:p>
    <w:p w14:paraId="22443A3A">
      <w:pPr>
        <w:adjustRightInd w:val="0"/>
        <w:snapToGrid w:val="0"/>
        <w:spacing w:beforeLines="0" w:afterLines="0" w:line="360" w:lineRule="auto"/>
        <w:ind w:firstLine="480" w:firstLineChars="200"/>
        <w:rPr>
          <w:rFonts w:hint="eastAsia" w:ascii="宋体" w:hAnsi="宋体"/>
          <w:bCs w:val="0"/>
          <w:color w:val="auto"/>
          <w:sz w:val="24"/>
          <w:szCs w:val="24"/>
          <w:highlight w:val="none"/>
        </w:rPr>
      </w:pPr>
      <w:r>
        <w:rPr>
          <w:rFonts w:ascii="宋体" w:hAnsi="宋体"/>
          <w:color w:val="auto"/>
          <w:sz w:val="24"/>
          <w:szCs w:val="24"/>
          <w:highlight w:val="none"/>
        </w:rPr>
        <w:t xml:space="preserve">3.4 </w:t>
      </w:r>
      <w:r>
        <w:rPr>
          <w:rFonts w:hint="eastAsia" w:ascii="宋体" w:hAnsi="宋体"/>
          <w:color w:val="auto"/>
          <w:sz w:val="24"/>
          <w:szCs w:val="24"/>
          <w:highlight w:val="none"/>
        </w:rPr>
        <w:t>乙方不得为</w:t>
      </w:r>
      <w:r>
        <w:rPr>
          <w:rFonts w:hint="eastAsia" w:ascii="宋体" w:hAnsi="宋体"/>
          <w:color w:val="auto"/>
          <w:spacing w:val="0"/>
          <w:sz w:val="24"/>
          <w:szCs w:val="24"/>
          <w:highlight w:val="none"/>
        </w:rPr>
        <w:t>甲方</w:t>
      </w:r>
      <w:r>
        <w:rPr>
          <w:rFonts w:hint="eastAsia" w:ascii="宋体" w:hAnsi="宋体"/>
          <w:color w:val="auto"/>
          <w:sz w:val="24"/>
          <w:szCs w:val="24"/>
          <w:highlight w:val="none"/>
        </w:rPr>
        <w:t>购置或提供高档通讯工具和高档办公用品等。</w:t>
      </w:r>
    </w:p>
    <w:p w14:paraId="2387EF43">
      <w:pPr>
        <w:pStyle w:val="11"/>
        <w:adjustRightInd w:val="0"/>
        <w:snapToGrid w:val="0"/>
        <w:spacing w:beforeLines="0" w:after="0" w:afterLines="0" w:line="360" w:lineRule="auto"/>
        <w:ind w:left="0" w:leftChars="0" w:firstLine="482" w:firstLineChars="200"/>
        <w:rPr>
          <w:rFonts w:ascii="宋体" w:hAnsi="宋体"/>
          <w:b/>
          <w:bCs/>
          <w:color w:val="auto"/>
          <w:sz w:val="24"/>
          <w:highlight w:val="none"/>
        </w:rPr>
      </w:pPr>
      <w:r>
        <w:rPr>
          <w:rFonts w:hint="eastAsia" w:ascii="宋体" w:hAnsi="宋体"/>
          <w:b/>
          <w:bCs/>
          <w:color w:val="auto"/>
          <w:sz w:val="24"/>
          <w:highlight w:val="none"/>
        </w:rPr>
        <w:t>4、双方约定</w:t>
      </w:r>
    </w:p>
    <w:p w14:paraId="4878D79C">
      <w:pPr>
        <w:pStyle w:val="11"/>
        <w:adjustRightInd w:val="0"/>
        <w:snapToGrid w:val="0"/>
        <w:spacing w:beforeLines="0" w:after="0" w:afterLines="0" w:line="360" w:lineRule="auto"/>
        <w:ind w:left="0" w:leftChars="0" w:firstLine="480" w:firstLineChars="200"/>
        <w:rPr>
          <w:rFonts w:ascii="宋体" w:hAnsi="宋体"/>
          <w:color w:val="auto"/>
          <w:sz w:val="24"/>
          <w:highlight w:val="none"/>
        </w:rPr>
      </w:pPr>
      <w:r>
        <w:rPr>
          <w:rFonts w:hint="eastAsia" w:ascii="宋体" w:hAnsi="宋体"/>
          <w:color w:val="auto"/>
          <w:sz w:val="24"/>
          <w:highlight w:val="none"/>
        </w:rPr>
        <w:t>本合同由双方或其上级部门负责监督执行，并由双方或其上级部门相互约请对本合同执行情况进行检查。</w:t>
      </w:r>
    </w:p>
    <w:p w14:paraId="75347AEC">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hint="eastAsia" w:ascii="宋体" w:hAnsi="宋体"/>
          <w:b/>
          <w:bCs/>
          <w:color w:val="auto"/>
          <w:sz w:val="24"/>
          <w:szCs w:val="24"/>
          <w:highlight w:val="none"/>
        </w:rPr>
        <w:t>5、合同生效</w:t>
      </w:r>
    </w:p>
    <w:p w14:paraId="586464B5">
      <w:pPr>
        <w:adjustRightInd w:val="0"/>
        <w:snapToGrid w:val="0"/>
        <w:spacing w:beforeLines="0" w:afterLines="0"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本合同自双方签署之日起生效。</w:t>
      </w:r>
    </w:p>
    <w:p w14:paraId="16DD85A0">
      <w:pPr>
        <w:adjustRightInd w:val="0"/>
        <w:snapToGrid w:val="0"/>
        <w:spacing w:before="0" w:beforeLines="0" w:afterLines="0" w:line="360" w:lineRule="auto"/>
        <w:ind w:firstLine="482" w:firstLineChars="200"/>
        <w:jc w:val="left"/>
        <w:outlineLvl w:val="0"/>
        <w:rPr>
          <w:rFonts w:ascii="宋体" w:hAnsi="宋体"/>
          <w:b/>
          <w:bCs/>
          <w:color w:val="auto"/>
          <w:sz w:val="24"/>
          <w:szCs w:val="24"/>
          <w:highlight w:val="none"/>
        </w:rPr>
      </w:pPr>
      <w:r>
        <w:rPr>
          <w:rFonts w:hint="eastAsia" w:ascii="宋体" w:hAnsi="宋体"/>
          <w:b/>
          <w:bCs/>
          <w:color w:val="auto"/>
          <w:sz w:val="24"/>
          <w:szCs w:val="24"/>
          <w:highlight w:val="none"/>
        </w:rPr>
        <w:t>6、合同法律效力</w:t>
      </w:r>
    </w:p>
    <w:p w14:paraId="35BD3F4E">
      <w:pPr>
        <w:adjustRightInd w:val="0"/>
        <w:snapToGrid w:val="0"/>
        <w:spacing w:beforeLines="0" w:afterLines="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本合同作为</w:t>
      </w:r>
      <w:r>
        <w:rPr>
          <w:rFonts w:hint="eastAsia" w:ascii="宋体" w:hAnsi="宋体"/>
          <w:color w:val="auto"/>
          <w:sz w:val="24"/>
          <w:szCs w:val="24"/>
          <w:highlight w:val="none"/>
          <w:u w:val="single"/>
          <w:lang w:eastAsia="zh-CN"/>
        </w:rPr>
        <w:t>广州市白云区棠涌村城中村改造项目首开区安置地块及安置区配套道路项目</w:t>
      </w:r>
      <w:r>
        <w:rPr>
          <w:rFonts w:hint="eastAsia" w:ascii="宋体" w:hAnsi="宋体"/>
          <w:color w:val="auto"/>
          <w:sz w:val="24"/>
          <w:szCs w:val="24"/>
          <w:highlight w:val="none"/>
          <w:u w:val="single"/>
        </w:rPr>
        <w:t>建设管理服务合同</w:t>
      </w:r>
      <w:r>
        <w:rPr>
          <w:rFonts w:hint="eastAsia" w:ascii="宋体" w:hAnsi="宋体"/>
          <w:color w:val="auto"/>
          <w:sz w:val="24"/>
          <w:szCs w:val="24"/>
          <w:highlight w:val="none"/>
        </w:rPr>
        <w:t>的附件，与建设管理服务</w:t>
      </w:r>
      <w:r>
        <w:rPr>
          <w:rFonts w:hint="eastAsia" w:ascii="宋体" w:hAnsi="宋体" w:cs="宋体"/>
          <w:color w:val="auto"/>
          <w:kern w:val="0"/>
          <w:sz w:val="24"/>
          <w:szCs w:val="24"/>
          <w:highlight w:val="none"/>
        </w:rPr>
        <w:t>合同</w:t>
      </w:r>
      <w:r>
        <w:rPr>
          <w:rFonts w:hint="eastAsia" w:ascii="宋体" w:hAnsi="宋体"/>
          <w:color w:val="auto"/>
          <w:sz w:val="24"/>
          <w:szCs w:val="24"/>
          <w:highlight w:val="none"/>
        </w:rPr>
        <w:t>具有同等的法律效力，经双方签署后生效。</w:t>
      </w:r>
    </w:p>
    <w:p w14:paraId="593AC5E3">
      <w:pPr>
        <w:spacing w:line="360" w:lineRule="auto"/>
        <w:ind w:firstLine="480" w:firstLineChars="200"/>
        <w:rPr>
          <w:rFonts w:ascii="宋体" w:hAnsi="宋体"/>
          <w:color w:val="auto"/>
          <w:sz w:val="24"/>
          <w:szCs w:val="24"/>
          <w:highlight w:val="none"/>
        </w:rPr>
      </w:pPr>
    </w:p>
    <w:p w14:paraId="01D66CD9">
      <w:pPr>
        <w:spacing w:line="360" w:lineRule="auto"/>
        <w:ind w:firstLine="480" w:firstLineChars="200"/>
        <w:rPr>
          <w:rFonts w:ascii="宋体" w:hAnsi="宋体"/>
          <w:color w:val="auto"/>
          <w:sz w:val="24"/>
          <w:szCs w:val="24"/>
          <w:highlight w:val="none"/>
        </w:rPr>
      </w:pPr>
    </w:p>
    <w:p w14:paraId="43429E00">
      <w:pPr>
        <w:spacing w:line="360" w:lineRule="auto"/>
        <w:ind w:firstLine="480" w:firstLineChars="200"/>
        <w:rPr>
          <w:rFonts w:ascii="宋体" w:hAnsi="宋体"/>
          <w:color w:val="auto"/>
          <w:sz w:val="24"/>
          <w:szCs w:val="24"/>
          <w:highlight w:val="none"/>
        </w:rPr>
      </w:pPr>
    </w:p>
    <w:p w14:paraId="3FE4EE5C">
      <w:pPr>
        <w:spacing w:line="360" w:lineRule="auto"/>
        <w:ind w:firstLine="480" w:firstLineChars="200"/>
        <w:rPr>
          <w:rFonts w:ascii="宋体" w:hAnsi="宋体"/>
          <w:color w:val="auto"/>
          <w:sz w:val="24"/>
          <w:szCs w:val="24"/>
          <w:highlight w:val="none"/>
        </w:rPr>
      </w:pPr>
    </w:p>
    <w:p w14:paraId="1BAC548D">
      <w:pPr>
        <w:spacing w:line="360" w:lineRule="auto"/>
        <w:ind w:firstLine="480" w:firstLineChars="200"/>
        <w:rPr>
          <w:rFonts w:ascii="宋体" w:hAnsi="宋体"/>
          <w:color w:val="auto"/>
          <w:sz w:val="24"/>
          <w:szCs w:val="24"/>
          <w:highlight w:val="none"/>
        </w:rPr>
      </w:pPr>
    </w:p>
    <w:p w14:paraId="1B1774DF">
      <w:pPr>
        <w:spacing w:line="360" w:lineRule="auto"/>
        <w:ind w:firstLine="480" w:firstLineChars="200"/>
        <w:rPr>
          <w:rFonts w:ascii="宋体" w:hAnsi="宋体"/>
          <w:color w:val="auto"/>
          <w:sz w:val="24"/>
          <w:szCs w:val="24"/>
          <w:highlight w:val="none"/>
        </w:rPr>
      </w:pPr>
    </w:p>
    <w:p w14:paraId="3A4DAF4A">
      <w:pPr>
        <w:spacing w:line="360" w:lineRule="auto"/>
        <w:ind w:firstLine="480" w:firstLineChars="200"/>
        <w:rPr>
          <w:rFonts w:ascii="宋体" w:hAnsi="宋体"/>
          <w:color w:val="auto"/>
          <w:sz w:val="24"/>
          <w:szCs w:val="24"/>
          <w:highlight w:val="none"/>
        </w:rPr>
      </w:pPr>
    </w:p>
    <w:p w14:paraId="78931B7B">
      <w:pPr>
        <w:spacing w:line="360" w:lineRule="auto"/>
        <w:rPr>
          <w:rFonts w:ascii="宋体" w:hAnsi="宋体"/>
          <w:b/>
          <w:bCs/>
          <w:color w:val="auto"/>
          <w:sz w:val="24"/>
          <w:szCs w:val="24"/>
          <w:highlight w:val="none"/>
        </w:rPr>
      </w:pPr>
    </w:p>
    <w:p w14:paraId="1357A354">
      <w:pPr>
        <w:spacing w:line="240" w:lineRule="auto"/>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64971970">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（本页为签署页）</w:t>
      </w:r>
    </w:p>
    <w:p w14:paraId="24BDA29A">
      <w:pPr>
        <w:adjustRightInd w:val="0"/>
        <w:snapToGrid w:val="0"/>
        <w:spacing w:line="360" w:lineRule="auto"/>
        <w:rPr>
          <w:rFonts w:ascii="宋体" w:hAnsi="宋体" w:cs="仿宋_GB2312"/>
          <w:b/>
          <w:bCs/>
          <w:color w:val="auto"/>
          <w:sz w:val="24"/>
          <w:szCs w:val="24"/>
          <w:highlight w:val="none"/>
        </w:rPr>
      </w:pPr>
    </w:p>
    <w:p w14:paraId="641BCDFE">
      <w:pPr>
        <w:adjustRightInd w:val="0"/>
        <w:snapToGrid w:val="0"/>
        <w:spacing w:line="360" w:lineRule="auto"/>
        <w:rPr>
          <w:rFonts w:ascii="宋体" w:hAnsi="宋体" w:cs="仿宋_GB2312"/>
          <w:b/>
          <w:bCs/>
          <w:color w:val="auto"/>
          <w:sz w:val="24"/>
          <w:szCs w:val="24"/>
          <w:highlight w:val="none"/>
        </w:rPr>
      </w:pPr>
    </w:p>
    <w:p w14:paraId="0253E994">
      <w:pPr>
        <w:adjustRightInd w:val="0"/>
        <w:snapToGrid w:val="0"/>
        <w:spacing w:line="360" w:lineRule="auto"/>
        <w:rPr>
          <w:rFonts w:ascii="宋体" w:hAnsi="宋体" w:cs="仿宋_GB2312"/>
          <w:b/>
          <w:bCs/>
          <w:color w:val="auto"/>
          <w:sz w:val="24"/>
          <w:szCs w:val="24"/>
          <w:highlight w:val="none"/>
        </w:rPr>
      </w:pPr>
    </w:p>
    <w:p w14:paraId="24C6CBF3">
      <w:pPr>
        <w:adjustRightInd w:val="0"/>
        <w:snapToGrid w:val="0"/>
        <w:spacing w:line="360" w:lineRule="auto"/>
        <w:rPr>
          <w:rFonts w:ascii="宋体" w:hAnsi="宋体"/>
          <w:b/>
          <w:bCs/>
          <w:color w:val="auto"/>
          <w:sz w:val="24"/>
          <w:szCs w:val="24"/>
          <w:highlight w:val="none"/>
        </w:rPr>
      </w:pPr>
      <w:r>
        <w:rPr>
          <w:rFonts w:hint="eastAsia" w:ascii="宋体" w:hAnsi="宋体" w:cs="仿宋_GB2312"/>
          <w:b/>
          <w:bCs/>
          <w:color w:val="auto"/>
          <w:sz w:val="24"/>
          <w:szCs w:val="24"/>
          <w:highlight w:val="none"/>
        </w:rPr>
        <w:t>甲方：</w:t>
      </w:r>
      <w:r>
        <w:rPr>
          <w:rFonts w:hint="eastAsia"/>
          <w:b/>
          <w:snapToGrid w:val="0"/>
          <w:color w:val="auto"/>
          <w:sz w:val="24"/>
          <w:highlight w:val="none"/>
          <w:lang w:eastAsia="zh-CN"/>
        </w:rPr>
        <w:t>广州白云棠涌置地有限公司</w:t>
      </w:r>
      <w:r>
        <w:rPr>
          <w:rFonts w:hint="eastAsia" w:ascii="宋体" w:hAnsi="宋体" w:cs="仿宋_GB2312"/>
          <w:b/>
          <w:bCs/>
          <w:color w:val="auto"/>
          <w:sz w:val="24"/>
          <w:szCs w:val="24"/>
          <w:highlight w:val="none"/>
        </w:rPr>
        <w:t>（盖章）</w:t>
      </w:r>
    </w:p>
    <w:p w14:paraId="30C3CF69">
      <w:pPr>
        <w:adjustRightInd w:val="0"/>
        <w:snapToGrid w:val="0"/>
        <w:spacing w:line="360" w:lineRule="auto"/>
        <w:rPr>
          <w:rFonts w:ascii="宋体" w:hAnsi="宋体"/>
          <w:b/>
          <w:bCs/>
          <w:color w:val="auto"/>
          <w:sz w:val="24"/>
          <w:szCs w:val="24"/>
          <w:highlight w:val="none"/>
        </w:rPr>
      </w:pPr>
    </w:p>
    <w:p w14:paraId="2AD5446A">
      <w:pPr>
        <w:adjustRightInd w:val="0"/>
        <w:snapToGrid w:val="0"/>
        <w:spacing w:line="36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5542443F">
      <w:pPr>
        <w:adjustRightInd w:val="0"/>
        <w:snapToGrid w:val="0"/>
        <w:spacing w:line="360" w:lineRule="auto"/>
        <w:rPr>
          <w:rFonts w:ascii="宋体" w:hAnsi="宋体" w:cs="仿宋_GB2312"/>
          <w:b/>
          <w:color w:val="auto"/>
          <w:sz w:val="24"/>
          <w:szCs w:val="24"/>
          <w:highlight w:val="none"/>
        </w:rPr>
      </w:pPr>
    </w:p>
    <w:p w14:paraId="1B6E26CA">
      <w:pPr>
        <w:adjustRightInd w:val="0"/>
        <w:snapToGrid w:val="0"/>
        <w:spacing w:line="360" w:lineRule="auto"/>
        <w:rPr>
          <w:rFonts w:ascii="宋体" w:hAnsi="宋体"/>
          <w:b/>
          <w:color w:val="auto"/>
          <w:sz w:val="24"/>
          <w:szCs w:val="24"/>
          <w:highlight w:val="none"/>
        </w:rPr>
      </w:pPr>
      <w:r>
        <w:rPr>
          <w:rFonts w:hint="eastAsia" w:ascii="宋体" w:hAnsi="宋体" w:cs="仿宋_GB2312"/>
          <w:b/>
          <w:color w:val="auto"/>
          <w:sz w:val="24"/>
          <w:szCs w:val="24"/>
          <w:highlight w:val="none"/>
        </w:rPr>
        <w:t>签约代表：</w:t>
      </w:r>
    </w:p>
    <w:p w14:paraId="42879F61">
      <w:pPr>
        <w:adjustRightInd w:val="0"/>
        <w:snapToGrid w:val="0"/>
        <w:spacing w:line="360" w:lineRule="auto"/>
        <w:rPr>
          <w:rFonts w:ascii="宋体" w:hAnsi="宋体"/>
          <w:b/>
          <w:bCs/>
          <w:color w:val="auto"/>
          <w:sz w:val="24"/>
          <w:szCs w:val="24"/>
          <w:highlight w:val="none"/>
        </w:rPr>
      </w:pPr>
    </w:p>
    <w:p w14:paraId="304E9276">
      <w:pPr>
        <w:adjustRightInd w:val="0"/>
        <w:snapToGrid w:val="0"/>
        <w:spacing w:line="360" w:lineRule="auto"/>
        <w:rPr>
          <w:rFonts w:ascii="宋体" w:hAnsi="宋体"/>
          <w:b/>
          <w:bCs/>
          <w:color w:val="auto"/>
          <w:sz w:val="24"/>
          <w:szCs w:val="24"/>
          <w:highlight w:val="none"/>
        </w:rPr>
      </w:pPr>
    </w:p>
    <w:p w14:paraId="475C37D4">
      <w:pPr>
        <w:adjustRightInd w:val="0"/>
        <w:snapToGrid w:val="0"/>
        <w:spacing w:line="360" w:lineRule="auto"/>
        <w:rPr>
          <w:rFonts w:ascii="宋体" w:hAnsi="宋体"/>
          <w:b/>
          <w:bCs/>
          <w:color w:val="auto"/>
          <w:sz w:val="24"/>
          <w:szCs w:val="24"/>
          <w:highlight w:val="none"/>
        </w:rPr>
      </w:pPr>
    </w:p>
    <w:p w14:paraId="773E05DB">
      <w:pPr>
        <w:adjustRightInd w:val="0"/>
        <w:snapToGrid w:val="0"/>
        <w:spacing w:line="360" w:lineRule="auto"/>
        <w:rPr>
          <w:rFonts w:ascii="宋体" w:hAnsi="宋体"/>
          <w:b/>
          <w:bCs/>
          <w:color w:val="auto"/>
          <w:sz w:val="24"/>
          <w:szCs w:val="24"/>
          <w:highlight w:val="none"/>
        </w:rPr>
      </w:pPr>
    </w:p>
    <w:p w14:paraId="5C81C511">
      <w:pPr>
        <w:adjustRightInd w:val="0"/>
        <w:snapToGrid w:val="0"/>
        <w:spacing w:line="360" w:lineRule="auto"/>
        <w:rPr>
          <w:rFonts w:ascii="宋体" w:hAnsi="宋体"/>
          <w:b/>
          <w:bCs/>
          <w:color w:val="auto"/>
          <w:sz w:val="24"/>
          <w:szCs w:val="24"/>
          <w:highlight w:val="none"/>
        </w:rPr>
      </w:pPr>
      <w:r>
        <w:rPr>
          <w:rFonts w:hint="eastAsia" w:ascii="宋体" w:hAnsi="宋体" w:cs="仿宋_GB2312"/>
          <w:b/>
          <w:bCs/>
          <w:color w:val="auto"/>
          <w:sz w:val="24"/>
          <w:szCs w:val="24"/>
          <w:highlight w:val="none"/>
        </w:rPr>
        <w:t>乙方：</w:t>
      </w:r>
    </w:p>
    <w:p w14:paraId="0D8B26DD">
      <w:pPr>
        <w:adjustRightInd w:val="0"/>
        <w:snapToGrid w:val="0"/>
        <w:spacing w:line="360" w:lineRule="auto"/>
        <w:rPr>
          <w:rFonts w:ascii="宋体" w:hAnsi="宋体"/>
          <w:b/>
          <w:bCs/>
          <w:color w:val="auto"/>
          <w:sz w:val="24"/>
          <w:szCs w:val="24"/>
          <w:highlight w:val="none"/>
        </w:rPr>
      </w:pPr>
    </w:p>
    <w:p w14:paraId="20146B74">
      <w:pPr>
        <w:adjustRightInd w:val="0"/>
        <w:snapToGrid w:val="0"/>
        <w:spacing w:line="360" w:lineRule="auto"/>
        <w:rPr>
          <w:rFonts w:ascii="宋体" w:hAnsi="宋体" w:cs="仿宋_GB2312"/>
          <w:b/>
          <w:color w:val="auto"/>
          <w:sz w:val="24"/>
          <w:szCs w:val="24"/>
          <w:highlight w:val="none"/>
        </w:rPr>
      </w:pPr>
      <w:r>
        <w:rPr>
          <w:rFonts w:hint="eastAsia" w:ascii="宋体" w:hAnsi="宋体" w:cs="仿宋_GB2312"/>
          <w:b/>
          <w:color w:val="auto"/>
          <w:sz w:val="24"/>
          <w:szCs w:val="24"/>
          <w:highlight w:val="none"/>
        </w:rPr>
        <w:t>法定代表人：</w:t>
      </w:r>
    </w:p>
    <w:p w14:paraId="323CC98F">
      <w:pPr>
        <w:adjustRightInd w:val="0"/>
        <w:snapToGrid w:val="0"/>
        <w:spacing w:line="360" w:lineRule="auto"/>
        <w:rPr>
          <w:rFonts w:ascii="宋体" w:hAnsi="宋体" w:cs="仿宋_GB2312"/>
          <w:b/>
          <w:color w:val="auto"/>
          <w:sz w:val="24"/>
          <w:szCs w:val="24"/>
          <w:highlight w:val="none"/>
        </w:rPr>
      </w:pPr>
    </w:p>
    <w:p w14:paraId="0A74ECDD">
      <w:pPr>
        <w:adjustRightInd w:val="0"/>
        <w:snapToGrid w:val="0"/>
        <w:spacing w:line="360" w:lineRule="auto"/>
        <w:rPr>
          <w:rFonts w:ascii="宋体" w:hAnsi="宋体"/>
          <w:color w:val="auto"/>
          <w:sz w:val="24"/>
          <w:szCs w:val="24"/>
          <w:highlight w:val="none"/>
        </w:rPr>
      </w:pPr>
      <w:r>
        <w:rPr>
          <w:rFonts w:hint="eastAsia" w:ascii="宋体" w:hAnsi="宋体" w:cs="仿宋_GB2312"/>
          <w:b/>
          <w:color w:val="auto"/>
          <w:sz w:val="24"/>
          <w:szCs w:val="24"/>
          <w:highlight w:val="none"/>
        </w:rPr>
        <w:t>签约代表：</w:t>
      </w:r>
    </w:p>
    <w:p w14:paraId="68FC5BC2">
      <w:pPr>
        <w:spacing w:line="360" w:lineRule="auto"/>
        <w:rPr>
          <w:rFonts w:ascii="宋体" w:hAnsi="宋体" w:cs="仿宋_GB2312"/>
          <w:color w:val="auto"/>
          <w:sz w:val="24"/>
          <w:szCs w:val="24"/>
          <w:highlight w:val="none"/>
        </w:rPr>
      </w:pPr>
    </w:p>
    <w:p w14:paraId="2ECAF191">
      <w:pPr>
        <w:spacing w:line="360" w:lineRule="auto"/>
        <w:rPr>
          <w:rFonts w:ascii="宋体" w:hAnsi="宋体" w:cs="仿宋_GB2312"/>
          <w:color w:val="auto"/>
          <w:sz w:val="24"/>
          <w:szCs w:val="24"/>
          <w:highlight w:val="none"/>
        </w:rPr>
      </w:pPr>
    </w:p>
    <w:p w14:paraId="45F4A04C">
      <w:pPr>
        <w:spacing w:line="360" w:lineRule="auto"/>
        <w:rPr>
          <w:rFonts w:ascii="宋体" w:hAnsi="宋体" w:cs="仿宋_GB2312"/>
          <w:color w:val="auto"/>
          <w:sz w:val="24"/>
          <w:szCs w:val="24"/>
          <w:highlight w:val="none"/>
        </w:rPr>
      </w:pPr>
    </w:p>
    <w:p w14:paraId="04C1274F">
      <w:pPr>
        <w:spacing w:line="360" w:lineRule="auto"/>
        <w:rPr>
          <w:rFonts w:ascii="宋体" w:hAnsi="宋体" w:cs="仿宋_GB2312"/>
          <w:color w:val="auto"/>
          <w:sz w:val="24"/>
          <w:szCs w:val="24"/>
          <w:highlight w:val="none"/>
        </w:rPr>
      </w:pPr>
    </w:p>
    <w:p w14:paraId="7B2FAFF4">
      <w:pPr>
        <w:snapToGrid w:val="0"/>
        <w:spacing w:line="480" w:lineRule="auto"/>
        <w:rPr>
          <w:rFonts w:ascii="宋体" w:hAnsi="宋体" w:cs="仿宋_GB2312"/>
          <w:b/>
          <w:color w:val="auto"/>
          <w:sz w:val="28"/>
          <w:szCs w:val="28"/>
          <w:highlight w:val="none"/>
        </w:rPr>
      </w:pPr>
    </w:p>
    <w:p w14:paraId="0B363F1D">
      <w:pPr>
        <w:spacing w:line="360" w:lineRule="auto"/>
        <w:rPr>
          <w:rFonts w:ascii="宋体" w:hAnsi="宋体" w:cs="仿宋_GB2312"/>
          <w:color w:val="auto"/>
          <w:sz w:val="24"/>
          <w:szCs w:val="24"/>
          <w:highlight w:val="none"/>
        </w:rPr>
      </w:pPr>
    </w:p>
    <w:p w14:paraId="4E1ACEDD">
      <w:pPr>
        <w:pStyle w:val="10"/>
        <w:ind w:firstLine="480"/>
        <w:rPr>
          <w:rFonts w:ascii="宋体" w:hAnsi="宋体" w:cs="仿宋_GB2312"/>
          <w:color w:val="auto"/>
          <w:sz w:val="24"/>
          <w:szCs w:val="24"/>
          <w:highlight w:val="none"/>
        </w:rPr>
      </w:pPr>
    </w:p>
    <w:p w14:paraId="4C14F748">
      <w:pPr>
        <w:rPr>
          <w:rFonts w:ascii="宋体" w:hAnsi="宋体" w:cs="仿宋_GB2312"/>
          <w:color w:val="auto"/>
          <w:sz w:val="24"/>
          <w:szCs w:val="24"/>
          <w:highlight w:val="none"/>
        </w:rPr>
      </w:pPr>
    </w:p>
    <w:p w14:paraId="3AB47EC9">
      <w:pPr>
        <w:pStyle w:val="10"/>
        <w:ind w:firstLine="400"/>
        <w:rPr>
          <w:color w:val="auto"/>
          <w:highlight w:val="none"/>
        </w:rPr>
      </w:pPr>
    </w:p>
    <w:p w14:paraId="19165D06">
      <w:pPr>
        <w:snapToGrid/>
        <w:spacing w:line="240" w:lineRule="auto"/>
        <w:jc w:val="both"/>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br w:type="page"/>
      </w:r>
    </w:p>
    <w:p w14:paraId="48266D38">
      <w:pPr>
        <w:snapToGrid w:val="0"/>
        <w:spacing w:line="480" w:lineRule="auto"/>
        <w:jc w:val="left"/>
        <w:rPr>
          <w:rFonts w:ascii="宋体" w:hAnsi="宋体" w:cs="仿宋_GB2312"/>
          <w:b/>
          <w:bCs/>
          <w:color w:val="auto"/>
          <w:sz w:val="24"/>
          <w:szCs w:val="24"/>
          <w:highlight w:val="none"/>
        </w:rPr>
      </w:pPr>
      <w:r>
        <w:rPr>
          <w:rFonts w:hint="eastAsia" w:ascii="宋体" w:hAnsi="宋体" w:cs="仿宋_GB2312"/>
          <w:b/>
          <w:bCs/>
          <w:color w:val="auto"/>
          <w:sz w:val="24"/>
          <w:szCs w:val="24"/>
          <w:highlight w:val="none"/>
        </w:rPr>
        <w:t>附件2</w:t>
      </w:r>
    </w:p>
    <w:p w14:paraId="20B6E2CA">
      <w:pPr>
        <w:snapToGrid w:val="0"/>
        <w:spacing w:line="480" w:lineRule="auto"/>
        <w:jc w:val="center"/>
        <w:rPr>
          <w:rFonts w:hint="eastAsia" w:ascii="宋体" w:hAnsi="宋体" w:cs="仿宋_GB2312"/>
          <w:b/>
          <w:color w:val="auto"/>
          <w:sz w:val="28"/>
          <w:szCs w:val="28"/>
          <w:highlight w:val="none"/>
        </w:rPr>
      </w:pPr>
      <w:r>
        <w:rPr>
          <w:rFonts w:hint="eastAsia" w:ascii="宋体" w:hAnsi="宋体" w:cs="仿宋_GB2312"/>
          <w:b/>
          <w:color w:val="auto"/>
          <w:sz w:val="28"/>
          <w:szCs w:val="28"/>
          <w:highlight w:val="none"/>
        </w:rPr>
        <w:t>中标通知书</w:t>
      </w:r>
    </w:p>
    <w:p w14:paraId="5DEE2BD0">
      <w:pPr>
        <w:snapToGrid/>
        <w:spacing w:line="240" w:lineRule="auto"/>
        <w:jc w:val="both"/>
        <w:rPr>
          <w:rFonts w:hint="eastAsia" w:ascii="宋体" w:hAnsi="宋体" w:cs="仿宋_GB2312"/>
          <w:b/>
          <w:color w:val="auto"/>
          <w:sz w:val="28"/>
          <w:szCs w:val="28"/>
          <w:highlight w:val="none"/>
        </w:rPr>
      </w:pPr>
      <w:r>
        <w:rPr>
          <w:rFonts w:hint="eastAsia" w:ascii="宋体" w:hAnsi="宋体" w:cs="仿宋_GB2312"/>
          <w:b/>
          <w:color w:val="auto"/>
          <w:sz w:val="28"/>
          <w:szCs w:val="28"/>
          <w:highlight w:val="none"/>
        </w:rPr>
        <w:br w:type="page"/>
      </w:r>
    </w:p>
    <w:p w14:paraId="7BB790B0">
      <w:pPr>
        <w:snapToGrid w:val="0"/>
        <w:spacing w:line="480" w:lineRule="auto"/>
        <w:jc w:val="left"/>
        <w:rPr>
          <w:rFonts w:hint="eastAsia" w:ascii="宋体" w:hAnsi="宋体" w:cs="仿宋_GB2312"/>
          <w:b/>
          <w:bCs/>
          <w:color w:val="auto"/>
          <w:sz w:val="24"/>
          <w:szCs w:val="24"/>
          <w:highlight w:val="none"/>
          <w:lang w:val="en-US" w:eastAsia="zh-CN"/>
        </w:rPr>
      </w:pPr>
      <w:r>
        <w:rPr>
          <w:rFonts w:hint="eastAsia" w:ascii="宋体" w:hAnsi="宋体" w:cs="仿宋_GB2312"/>
          <w:b/>
          <w:bCs/>
          <w:color w:val="auto"/>
          <w:sz w:val="24"/>
          <w:szCs w:val="24"/>
          <w:highlight w:val="none"/>
          <w:lang w:val="en-US" w:eastAsia="zh-CN"/>
        </w:rPr>
        <w:t>附件3</w:t>
      </w:r>
    </w:p>
    <w:p w14:paraId="3A515D1F">
      <w:pPr>
        <w:spacing w:line="440" w:lineRule="exact"/>
        <w:jc w:val="center"/>
        <w:rPr>
          <w:rFonts w:hint="eastAsia" w:ascii="宋体" w:hAnsi="宋体"/>
          <w:b/>
          <w:color w:val="auto"/>
          <w:sz w:val="30"/>
          <w:szCs w:val="30"/>
          <w:highlight w:val="none"/>
        </w:rPr>
      </w:pPr>
      <w:r>
        <w:rPr>
          <w:rFonts w:ascii="宋体" w:hAnsi="宋体"/>
          <w:b/>
          <w:color w:val="auto"/>
          <w:sz w:val="30"/>
          <w:szCs w:val="30"/>
          <w:highlight w:val="none"/>
        </w:rPr>
        <w:t>保密协议书</w:t>
      </w:r>
    </w:p>
    <w:p w14:paraId="5051C8DA">
      <w:pPr>
        <w:adjustRightInd w:val="0"/>
        <w:spacing w:line="360" w:lineRule="auto"/>
        <w:jc w:val="center"/>
        <w:rPr>
          <w:b/>
          <w:color w:val="auto"/>
          <w:sz w:val="44"/>
          <w:szCs w:val="32"/>
          <w:highlight w:val="none"/>
        </w:rPr>
      </w:pPr>
    </w:p>
    <w:p w14:paraId="54793559">
      <w:pPr>
        <w:spacing w:line="360" w:lineRule="auto"/>
        <w:ind w:firstLine="420" w:firstLineChars="200"/>
        <w:rPr>
          <w:rFonts w:hint="default" w:ascii="宋体" w:hAnsi="宋体" w:eastAsia="宋体"/>
          <w:color w:val="auto"/>
          <w:highlight w:val="none"/>
          <w:u w:val="single"/>
          <w:lang w:eastAsia="zh-CN"/>
        </w:rPr>
      </w:pPr>
      <w:r>
        <w:rPr>
          <w:rFonts w:hint="eastAsia" w:ascii="宋体" w:hAnsi="宋体"/>
          <w:color w:val="auto"/>
          <w:highlight w:val="none"/>
          <w:u w:val="none" w:color="FF0000"/>
        </w:rPr>
        <w:t>甲方</w:t>
      </w:r>
      <w:r>
        <w:rPr>
          <w:rFonts w:hint="eastAsia" w:ascii="宋体" w:hAnsi="宋体"/>
          <w:color w:val="auto"/>
          <w:highlight w:val="none"/>
        </w:rPr>
        <w:t>：</w:t>
      </w:r>
      <w:r>
        <w:rPr>
          <w:rFonts w:hint="eastAsia" w:ascii="宋体" w:hAnsi="宋体"/>
          <w:color w:val="auto"/>
          <w:highlight w:val="none"/>
          <w:u w:val="single"/>
          <w:lang w:eastAsia="zh-CN"/>
        </w:rPr>
        <w:t>广州白云棠涌置地有限公司</w:t>
      </w:r>
      <w:r>
        <w:rPr>
          <w:rFonts w:hint="eastAsia" w:ascii="宋体" w:hAnsi="宋体"/>
          <w:color w:val="auto"/>
          <w:highlight w:val="none"/>
          <w:u w:val="single"/>
          <w:lang w:val="en-US" w:eastAsia="zh-CN"/>
        </w:rPr>
        <w:t xml:space="preserve">   </w:t>
      </w:r>
    </w:p>
    <w:p w14:paraId="4538CE00">
      <w:pPr>
        <w:spacing w:line="360" w:lineRule="auto"/>
        <w:ind w:firstLine="420" w:firstLineChars="200"/>
        <w:rPr>
          <w:rFonts w:hint="default" w:ascii="宋体" w:hAnsi="宋体" w:eastAsia="宋体"/>
          <w:color w:val="auto"/>
          <w:highlight w:val="none"/>
          <w:u w:val="single"/>
          <w:lang w:eastAsia="zh-CN"/>
        </w:rPr>
      </w:pPr>
      <w:r>
        <w:rPr>
          <w:rFonts w:hint="eastAsia" w:ascii="宋体" w:hAnsi="宋体"/>
          <w:color w:val="auto"/>
          <w:highlight w:val="none"/>
          <w:u w:val="none" w:color="FF0000"/>
        </w:rPr>
        <w:t>乙方</w:t>
      </w:r>
      <w:r>
        <w:rPr>
          <w:rFonts w:hint="eastAsia" w:ascii="宋体" w:hAnsi="宋体"/>
          <w:color w:val="auto"/>
          <w:highlight w:val="none"/>
        </w:rPr>
        <w:t>：</w:t>
      </w:r>
      <w:r>
        <w:rPr>
          <w:rFonts w:hint="eastAsia" w:ascii="宋体" w:hAnsi="宋体"/>
          <w:color w:val="auto"/>
          <w:highlight w:val="none"/>
          <w:u w:val="single"/>
          <w:lang w:val="en-US" w:eastAsia="zh-CN"/>
        </w:rPr>
        <w:t xml:space="preserve">                           </w:t>
      </w:r>
    </w:p>
    <w:p w14:paraId="6D0FBE04">
      <w:pPr>
        <w:spacing w:line="360" w:lineRule="auto"/>
        <w:ind w:firstLine="420" w:firstLineChars="200"/>
        <w:rPr>
          <w:rFonts w:hint="eastAsia" w:ascii="宋体" w:hAnsi="宋体"/>
          <w:color w:val="auto"/>
          <w:highlight w:val="none"/>
        </w:rPr>
      </w:pPr>
      <w:r>
        <w:rPr>
          <w:rFonts w:hint="eastAsia" w:ascii="宋体" w:hAnsi="宋体"/>
          <w:color w:val="auto"/>
          <w:highlight w:val="none"/>
        </w:rPr>
        <w:t>为充分保护</w:t>
      </w:r>
      <w:r>
        <w:rPr>
          <w:rFonts w:hint="eastAsia" w:ascii="宋体" w:hAnsi="宋体"/>
          <w:color w:val="auto"/>
          <w:highlight w:val="none"/>
          <w:u w:val="none" w:color="FF0000"/>
        </w:rPr>
        <w:t>甲方</w:t>
      </w:r>
      <w:r>
        <w:rPr>
          <w:rFonts w:hint="eastAsia" w:ascii="宋体" w:hAnsi="宋体"/>
          <w:color w:val="auto"/>
          <w:highlight w:val="none"/>
        </w:rPr>
        <w:t>的知识产权、保密资料和商业秘密（以下统称“保密事项”）；双方在平等、自愿、协商一致的基础上，达成如下一致意见：</w:t>
      </w:r>
    </w:p>
    <w:p w14:paraId="7A5C2051">
      <w:pPr>
        <w:spacing w:line="360" w:lineRule="auto"/>
        <w:ind w:firstLine="420" w:firstLineChars="200"/>
        <w:rPr>
          <w:rFonts w:hint="eastAsia" w:ascii="宋体" w:hAnsi="宋体"/>
          <w:color w:val="auto"/>
          <w:highlight w:val="none"/>
        </w:rPr>
      </w:pPr>
      <w:r>
        <w:rPr>
          <w:rFonts w:hint="eastAsia" w:ascii="宋体" w:hAnsi="宋体"/>
          <w:color w:val="auto"/>
          <w:highlight w:val="none"/>
        </w:rPr>
        <w:t>一、</w:t>
      </w:r>
      <w:r>
        <w:rPr>
          <w:rFonts w:hint="eastAsia" w:ascii="宋体" w:hAnsi="宋体"/>
          <w:color w:val="auto"/>
          <w:highlight w:val="none"/>
          <w:u w:val="none" w:color="FF0000"/>
        </w:rPr>
        <w:t>乙方</w:t>
      </w:r>
      <w:r>
        <w:rPr>
          <w:rFonts w:hint="eastAsia" w:ascii="宋体" w:hAnsi="宋体"/>
          <w:color w:val="auto"/>
          <w:highlight w:val="none"/>
        </w:rPr>
        <w:t xml:space="preserve">对保密事项的保密义务 </w:t>
      </w:r>
    </w:p>
    <w:p w14:paraId="087E794B">
      <w:pPr>
        <w:spacing w:line="360" w:lineRule="auto"/>
        <w:ind w:firstLine="420" w:firstLineChars="200"/>
        <w:rPr>
          <w:rFonts w:hint="eastAsia" w:ascii="宋体" w:hAnsi="宋体"/>
          <w:color w:val="auto"/>
          <w:highlight w:val="none"/>
        </w:rPr>
      </w:pPr>
      <w:r>
        <w:rPr>
          <w:rFonts w:hint="eastAsia" w:ascii="宋体" w:hAnsi="宋体"/>
          <w:color w:val="auto"/>
          <w:highlight w:val="none"/>
        </w:rPr>
        <w:t>1.未经</w:t>
      </w:r>
      <w:r>
        <w:rPr>
          <w:rFonts w:hint="eastAsia" w:ascii="宋体" w:hAnsi="宋体"/>
          <w:color w:val="auto"/>
          <w:highlight w:val="none"/>
          <w:u w:val="none" w:color="FF0000"/>
        </w:rPr>
        <w:t>甲方</w:t>
      </w:r>
      <w:r>
        <w:rPr>
          <w:rFonts w:hint="eastAsia" w:ascii="宋体" w:hAnsi="宋体"/>
          <w:color w:val="auto"/>
          <w:highlight w:val="none"/>
        </w:rPr>
        <w:t>书面同意，</w:t>
      </w:r>
      <w:r>
        <w:rPr>
          <w:rFonts w:hint="eastAsia" w:ascii="宋体" w:hAnsi="宋体"/>
          <w:color w:val="auto"/>
          <w:highlight w:val="none"/>
          <w:u w:val="none" w:color="FF0000"/>
        </w:rPr>
        <w:t>乙方</w:t>
      </w:r>
      <w:r>
        <w:rPr>
          <w:rFonts w:hint="eastAsia" w:ascii="宋体" w:hAnsi="宋体"/>
          <w:color w:val="auto"/>
          <w:highlight w:val="none"/>
        </w:rPr>
        <w:t>不得利用</w:t>
      </w:r>
      <w:r>
        <w:rPr>
          <w:rFonts w:hint="eastAsia" w:ascii="宋体" w:hAnsi="宋体"/>
          <w:color w:val="auto"/>
          <w:highlight w:val="none"/>
          <w:u w:val="none" w:color="FF0000"/>
        </w:rPr>
        <w:t>甲方</w:t>
      </w:r>
      <w:r>
        <w:rPr>
          <w:rFonts w:hint="eastAsia" w:ascii="宋体" w:hAnsi="宋体"/>
          <w:color w:val="auto"/>
          <w:highlight w:val="none"/>
        </w:rPr>
        <w:t>提供的保密事项进行与本项目无关的行为；未经</w:t>
      </w:r>
      <w:r>
        <w:rPr>
          <w:rFonts w:hint="eastAsia" w:ascii="宋体" w:hAnsi="宋体"/>
          <w:color w:val="auto"/>
          <w:highlight w:val="none"/>
          <w:u w:val="none" w:color="FF0000"/>
        </w:rPr>
        <w:t>甲方</w:t>
      </w:r>
      <w:r>
        <w:rPr>
          <w:rFonts w:hint="eastAsia" w:ascii="宋体" w:hAnsi="宋体"/>
          <w:color w:val="auto"/>
          <w:highlight w:val="none"/>
        </w:rPr>
        <w:t>书面同意，</w:t>
      </w:r>
      <w:r>
        <w:rPr>
          <w:rFonts w:hint="eastAsia" w:ascii="宋体" w:hAnsi="宋体"/>
          <w:color w:val="auto"/>
          <w:highlight w:val="none"/>
          <w:u w:val="none" w:color="FF0000"/>
        </w:rPr>
        <w:t>乙方</w:t>
      </w:r>
      <w:r>
        <w:rPr>
          <w:rFonts w:hint="eastAsia" w:ascii="宋体" w:hAnsi="宋体"/>
          <w:color w:val="auto"/>
          <w:highlight w:val="none"/>
        </w:rPr>
        <w:t>不得利用</w:t>
      </w:r>
      <w:r>
        <w:rPr>
          <w:rFonts w:hint="eastAsia" w:ascii="宋体" w:hAnsi="宋体"/>
          <w:color w:val="auto"/>
          <w:highlight w:val="none"/>
          <w:u w:val="none" w:color="FF0000"/>
        </w:rPr>
        <w:t>甲方</w:t>
      </w:r>
      <w:r>
        <w:rPr>
          <w:rFonts w:hint="eastAsia" w:ascii="宋体" w:hAnsi="宋体"/>
          <w:color w:val="auto"/>
          <w:highlight w:val="none"/>
        </w:rPr>
        <w:t>提供的保密事项与任何第三方进行商业行为。</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0212ABE7">
      <w:pPr>
        <w:tabs>
          <w:tab w:val="left" w:pos="5040"/>
        </w:tabs>
        <w:spacing w:line="360" w:lineRule="auto"/>
        <w:ind w:firstLine="420" w:firstLineChars="200"/>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u w:val="none" w:color="FF0000"/>
        </w:rPr>
        <w:t>乙方</w:t>
      </w:r>
      <w:r>
        <w:rPr>
          <w:rFonts w:hint="eastAsia" w:ascii="宋体" w:hAnsi="宋体"/>
          <w:color w:val="auto"/>
          <w:highlight w:val="none"/>
        </w:rPr>
        <w:t>应配合</w:t>
      </w:r>
      <w:r>
        <w:rPr>
          <w:rFonts w:hint="eastAsia" w:ascii="宋体" w:hAnsi="宋体"/>
          <w:color w:val="auto"/>
          <w:highlight w:val="none"/>
          <w:u w:val="none" w:color="FF0000"/>
        </w:rPr>
        <w:t>甲方</w:t>
      </w:r>
      <w:r>
        <w:rPr>
          <w:rFonts w:hint="eastAsia" w:ascii="宋体" w:hAnsi="宋体"/>
          <w:color w:val="auto"/>
          <w:highlight w:val="none"/>
        </w:rPr>
        <w:t>的合理要求，严格按本协议和</w:t>
      </w:r>
      <w:r>
        <w:rPr>
          <w:rFonts w:hint="eastAsia" w:ascii="宋体" w:hAnsi="宋体"/>
          <w:color w:val="auto"/>
          <w:highlight w:val="none"/>
          <w:u w:val="none" w:color="FF0000"/>
        </w:rPr>
        <w:t>甲方</w:t>
      </w:r>
      <w:r>
        <w:rPr>
          <w:rFonts w:hint="eastAsia" w:ascii="宋体" w:hAnsi="宋体"/>
          <w:color w:val="auto"/>
          <w:highlight w:val="none"/>
        </w:rPr>
        <w:t xml:space="preserve">指示依法履行本协议。 </w:t>
      </w:r>
    </w:p>
    <w:p w14:paraId="4F6BACC3">
      <w:pPr>
        <w:spacing w:line="360" w:lineRule="auto"/>
        <w:ind w:firstLine="420" w:firstLineChars="200"/>
        <w:rPr>
          <w:rFonts w:hint="eastAsia" w:ascii="宋体" w:hAnsi="宋体"/>
          <w:color w:val="auto"/>
          <w:highlight w:val="none"/>
        </w:rPr>
      </w:pPr>
      <w:r>
        <w:rPr>
          <w:rFonts w:hint="eastAsia" w:ascii="宋体" w:hAnsi="宋体"/>
          <w:color w:val="auto"/>
          <w:highlight w:val="none"/>
        </w:rPr>
        <w:t>3.</w:t>
      </w:r>
      <w:r>
        <w:rPr>
          <w:rFonts w:hint="eastAsia" w:ascii="宋体" w:hAnsi="宋体"/>
          <w:color w:val="auto"/>
          <w:highlight w:val="none"/>
          <w:u w:val="none" w:color="FF0000"/>
        </w:rPr>
        <w:t>乙方</w:t>
      </w:r>
      <w:r>
        <w:rPr>
          <w:rFonts w:hint="eastAsia" w:ascii="宋体" w:hAnsi="宋体"/>
          <w:color w:val="auto"/>
          <w:highlight w:val="none"/>
        </w:rPr>
        <w:t>未经</w:t>
      </w:r>
      <w:r>
        <w:rPr>
          <w:rFonts w:hint="eastAsia" w:ascii="宋体" w:hAnsi="宋体"/>
          <w:color w:val="auto"/>
          <w:highlight w:val="none"/>
          <w:u w:val="none" w:color="FF0000"/>
        </w:rPr>
        <w:t>甲方</w:t>
      </w:r>
      <w:r>
        <w:rPr>
          <w:rFonts w:hint="eastAsia" w:ascii="宋体" w:hAnsi="宋体"/>
          <w:color w:val="auto"/>
          <w:highlight w:val="none"/>
        </w:rPr>
        <w:t>书面同意，不得擅自转让本协议的任何责任及其任何义务于任何第三方。</w:t>
      </w:r>
    </w:p>
    <w:p w14:paraId="1E16B837">
      <w:pPr>
        <w:spacing w:line="360" w:lineRule="auto"/>
        <w:ind w:firstLine="420" w:firstLineChars="200"/>
        <w:rPr>
          <w:rFonts w:hint="eastAsia" w:ascii="宋体" w:hAnsi="宋体"/>
          <w:color w:val="auto"/>
          <w:highlight w:val="none"/>
        </w:rPr>
      </w:pPr>
      <w:r>
        <w:rPr>
          <w:rFonts w:hint="eastAsia" w:ascii="宋体" w:hAnsi="宋体"/>
          <w:color w:val="auto"/>
          <w:highlight w:val="none"/>
        </w:rPr>
        <w:t>4.</w:t>
      </w:r>
      <w:r>
        <w:rPr>
          <w:rFonts w:hint="eastAsia" w:ascii="宋体" w:hAnsi="宋体"/>
          <w:color w:val="auto"/>
          <w:highlight w:val="none"/>
          <w:u w:val="none" w:color="FF0000"/>
        </w:rPr>
        <w:t>甲方</w:t>
      </w:r>
      <w:r>
        <w:rPr>
          <w:rFonts w:hint="eastAsia" w:ascii="宋体" w:hAnsi="宋体"/>
          <w:color w:val="auto"/>
          <w:highlight w:val="none"/>
        </w:rPr>
        <w:t>为</w:t>
      </w:r>
      <w:r>
        <w:rPr>
          <w:rFonts w:hint="eastAsia" w:ascii="宋体" w:hAnsi="宋体"/>
          <w:color w:val="auto"/>
          <w:highlight w:val="none"/>
          <w:u w:val="none" w:color="FF0000"/>
        </w:rPr>
        <w:t>乙方</w:t>
      </w:r>
      <w:r>
        <w:rPr>
          <w:rFonts w:hint="eastAsia" w:ascii="宋体" w:hAnsi="宋体"/>
          <w:color w:val="auto"/>
          <w:highlight w:val="none"/>
        </w:rPr>
        <w:t>提供的技术资料仅供</w:t>
      </w:r>
      <w:r>
        <w:rPr>
          <w:rFonts w:hint="eastAsia" w:ascii="宋体" w:hAnsi="宋体"/>
          <w:color w:val="auto"/>
          <w:highlight w:val="none"/>
          <w:u w:val="none" w:color="FF0000"/>
        </w:rPr>
        <w:t>乙方</w:t>
      </w:r>
      <w:r>
        <w:rPr>
          <w:rFonts w:hint="eastAsia" w:ascii="宋体" w:hAnsi="宋体"/>
          <w:color w:val="auto"/>
          <w:highlight w:val="none"/>
        </w:rPr>
        <w:t>人员内部工作使用，</w:t>
      </w:r>
      <w:r>
        <w:rPr>
          <w:rFonts w:hint="eastAsia" w:ascii="宋体" w:hAnsi="宋体"/>
          <w:color w:val="auto"/>
          <w:highlight w:val="none"/>
          <w:u w:val="none" w:color="FF0000"/>
        </w:rPr>
        <w:t>乙方</w:t>
      </w:r>
      <w:r>
        <w:rPr>
          <w:rFonts w:hint="eastAsia" w:ascii="宋体" w:hAnsi="宋体"/>
          <w:color w:val="auto"/>
          <w:highlight w:val="none"/>
        </w:rPr>
        <w:t>不得转让、披露给第三方。</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692B97F6">
      <w:pPr>
        <w:spacing w:line="360" w:lineRule="auto"/>
        <w:ind w:firstLine="420" w:firstLineChars="200"/>
        <w:rPr>
          <w:rFonts w:hint="eastAsia" w:ascii="宋体" w:hAnsi="宋体"/>
          <w:color w:val="auto"/>
          <w:highlight w:val="none"/>
        </w:rPr>
      </w:pPr>
      <w:r>
        <w:rPr>
          <w:rFonts w:hint="eastAsia" w:ascii="宋体" w:hAnsi="宋体"/>
          <w:color w:val="auto"/>
          <w:highlight w:val="none"/>
        </w:rPr>
        <w:t>5.</w:t>
      </w:r>
      <w:r>
        <w:rPr>
          <w:rFonts w:hint="eastAsia" w:ascii="宋体" w:hAnsi="宋体"/>
          <w:color w:val="auto"/>
          <w:highlight w:val="none"/>
          <w:u w:val="none" w:color="FF0000"/>
        </w:rPr>
        <w:t>乙方</w:t>
      </w:r>
      <w:r>
        <w:rPr>
          <w:rFonts w:hint="eastAsia" w:ascii="宋体" w:hAnsi="宋体"/>
          <w:color w:val="auto"/>
          <w:highlight w:val="none"/>
        </w:rPr>
        <w:t>应保证防止</w:t>
      </w:r>
      <w:r>
        <w:rPr>
          <w:rFonts w:hint="eastAsia" w:ascii="宋体" w:hAnsi="宋体"/>
          <w:color w:val="auto"/>
          <w:highlight w:val="none"/>
          <w:u w:val="none" w:color="FF0000"/>
        </w:rPr>
        <w:t>甲方</w:t>
      </w:r>
      <w:r>
        <w:rPr>
          <w:rFonts w:hint="eastAsia" w:ascii="宋体" w:hAnsi="宋体"/>
          <w:color w:val="auto"/>
          <w:highlight w:val="none"/>
        </w:rPr>
        <w:t>保密事项的泄露；若</w:t>
      </w:r>
      <w:r>
        <w:rPr>
          <w:rFonts w:hint="eastAsia" w:ascii="宋体" w:hAnsi="宋体"/>
          <w:color w:val="auto"/>
          <w:highlight w:val="none"/>
          <w:u w:val="none" w:color="FF0000"/>
        </w:rPr>
        <w:t>乙方</w:t>
      </w:r>
      <w:r>
        <w:rPr>
          <w:rFonts w:hint="eastAsia" w:ascii="宋体" w:hAnsi="宋体"/>
          <w:color w:val="auto"/>
          <w:highlight w:val="none"/>
        </w:rPr>
        <w:t>人员出现泄密行为，</w:t>
      </w:r>
      <w:r>
        <w:rPr>
          <w:rFonts w:hint="eastAsia" w:ascii="宋体" w:hAnsi="宋体"/>
          <w:color w:val="auto"/>
          <w:highlight w:val="none"/>
          <w:u w:val="none" w:color="FF0000"/>
        </w:rPr>
        <w:t>乙方</w:t>
      </w:r>
      <w:r>
        <w:rPr>
          <w:rFonts w:hint="eastAsia" w:ascii="宋体" w:hAnsi="宋体"/>
          <w:color w:val="auto"/>
          <w:highlight w:val="none"/>
        </w:rPr>
        <w:t>应承担全部法律责任。</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254373A0">
      <w:pPr>
        <w:spacing w:line="360" w:lineRule="auto"/>
        <w:ind w:firstLine="420" w:firstLineChars="200"/>
        <w:rPr>
          <w:rFonts w:hint="eastAsia" w:ascii="宋体" w:hAnsi="宋体"/>
          <w:color w:val="auto"/>
          <w:highlight w:val="none"/>
        </w:rPr>
      </w:pPr>
      <w:r>
        <w:rPr>
          <w:rFonts w:hint="eastAsia" w:ascii="宋体" w:hAnsi="宋体"/>
          <w:color w:val="auto"/>
          <w:highlight w:val="none"/>
        </w:rPr>
        <w:t>二、</w:t>
      </w:r>
      <w:r>
        <w:rPr>
          <w:rFonts w:hint="eastAsia" w:ascii="宋体" w:hAnsi="宋体"/>
          <w:color w:val="auto"/>
          <w:highlight w:val="none"/>
          <w:u w:val="none" w:color="FF0000"/>
        </w:rPr>
        <w:t>乙方</w:t>
      </w:r>
      <w:r>
        <w:rPr>
          <w:rFonts w:hint="eastAsia" w:ascii="宋体" w:hAnsi="宋体"/>
          <w:color w:val="auto"/>
          <w:highlight w:val="none"/>
        </w:rPr>
        <w:t>对保密事项的合理使用</w:t>
      </w:r>
    </w:p>
    <w:p w14:paraId="66B60DED">
      <w:pPr>
        <w:spacing w:line="360" w:lineRule="auto"/>
        <w:ind w:firstLine="420" w:firstLineChars="200"/>
        <w:rPr>
          <w:rFonts w:hint="eastAsia" w:ascii="宋体" w:hAnsi="宋体"/>
          <w:color w:val="auto"/>
          <w:highlight w:val="none"/>
        </w:rPr>
      </w:pPr>
      <w:r>
        <w:rPr>
          <w:rFonts w:hint="eastAsia" w:ascii="宋体" w:hAnsi="宋体"/>
          <w:color w:val="auto"/>
          <w:highlight w:val="none"/>
          <w:u w:val="none" w:color="FF0000"/>
        </w:rPr>
        <w:t>甲方</w:t>
      </w:r>
      <w:r>
        <w:rPr>
          <w:rFonts w:hint="eastAsia" w:ascii="宋体" w:hAnsi="宋体"/>
          <w:color w:val="auto"/>
          <w:highlight w:val="none"/>
        </w:rPr>
        <w:t>提供的保密事项仅限于</w:t>
      </w:r>
      <w:r>
        <w:rPr>
          <w:rFonts w:hint="eastAsia" w:ascii="宋体" w:hAnsi="宋体"/>
          <w:color w:val="auto"/>
          <w:highlight w:val="none"/>
          <w:u w:val="none" w:color="FF0000"/>
        </w:rPr>
        <w:t>乙方</w:t>
      </w:r>
      <w:r>
        <w:rPr>
          <w:rFonts w:hint="eastAsia" w:ascii="宋体" w:hAnsi="宋体"/>
          <w:color w:val="auto"/>
          <w:highlight w:val="none"/>
        </w:rPr>
        <w:t>单位内部直接参与本项目的员工工作使用，绝不对其他单位及个人泄漏保密事项的相关内容。</w:t>
      </w:r>
    </w:p>
    <w:p w14:paraId="5D80DFC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三、泄密界定 </w:t>
      </w:r>
    </w:p>
    <w:p w14:paraId="5A74F025">
      <w:pPr>
        <w:spacing w:line="360" w:lineRule="auto"/>
        <w:ind w:firstLine="420" w:firstLineChars="200"/>
        <w:rPr>
          <w:rFonts w:hint="eastAsia" w:ascii="宋体" w:hAnsi="宋体"/>
          <w:color w:val="auto"/>
          <w:highlight w:val="none"/>
        </w:rPr>
      </w:pPr>
      <w:r>
        <w:rPr>
          <w:rFonts w:hint="eastAsia" w:ascii="宋体" w:hAnsi="宋体"/>
          <w:color w:val="auto"/>
          <w:highlight w:val="none"/>
          <w:u w:val="none" w:color="FF0000"/>
        </w:rPr>
        <w:t>乙方</w:t>
      </w:r>
      <w:r>
        <w:rPr>
          <w:rFonts w:hint="eastAsia" w:ascii="宋体" w:hAnsi="宋体"/>
          <w:color w:val="auto"/>
          <w:highlight w:val="none"/>
        </w:rPr>
        <w:t>的（包括但不限于）以下行为不论是否造成</w:t>
      </w:r>
      <w:r>
        <w:rPr>
          <w:rFonts w:hint="eastAsia" w:ascii="宋体" w:hAnsi="宋体"/>
          <w:color w:val="auto"/>
          <w:highlight w:val="none"/>
          <w:u w:val="none" w:color="FF0000"/>
        </w:rPr>
        <w:t>甲方</w:t>
      </w:r>
      <w:r>
        <w:rPr>
          <w:rFonts w:hint="eastAsia" w:ascii="宋体" w:hAnsi="宋体"/>
          <w:color w:val="auto"/>
          <w:highlight w:val="none"/>
        </w:rPr>
        <w:t xml:space="preserve">的损失，均应视为泄密行为： </w:t>
      </w:r>
    </w:p>
    <w:p w14:paraId="414BCB06">
      <w:pPr>
        <w:spacing w:line="360" w:lineRule="auto"/>
        <w:ind w:firstLine="420" w:firstLineChars="200"/>
        <w:rPr>
          <w:rFonts w:hint="eastAsia" w:ascii="宋体" w:hAnsi="宋体"/>
          <w:color w:val="auto"/>
          <w:highlight w:val="none"/>
        </w:rPr>
      </w:pPr>
      <w:r>
        <w:rPr>
          <w:rFonts w:hint="eastAsia" w:ascii="宋体" w:hAnsi="宋体"/>
          <w:color w:val="auto"/>
          <w:highlight w:val="none"/>
        </w:rPr>
        <w:t>1.泄露</w:t>
      </w:r>
      <w:r>
        <w:rPr>
          <w:rFonts w:hint="eastAsia" w:ascii="宋体" w:hAnsi="宋体"/>
          <w:color w:val="auto"/>
          <w:highlight w:val="none"/>
          <w:u w:val="none" w:color="FF0000"/>
        </w:rPr>
        <w:t>甲方</w:t>
      </w:r>
      <w:r>
        <w:rPr>
          <w:rFonts w:hint="eastAsia" w:ascii="宋体" w:hAnsi="宋体"/>
          <w:color w:val="auto"/>
          <w:highlight w:val="none"/>
        </w:rPr>
        <w:t>保密事项。</w:t>
      </w:r>
      <w:r>
        <w:rPr>
          <w:rFonts w:hint="eastAsia" w:ascii="仿宋_GB2312" w:hAnsi="宋体"/>
          <w:color w:val="auto"/>
          <w:szCs w:val="24"/>
          <w:highlight w:val="none"/>
          <w:u w:val="single"/>
          <w:lang w:val="zh-CN"/>
        </w:rPr>
        <w:t>依法必须公开公示的资料</w:t>
      </w:r>
      <w:r>
        <w:rPr>
          <w:rFonts w:hint="eastAsia" w:ascii="仿宋_GB2312" w:hAnsi="宋体"/>
          <w:color w:val="auto"/>
          <w:szCs w:val="24"/>
          <w:highlight w:val="none"/>
          <w:u w:val="single"/>
        </w:rPr>
        <w:t>和</w:t>
      </w:r>
      <w:r>
        <w:rPr>
          <w:rFonts w:hint="eastAsia" w:ascii="仿宋_GB2312" w:hAnsi="宋体"/>
          <w:color w:val="auto"/>
          <w:szCs w:val="24"/>
          <w:highlight w:val="none"/>
          <w:u w:val="single"/>
          <w:lang w:val="zh-CN"/>
        </w:rPr>
        <w:t>配合招标投标监管部门和审计部门要求</w:t>
      </w:r>
      <w:r>
        <w:rPr>
          <w:rFonts w:hint="eastAsia" w:ascii="仿宋_GB2312" w:hAnsi="宋体"/>
          <w:color w:val="auto"/>
          <w:szCs w:val="24"/>
          <w:highlight w:val="none"/>
          <w:u w:val="single"/>
        </w:rPr>
        <w:t>的除外</w:t>
      </w:r>
      <w:r>
        <w:rPr>
          <w:rFonts w:hint="eastAsia" w:ascii="宋体" w:hAnsi="宋体"/>
          <w:color w:val="auto"/>
          <w:highlight w:val="none"/>
        </w:rPr>
        <w:t xml:space="preserve">。  </w:t>
      </w:r>
    </w:p>
    <w:p w14:paraId="54A47671">
      <w:pPr>
        <w:spacing w:line="360" w:lineRule="auto"/>
        <w:ind w:firstLine="420" w:firstLineChars="200"/>
        <w:rPr>
          <w:rFonts w:hint="eastAsia" w:ascii="宋体" w:hAnsi="宋体"/>
          <w:color w:val="auto"/>
          <w:highlight w:val="none"/>
        </w:rPr>
      </w:pPr>
      <w:r>
        <w:rPr>
          <w:rFonts w:hint="eastAsia" w:ascii="宋体" w:hAnsi="宋体"/>
          <w:color w:val="auto"/>
          <w:highlight w:val="none"/>
        </w:rPr>
        <w:t>2.帮助或辅导他人使用</w:t>
      </w:r>
      <w:r>
        <w:rPr>
          <w:rFonts w:hint="eastAsia" w:ascii="宋体" w:hAnsi="宋体"/>
          <w:color w:val="auto"/>
          <w:highlight w:val="none"/>
          <w:u w:val="none" w:color="FF0000"/>
        </w:rPr>
        <w:t>甲方</w:t>
      </w:r>
      <w:r>
        <w:rPr>
          <w:rFonts w:hint="eastAsia" w:ascii="宋体" w:hAnsi="宋体"/>
          <w:color w:val="auto"/>
          <w:highlight w:val="none"/>
        </w:rPr>
        <w:t>的技术资料。</w:t>
      </w:r>
    </w:p>
    <w:p w14:paraId="284FF170">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四、定义及其他 </w:t>
      </w:r>
    </w:p>
    <w:p w14:paraId="3A3E62E0">
      <w:pPr>
        <w:spacing w:line="360" w:lineRule="auto"/>
        <w:ind w:firstLine="420" w:firstLineChars="200"/>
        <w:rPr>
          <w:rFonts w:hint="eastAsia" w:ascii="宋体" w:hAnsi="宋体"/>
          <w:color w:val="auto"/>
          <w:highlight w:val="none"/>
        </w:rPr>
      </w:pPr>
      <w:r>
        <w:rPr>
          <w:rFonts w:hint="eastAsia" w:ascii="宋体" w:hAnsi="宋体"/>
          <w:color w:val="auto"/>
          <w:highlight w:val="none"/>
        </w:rPr>
        <w:t>1.此协议只为</w:t>
      </w:r>
      <w:r>
        <w:rPr>
          <w:rFonts w:hint="eastAsia" w:ascii="宋体" w:hAnsi="宋体"/>
          <w:color w:val="auto"/>
          <w:highlight w:val="none"/>
          <w:u w:val="none" w:color="FF0000"/>
        </w:rPr>
        <w:t>甲方</w:t>
      </w:r>
      <w:r>
        <w:rPr>
          <w:rFonts w:hint="eastAsia" w:ascii="宋体" w:hAnsi="宋体"/>
          <w:color w:val="auto"/>
          <w:highlight w:val="none"/>
        </w:rPr>
        <w:t>知识产权、保密资料及商业秘密保密取得认可，</w:t>
      </w:r>
      <w:r>
        <w:rPr>
          <w:rFonts w:hint="eastAsia" w:ascii="宋体" w:hAnsi="宋体"/>
          <w:color w:val="auto"/>
          <w:highlight w:val="none"/>
          <w:u w:val="none" w:color="FF0000"/>
        </w:rPr>
        <w:t>甲方</w:t>
      </w:r>
      <w:r>
        <w:rPr>
          <w:rFonts w:hint="eastAsia" w:ascii="宋体" w:hAnsi="宋体"/>
          <w:color w:val="auto"/>
          <w:highlight w:val="none"/>
        </w:rPr>
        <w:t>未把相关的权利和许可出让给</w:t>
      </w:r>
      <w:r>
        <w:rPr>
          <w:rFonts w:hint="eastAsia" w:ascii="宋体" w:hAnsi="宋体"/>
          <w:color w:val="auto"/>
          <w:highlight w:val="none"/>
          <w:u w:val="none" w:color="FF0000"/>
        </w:rPr>
        <w:t>乙方</w:t>
      </w:r>
      <w:r>
        <w:rPr>
          <w:rFonts w:hint="eastAsia" w:ascii="宋体" w:hAnsi="宋体"/>
          <w:color w:val="auto"/>
          <w:highlight w:val="none"/>
        </w:rPr>
        <w:t xml:space="preserve">； </w:t>
      </w:r>
    </w:p>
    <w:p w14:paraId="6870D553">
      <w:pPr>
        <w:spacing w:line="360" w:lineRule="auto"/>
        <w:ind w:firstLine="420" w:firstLineChars="200"/>
        <w:rPr>
          <w:rFonts w:hint="eastAsia" w:ascii="宋体" w:hAnsi="宋体"/>
          <w:color w:val="auto"/>
          <w:highlight w:val="none"/>
        </w:rPr>
      </w:pPr>
      <w:r>
        <w:rPr>
          <w:rFonts w:hint="eastAsia" w:ascii="宋体" w:hAnsi="宋体"/>
          <w:color w:val="auto"/>
          <w:highlight w:val="none"/>
        </w:rPr>
        <w:t>2.本协议中“保密资料”是指任何由</w:t>
      </w:r>
      <w:r>
        <w:rPr>
          <w:rFonts w:hint="eastAsia" w:ascii="宋体" w:hAnsi="宋体"/>
          <w:color w:val="auto"/>
          <w:highlight w:val="none"/>
          <w:u w:val="none" w:color="FF0000"/>
        </w:rPr>
        <w:t>甲方</w:t>
      </w:r>
      <w:r>
        <w:rPr>
          <w:rFonts w:hint="eastAsia" w:ascii="宋体" w:hAnsi="宋体"/>
          <w:color w:val="auto"/>
          <w:highlight w:val="none"/>
        </w:rPr>
        <w:t>提供（无论在本协议签订日期之前或之后，无论是通过书面纸质文件及电子版本文件、电子邮件、计算机盘片）给</w:t>
      </w:r>
      <w:r>
        <w:rPr>
          <w:rFonts w:hint="eastAsia" w:ascii="宋体" w:hAnsi="宋体"/>
          <w:color w:val="auto"/>
          <w:highlight w:val="none"/>
          <w:u w:val="none" w:color="FF0000"/>
        </w:rPr>
        <w:t>乙方</w:t>
      </w:r>
      <w:r>
        <w:rPr>
          <w:rFonts w:hint="eastAsia" w:ascii="宋体" w:hAnsi="宋体"/>
          <w:color w:val="auto"/>
          <w:highlight w:val="none"/>
        </w:rPr>
        <w:t>与委托事项有关系或关联的各种数据和文档，包括但不局限于任何</w:t>
      </w:r>
      <w:r>
        <w:rPr>
          <w:rFonts w:hint="eastAsia" w:ascii="宋体" w:hAnsi="宋体"/>
          <w:color w:val="auto"/>
          <w:highlight w:val="none"/>
          <w:u w:val="none" w:color="FF0000"/>
        </w:rPr>
        <w:t>甲方</w:t>
      </w:r>
      <w:r>
        <w:rPr>
          <w:rFonts w:hint="eastAsia" w:ascii="宋体" w:hAnsi="宋体"/>
          <w:color w:val="auto"/>
          <w:highlight w:val="none"/>
        </w:rPr>
        <w:t xml:space="preserve">规划或意图、市场机遇和商业事务等； </w:t>
      </w:r>
    </w:p>
    <w:p w14:paraId="11F190F4">
      <w:pPr>
        <w:spacing w:line="360" w:lineRule="auto"/>
        <w:ind w:firstLine="420" w:firstLineChars="200"/>
        <w:rPr>
          <w:rFonts w:hint="eastAsia" w:ascii="宋体" w:hAnsi="宋体"/>
          <w:color w:val="auto"/>
          <w:highlight w:val="none"/>
        </w:rPr>
      </w:pPr>
      <w:r>
        <w:rPr>
          <w:rFonts w:hint="eastAsia" w:ascii="宋体" w:hAnsi="宋体"/>
          <w:color w:val="auto"/>
          <w:highlight w:val="none"/>
        </w:rPr>
        <w:t>3.本协议所称“商业秘密”是指不为公众所知悉、能为权利人带来竞争优势和经济利益、具有实用性并经权利人采取保密措施的技术信息和商业信息。</w:t>
      </w:r>
    </w:p>
    <w:p w14:paraId="2D05B88C">
      <w:pPr>
        <w:spacing w:line="360" w:lineRule="auto"/>
        <w:ind w:firstLine="420" w:firstLineChars="200"/>
        <w:rPr>
          <w:rFonts w:hint="eastAsia" w:ascii="宋体" w:hAnsi="宋体"/>
          <w:color w:val="auto"/>
          <w:highlight w:val="none"/>
        </w:rPr>
      </w:pPr>
      <w:r>
        <w:rPr>
          <w:rFonts w:hint="eastAsia" w:ascii="宋体" w:hAnsi="宋体"/>
          <w:color w:val="auto"/>
          <w:highlight w:val="none"/>
        </w:rPr>
        <w:t>五、保密期限：本协议壹式陆份，</w:t>
      </w:r>
      <w:r>
        <w:rPr>
          <w:rFonts w:hint="eastAsia" w:ascii="宋体" w:hAnsi="宋体"/>
          <w:color w:val="auto"/>
          <w:highlight w:val="none"/>
          <w:u w:val="none" w:color="FF0000"/>
        </w:rPr>
        <w:t>甲方</w:t>
      </w:r>
      <w:r>
        <w:rPr>
          <w:rFonts w:hint="eastAsia" w:ascii="宋体" w:hAnsi="宋体"/>
          <w:color w:val="auto"/>
          <w:highlight w:val="none"/>
        </w:rPr>
        <w:t>执叁份、</w:t>
      </w:r>
      <w:r>
        <w:rPr>
          <w:rFonts w:hint="eastAsia" w:ascii="宋体" w:hAnsi="宋体"/>
          <w:color w:val="auto"/>
          <w:highlight w:val="none"/>
          <w:u w:val="none" w:color="FF0000"/>
        </w:rPr>
        <w:t>乙方</w:t>
      </w:r>
      <w:r>
        <w:rPr>
          <w:rFonts w:hint="eastAsia" w:ascii="宋体" w:hAnsi="宋体"/>
          <w:color w:val="auto"/>
          <w:highlight w:val="none"/>
        </w:rPr>
        <w:t xml:space="preserve">执叁份。本协议于双方签署之日起生效；除非双方签订书面意见终止本协议，否则本协议永久有效。 </w:t>
      </w:r>
    </w:p>
    <w:p w14:paraId="2592D322">
      <w:pPr>
        <w:spacing w:line="360" w:lineRule="auto"/>
        <w:ind w:firstLine="420" w:firstLineChars="200"/>
        <w:rPr>
          <w:rFonts w:hint="eastAsia" w:ascii="宋体" w:hAnsi="宋体"/>
          <w:color w:val="auto"/>
          <w:highlight w:val="none"/>
        </w:rPr>
      </w:pPr>
      <w:r>
        <w:rPr>
          <w:rFonts w:hint="eastAsia" w:ascii="宋体" w:hAnsi="宋体"/>
          <w:color w:val="auto"/>
          <w:highlight w:val="none"/>
        </w:rPr>
        <w:t>六、违约责任：在本协议有效期内，若</w:t>
      </w:r>
      <w:r>
        <w:rPr>
          <w:rFonts w:hint="eastAsia" w:ascii="宋体" w:hAnsi="宋体"/>
          <w:color w:val="auto"/>
          <w:highlight w:val="none"/>
          <w:u w:val="none" w:color="FF0000"/>
        </w:rPr>
        <w:t>乙方</w:t>
      </w:r>
      <w:r>
        <w:rPr>
          <w:rFonts w:hint="eastAsia" w:ascii="宋体" w:hAnsi="宋体"/>
          <w:color w:val="auto"/>
          <w:highlight w:val="none"/>
        </w:rPr>
        <w:t>违反本协议的保密约定，除按技术服务合同的约定承担支付违约金的责任外，对造成</w:t>
      </w:r>
      <w:r>
        <w:rPr>
          <w:rFonts w:hint="eastAsia" w:ascii="宋体" w:hAnsi="宋体"/>
          <w:color w:val="auto"/>
          <w:highlight w:val="none"/>
          <w:u w:val="none" w:color="FF0000"/>
        </w:rPr>
        <w:t>甲方</w:t>
      </w:r>
      <w:r>
        <w:rPr>
          <w:rFonts w:hint="eastAsia" w:ascii="宋体" w:hAnsi="宋体"/>
          <w:color w:val="auto"/>
          <w:highlight w:val="none"/>
        </w:rPr>
        <w:t xml:space="preserve">的全部损失应予赔偿；对泄密的人员如构成刑事责任的，移送司法机关处理。 </w:t>
      </w:r>
    </w:p>
    <w:p w14:paraId="0C2722A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七、法律适用与争议解决 </w:t>
      </w:r>
    </w:p>
    <w:p w14:paraId="228FD82A">
      <w:pPr>
        <w:spacing w:line="360" w:lineRule="auto"/>
        <w:ind w:firstLine="420" w:firstLineChars="200"/>
        <w:rPr>
          <w:rFonts w:hint="eastAsia" w:ascii="宋体" w:hAnsi="宋体"/>
          <w:color w:val="auto"/>
          <w:highlight w:val="none"/>
        </w:rPr>
      </w:pPr>
      <w:r>
        <w:rPr>
          <w:rFonts w:hint="eastAsia" w:ascii="宋体" w:hAnsi="宋体"/>
          <w:color w:val="auto"/>
          <w:highlight w:val="none"/>
        </w:rPr>
        <w:t>本协议应与中国的法律相一致并受中国法律解释的约束。双方同意，如发生争议，应友好协商；协商不成，可向</w:t>
      </w:r>
      <w:r>
        <w:rPr>
          <w:rFonts w:hint="eastAsia" w:ascii="宋体" w:hAnsi="宋体"/>
          <w:color w:val="auto"/>
          <w:highlight w:val="none"/>
          <w:u w:val="none" w:color="FF0000"/>
        </w:rPr>
        <w:t>甲方</w:t>
      </w:r>
      <w:r>
        <w:rPr>
          <w:rFonts w:hint="eastAsia" w:ascii="宋体" w:hAnsi="宋体"/>
          <w:color w:val="auto"/>
          <w:highlight w:val="none"/>
        </w:rPr>
        <w:t xml:space="preserve">所在地有管辖权人民法院提起诉讼。 </w:t>
      </w:r>
    </w:p>
    <w:p w14:paraId="15D69037">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八、其他 </w:t>
      </w:r>
    </w:p>
    <w:p w14:paraId="53E2944A">
      <w:pPr>
        <w:spacing w:line="360" w:lineRule="auto"/>
        <w:ind w:firstLine="420" w:firstLineChars="200"/>
        <w:rPr>
          <w:rFonts w:hint="eastAsia" w:ascii="宋体" w:hAnsi="宋体"/>
          <w:color w:val="auto"/>
          <w:highlight w:val="none"/>
        </w:rPr>
      </w:pPr>
      <w:r>
        <w:rPr>
          <w:rFonts w:hint="eastAsia" w:ascii="宋体" w:hAnsi="宋体"/>
          <w:color w:val="auto"/>
          <w:highlight w:val="none"/>
        </w:rPr>
        <w:t>未尽事宜双方另行协商，签署补充协议作为本协议附件，具有同等法律效力。本协议与技术服务合同约定不一致的，以本协议约定为准。</w:t>
      </w:r>
    </w:p>
    <w:p w14:paraId="05C9F078">
      <w:pPr>
        <w:spacing w:line="360" w:lineRule="auto"/>
        <w:ind w:firstLine="420" w:firstLineChars="200"/>
        <w:rPr>
          <w:rFonts w:hint="eastAsia" w:ascii="宋体" w:hAnsi="宋体"/>
          <w:color w:val="auto"/>
          <w:highlight w:val="none"/>
        </w:rPr>
      </w:pPr>
      <w:r>
        <w:rPr>
          <w:rFonts w:hint="eastAsia" w:ascii="宋体" w:hAnsi="宋体"/>
          <w:color w:val="auto"/>
          <w:highlight w:val="none"/>
        </w:rPr>
        <w:t xml:space="preserve">九、协议签署 </w:t>
      </w:r>
    </w:p>
    <w:p w14:paraId="3CD9B2EF">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lang w:val="en-US" w:eastAsia="zh-CN"/>
        </w:rPr>
        <w:t xml:space="preserve">  </w:t>
      </w:r>
    </w:p>
    <w:p w14:paraId="16E3517F">
      <w:pPr>
        <w:adjustRightInd w:val="0"/>
        <w:snapToGrid w:val="0"/>
        <w:spacing w:line="480" w:lineRule="auto"/>
        <w:ind w:left="-8" w:leftChars="-4" w:right="-292" w:rightChars="-139" w:firstLine="0" w:firstLineChars="0"/>
        <w:jc w:val="both"/>
        <w:rPr>
          <w:rFonts w:hint="eastAsia" w:ascii="仿宋_GB2312" w:hAnsi="宋体"/>
          <w:color w:val="auto"/>
          <w:szCs w:val="24"/>
          <w:highlight w:val="none"/>
        </w:rPr>
      </w:pPr>
      <w:r>
        <w:rPr>
          <w:rFonts w:hint="eastAsia" w:ascii="仿宋_GB2312" w:hAnsi="宋体"/>
          <w:color w:val="auto"/>
          <w:szCs w:val="24"/>
          <w:highlight w:val="none"/>
        </w:rPr>
        <w:t>甲方：</w:t>
      </w:r>
      <w:r>
        <w:rPr>
          <w:rFonts w:hint="eastAsia" w:ascii="仿宋_GB2312" w:hAnsi="宋体"/>
          <w:color w:val="auto"/>
          <w:szCs w:val="24"/>
          <w:highlight w:val="none"/>
          <w:lang w:eastAsia="zh-CN"/>
        </w:rPr>
        <w:t>广州白云棠涌置地有限公司</w:t>
      </w:r>
      <w:r>
        <w:rPr>
          <w:rFonts w:hint="eastAsia" w:hAnsi="宋体"/>
          <w:color w:val="auto"/>
          <w:highlight w:val="none"/>
        </w:rPr>
        <w:t xml:space="preserve"> </w:t>
      </w:r>
      <w:r>
        <w:rPr>
          <w:rFonts w:hint="eastAsia" w:ascii="仿宋_GB2312" w:hAnsi="宋体"/>
          <w:color w:val="auto"/>
          <w:szCs w:val="24"/>
          <w:highlight w:val="none"/>
        </w:rPr>
        <w:t xml:space="preserve">   </w:t>
      </w:r>
      <w:r>
        <w:rPr>
          <w:rFonts w:hint="eastAsia" w:ascii="仿宋_GB2312" w:hAnsi="宋体"/>
          <w:color w:val="auto"/>
          <w:szCs w:val="24"/>
          <w:highlight w:val="none"/>
          <w:lang w:val="en-US" w:eastAsia="zh-CN"/>
        </w:rPr>
        <w:t xml:space="preserve">      </w:t>
      </w:r>
      <w:r>
        <w:rPr>
          <w:rFonts w:hint="eastAsia" w:ascii="仿宋_GB2312" w:hAnsi="宋体"/>
          <w:color w:val="auto"/>
          <w:szCs w:val="24"/>
          <w:highlight w:val="none"/>
        </w:rPr>
        <w:t>乙方：</w:t>
      </w:r>
      <w:r>
        <w:rPr>
          <w:rFonts w:hint="eastAsia" w:hAnsi="宋体"/>
          <w:color w:val="auto"/>
          <w:highlight w:val="none"/>
          <w:lang w:val="en-US" w:eastAsia="zh-CN"/>
        </w:rPr>
        <w:t xml:space="preserve"> </w:t>
      </w:r>
      <w:r>
        <w:rPr>
          <w:rFonts w:hint="eastAsia" w:ascii="仿宋_GB2312" w:hAnsi="宋体"/>
          <w:color w:val="auto"/>
          <w:szCs w:val="24"/>
          <w:highlight w:val="none"/>
        </w:rPr>
        <w:t xml:space="preserve">        </w:t>
      </w:r>
    </w:p>
    <w:p w14:paraId="17A6A065">
      <w:pPr>
        <w:adjustRightInd w:val="0"/>
        <w:snapToGrid w:val="0"/>
        <w:spacing w:line="480" w:lineRule="auto"/>
        <w:ind w:left="-8" w:leftChars="-4" w:right="-292" w:rightChars="-139" w:firstLine="0" w:firstLineChars="0"/>
        <w:jc w:val="both"/>
        <w:rPr>
          <w:rFonts w:hint="eastAsia" w:ascii="仿宋_GB2312" w:hAnsi="宋体"/>
          <w:color w:val="auto"/>
          <w:szCs w:val="24"/>
          <w:highlight w:val="none"/>
        </w:rPr>
      </w:pPr>
      <w:r>
        <w:rPr>
          <w:rFonts w:hint="eastAsia" w:ascii="仿宋_GB2312" w:hAnsi="宋体"/>
          <w:color w:val="auto"/>
          <w:szCs w:val="24"/>
          <w:highlight w:val="none"/>
        </w:rPr>
        <w:t xml:space="preserve">法定代表人：                          </w:t>
      </w:r>
      <w:r>
        <w:rPr>
          <w:rFonts w:hint="eastAsia" w:ascii="仿宋_GB2312" w:hAnsi="宋体"/>
          <w:color w:val="auto"/>
          <w:szCs w:val="24"/>
          <w:highlight w:val="none"/>
          <w:lang w:val="en-US" w:eastAsia="zh-CN"/>
        </w:rPr>
        <w:t xml:space="preserve"> </w:t>
      </w:r>
      <w:r>
        <w:rPr>
          <w:rFonts w:hint="eastAsia" w:ascii="仿宋_GB2312" w:hAnsi="宋体"/>
          <w:color w:val="auto"/>
          <w:szCs w:val="24"/>
          <w:highlight w:val="none"/>
        </w:rPr>
        <w:t xml:space="preserve"> 法定代表人：</w:t>
      </w:r>
    </w:p>
    <w:p w14:paraId="31CB3DE7">
      <w:pPr>
        <w:adjustRightInd w:val="0"/>
        <w:snapToGrid w:val="0"/>
        <w:spacing w:line="480" w:lineRule="auto"/>
        <w:ind w:left="-8" w:leftChars="-4" w:right="-292" w:rightChars="-139" w:firstLine="0" w:firstLineChars="0"/>
        <w:jc w:val="both"/>
        <w:rPr>
          <w:rFonts w:hint="eastAsia" w:ascii="仿宋_GB2312" w:hAnsi="宋体"/>
          <w:color w:val="auto"/>
          <w:szCs w:val="24"/>
          <w:highlight w:val="none"/>
        </w:rPr>
      </w:pPr>
      <w:r>
        <w:rPr>
          <w:rFonts w:hint="eastAsia" w:ascii="仿宋_GB2312" w:hAnsi="宋体"/>
          <w:color w:val="auto"/>
          <w:szCs w:val="24"/>
          <w:highlight w:val="none"/>
        </w:rPr>
        <w:t xml:space="preserve">或委托代理人：                      </w:t>
      </w:r>
      <w:r>
        <w:rPr>
          <w:rFonts w:hint="eastAsia" w:ascii="仿宋_GB2312" w:hAnsi="宋体"/>
          <w:color w:val="auto"/>
          <w:szCs w:val="24"/>
          <w:highlight w:val="none"/>
          <w:lang w:val="en-US" w:eastAsia="zh-CN"/>
        </w:rPr>
        <w:t xml:space="preserve">    </w:t>
      </w:r>
      <w:r>
        <w:rPr>
          <w:rFonts w:hint="eastAsia" w:ascii="仿宋_GB2312" w:hAnsi="宋体"/>
          <w:color w:val="auto"/>
          <w:szCs w:val="24"/>
          <w:highlight w:val="none"/>
        </w:rPr>
        <w:t xml:space="preserve">或委托代理人： </w:t>
      </w:r>
    </w:p>
    <w:p w14:paraId="55CAD30C">
      <w:pPr>
        <w:adjustRightInd w:val="0"/>
        <w:snapToGrid w:val="0"/>
        <w:spacing w:line="480" w:lineRule="auto"/>
        <w:jc w:val="both"/>
        <w:rPr>
          <w:rFonts w:hint="eastAsia" w:ascii="仿宋_GB2312" w:hAnsi="宋体"/>
          <w:color w:val="auto"/>
          <w:szCs w:val="24"/>
          <w:highlight w:val="none"/>
        </w:rPr>
      </w:pPr>
    </w:p>
    <w:p w14:paraId="27526367">
      <w:pPr>
        <w:adjustRightInd w:val="0"/>
        <w:snapToGrid w:val="0"/>
        <w:spacing w:line="480" w:lineRule="auto"/>
        <w:jc w:val="both"/>
        <w:rPr>
          <w:color w:val="auto"/>
          <w:highlight w:val="none"/>
        </w:rPr>
      </w:pPr>
      <w:r>
        <w:rPr>
          <w:rFonts w:hint="eastAsia" w:ascii="仿宋_GB2312" w:hAnsi="宋体"/>
          <w:color w:val="auto"/>
          <w:szCs w:val="24"/>
          <w:highlight w:val="none"/>
        </w:rPr>
        <w:t xml:space="preserve">签订时间：    </w:t>
      </w:r>
      <w:r>
        <w:rPr>
          <w:rFonts w:hint="eastAsia" w:ascii="仿宋_GB2312" w:hAnsi="宋体"/>
          <w:color w:val="auto"/>
          <w:szCs w:val="24"/>
          <w:highlight w:val="none"/>
          <w:lang w:val="en-US" w:eastAsia="zh-CN"/>
        </w:rPr>
        <w:t>年   月   日</w:t>
      </w:r>
      <w:r>
        <w:rPr>
          <w:rFonts w:hint="eastAsia" w:ascii="仿宋_GB2312" w:hAnsi="宋体"/>
          <w:color w:val="auto"/>
          <w:szCs w:val="24"/>
          <w:highlight w:val="none"/>
        </w:rPr>
        <w:t xml:space="preserve">               签订时间：</w:t>
      </w:r>
      <w:r>
        <w:rPr>
          <w:rFonts w:hint="eastAsia" w:ascii="仿宋_GB2312" w:hAnsi="宋体"/>
          <w:color w:val="auto"/>
          <w:szCs w:val="24"/>
          <w:highlight w:val="none"/>
          <w:lang w:val="en-US" w:eastAsia="zh-CN"/>
        </w:rPr>
        <w:t xml:space="preserve">     年   月   日</w:t>
      </w:r>
      <w:r>
        <w:rPr>
          <w:rFonts w:hint="eastAsia" w:ascii="仿宋_GB2312" w:hAnsi="宋体"/>
          <w:color w:val="auto"/>
          <w:szCs w:val="24"/>
          <w:highlight w:val="none"/>
        </w:rPr>
        <w:t xml:space="preserve"> </w:t>
      </w:r>
    </w:p>
    <w:p w14:paraId="7E3ABBC1">
      <w:pPr>
        <w:rPr>
          <w:color w:val="auto"/>
          <w:highlight w:val="none"/>
        </w:rPr>
      </w:pPr>
      <w:r>
        <w:rPr>
          <w:color w:val="auto"/>
          <w:highlight w:val="none"/>
        </w:rPr>
        <w:br w:type="page"/>
      </w:r>
    </w:p>
    <w:p w14:paraId="6FBF4CFC">
      <w:pPr>
        <w:snapToGrid w:val="0"/>
        <w:spacing w:line="480" w:lineRule="auto"/>
        <w:jc w:val="left"/>
        <w:rPr>
          <w:rFonts w:hint="eastAsia" w:ascii="宋体" w:hAnsi="宋体" w:cs="仿宋_GB2312"/>
          <w:b/>
          <w:bCs/>
          <w:color w:val="auto"/>
          <w:sz w:val="24"/>
          <w:szCs w:val="24"/>
          <w:highlight w:val="none"/>
          <w:lang w:val="en-US" w:eastAsia="zh-CN"/>
        </w:rPr>
      </w:pPr>
      <w:r>
        <w:rPr>
          <w:rFonts w:hint="eastAsia" w:ascii="宋体" w:hAnsi="宋体" w:cs="仿宋_GB2312"/>
          <w:b/>
          <w:bCs/>
          <w:color w:val="auto"/>
          <w:sz w:val="24"/>
          <w:szCs w:val="24"/>
          <w:highlight w:val="none"/>
          <w:lang w:val="en-US" w:eastAsia="zh-CN"/>
        </w:rPr>
        <w:t>附件4</w:t>
      </w:r>
    </w:p>
    <w:p w14:paraId="35EAFD85">
      <w:pPr>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安全责任协议书</w:t>
      </w:r>
    </w:p>
    <w:p w14:paraId="2483B118">
      <w:pPr>
        <w:spacing w:line="360" w:lineRule="auto"/>
        <w:jc w:val="center"/>
        <w:rPr>
          <w:rFonts w:ascii="宋体" w:hAnsi="宋体"/>
          <w:b/>
          <w:bCs/>
          <w:color w:val="auto"/>
          <w:sz w:val="24"/>
          <w:highlight w:val="none"/>
        </w:rPr>
      </w:pPr>
    </w:p>
    <w:p w14:paraId="1DEF8709">
      <w:pPr>
        <w:snapToGrid w:val="0"/>
        <w:spacing w:line="360" w:lineRule="auto"/>
        <w:ind w:firstLine="570"/>
        <w:jc w:val="left"/>
        <w:rPr>
          <w:rFonts w:ascii="宋体" w:hAnsi="宋体"/>
          <w:color w:val="auto"/>
          <w:sz w:val="24"/>
          <w:highlight w:val="none"/>
        </w:rPr>
      </w:pPr>
      <w:r>
        <w:rPr>
          <w:rFonts w:hint="eastAsia" w:ascii="宋体" w:hAnsi="宋体"/>
          <w:color w:val="auto"/>
          <w:sz w:val="24"/>
          <w:highlight w:val="none"/>
        </w:rPr>
        <w:t>为贯彻“安全第一，预防为主”的方针，根据《中华人民共和国安全生产法》、《广东省安全生产条例》等有关法律、法规的规定，结合本工程项目实际情况，按规定签订如下协议。</w:t>
      </w:r>
    </w:p>
    <w:p w14:paraId="0FB0D031">
      <w:pPr>
        <w:numPr>
          <w:ilvl w:val="0"/>
          <w:numId w:val="5"/>
        </w:numPr>
        <w:snapToGrid w:val="0"/>
        <w:spacing w:line="360" w:lineRule="auto"/>
        <w:rPr>
          <w:rFonts w:ascii="宋体" w:hAnsi="宋体"/>
          <w:color w:val="auto"/>
          <w:sz w:val="24"/>
          <w:highlight w:val="none"/>
        </w:rPr>
      </w:pPr>
      <w:r>
        <w:rPr>
          <w:rFonts w:hint="eastAsia" w:ascii="宋体" w:hAnsi="宋体"/>
          <w:color w:val="auto"/>
          <w:sz w:val="24"/>
          <w:highlight w:val="none"/>
        </w:rPr>
        <w:t>甲方的权利与义务</w:t>
      </w:r>
    </w:p>
    <w:p w14:paraId="726A995A">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遵守国家、省、市有关安全生产文明施工的法律、法规及有关规定，加强安全生产管理，建立、健全安全生产责任制度，完善安全生产条件，确保安全生产。</w:t>
      </w:r>
    </w:p>
    <w:p w14:paraId="15D18961">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按国家有关规定保证安全生产所必需的资金投入。</w:t>
      </w:r>
    </w:p>
    <w:p w14:paraId="2A426E2C">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对乙方在项目管理过程中依照合同或依法采取的有效监控措施，如停工、停用等给予支持；对乙方以公司文件书面形式提交并要求做出决定的事宜在规定时限内做出书面决定。</w:t>
      </w:r>
    </w:p>
    <w:p w14:paraId="65AD7069">
      <w:pPr>
        <w:numPr>
          <w:ilvl w:val="1"/>
          <w:numId w:val="6"/>
        </w:numPr>
        <w:tabs>
          <w:tab w:val="left" w:pos="0"/>
          <w:tab w:val="left" w:pos="720"/>
          <w:tab w:val="left" w:pos="894"/>
        </w:tabs>
        <w:snapToGrid w:val="0"/>
        <w:spacing w:line="360" w:lineRule="auto"/>
        <w:ind w:left="0" w:firstLine="420"/>
        <w:jc w:val="left"/>
        <w:rPr>
          <w:rFonts w:ascii="宋体" w:hAnsi="宋体"/>
          <w:color w:val="auto"/>
          <w:sz w:val="24"/>
          <w:highlight w:val="none"/>
        </w:rPr>
      </w:pPr>
      <w:r>
        <w:rPr>
          <w:rFonts w:hint="eastAsia" w:ascii="宋体" w:hAnsi="宋体"/>
          <w:color w:val="auto"/>
          <w:sz w:val="24"/>
          <w:highlight w:val="none"/>
        </w:rPr>
        <w:t>授权工地常驻代表负责与乙方联系安全生产、文明施工的事宜，如需更换此人时提前通知乙方。</w:t>
      </w:r>
    </w:p>
    <w:p w14:paraId="56867BB8">
      <w:pPr>
        <w:numPr>
          <w:ilvl w:val="0"/>
          <w:numId w:val="6"/>
        </w:num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乙方的权利与义务</w:t>
      </w:r>
    </w:p>
    <w:p w14:paraId="26FAAE73">
      <w:pPr>
        <w:tabs>
          <w:tab w:val="left" w:pos="894"/>
        </w:tabs>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1、遵守国家、省、市有关安全生产文明施工的法律、法规及有关规定，加强工程建设安全的监管，建立、健全安全项目管理责任制度，保证工程建设的安全。建立、健全安全生产文明项目管理的组织、明确安全工程师的职责。</w:t>
      </w:r>
    </w:p>
    <w:p w14:paraId="744187F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2、建立安全生产文明施工的专项项目管理监管制度或方案。</w:t>
      </w:r>
    </w:p>
    <w:p w14:paraId="058FE949">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3、会同建设单位对承包人的资质进行审查，对无资质单位不准进入。</w:t>
      </w:r>
    </w:p>
    <w:p w14:paraId="3BAC44E9">
      <w:pPr>
        <w:snapToGrid w:val="0"/>
        <w:spacing w:line="360" w:lineRule="auto"/>
        <w:jc w:val="left"/>
        <w:rPr>
          <w:rFonts w:ascii="宋体" w:hAnsi="宋体"/>
          <w:color w:val="auto"/>
          <w:sz w:val="24"/>
          <w:highlight w:val="none"/>
        </w:rPr>
      </w:pPr>
      <w:r>
        <w:rPr>
          <w:rFonts w:hint="eastAsia" w:ascii="宋体" w:hAnsi="宋体"/>
          <w:color w:val="auto"/>
          <w:sz w:val="24"/>
          <w:highlight w:val="none"/>
        </w:rPr>
        <w:t xml:space="preserve">    4、对承包人提供的安全施工组织设计及专项安全技术方案进行审核。</w:t>
      </w:r>
    </w:p>
    <w:p w14:paraId="45A589F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5、对施工人员、材料、主要设备的使用和运行状况进行检查并记录。</w:t>
      </w:r>
    </w:p>
    <w:p w14:paraId="2F8EBDB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6、对重要施工环节和安全事故易发工序实施旁站或巡检。</w:t>
      </w:r>
    </w:p>
    <w:p w14:paraId="6963883E">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7、按规定对安全措施费用的列支和使用实施有效监控。</w:t>
      </w:r>
    </w:p>
    <w:p w14:paraId="622B99E4">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8、及时制止承包人明显违章指挥和操作的行为。</w:t>
      </w:r>
    </w:p>
    <w:p w14:paraId="1FB242C6">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9、对危及工程和人员安全的施工及设备的使用，及时下达停工（停用）指令，坚决予以纠正。</w:t>
      </w:r>
    </w:p>
    <w:p w14:paraId="0766F230">
      <w:p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 xml:space="preserve">    10、对施工现场存在的安全隐患及时发出整改通知并向安监机构报告。</w:t>
      </w:r>
    </w:p>
    <w:p w14:paraId="7418FF1C">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11、对因安全原因被建设行政主管部门和监督机构责令停工整改的，要积极主动抓好督促落实并及时反馈情况。</w:t>
      </w:r>
    </w:p>
    <w:p w14:paraId="374CF579">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12、督促承包人按规定购买施工意外保险和搞好文明施工管理。</w:t>
      </w:r>
    </w:p>
    <w:p w14:paraId="1FC81321">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13、参与安全事故的调查处理。</w:t>
      </w:r>
    </w:p>
    <w:p w14:paraId="5314ADEA">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14、参与事故应急救援预案的公布和演练。</w:t>
      </w:r>
    </w:p>
    <w:p w14:paraId="79B3CE9D">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15、做好安全记录和建设月报等资料整理，并督促承包单位及时整理现场安全管理文件资料。</w:t>
      </w:r>
    </w:p>
    <w:p w14:paraId="7C3B914C">
      <w:pPr>
        <w:snapToGrid w:val="0"/>
        <w:spacing w:line="360" w:lineRule="auto"/>
        <w:ind w:firstLine="480"/>
        <w:rPr>
          <w:rFonts w:ascii="宋体" w:hAnsi="宋体"/>
          <w:color w:val="auto"/>
          <w:sz w:val="24"/>
          <w:highlight w:val="none"/>
        </w:rPr>
      </w:pPr>
      <w:r>
        <w:rPr>
          <w:rFonts w:hint="eastAsia" w:ascii="宋体" w:hAnsi="宋体"/>
          <w:color w:val="auto"/>
          <w:sz w:val="24"/>
          <w:highlight w:val="none"/>
        </w:rPr>
        <w:t>16、保证不将工程项目转包或违法分包。</w:t>
      </w:r>
    </w:p>
    <w:p w14:paraId="5C30188F">
      <w:pPr>
        <w:numPr>
          <w:ilvl w:val="0"/>
          <w:numId w:val="6"/>
        </w:num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本合同有效期为自甲、乙双方签署之日起至该工程项目设计使用年限届满之日止。</w:t>
      </w:r>
    </w:p>
    <w:p w14:paraId="6C01A6C8">
      <w:pPr>
        <w:numPr>
          <w:ilvl w:val="0"/>
          <w:numId w:val="6"/>
        </w:numPr>
        <w:tabs>
          <w:tab w:val="left" w:pos="720"/>
        </w:tabs>
        <w:snapToGrid w:val="0"/>
        <w:spacing w:line="360" w:lineRule="auto"/>
        <w:rPr>
          <w:rFonts w:ascii="宋体" w:hAnsi="宋体"/>
          <w:color w:val="auto"/>
          <w:sz w:val="24"/>
          <w:highlight w:val="none"/>
        </w:rPr>
      </w:pPr>
      <w:r>
        <w:rPr>
          <w:rFonts w:hint="eastAsia" w:ascii="宋体" w:hAnsi="宋体"/>
          <w:color w:val="auto"/>
          <w:sz w:val="24"/>
          <w:highlight w:val="none"/>
        </w:rPr>
        <w:t>本合同作为本工程项目管理服务合同的附件。</w:t>
      </w:r>
    </w:p>
    <w:p w14:paraId="2F41E4BC">
      <w:pPr>
        <w:snapToGrid w:val="0"/>
        <w:spacing w:line="360" w:lineRule="auto"/>
        <w:rPr>
          <w:rFonts w:ascii="宋体" w:hAnsi="宋体"/>
          <w:color w:val="auto"/>
          <w:sz w:val="24"/>
          <w:highlight w:val="none"/>
        </w:rPr>
      </w:pPr>
    </w:p>
    <w:p w14:paraId="2F294ECD">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委托方（甲方）：</w:t>
      </w:r>
      <w:r>
        <w:rPr>
          <w:rFonts w:hint="eastAsia" w:ascii="宋体" w:hAnsi="宋体"/>
          <w:color w:val="auto"/>
          <w:sz w:val="24"/>
          <w:highlight w:val="none"/>
          <w:lang w:eastAsia="zh-CN"/>
        </w:rPr>
        <w:t>广州白云棠涌置地有限公司</w:t>
      </w:r>
      <w:r>
        <w:rPr>
          <w:rFonts w:hint="eastAsia" w:ascii="宋体" w:hAnsi="宋体"/>
          <w:color w:val="auto"/>
          <w:sz w:val="24"/>
          <w:highlight w:val="none"/>
        </w:rPr>
        <w:t xml:space="preserve"> （盖章）                    　           </w:t>
      </w:r>
    </w:p>
    <w:p w14:paraId="72DB81E0">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 xml:space="preserve">法定代表人：                           </w:t>
      </w:r>
    </w:p>
    <w:p w14:paraId="351C5892">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 xml:space="preserve">签约代表：                             </w:t>
      </w:r>
    </w:p>
    <w:p w14:paraId="491FE44E">
      <w:pPr>
        <w:pStyle w:val="6"/>
        <w:spacing w:line="600" w:lineRule="auto"/>
        <w:ind w:firstLine="0" w:firstLineChars="0"/>
        <w:rPr>
          <w:color w:val="auto"/>
          <w:highlight w:val="none"/>
        </w:rPr>
      </w:pPr>
    </w:p>
    <w:p w14:paraId="2E11E7F2">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受托方（乙方）：</w:t>
      </w:r>
      <w:r>
        <w:rPr>
          <w:rFonts w:hint="eastAsia" w:ascii="宋体" w:hAnsi="宋体"/>
          <w:color w:val="auto"/>
          <w:sz w:val="24"/>
          <w:highlight w:val="none"/>
          <w:lang w:eastAsia="zh-CN"/>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14:paraId="6AD32F8C">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 xml:space="preserve">法定代表人：                           </w:t>
      </w:r>
    </w:p>
    <w:p w14:paraId="6AD869C5">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 xml:space="preserve">签约代表： </w:t>
      </w:r>
    </w:p>
    <w:p w14:paraId="270DDA24">
      <w:pPr>
        <w:spacing w:line="600" w:lineRule="auto"/>
        <w:ind w:left="435" w:leftChars="207"/>
        <w:rPr>
          <w:rFonts w:ascii="宋体" w:hAnsi="宋体"/>
          <w:color w:val="auto"/>
          <w:sz w:val="24"/>
          <w:highlight w:val="none"/>
        </w:rPr>
      </w:pPr>
    </w:p>
    <w:p w14:paraId="5222A2D7">
      <w:pPr>
        <w:spacing w:line="600" w:lineRule="auto"/>
        <w:ind w:firstLine="480" w:firstLineChars="200"/>
        <w:rPr>
          <w:rFonts w:ascii="宋体" w:hAnsi="宋体"/>
          <w:color w:val="auto"/>
          <w:sz w:val="24"/>
          <w:highlight w:val="none"/>
        </w:rPr>
      </w:pPr>
      <w:r>
        <w:rPr>
          <w:rFonts w:hint="eastAsia" w:ascii="宋体" w:hAnsi="宋体"/>
          <w:color w:val="auto"/>
          <w:sz w:val="24"/>
          <w:highlight w:val="none"/>
        </w:rPr>
        <w:t>签订日期：      年     月    日</w:t>
      </w:r>
    </w:p>
    <w:p w14:paraId="2D56792C">
      <w:pPr>
        <w:widowControl/>
        <w:jc w:val="left"/>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br w:type="page"/>
      </w:r>
    </w:p>
    <w:p w14:paraId="71F75C89">
      <w:pPr>
        <w:adjustRightInd w:val="0"/>
        <w:snapToGrid w:val="0"/>
        <w:spacing w:line="240" w:lineRule="auto"/>
        <w:jc w:val="left"/>
        <w:rPr>
          <w:rFonts w:ascii="宋体" w:hAnsi="宋体"/>
          <w:b/>
          <w:bCs/>
          <w:color w:val="auto"/>
          <w:spacing w:val="2"/>
          <w:position w:val="2"/>
          <w:sz w:val="24"/>
          <w:highlight w:val="none"/>
        </w:rPr>
      </w:pPr>
      <w:r>
        <w:rPr>
          <w:rFonts w:hint="eastAsia" w:ascii="宋体" w:hAnsi="宋体" w:cs="仿宋_GB2312"/>
          <w:b/>
          <w:bCs/>
          <w:color w:val="auto"/>
          <w:sz w:val="24"/>
          <w:szCs w:val="24"/>
          <w:highlight w:val="none"/>
          <w:lang w:val="en-US" w:eastAsia="zh-CN"/>
        </w:rPr>
        <w:t>附件5</w:t>
      </w:r>
    </w:p>
    <w:p w14:paraId="7E8A54F6">
      <w:pPr>
        <w:jc w:val="center"/>
        <w:rPr>
          <w:rFonts w:hint="eastAsia" w:asciiTheme="minorEastAsia" w:hAnsiTheme="minorEastAsia" w:eastAsiaTheme="minorEastAsia" w:cstheme="minorEastAsia"/>
          <w:b/>
          <w:bCs/>
          <w:color w:val="auto"/>
          <w:sz w:val="36"/>
          <w:szCs w:val="36"/>
          <w:highlight w:val="none"/>
        </w:rPr>
      </w:pPr>
      <w:r>
        <w:rPr>
          <w:rFonts w:hint="eastAsia" w:asciiTheme="minorEastAsia" w:hAnsiTheme="minorEastAsia" w:eastAsiaTheme="minorEastAsia" w:cstheme="minorEastAsia"/>
          <w:b/>
          <w:bCs/>
          <w:color w:val="auto"/>
          <w:sz w:val="32"/>
          <w:highlight w:val="none"/>
        </w:rPr>
        <w:t>质量责任协议书</w:t>
      </w:r>
    </w:p>
    <w:p w14:paraId="6C74791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根据国务院《建设工程质量管理条例》，为保证在设计使用年限内建设工程质量，本项目工程的建设单位</w:t>
      </w:r>
      <w:r>
        <w:rPr>
          <w:rFonts w:hint="eastAsia" w:ascii="宋体" w:hAnsi="宋体"/>
          <w:color w:val="auto"/>
          <w:sz w:val="24"/>
          <w:highlight w:val="none"/>
          <w:u w:val="single"/>
          <w:lang w:eastAsia="zh-CN"/>
        </w:rPr>
        <w:t>广州白云棠涌置地有限公司</w:t>
      </w:r>
      <w:r>
        <w:rPr>
          <w:rFonts w:hint="eastAsia" w:ascii="宋体" w:hAnsi="宋体"/>
          <w:color w:val="auto"/>
          <w:sz w:val="24"/>
          <w:highlight w:val="none"/>
        </w:rPr>
        <w:t>（以下称甲方）、项目管理单位</w:t>
      </w:r>
      <w:r>
        <w:rPr>
          <w:rFonts w:hint="eastAsia" w:ascii="宋体" w:hAnsi="宋体"/>
          <w:color w:val="auto"/>
          <w:sz w:val="24"/>
          <w:highlight w:val="none"/>
          <w:u w:val="single"/>
          <w:lang w:eastAsia="zh-CN"/>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（以下称乙方）经双方协商一致，特订立如下协议。</w:t>
      </w:r>
    </w:p>
    <w:p w14:paraId="75E740E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一、</w:t>
      </w:r>
      <w:r>
        <w:rPr>
          <w:rFonts w:hint="eastAsia" w:ascii="宋体" w:hAnsi="宋体"/>
          <w:color w:val="auto"/>
          <w:sz w:val="24"/>
          <w:highlight w:val="none"/>
        </w:rPr>
        <w:t>本建设项目的工程质量目标为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，具体项目管理责任人</w:t>
      </w:r>
      <w:r>
        <w:rPr>
          <w:rFonts w:hint="eastAsia" w:ascii="宋体" w:hAnsi="宋体"/>
          <w:color w:val="auto"/>
          <w:sz w:val="24"/>
          <w:highlight w:val="none"/>
          <w:u w:val="single"/>
          <w:lang w:eastAsia="zh-CN"/>
        </w:rPr>
        <w:t xml:space="preserve">      </w:t>
      </w:r>
      <w:r>
        <w:rPr>
          <w:rFonts w:hint="eastAsia" w:ascii="宋体" w:hAnsi="宋体"/>
          <w:color w:val="auto"/>
          <w:sz w:val="24"/>
          <w:highlight w:val="none"/>
        </w:rPr>
        <w:t>。</w:t>
      </w:r>
    </w:p>
    <w:p w14:paraId="011E5B80">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二、</w:t>
      </w:r>
      <w:r>
        <w:rPr>
          <w:rFonts w:hint="eastAsia" w:ascii="宋体" w:hAnsi="宋体"/>
          <w:color w:val="auto"/>
          <w:sz w:val="24"/>
          <w:highlight w:val="none"/>
        </w:rPr>
        <w:t>甲乙双方的权利和义务</w:t>
      </w:r>
    </w:p>
    <w:p w14:paraId="10B012BB">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（一）严格遵守国家有关法律法规的有关规定。</w:t>
      </w:r>
    </w:p>
    <w:p w14:paraId="4D75252D">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（二）严格执行本工程项目管理服务合同，自觉按合同办事。</w:t>
      </w:r>
    </w:p>
    <w:p w14:paraId="6A12957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（三）双方的项目管理业务活动坚持科学、公正、诚信、平等的原则，不得损害国家、集体的利益，不得违反工程项目管理规章制度。</w:t>
      </w:r>
    </w:p>
    <w:p w14:paraId="3EC0CEA8">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（四）发现对方在项目管理业务活动中，有违反有关规定的行为，有及时提醒对方纠正的权利和义务。</w:t>
      </w:r>
    </w:p>
    <w:p w14:paraId="30D558CA">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（五）发现对方严重违反项目管理合同文件的行为，有向其上级有关部门举报，建议给予处理并要求告知处理结果的权利。</w:t>
      </w:r>
    </w:p>
    <w:p w14:paraId="5325777B">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三、</w:t>
      </w:r>
      <w:r>
        <w:rPr>
          <w:rFonts w:hint="eastAsia" w:ascii="宋体" w:hAnsi="宋体"/>
          <w:color w:val="auto"/>
          <w:sz w:val="24"/>
          <w:highlight w:val="none"/>
        </w:rPr>
        <w:t>甲方和乙方的义务</w:t>
      </w:r>
    </w:p>
    <w:p w14:paraId="694C16B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（一）甲方不得指使乙方不按法律、法规、工程建设强制性标准进行开展项目管理工作。</w:t>
      </w:r>
    </w:p>
    <w:p w14:paraId="7916461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（二）甲方不得明示或暗示向乙方推荐单位或个人承包或分包本工程的项目管理任务。</w:t>
      </w:r>
    </w:p>
    <w:p w14:paraId="2A6992F5">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（三）甲方不得以任何理由索取回扣或其它好处。</w:t>
      </w:r>
    </w:p>
    <w:p w14:paraId="4DF09D79">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四、</w:t>
      </w:r>
      <w:r>
        <w:rPr>
          <w:rFonts w:hint="eastAsia" w:ascii="宋体" w:hAnsi="宋体"/>
          <w:color w:val="auto"/>
          <w:sz w:val="24"/>
          <w:highlight w:val="none"/>
        </w:rPr>
        <w:t>乙方的义务</w:t>
      </w:r>
    </w:p>
    <w:p w14:paraId="1FCB9570">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（一）乙方不得允许其它单位或个人以乙方的名义承揽本工程的项目管理任务，不得转包或违法分包所承揽的本工程的项目管理任务。</w:t>
      </w:r>
    </w:p>
    <w:p w14:paraId="12BD58C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（三）乙方必须严格履行项目管理合同，按委托时承诺的项目组人员及时到位。项目组人员不能擅自调换，如有特殊原因确需调换的，须经业主书面同意方能换人。</w:t>
      </w:r>
    </w:p>
    <w:p w14:paraId="32D7ED4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（四）乙方必须督促施工单位建立工地混凝土试件养护室，督促施工单位按要求做好各类试验，试验资料应真实、完整，统一归档。</w:t>
      </w:r>
    </w:p>
    <w:p w14:paraId="5EDCF93C">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（五）乙方必须认真贯彻执行建设工程项目有关的各项方针政策、法规，明确项目组人员岗位职责。对工程的重要环节和关键部位，必须实施全过程的现场旁站或巡检；严格计量支付；合理有效地控制进度。</w:t>
      </w:r>
    </w:p>
    <w:p w14:paraId="04048C59">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（六）乙方与甲方、承包人或指定分包人之间有关工程质量、进度和费用的一切往来函件、报表均应分类编号归档保存；项目管理资料应真实、完整。</w:t>
      </w:r>
    </w:p>
    <w:p w14:paraId="6798A2EF">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五、</w:t>
      </w:r>
      <w:r>
        <w:rPr>
          <w:rFonts w:hint="eastAsia" w:ascii="宋体" w:hAnsi="宋体"/>
          <w:color w:val="auto"/>
          <w:sz w:val="24"/>
          <w:highlight w:val="none"/>
        </w:rPr>
        <w:t>违约责任</w:t>
      </w:r>
    </w:p>
    <w:p w14:paraId="44388581">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（一）甲方及其工作人员违反本合同第二、三条，按管理权限，依据国务院《建设工程质量管理条例》有关规定给予相应的处罚；涉嫌犯罪的，依法追究刑事责任；给乙方单位造成经济损失的，应予以赔偿。</w:t>
      </w:r>
    </w:p>
    <w:p w14:paraId="63FC77FF">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（二）乙方及其工作人员违反本合同第二、四条，按管理权限，依国务院《建设工程质量管理条例》有关规定给予相应的处罚；涉嫌犯罪的，依法追究刑事责任；给甲方单位造成经济损失的，应予以赔偿。</w:t>
      </w:r>
    </w:p>
    <w:p w14:paraId="10C4B63B">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六、</w:t>
      </w:r>
      <w:r>
        <w:rPr>
          <w:rFonts w:hint="eastAsia" w:ascii="宋体" w:hAnsi="宋体"/>
          <w:color w:val="auto"/>
          <w:sz w:val="24"/>
          <w:highlight w:val="none"/>
        </w:rPr>
        <w:t>本合同有效期为自甲、乙双方签署之日起至该工程项目设计使用年限届满之日止。</w:t>
      </w:r>
    </w:p>
    <w:p w14:paraId="26804334">
      <w:pPr>
        <w:adjustRightInd w:val="0"/>
        <w:snapToGrid w:val="0"/>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七、</w:t>
      </w:r>
      <w:r>
        <w:rPr>
          <w:rFonts w:hint="eastAsia" w:ascii="宋体" w:hAnsi="宋体"/>
          <w:color w:val="auto"/>
          <w:sz w:val="24"/>
          <w:highlight w:val="none"/>
        </w:rPr>
        <w:t>本合同作为本工程项目管理服务合同的附件。本合同甲、乙双方各执一份。</w:t>
      </w:r>
    </w:p>
    <w:p w14:paraId="00ED05F3">
      <w:pPr>
        <w:adjustRightInd w:val="0"/>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（以下无正文）</w:t>
      </w:r>
    </w:p>
    <w:p w14:paraId="64E97F91">
      <w:pPr>
        <w:spacing w:line="440" w:lineRule="exact"/>
        <w:ind w:firstLine="435"/>
        <w:rPr>
          <w:rFonts w:ascii="宋体" w:hAnsi="宋体"/>
          <w:color w:val="auto"/>
          <w:sz w:val="24"/>
          <w:highlight w:val="none"/>
        </w:rPr>
      </w:pPr>
    </w:p>
    <w:p w14:paraId="51323FF0">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委托方（甲方）：</w:t>
      </w:r>
      <w:r>
        <w:rPr>
          <w:rFonts w:hint="eastAsia" w:ascii="宋体" w:hAnsi="宋体"/>
          <w:color w:val="auto"/>
          <w:sz w:val="24"/>
          <w:highlight w:val="none"/>
          <w:lang w:eastAsia="zh-CN"/>
        </w:rPr>
        <w:t>广州白云棠涌置地有限公司</w:t>
      </w:r>
      <w:r>
        <w:rPr>
          <w:rFonts w:hint="eastAsia" w:ascii="宋体" w:hAnsi="宋体"/>
          <w:color w:val="auto"/>
          <w:sz w:val="24"/>
          <w:highlight w:val="none"/>
        </w:rPr>
        <w:t xml:space="preserve"> （盖章）                    　           </w:t>
      </w:r>
    </w:p>
    <w:p w14:paraId="35CDD6DC">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法定代表人：                           </w:t>
      </w:r>
    </w:p>
    <w:p w14:paraId="73113C97">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签约代表：                             </w:t>
      </w:r>
    </w:p>
    <w:p w14:paraId="7FE18E12">
      <w:pPr>
        <w:pStyle w:val="6"/>
        <w:spacing w:line="480" w:lineRule="auto"/>
        <w:ind w:firstLine="0" w:firstLineChars="0"/>
        <w:rPr>
          <w:color w:val="auto"/>
          <w:highlight w:val="none"/>
        </w:rPr>
      </w:pPr>
    </w:p>
    <w:p w14:paraId="26F0B72B">
      <w:pPr>
        <w:pStyle w:val="6"/>
        <w:spacing w:line="480" w:lineRule="auto"/>
        <w:ind w:firstLine="0" w:firstLineChars="0"/>
        <w:rPr>
          <w:color w:val="auto"/>
          <w:highlight w:val="none"/>
        </w:rPr>
      </w:pPr>
    </w:p>
    <w:p w14:paraId="69506C80">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受托方（乙方）：</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14:paraId="044FA700">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法定代表人：</w:t>
      </w:r>
    </w:p>
    <w:p w14:paraId="217F746F">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签约代表： </w:t>
      </w:r>
    </w:p>
    <w:p w14:paraId="3BBBEA03">
      <w:pPr>
        <w:spacing w:line="480" w:lineRule="auto"/>
        <w:rPr>
          <w:color w:val="auto"/>
          <w:highlight w:val="none"/>
        </w:rPr>
      </w:pPr>
      <w:r>
        <w:rPr>
          <w:rFonts w:hint="eastAsia" w:ascii="宋体" w:hAnsi="宋体"/>
          <w:color w:val="auto"/>
          <w:sz w:val="24"/>
          <w:highlight w:val="none"/>
        </w:rPr>
        <w:t xml:space="preserve">    签订日期：      年     月    日</w:t>
      </w:r>
    </w:p>
    <w:p w14:paraId="09091000">
      <w:pPr>
        <w:pStyle w:val="17"/>
        <w:rPr>
          <w:color w:val="auto"/>
          <w:highlight w:val="none"/>
        </w:rPr>
        <w:sectPr>
          <w:pgSz w:w="11906" w:h="16838"/>
          <w:pgMar w:top="1440" w:right="1797" w:bottom="1440" w:left="1797" w:header="851" w:footer="992" w:gutter="0"/>
          <w:cols w:space="720" w:num="1"/>
          <w:titlePg/>
          <w:rtlGutter w:val="1"/>
          <w:docGrid w:type="lines" w:linePitch="312" w:charSpace="0"/>
        </w:sectPr>
      </w:pPr>
    </w:p>
    <w:p w14:paraId="03CD3DEF">
      <w:pPr>
        <w:numPr>
          <w:ilvl w:val="0"/>
          <w:numId w:val="0"/>
        </w:numPr>
        <w:spacing w:line="360" w:lineRule="auto"/>
        <w:ind w:firstLine="0" w:firstLineChars="0"/>
        <w:jc w:val="left"/>
        <w:rPr>
          <w:rFonts w:hint="eastAsia"/>
          <w:b/>
          <w:bCs/>
          <w:color w:val="auto"/>
          <w:sz w:val="24"/>
          <w:szCs w:val="24"/>
          <w:highlight w:val="none"/>
          <w:lang w:val="en-US" w:eastAsia="zh-CN"/>
        </w:rPr>
      </w:pPr>
      <w:r>
        <w:rPr>
          <w:rFonts w:hint="eastAsia"/>
          <w:b/>
          <w:bCs/>
          <w:color w:val="auto"/>
          <w:sz w:val="24"/>
          <w:szCs w:val="24"/>
          <w:highlight w:val="none"/>
          <w:lang w:val="en-US" w:eastAsia="zh-CN"/>
        </w:rPr>
        <w:t>附件6</w:t>
      </w:r>
    </w:p>
    <w:p w14:paraId="7E7A82BB">
      <w:pPr>
        <w:numPr>
          <w:ilvl w:val="0"/>
          <w:numId w:val="0"/>
        </w:numPr>
        <w:spacing w:line="480" w:lineRule="auto"/>
        <w:ind w:firstLine="241" w:firstLineChars="100"/>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项目服务管理团队人员配备表</w:t>
      </w:r>
    </w:p>
    <w:tbl>
      <w:tblPr>
        <w:tblStyle w:val="18"/>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906"/>
        <w:gridCol w:w="1001"/>
        <w:gridCol w:w="3895"/>
      </w:tblGrid>
      <w:tr w14:paraId="15D3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blHeader/>
          <w:jc w:val="center"/>
        </w:trPr>
        <w:tc>
          <w:tcPr>
            <w:tcW w:w="1555" w:type="dxa"/>
            <w:tcBorders>
              <w:top w:val="single" w:color="auto" w:sz="4" w:space="0"/>
              <w:left w:val="single" w:color="auto" w:sz="4" w:space="0"/>
              <w:bottom w:val="single" w:color="auto" w:sz="4" w:space="0"/>
              <w:right w:val="single" w:color="auto" w:sz="4" w:space="0"/>
            </w:tcBorders>
            <w:vAlign w:val="center"/>
          </w:tcPr>
          <w:p w14:paraId="06BB345C">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部门</w:t>
            </w:r>
          </w:p>
        </w:tc>
        <w:tc>
          <w:tcPr>
            <w:tcW w:w="2906" w:type="dxa"/>
            <w:tcBorders>
              <w:top w:val="single" w:color="auto" w:sz="4" w:space="0"/>
              <w:left w:val="nil"/>
              <w:bottom w:val="single" w:color="auto" w:sz="4" w:space="0"/>
              <w:right w:val="single" w:color="auto" w:sz="4" w:space="0"/>
            </w:tcBorders>
            <w:vAlign w:val="center"/>
          </w:tcPr>
          <w:p w14:paraId="5D754D8D">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拟在本项目任职岗位</w:t>
            </w:r>
          </w:p>
        </w:tc>
        <w:tc>
          <w:tcPr>
            <w:tcW w:w="1001" w:type="dxa"/>
            <w:tcBorders>
              <w:top w:val="single" w:color="auto" w:sz="4" w:space="0"/>
              <w:left w:val="nil"/>
              <w:bottom w:val="single" w:color="auto" w:sz="4" w:space="0"/>
              <w:right w:val="single" w:color="auto" w:sz="4" w:space="0"/>
            </w:tcBorders>
            <w:vAlign w:val="center"/>
          </w:tcPr>
          <w:p w14:paraId="5DEAA833">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数量</w:t>
            </w:r>
          </w:p>
        </w:tc>
        <w:tc>
          <w:tcPr>
            <w:tcW w:w="3895" w:type="dxa"/>
            <w:tcBorders>
              <w:top w:val="single" w:color="auto" w:sz="4" w:space="0"/>
              <w:left w:val="nil"/>
              <w:bottom w:val="single" w:color="auto" w:sz="4" w:space="0"/>
              <w:right w:val="single" w:color="auto" w:sz="4" w:space="0"/>
            </w:tcBorders>
            <w:vAlign w:val="center"/>
          </w:tcPr>
          <w:p w14:paraId="7FB87DED">
            <w:pPr>
              <w:keepNext w:val="0"/>
              <w:keepLines w:val="0"/>
              <w:suppressLineNumbers w:val="0"/>
              <w:spacing w:before="0" w:beforeAutospacing="0" w:after="0" w:afterAutospacing="0"/>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具体人员要求</w:t>
            </w:r>
          </w:p>
        </w:tc>
      </w:tr>
      <w:tr w14:paraId="6AA6D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55" w:type="dxa"/>
            <w:vMerge w:val="restart"/>
            <w:tcBorders>
              <w:top w:val="nil"/>
              <w:left w:val="single" w:color="auto" w:sz="4" w:space="0"/>
              <w:right w:val="single" w:color="auto" w:sz="4" w:space="0"/>
            </w:tcBorders>
            <w:vAlign w:val="center"/>
          </w:tcPr>
          <w:p w14:paraId="12B89585">
            <w:pPr>
              <w:keepNext w:val="0"/>
              <w:keepLines w:val="0"/>
              <w:suppressLineNumbers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项目管理</w:t>
            </w:r>
          </w:p>
        </w:tc>
        <w:tc>
          <w:tcPr>
            <w:tcW w:w="2906" w:type="dxa"/>
            <w:tcBorders>
              <w:top w:val="single" w:color="auto" w:sz="4" w:space="0"/>
              <w:left w:val="nil"/>
              <w:bottom w:val="single" w:color="auto" w:sz="4" w:space="0"/>
              <w:right w:val="single" w:color="auto" w:sz="4" w:space="0"/>
            </w:tcBorders>
            <w:vAlign w:val="center"/>
          </w:tcPr>
          <w:p w14:paraId="2B65D0DB">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项目负责人</w:t>
            </w:r>
          </w:p>
          <w:p w14:paraId="38309C7A">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(现场管理人员)</w:t>
            </w:r>
          </w:p>
        </w:tc>
        <w:tc>
          <w:tcPr>
            <w:tcW w:w="1001" w:type="dxa"/>
            <w:tcBorders>
              <w:top w:val="single" w:color="auto" w:sz="4" w:space="0"/>
              <w:left w:val="nil"/>
              <w:bottom w:val="single" w:color="auto" w:sz="4" w:space="0"/>
              <w:right w:val="single" w:color="auto" w:sz="4" w:space="0"/>
            </w:tcBorders>
            <w:vAlign w:val="center"/>
          </w:tcPr>
          <w:p w14:paraId="7785E0B9">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191134A9">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按招标公告投标人资格要求。</w:t>
            </w:r>
          </w:p>
        </w:tc>
      </w:tr>
      <w:tr w14:paraId="281CB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555" w:type="dxa"/>
            <w:vMerge w:val="continue"/>
            <w:tcBorders>
              <w:left w:val="single" w:color="auto" w:sz="4" w:space="0"/>
              <w:right w:val="single" w:color="auto" w:sz="4" w:space="0"/>
            </w:tcBorders>
            <w:vAlign w:val="center"/>
          </w:tcPr>
          <w:p w14:paraId="2555AD9A">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6B6DD36C">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项目统筹管理成员</w:t>
            </w:r>
          </w:p>
        </w:tc>
        <w:tc>
          <w:tcPr>
            <w:tcW w:w="1001" w:type="dxa"/>
            <w:tcBorders>
              <w:top w:val="single" w:color="auto" w:sz="4" w:space="0"/>
              <w:left w:val="nil"/>
              <w:bottom w:val="single" w:color="auto" w:sz="4" w:space="0"/>
              <w:right w:val="single" w:color="auto" w:sz="4" w:space="0"/>
            </w:tcBorders>
            <w:vAlign w:val="center"/>
          </w:tcPr>
          <w:p w14:paraId="2BB4DD2E">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lang w:val="en-US" w:eastAsia="zh-CN"/>
              </w:rPr>
              <w:t>1</w:t>
            </w:r>
            <w:r>
              <w:rPr>
                <w:rFonts w:hint="default" w:ascii="宋体" w:hAnsi="宋体" w:cs="宋体"/>
                <w:bCs/>
                <w:color w:val="auto"/>
                <w:szCs w:val="21"/>
                <w:highlight w:val="none"/>
              </w:rPr>
              <w:t>人</w:t>
            </w:r>
          </w:p>
        </w:tc>
        <w:tc>
          <w:tcPr>
            <w:tcW w:w="3895" w:type="dxa"/>
            <w:tcBorders>
              <w:top w:val="single" w:color="auto" w:sz="4" w:space="0"/>
              <w:left w:val="nil"/>
              <w:bottom w:val="single" w:color="auto" w:sz="4" w:space="0"/>
              <w:right w:val="single" w:color="auto" w:sz="4" w:space="0"/>
            </w:tcBorders>
            <w:vAlign w:val="center"/>
          </w:tcPr>
          <w:p w14:paraId="4166BA34">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具有工程类高级（或以上）工程师职称</w:t>
            </w:r>
            <w:r>
              <w:rPr>
                <w:rFonts w:hint="eastAsia" w:ascii="宋体" w:hAnsi="宋体" w:cs="宋体"/>
                <w:bCs/>
                <w:color w:val="auto"/>
                <w:szCs w:val="21"/>
                <w:highlight w:val="none"/>
              </w:rPr>
              <w:t>。</w:t>
            </w:r>
          </w:p>
        </w:tc>
      </w:tr>
      <w:tr w14:paraId="6D75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555" w:type="dxa"/>
            <w:vMerge w:val="continue"/>
            <w:tcBorders>
              <w:left w:val="single" w:color="auto" w:sz="4" w:space="0"/>
              <w:right w:val="single" w:color="auto" w:sz="4" w:space="0"/>
            </w:tcBorders>
            <w:vAlign w:val="center"/>
          </w:tcPr>
          <w:p w14:paraId="73663F83">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7CECD6B0">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设计管理人员</w:t>
            </w:r>
          </w:p>
        </w:tc>
        <w:tc>
          <w:tcPr>
            <w:tcW w:w="1001" w:type="dxa"/>
            <w:tcBorders>
              <w:top w:val="single" w:color="auto" w:sz="4" w:space="0"/>
              <w:left w:val="nil"/>
              <w:bottom w:val="single" w:color="auto" w:sz="4" w:space="0"/>
              <w:right w:val="single" w:color="auto" w:sz="4" w:space="0"/>
            </w:tcBorders>
            <w:vAlign w:val="center"/>
          </w:tcPr>
          <w:p w14:paraId="6159A834">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1581F9DE">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具有一级建筑师证书或工程类中级（或以上）技术职称或工程经济类中级（或以上）技术职称或从事相关专业工作满8年（或以上）。</w:t>
            </w:r>
          </w:p>
        </w:tc>
      </w:tr>
      <w:tr w14:paraId="79533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555" w:type="dxa"/>
            <w:vMerge w:val="continue"/>
            <w:tcBorders>
              <w:left w:val="single" w:color="auto" w:sz="4" w:space="0"/>
              <w:right w:val="single" w:color="auto" w:sz="4" w:space="0"/>
            </w:tcBorders>
            <w:vAlign w:val="center"/>
          </w:tcPr>
          <w:p w14:paraId="41B9F224">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3648E419">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合同</w:t>
            </w:r>
            <w:r>
              <w:rPr>
                <w:rFonts w:hint="default" w:ascii="宋体" w:hAnsi="宋体" w:cs="宋体"/>
                <w:bCs/>
                <w:color w:val="auto"/>
                <w:szCs w:val="21"/>
                <w:highlight w:val="none"/>
              </w:rPr>
              <w:t>造价管理人员</w:t>
            </w:r>
          </w:p>
        </w:tc>
        <w:tc>
          <w:tcPr>
            <w:tcW w:w="1001" w:type="dxa"/>
            <w:tcBorders>
              <w:top w:val="single" w:color="auto" w:sz="4" w:space="0"/>
              <w:left w:val="nil"/>
              <w:bottom w:val="single" w:color="auto" w:sz="4" w:space="0"/>
              <w:right w:val="single" w:color="auto" w:sz="4" w:space="0"/>
            </w:tcBorders>
            <w:vAlign w:val="center"/>
          </w:tcPr>
          <w:p w14:paraId="28E78AC7">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7BF3973F">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rPr>
              <w:t>具有一级造价工程师证书或工程类中级（或以上）技术职称或工程经济类中级（或以上）技术职称或从事相关专业工作满8年（或以上）。</w:t>
            </w:r>
          </w:p>
        </w:tc>
      </w:tr>
      <w:tr w14:paraId="3A61D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555" w:type="dxa"/>
            <w:vMerge w:val="continue"/>
            <w:tcBorders>
              <w:left w:val="single" w:color="auto" w:sz="4" w:space="0"/>
              <w:right w:val="single" w:color="auto" w:sz="4" w:space="0"/>
            </w:tcBorders>
            <w:vAlign w:val="center"/>
          </w:tcPr>
          <w:p w14:paraId="3074D3B8">
            <w:pPr>
              <w:keepNext w:val="0"/>
              <w:keepLines w:val="0"/>
              <w:suppressLineNumbers w:val="0"/>
              <w:spacing w:before="0" w:beforeAutospacing="0" w:after="0" w:afterAutospacing="0"/>
              <w:ind w:left="0" w:right="0"/>
              <w:rPr>
                <w:rFonts w:hint="default" w:ascii="宋体" w:hAnsi="宋体" w:cs="宋体"/>
                <w:color w:val="auto"/>
                <w:szCs w:val="21"/>
                <w:highlight w:val="none"/>
              </w:rPr>
            </w:pPr>
          </w:p>
        </w:tc>
        <w:tc>
          <w:tcPr>
            <w:tcW w:w="2906" w:type="dxa"/>
            <w:tcBorders>
              <w:top w:val="single" w:color="auto" w:sz="4" w:space="0"/>
              <w:left w:val="nil"/>
              <w:bottom w:val="single" w:color="auto" w:sz="4" w:space="0"/>
              <w:right w:val="single" w:color="auto" w:sz="4" w:space="0"/>
            </w:tcBorders>
            <w:vAlign w:val="center"/>
          </w:tcPr>
          <w:p w14:paraId="74CFBBC5">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报批报建管理人员</w:t>
            </w:r>
          </w:p>
        </w:tc>
        <w:tc>
          <w:tcPr>
            <w:tcW w:w="1001" w:type="dxa"/>
            <w:tcBorders>
              <w:top w:val="single" w:color="auto" w:sz="4" w:space="0"/>
              <w:left w:val="nil"/>
              <w:bottom w:val="single" w:color="auto" w:sz="4" w:space="0"/>
              <w:right w:val="single" w:color="auto" w:sz="4" w:space="0"/>
            </w:tcBorders>
            <w:vAlign w:val="center"/>
          </w:tcPr>
          <w:p w14:paraId="4328CFD2">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1人</w:t>
            </w:r>
          </w:p>
        </w:tc>
        <w:tc>
          <w:tcPr>
            <w:tcW w:w="3895" w:type="dxa"/>
            <w:tcBorders>
              <w:top w:val="single" w:color="auto" w:sz="4" w:space="0"/>
              <w:left w:val="nil"/>
              <w:bottom w:val="single" w:color="auto" w:sz="4" w:space="0"/>
              <w:right w:val="single" w:color="auto" w:sz="4" w:space="0"/>
            </w:tcBorders>
            <w:vAlign w:val="center"/>
          </w:tcPr>
          <w:p w14:paraId="57C65873">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具有咨询工程师（投资）证书或工程类中级（或以上）</w:t>
            </w:r>
            <w:r>
              <w:rPr>
                <w:rFonts w:hint="eastAsia" w:ascii="宋体" w:hAnsi="宋体" w:cs="宋体"/>
                <w:bCs/>
                <w:color w:val="auto"/>
                <w:szCs w:val="21"/>
                <w:highlight w:val="none"/>
              </w:rPr>
              <w:t>技术</w:t>
            </w:r>
            <w:r>
              <w:rPr>
                <w:rFonts w:hint="default" w:ascii="宋体" w:hAnsi="宋体" w:cs="宋体"/>
                <w:bCs/>
                <w:color w:val="auto"/>
                <w:szCs w:val="21"/>
                <w:highlight w:val="none"/>
              </w:rPr>
              <w:t>职称</w:t>
            </w:r>
            <w:r>
              <w:rPr>
                <w:rFonts w:hint="eastAsia" w:ascii="宋体" w:hAnsi="宋体" w:cs="宋体"/>
                <w:bCs/>
                <w:color w:val="auto"/>
                <w:szCs w:val="21"/>
                <w:highlight w:val="none"/>
              </w:rPr>
              <w:t>，或具有本科（或以上）学历并从事相关专业工作8年（或以上）。</w:t>
            </w:r>
          </w:p>
        </w:tc>
      </w:tr>
      <w:tr w14:paraId="0BDE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61" w:type="dxa"/>
            <w:gridSpan w:val="2"/>
            <w:tcBorders>
              <w:left w:val="single" w:color="auto" w:sz="4" w:space="0"/>
              <w:right w:val="single" w:color="auto" w:sz="4" w:space="0"/>
            </w:tcBorders>
            <w:vAlign w:val="center"/>
          </w:tcPr>
          <w:p w14:paraId="728B74E8">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default" w:ascii="宋体" w:hAnsi="宋体" w:cs="宋体"/>
                <w:bCs/>
                <w:color w:val="auto"/>
                <w:szCs w:val="21"/>
                <w:highlight w:val="none"/>
              </w:rPr>
              <w:t>合计</w:t>
            </w:r>
          </w:p>
        </w:tc>
        <w:tc>
          <w:tcPr>
            <w:tcW w:w="1001" w:type="dxa"/>
            <w:tcBorders>
              <w:top w:val="single" w:color="auto" w:sz="4" w:space="0"/>
              <w:left w:val="nil"/>
              <w:bottom w:val="single" w:color="auto" w:sz="4" w:space="0"/>
              <w:right w:val="single" w:color="auto" w:sz="4" w:space="0"/>
            </w:tcBorders>
            <w:vAlign w:val="center"/>
          </w:tcPr>
          <w:p w14:paraId="0FA93775">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r>
              <w:rPr>
                <w:rFonts w:hint="eastAsia" w:ascii="宋体" w:hAnsi="宋体" w:cs="宋体"/>
                <w:bCs/>
                <w:color w:val="auto"/>
                <w:szCs w:val="21"/>
                <w:highlight w:val="none"/>
                <w:lang w:val="en-US" w:eastAsia="zh-CN"/>
              </w:rPr>
              <w:t>5</w:t>
            </w:r>
            <w:r>
              <w:rPr>
                <w:rFonts w:hint="default" w:ascii="宋体" w:hAnsi="宋体" w:cs="宋体"/>
                <w:bCs/>
                <w:color w:val="auto"/>
                <w:szCs w:val="21"/>
                <w:highlight w:val="none"/>
              </w:rPr>
              <w:t>人</w:t>
            </w:r>
          </w:p>
        </w:tc>
        <w:tc>
          <w:tcPr>
            <w:tcW w:w="3895" w:type="dxa"/>
            <w:tcBorders>
              <w:top w:val="single" w:color="auto" w:sz="4" w:space="0"/>
              <w:left w:val="nil"/>
              <w:bottom w:val="single" w:color="auto" w:sz="4" w:space="0"/>
              <w:right w:val="single" w:color="auto" w:sz="4" w:space="0"/>
            </w:tcBorders>
            <w:vAlign w:val="center"/>
          </w:tcPr>
          <w:p w14:paraId="52ED7A03">
            <w:pPr>
              <w:keepNext w:val="0"/>
              <w:keepLines w:val="0"/>
              <w:suppressLineNumbers w:val="0"/>
              <w:spacing w:before="0" w:beforeAutospacing="0" w:after="0" w:afterAutospacing="0"/>
              <w:ind w:left="0" w:right="0"/>
              <w:jc w:val="center"/>
              <w:rPr>
                <w:rFonts w:hint="default" w:ascii="宋体" w:hAnsi="宋体" w:cs="宋体"/>
                <w:bCs/>
                <w:color w:val="auto"/>
                <w:szCs w:val="21"/>
                <w:highlight w:val="none"/>
              </w:rPr>
            </w:pPr>
          </w:p>
        </w:tc>
      </w:tr>
      <w:tr w14:paraId="6CCF0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57" w:type="dxa"/>
            <w:gridSpan w:val="4"/>
            <w:tcBorders>
              <w:top w:val="single" w:color="auto" w:sz="4" w:space="0"/>
              <w:left w:val="single" w:color="auto" w:sz="4" w:space="0"/>
              <w:bottom w:val="single" w:color="auto" w:sz="4" w:space="0"/>
              <w:right w:val="single" w:color="auto" w:sz="4" w:space="0"/>
            </w:tcBorders>
            <w:vAlign w:val="center"/>
          </w:tcPr>
          <w:p w14:paraId="42BD0713">
            <w:pPr>
              <w:keepNext w:val="0"/>
              <w:keepLines w:val="0"/>
              <w:numPr>
                <w:ilvl w:val="0"/>
                <w:numId w:val="0"/>
              </w:numPr>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注：1、上述人员不得互相兼任。</w:t>
            </w:r>
          </w:p>
          <w:p w14:paraId="582C6947">
            <w:pPr>
              <w:keepNext w:val="0"/>
              <w:keepLines w:val="0"/>
              <w:numPr>
                <w:ilvl w:val="0"/>
                <w:numId w:val="0"/>
              </w:numPr>
              <w:suppressLineNumbers w:val="0"/>
              <w:spacing w:before="0" w:beforeAutospacing="0" w:after="0" w:afterAutospacing="0"/>
              <w:ind w:left="0" w:right="0"/>
              <w:jc w:val="left"/>
              <w:rPr>
                <w:rFonts w:hint="eastAsia" w:ascii="宋体" w:hAnsi="宋体" w:cs="宋体"/>
                <w:color w:val="auto"/>
                <w:szCs w:val="21"/>
                <w:highlight w:val="none"/>
              </w:rPr>
            </w:pPr>
            <w:r>
              <w:rPr>
                <w:rFonts w:hint="eastAsia" w:ascii="宋体" w:hAnsi="宋体" w:cs="宋体"/>
                <w:color w:val="auto"/>
                <w:szCs w:val="21"/>
                <w:highlight w:val="none"/>
              </w:rPr>
              <w:t>2、若提供一级建筑师证书、一级造价工程师证书、咨询工程师（投资）证书的，以执业资格证为准，不提供不得分；实施分级前的注册造价工程师自动划分为一级注册造价工程师，详见住房和城乡建设部关于修改《工程造价咨询企业管理办法》《注册造价工程师管理办法》的决定（中华人民共和国住房和城乡建设部令第50号）。提供实施分级前的注册造价工程师证书的，还需同时提供相关网站查询的网页信息截图打印件，注册单位需是本单位，且状态为“正常”或在有效期内。</w:t>
            </w:r>
          </w:p>
        </w:tc>
      </w:tr>
    </w:tbl>
    <w:p w14:paraId="7F04656A">
      <w:pPr>
        <w:pStyle w:val="2"/>
        <w:rPr>
          <w:rFonts w:hint="eastAsia"/>
          <w:color w:val="auto"/>
          <w:highlight w:val="none"/>
          <w:lang w:val="en-US" w:eastAsia="zh-CN"/>
        </w:rPr>
      </w:pPr>
    </w:p>
    <w:p w14:paraId="37251119">
      <w:pPr>
        <w:pStyle w:val="17"/>
        <w:rPr>
          <w:color w:val="auto"/>
          <w:highlight w:val="none"/>
        </w:rPr>
      </w:pPr>
    </w:p>
    <w:p w14:paraId="1C5A0C65">
      <w:pPr>
        <w:pStyle w:val="2"/>
        <w:rPr>
          <w:color w:val="auto"/>
          <w:highlight w:val="none"/>
        </w:rPr>
      </w:pPr>
    </w:p>
    <w:p w14:paraId="2B804BD2">
      <w:pPr>
        <w:snapToGrid w:val="0"/>
        <w:spacing w:line="480" w:lineRule="auto"/>
        <w:jc w:val="center"/>
        <w:rPr>
          <w:rFonts w:ascii="宋体" w:hAnsi="宋体" w:cs="仿宋_GB2312"/>
          <w:color w:val="auto"/>
          <w:sz w:val="24"/>
          <w:szCs w:val="24"/>
          <w:highlight w:val="none"/>
        </w:rPr>
      </w:pPr>
    </w:p>
    <w:sectPr>
      <w:footerReference r:id="rId7" w:type="first"/>
      <w:headerReference r:id="rId6" w:type="default"/>
      <w:pgSz w:w="11906" w:h="16838"/>
      <w:pgMar w:top="1327" w:right="1514" w:bottom="1327" w:left="1514" w:header="851" w:footer="992" w:gutter="0"/>
      <w:cols w:space="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5B637">
    <w:pPr>
      <w:pStyle w:val="13"/>
      <w:jc w:val="center"/>
    </w:pPr>
    <w:r>
      <w:fldChar w:fldCharType="begin"/>
    </w:r>
    <w:r>
      <w:instrText xml:space="preserve"> PAGE   \* MERGEFORMAT </w:instrText>
    </w:r>
    <w:r>
      <w:fldChar w:fldCharType="separate"/>
    </w:r>
    <w:r>
      <w:t>14</w:t>
    </w:r>
    <w:r>
      <w:fldChar w:fldCharType="end"/>
    </w:r>
  </w:p>
  <w:p w14:paraId="4F309C9F">
    <w:pPr>
      <w:wordWrap w:val="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D848">
    <w:pPr>
      <w:pStyle w:val="13"/>
      <w:jc w:val="center"/>
    </w:pPr>
  </w:p>
  <w:p w14:paraId="24DAD31C">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041B0">
    <w:pPr>
      <w:pStyle w:val="13"/>
      <w:jc w:val="center"/>
    </w:pPr>
    <w:r>
      <w:fldChar w:fldCharType="begin"/>
    </w:r>
    <w:r>
      <w:instrText xml:space="preserve"> PAGE   \* MERGEFORMAT </w:instrText>
    </w:r>
    <w:r>
      <w:fldChar w:fldCharType="separate"/>
    </w:r>
    <w:r>
      <w:t>1</w:t>
    </w:r>
    <w:r>
      <w:fldChar w:fldCharType="end"/>
    </w:r>
  </w:p>
  <w:p w14:paraId="0A72311F">
    <w:pPr>
      <w:pStyle w:val="13"/>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C868">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634E3">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720"/>
        </w:tabs>
        <w:ind w:left="720" w:hanging="720"/>
      </w:pPr>
    </w:lvl>
    <w:lvl w:ilvl="2" w:tentative="0">
      <w:start w:val="1"/>
      <w:numFmt w:val="decimal"/>
      <w:lvlText w:val="%3、"/>
      <w:lvlJc w:val="left"/>
      <w:pPr>
        <w:tabs>
          <w:tab w:val="left" w:pos="1260"/>
        </w:tabs>
        <w:ind w:left="1260" w:hanging="42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3006059"/>
    <w:multiLevelType w:val="multilevel"/>
    <w:tmpl w:val="23006059"/>
    <w:lvl w:ilvl="0" w:tentative="0">
      <w:start w:val="3"/>
      <w:numFmt w:val="decimal"/>
      <w:lvlText w:val="%1."/>
      <w:lvlJc w:val="left"/>
      <w:pPr>
        <w:tabs>
          <w:tab w:val="left" w:pos="480"/>
        </w:tabs>
        <w:ind w:left="480" w:hanging="480"/>
      </w:pPr>
      <w:rPr>
        <w:rFonts w:hint="default" w:cs="Times New Roman"/>
      </w:rPr>
    </w:lvl>
    <w:lvl w:ilvl="1" w:tentative="0">
      <w:start w:val="1"/>
      <w:numFmt w:val="decimal"/>
      <w:lvlText w:val="%1.%2."/>
      <w:lvlJc w:val="left"/>
      <w:pPr>
        <w:tabs>
          <w:tab w:val="left" w:pos="1080"/>
        </w:tabs>
        <w:ind w:left="1080" w:hanging="720"/>
      </w:pPr>
      <w:rPr>
        <w:rFonts w:hint="default" w:cs="Times New Roman"/>
        <w:b/>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2160"/>
        </w:tabs>
        <w:ind w:left="2160" w:hanging="1080"/>
      </w:pPr>
      <w:rPr>
        <w:rFonts w:hint="default" w:cs="Times New Roman"/>
      </w:rPr>
    </w:lvl>
    <w:lvl w:ilvl="4" w:tentative="0">
      <w:start w:val="1"/>
      <w:numFmt w:val="decimal"/>
      <w:lvlText w:val="%1.%2.%3.%4.%5."/>
      <w:lvlJc w:val="left"/>
      <w:pPr>
        <w:tabs>
          <w:tab w:val="left" w:pos="2880"/>
        </w:tabs>
        <w:ind w:left="2880" w:hanging="1440"/>
      </w:pPr>
      <w:rPr>
        <w:rFonts w:hint="default" w:cs="Times New Roman"/>
      </w:rPr>
    </w:lvl>
    <w:lvl w:ilvl="5" w:tentative="0">
      <w:start w:val="1"/>
      <w:numFmt w:val="decimal"/>
      <w:lvlText w:val="%1.%2.%3.%4.%5.%6."/>
      <w:lvlJc w:val="left"/>
      <w:pPr>
        <w:tabs>
          <w:tab w:val="left" w:pos="3240"/>
        </w:tabs>
        <w:ind w:left="3240" w:hanging="1440"/>
      </w:pPr>
      <w:rPr>
        <w:rFonts w:hint="default" w:cs="Times New Roman"/>
      </w:rPr>
    </w:lvl>
    <w:lvl w:ilvl="6" w:tentative="0">
      <w:start w:val="1"/>
      <w:numFmt w:val="decimal"/>
      <w:lvlText w:val="%1.%2.%3.%4.%5.%6.%7."/>
      <w:lvlJc w:val="left"/>
      <w:pPr>
        <w:tabs>
          <w:tab w:val="left" w:pos="3960"/>
        </w:tabs>
        <w:ind w:left="3960" w:hanging="1800"/>
      </w:pPr>
      <w:rPr>
        <w:rFonts w:hint="default" w:cs="Times New Roman"/>
      </w:rPr>
    </w:lvl>
    <w:lvl w:ilvl="7" w:tentative="0">
      <w:start w:val="1"/>
      <w:numFmt w:val="decimal"/>
      <w:lvlText w:val="%1.%2.%3.%4.%5.%6.%7.%8."/>
      <w:lvlJc w:val="left"/>
      <w:pPr>
        <w:tabs>
          <w:tab w:val="left" w:pos="4680"/>
        </w:tabs>
        <w:ind w:left="4680" w:hanging="2160"/>
      </w:pPr>
      <w:rPr>
        <w:rFonts w:hint="default" w:cs="Times New Roman"/>
      </w:rPr>
    </w:lvl>
    <w:lvl w:ilvl="8" w:tentative="0">
      <w:start w:val="1"/>
      <w:numFmt w:val="decimal"/>
      <w:lvlText w:val="%1.%2.%3.%4.%5.%6.%7.%8.%9."/>
      <w:lvlJc w:val="left"/>
      <w:pPr>
        <w:tabs>
          <w:tab w:val="left" w:pos="5040"/>
        </w:tabs>
        <w:ind w:left="5040" w:hanging="2160"/>
      </w:pPr>
      <w:rPr>
        <w:rFonts w:hint="default" w:cs="Times New Roman"/>
      </w:rPr>
    </w:lvl>
  </w:abstractNum>
  <w:abstractNum w:abstractNumId="2">
    <w:nsid w:val="247E23CD"/>
    <w:multiLevelType w:val="multilevel"/>
    <w:tmpl w:val="247E23CD"/>
    <w:lvl w:ilvl="0" w:tentative="0">
      <w:start w:val="1"/>
      <w:numFmt w:val="japaneseCounting"/>
      <w:lvlText w:val="第%1节"/>
      <w:lvlJc w:val="left"/>
      <w:pPr>
        <w:tabs>
          <w:tab w:val="left" w:pos="1080"/>
        </w:tabs>
        <w:ind w:left="1080" w:hanging="108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3"/>
      <w:numFmt w:val="decimal"/>
      <w:lvlText w:val="%3"/>
      <w:lvlJc w:val="left"/>
      <w:pPr>
        <w:tabs>
          <w:tab w:val="left" w:pos="1305"/>
        </w:tabs>
        <w:ind w:left="1305" w:hanging="465"/>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6"/>
      <w:numFmt w:val="japaneseCounting"/>
      <w:lvlText w:val="%5、"/>
      <w:lvlJc w:val="left"/>
      <w:pPr>
        <w:tabs>
          <w:tab w:val="left" w:pos="2580"/>
        </w:tabs>
        <w:ind w:left="2580" w:hanging="900"/>
      </w:pPr>
      <w:rPr>
        <w:rFonts w:hint="default"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32D26926"/>
    <w:multiLevelType w:val="multilevel"/>
    <w:tmpl w:val="32D26926"/>
    <w:lvl w:ilvl="0" w:tentative="0">
      <w:start w:val="2"/>
      <w:numFmt w:val="decimal"/>
      <w:lvlText w:val="%1."/>
      <w:lvlJc w:val="left"/>
      <w:pPr>
        <w:tabs>
          <w:tab w:val="left" w:pos="480"/>
        </w:tabs>
        <w:ind w:left="480" w:hanging="480"/>
      </w:pPr>
      <w:rPr>
        <w:rFonts w:hint="default" w:cs="Times New Roman"/>
      </w:rPr>
    </w:lvl>
    <w:lvl w:ilvl="1" w:tentative="0">
      <w:start w:val="1"/>
      <w:numFmt w:val="decimal"/>
      <w:lvlText w:val="%1.%2."/>
      <w:lvlJc w:val="left"/>
      <w:pPr>
        <w:tabs>
          <w:tab w:val="left" w:pos="1080"/>
        </w:tabs>
        <w:ind w:left="1080" w:hanging="720"/>
      </w:pPr>
      <w:rPr>
        <w:rFonts w:hint="default" w:cs="Times New Roman"/>
        <w:b/>
        <w:bCs w:val="0"/>
      </w:rPr>
    </w:lvl>
    <w:lvl w:ilvl="2" w:tentative="0">
      <w:start w:val="1"/>
      <w:numFmt w:val="decimal"/>
      <w:lvlText w:val="%1.%2.%3."/>
      <w:lvlJc w:val="left"/>
      <w:pPr>
        <w:tabs>
          <w:tab w:val="left" w:pos="1004"/>
        </w:tabs>
        <w:ind w:left="1004" w:hanging="720"/>
      </w:pPr>
      <w:rPr>
        <w:rFonts w:hint="default" w:cs="Times New Roman"/>
        <w:b w:val="0"/>
        <w:bCs w:val="0"/>
      </w:rPr>
    </w:lvl>
    <w:lvl w:ilvl="3" w:tentative="0">
      <w:start w:val="1"/>
      <w:numFmt w:val="decimal"/>
      <w:lvlText w:val="%1.%2.%3.%4."/>
      <w:lvlJc w:val="left"/>
      <w:pPr>
        <w:tabs>
          <w:tab w:val="left" w:pos="2160"/>
        </w:tabs>
        <w:ind w:left="2160" w:hanging="1080"/>
      </w:pPr>
      <w:rPr>
        <w:rFonts w:hint="default" w:cs="Times New Roman"/>
      </w:rPr>
    </w:lvl>
    <w:lvl w:ilvl="4" w:tentative="0">
      <w:start w:val="1"/>
      <w:numFmt w:val="decimal"/>
      <w:lvlText w:val="%1.%2.%3.%4.%5."/>
      <w:lvlJc w:val="left"/>
      <w:pPr>
        <w:tabs>
          <w:tab w:val="left" w:pos="2880"/>
        </w:tabs>
        <w:ind w:left="2880" w:hanging="1440"/>
      </w:pPr>
      <w:rPr>
        <w:rFonts w:hint="default" w:cs="Times New Roman"/>
      </w:rPr>
    </w:lvl>
    <w:lvl w:ilvl="5" w:tentative="0">
      <w:start w:val="1"/>
      <w:numFmt w:val="decimal"/>
      <w:lvlText w:val="%1.%2.%3.%4.%5.%6."/>
      <w:lvlJc w:val="left"/>
      <w:pPr>
        <w:tabs>
          <w:tab w:val="left" w:pos="3240"/>
        </w:tabs>
        <w:ind w:left="3240" w:hanging="1440"/>
      </w:pPr>
      <w:rPr>
        <w:rFonts w:hint="default" w:cs="Times New Roman"/>
      </w:rPr>
    </w:lvl>
    <w:lvl w:ilvl="6" w:tentative="0">
      <w:start w:val="1"/>
      <w:numFmt w:val="decimal"/>
      <w:lvlText w:val="%1.%2.%3.%4.%5.%6.%7."/>
      <w:lvlJc w:val="left"/>
      <w:pPr>
        <w:tabs>
          <w:tab w:val="left" w:pos="3960"/>
        </w:tabs>
        <w:ind w:left="3960" w:hanging="1800"/>
      </w:pPr>
      <w:rPr>
        <w:rFonts w:hint="default" w:cs="Times New Roman"/>
      </w:rPr>
    </w:lvl>
    <w:lvl w:ilvl="7" w:tentative="0">
      <w:start w:val="1"/>
      <w:numFmt w:val="decimal"/>
      <w:lvlText w:val="%1.%2.%3.%4.%5.%6.%7.%8."/>
      <w:lvlJc w:val="left"/>
      <w:pPr>
        <w:tabs>
          <w:tab w:val="left" w:pos="4680"/>
        </w:tabs>
        <w:ind w:left="4680" w:hanging="2160"/>
      </w:pPr>
      <w:rPr>
        <w:rFonts w:hint="default" w:cs="Times New Roman"/>
      </w:rPr>
    </w:lvl>
    <w:lvl w:ilvl="8" w:tentative="0">
      <w:start w:val="1"/>
      <w:numFmt w:val="decimal"/>
      <w:lvlText w:val="%1.%2.%3.%4.%5.%6.%7.%8.%9."/>
      <w:lvlJc w:val="left"/>
      <w:pPr>
        <w:tabs>
          <w:tab w:val="left" w:pos="5040"/>
        </w:tabs>
        <w:ind w:left="5040" w:hanging="2160"/>
      </w:pPr>
      <w:rPr>
        <w:rFonts w:hint="default" w:cs="Times New Roman"/>
      </w:rPr>
    </w:lvl>
  </w:abstractNum>
  <w:abstractNum w:abstractNumId="4">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5"/>
      <w:lvlText w:val="%1.%2"/>
      <w:lvlJc w:val="left"/>
      <w:pPr>
        <w:tabs>
          <w:tab w:val="left" w:pos="576"/>
        </w:tabs>
        <w:ind w:left="576" w:hanging="576"/>
      </w:p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4"/>
  </w:num>
  <w:num w:numId="2">
    <w:abstractNumId w:val="2"/>
  </w:num>
  <w:num w:numId="3">
    <w:abstractNumId w:val="3"/>
  </w:num>
  <w:num w:numId="4">
    <w:abstractNumId w:val="1"/>
  </w:num>
  <w:num w:numId="5">
    <w:abstractNumId w:val="0"/>
    <w:lvlOverride w:ilvl="0">
      <w:startOverride w:val="1"/>
    </w:lvlOverride>
  </w:num>
  <w:num w:numId="6">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2ODczNzVhZGNkOGQxNmZhODVlZTliZGJmOWNkMGUifQ=="/>
  </w:docVars>
  <w:rsids>
    <w:rsidRoot w:val="00172A27"/>
    <w:rsid w:val="0000102F"/>
    <w:rsid w:val="0001228D"/>
    <w:rsid w:val="000122F6"/>
    <w:rsid w:val="0002241D"/>
    <w:rsid w:val="0003123F"/>
    <w:rsid w:val="00046B6C"/>
    <w:rsid w:val="00056DCD"/>
    <w:rsid w:val="00065580"/>
    <w:rsid w:val="000760AC"/>
    <w:rsid w:val="00086844"/>
    <w:rsid w:val="00086CA9"/>
    <w:rsid w:val="00091A8A"/>
    <w:rsid w:val="00093F4B"/>
    <w:rsid w:val="000A05B5"/>
    <w:rsid w:val="000A6D63"/>
    <w:rsid w:val="000B36F0"/>
    <w:rsid w:val="000C0EC0"/>
    <w:rsid w:val="000C7025"/>
    <w:rsid w:val="000E6D4D"/>
    <w:rsid w:val="00103075"/>
    <w:rsid w:val="00112130"/>
    <w:rsid w:val="00112C27"/>
    <w:rsid w:val="001268A8"/>
    <w:rsid w:val="00132254"/>
    <w:rsid w:val="00143E45"/>
    <w:rsid w:val="00152B62"/>
    <w:rsid w:val="0016171D"/>
    <w:rsid w:val="00164E9B"/>
    <w:rsid w:val="00167675"/>
    <w:rsid w:val="00172A27"/>
    <w:rsid w:val="00184B37"/>
    <w:rsid w:val="0018658F"/>
    <w:rsid w:val="00190062"/>
    <w:rsid w:val="001A7EF8"/>
    <w:rsid w:val="001B24D3"/>
    <w:rsid w:val="001C5B72"/>
    <w:rsid w:val="001C6B81"/>
    <w:rsid w:val="001C759C"/>
    <w:rsid w:val="001D3772"/>
    <w:rsid w:val="001D5881"/>
    <w:rsid w:val="001E4E52"/>
    <w:rsid w:val="001F3E3E"/>
    <w:rsid w:val="001F4266"/>
    <w:rsid w:val="001F51DF"/>
    <w:rsid w:val="0020232F"/>
    <w:rsid w:val="00212FA3"/>
    <w:rsid w:val="00213C6E"/>
    <w:rsid w:val="00215A50"/>
    <w:rsid w:val="0021728E"/>
    <w:rsid w:val="00224B4A"/>
    <w:rsid w:val="00237979"/>
    <w:rsid w:val="00246A06"/>
    <w:rsid w:val="00262AAE"/>
    <w:rsid w:val="002633D2"/>
    <w:rsid w:val="00271318"/>
    <w:rsid w:val="002A3F6A"/>
    <w:rsid w:val="002A69D1"/>
    <w:rsid w:val="002C4137"/>
    <w:rsid w:val="002D339F"/>
    <w:rsid w:val="002D5148"/>
    <w:rsid w:val="002D676B"/>
    <w:rsid w:val="003067DE"/>
    <w:rsid w:val="003126A2"/>
    <w:rsid w:val="003254AA"/>
    <w:rsid w:val="00334345"/>
    <w:rsid w:val="003418B3"/>
    <w:rsid w:val="00343ABC"/>
    <w:rsid w:val="00344AE5"/>
    <w:rsid w:val="00345F1F"/>
    <w:rsid w:val="003507F7"/>
    <w:rsid w:val="003522A6"/>
    <w:rsid w:val="00353061"/>
    <w:rsid w:val="00364E5B"/>
    <w:rsid w:val="00387160"/>
    <w:rsid w:val="0038742D"/>
    <w:rsid w:val="003974DA"/>
    <w:rsid w:val="003A02CC"/>
    <w:rsid w:val="003A7D48"/>
    <w:rsid w:val="003B18BF"/>
    <w:rsid w:val="003C1A5C"/>
    <w:rsid w:val="003C4A54"/>
    <w:rsid w:val="003D3A29"/>
    <w:rsid w:val="003E7CEE"/>
    <w:rsid w:val="003F0015"/>
    <w:rsid w:val="003F2E70"/>
    <w:rsid w:val="003F6262"/>
    <w:rsid w:val="003F658F"/>
    <w:rsid w:val="00400438"/>
    <w:rsid w:val="0040168E"/>
    <w:rsid w:val="00403BDF"/>
    <w:rsid w:val="00423A3A"/>
    <w:rsid w:val="0042528F"/>
    <w:rsid w:val="004343BF"/>
    <w:rsid w:val="00443389"/>
    <w:rsid w:val="00444827"/>
    <w:rsid w:val="004454DD"/>
    <w:rsid w:val="00451C4E"/>
    <w:rsid w:val="00453962"/>
    <w:rsid w:val="00456ACF"/>
    <w:rsid w:val="00466F1A"/>
    <w:rsid w:val="00470027"/>
    <w:rsid w:val="00472078"/>
    <w:rsid w:val="0048391C"/>
    <w:rsid w:val="004943EA"/>
    <w:rsid w:val="004A1FBF"/>
    <w:rsid w:val="004A567E"/>
    <w:rsid w:val="004A6960"/>
    <w:rsid w:val="004A75E3"/>
    <w:rsid w:val="004B4D3C"/>
    <w:rsid w:val="004B6576"/>
    <w:rsid w:val="004C3D69"/>
    <w:rsid w:val="004C4508"/>
    <w:rsid w:val="004D3A30"/>
    <w:rsid w:val="004E417B"/>
    <w:rsid w:val="004E5ED1"/>
    <w:rsid w:val="00501C02"/>
    <w:rsid w:val="0052035D"/>
    <w:rsid w:val="00550937"/>
    <w:rsid w:val="005555CF"/>
    <w:rsid w:val="005624EA"/>
    <w:rsid w:val="00574A04"/>
    <w:rsid w:val="0057795C"/>
    <w:rsid w:val="00593912"/>
    <w:rsid w:val="005A68F9"/>
    <w:rsid w:val="005B3BAE"/>
    <w:rsid w:val="005B63B9"/>
    <w:rsid w:val="005B63D9"/>
    <w:rsid w:val="005D5987"/>
    <w:rsid w:val="005F3C5D"/>
    <w:rsid w:val="00600432"/>
    <w:rsid w:val="006161FE"/>
    <w:rsid w:val="006163D3"/>
    <w:rsid w:val="00616EEC"/>
    <w:rsid w:val="0064292D"/>
    <w:rsid w:val="00643568"/>
    <w:rsid w:val="00654400"/>
    <w:rsid w:val="006666A1"/>
    <w:rsid w:val="0067293D"/>
    <w:rsid w:val="0067651B"/>
    <w:rsid w:val="006779F3"/>
    <w:rsid w:val="00690BD4"/>
    <w:rsid w:val="00696595"/>
    <w:rsid w:val="00696697"/>
    <w:rsid w:val="00696D43"/>
    <w:rsid w:val="006A322C"/>
    <w:rsid w:val="006A673F"/>
    <w:rsid w:val="006A77EB"/>
    <w:rsid w:val="006B1B0B"/>
    <w:rsid w:val="006E6AAA"/>
    <w:rsid w:val="006F1526"/>
    <w:rsid w:val="006F2515"/>
    <w:rsid w:val="007013B8"/>
    <w:rsid w:val="0071631E"/>
    <w:rsid w:val="007218AD"/>
    <w:rsid w:val="007377D6"/>
    <w:rsid w:val="00741597"/>
    <w:rsid w:val="00746109"/>
    <w:rsid w:val="00776563"/>
    <w:rsid w:val="00777430"/>
    <w:rsid w:val="0078401B"/>
    <w:rsid w:val="0079239E"/>
    <w:rsid w:val="007A11B8"/>
    <w:rsid w:val="007A5C4E"/>
    <w:rsid w:val="007B1176"/>
    <w:rsid w:val="007B74D6"/>
    <w:rsid w:val="007D3E07"/>
    <w:rsid w:val="007F0561"/>
    <w:rsid w:val="00803684"/>
    <w:rsid w:val="0082303B"/>
    <w:rsid w:val="00826997"/>
    <w:rsid w:val="00832645"/>
    <w:rsid w:val="00833C5C"/>
    <w:rsid w:val="00835350"/>
    <w:rsid w:val="00835CD8"/>
    <w:rsid w:val="00843705"/>
    <w:rsid w:val="008473A1"/>
    <w:rsid w:val="00852270"/>
    <w:rsid w:val="00857C6F"/>
    <w:rsid w:val="008629A1"/>
    <w:rsid w:val="00862DE5"/>
    <w:rsid w:val="00870A24"/>
    <w:rsid w:val="00882AAE"/>
    <w:rsid w:val="00892125"/>
    <w:rsid w:val="008A3F45"/>
    <w:rsid w:val="008A6C0C"/>
    <w:rsid w:val="008B04AB"/>
    <w:rsid w:val="008B2FCE"/>
    <w:rsid w:val="008B3A6F"/>
    <w:rsid w:val="008B62C1"/>
    <w:rsid w:val="008B6FAE"/>
    <w:rsid w:val="008C0FFC"/>
    <w:rsid w:val="008E5575"/>
    <w:rsid w:val="00904E96"/>
    <w:rsid w:val="00914F6D"/>
    <w:rsid w:val="0092505A"/>
    <w:rsid w:val="00925C9B"/>
    <w:rsid w:val="009266EB"/>
    <w:rsid w:val="009310EA"/>
    <w:rsid w:val="0093689A"/>
    <w:rsid w:val="009373C9"/>
    <w:rsid w:val="009407AC"/>
    <w:rsid w:val="009421CB"/>
    <w:rsid w:val="00945AC7"/>
    <w:rsid w:val="00951EDE"/>
    <w:rsid w:val="00957399"/>
    <w:rsid w:val="00963543"/>
    <w:rsid w:val="009734E3"/>
    <w:rsid w:val="009A5677"/>
    <w:rsid w:val="009B5C42"/>
    <w:rsid w:val="009C1F10"/>
    <w:rsid w:val="009E4BC5"/>
    <w:rsid w:val="009E75FC"/>
    <w:rsid w:val="009E7B71"/>
    <w:rsid w:val="009E7F65"/>
    <w:rsid w:val="00A14866"/>
    <w:rsid w:val="00A34B6E"/>
    <w:rsid w:val="00A51A01"/>
    <w:rsid w:val="00A5312F"/>
    <w:rsid w:val="00A71DB2"/>
    <w:rsid w:val="00A96A76"/>
    <w:rsid w:val="00AA55F4"/>
    <w:rsid w:val="00AB01EA"/>
    <w:rsid w:val="00AB57A2"/>
    <w:rsid w:val="00AC4407"/>
    <w:rsid w:val="00AC4498"/>
    <w:rsid w:val="00AD0C75"/>
    <w:rsid w:val="00AD7DBA"/>
    <w:rsid w:val="00AF01E5"/>
    <w:rsid w:val="00AF5811"/>
    <w:rsid w:val="00AF76B1"/>
    <w:rsid w:val="00B145B0"/>
    <w:rsid w:val="00B16585"/>
    <w:rsid w:val="00B313EA"/>
    <w:rsid w:val="00B35314"/>
    <w:rsid w:val="00B41E49"/>
    <w:rsid w:val="00B426B9"/>
    <w:rsid w:val="00B51739"/>
    <w:rsid w:val="00B548C3"/>
    <w:rsid w:val="00B742CE"/>
    <w:rsid w:val="00B752E1"/>
    <w:rsid w:val="00B833A4"/>
    <w:rsid w:val="00B87174"/>
    <w:rsid w:val="00B903A1"/>
    <w:rsid w:val="00B90B72"/>
    <w:rsid w:val="00BA129C"/>
    <w:rsid w:val="00BA7203"/>
    <w:rsid w:val="00BB3D89"/>
    <w:rsid w:val="00BC0F61"/>
    <w:rsid w:val="00BD61AF"/>
    <w:rsid w:val="00BE0B46"/>
    <w:rsid w:val="00BE7B1C"/>
    <w:rsid w:val="00BF1741"/>
    <w:rsid w:val="00C002AC"/>
    <w:rsid w:val="00C00B66"/>
    <w:rsid w:val="00C201F8"/>
    <w:rsid w:val="00C21444"/>
    <w:rsid w:val="00C43425"/>
    <w:rsid w:val="00C55970"/>
    <w:rsid w:val="00C61005"/>
    <w:rsid w:val="00C67D67"/>
    <w:rsid w:val="00C80F38"/>
    <w:rsid w:val="00C81523"/>
    <w:rsid w:val="00C84B0A"/>
    <w:rsid w:val="00C90477"/>
    <w:rsid w:val="00C96B56"/>
    <w:rsid w:val="00CC071D"/>
    <w:rsid w:val="00CD00EF"/>
    <w:rsid w:val="00CD1251"/>
    <w:rsid w:val="00CD2C27"/>
    <w:rsid w:val="00CE57BE"/>
    <w:rsid w:val="00CE6A3A"/>
    <w:rsid w:val="00D00CEA"/>
    <w:rsid w:val="00D020D9"/>
    <w:rsid w:val="00D04A4C"/>
    <w:rsid w:val="00D10CFB"/>
    <w:rsid w:val="00D139B6"/>
    <w:rsid w:val="00D27849"/>
    <w:rsid w:val="00D319FE"/>
    <w:rsid w:val="00D3350C"/>
    <w:rsid w:val="00D421C0"/>
    <w:rsid w:val="00D45AA5"/>
    <w:rsid w:val="00D476A0"/>
    <w:rsid w:val="00D62395"/>
    <w:rsid w:val="00D66696"/>
    <w:rsid w:val="00D762FC"/>
    <w:rsid w:val="00D9736E"/>
    <w:rsid w:val="00DA6EB3"/>
    <w:rsid w:val="00DD3BF8"/>
    <w:rsid w:val="00DD7CD3"/>
    <w:rsid w:val="00DE1965"/>
    <w:rsid w:val="00DE79AE"/>
    <w:rsid w:val="00E129A9"/>
    <w:rsid w:val="00E22B7F"/>
    <w:rsid w:val="00E364DF"/>
    <w:rsid w:val="00E419C8"/>
    <w:rsid w:val="00E52C0B"/>
    <w:rsid w:val="00E72670"/>
    <w:rsid w:val="00E911C7"/>
    <w:rsid w:val="00E91AD1"/>
    <w:rsid w:val="00E96BDE"/>
    <w:rsid w:val="00EA415B"/>
    <w:rsid w:val="00EA4A8F"/>
    <w:rsid w:val="00EB40E6"/>
    <w:rsid w:val="00EC1E70"/>
    <w:rsid w:val="00EC1FED"/>
    <w:rsid w:val="00ED5214"/>
    <w:rsid w:val="00ED61F0"/>
    <w:rsid w:val="00EE2CDD"/>
    <w:rsid w:val="00EE66AE"/>
    <w:rsid w:val="00F019F1"/>
    <w:rsid w:val="00F12DBC"/>
    <w:rsid w:val="00F348CE"/>
    <w:rsid w:val="00F37EC8"/>
    <w:rsid w:val="00F47E62"/>
    <w:rsid w:val="00F51A0C"/>
    <w:rsid w:val="00F52F26"/>
    <w:rsid w:val="00F703A4"/>
    <w:rsid w:val="00F73881"/>
    <w:rsid w:val="00F759FF"/>
    <w:rsid w:val="00F761EB"/>
    <w:rsid w:val="00F76BD5"/>
    <w:rsid w:val="00FA6321"/>
    <w:rsid w:val="00FA69A7"/>
    <w:rsid w:val="00FB336E"/>
    <w:rsid w:val="00FC02BF"/>
    <w:rsid w:val="00FD42AF"/>
    <w:rsid w:val="00FE693F"/>
    <w:rsid w:val="00FF714C"/>
    <w:rsid w:val="0106194F"/>
    <w:rsid w:val="0107423A"/>
    <w:rsid w:val="0122333F"/>
    <w:rsid w:val="012F214F"/>
    <w:rsid w:val="0139075E"/>
    <w:rsid w:val="015558C7"/>
    <w:rsid w:val="01600E1A"/>
    <w:rsid w:val="01A05033"/>
    <w:rsid w:val="01AB7064"/>
    <w:rsid w:val="01CB7252"/>
    <w:rsid w:val="01ED1741"/>
    <w:rsid w:val="02263013"/>
    <w:rsid w:val="023210FB"/>
    <w:rsid w:val="02497325"/>
    <w:rsid w:val="025E31E2"/>
    <w:rsid w:val="02641657"/>
    <w:rsid w:val="026B1AD1"/>
    <w:rsid w:val="029505D8"/>
    <w:rsid w:val="02A97A3F"/>
    <w:rsid w:val="02BA2D29"/>
    <w:rsid w:val="02BD74B6"/>
    <w:rsid w:val="02C202BD"/>
    <w:rsid w:val="02E820A6"/>
    <w:rsid w:val="02FC0103"/>
    <w:rsid w:val="03221C89"/>
    <w:rsid w:val="03604D29"/>
    <w:rsid w:val="03CD5847"/>
    <w:rsid w:val="0420176C"/>
    <w:rsid w:val="04275B39"/>
    <w:rsid w:val="04354CFF"/>
    <w:rsid w:val="045E2B70"/>
    <w:rsid w:val="04EB5271"/>
    <w:rsid w:val="050661A3"/>
    <w:rsid w:val="050B7881"/>
    <w:rsid w:val="053B532C"/>
    <w:rsid w:val="053D5341"/>
    <w:rsid w:val="05450A7D"/>
    <w:rsid w:val="05472067"/>
    <w:rsid w:val="05585C69"/>
    <w:rsid w:val="05622325"/>
    <w:rsid w:val="05885431"/>
    <w:rsid w:val="05AE1F53"/>
    <w:rsid w:val="05CB200E"/>
    <w:rsid w:val="05E23C3A"/>
    <w:rsid w:val="0623667A"/>
    <w:rsid w:val="06293F01"/>
    <w:rsid w:val="06407BB9"/>
    <w:rsid w:val="06460750"/>
    <w:rsid w:val="06510394"/>
    <w:rsid w:val="069260B0"/>
    <w:rsid w:val="06A72108"/>
    <w:rsid w:val="06B84C89"/>
    <w:rsid w:val="06CE4708"/>
    <w:rsid w:val="06F23CF7"/>
    <w:rsid w:val="070E6657"/>
    <w:rsid w:val="07590427"/>
    <w:rsid w:val="07694159"/>
    <w:rsid w:val="07AE69DC"/>
    <w:rsid w:val="07C502E7"/>
    <w:rsid w:val="07CA6054"/>
    <w:rsid w:val="0806363E"/>
    <w:rsid w:val="083D7D2C"/>
    <w:rsid w:val="088F2603"/>
    <w:rsid w:val="08D362AA"/>
    <w:rsid w:val="09322E28"/>
    <w:rsid w:val="09A53DED"/>
    <w:rsid w:val="09C75823"/>
    <w:rsid w:val="0A2B5A73"/>
    <w:rsid w:val="0A731AE8"/>
    <w:rsid w:val="0A987BF2"/>
    <w:rsid w:val="0AA01B21"/>
    <w:rsid w:val="0AA51080"/>
    <w:rsid w:val="0AA8696B"/>
    <w:rsid w:val="0AC06424"/>
    <w:rsid w:val="0AD85CB4"/>
    <w:rsid w:val="0AE0655C"/>
    <w:rsid w:val="0AE94F67"/>
    <w:rsid w:val="0AF024C1"/>
    <w:rsid w:val="0B163F8B"/>
    <w:rsid w:val="0B1C0F00"/>
    <w:rsid w:val="0B2D1BA1"/>
    <w:rsid w:val="0B5B068D"/>
    <w:rsid w:val="0B750464"/>
    <w:rsid w:val="0BA73FA0"/>
    <w:rsid w:val="0BAF6F5A"/>
    <w:rsid w:val="0BB91287"/>
    <w:rsid w:val="0BBB49B6"/>
    <w:rsid w:val="0BC25A23"/>
    <w:rsid w:val="0BC340CB"/>
    <w:rsid w:val="0BD74AFF"/>
    <w:rsid w:val="0BE93D74"/>
    <w:rsid w:val="0BF96EB9"/>
    <w:rsid w:val="0C047AD7"/>
    <w:rsid w:val="0C0E410A"/>
    <w:rsid w:val="0C2967EA"/>
    <w:rsid w:val="0C593A82"/>
    <w:rsid w:val="0C803E4C"/>
    <w:rsid w:val="0C9475FE"/>
    <w:rsid w:val="0CBC5BEC"/>
    <w:rsid w:val="0CC51EAD"/>
    <w:rsid w:val="0CD570BA"/>
    <w:rsid w:val="0D07503F"/>
    <w:rsid w:val="0D8633EB"/>
    <w:rsid w:val="0D9B47A1"/>
    <w:rsid w:val="0DA046B0"/>
    <w:rsid w:val="0DD1544E"/>
    <w:rsid w:val="0E042D51"/>
    <w:rsid w:val="0E402878"/>
    <w:rsid w:val="0E5125E3"/>
    <w:rsid w:val="0E694D9A"/>
    <w:rsid w:val="0E8E4A47"/>
    <w:rsid w:val="0EAE5FE5"/>
    <w:rsid w:val="0EEA4204"/>
    <w:rsid w:val="0EFB3964"/>
    <w:rsid w:val="0F3B6457"/>
    <w:rsid w:val="0F4108C6"/>
    <w:rsid w:val="0F493208"/>
    <w:rsid w:val="0FA15475"/>
    <w:rsid w:val="0FC77C0D"/>
    <w:rsid w:val="0FE95FC4"/>
    <w:rsid w:val="10056A3D"/>
    <w:rsid w:val="100E2639"/>
    <w:rsid w:val="101C23F1"/>
    <w:rsid w:val="10263ACB"/>
    <w:rsid w:val="1029510E"/>
    <w:rsid w:val="10543A56"/>
    <w:rsid w:val="10714363"/>
    <w:rsid w:val="108A31F2"/>
    <w:rsid w:val="109F2385"/>
    <w:rsid w:val="10DD5F39"/>
    <w:rsid w:val="11374659"/>
    <w:rsid w:val="11505F7F"/>
    <w:rsid w:val="11866919"/>
    <w:rsid w:val="118D7AA5"/>
    <w:rsid w:val="11B33958"/>
    <w:rsid w:val="11ED1C8A"/>
    <w:rsid w:val="12046807"/>
    <w:rsid w:val="120C558C"/>
    <w:rsid w:val="12563475"/>
    <w:rsid w:val="125A3098"/>
    <w:rsid w:val="12630E20"/>
    <w:rsid w:val="126D5819"/>
    <w:rsid w:val="12B74E3C"/>
    <w:rsid w:val="12D2446A"/>
    <w:rsid w:val="13286CF2"/>
    <w:rsid w:val="132F7351"/>
    <w:rsid w:val="1339201A"/>
    <w:rsid w:val="13E16E25"/>
    <w:rsid w:val="13E21D8C"/>
    <w:rsid w:val="13F07784"/>
    <w:rsid w:val="13FC250C"/>
    <w:rsid w:val="143D3A7B"/>
    <w:rsid w:val="145230BF"/>
    <w:rsid w:val="146B3EC1"/>
    <w:rsid w:val="148D4105"/>
    <w:rsid w:val="149919CE"/>
    <w:rsid w:val="14B05917"/>
    <w:rsid w:val="15085510"/>
    <w:rsid w:val="151D4F8C"/>
    <w:rsid w:val="15260DB8"/>
    <w:rsid w:val="15406A83"/>
    <w:rsid w:val="154F3AB9"/>
    <w:rsid w:val="15582B76"/>
    <w:rsid w:val="158A4D84"/>
    <w:rsid w:val="159F1C42"/>
    <w:rsid w:val="15AC1077"/>
    <w:rsid w:val="15AF6820"/>
    <w:rsid w:val="15CC4390"/>
    <w:rsid w:val="15E33E43"/>
    <w:rsid w:val="1602490D"/>
    <w:rsid w:val="16127B71"/>
    <w:rsid w:val="161906FE"/>
    <w:rsid w:val="163E29BA"/>
    <w:rsid w:val="16630021"/>
    <w:rsid w:val="166A2DED"/>
    <w:rsid w:val="1688661B"/>
    <w:rsid w:val="16C32FBA"/>
    <w:rsid w:val="16CE0F8C"/>
    <w:rsid w:val="1752258F"/>
    <w:rsid w:val="17731DA8"/>
    <w:rsid w:val="17AF741D"/>
    <w:rsid w:val="17B65080"/>
    <w:rsid w:val="17DE0DDD"/>
    <w:rsid w:val="18013808"/>
    <w:rsid w:val="18185E37"/>
    <w:rsid w:val="18261691"/>
    <w:rsid w:val="1833667B"/>
    <w:rsid w:val="1858521B"/>
    <w:rsid w:val="186877C1"/>
    <w:rsid w:val="187674E5"/>
    <w:rsid w:val="18975B96"/>
    <w:rsid w:val="18EE35C1"/>
    <w:rsid w:val="190A6FBD"/>
    <w:rsid w:val="19197809"/>
    <w:rsid w:val="193812EE"/>
    <w:rsid w:val="195B5960"/>
    <w:rsid w:val="19632DB3"/>
    <w:rsid w:val="197D20DA"/>
    <w:rsid w:val="19D10CAA"/>
    <w:rsid w:val="19FF5E48"/>
    <w:rsid w:val="1A0F62F7"/>
    <w:rsid w:val="1A192F74"/>
    <w:rsid w:val="1A4212B4"/>
    <w:rsid w:val="1A645527"/>
    <w:rsid w:val="1A666411"/>
    <w:rsid w:val="1A840CB2"/>
    <w:rsid w:val="1A8E4A9F"/>
    <w:rsid w:val="1A9B4D50"/>
    <w:rsid w:val="1A9C7B00"/>
    <w:rsid w:val="1B37098E"/>
    <w:rsid w:val="1B38491A"/>
    <w:rsid w:val="1B6F37FF"/>
    <w:rsid w:val="1B79482D"/>
    <w:rsid w:val="1B7A185A"/>
    <w:rsid w:val="1B956693"/>
    <w:rsid w:val="1B9D49A9"/>
    <w:rsid w:val="1BA1469B"/>
    <w:rsid w:val="1BB2457A"/>
    <w:rsid w:val="1BC84325"/>
    <w:rsid w:val="1BD5721A"/>
    <w:rsid w:val="1C196838"/>
    <w:rsid w:val="1C2D327F"/>
    <w:rsid w:val="1C696DE0"/>
    <w:rsid w:val="1CBD1127"/>
    <w:rsid w:val="1CCB706E"/>
    <w:rsid w:val="1D2105D0"/>
    <w:rsid w:val="1D3F4F6D"/>
    <w:rsid w:val="1D620EFE"/>
    <w:rsid w:val="1D87057D"/>
    <w:rsid w:val="1D9C7AAC"/>
    <w:rsid w:val="1DC846FD"/>
    <w:rsid w:val="1DDB42DB"/>
    <w:rsid w:val="1DE41CEF"/>
    <w:rsid w:val="1DFF40C7"/>
    <w:rsid w:val="1E07409F"/>
    <w:rsid w:val="1E727E7D"/>
    <w:rsid w:val="1E782E10"/>
    <w:rsid w:val="1E9F530F"/>
    <w:rsid w:val="1EC96758"/>
    <w:rsid w:val="1ECE382A"/>
    <w:rsid w:val="1ED130A4"/>
    <w:rsid w:val="1F815E94"/>
    <w:rsid w:val="1FA0629B"/>
    <w:rsid w:val="1FB13CA5"/>
    <w:rsid w:val="1FB5670F"/>
    <w:rsid w:val="1FB658B5"/>
    <w:rsid w:val="1FFA72F7"/>
    <w:rsid w:val="20006A4D"/>
    <w:rsid w:val="200E5FD3"/>
    <w:rsid w:val="2010611D"/>
    <w:rsid w:val="202E4B37"/>
    <w:rsid w:val="20336CE1"/>
    <w:rsid w:val="20481AD0"/>
    <w:rsid w:val="206D676A"/>
    <w:rsid w:val="206F7F09"/>
    <w:rsid w:val="20A35244"/>
    <w:rsid w:val="20A632F1"/>
    <w:rsid w:val="20AA02A3"/>
    <w:rsid w:val="20AC166C"/>
    <w:rsid w:val="20B32574"/>
    <w:rsid w:val="20BE4D41"/>
    <w:rsid w:val="20C55758"/>
    <w:rsid w:val="20CB4038"/>
    <w:rsid w:val="20E74A12"/>
    <w:rsid w:val="21040105"/>
    <w:rsid w:val="21493229"/>
    <w:rsid w:val="2165257E"/>
    <w:rsid w:val="21D06DAC"/>
    <w:rsid w:val="21F922B4"/>
    <w:rsid w:val="222666D0"/>
    <w:rsid w:val="22607543"/>
    <w:rsid w:val="22641FBC"/>
    <w:rsid w:val="227937EB"/>
    <w:rsid w:val="227940EE"/>
    <w:rsid w:val="2284080B"/>
    <w:rsid w:val="22987F3F"/>
    <w:rsid w:val="22E01647"/>
    <w:rsid w:val="230031B6"/>
    <w:rsid w:val="2329559F"/>
    <w:rsid w:val="233B2820"/>
    <w:rsid w:val="233B717F"/>
    <w:rsid w:val="233D40F4"/>
    <w:rsid w:val="2345062C"/>
    <w:rsid w:val="234E296F"/>
    <w:rsid w:val="2360493F"/>
    <w:rsid w:val="236077FB"/>
    <w:rsid w:val="238729EC"/>
    <w:rsid w:val="239642D1"/>
    <w:rsid w:val="23A541BC"/>
    <w:rsid w:val="23BD1504"/>
    <w:rsid w:val="23CD191B"/>
    <w:rsid w:val="23D36B8E"/>
    <w:rsid w:val="23E15CA6"/>
    <w:rsid w:val="24042DBF"/>
    <w:rsid w:val="244F348C"/>
    <w:rsid w:val="245A5B88"/>
    <w:rsid w:val="246C722E"/>
    <w:rsid w:val="24872E8C"/>
    <w:rsid w:val="24995CCC"/>
    <w:rsid w:val="249E45DA"/>
    <w:rsid w:val="24C227E8"/>
    <w:rsid w:val="24C44D51"/>
    <w:rsid w:val="24C5523E"/>
    <w:rsid w:val="24D97218"/>
    <w:rsid w:val="24F26548"/>
    <w:rsid w:val="252D68FB"/>
    <w:rsid w:val="253A2BEA"/>
    <w:rsid w:val="254B69AF"/>
    <w:rsid w:val="254E7A6B"/>
    <w:rsid w:val="256F3175"/>
    <w:rsid w:val="257116C9"/>
    <w:rsid w:val="258B467F"/>
    <w:rsid w:val="258C3F14"/>
    <w:rsid w:val="259241AF"/>
    <w:rsid w:val="25BB0B9A"/>
    <w:rsid w:val="25D12B88"/>
    <w:rsid w:val="26053B22"/>
    <w:rsid w:val="262B46D7"/>
    <w:rsid w:val="262C4813"/>
    <w:rsid w:val="26473CF9"/>
    <w:rsid w:val="26AF251A"/>
    <w:rsid w:val="26BC7A25"/>
    <w:rsid w:val="26CC69F6"/>
    <w:rsid w:val="26DA3B18"/>
    <w:rsid w:val="26DB714D"/>
    <w:rsid w:val="2714580F"/>
    <w:rsid w:val="271934F7"/>
    <w:rsid w:val="272D0B1E"/>
    <w:rsid w:val="273C6854"/>
    <w:rsid w:val="274D5A19"/>
    <w:rsid w:val="27501AE0"/>
    <w:rsid w:val="276B5E99"/>
    <w:rsid w:val="27745FFE"/>
    <w:rsid w:val="277B5942"/>
    <w:rsid w:val="27920360"/>
    <w:rsid w:val="27943FC8"/>
    <w:rsid w:val="27BC02DD"/>
    <w:rsid w:val="27BF78B7"/>
    <w:rsid w:val="280316BA"/>
    <w:rsid w:val="283C4A1C"/>
    <w:rsid w:val="28623547"/>
    <w:rsid w:val="28823C31"/>
    <w:rsid w:val="28930031"/>
    <w:rsid w:val="28940EA2"/>
    <w:rsid w:val="28946685"/>
    <w:rsid w:val="28AF6730"/>
    <w:rsid w:val="28BE1B0B"/>
    <w:rsid w:val="28E219C5"/>
    <w:rsid w:val="29207652"/>
    <w:rsid w:val="294610CF"/>
    <w:rsid w:val="299829B8"/>
    <w:rsid w:val="29D72491"/>
    <w:rsid w:val="2A081A74"/>
    <w:rsid w:val="2A125F7E"/>
    <w:rsid w:val="2A195B16"/>
    <w:rsid w:val="2A2D5D7A"/>
    <w:rsid w:val="2A51371E"/>
    <w:rsid w:val="2A5A750E"/>
    <w:rsid w:val="2A770820"/>
    <w:rsid w:val="2A836C7B"/>
    <w:rsid w:val="2A8C25E8"/>
    <w:rsid w:val="2A9226AA"/>
    <w:rsid w:val="2AB06A52"/>
    <w:rsid w:val="2ABA73D7"/>
    <w:rsid w:val="2AC004A5"/>
    <w:rsid w:val="2ACB6CBC"/>
    <w:rsid w:val="2B2F6A18"/>
    <w:rsid w:val="2B3F4688"/>
    <w:rsid w:val="2B444CC8"/>
    <w:rsid w:val="2B670B69"/>
    <w:rsid w:val="2B796B52"/>
    <w:rsid w:val="2BA37FCF"/>
    <w:rsid w:val="2BBE31DF"/>
    <w:rsid w:val="2BEB1AF2"/>
    <w:rsid w:val="2BFC4E6B"/>
    <w:rsid w:val="2C131E96"/>
    <w:rsid w:val="2C576226"/>
    <w:rsid w:val="2C6454FB"/>
    <w:rsid w:val="2C7E169A"/>
    <w:rsid w:val="2C97576A"/>
    <w:rsid w:val="2C9D3EA1"/>
    <w:rsid w:val="2C9F1604"/>
    <w:rsid w:val="2CBE6D2C"/>
    <w:rsid w:val="2CBE7E22"/>
    <w:rsid w:val="2CE02256"/>
    <w:rsid w:val="2D000AFE"/>
    <w:rsid w:val="2D110BC4"/>
    <w:rsid w:val="2D1339AB"/>
    <w:rsid w:val="2D37158D"/>
    <w:rsid w:val="2D3A336F"/>
    <w:rsid w:val="2D4F5ED5"/>
    <w:rsid w:val="2D5726DA"/>
    <w:rsid w:val="2D9B000B"/>
    <w:rsid w:val="2DAA5689"/>
    <w:rsid w:val="2DCD42C6"/>
    <w:rsid w:val="2DE545CD"/>
    <w:rsid w:val="2E151C01"/>
    <w:rsid w:val="2E4D22B9"/>
    <w:rsid w:val="2E607376"/>
    <w:rsid w:val="2E8C6EB7"/>
    <w:rsid w:val="2EC23D6E"/>
    <w:rsid w:val="2ED46654"/>
    <w:rsid w:val="2EE934C8"/>
    <w:rsid w:val="2F081A65"/>
    <w:rsid w:val="2F1132FB"/>
    <w:rsid w:val="2F1649CD"/>
    <w:rsid w:val="2F1B26FE"/>
    <w:rsid w:val="2F637F47"/>
    <w:rsid w:val="2F7B047E"/>
    <w:rsid w:val="2F854E58"/>
    <w:rsid w:val="2FB06428"/>
    <w:rsid w:val="2FED05B4"/>
    <w:rsid w:val="302F20D0"/>
    <w:rsid w:val="303E7470"/>
    <w:rsid w:val="306707D9"/>
    <w:rsid w:val="30951A10"/>
    <w:rsid w:val="309A1BD8"/>
    <w:rsid w:val="30B2754E"/>
    <w:rsid w:val="30BF083E"/>
    <w:rsid w:val="30C070AE"/>
    <w:rsid w:val="30DA0543"/>
    <w:rsid w:val="30E505C0"/>
    <w:rsid w:val="3106256D"/>
    <w:rsid w:val="31121F8E"/>
    <w:rsid w:val="312A215B"/>
    <w:rsid w:val="314E3347"/>
    <w:rsid w:val="315A3D6B"/>
    <w:rsid w:val="317269D0"/>
    <w:rsid w:val="317F2E1B"/>
    <w:rsid w:val="31AE0A1A"/>
    <w:rsid w:val="31C151FE"/>
    <w:rsid w:val="32436460"/>
    <w:rsid w:val="32557751"/>
    <w:rsid w:val="326172B9"/>
    <w:rsid w:val="328C61E1"/>
    <w:rsid w:val="32942866"/>
    <w:rsid w:val="329723E5"/>
    <w:rsid w:val="32BC3341"/>
    <w:rsid w:val="32BD72BE"/>
    <w:rsid w:val="32D83F61"/>
    <w:rsid w:val="32DA1EE6"/>
    <w:rsid w:val="332361A1"/>
    <w:rsid w:val="33395BEB"/>
    <w:rsid w:val="335B0C09"/>
    <w:rsid w:val="33604EA1"/>
    <w:rsid w:val="338A3196"/>
    <w:rsid w:val="338C52DE"/>
    <w:rsid w:val="33A9178C"/>
    <w:rsid w:val="33D22789"/>
    <w:rsid w:val="341A133F"/>
    <w:rsid w:val="34445ADA"/>
    <w:rsid w:val="347A05F7"/>
    <w:rsid w:val="349D0FF5"/>
    <w:rsid w:val="349F0FE8"/>
    <w:rsid w:val="34D02F95"/>
    <w:rsid w:val="34FA1E45"/>
    <w:rsid w:val="353A1D44"/>
    <w:rsid w:val="355A0CAF"/>
    <w:rsid w:val="35906B1C"/>
    <w:rsid w:val="35D61A6B"/>
    <w:rsid w:val="35DF4405"/>
    <w:rsid w:val="35F216A1"/>
    <w:rsid w:val="35F533AE"/>
    <w:rsid w:val="366A3954"/>
    <w:rsid w:val="368C3FCA"/>
    <w:rsid w:val="36A11315"/>
    <w:rsid w:val="36A719BC"/>
    <w:rsid w:val="36DC4374"/>
    <w:rsid w:val="36FA06B6"/>
    <w:rsid w:val="37152F66"/>
    <w:rsid w:val="37295284"/>
    <w:rsid w:val="372B72B7"/>
    <w:rsid w:val="374E1055"/>
    <w:rsid w:val="377C04EB"/>
    <w:rsid w:val="37807A03"/>
    <w:rsid w:val="37B50441"/>
    <w:rsid w:val="37EC274D"/>
    <w:rsid w:val="382258AB"/>
    <w:rsid w:val="38300D02"/>
    <w:rsid w:val="38351114"/>
    <w:rsid w:val="38472EE9"/>
    <w:rsid w:val="38551279"/>
    <w:rsid w:val="38602906"/>
    <w:rsid w:val="38696297"/>
    <w:rsid w:val="386C75CF"/>
    <w:rsid w:val="387309A8"/>
    <w:rsid w:val="38740160"/>
    <w:rsid w:val="387B30D0"/>
    <w:rsid w:val="388468A7"/>
    <w:rsid w:val="389D3684"/>
    <w:rsid w:val="38E075A3"/>
    <w:rsid w:val="390258F0"/>
    <w:rsid w:val="39050DB8"/>
    <w:rsid w:val="39063BB9"/>
    <w:rsid w:val="392B4E9C"/>
    <w:rsid w:val="39793F93"/>
    <w:rsid w:val="397A4778"/>
    <w:rsid w:val="398713AE"/>
    <w:rsid w:val="39BA7625"/>
    <w:rsid w:val="39C734F2"/>
    <w:rsid w:val="3A276EF1"/>
    <w:rsid w:val="3A526256"/>
    <w:rsid w:val="3A54011F"/>
    <w:rsid w:val="3A73406D"/>
    <w:rsid w:val="3AC21DDE"/>
    <w:rsid w:val="3AEC4C63"/>
    <w:rsid w:val="3AEE63BB"/>
    <w:rsid w:val="3B0E497A"/>
    <w:rsid w:val="3B38787F"/>
    <w:rsid w:val="3B6E2B9B"/>
    <w:rsid w:val="3B882580"/>
    <w:rsid w:val="3B9D352A"/>
    <w:rsid w:val="3B9F3D38"/>
    <w:rsid w:val="3BA61E91"/>
    <w:rsid w:val="3BAC1EC3"/>
    <w:rsid w:val="3BAF3381"/>
    <w:rsid w:val="3BD44686"/>
    <w:rsid w:val="3BD45745"/>
    <w:rsid w:val="3BD66A3C"/>
    <w:rsid w:val="3BEE6889"/>
    <w:rsid w:val="3BFD59CB"/>
    <w:rsid w:val="3C3E2F5F"/>
    <w:rsid w:val="3C642299"/>
    <w:rsid w:val="3CA8487C"/>
    <w:rsid w:val="3CB754AD"/>
    <w:rsid w:val="3CB97375"/>
    <w:rsid w:val="3CEA6FE4"/>
    <w:rsid w:val="3D12700A"/>
    <w:rsid w:val="3D263451"/>
    <w:rsid w:val="3D332912"/>
    <w:rsid w:val="3D5605D9"/>
    <w:rsid w:val="3DB913D6"/>
    <w:rsid w:val="3E1C2E2C"/>
    <w:rsid w:val="3E1D0952"/>
    <w:rsid w:val="3E2C42BA"/>
    <w:rsid w:val="3E34610E"/>
    <w:rsid w:val="3E5117D4"/>
    <w:rsid w:val="3E522867"/>
    <w:rsid w:val="3E6C21F3"/>
    <w:rsid w:val="3E6F4200"/>
    <w:rsid w:val="3EBB3548"/>
    <w:rsid w:val="3EE67AE9"/>
    <w:rsid w:val="3EEA2F2A"/>
    <w:rsid w:val="3F5A13B7"/>
    <w:rsid w:val="3F605988"/>
    <w:rsid w:val="3F710797"/>
    <w:rsid w:val="3F747685"/>
    <w:rsid w:val="3FE008DC"/>
    <w:rsid w:val="3FEF0801"/>
    <w:rsid w:val="40181E7D"/>
    <w:rsid w:val="402669C1"/>
    <w:rsid w:val="4037641D"/>
    <w:rsid w:val="40406F0A"/>
    <w:rsid w:val="4063215B"/>
    <w:rsid w:val="406D2F2D"/>
    <w:rsid w:val="4070758D"/>
    <w:rsid w:val="4081482E"/>
    <w:rsid w:val="40AA12BF"/>
    <w:rsid w:val="40AE406B"/>
    <w:rsid w:val="40B2636B"/>
    <w:rsid w:val="40B309AD"/>
    <w:rsid w:val="40DB51B2"/>
    <w:rsid w:val="4114603C"/>
    <w:rsid w:val="41430129"/>
    <w:rsid w:val="41450250"/>
    <w:rsid w:val="415164D7"/>
    <w:rsid w:val="416219B8"/>
    <w:rsid w:val="41C21261"/>
    <w:rsid w:val="41D30E43"/>
    <w:rsid w:val="41DB14A6"/>
    <w:rsid w:val="41EC6FB9"/>
    <w:rsid w:val="42110F5E"/>
    <w:rsid w:val="426D295C"/>
    <w:rsid w:val="42750764"/>
    <w:rsid w:val="427523C8"/>
    <w:rsid w:val="428E2587"/>
    <w:rsid w:val="42EA1754"/>
    <w:rsid w:val="42ED1D32"/>
    <w:rsid w:val="42FD3550"/>
    <w:rsid w:val="430D55AE"/>
    <w:rsid w:val="432F33B6"/>
    <w:rsid w:val="435A7168"/>
    <w:rsid w:val="43920971"/>
    <w:rsid w:val="439E20E8"/>
    <w:rsid w:val="43E002F4"/>
    <w:rsid w:val="441F07C3"/>
    <w:rsid w:val="44413307"/>
    <w:rsid w:val="444E008A"/>
    <w:rsid w:val="447C0B09"/>
    <w:rsid w:val="44A265A1"/>
    <w:rsid w:val="44C41B05"/>
    <w:rsid w:val="44C64722"/>
    <w:rsid w:val="44E410B9"/>
    <w:rsid w:val="44EA5FD0"/>
    <w:rsid w:val="450356B0"/>
    <w:rsid w:val="45234018"/>
    <w:rsid w:val="457F7C35"/>
    <w:rsid w:val="45A83C2E"/>
    <w:rsid w:val="45D01477"/>
    <w:rsid w:val="46491FE2"/>
    <w:rsid w:val="464C74BA"/>
    <w:rsid w:val="464F0B0E"/>
    <w:rsid w:val="46855087"/>
    <w:rsid w:val="468D0046"/>
    <w:rsid w:val="46BD6D90"/>
    <w:rsid w:val="46CE7097"/>
    <w:rsid w:val="46D8472C"/>
    <w:rsid w:val="46DE2A42"/>
    <w:rsid w:val="46E26BDC"/>
    <w:rsid w:val="46EC5C48"/>
    <w:rsid w:val="47340CD8"/>
    <w:rsid w:val="473443C9"/>
    <w:rsid w:val="476535A2"/>
    <w:rsid w:val="477438EE"/>
    <w:rsid w:val="47D51743"/>
    <w:rsid w:val="47E0075A"/>
    <w:rsid w:val="47F1346F"/>
    <w:rsid w:val="482667EC"/>
    <w:rsid w:val="487C7F7F"/>
    <w:rsid w:val="48ED08FB"/>
    <w:rsid w:val="49261A9B"/>
    <w:rsid w:val="492E5F8C"/>
    <w:rsid w:val="49503CD6"/>
    <w:rsid w:val="496737C2"/>
    <w:rsid w:val="499330D2"/>
    <w:rsid w:val="499E5693"/>
    <w:rsid w:val="49A132F4"/>
    <w:rsid w:val="49DD1F53"/>
    <w:rsid w:val="49F70BF1"/>
    <w:rsid w:val="4A4D153C"/>
    <w:rsid w:val="4AC1603F"/>
    <w:rsid w:val="4AD128C3"/>
    <w:rsid w:val="4ADC0231"/>
    <w:rsid w:val="4B287338"/>
    <w:rsid w:val="4B2F2F37"/>
    <w:rsid w:val="4B414D01"/>
    <w:rsid w:val="4B4738EB"/>
    <w:rsid w:val="4B4D0B09"/>
    <w:rsid w:val="4B4E5749"/>
    <w:rsid w:val="4B9B15C2"/>
    <w:rsid w:val="4BBB22ED"/>
    <w:rsid w:val="4BCE406E"/>
    <w:rsid w:val="4C1A1B59"/>
    <w:rsid w:val="4C26614C"/>
    <w:rsid w:val="4C2E615F"/>
    <w:rsid w:val="4C334152"/>
    <w:rsid w:val="4C3803A4"/>
    <w:rsid w:val="4C516396"/>
    <w:rsid w:val="4C531DB5"/>
    <w:rsid w:val="4C5D4E8F"/>
    <w:rsid w:val="4C703D9C"/>
    <w:rsid w:val="4C810AAF"/>
    <w:rsid w:val="4CAD018A"/>
    <w:rsid w:val="4CC26314"/>
    <w:rsid w:val="4CDD47C4"/>
    <w:rsid w:val="4CE616F2"/>
    <w:rsid w:val="4CFB3938"/>
    <w:rsid w:val="4D265B82"/>
    <w:rsid w:val="4D2B56C8"/>
    <w:rsid w:val="4D3F48E6"/>
    <w:rsid w:val="4D486336"/>
    <w:rsid w:val="4D5F0AD0"/>
    <w:rsid w:val="4DAE7141"/>
    <w:rsid w:val="4DBA7B11"/>
    <w:rsid w:val="4DE35905"/>
    <w:rsid w:val="4DF34BA1"/>
    <w:rsid w:val="4DFF3297"/>
    <w:rsid w:val="4E0D5922"/>
    <w:rsid w:val="4E2C16F1"/>
    <w:rsid w:val="4E30194B"/>
    <w:rsid w:val="4E36783E"/>
    <w:rsid w:val="4E6E4CE3"/>
    <w:rsid w:val="4E791BD4"/>
    <w:rsid w:val="4E7A0DA1"/>
    <w:rsid w:val="4E826606"/>
    <w:rsid w:val="4E840A91"/>
    <w:rsid w:val="4E8D453C"/>
    <w:rsid w:val="4E9F664B"/>
    <w:rsid w:val="4EA43F43"/>
    <w:rsid w:val="4EA7676D"/>
    <w:rsid w:val="4EAE248E"/>
    <w:rsid w:val="4ECC7942"/>
    <w:rsid w:val="4ED03497"/>
    <w:rsid w:val="4F1A55E3"/>
    <w:rsid w:val="4F1D0883"/>
    <w:rsid w:val="4F29749D"/>
    <w:rsid w:val="4F3A382D"/>
    <w:rsid w:val="4F587A3C"/>
    <w:rsid w:val="4F7264A7"/>
    <w:rsid w:val="4FBD3295"/>
    <w:rsid w:val="4FD72AF8"/>
    <w:rsid w:val="4FD87AF9"/>
    <w:rsid w:val="4FE132F4"/>
    <w:rsid w:val="4FE20A4D"/>
    <w:rsid w:val="507D5FF3"/>
    <w:rsid w:val="507F6A3A"/>
    <w:rsid w:val="50BB45C2"/>
    <w:rsid w:val="50E7320E"/>
    <w:rsid w:val="50FC03D8"/>
    <w:rsid w:val="50FD07A0"/>
    <w:rsid w:val="51006F43"/>
    <w:rsid w:val="510357A6"/>
    <w:rsid w:val="51040284"/>
    <w:rsid w:val="512E6B4D"/>
    <w:rsid w:val="51333DC7"/>
    <w:rsid w:val="513623BF"/>
    <w:rsid w:val="513D1C7C"/>
    <w:rsid w:val="515B23FF"/>
    <w:rsid w:val="515E6E0A"/>
    <w:rsid w:val="516344D5"/>
    <w:rsid w:val="51B66C9C"/>
    <w:rsid w:val="51D34548"/>
    <w:rsid w:val="51D56A37"/>
    <w:rsid w:val="51E813A5"/>
    <w:rsid w:val="51FF4D53"/>
    <w:rsid w:val="52026474"/>
    <w:rsid w:val="52122C4D"/>
    <w:rsid w:val="52186EE1"/>
    <w:rsid w:val="52371899"/>
    <w:rsid w:val="52646AA8"/>
    <w:rsid w:val="52690C71"/>
    <w:rsid w:val="526D37FE"/>
    <w:rsid w:val="526F23B0"/>
    <w:rsid w:val="527914DB"/>
    <w:rsid w:val="52890B7B"/>
    <w:rsid w:val="52CB517F"/>
    <w:rsid w:val="52D66DAF"/>
    <w:rsid w:val="52ED3368"/>
    <w:rsid w:val="53122541"/>
    <w:rsid w:val="5318496F"/>
    <w:rsid w:val="53614C01"/>
    <w:rsid w:val="53C21688"/>
    <w:rsid w:val="53C727D4"/>
    <w:rsid w:val="53C952DF"/>
    <w:rsid w:val="53D602CD"/>
    <w:rsid w:val="541D3002"/>
    <w:rsid w:val="542604B5"/>
    <w:rsid w:val="543E02E6"/>
    <w:rsid w:val="5449029B"/>
    <w:rsid w:val="5479152A"/>
    <w:rsid w:val="54952ADF"/>
    <w:rsid w:val="54AE0739"/>
    <w:rsid w:val="54B46905"/>
    <w:rsid w:val="54E274B8"/>
    <w:rsid w:val="550A5F70"/>
    <w:rsid w:val="55254864"/>
    <w:rsid w:val="553D4C83"/>
    <w:rsid w:val="55466840"/>
    <w:rsid w:val="557B202D"/>
    <w:rsid w:val="55BE36B7"/>
    <w:rsid w:val="56072F84"/>
    <w:rsid w:val="564D55CB"/>
    <w:rsid w:val="564D7967"/>
    <w:rsid w:val="56520E8D"/>
    <w:rsid w:val="569E1586"/>
    <w:rsid w:val="56A278E0"/>
    <w:rsid w:val="56AB29C9"/>
    <w:rsid w:val="570971CD"/>
    <w:rsid w:val="57212DA0"/>
    <w:rsid w:val="57270FDD"/>
    <w:rsid w:val="57411DDB"/>
    <w:rsid w:val="57954AD3"/>
    <w:rsid w:val="57961D03"/>
    <w:rsid w:val="57B7551B"/>
    <w:rsid w:val="57FE25F7"/>
    <w:rsid w:val="5830405E"/>
    <w:rsid w:val="58317108"/>
    <w:rsid w:val="583D58CF"/>
    <w:rsid w:val="584F7D14"/>
    <w:rsid w:val="589C2BD2"/>
    <w:rsid w:val="58D73D1F"/>
    <w:rsid w:val="59013BFE"/>
    <w:rsid w:val="59253811"/>
    <w:rsid w:val="592A3654"/>
    <w:rsid w:val="5965713C"/>
    <w:rsid w:val="59A061CE"/>
    <w:rsid w:val="59B85CA7"/>
    <w:rsid w:val="5A17412E"/>
    <w:rsid w:val="5A225816"/>
    <w:rsid w:val="5A281CE4"/>
    <w:rsid w:val="5A2F2822"/>
    <w:rsid w:val="5A3C472F"/>
    <w:rsid w:val="5A3F00FB"/>
    <w:rsid w:val="5A4B5F09"/>
    <w:rsid w:val="5A793A18"/>
    <w:rsid w:val="5AC04A97"/>
    <w:rsid w:val="5AED4856"/>
    <w:rsid w:val="5AEF6B62"/>
    <w:rsid w:val="5B512ECA"/>
    <w:rsid w:val="5BB70D26"/>
    <w:rsid w:val="5BC16D4D"/>
    <w:rsid w:val="5BD943E2"/>
    <w:rsid w:val="5BE341EC"/>
    <w:rsid w:val="5C11481A"/>
    <w:rsid w:val="5C1747A5"/>
    <w:rsid w:val="5C335DC8"/>
    <w:rsid w:val="5C3704BC"/>
    <w:rsid w:val="5C681C34"/>
    <w:rsid w:val="5C78647D"/>
    <w:rsid w:val="5C894B1F"/>
    <w:rsid w:val="5CE70E47"/>
    <w:rsid w:val="5CEC0652"/>
    <w:rsid w:val="5D230BCC"/>
    <w:rsid w:val="5D3B541C"/>
    <w:rsid w:val="5D4E6355"/>
    <w:rsid w:val="5D777C27"/>
    <w:rsid w:val="5D7A5C14"/>
    <w:rsid w:val="5D901775"/>
    <w:rsid w:val="5D944D66"/>
    <w:rsid w:val="5DE77224"/>
    <w:rsid w:val="5DE91502"/>
    <w:rsid w:val="5E3749EE"/>
    <w:rsid w:val="5E60628D"/>
    <w:rsid w:val="5E6769BB"/>
    <w:rsid w:val="5E8E0F7C"/>
    <w:rsid w:val="5EFA5987"/>
    <w:rsid w:val="5F040F0C"/>
    <w:rsid w:val="5F105DFC"/>
    <w:rsid w:val="5FA56D00"/>
    <w:rsid w:val="60045CA7"/>
    <w:rsid w:val="60492328"/>
    <w:rsid w:val="6051493D"/>
    <w:rsid w:val="605A586C"/>
    <w:rsid w:val="606B679F"/>
    <w:rsid w:val="608D787A"/>
    <w:rsid w:val="60BB2995"/>
    <w:rsid w:val="61190304"/>
    <w:rsid w:val="61722DE0"/>
    <w:rsid w:val="61901159"/>
    <w:rsid w:val="61B2119A"/>
    <w:rsid w:val="61EC2135"/>
    <w:rsid w:val="621603F8"/>
    <w:rsid w:val="621E52A3"/>
    <w:rsid w:val="624368A9"/>
    <w:rsid w:val="62516678"/>
    <w:rsid w:val="62A15FE3"/>
    <w:rsid w:val="62C4482D"/>
    <w:rsid w:val="62DA2F7A"/>
    <w:rsid w:val="62E26F8D"/>
    <w:rsid w:val="637E56E5"/>
    <w:rsid w:val="6384309D"/>
    <w:rsid w:val="63FA5093"/>
    <w:rsid w:val="64316E84"/>
    <w:rsid w:val="646E5183"/>
    <w:rsid w:val="648C3D82"/>
    <w:rsid w:val="64A665BA"/>
    <w:rsid w:val="64BC69C3"/>
    <w:rsid w:val="64BD5616"/>
    <w:rsid w:val="64CB5671"/>
    <w:rsid w:val="64D23251"/>
    <w:rsid w:val="64F7527C"/>
    <w:rsid w:val="64FB6D74"/>
    <w:rsid w:val="65183849"/>
    <w:rsid w:val="651E09EE"/>
    <w:rsid w:val="6540624A"/>
    <w:rsid w:val="655917AE"/>
    <w:rsid w:val="657111EE"/>
    <w:rsid w:val="659D012A"/>
    <w:rsid w:val="659E1D59"/>
    <w:rsid w:val="65C932C5"/>
    <w:rsid w:val="65D5329D"/>
    <w:rsid w:val="65E224A2"/>
    <w:rsid w:val="65F70316"/>
    <w:rsid w:val="65FA13F5"/>
    <w:rsid w:val="66575E4B"/>
    <w:rsid w:val="666C6098"/>
    <w:rsid w:val="66805552"/>
    <w:rsid w:val="66AA05EC"/>
    <w:rsid w:val="66AB6F68"/>
    <w:rsid w:val="66B04694"/>
    <w:rsid w:val="66E6282B"/>
    <w:rsid w:val="66FA1203"/>
    <w:rsid w:val="6709317F"/>
    <w:rsid w:val="67095D94"/>
    <w:rsid w:val="67177D85"/>
    <w:rsid w:val="6746270A"/>
    <w:rsid w:val="674675E6"/>
    <w:rsid w:val="67640B0A"/>
    <w:rsid w:val="67857E7C"/>
    <w:rsid w:val="68004247"/>
    <w:rsid w:val="68235BAE"/>
    <w:rsid w:val="686838BA"/>
    <w:rsid w:val="686C4BB1"/>
    <w:rsid w:val="68C04E97"/>
    <w:rsid w:val="68DD23C6"/>
    <w:rsid w:val="68EE05B8"/>
    <w:rsid w:val="68FD5D51"/>
    <w:rsid w:val="690748F3"/>
    <w:rsid w:val="69380A4F"/>
    <w:rsid w:val="695D56AB"/>
    <w:rsid w:val="696A1BBC"/>
    <w:rsid w:val="69931944"/>
    <w:rsid w:val="69B367CA"/>
    <w:rsid w:val="69E22463"/>
    <w:rsid w:val="69EC0848"/>
    <w:rsid w:val="6A03688E"/>
    <w:rsid w:val="6A310251"/>
    <w:rsid w:val="6A313818"/>
    <w:rsid w:val="6A4714B4"/>
    <w:rsid w:val="6A4A693C"/>
    <w:rsid w:val="6A505FC0"/>
    <w:rsid w:val="6A690E44"/>
    <w:rsid w:val="6A71244B"/>
    <w:rsid w:val="6A8079FC"/>
    <w:rsid w:val="6A89267A"/>
    <w:rsid w:val="6A9C57A1"/>
    <w:rsid w:val="6AA40BB9"/>
    <w:rsid w:val="6AA81420"/>
    <w:rsid w:val="6ABA0094"/>
    <w:rsid w:val="6ABC5687"/>
    <w:rsid w:val="6AD71D05"/>
    <w:rsid w:val="6AF64B3F"/>
    <w:rsid w:val="6B1C480C"/>
    <w:rsid w:val="6B53517A"/>
    <w:rsid w:val="6B7C7D92"/>
    <w:rsid w:val="6B84525A"/>
    <w:rsid w:val="6BA25945"/>
    <w:rsid w:val="6C382C77"/>
    <w:rsid w:val="6C4E79B1"/>
    <w:rsid w:val="6C6D57E5"/>
    <w:rsid w:val="6CA44702"/>
    <w:rsid w:val="6CD11A12"/>
    <w:rsid w:val="6CE313BB"/>
    <w:rsid w:val="6CED1048"/>
    <w:rsid w:val="6CF35522"/>
    <w:rsid w:val="6D1975AE"/>
    <w:rsid w:val="6D27585C"/>
    <w:rsid w:val="6D517EB8"/>
    <w:rsid w:val="6D71630B"/>
    <w:rsid w:val="6D7D2861"/>
    <w:rsid w:val="6D7F1221"/>
    <w:rsid w:val="6DB76D4D"/>
    <w:rsid w:val="6DC357B6"/>
    <w:rsid w:val="6DDB607F"/>
    <w:rsid w:val="6DEC7C8E"/>
    <w:rsid w:val="6E296CAA"/>
    <w:rsid w:val="6E9660AC"/>
    <w:rsid w:val="6E9D356B"/>
    <w:rsid w:val="6EA840D5"/>
    <w:rsid w:val="6EEE586F"/>
    <w:rsid w:val="6EF462BE"/>
    <w:rsid w:val="6F0B79A5"/>
    <w:rsid w:val="6F2F1719"/>
    <w:rsid w:val="6F3340E2"/>
    <w:rsid w:val="6F3F05E6"/>
    <w:rsid w:val="6F6F68CA"/>
    <w:rsid w:val="6F8544C5"/>
    <w:rsid w:val="6FBA7CCB"/>
    <w:rsid w:val="6FC36BC8"/>
    <w:rsid w:val="6FE84821"/>
    <w:rsid w:val="700A74CA"/>
    <w:rsid w:val="7015415A"/>
    <w:rsid w:val="701B3791"/>
    <w:rsid w:val="70245EA3"/>
    <w:rsid w:val="714C24DB"/>
    <w:rsid w:val="717B15A2"/>
    <w:rsid w:val="71830048"/>
    <w:rsid w:val="718516B9"/>
    <w:rsid w:val="71CC328F"/>
    <w:rsid w:val="71E343A6"/>
    <w:rsid w:val="71E95381"/>
    <w:rsid w:val="72295991"/>
    <w:rsid w:val="73253C4A"/>
    <w:rsid w:val="7333195C"/>
    <w:rsid w:val="73565667"/>
    <w:rsid w:val="737C0B02"/>
    <w:rsid w:val="739A22C4"/>
    <w:rsid w:val="73E43F50"/>
    <w:rsid w:val="7418021D"/>
    <w:rsid w:val="74485068"/>
    <w:rsid w:val="74570778"/>
    <w:rsid w:val="745B5755"/>
    <w:rsid w:val="74602094"/>
    <w:rsid w:val="747821E2"/>
    <w:rsid w:val="74812D82"/>
    <w:rsid w:val="748634AA"/>
    <w:rsid w:val="749412B6"/>
    <w:rsid w:val="74AB31F3"/>
    <w:rsid w:val="74AE1FB3"/>
    <w:rsid w:val="74D00440"/>
    <w:rsid w:val="74E868AE"/>
    <w:rsid w:val="74FB1026"/>
    <w:rsid w:val="750352B4"/>
    <w:rsid w:val="75240087"/>
    <w:rsid w:val="752417BB"/>
    <w:rsid w:val="752751AC"/>
    <w:rsid w:val="754A5A92"/>
    <w:rsid w:val="755502A6"/>
    <w:rsid w:val="75700507"/>
    <w:rsid w:val="7589137F"/>
    <w:rsid w:val="758E5FB4"/>
    <w:rsid w:val="75A768A8"/>
    <w:rsid w:val="75DD366D"/>
    <w:rsid w:val="75F009DD"/>
    <w:rsid w:val="762C32D1"/>
    <w:rsid w:val="76724AA0"/>
    <w:rsid w:val="767F5541"/>
    <w:rsid w:val="7684139B"/>
    <w:rsid w:val="768D5393"/>
    <w:rsid w:val="76F554C0"/>
    <w:rsid w:val="76F6620E"/>
    <w:rsid w:val="76FD4A52"/>
    <w:rsid w:val="77142421"/>
    <w:rsid w:val="773806EB"/>
    <w:rsid w:val="776A506A"/>
    <w:rsid w:val="777E1909"/>
    <w:rsid w:val="77A07C19"/>
    <w:rsid w:val="77B15E6D"/>
    <w:rsid w:val="77B9711C"/>
    <w:rsid w:val="77CC6810"/>
    <w:rsid w:val="77E36780"/>
    <w:rsid w:val="782E2D42"/>
    <w:rsid w:val="78426C9A"/>
    <w:rsid w:val="78607BA9"/>
    <w:rsid w:val="788C1051"/>
    <w:rsid w:val="78945DD9"/>
    <w:rsid w:val="789716E8"/>
    <w:rsid w:val="789F308D"/>
    <w:rsid w:val="79066F79"/>
    <w:rsid w:val="790858EF"/>
    <w:rsid w:val="790E7013"/>
    <w:rsid w:val="790F1190"/>
    <w:rsid w:val="79425F2C"/>
    <w:rsid w:val="7987585E"/>
    <w:rsid w:val="79A6440E"/>
    <w:rsid w:val="79DF3B43"/>
    <w:rsid w:val="7A075F04"/>
    <w:rsid w:val="7A2E67FE"/>
    <w:rsid w:val="7A396538"/>
    <w:rsid w:val="7A6039AB"/>
    <w:rsid w:val="7A7D7FAA"/>
    <w:rsid w:val="7AFA5142"/>
    <w:rsid w:val="7B0225BE"/>
    <w:rsid w:val="7B1F2F32"/>
    <w:rsid w:val="7B2901C9"/>
    <w:rsid w:val="7B323485"/>
    <w:rsid w:val="7B92597C"/>
    <w:rsid w:val="7B95331A"/>
    <w:rsid w:val="7BCA60AF"/>
    <w:rsid w:val="7BFC4DB5"/>
    <w:rsid w:val="7C0A3B66"/>
    <w:rsid w:val="7C38473F"/>
    <w:rsid w:val="7C5321AC"/>
    <w:rsid w:val="7C613F85"/>
    <w:rsid w:val="7C97597D"/>
    <w:rsid w:val="7CAE4A75"/>
    <w:rsid w:val="7D2505AB"/>
    <w:rsid w:val="7D441FB6"/>
    <w:rsid w:val="7D51326A"/>
    <w:rsid w:val="7D5E4E2C"/>
    <w:rsid w:val="7D873161"/>
    <w:rsid w:val="7DAC1B90"/>
    <w:rsid w:val="7DCC1044"/>
    <w:rsid w:val="7E0253AE"/>
    <w:rsid w:val="7E1A5FDF"/>
    <w:rsid w:val="7E233DF0"/>
    <w:rsid w:val="7E274FE1"/>
    <w:rsid w:val="7E9D75D0"/>
    <w:rsid w:val="7EA57709"/>
    <w:rsid w:val="7EA63BD0"/>
    <w:rsid w:val="7EB00B64"/>
    <w:rsid w:val="7EE06E1E"/>
    <w:rsid w:val="7EEA5E15"/>
    <w:rsid w:val="7F3A712E"/>
    <w:rsid w:val="7F881E44"/>
    <w:rsid w:val="7FD2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link w:val="35"/>
    <w:qFormat/>
    <w:locked/>
    <w:uiPriority w:val="99"/>
    <w:pPr>
      <w:numPr>
        <w:ilvl w:val="1"/>
        <w:numId w:val="1"/>
      </w:numPr>
      <w:spacing w:before="260"/>
      <w:jc w:val="left"/>
      <w:outlineLvl w:val="1"/>
    </w:pPr>
    <w:rPr>
      <w:rFonts w:ascii="宋体" w:hAnsi="Arial"/>
      <w:kern w:val="0"/>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qFormat/>
    <w:uiPriority w:val="0"/>
    <w:pPr>
      <w:ind w:left="200" w:firstLine="200"/>
    </w:pPr>
    <w:rPr>
      <w:rFonts w:ascii="Calibri"/>
      <w:color w:val="0D0D0D"/>
      <w:szCs w:val="24"/>
      <w:lang w:eastAsia="en-US"/>
    </w:rPr>
  </w:style>
  <w:style w:type="paragraph" w:styleId="3">
    <w:name w:val="Body Text Indent"/>
    <w:basedOn w:val="1"/>
    <w:next w:val="4"/>
    <w:qFormat/>
    <w:uiPriority w:val="0"/>
    <w:pPr>
      <w:spacing w:line="440" w:lineRule="exact"/>
      <w:ind w:firstLine="488" w:firstLineChars="200"/>
    </w:pPr>
    <w:rPr>
      <w:rFonts w:ascii="仿宋_GB2312" w:eastAsia="仿宋_GB2312"/>
      <w:spacing w:val="7"/>
      <w:sz w:val="23"/>
    </w:rPr>
  </w:style>
  <w:style w:type="paragraph" w:styleId="4">
    <w:name w:val="envelope return"/>
    <w:basedOn w:val="1"/>
    <w:qFormat/>
    <w:uiPriority w:val="0"/>
    <w:pPr>
      <w:snapToGrid w:val="0"/>
    </w:pPr>
    <w:rPr>
      <w:rFonts w:ascii="Arial" w:hAnsi="Arial"/>
      <w:szCs w:val="24"/>
    </w:rPr>
  </w:style>
  <w:style w:type="paragraph" w:styleId="6">
    <w:name w:val="Normal Indent"/>
    <w:basedOn w:val="1"/>
    <w:qFormat/>
    <w:uiPriority w:val="0"/>
    <w:pPr>
      <w:ind w:firstLine="420" w:firstLineChars="200"/>
    </w:pPr>
    <w:rPr>
      <w:rFonts w:ascii="Times New Roman" w:hAnsi="Times New Roman" w:eastAsia="宋体" w:cs="Times New Roman"/>
    </w:rPr>
  </w:style>
  <w:style w:type="paragraph" w:styleId="7">
    <w:name w:val="annotation text"/>
    <w:basedOn w:val="1"/>
    <w:next w:val="1"/>
    <w:link w:val="32"/>
    <w:qFormat/>
    <w:uiPriority w:val="0"/>
    <w:pPr>
      <w:jc w:val="left"/>
    </w:pPr>
  </w:style>
  <w:style w:type="paragraph" w:styleId="8">
    <w:name w:val="Body Text"/>
    <w:basedOn w:val="1"/>
    <w:next w:val="9"/>
    <w:qFormat/>
    <w:uiPriority w:val="0"/>
    <w:rPr>
      <w:rFonts w:ascii="仿宋_GB2312" w:eastAsia="仿宋_GB2312"/>
      <w:sz w:val="28"/>
    </w:rPr>
  </w:style>
  <w:style w:type="paragraph" w:styleId="9">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0">
    <w:name w:val="Plain Text"/>
    <w:basedOn w:val="1"/>
    <w:link w:val="29"/>
    <w:qFormat/>
    <w:uiPriority w:val="0"/>
    <w:pPr>
      <w:spacing w:line="580" w:lineRule="exact"/>
      <w:ind w:right="-197" w:firstLine="560" w:firstLineChars="200"/>
    </w:pPr>
    <w:rPr>
      <w:rFonts w:ascii="黑体" w:hAnsi="Courier New" w:eastAsia="黑体"/>
      <w:kern w:val="0"/>
      <w:sz w:val="20"/>
      <w:szCs w:val="20"/>
    </w:rPr>
  </w:style>
  <w:style w:type="paragraph" w:styleId="11">
    <w:name w:val="Body Text Indent 2"/>
    <w:basedOn w:val="1"/>
    <w:link w:val="30"/>
    <w:qFormat/>
    <w:uiPriority w:val="0"/>
    <w:pPr>
      <w:spacing w:after="120" w:line="480" w:lineRule="auto"/>
      <w:ind w:left="420" w:leftChars="200"/>
    </w:pPr>
    <w:rPr>
      <w:szCs w:val="24"/>
    </w:rPr>
  </w:style>
  <w:style w:type="paragraph" w:styleId="12">
    <w:name w:val="Balloon Text"/>
    <w:basedOn w:val="1"/>
    <w:semiHidden/>
    <w:qFormat/>
    <w:uiPriority w:val="0"/>
    <w:rPr>
      <w:sz w:val="18"/>
      <w:szCs w:val="18"/>
    </w:rPr>
  </w:style>
  <w:style w:type="paragraph" w:styleId="13">
    <w:name w:val="footer"/>
    <w:basedOn w:val="1"/>
    <w:link w:val="31"/>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Body Text 2"/>
    <w:basedOn w:val="1"/>
    <w:qFormat/>
    <w:uiPriority w:val="0"/>
    <w:rPr>
      <w:sz w:val="44"/>
    </w:rPr>
  </w:style>
  <w:style w:type="paragraph" w:styleId="16">
    <w:name w:val="annotation subject"/>
    <w:basedOn w:val="7"/>
    <w:next w:val="7"/>
    <w:link w:val="33"/>
    <w:qFormat/>
    <w:uiPriority w:val="0"/>
    <w:rPr>
      <w:b/>
      <w:bCs/>
    </w:rPr>
  </w:style>
  <w:style w:type="paragraph" w:styleId="17">
    <w:name w:val="Body Text First Indent"/>
    <w:basedOn w:val="8"/>
    <w:qFormat/>
    <w:uiPriority w:val="0"/>
    <w:pPr>
      <w:spacing w:after="120" w:afterLines="0"/>
      <w:ind w:firstLine="420" w:firstLineChars="100"/>
    </w:pPr>
    <w:rPr>
      <w:rFonts w:ascii="Times New Roman" w:eastAsia="宋体"/>
      <w:sz w:val="21"/>
      <w:lang w:val="en-US" w:eastAsia="zh-CN"/>
    </w:rPr>
  </w:style>
  <w:style w:type="character" w:styleId="20">
    <w:name w:val="Strong"/>
    <w:basedOn w:val="19"/>
    <w:qFormat/>
    <w:locked/>
    <w:uiPriority w:val="0"/>
    <w:rPr>
      <w:b/>
    </w:rPr>
  </w:style>
  <w:style w:type="character" w:styleId="21">
    <w:name w:val="page number"/>
    <w:qFormat/>
    <w:uiPriority w:val="0"/>
    <w:rPr>
      <w:rFonts w:cs="Times New Roman"/>
    </w:rPr>
  </w:style>
  <w:style w:type="character" w:styleId="22">
    <w:name w:val="annotation reference"/>
    <w:basedOn w:val="19"/>
    <w:qFormat/>
    <w:uiPriority w:val="0"/>
    <w:rPr>
      <w:sz w:val="21"/>
      <w:szCs w:val="21"/>
    </w:rPr>
  </w:style>
  <w:style w:type="paragraph" w:customStyle="1" w:styleId="23">
    <w:name w:val="正文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
    <w:name w:val="纯文本1"/>
    <w:basedOn w:val="1"/>
    <w:qFormat/>
    <w:uiPriority w:val="0"/>
    <w:pPr>
      <w:spacing w:line="580" w:lineRule="exact"/>
      <w:ind w:right="-197" w:firstLine="560" w:firstLineChars="200"/>
    </w:pPr>
    <w:rPr>
      <w:rFonts w:ascii="黑体" w:hAnsi="Courier New" w:eastAsia="黑体"/>
      <w:sz w:val="28"/>
      <w:szCs w:val="20"/>
    </w:rPr>
  </w:style>
  <w:style w:type="paragraph" w:customStyle="1" w:styleId="25">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6">
    <w:name w:val="报告正文A"/>
    <w:basedOn w:val="1"/>
    <w:qFormat/>
    <w:uiPriority w:val="0"/>
    <w:pPr>
      <w:widowControl/>
      <w:adjustRightInd w:val="0"/>
      <w:snapToGrid w:val="0"/>
      <w:spacing w:line="360" w:lineRule="auto"/>
      <w:ind w:firstLine="200" w:firstLineChars="200"/>
    </w:pPr>
    <w:rPr>
      <w:rFonts w:eastAsia="仿宋_GB2312"/>
      <w:kern w:val="0"/>
      <w:sz w:val="28"/>
      <w:szCs w:val="28"/>
    </w:rPr>
  </w:style>
  <w:style w:type="paragraph" w:customStyle="1" w:styleId="27">
    <w:name w:val="Char1 Char Char Char"/>
    <w:basedOn w:val="1"/>
    <w:qFormat/>
    <w:uiPriority w:val="0"/>
    <w:rPr>
      <w:b/>
      <w:bCs/>
      <w:sz w:val="36"/>
      <w:szCs w:val="32"/>
    </w:rPr>
  </w:style>
  <w:style w:type="character" w:customStyle="1" w:styleId="28">
    <w:name w:val="页眉 字符"/>
    <w:link w:val="14"/>
    <w:qFormat/>
    <w:locked/>
    <w:uiPriority w:val="0"/>
    <w:rPr>
      <w:rFonts w:cs="Times New Roman"/>
      <w:sz w:val="18"/>
      <w:szCs w:val="18"/>
    </w:rPr>
  </w:style>
  <w:style w:type="character" w:customStyle="1" w:styleId="29">
    <w:name w:val="纯文本 字符"/>
    <w:link w:val="10"/>
    <w:qFormat/>
    <w:locked/>
    <w:uiPriority w:val="0"/>
    <w:rPr>
      <w:rFonts w:ascii="黑体" w:hAnsi="Courier New" w:eastAsia="黑体" w:cs="黑体"/>
      <w:sz w:val="20"/>
      <w:szCs w:val="20"/>
    </w:rPr>
  </w:style>
  <w:style w:type="character" w:customStyle="1" w:styleId="30">
    <w:name w:val="正文文本缩进 2 字符"/>
    <w:link w:val="11"/>
    <w:qFormat/>
    <w:uiPriority w:val="0"/>
    <w:rPr>
      <w:rFonts w:ascii="Times New Roman" w:hAnsi="Times New Roman"/>
      <w:kern w:val="2"/>
      <w:sz w:val="21"/>
      <w:szCs w:val="24"/>
    </w:rPr>
  </w:style>
  <w:style w:type="character" w:customStyle="1" w:styleId="31">
    <w:name w:val="页脚 字符"/>
    <w:link w:val="13"/>
    <w:qFormat/>
    <w:locked/>
    <w:uiPriority w:val="99"/>
    <w:rPr>
      <w:rFonts w:cs="Times New Roman"/>
      <w:sz w:val="18"/>
      <w:szCs w:val="18"/>
    </w:rPr>
  </w:style>
  <w:style w:type="character" w:customStyle="1" w:styleId="32">
    <w:name w:val="批注文字 字符"/>
    <w:basedOn w:val="19"/>
    <w:link w:val="7"/>
    <w:qFormat/>
    <w:uiPriority w:val="0"/>
    <w:rPr>
      <w:kern w:val="2"/>
      <w:sz w:val="21"/>
      <w:szCs w:val="21"/>
    </w:rPr>
  </w:style>
  <w:style w:type="character" w:customStyle="1" w:styleId="33">
    <w:name w:val="批注主题 字符"/>
    <w:basedOn w:val="32"/>
    <w:link w:val="16"/>
    <w:qFormat/>
    <w:uiPriority w:val="0"/>
    <w:rPr>
      <w:b/>
      <w:bCs/>
      <w:kern w:val="2"/>
      <w:sz w:val="21"/>
      <w:szCs w:val="21"/>
    </w:rPr>
  </w:style>
  <w:style w:type="paragraph" w:customStyle="1" w:styleId="34">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5">
    <w:name w:val="标题 2 字符"/>
    <w:basedOn w:val="19"/>
    <w:link w:val="5"/>
    <w:qFormat/>
    <w:uiPriority w:val="0"/>
    <w:rPr>
      <w:rFonts w:ascii="等线 Light" w:hAnsi="等线 Light" w:eastAsia="等线 Light" w:cs="Times New Roman"/>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5643</Words>
  <Characters>5885</Characters>
  <Lines>68</Lines>
  <Paragraphs>19</Paragraphs>
  <TotalTime>32</TotalTime>
  <ScaleCrop>false</ScaleCrop>
  <LinksUpToDate>false</LinksUpToDate>
  <CharactersWithSpaces>6454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2025-03-20T02:52:00Z</dcterms:created>
  <dc:creator>WIN</dc:creator>
  <cp:lastModifiedBy>cmh</cp:lastModifiedBy>
  <cp:lastPrinted>2025-09-04T09:00:00Z</cp:lastPrinted>
  <dcterms:modified xsi:type="dcterms:W3CDTF">2025-09-08T08:58:54Z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2F9A571DFC3D463BBB05D040D538266B_13</vt:lpwstr>
  </property>
  <property fmtid="{D5CDD505-2E9C-101B-9397-08002B2CF9AE}" pid="4" name="KSOTemplateDocerSaveRecord">
    <vt:lpwstr>eyJoZGlkIjoiZjA2ZTA3YTFkYmMyOTFlZWM0NGExMGNjY2FkNDI1MTMiLCJ1c2VySWQiOiI0MjI4Njk3NTYifQ==</vt:lpwstr>
  </property>
</Properties>
</file>